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237"/>
        <w:gridCol w:w="240"/>
        <w:gridCol w:w="10"/>
        <w:gridCol w:w="3402"/>
      </w:tblGrid>
      <w:tr w:rsidR="001B790E" w:rsidTr="005740D7">
        <w:trPr>
          <w:cantSplit/>
          <w:trHeight w:val="1276"/>
        </w:trPr>
        <w:tc>
          <w:tcPr>
            <w:tcW w:w="6477" w:type="dxa"/>
            <w:gridSpan w:val="2"/>
            <w:vAlign w:val="center"/>
          </w:tcPr>
          <w:p w:rsidR="001B790E" w:rsidRPr="0051782D" w:rsidRDefault="001B790E" w:rsidP="005740D7">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15-17 April 2019</w:t>
            </w:r>
          </w:p>
        </w:tc>
        <w:tc>
          <w:tcPr>
            <w:tcW w:w="3412" w:type="dxa"/>
            <w:gridSpan w:val="2"/>
            <w:vAlign w:val="center"/>
          </w:tcPr>
          <w:p w:rsidR="001B790E" w:rsidRDefault="001B790E" w:rsidP="005740D7">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28B56518" wp14:editId="51F402E3">
                  <wp:extent cx="17653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B790E" w:rsidRPr="0051782D" w:rsidTr="005740D7">
        <w:trPr>
          <w:cantSplit/>
        </w:trPr>
        <w:tc>
          <w:tcPr>
            <w:tcW w:w="6487" w:type="dxa"/>
            <w:gridSpan w:val="3"/>
            <w:tcBorders>
              <w:bottom w:val="single" w:sz="12" w:space="0" w:color="auto"/>
            </w:tcBorders>
          </w:tcPr>
          <w:p w:rsidR="001B790E" w:rsidRPr="0051782D" w:rsidRDefault="001B790E" w:rsidP="005740D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1B790E" w:rsidRPr="0051782D" w:rsidRDefault="001B790E" w:rsidP="005740D7">
            <w:pPr>
              <w:shd w:val="solid" w:color="FFFFFF" w:fill="FFFFFF"/>
              <w:spacing w:before="0" w:after="48" w:line="240" w:lineRule="atLeast"/>
              <w:rPr>
                <w:sz w:val="22"/>
                <w:szCs w:val="22"/>
                <w:lang w:val="en-US"/>
              </w:rPr>
            </w:pPr>
          </w:p>
        </w:tc>
      </w:tr>
      <w:tr w:rsidR="001B790E" w:rsidTr="005740D7">
        <w:trPr>
          <w:cantSplit/>
        </w:trPr>
        <w:tc>
          <w:tcPr>
            <w:tcW w:w="6487" w:type="dxa"/>
            <w:gridSpan w:val="3"/>
            <w:tcBorders>
              <w:top w:val="single" w:sz="12" w:space="0" w:color="auto"/>
            </w:tcBorders>
          </w:tcPr>
          <w:p w:rsidR="001B790E" w:rsidRPr="0051782D" w:rsidRDefault="001B790E" w:rsidP="005740D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1B790E" w:rsidRPr="00710D66" w:rsidRDefault="001B790E" w:rsidP="005740D7">
            <w:pPr>
              <w:shd w:val="solid" w:color="FFFFFF" w:fill="FFFFFF"/>
              <w:spacing w:before="0" w:after="48" w:line="240" w:lineRule="atLeast"/>
              <w:rPr>
                <w:lang w:val="en-US"/>
              </w:rPr>
            </w:pPr>
          </w:p>
        </w:tc>
      </w:tr>
      <w:tr w:rsidR="001B790E" w:rsidTr="005740D7">
        <w:trPr>
          <w:cantSplit/>
        </w:trPr>
        <w:tc>
          <w:tcPr>
            <w:tcW w:w="6237" w:type="dxa"/>
            <w:vMerge w:val="restart"/>
          </w:tcPr>
          <w:p w:rsidR="001B790E" w:rsidRDefault="001B790E" w:rsidP="005740D7">
            <w:pPr>
              <w:shd w:val="solid" w:color="FFFFFF" w:fill="FFFFFF"/>
              <w:spacing w:after="240"/>
              <w:rPr>
                <w:sz w:val="20"/>
              </w:rPr>
            </w:pPr>
          </w:p>
        </w:tc>
        <w:tc>
          <w:tcPr>
            <w:tcW w:w="3652" w:type="dxa"/>
            <w:gridSpan w:val="3"/>
          </w:tcPr>
          <w:p w:rsidR="001B790E" w:rsidRPr="003B13DD" w:rsidRDefault="001B790E" w:rsidP="005740D7">
            <w:pPr>
              <w:shd w:val="solid" w:color="FFFFFF" w:fill="FFFFFF"/>
              <w:spacing w:before="0" w:line="240" w:lineRule="atLeast"/>
              <w:rPr>
                <w:rFonts w:ascii="Verdana" w:hAnsi="Verdana"/>
                <w:sz w:val="20"/>
              </w:rPr>
            </w:pPr>
            <w:r>
              <w:rPr>
                <w:rFonts w:ascii="Verdana" w:hAnsi="Verdana"/>
                <w:b/>
                <w:sz w:val="20"/>
              </w:rPr>
              <w:t>Document RAG19/TEMP/2-E</w:t>
            </w:r>
          </w:p>
        </w:tc>
      </w:tr>
      <w:tr w:rsidR="001B790E" w:rsidTr="005740D7">
        <w:trPr>
          <w:cantSplit/>
        </w:trPr>
        <w:tc>
          <w:tcPr>
            <w:tcW w:w="6237" w:type="dxa"/>
            <w:vMerge/>
          </w:tcPr>
          <w:p w:rsidR="001B790E" w:rsidRDefault="001B790E" w:rsidP="005740D7">
            <w:pPr>
              <w:spacing w:before="60"/>
              <w:jc w:val="center"/>
              <w:rPr>
                <w:b/>
                <w:smallCaps/>
                <w:sz w:val="32"/>
              </w:rPr>
            </w:pPr>
          </w:p>
        </w:tc>
        <w:tc>
          <w:tcPr>
            <w:tcW w:w="3652" w:type="dxa"/>
            <w:gridSpan w:val="3"/>
          </w:tcPr>
          <w:p w:rsidR="001B790E" w:rsidRPr="003B13DD" w:rsidRDefault="001B790E" w:rsidP="005740D7">
            <w:pPr>
              <w:shd w:val="solid" w:color="FFFFFF" w:fill="FFFFFF"/>
              <w:spacing w:before="0" w:line="240" w:lineRule="atLeast"/>
              <w:rPr>
                <w:rFonts w:ascii="Verdana" w:hAnsi="Verdana"/>
                <w:sz w:val="20"/>
              </w:rPr>
            </w:pPr>
            <w:r>
              <w:rPr>
                <w:rFonts w:ascii="Verdana" w:hAnsi="Verdana"/>
                <w:b/>
                <w:sz w:val="20"/>
              </w:rPr>
              <w:t>16 April 2019</w:t>
            </w:r>
          </w:p>
        </w:tc>
      </w:tr>
      <w:tr w:rsidR="001B790E" w:rsidTr="005740D7">
        <w:trPr>
          <w:cantSplit/>
        </w:trPr>
        <w:tc>
          <w:tcPr>
            <w:tcW w:w="6237" w:type="dxa"/>
            <w:vMerge/>
          </w:tcPr>
          <w:p w:rsidR="001B790E" w:rsidRDefault="001B790E" w:rsidP="005740D7">
            <w:pPr>
              <w:spacing w:before="60"/>
              <w:jc w:val="center"/>
              <w:rPr>
                <w:b/>
                <w:smallCaps/>
                <w:sz w:val="32"/>
              </w:rPr>
            </w:pPr>
          </w:p>
        </w:tc>
        <w:tc>
          <w:tcPr>
            <w:tcW w:w="3652" w:type="dxa"/>
            <w:gridSpan w:val="3"/>
          </w:tcPr>
          <w:p w:rsidR="001B790E" w:rsidRPr="003B13DD" w:rsidRDefault="001B790E" w:rsidP="005740D7">
            <w:pPr>
              <w:shd w:val="solid" w:color="FFFFFF" w:fill="FFFFFF"/>
              <w:spacing w:before="0" w:after="120" w:line="240" w:lineRule="atLeast"/>
              <w:rPr>
                <w:rFonts w:ascii="Verdana" w:hAnsi="Verdana"/>
                <w:sz w:val="20"/>
              </w:rPr>
            </w:pPr>
            <w:r>
              <w:rPr>
                <w:rFonts w:ascii="Verdana" w:hAnsi="Verdana"/>
                <w:b/>
                <w:sz w:val="20"/>
              </w:rPr>
              <w:t>English only</w:t>
            </w:r>
          </w:p>
        </w:tc>
      </w:tr>
      <w:tr w:rsidR="001B790E" w:rsidTr="005740D7">
        <w:trPr>
          <w:cantSplit/>
        </w:trPr>
        <w:tc>
          <w:tcPr>
            <w:tcW w:w="9889" w:type="dxa"/>
            <w:gridSpan w:val="4"/>
          </w:tcPr>
          <w:p w:rsidR="001B790E" w:rsidRDefault="001B790E" w:rsidP="005740D7">
            <w:pPr>
              <w:pStyle w:val="Source"/>
            </w:pPr>
            <w:r w:rsidRPr="00991DE5">
              <w:t>Chairman, RAG</w:t>
            </w:r>
          </w:p>
        </w:tc>
      </w:tr>
      <w:tr w:rsidR="001B790E" w:rsidTr="005740D7">
        <w:trPr>
          <w:cantSplit/>
        </w:trPr>
        <w:tc>
          <w:tcPr>
            <w:tcW w:w="9889" w:type="dxa"/>
            <w:gridSpan w:val="4"/>
          </w:tcPr>
          <w:p w:rsidR="001B790E" w:rsidRDefault="001B790E" w:rsidP="005740D7">
            <w:pPr>
              <w:pStyle w:val="Title1"/>
            </w:pPr>
            <w:r w:rsidRPr="00991DE5">
              <w:t>twentY-</w:t>
            </w:r>
            <w:r>
              <w:t>six</w:t>
            </w:r>
            <w:r w:rsidRPr="00991DE5">
              <w:t xml:space="preserve">TH meeting of the </w:t>
            </w:r>
            <w:r w:rsidRPr="00991DE5">
              <w:br/>
              <w:t>radiocommunication advisory group</w:t>
            </w:r>
          </w:p>
          <w:p w:rsidR="001B790E" w:rsidRDefault="001B790E" w:rsidP="005740D7"/>
          <w:p w:rsidR="001B790E" w:rsidRDefault="001B790E" w:rsidP="005740D7"/>
          <w:p w:rsidR="001B790E" w:rsidRPr="00991DE5" w:rsidRDefault="001B790E" w:rsidP="005740D7">
            <w:pPr>
              <w:jc w:val="center"/>
              <w:rPr>
                <w:sz w:val="28"/>
                <w:szCs w:val="28"/>
                <w:lang w:eastAsia="zh-CN"/>
              </w:rPr>
            </w:pPr>
            <w:r w:rsidRPr="00991DE5">
              <w:rPr>
                <w:sz w:val="28"/>
                <w:szCs w:val="28"/>
                <w:lang w:eastAsia="zh-CN"/>
              </w:rPr>
              <w:t>DRAFT</w:t>
            </w:r>
          </w:p>
          <w:p w:rsidR="001B790E" w:rsidRDefault="001B790E" w:rsidP="005740D7">
            <w:pPr>
              <w:jc w:val="center"/>
              <w:rPr>
                <w:sz w:val="28"/>
                <w:szCs w:val="28"/>
                <w:lang w:eastAsia="zh-CN"/>
              </w:rPr>
            </w:pPr>
            <w:r w:rsidRPr="00991DE5">
              <w:rPr>
                <w:sz w:val="28"/>
                <w:szCs w:val="28"/>
                <w:lang w:eastAsia="zh-CN"/>
              </w:rPr>
              <w:t>SUMMARY OF CONCLUSIONS</w:t>
            </w:r>
          </w:p>
          <w:p w:rsidR="001B790E" w:rsidRDefault="001B790E" w:rsidP="005740D7">
            <w:pPr>
              <w:jc w:val="center"/>
              <w:rPr>
                <w:sz w:val="28"/>
                <w:szCs w:val="28"/>
                <w:lang w:eastAsia="zh-CN"/>
              </w:rPr>
            </w:pPr>
          </w:p>
          <w:p w:rsidR="001B790E" w:rsidRDefault="001B790E" w:rsidP="005740D7">
            <w:pPr>
              <w:jc w:val="center"/>
              <w:rPr>
                <w:sz w:val="28"/>
                <w:szCs w:val="28"/>
                <w:lang w:eastAsia="zh-CN"/>
              </w:rPr>
            </w:pPr>
          </w:p>
          <w:p w:rsidR="001B790E" w:rsidRDefault="001B790E" w:rsidP="005740D7">
            <w:pPr>
              <w:jc w:val="center"/>
              <w:rPr>
                <w:sz w:val="28"/>
                <w:szCs w:val="28"/>
                <w:lang w:eastAsia="zh-CN"/>
              </w:rPr>
            </w:pPr>
            <w:r>
              <w:rPr>
                <w:sz w:val="28"/>
                <w:szCs w:val="28"/>
                <w:lang w:eastAsia="zh-CN"/>
              </w:rPr>
              <w:t>ANNEX 1</w:t>
            </w:r>
          </w:p>
          <w:p w:rsidR="001B790E" w:rsidRDefault="001B790E" w:rsidP="005740D7">
            <w:pPr>
              <w:jc w:val="center"/>
              <w:rPr>
                <w:sz w:val="28"/>
                <w:szCs w:val="28"/>
                <w:lang w:eastAsia="zh-CN"/>
              </w:rPr>
            </w:pPr>
          </w:p>
          <w:p w:rsidR="001B790E" w:rsidRDefault="001B790E" w:rsidP="005740D7">
            <w:pPr>
              <w:jc w:val="center"/>
              <w:rPr>
                <w:sz w:val="28"/>
                <w:szCs w:val="28"/>
                <w:lang w:eastAsia="zh-CN"/>
              </w:rPr>
            </w:pPr>
          </w:p>
          <w:p w:rsidR="001B790E" w:rsidRPr="001B790E" w:rsidRDefault="001B790E" w:rsidP="005740D7">
            <w:pPr>
              <w:jc w:val="center"/>
              <w:rPr>
                <w:sz w:val="28"/>
                <w:szCs w:val="28"/>
                <w:lang w:eastAsia="zh-CN"/>
              </w:rPr>
            </w:pPr>
            <w:r w:rsidRPr="001B790E">
              <w:rPr>
                <w:sz w:val="28"/>
                <w:szCs w:val="28"/>
                <w:lang w:eastAsia="zh-CN"/>
              </w:rPr>
              <w:t xml:space="preserve">Draft ITU-R 4-year Rolling Operational Plan </w:t>
            </w:r>
          </w:p>
          <w:p w:rsidR="001B790E" w:rsidRPr="003B13DD" w:rsidRDefault="001B790E" w:rsidP="005740D7">
            <w:pPr>
              <w:jc w:val="center"/>
            </w:pPr>
            <w:r w:rsidRPr="001B790E">
              <w:rPr>
                <w:sz w:val="28"/>
                <w:szCs w:val="28"/>
                <w:lang w:eastAsia="zh-CN"/>
              </w:rPr>
              <w:t xml:space="preserve">(source: Doc. RAG19/1 </w:t>
            </w:r>
            <w:r>
              <w:rPr>
                <w:sz w:val="28"/>
                <w:szCs w:val="28"/>
                <w:lang w:eastAsia="zh-CN"/>
              </w:rPr>
              <w:t>(</w:t>
            </w:r>
            <w:r w:rsidRPr="001B790E">
              <w:rPr>
                <w:sz w:val="28"/>
                <w:szCs w:val="28"/>
                <w:lang w:eastAsia="zh-CN"/>
              </w:rPr>
              <w:t>Add.2</w:t>
            </w:r>
            <w:r>
              <w:rPr>
                <w:sz w:val="28"/>
                <w:szCs w:val="28"/>
                <w:lang w:eastAsia="zh-CN"/>
              </w:rPr>
              <w:t>)</w:t>
            </w:r>
            <w:r w:rsidRPr="001B790E">
              <w:rPr>
                <w:sz w:val="28"/>
                <w:szCs w:val="28"/>
                <w:lang w:eastAsia="zh-CN"/>
              </w:rPr>
              <w:t>)</w:t>
            </w:r>
          </w:p>
        </w:tc>
      </w:tr>
    </w:tbl>
    <w:p w:rsidR="001B790E" w:rsidRDefault="001B790E" w:rsidP="001B790E"/>
    <w:p w:rsidR="001B790E" w:rsidRDefault="001B790E">
      <w:r>
        <w:br w:type="page"/>
      </w:r>
    </w:p>
    <w:tbl>
      <w:tblPr>
        <w:tblpPr w:leftFromText="180" w:rightFromText="180" w:horzAnchor="margin" w:tblpY="-615"/>
        <w:tblW w:w="9889" w:type="dxa"/>
        <w:tblLayout w:type="fixed"/>
        <w:tblLook w:val="0000" w:firstRow="0" w:lastRow="0" w:firstColumn="0" w:lastColumn="0" w:noHBand="0" w:noVBand="0"/>
      </w:tblPr>
      <w:tblGrid>
        <w:gridCol w:w="6237"/>
        <w:gridCol w:w="142"/>
        <w:gridCol w:w="98"/>
        <w:gridCol w:w="10"/>
        <w:gridCol w:w="3402"/>
      </w:tblGrid>
      <w:tr w:rsidR="00EC0BE3" w:rsidTr="00EC0BE3">
        <w:trPr>
          <w:cantSplit/>
        </w:trPr>
        <w:tc>
          <w:tcPr>
            <w:tcW w:w="6477" w:type="dxa"/>
            <w:gridSpan w:val="3"/>
            <w:vAlign w:val="center"/>
          </w:tcPr>
          <w:p w:rsidR="00EC0BE3" w:rsidRPr="0051782D" w:rsidRDefault="00EC0BE3" w:rsidP="009E65DD">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lastRenderedPageBreak/>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E65DD">
              <w:rPr>
                <w:rFonts w:ascii="Verdana" w:hAnsi="Verdana" w:cs="Times New Roman Bold"/>
                <w:b/>
                <w:bCs/>
                <w:sz w:val="20"/>
              </w:rPr>
              <w:t>15-17 April</w:t>
            </w:r>
            <w:r>
              <w:rPr>
                <w:rFonts w:ascii="Verdana" w:hAnsi="Verdana" w:cs="Times New Roman Bold"/>
                <w:b/>
                <w:bCs/>
                <w:sz w:val="20"/>
              </w:rPr>
              <w:t xml:space="preserve"> 201</w:t>
            </w:r>
            <w:r w:rsidR="009E65DD">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4"/>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3567C9">
        <w:trPr>
          <w:cantSplit/>
        </w:trPr>
        <w:tc>
          <w:tcPr>
            <w:tcW w:w="623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4"/>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3567C9">
        <w:trPr>
          <w:cantSplit/>
        </w:trPr>
        <w:tc>
          <w:tcPr>
            <w:tcW w:w="6379" w:type="dxa"/>
            <w:gridSpan w:val="2"/>
            <w:vMerge w:val="restart"/>
          </w:tcPr>
          <w:p w:rsidR="0051782D" w:rsidRDefault="0051782D" w:rsidP="00B35BE4">
            <w:pPr>
              <w:shd w:val="solid" w:color="FFFFFF" w:fill="FFFFFF"/>
              <w:spacing w:after="240"/>
              <w:rPr>
                <w:sz w:val="20"/>
              </w:rPr>
            </w:pPr>
            <w:bookmarkStart w:id="0" w:name="dnum" w:colFirst="1" w:colLast="1"/>
          </w:p>
        </w:tc>
        <w:tc>
          <w:tcPr>
            <w:tcW w:w="3510" w:type="dxa"/>
            <w:gridSpan w:val="3"/>
          </w:tcPr>
          <w:p w:rsidR="0051782D" w:rsidRPr="003567C9" w:rsidRDefault="00E074E6" w:rsidP="0050743A">
            <w:pPr>
              <w:shd w:val="solid" w:color="FFFFFF" w:fill="FFFFFF"/>
              <w:spacing w:before="0" w:line="240" w:lineRule="atLeast"/>
              <w:rPr>
                <w:rFonts w:ascii="Verdana" w:hAnsi="Verdana"/>
                <w:b/>
                <w:bCs/>
                <w:sz w:val="20"/>
              </w:rPr>
            </w:pPr>
            <w:r>
              <w:rPr>
                <w:rFonts w:ascii="Verdana" w:hAnsi="Verdana"/>
                <w:b/>
                <w:bCs/>
                <w:sz w:val="20"/>
              </w:rPr>
              <w:t>Revision 1 to</w:t>
            </w:r>
            <w:r>
              <w:rPr>
                <w:rFonts w:ascii="Verdana" w:hAnsi="Verdana"/>
                <w:b/>
                <w:bCs/>
                <w:sz w:val="20"/>
              </w:rPr>
              <w:br/>
            </w:r>
            <w:r w:rsidR="0050743A">
              <w:rPr>
                <w:rFonts w:ascii="Verdana" w:hAnsi="Verdana"/>
                <w:b/>
                <w:bCs/>
                <w:sz w:val="20"/>
              </w:rPr>
              <w:t>Addendum 2 to</w:t>
            </w:r>
            <w:r w:rsidR="0050743A">
              <w:rPr>
                <w:rFonts w:ascii="Verdana" w:hAnsi="Verdana"/>
                <w:b/>
                <w:bCs/>
                <w:sz w:val="20"/>
              </w:rPr>
              <w:br/>
            </w:r>
            <w:r w:rsidR="005A22DD">
              <w:rPr>
                <w:rFonts w:ascii="Verdana" w:hAnsi="Verdana"/>
                <w:b/>
                <w:bCs/>
                <w:sz w:val="20"/>
              </w:rPr>
              <w:t>Document RAG19/</w:t>
            </w:r>
            <w:r w:rsidR="0050743A">
              <w:rPr>
                <w:rFonts w:ascii="Verdana" w:hAnsi="Verdana"/>
                <w:b/>
                <w:bCs/>
                <w:sz w:val="20"/>
              </w:rPr>
              <w:t>1</w:t>
            </w:r>
            <w:r w:rsidR="00814552" w:rsidRPr="003567C9">
              <w:rPr>
                <w:rFonts w:ascii="Verdana" w:hAnsi="Verdana"/>
                <w:b/>
                <w:bCs/>
                <w:sz w:val="20"/>
              </w:rPr>
              <w:t>-E</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1" w:name="ddate" w:colFirst="1" w:colLast="1"/>
            <w:bookmarkEnd w:id="0"/>
          </w:p>
        </w:tc>
        <w:tc>
          <w:tcPr>
            <w:tcW w:w="3510" w:type="dxa"/>
            <w:gridSpan w:val="3"/>
          </w:tcPr>
          <w:p w:rsidR="0051782D" w:rsidRPr="003567C9" w:rsidRDefault="00E074E6" w:rsidP="00C34D29">
            <w:pPr>
              <w:shd w:val="solid" w:color="FFFFFF" w:fill="FFFFFF"/>
              <w:spacing w:before="0" w:line="240" w:lineRule="atLeast"/>
              <w:rPr>
                <w:rFonts w:ascii="Verdana" w:hAnsi="Verdana"/>
                <w:b/>
                <w:bCs/>
                <w:sz w:val="20"/>
              </w:rPr>
            </w:pPr>
            <w:r>
              <w:rPr>
                <w:rFonts w:ascii="Verdana" w:hAnsi="Verdana"/>
                <w:b/>
                <w:bCs/>
                <w:sz w:val="20"/>
              </w:rPr>
              <w:t xml:space="preserve">27 </w:t>
            </w:r>
            <w:r w:rsidR="00C34D29">
              <w:rPr>
                <w:rFonts w:ascii="Verdana" w:hAnsi="Verdana"/>
                <w:b/>
                <w:bCs/>
                <w:sz w:val="20"/>
              </w:rPr>
              <w:t>March</w:t>
            </w:r>
            <w:r w:rsidR="00814552" w:rsidRPr="003567C9">
              <w:rPr>
                <w:rFonts w:ascii="Verdana" w:hAnsi="Verdana"/>
                <w:b/>
                <w:bCs/>
                <w:sz w:val="20"/>
              </w:rPr>
              <w:t xml:space="preserve"> 201</w:t>
            </w:r>
            <w:r w:rsidR="00C34D29">
              <w:rPr>
                <w:rFonts w:ascii="Verdana" w:hAnsi="Verdana"/>
                <w:b/>
                <w:bCs/>
                <w:sz w:val="20"/>
              </w:rPr>
              <w:t>9</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2" w:name="dorlang" w:colFirst="1" w:colLast="1"/>
            <w:bookmarkEnd w:id="1"/>
          </w:p>
        </w:tc>
        <w:tc>
          <w:tcPr>
            <w:tcW w:w="3510" w:type="dxa"/>
            <w:gridSpan w:val="3"/>
          </w:tcPr>
          <w:p w:rsidR="0051782D" w:rsidRPr="003567C9" w:rsidRDefault="007C7AFB" w:rsidP="007C7AFB">
            <w:pPr>
              <w:shd w:val="solid" w:color="FFFFFF" w:fill="FFFFFF"/>
              <w:spacing w:before="0" w:after="120" w:line="240" w:lineRule="atLeast"/>
              <w:rPr>
                <w:rFonts w:ascii="Verdana" w:hAnsi="Verdana"/>
                <w:b/>
                <w:bCs/>
                <w:sz w:val="20"/>
              </w:rPr>
            </w:pPr>
            <w:r>
              <w:rPr>
                <w:rFonts w:ascii="Verdana" w:hAnsi="Verdana"/>
                <w:b/>
                <w:bCs/>
                <w:sz w:val="20"/>
              </w:rPr>
              <w:t xml:space="preserve">Original: </w:t>
            </w:r>
            <w:r w:rsidR="00814552" w:rsidRPr="003567C9">
              <w:rPr>
                <w:rFonts w:ascii="Verdana" w:hAnsi="Verdana"/>
                <w:b/>
                <w:bCs/>
                <w:sz w:val="20"/>
              </w:rPr>
              <w:t>English</w:t>
            </w:r>
            <w:r w:rsidR="00BE1C08">
              <w:rPr>
                <w:rFonts w:ascii="Verdana" w:hAnsi="Verdana"/>
                <w:b/>
                <w:bCs/>
                <w:sz w:val="20"/>
              </w:rPr>
              <w:t xml:space="preserve"> </w:t>
            </w:r>
          </w:p>
        </w:tc>
      </w:tr>
      <w:tr w:rsidR="0050743A" w:rsidTr="00B35BE4">
        <w:trPr>
          <w:cantSplit/>
        </w:trPr>
        <w:tc>
          <w:tcPr>
            <w:tcW w:w="9889" w:type="dxa"/>
            <w:gridSpan w:val="5"/>
          </w:tcPr>
          <w:p w:rsidR="0050743A" w:rsidRDefault="0050743A" w:rsidP="0050743A">
            <w:pPr>
              <w:pStyle w:val="Source"/>
            </w:pPr>
            <w:bookmarkStart w:id="3" w:name="dsource" w:colFirst="0" w:colLast="0"/>
            <w:bookmarkEnd w:id="2"/>
            <w:r>
              <w:t xml:space="preserve">Director, </w:t>
            </w:r>
            <w:proofErr w:type="spellStart"/>
            <w:r>
              <w:t>Radiocommunication</w:t>
            </w:r>
            <w:proofErr w:type="spellEnd"/>
            <w:r>
              <w:t xml:space="preserve"> Bureau</w:t>
            </w:r>
          </w:p>
        </w:tc>
      </w:tr>
      <w:tr w:rsidR="0050743A" w:rsidRPr="0050743A" w:rsidTr="00B35BE4">
        <w:trPr>
          <w:cantSplit/>
        </w:trPr>
        <w:tc>
          <w:tcPr>
            <w:tcW w:w="9889" w:type="dxa"/>
            <w:gridSpan w:val="5"/>
          </w:tcPr>
          <w:p w:rsidR="0050743A" w:rsidRPr="0050743A" w:rsidRDefault="0050743A" w:rsidP="0050743A">
            <w:pPr>
              <w:pStyle w:val="Title1"/>
              <w:rPr>
                <w:rFonts w:asciiTheme="majorBidi" w:hAnsiTheme="majorBidi" w:cstheme="majorBidi"/>
              </w:rPr>
            </w:pPr>
            <w:bookmarkStart w:id="4" w:name="dtitle1" w:colFirst="0" w:colLast="0"/>
            <w:bookmarkEnd w:id="3"/>
            <w:r w:rsidRPr="0050743A">
              <w:rPr>
                <w:rFonts w:asciiTheme="majorBidi" w:hAnsiTheme="majorBidi" w:cstheme="majorBidi"/>
              </w:rPr>
              <w:t>REPORT TO THE TWENTY-SIXTH MEETING OF THE RADIOCOMMUNICATION ADVISORY GROUP</w:t>
            </w:r>
          </w:p>
          <w:p w:rsidR="0050743A" w:rsidRPr="0050743A" w:rsidRDefault="0050743A" w:rsidP="0050743A">
            <w:pPr>
              <w:overflowPunct/>
              <w:autoSpaceDE/>
              <w:autoSpaceDN/>
              <w:adjustRightInd/>
              <w:snapToGrid w:val="0"/>
              <w:spacing w:after="120"/>
              <w:jc w:val="both"/>
              <w:textAlignment w:val="auto"/>
              <w:rPr>
                <w:rFonts w:asciiTheme="majorBidi" w:eastAsia="Calibri" w:hAnsiTheme="majorBidi" w:cstheme="majorBidi"/>
                <w:spacing w:val="2"/>
                <w:szCs w:val="24"/>
              </w:rPr>
            </w:pPr>
          </w:p>
          <w:p w:rsidR="0050743A" w:rsidRPr="00FA2CA9" w:rsidRDefault="0050743A" w:rsidP="0050743A">
            <w:pPr>
              <w:overflowPunct/>
              <w:autoSpaceDE/>
              <w:autoSpaceDN/>
              <w:adjustRightInd/>
              <w:snapToGrid w:val="0"/>
              <w:spacing w:after="120"/>
              <w:jc w:val="both"/>
              <w:textAlignment w:val="auto"/>
              <w:rPr>
                <w:rFonts w:asciiTheme="majorBidi" w:eastAsia="Calibri" w:hAnsiTheme="majorBidi" w:cstheme="majorBidi"/>
                <w:spacing w:val="2"/>
                <w:sz w:val="26"/>
                <w:szCs w:val="26"/>
              </w:rPr>
            </w:pPr>
          </w:p>
          <w:p w:rsidR="004238CF" w:rsidRPr="00BD0D55" w:rsidRDefault="00BD0D55" w:rsidP="00BD0D55">
            <w:pPr>
              <w:pStyle w:val="Heading1"/>
              <w:rPr>
                <w:rFonts w:eastAsiaTheme="majorEastAsia"/>
              </w:rPr>
            </w:pPr>
            <w:r>
              <w:rPr>
                <w:rFonts w:eastAsiaTheme="majorEastAsia"/>
              </w:rPr>
              <w:t>1</w:t>
            </w:r>
            <w:r>
              <w:rPr>
                <w:rFonts w:eastAsiaTheme="majorEastAsia"/>
              </w:rPr>
              <w:tab/>
            </w:r>
            <w:r w:rsidR="004238CF" w:rsidRPr="00BD0D55">
              <w:rPr>
                <w:rFonts w:eastAsiaTheme="majorEastAsia"/>
              </w:rPr>
              <w:t>Introduction</w:t>
            </w:r>
          </w:p>
          <w:p w:rsidR="004238CF" w:rsidRPr="004238CF" w:rsidRDefault="004238CF" w:rsidP="00A47B73">
            <w:pPr>
              <w:overflowPunct/>
              <w:autoSpaceDE/>
              <w:autoSpaceDN/>
              <w:adjustRightInd/>
              <w:snapToGrid w:val="0"/>
              <w:spacing w:after="120"/>
              <w:textAlignment w:val="auto"/>
              <w:rPr>
                <w:rFonts w:eastAsia="Calibri" w:cs="Arial"/>
                <w:szCs w:val="24"/>
              </w:rPr>
            </w:pPr>
            <w:r w:rsidRPr="004238CF">
              <w:rPr>
                <w:rFonts w:eastAsia="Calibri" w:cs="Arial"/>
                <w:spacing w:val="2"/>
                <w:szCs w:val="24"/>
              </w:rPr>
              <w:t xml:space="preserve">The four-year rolling Operational Plan for the ITU-R, </w:t>
            </w:r>
            <w:r w:rsidR="004A56CD">
              <w:rPr>
                <w:rFonts w:eastAsia="Calibri" w:cs="Arial"/>
                <w:spacing w:val="2"/>
                <w:szCs w:val="24"/>
              </w:rPr>
              <w:t>has</w:t>
            </w:r>
            <w:r w:rsidRPr="004238CF">
              <w:rPr>
                <w:rFonts w:eastAsia="Calibri" w:cs="Arial"/>
                <w:spacing w:val="2"/>
                <w:szCs w:val="24"/>
              </w:rPr>
              <w:t xml:space="preserve"> been prepared in full alignment with the ITU Strategic Plan for</w:t>
            </w:r>
            <w:r w:rsidRPr="004238CF">
              <w:rPr>
                <w:rFonts w:eastAsia="Calibri" w:cs="Arial"/>
                <w:szCs w:val="24"/>
              </w:rPr>
              <w:t xml:space="preserve"> 2020-2023, within the limits of the Financial Plan for 2020-2023 and the biennial budget 2020-2021. The structure follows the ITU results framework, outlining the Sector objectives, the corresponding outcomes and the indicators to measure their progress, as well as the outputs (products and services) produced by the activities of </w:t>
            </w:r>
            <w:r w:rsidR="004A56CD">
              <w:rPr>
                <w:rFonts w:eastAsia="Calibri" w:cs="Arial"/>
                <w:szCs w:val="24"/>
              </w:rPr>
              <w:t xml:space="preserve">the </w:t>
            </w:r>
            <w:r w:rsidRPr="004238CF">
              <w:rPr>
                <w:rFonts w:eastAsia="Calibri" w:cs="Arial"/>
                <w:szCs w:val="24"/>
              </w:rPr>
              <w:t>Sector as well as the enablers by the Bureau.</w:t>
            </w:r>
          </w:p>
          <w:p w:rsidR="0050743A" w:rsidRPr="0050743A" w:rsidRDefault="0050743A" w:rsidP="0050743A">
            <w:pPr>
              <w:rPr>
                <w:rFonts w:asciiTheme="majorBidi" w:hAnsiTheme="majorBidi" w:cstheme="majorBidi"/>
              </w:rPr>
            </w:pPr>
          </w:p>
        </w:tc>
      </w:tr>
      <w:tr w:rsidR="00FA2CA9" w:rsidRPr="0050743A" w:rsidTr="00B35BE4">
        <w:trPr>
          <w:cantSplit/>
        </w:trPr>
        <w:tc>
          <w:tcPr>
            <w:tcW w:w="9889" w:type="dxa"/>
            <w:gridSpan w:val="5"/>
          </w:tcPr>
          <w:p w:rsidR="00FA2CA9" w:rsidRPr="0050743A" w:rsidRDefault="00FA2CA9" w:rsidP="0050743A">
            <w:pPr>
              <w:pStyle w:val="Title1"/>
              <w:rPr>
                <w:rFonts w:asciiTheme="majorBidi" w:hAnsiTheme="majorBidi" w:cstheme="majorBidi"/>
              </w:rPr>
            </w:pPr>
          </w:p>
        </w:tc>
      </w:tr>
      <w:bookmarkEnd w:id="4"/>
    </w:tbl>
    <w:p w:rsidR="00E35DCB" w:rsidRPr="00873A7A" w:rsidRDefault="00E35DCB" w:rsidP="00E35DCB">
      <w:pPr>
        <w:jc w:val="center"/>
        <w:rPr>
          <w:lang w:val="en-US"/>
        </w:rPr>
      </w:pPr>
    </w:p>
    <w:p w:rsidR="002816DC" w:rsidRDefault="002816DC" w:rsidP="002816DC">
      <w:pPr>
        <w:tabs>
          <w:tab w:val="clear" w:pos="794"/>
          <w:tab w:val="clear" w:pos="1191"/>
          <w:tab w:val="clear" w:pos="1588"/>
          <w:tab w:val="clear" w:pos="1985"/>
        </w:tabs>
        <w:overflowPunct/>
        <w:autoSpaceDE/>
        <w:autoSpaceDN/>
        <w:adjustRightInd/>
        <w:spacing w:before="0"/>
        <w:textAlignment w:val="auto"/>
      </w:pPr>
    </w:p>
    <w:p w:rsidR="002816DC" w:rsidRDefault="002816DC">
      <w:pPr>
        <w:tabs>
          <w:tab w:val="clear" w:pos="794"/>
          <w:tab w:val="clear" w:pos="1191"/>
          <w:tab w:val="clear" w:pos="1588"/>
          <w:tab w:val="clear" w:pos="1985"/>
        </w:tabs>
        <w:overflowPunct/>
        <w:autoSpaceDE/>
        <w:autoSpaceDN/>
        <w:adjustRightInd/>
        <w:spacing w:before="0"/>
        <w:textAlignment w:val="auto"/>
        <w:sectPr w:rsidR="002816DC" w:rsidSect="00F749FF">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9159"/>
      </w:tblGrid>
      <w:tr w:rsidR="0050743A" w:rsidTr="0050743A">
        <w:tc>
          <w:tcPr>
            <w:tcW w:w="7280" w:type="dxa"/>
          </w:tcPr>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r w:rsidRPr="00167DA4">
              <w:rPr>
                <w:noProof/>
                <w:lang w:eastAsia="zh-CN"/>
              </w:rPr>
              <w:drawing>
                <wp:inline distT="0" distB="0" distL="0" distR="0" wp14:anchorId="5A447297" wp14:editId="0EECED51">
                  <wp:extent cx="3014163" cy="3247949"/>
                  <wp:effectExtent l="0" t="0" r="0" b="0"/>
                  <wp:docPr id="7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5"/>
                          <a:stretch>
                            <a:fillRect/>
                          </a:stretch>
                        </pic:blipFill>
                        <pic:spPr>
                          <a:xfrm>
                            <a:off x="0" y="0"/>
                            <a:ext cx="3032689" cy="3267911"/>
                          </a:xfrm>
                          <a:prstGeom prst="rect">
                            <a:avLst/>
                          </a:prstGeom>
                        </pic:spPr>
                      </pic:pic>
                    </a:graphicData>
                  </a:graphic>
                </wp:inline>
              </w:drawing>
            </w:r>
          </w:p>
        </w:tc>
        <w:tc>
          <w:tcPr>
            <w:tcW w:w="7281" w:type="dxa"/>
          </w:tcPr>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r w:rsidRPr="00B8119B">
              <w:rPr>
                <w:noProof/>
                <w:lang w:eastAsia="zh-CN"/>
              </w:rPr>
              <w:drawing>
                <wp:inline distT="0" distB="0" distL="0" distR="0" wp14:anchorId="3258E377" wp14:editId="171B1810">
                  <wp:extent cx="5825454" cy="32621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3675" cy="3294748"/>
                          </a:xfrm>
                          <a:prstGeom prst="rect">
                            <a:avLst/>
                          </a:prstGeom>
                          <a:noFill/>
                        </pic:spPr>
                      </pic:pic>
                    </a:graphicData>
                  </a:graphic>
                </wp:inline>
              </w:drawing>
            </w:r>
          </w:p>
        </w:tc>
      </w:tr>
    </w:tbl>
    <w:p w:rsidR="0050743A" w:rsidRDefault="0050743A" w:rsidP="0050743A">
      <w:pPr>
        <w:tabs>
          <w:tab w:val="left" w:pos="5910"/>
        </w:tabs>
        <w:rPr>
          <w:sz w:val="20"/>
          <w:lang w:val="de-DE"/>
        </w:rPr>
        <w:sectPr w:rsidR="0050743A" w:rsidSect="00CF7855">
          <w:pgSz w:w="16834" w:h="11907" w:orient="landscape"/>
          <w:pgMar w:top="1134" w:right="1418" w:bottom="1134" w:left="1418" w:header="720" w:footer="720" w:gutter="0"/>
          <w:paperSrc w:first="15" w:other="15"/>
          <w:cols w:space="720"/>
          <w:docGrid w:linePitch="326"/>
        </w:sectPr>
      </w:pPr>
    </w:p>
    <w:p w:rsidR="00EC1A96" w:rsidRPr="00BD0D55" w:rsidRDefault="00EC1A96" w:rsidP="00BD0D55">
      <w:pPr>
        <w:pStyle w:val="Heading1"/>
        <w:rPr>
          <w:rFonts w:eastAsiaTheme="majorEastAsia"/>
        </w:rPr>
      </w:pPr>
      <w:r w:rsidRPr="00BD0D55">
        <w:rPr>
          <w:rFonts w:eastAsiaTheme="majorEastAsia"/>
        </w:rPr>
        <w:lastRenderedPageBreak/>
        <w:t>2</w:t>
      </w:r>
      <w:r w:rsidRPr="00BD0D55">
        <w:rPr>
          <w:rFonts w:eastAsiaTheme="majorEastAsia"/>
        </w:rPr>
        <w:tab/>
        <w:t xml:space="preserve">Key priorities </w:t>
      </w:r>
    </w:p>
    <w:p w:rsidR="0050743A" w:rsidRPr="00BD0D55" w:rsidRDefault="0050743A" w:rsidP="0050743A">
      <w:pPr>
        <w:pStyle w:val="Heading2"/>
        <w:ind w:left="0" w:firstLine="0"/>
        <w:rPr>
          <w:rFonts w:asciiTheme="majorBidi" w:eastAsia="SimSun" w:hAnsiTheme="majorBidi" w:cstheme="majorBidi"/>
          <w:bCs/>
          <w:szCs w:val="24"/>
        </w:rPr>
      </w:pPr>
      <w:r w:rsidRPr="00BD0D55">
        <w:rPr>
          <w:rFonts w:asciiTheme="majorBidi" w:eastAsia="SimSun" w:hAnsiTheme="majorBidi" w:cstheme="majorBidi"/>
          <w:bCs/>
          <w:szCs w:val="24"/>
        </w:rPr>
        <w:t>The ITU-R Sector</w:t>
      </w:r>
    </w:p>
    <w:p w:rsidR="0050743A" w:rsidRPr="00BD0D55" w:rsidRDefault="0050743A" w:rsidP="0050743A">
      <w:pPr>
        <w:pStyle w:val="Heading1"/>
        <w:tabs>
          <w:tab w:val="left" w:pos="720"/>
        </w:tabs>
        <w:overflowPunct/>
        <w:autoSpaceDE/>
        <w:adjustRightInd/>
        <w:snapToGrid w:val="0"/>
        <w:spacing w:before="120" w:after="120"/>
        <w:ind w:left="0" w:firstLine="0"/>
        <w:jc w:val="both"/>
        <w:rPr>
          <w:rFonts w:asciiTheme="majorBidi" w:eastAsiaTheme="majorEastAsia" w:hAnsiTheme="majorBidi" w:cstheme="majorBidi"/>
          <w:bCs/>
          <w:szCs w:val="24"/>
          <w:lang w:val="en-US"/>
        </w:rPr>
      </w:pPr>
      <w:r w:rsidRPr="00BD0D55">
        <w:rPr>
          <w:rFonts w:asciiTheme="majorBidi" w:eastAsiaTheme="majorEastAsia" w:hAnsiTheme="majorBidi" w:cstheme="majorBidi"/>
          <w:bCs/>
          <w:szCs w:val="24"/>
          <w:lang w:val="en-US"/>
        </w:rPr>
        <w:t>Outline and key priorities for the ITU-R Sector</w:t>
      </w:r>
    </w:p>
    <w:p w:rsidR="0050743A" w:rsidRPr="00EC1A96" w:rsidRDefault="0050743A" w:rsidP="0050743A">
      <w:pPr>
        <w:tabs>
          <w:tab w:val="left" w:pos="720"/>
        </w:tabs>
        <w:overflowPunct/>
        <w:autoSpaceDE/>
        <w:adjustRightInd/>
        <w:snapToGrid w:val="0"/>
        <w:spacing w:after="120"/>
        <w:jc w:val="both"/>
        <w:rPr>
          <w:rFonts w:asciiTheme="majorBidi" w:eastAsia="SimSun" w:hAnsiTheme="majorBidi" w:cstheme="majorBidi"/>
          <w:iCs/>
          <w:vanish/>
          <w:szCs w:val="24"/>
          <w:lang w:eastAsia="zh-CN"/>
          <w:specVanish/>
        </w:rPr>
      </w:pPr>
      <w:r w:rsidRPr="00EC1A96">
        <w:rPr>
          <w:rFonts w:asciiTheme="majorBidi" w:eastAsia="SimSun" w:hAnsiTheme="majorBidi" w:cstheme="majorBidi"/>
          <w:szCs w:val="24"/>
          <w:lang w:eastAsia="zh-CN"/>
        </w:rPr>
        <w:t xml:space="preserve">The period 2020-2023 will be marked by the completion of the implementation of the decisions of RA-19 and WRC-19, the preparation of RA-23 and WRC-23 as well as the implementation of their decisions and the development of key standards and best practices in </w:t>
      </w:r>
      <w:proofErr w:type="spellStart"/>
      <w:r w:rsidRPr="00EC1A96">
        <w:rPr>
          <w:rFonts w:asciiTheme="majorBidi" w:eastAsia="SimSun" w:hAnsiTheme="majorBidi" w:cstheme="majorBidi"/>
          <w:szCs w:val="24"/>
          <w:lang w:eastAsia="zh-CN"/>
        </w:rPr>
        <w:t>radiocommunications</w:t>
      </w:r>
      <w:proofErr w:type="spellEnd"/>
      <w:r w:rsidRPr="00EC1A96">
        <w:rPr>
          <w:rFonts w:asciiTheme="majorBidi" w:eastAsia="SimSun" w:hAnsiTheme="majorBidi" w:cstheme="majorBidi"/>
          <w:szCs w:val="24"/>
          <w:lang w:eastAsia="zh-CN"/>
        </w:rPr>
        <w:t xml:space="preserve">. The key issues are listed below, against the four operational activities of the ITU-R Sector and the supporting activities of the </w:t>
      </w:r>
      <w:proofErr w:type="spellStart"/>
      <w:r w:rsidRPr="00EC1A96">
        <w:rPr>
          <w:rFonts w:asciiTheme="majorBidi" w:eastAsia="SimSun" w:hAnsiTheme="majorBidi" w:cstheme="majorBidi"/>
          <w:szCs w:val="24"/>
          <w:lang w:eastAsia="zh-CN"/>
        </w:rPr>
        <w:t>Radiocommunication</w:t>
      </w:r>
      <w:proofErr w:type="spellEnd"/>
      <w:r w:rsidRPr="00EC1A96">
        <w:rPr>
          <w:rFonts w:asciiTheme="majorBidi" w:eastAsia="SimSun" w:hAnsiTheme="majorBidi" w:cstheme="majorBidi"/>
          <w:szCs w:val="24"/>
          <w:lang w:eastAsia="zh-CN"/>
        </w:rPr>
        <w:t xml:space="preserve"> Bureau:</w:t>
      </w:r>
    </w:p>
    <w:p w:rsidR="0050743A" w:rsidRPr="00EC1A96" w:rsidRDefault="0050743A" w:rsidP="0050743A">
      <w:pPr>
        <w:keepNext/>
        <w:keepLines/>
        <w:tabs>
          <w:tab w:val="left" w:pos="720"/>
        </w:tabs>
        <w:overflowPunct/>
        <w:autoSpaceDE/>
        <w:adjustRightInd/>
        <w:snapToGrid w:val="0"/>
        <w:spacing w:after="120"/>
        <w:jc w:val="both"/>
        <w:outlineLvl w:val="1"/>
        <w:rPr>
          <w:rFonts w:asciiTheme="majorBidi" w:eastAsia="SimSun" w:hAnsiTheme="majorBidi" w:cstheme="majorBidi"/>
          <w:color w:val="2E74B5"/>
          <w:szCs w:val="24"/>
        </w:rPr>
      </w:pPr>
      <w:r w:rsidRPr="00EC1A96">
        <w:rPr>
          <w:rFonts w:asciiTheme="majorBidi" w:eastAsia="SimSun" w:hAnsiTheme="majorBidi" w:cstheme="majorBidi"/>
          <w:color w:val="2E74B5"/>
          <w:szCs w:val="24"/>
        </w:rPr>
        <w:t xml:space="preserve"> </w:t>
      </w:r>
    </w:p>
    <w:p w:rsidR="0050743A" w:rsidRPr="00EC1A96" w:rsidRDefault="0050743A" w:rsidP="00BD0D55">
      <w:pPr>
        <w:pStyle w:val="Heading2"/>
        <w:rPr>
          <w:rFonts w:eastAsia="SimSun"/>
        </w:rPr>
      </w:pPr>
      <w:r w:rsidRPr="00EC1A96">
        <w:rPr>
          <w:rFonts w:eastAsia="SimSun"/>
        </w:rPr>
        <w:t>2.1</w:t>
      </w:r>
      <w:r w:rsidRPr="00EC1A96">
        <w:rPr>
          <w:rFonts w:eastAsia="SimSun"/>
        </w:rPr>
        <w:tab/>
        <w:t>To establish and update international regulations on the use of the radio-frequency spectrum and satellite orbits</w:t>
      </w:r>
    </w:p>
    <w:p w:rsidR="0050743A" w:rsidRPr="00EC1A96" w:rsidRDefault="0050743A" w:rsidP="0050743A">
      <w:pPr>
        <w:numPr>
          <w:ilvl w:val="0"/>
          <w:numId w:val="2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after="40"/>
        <w:ind w:left="284" w:firstLine="0"/>
        <w:jc w:val="both"/>
        <w:textAlignment w:val="auto"/>
        <w:rPr>
          <w:rFonts w:asciiTheme="majorBidi" w:eastAsia="Calibri" w:hAnsiTheme="majorBidi" w:cstheme="majorBidi"/>
          <w:szCs w:val="24"/>
        </w:rPr>
      </w:pPr>
      <w:r w:rsidRPr="00EC1A96">
        <w:rPr>
          <w:rFonts w:asciiTheme="majorBidi" w:eastAsia="Calibri" w:hAnsiTheme="majorBidi" w:cstheme="majorBidi"/>
          <w:szCs w:val="24"/>
        </w:rPr>
        <w:t>The implementation of the decisions of WRC-19,</w:t>
      </w:r>
    </w:p>
    <w:p w:rsidR="0050743A" w:rsidRPr="00EC1A96" w:rsidRDefault="0050743A" w:rsidP="0050743A">
      <w:pPr>
        <w:numPr>
          <w:ilvl w:val="0"/>
          <w:numId w:val="2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before="40" w:after="120"/>
        <w:ind w:left="284" w:firstLine="0"/>
        <w:jc w:val="both"/>
        <w:textAlignment w:val="auto"/>
        <w:rPr>
          <w:rFonts w:asciiTheme="majorBidi" w:eastAsia="Calibri" w:hAnsiTheme="majorBidi" w:cstheme="majorBidi"/>
          <w:b/>
          <w:bCs/>
          <w:szCs w:val="24"/>
        </w:rPr>
      </w:pPr>
      <w:r w:rsidRPr="00EC1A96">
        <w:rPr>
          <w:rFonts w:asciiTheme="majorBidi" w:eastAsia="Calibri" w:hAnsiTheme="majorBidi" w:cstheme="majorBidi"/>
          <w:szCs w:val="24"/>
        </w:rPr>
        <w:t>The adoption by the RRB of the associated Rules of Procedure.</w:t>
      </w:r>
    </w:p>
    <w:p w:rsidR="0050743A" w:rsidRPr="00EC1A96" w:rsidRDefault="0050743A" w:rsidP="00BD0D55">
      <w:pPr>
        <w:pStyle w:val="Heading2"/>
        <w:rPr>
          <w:rFonts w:eastAsia="SimSun"/>
        </w:rPr>
      </w:pPr>
      <w:r w:rsidRPr="00EC1A96">
        <w:rPr>
          <w:rFonts w:eastAsia="SimSun"/>
        </w:rPr>
        <w:t>2.2</w:t>
      </w:r>
      <w:r w:rsidRPr="00EC1A96">
        <w:rPr>
          <w:rFonts w:eastAsia="SimSun"/>
        </w:rPr>
        <w:tab/>
        <w:t>To implement and apply international regulations on the use of the radio-frequency spectrum and satellite orbits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 xml:space="preserve">The development and delivery to the membership of the software tools relating to the application of the Radio Regulations and associated Rules of Procedure, </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monitoring of harmful interference cases and more generally of disputes in sharing spectrum/orbit resources and the resolution of these cases,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709" w:hanging="425"/>
        <w:textAlignment w:val="auto"/>
        <w:rPr>
          <w:rFonts w:asciiTheme="majorBidi" w:eastAsia="Calibri" w:hAnsiTheme="majorBidi" w:cstheme="majorBidi"/>
          <w:bCs/>
          <w:szCs w:val="24"/>
        </w:rPr>
      </w:pPr>
      <w:r w:rsidRPr="00EC1A96">
        <w:rPr>
          <w:rFonts w:asciiTheme="majorBidi" w:eastAsia="Calibri" w:hAnsiTheme="majorBidi" w:cstheme="majorBidi"/>
          <w:szCs w:val="24"/>
        </w:rPr>
        <w:t>The associated publications (BR IFIC, Maritime service publications, list of international monitoring stations).</w:t>
      </w:r>
    </w:p>
    <w:p w:rsidR="0050743A" w:rsidRPr="00EC1A96" w:rsidRDefault="0050743A" w:rsidP="00BD0D55">
      <w:pPr>
        <w:pStyle w:val="Heading2"/>
        <w:rPr>
          <w:rFonts w:eastAsia="SimSun"/>
        </w:rPr>
      </w:pPr>
      <w:r w:rsidRPr="00EC1A96">
        <w:rPr>
          <w:rFonts w:eastAsia="SimSun"/>
        </w:rPr>
        <w:t>2.3</w:t>
      </w:r>
      <w:r w:rsidRPr="00EC1A96">
        <w:rPr>
          <w:rFonts w:eastAsia="SimSun"/>
        </w:rPr>
        <w:tab/>
        <w:t xml:space="preserve">To establish and update worldwide Recommendations, Reports and Handbooks for the most efficient use of the radio-frequency spectrum and satellite orbits </w:t>
      </w:r>
    </w:p>
    <w:p w:rsidR="0050743A" w:rsidRPr="00EC1A96" w:rsidRDefault="0050743A" w:rsidP="0050743A">
      <w:pPr>
        <w:numPr>
          <w:ilvl w:val="0"/>
          <w:numId w:val="2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preparation of RA-23 and WRC-23 in ITU-R Study Groups and in close collaboration with the regional groups, including the development of draft technical, regulatory, and procedural texts in support of the CPM23-2,</w:t>
      </w:r>
    </w:p>
    <w:p w:rsidR="0050743A" w:rsidRPr="00EC1A96" w:rsidRDefault="0050743A" w:rsidP="0050743A">
      <w:pPr>
        <w:numPr>
          <w:ilvl w:val="0"/>
          <w:numId w:val="2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development of key Recommendations, Reports and Handbooks, in particular on the radio interface of IMT-2020, in close cooperation with ITU</w:t>
      </w:r>
      <w:r w:rsidRPr="00EC1A96">
        <w:rPr>
          <w:rFonts w:asciiTheme="majorBidi" w:eastAsia="Calibri" w:hAnsiTheme="majorBidi" w:cstheme="majorBidi"/>
          <w:szCs w:val="24"/>
        </w:rPr>
        <w:noBreakHyphen/>
        <w:t>T, regional organizations and other standard-making bodies.</w:t>
      </w:r>
    </w:p>
    <w:p w:rsidR="0050743A" w:rsidRPr="00EC1A96" w:rsidRDefault="0050743A" w:rsidP="00BD0D55">
      <w:pPr>
        <w:pStyle w:val="Heading2"/>
        <w:rPr>
          <w:rFonts w:eastAsia="SimSun"/>
        </w:rPr>
      </w:pPr>
      <w:r w:rsidRPr="00EC1A96">
        <w:rPr>
          <w:rFonts w:eastAsia="SimSun"/>
        </w:rPr>
        <w:t>2.4</w:t>
      </w:r>
      <w:r w:rsidRPr="00EC1A96">
        <w:rPr>
          <w:rFonts w:eastAsia="SimSun"/>
        </w:rPr>
        <w:tab/>
        <w:t>To inform and assist the ITU</w:t>
      </w:r>
      <w:r w:rsidRPr="00EC1A96">
        <w:rPr>
          <w:rFonts w:eastAsia="SimSun"/>
        </w:rPr>
        <w:noBreakHyphen/>
        <w:t xml:space="preserve">R membership in </w:t>
      </w:r>
      <w:proofErr w:type="spellStart"/>
      <w:r w:rsidRPr="00EC1A96">
        <w:rPr>
          <w:rFonts w:eastAsia="SimSun"/>
        </w:rPr>
        <w:t>radiocommunication</w:t>
      </w:r>
      <w:proofErr w:type="spellEnd"/>
      <w:r w:rsidRPr="00EC1A96">
        <w:rPr>
          <w:rFonts w:eastAsia="SimSun"/>
        </w:rPr>
        <w:t xml:space="preserve"> matters </w:t>
      </w:r>
    </w:p>
    <w:p w:rsidR="0050743A" w:rsidRPr="00EC1A96" w:rsidRDefault="0050743A" w:rsidP="0050743A">
      <w:pPr>
        <w:numPr>
          <w:ilvl w:val="0"/>
          <w:numId w:val="2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284" w:firstLine="0"/>
        <w:textAlignment w:val="auto"/>
        <w:rPr>
          <w:rFonts w:asciiTheme="majorBidi" w:eastAsia="Calibri" w:hAnsiTheme="majorBidi" w:cstheme="majorBidi"/>
          <w:szCs w:val="24"/>
        </w:rPr>
      </w:pPr>
      <w:r w:rsidRPr="00EC1A96">
        <w:rPr>
          <w:rFonts w:asciiTheme="majorBidi" w:eastAsia="Calibri" w:hAnsiTheme="majorBidi" w:cstheme="majorBidi"/>
          <w:szCs w:val="24"/>
        </w:rPr>
        <w:t>The publication and promotion of the ITU-R products (such as Radio Regulations, Recommendations, Reports, and Handbooks).</w:t>
      </w:r>
    </w:p>
    <w:p w:rsidR="0050743A" w:rsidRPr="00EC1A96" w:rsidRDefault="0050743A" w:rsidP="0050743A">
      <w:pPr>
        <w:numPr>
          <w:ilvl w:val="0"/>
          <w:numId w:val="2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284" w:firstLine="0"/>
        <w:textAlignment w:val="auto"/>
        <w:rPr>
          <w:rFonts w:asciiTheme="majorBidi" w:eastAsia="SimSun" w:hAnsiTheme="majorBidi" w:cstheme="majorBidi"/>
          <w:szCs w:val="24"/>
          <w:lang w:eastAsia="zh-CN"/>
        </w:rPr>
      </w:pPr>
      <w:r w:rsidRPr="00EC1A96">
        <w:rPr>
          <w:rFonts w:asciiTheme="majorBidi" w:eastAsia="Calibri" w:hAnsiTheme="majorBidi" w:cstheme="majorBidi"/>
          <w:szCs w:val="24"/>
        </w:rPr>
        <w:t>In close cooperation with the other Sectors, the ITU regional offices, the relevant regional organizations, and the membership,</w:t>
      </w:r>
      <w:r w:rsidRPr="00EC1A96">
        <w:rPr>
          <w:rFonts w:asciiTheme="majorBidi" w:eastAsia="SimSun" w:hAnsiTheme="majorBidi" w:cstheme="majorBidi"/>
          <w:szCs w:val="24"/>
          <w:lang w:eastAsia="zh-CN"/>
        </w:rPr>
        <w:t xml:space="preserve"> </w:t>
      </w:r>
    </w:p>
    <w:p w:rsidR="0050743A" w:rsidRPr="00EC1A96" w:rsidRDefault="0050743A" w:rsidP="0050743A">
      <w:pPr>
        <w:numPr>
          <w:ilvl w:val="1"/>
          <w:numId w:val="2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ind w:left="1134" w:hanging="425"/>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 xml:space="preserve">The dissemination and sharing of information, including Worldwide and Regional </w:t>
      </w:r>
      <w:proofErr w:type="spellStart"/>
      <w:r w:rsidRPr="00EC1A96">
        <w:rPr>
          <w:rFonts w:asciiTheme="majorBidi" w:eastAsia="SimSun" w:hAnsiTheme="majorBidi" w:cstheme="majorBidi"/>
          <w:szCs w:val="24"/>
          <w:lang w:eastAsia="zh-CN"/>
        </w:rPr>
        <w:t>Radiocommunication</w:t>
      </w:r>
      <w:proofErr w:type="spellEnd"/>
      <w:r w:rsidRPr="00EC1A96">
        <w:rPr>
          <w:rFonts w:asciiTheme="majorBidi" w:eastAsia="SimSun" w:hAnsiTheme="majorBidi" w:cstheme="majorBidi"/>
          <w:szCs w:val="24"/>
          <w:lang w:eastAsia="zh-CN"/>
        </w:rPr>
        <w:t xml:space="preserve"> seminars, conferences, workshops and other events.</w:t>
      </w:r>
    </w:p>
    <w:p w:rsidR="0050743A" w:rsidRPr="00EC1A96" w:rsidRDefault="0050743A" w:rsidP="0050743A">
      <w:pPr>
        <w:numPr>
          <w:ilvl w:val="1"/>
          <w:numId w:val="2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0" w:after="120"/>
        <w:ind w:left="1134" w:hanging="425"/>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lastRenderedPageBreak/>
        <w:t xml:space="preserve">The assistance to the membership in facing the challenges raised by the development of their </w:t>
      </w:r>
      <w:proofErr w:type="spellStart"/>
      <w:r w:rsidRPr="00EC1A96">
        <w:rPr>
          <w:rFonts w:asciiTheme="majorBidi" w:eastAsia="SimSun" w:hAnsiTheme="majorBidi" w:cstheme="majorBidi"/>
          <w:szCs w:val="24"/>
          <w:lang w:eastAsia="zh-CN"/>
        </w:rPr>
        <w:t>radiocommunication</w:t>
      </w:r>
      <w:proofErr w:type="spellEnd"/>
      <w:r w:rsidRPr="00EC1A96">
        <w:rPr>
          <w:rFonts w:asciiTheme="majorBidi" w:eastAsia="SimSun" w:hAnsiTheme="majorBidi" w:cstheme="majorBidi"/>
          <w:szCs w:val="24"/>
          <w:lang w:eastAsia="zh-CN"/>
        </w:rPr>
        <w:t xml:space="preserve"> services, in particular in relation to the transition to digital television broadcasting and the use of the digital dividend.</w:t>
      </w:r>
    </w:p>
    <w:p w:rsidR="0050743A" w:rsidRPr="00EC1A96" w:rsidRDefault="0050743A" w:rsidP="00BD0D55">
      <w:pPr>
        <w:pStyle w:val="Heading2"/>
        <w:rPr>
          <w:rFonts w:eastAsia="SimSun"/>
        </w:rPr>
      </w:pPr>
      <w:r w:rsidRPr="00EC1A96">
        <w:rPr>
          <w:rFonts w:eastAsia="SimSun"/>
        </w:rPr>
        <w:t>2.5</w:t>
      </w:r>
      <w:r w:rsidRPr="00EC1A96">
        <w:rPr>
          <w:rFonts w:eastAsia="SimSun"/>
        </w:rPr>
        <w:tab/>
        <w:t xml:space="preserve">Supporting activities of the </w:t>
      </w:r>
      <w:proofErr w:type="spellStart"/>
      <w:r w:rsidRPr="00EC1A96">
        <w:rPr>
          <w:rFonts w:eastAsia="SimSun"/>
        </w:rPr>
        <w:t>Radiocommunication</w:t>
      </w:r>
      <w:proofErr w:type="spellEnd"/>
      <w:r w:rsidRPr="00EC1A96">
        <w:rPr>
          <w:rFonts w:eastAsia="SimSun"/>
        </w:rPr>
        <w:t xml:space="preserve"> Bureau</w:t>
      </w:r>
    </w:p>
    <w:p w:rsidR="0050743A" w:rsidRPr="00EC1A96"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continuing development, improvement, and maintenance of the BR software tools, with a view to maintaining a high level of efficiency, reliability, user-friendliness, and satisfaction of the membership.</w:t>
      </w:r>
    </w:p>
    <w:p w:rsidR="0050743A" w:rsidRPr="00EC1A96"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logistical and administrative support to ITU-R Study groups and the participation in the related activities of the regional groups.</w:t>
      </w:r>
    </w:p>
    <w:p w:rsidR="0050743A" w:rsidRPr="0050743A"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assistance to membership, in close collaboration with the other Bureaux, the ITU regional offices, and the regional organizations.</w:t>
      </w:r>
    </w:p>
    <w:p w:rsidR="0050743A" w:rsidRDefault="0050743A" w:rsidP="0050743A">
      <w:pPr>
        <w:sectPr w:rsidR="0050743A" w:rsidSect="0050743A">
          <w:pgSz w:w="11907" w:h="16834"/>
          <w:pgMar w:top="1418" w:right="1134" w:bottom="1418" w:left="1134" w:header="720" w:footer="720" w:gutter="0"/>
          <w:paperSrc w:first="15" w:other="15"/>
          <w:cols w:space="720"/>
          <w:docGrid w:linePitch="326"/>
        </w:sectPr>
      </w:pPr>
    </w:p>
    <w:p w:rsidR="0050743A" w:rsidRPr="00EC1A96" w:rsidRDefault="0050743A" w:rsidP="00BD0D55">
      <w:pPr>
        <w:pStyle w:val="Heading1"/>
        <w:rPr>
          <w:rFonts w:eastAsiaTheme="majorEastAsia"/>
        </w:rPr>
      </w:pPr>
      <w:r w:rsidRPr="00EC1A96">
        <w:rPr>
          <w:rFonts w:eastAsiaTheme="majorEastAsia"/>
        </w:rPr>
        <w:lastRenderedPageBreak/>
        <w:t>3</w:t>
      </w:r>
      <w:r w:rsidRPr="00EC1A96">
        <w:rPr>
          <w:rFonts w:eastAsiaTheme="majorEastAsia"/>
        </w:rPr>
        <w:tab/>
        <w:t>Objectives, outcomes and outputs</w:t>
      </w:r>
    </w:p>
    <w:p w:rsidR="0050743A" w:rsidRDefault="0050743A" w:rsidP="00BD0D55">
      <w:pPr>
        <w:pStyle w:val="Heading2"/>
        <w:rPr>
          <w:rFonts w:eastAsia="SimSun"/>
        </w:rPr>
      </w:pPr>
      <w:r w:rsidRPr="004F743F">
        <w:rPr>
          <w:rFonts w:eastAsia="SimSun"/>
        </w:rPr>
        <w:t>3.1</w:t>
      </w:r>
      <w:r w:rsidRPr="004F743F">
        <w:rPr>
          <w:rFonts w:eastAsia="SimSun"/>
        </w:rPr>
        <w:tab/>
      </w:r>
      <w:r w:rsidRPr="004F743F">
        <w:rPr>
          <w:rFonts w:eastAsia="SimSun"/>
        </w:rPr>
        <w:tab/>
        <w:t>Allocation of resources to ITU-R objectives and outputs for 2020-2021</w:t>
      </w:r>
    </w:p>
    <w:p w:rsidR="00BD0D55" w:rsidRPr="00BD0D55" w:rsidRDefault="00BD0D55" w:rsidP="00BD0D55">
      <w:pPr>
        <w:rPr>
          <w:rFonts w:eastAsia="SimSun"/>
        </w:rPr>
      </w:pP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50743A" w:rsidRPr="004F743F" w:rsidTr="0050743A">
        <w:tc>
          <w:tcPr>
            <w:cnfStyle w:val="001000000000" w:firstRow="0" w:lastRow="0" w:firstColumn="1" w:lastColumn="0" w:oddVBand="0" w:evenVBand="0" w:oddHBand="0" w:evenHBand="0" w:firstRowFirstColumn="0" w:firstRowLastColumn="0" w:lastRowFirstColumn="0" w:lastRowLastColumn="0"/>
            <w:tcW w:w="7806" w:type="dxa"/>
            <w:gridSpan w:val="2"/>
          </w:tcPr>
          <w:p w:rsidR="0050743A" w:rsidRPr="004F743F" w:rsidRDefault="0050743A" w:rsidP="0050743A">
            <w:pPr>
              <w:overflowPunct/>
              <w:autoSpaceDE/>
              <w:autoSpaceDN/>
              <w:adjustRightInd/>
              <w:spacing w:before="0"/>
              <w:jc w:val="both"/>
              <w:textAlignment w:val="auto"/>
              <w:rPr>
                <w:rFonts w:asciiTheme="majorBidi" w:hAnsiTheme="majorBidi" w:cstheme="majorBidi"/>
                <w:sz w:val="22"/>
              </w:rPr>
            </w:pPr>
            <w:r w:rsidRPr="004F743F">
              <w:rPr>
                <w:rFonts w:asciiTheme="majorBidi" w:hAnsiTheme="majorBidi" w:cstheme="majorBidi"/>
                <w:noProof/>
                <w:sz w:val="22"/>
                <w:lang w:eastAsia="zh-CN"/>
              </w:rPr>
              <w:drawing>
                <wp:inline distT="0" distB="0" distL="0" distR="0" wp14:anchorId="297C43F7" wp14:editId="1F48146D">
                  <wp:extent cx="4276725" cy="2419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10" w:type="dxa"/>
            <w:vMerge w:val="restart"/>
            <w:tcBorders>
              <w:bottom w:val="single" w:sz="4" w:space="0" w:color="auto"/>
            </w:tcBorders>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Cs w:val="24"/>
                <w:lang w:eastAsia="zh-CN"/>
              </w:rPr>
            </w:pPr>
            <w:r w:rsidRPr="004F743F">
              <w:rPr>
                <w:rFonts w:asciiTheme="majorBidi" w:hAnsiTheme="majorBidi" w:cstheme="majorBidi"/>
                <w:noProof/>
                <w:color w:val="5B9BD5"/>
                <w:szCs w:val="24"/>
                <w:lang w:eastAsia="zh-CN"/>
              </w:rPr>
              <w:t>Planned allocation of resources per Output</w:t>
            </w:r>
          </w:p>
          <w:p w:rsidR="0050743A" w:rsidRPr="004F743F" w:rsidRDefault="0050743A" w:rsidP="0050743A">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b/>
                <w:bCs/>
                <w:noProof/>
                <w:color w:val="5B9BD5"/>
                <w:szCs w:val="24"/>
                <w:lang w:eastAsia="zh-CN"/>
              </w:rPr>
              <w:br/>
            </w:r>
            <w:r w:rsidRPr="004F743F">
              <w:rPr>
                <w:rFonts w:asciiTheme="majorBidi" w:hAnsiTheme="majorBidi" w:cstheme="majorBidi"/>
                <w:sz w:val="22"/>
              </w:rPr>
              <w:br/>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R.1-1</w:t>
            </w:r>
            <w:r w:rsidRPr="004F743F">
              <w:rPr>
                <w:rFonts w:asciiTheme="majorBidi" w:hAnsiTheme="majorBidi" w:cstheme="majorBidi"/>
                <w:sz w:val="22"/>
              </w:rPr>
              <w:t xml:space="preserve"> Final acts of world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conferences, updated Radio Regulations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R.1-2</w:t>
            </w:r>
            <w:r w:rsidRPr="004F743F">
              <w:rPr>
                <w:rFonts w:asciiTheme="majorBidi" w:hAnsiTheme="majorBidi" w:cstheme="majorBidi"/>
                <w:sz w:val="22"/>
              </w:rPr>
              <w:t xml:space="preserve"> Final acts of regional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conferences, regional agreements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R.1-3</w:t>
            </w:r>
            <w:r w:rsidRPr="004F743F">
              <w:rPr>
                <w:rFonts w:asciiTheme="majorBidi" w:hAnsiTheme="majorBidi" w:cstheme="majorBidi"/>
                <w:sz w:val="22"/>
              </w:rPr>
              <w:t xml:space="preserve"> Rules of Procedure adopted by Radio Regulations Board (RRB) </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R.1-4</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space notices and other related activities</w:t>
            </w:r>
          </w:p>
          <w:p w:rsidR="0050743A" w:rsidRPr="004F743F" w:rsidRDefault="0050743A" w:rsidP="0050743A">
            <w:pPr>
              <w:pBdr>
                <w:bottom w:val="single" w:sz="4"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R.1-5</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terrestrial notices and other related activities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R.2-1</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 xml:space="preserve">Decisions of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Assembly, ITU-R resolutions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R.2-2</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ITU-R recommendations, reports (including the CPM report) and handbooks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R.2-3</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 xml:space="preserve">Advice from the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Advisory Group</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R.3-1 </w:t>
            </w:r>
            <w:r w:rsidRPr="004F743F">
              <w:rPr>
                <w:rFonts w:asciiTheme="majorBidi" w:hAnsiTheme="majorBidi" w:cstheme="majorBidi"/>
                <w:sz w:val="22"/>
              </w:rPr>
              <w:t>ITU-R publications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R.3-2 </w:t>
            </w:r>
            <w:r w:rsidRPr="004F743F">
              <w:rPr>
                <w:rFonts w:asciiTheme="majorBidi" w:hAnsiTheme="majorBidi" w:cstheme="majorBidi"/>
                <w:sz w:val="22"/>
              </w:rPr>
              <w:t>Assistance to members, in particular developing countries and LDCs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R.3-3 </w:t>
            </w:r>
            <w:r w:rsidRPr="004F743F">
              <w:rPr>
                <w:rFonts w:asciiTheme="majorBidi" w:hAnsiTheme="majorBidi" w:cstheme="majorBidi"/>
                <w:sz w:val="22"/>
              </w:rPr>
              <w:t>Liaison/support to development activities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R.3-4 </w:t>
            </w:r>
            <w:r w:rsidRPr="004F743F">
              <w:rPr>
                <w:rFonts w:asciiTheme="majorBidi" w:hAnsiTheme="majorBidi" w:cstheme="majorBidi"/>
                <w:sz w:val="22"/>
              </w:rPr>
              <w:t>Seminars, workshops and other events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c>
          <w:tcPr>
            <w:tcW w:w="976" w:type="dxa"/>
            <w:vMerge w:val="restart"/>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50743A" w:rsidRPr="004F743F" w:rsidRDefault="0050743A" w:rsidP="0050743A">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48DD4" w:themeColor="text2" w:themeTint="99"/>
                <w:sz w:val="22"/>
              </w:rPr>
            </w:pPr>
            <w:r w:rsidRPr="004F743F">
              <w:rPr>
                <w:rFonts w:asciiTheme="majorBidi" w:hAnsiTheme="majorBidi" w:cstheme="majorBidi"/>
                <w:b/>
                <w:bCs/>
                <w:noProof/>
                <w:color w:val="548DD4" w:themeColor="text2" w:themeTint="99"/>
                <w:sz w:val="22"/>
                <w:lang w:eastAsia="zh-CN"/>
              </w:rPr>
              <w:br/>
            </w:r>
            <w:r w:rsidRPr="004F743F">
              <w:rPr>
                <w:rFonts w:asciiTheme="majorBidi" w:hAnsiTheme="majorBidi" w:cstheme="majorBidi"/>
                <w:b/>
                <w:bCs/>
                <w:color w:val="548DD4" w:themeColor="text2" w:themeTint="99"/>
                <w:sz w:val="22"/>
              </w:rPr>
              <w:t>% of total</w:t>
            </w:r>
          </w:p>
          <w:p w:rsidR="0050743A" w:rsidRPr="004F743F" w:rsidRDefault="0050743A" w:rsidP="006D0840">
            <w:pPr>
              <w:overflowPunct/>
              <w:autoSpaceDE/>
              <w:autoSpaceDN/>
              <w:adjustRightInd/>
              <w:spacing w:before="6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3%</w:t>
            </w:r>
            <w:r w:rsidRPr="004F743F">
              <w:rPr>
                <w:rFonts w:asciiTheme="majorBidi" w:hAnsiTheme="majorBidi" w:cstheme="majorBidi"/>
                <w:sz w:val="22"/>
              </w:rPr>
              <w:br/>
            </w:r>
            <w:r w:rsidRPr="004F743F">
              <w:rPr>
                <w:rFonts w:asciiTheme="majorBidi" w:hAnsiTheme="majorBidi" w:cstheme="majorBidi"/>
                <w:sz w:val="22"/>
              </w:rPr>
              <w:br/>
              <w:t>1%</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4%</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35%</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17%</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50743A" w:rsidRPr="004F743F"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w:t>
            </w:r>
            <w:r w:rsidRPr="004F743F">
              <w:rPr>
                <w:rFonts w:asciiTheme="majorBidi" w:hAnsiTheme="majorBidi" w:cstheme="majorBidi"/>
                <w:sz w:val="22"/>
              </w:rPr>
              <w:br/>
            </w:r>
          </w:p>
          <w:p w:rsidR="0050743A" w:rsidRPr="004F743F"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10%</w:t>
            </w:r>
            <w:r w:rsidRPr="004F743F">
              <w:rPr>
                <w:rFonts w:asciiTheme="majorBidi" w:hAnsiTheme="majorBidi" w:cstheme="majorBidi"/>
                <w:sz w:val="22"/>
              </w:rPr>
              <w:br/>
            </w:r>
          </w:p>
          <w:p w:rsidR="0050743A"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4F743F" w:rsidRPr="004F743F" w:rsidRDefault="004F743F"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11%</w:t>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r w:rsidRPr="004F743F">
              <w:rPr>
                <w:rFonts w:asciiTheme="majorBidi" w:hAnsiTheme="majorBidi" w:cstheme="majorBidi"/>
                <w:sz w:val="22"/>
              </w:rPr>
              <w:br/>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p>
          <w:p w:rsidR="0050743A" w:rsidRPr="004F743F" w:rsidRDefault="0050743A" w:rsidP="0050743A">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34" w:type="dxa"/>
            <w:vMerge w:val="restart"/>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50743A" w:rsidRPr="004F743F" w:rsidRDefault="0050743A" w:rsidP="0050743A">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br/>
            </w:r>
            <w:r w:rsidRPr="004F743F">
              <w:rPr>
                <w:rFonts w:asciiTheme="majorBidi" w:hAnsiTheme="majorBidi" w:cstheme="majorBidi"/>
                <w:b/>
                <w:bCs/>
                <w:noProof/>
                <w:color w:val="548DD4" w:themeColor="text2" w:themeTint="99"/>
                <w:sz w:val="22"/>
                <w:lang w:eastAsia="zh-CN"/>
              </w:rPr>
              <w:t>% of objective</w:t>
            </w:r>
          </w:p>
          <w:p w:rsidR="0050743A" w:rsidRPr="004F743F" w:rsidRDefault="006D0840" w:rsidP="006D0840">
            <w:pPr>
              <w:overflowPunct/>
              <w:autoSpaceDE/>
              <w:autoSpaceDN/>
              <w:adjustRightInd/>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6D0840">
              <w:rPr>
                <w:rFonts w:asciiTheme="majorBidi" w:hAnsiTheme="majorBidi" w:cstheme="majorBidi"/>
                <w:b/>
                <w:bCs/>
                <w:sz w:val="8"/>
                <w:szCs w:val="8"/>
              </w:rPr>
              <w:br/>
            </w:r>
            <w:r w:rsidR="0050743A" w:rsidRPr="004F743F">
              <w:rPr>
                <w:rFonts w:asciiTheme="majorBidi" w:hAnsiTheme="majorBidi" w:cstheme="majorBidi"/>
                <w:b/>
                <w:bCs/>
                <w:sz w:val="22"/>
              </w:rPr>
              <w:t>4%</w:t>
            </w:r>
            <w:r w:rsidR="0050743A" w:rsidRPr="004F743F">
              <w:rPr>
                <w:rFonts w:asciiTheme="majorBidi" w:hAnsiTheme="majorBidi" w:cstheme="majorBidi"/>
                <w:b/>
                <w:bCs/>
                <w:sz w:val="22"/>
              </w:rPr>
              <w:br/>
            </w:r>
            <w:r w:rsidR="0050743A" w:rsidRPr="004F743F">
              <w:rPr>
                <w:rFonts w:asciiTheme="majorBidi" w:hAnsiTheme="majorBidi" w:cstheme="majorBidi"/>
                <w:b/>
                <w:bCs/>
                <w:sz w:val="22"/>
              </w:rPr>
              <w:br/>
              <w:t>2%</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7%</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59%</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28%</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r w:rsidRPr="004F743F">
              <w:rPr>
                <w:rFonts w:asciiTheme="majorBidi" w:hAnsiTheme="majorBidi" w:cstheme="majorBidi"/>
                <w:b/>
                <w:bCs/>
                <w:sz w:val="22"/>
              </w:rPr>
              <w:br/>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73%</w:t>
            </w:r>
            <w:r w:rsidRPr="004F743F">
              <w:rPr>
                <w:rFonts w:asciiTheme="majorBidi" w:hAnsiTheme="majorBidi" w:cstheme="majorBidi"/>
                <w:b/>
                <w:bCs/>
                <w:sz w:val="22"/>
              </w:rPr>
              <w:br/>
            </w:r>
          </w:p>
          <w:p w:rsidR="0050743A" w:rsidRDefault="0050743A" w:rsidP="0050743A">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18%</w:t>
            </w:r>
          </w:p>
          <w:p w:rsidR="004F743F" w:rsidRPr="004F743F" w:rsidRDefault="004F743F" w:rsidP="0050743A">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39%</w:t>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r w:rsidRPr="004F743F">
              <w:rPr>
                <w:rFonts w:asciiTheme="majorBidi" w:hAnsiTheme="majorBidi" w:cstheme="majorBidi"/>
                <w:b/>
                <w:bCs/>
                <w:sz w:val="22"/>
              </w:rPr>
              <w:br/>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p>
          <w:p w:rsidR="0050743A" w:rsidRPr="004F743F" w:rsidRDefault="0050743A" w:rsidP="0050743A">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r>
      <w:tr w:rsidR="0050743A" w:rsidRPr="004F743F" w:rsidTr="0050743A">
        <w:tc>
          <w:tcPr>
            <w:cnfStyle w:val="001000000000" w:firstRow="0" w:lastRow="0" w:firstColumn="1" w:lastColumn="0" w:oddVBand="0" w:evenVBand="0" w:oddHBand="0" w:evenHBand="0" w:firstRowFirstColumn="0" w:firstRowLastColumn="0" w:lastRowFirstColumn="0" w:lastRowLastColumn="0"/>
            <w:tcW w:w="6487" w:type="dxa"/>
          </w:tcPr>
          <w:p w:rsidR="0050743A" w:rsidRPr="004F743F" w:rsidRDefault="0050743A" w:rsidP="0050743A">
            <w:pPr>
              <w:overflowPunct/>
              <w:autoSpaceDE/>
              <w:autoSpaceDN/>
              <w:adjustRightInd/>
              <w:spacing w:before="0" w:after="40"/>
              <w:textAlignment w:val="auto"/>
              <w:rPr>
                <w:rFonts w:asciiTheme="majorBidi" w:hAnsiTheme="majorBidi" w:cstheme="majorBidi"/>
                <w:noProof/>
                <w:color w:val="5B9BD5"/>
                <w:sz w:val="22"/>
                <w:lang w:eastAsia="zh-CN"/>
              </w:rPr>
            </w:pP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R.1 </w:t>
            </w:r>
            <w:r w:rsidRPr="004F743F">
              <w:rPr>
                <w:rFonts w:asciiTheme="majorBidi" w:hAnsiTheme="majorBidi" w:cstheme="majorBidi"/>
                <w:b w:val="0"/>
                <w:noProof/>
                <w:sz w:val="22"/>
                <w:lang w:eastAsia="zh-CN"/>
              </w:rPr>
              <w:t>Spectrum/orbit regulation and management</w:t>
            </w: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R.2 </w:t>
            </w:r>
            <w:r w:rsidRPr="004F743F">
              <w:rPr>
                <w:rFonts w:asciiTheme="majorBidi" w:hAnsiTheme="majorBidi" w:cstheme="majorBidi"/>
                <w:b w:val="0"/>
                <w:noProof/>
                <w:sz w:val="22"/>
                <w:lang w:eastAsia="zh-CN"/>
              </w:rPr>
              <w:t>Radiocommunication standards</w:t>
            </w: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R.3 </w:t>
            </w:r>
            <w:r w:rsidRPr="004F743F">
              <w:rPr>
                <w:rFonts w:asciiTheme="majorBidi" w:hAnsiTheme="majorBidi" w:cstheme="majorBidi"/>
                <w:b w:val="0"/>
                <w:noProof/>
                <w:sz w:val="22"/>
                <w:lang w:eastAsia="zh-CN"/>
              </w:rPr>
              <w:t>Knowledge sharing</w:t>
            </w:r>
          </w:p>
        </w:tc>
        <w:tc>
          <w:tcPr>
            <w:tcW w:w="1319" w:type="dxa"/>
          </w:tcPr>
          <w:p w:rsidR="0050743A" w:rsidRPr="004F743F" w:rsidRDefault="0050743A" w:rsidP="0050743A">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 w:val="22"/>
                <w:lang w:eastAsia="zh-CN"/>
              </w:rPr>
            </w:pP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60%</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13%</w:t>
            </w:r>
          </w:p>
          <w:p w:rsidR="0050743A" w:rsidRPr="004F743F" w:rsidRDefault="0050743A" w:rsidP="0050743A">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27%</w:t>
            </w:r>
          </w:p>
        </w:tc>
        <w:tc>
          <w:tcPr>
            <w:tcW w:w="5110" w:type="dxa"/>
            <w:vMerge/>
            <w:tcBorders>
              <w:bottom w:val="single" w:sz="4" w:space="0" w:color="auto"/>
            </w:tcBorders>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976" w:type="dxa"/>
            <w:vMerge/>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1134" w:type="dxa"/>
            <w:vMerge/>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r>
    </w:tbl>
    <w:p w:rsidR="0050743A" w:rsidRPr="00EC1A96" w:rsidRDefault="0050743A" w:rsidP="006D0840">
      <w:pPr>
        <w:overflowPunct/>
        <w:autoSpaceDE/>
        <w:autoSpaceDN/>
        <w:adjustRightInd/>
        <w:spacing w:before="0" w:after="160" w:line="259" w:lineRule="auto"/>
        <w:jc w:val="right"/>
        <w:textAlignment w:val="auto"/>
        <w:rPr>
          <w:rFonts w:asciiTheme="majorBidi" w:eastAsia="Calibri" w:hAnsiTheme="majorBidi" w:cstheme="majorBidi"/>
          <w:i/>
          <w:iCs/>
          <w:sz w:val="20"/>
        </w:rPr>
      </w:pPr>
      <w:r w:rsidRPr="004F743F">
        <w:rPr>
          <w:rFonts w:asciiTheme="majorBidi" w:eastAsia="Calibri" w:hAnsiTheme="majorBidi" w:cstheme="majorBidi"/>
          <w:sz w:val="22"/>
          <w:szCs w:val="22"/>
        </w:rPr>
        <w:t xml:space="preserve">* </w:t>
      </w:r>
      <w:r w:rsidRPr="004F743F">
        <w:rPr>
          <w:rFonts w:asciiTheme="majorBidi" w:eastAsia="Calibri" w:hAnsiTheme="majorBidi" w:cstheme="majorBidi"/>
          <w:i/>
          <w:iCs/>
          <w:sz w:val="22"/>
          <w:szCs w:val="22"/>
        </w:rPr>
        <w:t>Cost of these Outputs is allocated to all the Objectives of the Union.</w:t>
      </w:r>
    </w:p>
    <w:p w:rsidR="0050743A" w:rsidRDefault="0050743A" w:rsidP="0050743A">
      <w:pPr>
        <w:sectPr w:rsidR="0050743A" w:rsidSect="0050743A">
          <w:headerReference w:type="default"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pPr>
    </w:p>
    <w:p w:rsidR="00E074E6" w:rsidRPr="002246DF" w:rsidRDefault="00E074E6" w:rsidP="00E074E6">
      <w:pPr>
        <w:keepNext/>
        <w:keepLines/>
        <w:overflowPunct/>
        <w:autoSpaceDE/>
        <w:autoSpaceDN/>
        <w:adjustRightInd/>
        <w:snapToGrid w:val="0"/>
        <w:spacing w:before="0" w:after="120"/>
        <w:jc w:val="both"/>
        <w:textAlignment w:val="auto"/>
        <w:outlineLvl w:val="0"/>
        <w:rPr>
          <w:rFonts w:asciiTheme="majorBidi" w:eastAsia="SimSun" w:hAnsiTheme="majorBidi" w:cstheme="majorBidi"/>
          <w:b/>
          <w:bCs/>
          <w:szCs w:val="24"/>
        </w:rPr>
      </w:pPr>
      <w:r w:rsidRPr="002246DF">
        <w:rPr>
          <w:rFonts w:asciiTheme="majorBidi" w:eastAsia="SimSun" w:hAnsiTheme="majorBidi" w:cstheme="majorBidi"/>
          <w:b/>
          <w:bCs/>
          <w:szCs w:val="24"/>
        </w:rPr>
        <w:lastRenderedPageBreak/>
        <w:t>4</w:t>
      </w:r>
      <w:r w:rsidRPr="002246DF">
        <w:rPr>
          <w:rFonts w:asciiTheme="majorBidi" w:eastAsia="SimSun" w:hAnsiTheme="majorBidi" w:cstheme="majorBidi"/>
          <w:b/>
          <w:bCs/>
          <w:szCs w:val="24"/>
        </w:rPr>
        <w:tab/>
        <w:t>Risk analysis</w:t>
      </w:r>
    </w:p>
    <w:p w:rsidR="00E074E6" w:rsidRPr="002246DF" w:rsidRDefault="00E074E6" w:rsidP="00E074E6">
      <w:pPr>
        <w:snapToGrid w:val="0"/>
        <w:spacing w:after="360"/>
        <w:rPr>
          <w:rFonts w:asciiTheme="majorBidi" w:eastAsia="Calibri" w:hAnsiTheme="majorBidi" w:cstheme="majorBidi"/>
          <w:sz w:val="22"/>
          <w:szCs w:val="22"/>
        </w:rPr>
      </w:pPr>
      <w:r w:rsidRPr="002246DF">
        <w:rPr>
          <w:rFonts w:asciiTheme="majorBidi" w:eastAsia="Calibri" w:hAnsiTheme="majorBidi" w:cstheme="majorBid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2296"/>
        <w:gridCol w:w="3921"/>
        <w:gridCol w:w="1757"/>
        <w:gridCol w:w="1207"/>
        <w:gridCol w:w="5556"/>
      </w:tblGrid>
      <w:tr w:rsidR="00E074E6" w:rsidRPr="00825210" w:rsidTr="0090491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E074E6" w:rsidRPr="00825210" w:rsidRDefault="00E074E6" w:rsidP="0090491D">
            <w:pPr>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1"/>
            </w:r>
          </w:p>
        </w:tc>
      </w:tr>
      <w:tr w:rsidR="00E074E6" w:rsidRPr="00825210" w:rsidTr="0090491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center"/>
              <w:rPr>
                <w:rFonts w:cs="Calibri"/>
                <w:sz w:val="22"/>
              </w:rPr>
            </w:pPr>
            <w:r w:rsidRPr="00825210">
              <w:rPr>
                <w:rFonts w:cs="Calibri"/>
                <w:sz w:val="22"/>
              </w:rPr>
              <w:t xml:space="preserve">OPERATIONAL </w:t>
            </w:r>
          </w:p>
          <w:p w:rsidR="00E074E6" w:rsidRPr="00825210" w:rsidRDefault="00E074E6" w:rsidP="0090491D">
            <w:pPr>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8"/>
              </w:numPr>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rsidR="00E074E6" w:rsidRPr="00825210" w:rsidRDefault="00E074E6" w:rsidP="00E074E6">
            <w:pPr>
              <w:numPr>
                <w:ilvl w:val="0"/>
                <w:numId w:val="28"/>
              </w:numPr>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rsidR="00E074E6" w:rsidRPr="00825210" w:rsidRDefault="00E074E6" w:rsidP="00E074E6">
            <w:pPr>
              <w:numPr>
                <w:ilvl w:val="0"/>
                <w:numId w:val="29"/>
              </w:numPr>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E074E6" w:rsidRPr="00825210" w:rsidTr="0090491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E074E6" w:rsidRPr="00825210" w:rsidRDefault="00E074E6" w:rsidP="0090491D">
            <w:pPr>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074E6" w:rsidRPr="00825210" w:rsidRDefault="00E074E6" w:rsidP="00E074E6">
            <w:pPr>
              <w:numPr>
                <w:ilvl w:val="0"/>
                <w:numId w:val="28"/>
              </w:numPr>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w:t>
            </w:r>
            <w:proofErr w:type="spellStart"/>
            <w:r w:rsidRPr="00825210">
              <w:rPr>
                <w:sz w:val="20"/>
              </w:rPr>
              <w:t>radiocommunication</w:t>
            </w:r>
            <w:proofErr w:type="spellEnd"/>
            <w:r w:rsidRPr="00825210">
              <w:rPr>
                <w:sz w:val="20"/>
              </w:rPr>
              <w:t xml:space="preserve"> services provided by the membership. </w:t>
            </w:r>
          </w:p>
          <w:p w:rsidR="00E074E6" w:rsidRPr="00825210" w:rsidRDefault="00E074E6" w:rsidP="0090491D">
            <w:pPr>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rsidR="00E074E6" w:rsidRPr="00825210" w:rsidRDefault="00E074E6" w:rsidP="00C3371B">
            <w:pPr>
              <w:numPr>
                <w:ilvl w:val="0"/>
                <w:numId w:val="29"/>
              </w:numPr>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w:t>
            </w:r>
            <w:r w:rsidR="00C3371B">
              <w:rPr>
                <w:rFonts w:cs="Calibri"/>
                <w:bCs/>
                <w:sz w:val="20"/>
              </w:rPr>
              <w:t>Rev. Dubai 2018</w:t>
            </w:r>
            <w:r w:rsidRPr="00825210">
              <w:rPr>
                <w:rFonts w:cs="Calibri"/>
                <w:bCs/>
                <w:sz w:val="20"/>
              </w:rPr>
              <w:t>)</w:t>
            </w:r>
          </w:p>
        </w:tc>
      </w:tr>
      <w:tr w:rsidR="00E074E6" w:rsidRPr="00825210" w:rsidTr="0090491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rsidR="00E074E6" w:rsidRPr="00825210" w:rsidRDefault="00E074E6" w:rsidP="0090491D">
            <w:pPr>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rsidR="00E074E6" w:rsidRPr="00825210" w:rsidRDefault="00E074E6" w:rsidP="00E074E6">
            <w:pPr>
              <w:numPr>
                <w:ilvl w:val="0"/>
                <w:numId w:val="29"/>
              </w:numPr>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rsidR="004238CF" w:rsidRPr="00FA2CA9" w:rsidRDefault="00E074E6" w:rsidP="00BD0D55">
      <w:pPr>
        <w:pStyle w:val="Heading1"/>
        <w:rPr>
          <w:rFonts w:eastAsia="SimSun"/>
        </w:rPr>
      </w:pPr>
      <w:r>
        <w:rPr>
          <w:rFonts w:eastAsia="SimSun"/>
        </w:rPr>
        <w:lastRenderedPageBreak/>
        <w:t>5</w:t>
      </w:r>
      <w:r w:rsidR="004238CF" w:rsidRPr="00FA2CA9">
        <w:rPr>
          <w:rFonts w:eastAsia="SimSun"/>
        </w:rPr>
        <w:tab/>
        <w:t>Objectives, outcomes and outputs for 2020-2023</w:t>
      </w:r>
    </w:p>
    <w:p w:rsidR="004238CF" w:rsidRPr="00FA2CA9" w:rsidRDefault="004238CF" w:rsidP="004238CF">
      <w:pPr>
        <w:snapToGrid w:val="0"/>
        <w:spacing w:after="120"/>
        <w:rPr>
          <w:rFonts w:asciiTheme="majorBidi" w:eastAsia="Calibri" w:hAnsiTheme="majorBidi" w:cstheme="majorBidi"/>
          <w:sz w:val="22"/>
          <w:szCs w:val="22"/>
        </w:rPr>
      </w:pPr>
      <w:r w:rsidRPr="00FA2CA9">
        <w:rPr>
          <w:rFonts w:asciiTheme="majorBidi" w:eastAsia="Calibri" w:hAnsiTheme="majorBidi" w:cstheme="majorBidi"/>
          <w:sz w:val="22"/>
          <w:szCs w:val="22"/>
        </w:rPr>
        <w:t>The objectives will be met by achieving the related outcomes, through the implementation of the outputs. Sector and inter-sectoral objectives, in the context of the remit of each Sector and the GS, contribute to the overarching goals of the Union.</w:t>
      </w:r>
    </w:p>
    <w:p w:rsidR="004238CF" w:rsidRPr="00BD0D55" w:rsidRDefault="00E074E6" w:rsidP="00BD0D55">
      <w:pPr>
        <w:pStyle w:val="Heading2"/>
        <w:rPr>
          <w:rFonts w:eastAsiaTheme="majorEastAsia"/>
        </w:rPr>
      </w:pPr>
      <w:r>
        <w:rPr>
          <w:rFonts w:eastAsiaTheme="majorEastAsia"/>
        </w:rPr>
        <w:t>5</w:t>
      </w:r>
      <w:r w:rsidR="004238CF" w:rsidRPr="00BD0D55">
        <w:rPr>
          <w:rFonts w:eastAsiaTheme="majorEastAsia"/>
        </w:rPr>
        <w:t>.1</w:t>
      </w:r>
      <w:r w:rsidR="004238CF" w:rsidRPr="00BD0D55">
        <w:rPr>
          <w:rFonts w:eastAsiaTheme="majorEastAsia"/>
        </w:rPr>
        <w:tab/>
        <w:t>ITU-R</w:t>
      </w:r>
    </w:p>
    <w:p w:rsidR="004238CF" w:rsidRPr="00284D56" w:rsidRDefault="004238CF" w:rsidP="008D3FED">
      <w:pPr>
        <w:rPr>
          <w:rFonts w:asciiTheme="majorBidi" w:eastAsiaTheme="majorEastAsia" w:hAnsiTheme="majorBidi" w:cstheme="majorBidi"/>
          <w:sz w:val="22"/>
          <w:szCs w:val="22"/>
        </w:rPr>
      </w:pPr>
      <w:r w:rsidRPr="00284D56">
        <w:rPr>
          <w:rFonts w:asciiTheme="majorBidi" w:eastAsiaTheme="majorEastAsia" w:hAnsiTheme="majorBidi" w:cstheme="majorBidi"/>
          <w:sz w:val="22"/>
          <w:szCs w:val="22"/>
        </w:rPr>
        <w:t>R.1 Meet, in a rational, equitable, efficient, economical, and timely way, the ITU membership's requirements for radio-frequency spectrum and satellite-orbit resources, while avoiding harmful interference.</w:t>
      </w:r>
    </w:p>
    <w:p w:rsidR="004238CF" w:rsidRPr="00B8119B" w:rsidRDefault="004238CF" w:rsidP="004238CF">
      <w:pPr>
        <w:overflowPunct/>
        <w:autoSpaceDE/>
        <w:autoSpaceDN/>
        <w:adjustRightInd/>
        <w:spacing w:before="0" w:after="160" w:line="259" w:lineRule="auto"/>
        <w:jc w:val="both"/>
        <w:textAlignment w:val="auto"/>
        <w:rPr>
          <w:rFonts w:eastAsia="Calibri" w:cs="Arial"/>
          <w:sz w:val="2"/>
          <w:szCs w:val="2"/>
        </w:rPr>
      </w:pPr>
    </w:p>
    <w:tbl>
      <w:tblPr>
        <w:tblW w:w="14318"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332"/>
        <w:gridCol w:w="4462"/>
        <w:gridCol w:w="822"/>
        <w:gridCol w:w="822"/>
        <w:gridCol w:w="822"/>
        <w:gridCol w:w="822"/>
        <w:gridCol w:w="823"/>
        <w:gridCol w:w="1413"/>
      </w:tblGrid>
      <w:tr w:rsidR="004238CF" w:rsidRPr="00284D56" w:rsidTr="004238CF">
        <w:trPr>
          <w:trHeight w:val="320"/>
          <w:tblHeader/>
          <w:jc w:val="center"/>
        </w:trPr>
        <w:tc>
          <w:tcPr>
            <w:tcW w:w="4332" w:type="dxa"/>
            <w:shd w:val="clear" w:color="auto" w:fill="5B9BD5"/>
            <w:noWrap/>
            <w:hideMark/>
          </w:tcPr>
          <w:p w:rsidR="004238CF" w:rsidRPr="00284D56" w:rsidRDefault="004238CF" w:rsidP="004238CF">
            <w:pPr>
              <w:jc w:val="center"/>
              <w:rPr>
                <w:rFonts w:asciiTheme="majorBidi" w:hAnsiTheme="majorBidi" w:cstheme="majorBidi"/>
                <w:b/>
                <w:bCs/>
                <w:color w:val="FFFFFF"/>
                <w:sz w:val="20"/>
                <w:lang w:eastAsia="fr-FR"/>
              </w:rPr>
            </w:pPr>
            <w:r w:rsidRPr="00284D56">
              <w:rPr>
                <w:rFonts w:asciiTheme="majorBidi" w:hAnsiTheme="majorBidi" w:cstheme="majorBidi"/>
                <w:b/>
                <w:bCs/>
                <w:color w:val="FFFFFF"/>
                <w:sz w:val="20"/>
              </w:rPr>
              <w:t>Outcome</w:t>
            </w:r>
          </w:p>
        </w:tc>
        <w:tc>
          <w:tcPr>
            <w:tcW w:w="446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Outcome Indicator</w:t>
            </w:r>
          </w:p>
        </w:tc>
        <w:tc>
          <w:tcPr>
            <w:tcW w:w="82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2015</w:t>
            </w:r>
          </w:p>
        </w:tc>
        <w:tc>
          <w:tcPr>
            <w:tcW w:w="82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2016</w:t>
            </w:r>
          </w:p>
        </w:tc>
        <w:tc>
          <w:tcPr>
            <w:tcW w:w="822" w:type="dxa"/>
            <w:shd w:val="clear" w:color="auto" w:fill="5B9BD5"/>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2017</w:t>
            </w:r>
          </w:p>
        </w:tc>
        <w:tc>
          <w:tcPr>
            <w:tcW w:w="822" w:type="dxa"/>
            <w:shd w:val="clear" w:color="auto" w:fill="5B9BD5"/>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2018</w:t>
            </w:r>
          </w:p>
        </w:tc>
        <w:tc>
          <w:tcPr>
            <w:tcW w:w="823"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2023 target</w:t>
            </w:r>
          </w:p>
        </w:tc>
        <w:tc>
          <w:tcPr>
            <w:tcW w:w="1413" w:type="dxa"/>
            <w:shd w:val="clear" w:color="auto" w:fill="5B9BD5"/>
            <w:noWrap/>
            <w:hideMark/>
          </w:tcPr>
          <w:p w:rsidR="004238CF" w:rsidRPr="00284D56" w:rsidRDefault="004238CF" w:rsidP="004238CF">
            <w:pPr>
              <w:rPr>
                <w:rFonts w:asciiTheme="majorBidi" w:hAnsiTheme="majorBidi" w:cstheme="majorBidi"/>
                <w:b/>
                <w:bCs/>
                <w:color w:val="FFFFFF"/>
                <w:sz w:val="20"/>
              </w:rPr>
            </w:pPr>
            <w:r w:rsidRPr="00284D56">
              <w:rPr>
                <w:rFonts w:asciiTheme="majorBidi" w:hAnsiTheme="majorBidi" w:cstheme="majorBidi"/>
                <w:b/>
                <w:bCs/>
                <w:color w:val="FFFFFF"/>
                <w:sz w:val="20"/>
              </w:rPr>
              <w:t xml:space="preserve">Source </w:t>
            </w:r>
          </w:p>
        </w:tc>
      </w:tr>
      <w:tr w:rsidR="004238CF" w:rsidRPr="00284D56" w:rsidTr="004238CF">
        <w:trPr>
          <w:trHeight w:val="320"/>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R.1-1</w:t>
            </w:r>
            <w:r w:rsidRPr="00284D56">
              <w:rPr>
                <w:rFonts w:asciiTheme="majorBidi" w:hAnsiTheme="majorBidi" w:cstheme="majorBidi"/>
                <w:sz w:val="20"/>
              </w:rPr>
              <w:t>: Increased number of countries having satellite networks and earth stations recorded in the Master International Frequency Register (MIFR)</w:t>
            </w: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Number of countries having satellite networks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52</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56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63</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69</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70</w:t>
            </w:r>
          </w:p>
        </w:tc>
        <w:tc>
          <w:tcPr>
            <w:tcW w:w="1413" w:type="dxa"/>
            <w:vMerge w:val="restart"/>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BR/MIFR</w:t>
            </w:r>
          </w:p>
        </w:tc>
      </w:tr>
      <w:tr w:rsidR="004238CF" w:rsidRPr="00284D56" w:rsidTr="004238CF">
        <w:trPr>
          <w:trHeight w:val="285"/>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Number of countries having earth stations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76</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77</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120</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345"/>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 xml:space="preserve">R.1-2: </w:t>
            </w:r>
            <w:r w:rsidRPr="00284D56">
              <w:rPr>
                <w:rFonts w:asciiTheme="majorBidi" w:hAnsiTheme="majorBidi" w:cstheme="majorBidi"/>
                <w:sz w:val="20"/>
              </w:rPr>
              <w:t>Increased number of countries having terrestrial frequency assignments recorded in the MIFR</w:t>
            </w:r>
          </w:p>
        </w:tc>
        <w:tc>
          <w:tcPr>
            <w:tcW w:w="4462" w:type="dxa"/>
            <w:hideMark/>
          </w:tcPr>
          <w:p w:rsidR="004238CF" w:rsidRPr="00284D56" w:rsidRDefault="004238CF" w:rsidP="004238CF">
            <w:pPr>
              <w:spacing w:after="60"/>
              <w:rPr>
                <w:rFonts w:asciiTheme="majorBidi" w:hAnsiTheme="majorBidi" w:cstheme="majorBidi"/>
                <w:b/>
                <w:bCs/>
                <w:color w:val="5B9BD5"/>
                <w:sz w:val="20"/>
              </w:rPr>
            </w:pPr>
            <w:r w:rsidRPr="00284D56">
              <w:rPr>
                <w:rFonts w:asciiTheme="majorBidi" w:hAnsiTheme="majorBidi" w:cstheme="majorBidi"/>
                <w:sz w:val="20"/>
              </w:rPr>
              <w:t>Number of countries having terrestrial frequency assignments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192</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193</w:t>
            </w:r>
          </w:p>
        </w:tc>
        <w:tc>
          <w:tcPr>
            <w:tcW w:w="1413" w:type="dxa"/>
            <w:vMerge w:val="restart"/>
            <w:noWrap/>
            <w:hideMark/>
          </w:tcPr>
          <w:p w:rsidR="004238CF" w:rsidRPr="00284D56" w:rsidRDefault="004238CF" w:rsidP="004238CF">
            <w:pPr>
              <w:jc w:val="center"/>
              <w:rPr>
                <w:rFonts w:asciiTheme="majorBidi" w:hAnsiTheme="majorBidi" w:cstheme="majorBidi"/>
                <w:b/>
                <w:bCs/>
                <w:color w:val="5B9BD5"/>
                <w:sz w:val="20"/>
              </w:rPr>
            </w:pPr>
            <w:r w:rsidRPr="00284D56">
              <w:rPr>
                <w:rFonts w:asciiTheme="majorBidi" w:hAnsiTheme="majorBidi" w:cstheme="majorBidi"/>
                <w:sz w:val="20"/>
              </w:rPr>
              <w:t>BR/MIFR</w:t>
            </w:r>
          </w:p>
        </w:tc>
      </w:tr>
      <w:tr w:rsidR="004238CF" w:rsidRPr="00284D56" w:rsidTr="004238CF">
        <w:trPr>
          <w:trHeight w:val="877"/>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 xml:space="preserve">Number of countries which registered terrestrial assignments in the MIFR within the last 4-year period </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84</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79</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90</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b/>
                <w:bCs/>
                <w:color w:val="5B9BD5"/>
                <w:sz w:val="20"/>
                <w:szCs w:val="22"/>
                <w:lang w:eastAsia="fr-FR"/>
              </w:rPr>
            </w:pPr>
          </w:p>
        </w:tc>
      </w:tr>
      <w:tr w:rsidR="004238CF" w:rsidRPr="00284D56" w:rsidTr="004238CF">
        <w:trPr>
          <w:trHeight w:val="320"/>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R.1-3</w:t>
            </w:r>
            <w:r w:rsidRPr="00284D56">
              <w:rPr>
                <w:rFonts w:asciiTheme="majorBidi" w:hAnsiTheme="majorBidi" w:cstheme="majorBidi"/>
                <w:sz w:val="20"/>
              </w:rPr>
              <w:t>: Increased percentage of assignments recorded in the MIFR with favourable finding</w:t>
            </w:r>
          </w:p>
        </w:tc>
        <w:tc>
          <w:tcPr>
            <w:tcW w:w="4462" w:type="dxa"/>
            <w:noWrap/>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Subject to Coordination (Terrestrial)</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99.87%</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99.87%</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99.99%</w:t>
            </w:r>
          </w:p>
        </w:tc>
        <w:tc>
          <w:tcPr>
            <w:tcW w:w="1413" w:type="dxa"/>
            <w:vMerge w:val="restart"/>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BR/MIFR</w:t>
            </w:r>
          </w:p>
        </w:tc>
      </w:tr>
      <w:tr w:rsidR="004238CF" w:rsidRPr="00284D56" w:rsidTr="004238CF">
        <w:trPr>
          <w:trHeight w:val="600"/>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noWrap/>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Subject to a Plan (Terrestrial)</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74.46%</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74.32%</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74.46%</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75%</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620"/>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sz w:val="20"/>
              </w:rPr>
            </w:pPr>
            <w:r w:rsidRPr="00284D56">
              <w:rPr>
                <w:rFonts w:asciiTheme="majorBidi" w:hAnsiTheme="majorBidi" w:cstheme="majorBidi"/>
                <w:sz w:val="20"/>
              </w:rPr>
              <w:t>Others</w:t>
            </w:r>
          </w:p>
        </w:tc>
        <w:tc>
          <w:tcPr>
            <w:tcW w:w="822" w:type="dxa"/>
          </w:tcPr>
          <w:p w:rsidR="004238CF" w:rsidRPr="00284D56" w:rsidRDefault="004238CF" w:rsidP="004238CF">
            <w:pPr>
              <w:rPr>
                <w:rFonts w:asciiTheme="majorBidi" w:hAnsiTheme="majorBidi" w:cstheme="majorBidi"/>
                <w:sz w:val="20"/>
              </w:rPr>
            </w:pPr>
            <w:r w:rsidRPr="00284D56">
              <w:rPr>
                <w:rFonts w:asciiTheme="majorBidi" w:hAnsiTheme="majorBidi" w:cstheme="majorBidi"/>
                <w:sz w:val="20"/>
              </w:rPr>
              <w:t>98.37%</w:t>
            </w:r>
          </w:p>
        </w:tc>
        <w:tc>
          <w:tcPr>
            <w:tcW w:w="822" w:type="dxa"/>
            <w:noWrap/>
          </w:tcPr>
          <w:p w:rsidR="004238CF" w:rsidRPr="00284D56" w:rsidRDefault="004238CF" w:rsidP="004238CF">
            <w:pPr>
              <w:jc w:val="center"/>
              <w:rPr>
                <w:rFonts w:asciiTheme="majorBidi" w:eastAsiaTheme="minorEastAsia" w:hAnsiTheme="majorBidi" w:cstheme="majorBidi"/>
                <w:sz w:val="20"/>
                <w:szCs w:val="22"/>
                <w:lang w:eastAsia="fr-FR"/>
              </w:rPr>
            </w:pPr>
            <w:r w:rsidRPr="00284D56">
              <w:rPr>
                <w:rFonts w:asciiTheme="majorBidi" w:hAnsiTheme="majorBidi" w:cstheme="majorBidi"/>
                <w:sz w:val="20"/>
              </w:rPr>
              <w:t>98.46%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98.49%</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98.49%</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620"/>
          <w:jc w:val="center"/>
        </w:trPr>
        <w:tc>
          <w:tcPr>
            <w:tcW w:w="4332" w:type="dxa"/>
            <w:hideMark/>
          </w:tcPr>
          <w:p w:rsidR="004238CF" w:rsidRPr="00284D56" w:rsidRDefault="004238CF" w:rsidP="004238CF">
            <w:pPr>
              <w:spacing w:after="120"/>
              <w:rPr>
                <w:rFonts w:asciiTheme="majorBidi" w:hAnsiTheme="majorBidi" w:cstheme="majorBidi"/>
                <w:sz w:val="20"/>
              </w:rPr>
            </w:pPr>
            <w:r w:rsidRPr="00284D56">
              <w:rPr>
                <w:rFonts w:asciiTheme="majorBidi" w:hAnsiTheme="majorBidi" w:cstheme="majorBidi"/>
                <w:b/>
                <w:bCs/>
                <w:color w:val="5B9BD5"/>
                <w:sz w:val="20"/>
              </w:rPr>
              <w:t>R.1-4</w:t>
            </w:r>
            <w:r w:rsidRPr="00284D56">
              <w:rPr>
                <w:rFonts w:asciiTheme="majorBidi" w:hAnsiTheme="majorBidi" w:cstheme="majorBidi"/>
                <w:sz w:val="20"/>
              </w:rPr>
              <w:t>: Increased percentage of countries which have completed the transition to digital terrestrial television broadcasting</w:t>
            </w: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Percentage of countries which have completed the transition to digital terrestrial television</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27%</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28%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30%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30%</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70%</w:t>
            </w:r>
          </w:p>
        </w:tc>
        <w:tc>
          <w:tcPr>
            <w:tcW w:w="1413" w:type="dxa"/>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 &amp; BDT</w:t>
            </w:r>
          </w:p>
        </w:tc>
      </w:tr>
    </w:tbl>
    <w:p w:rsidR="004238CF" w:rsidRPr="00B8119B" w:rsidRDefault="004238CF" w:rsidP="004238CF"/>
    <w:p w:rsidR="00284D56" w:rsidRDefault="00284D56" w:rsidP="0050743A">
      <w:pPr>
        <w:rPr>
          <w:rFonts w:asciiTheme="majorBidi" w:hAnsiTheme="majorBidi" w:cstheme="majorBidi"/>
        </w:rPr>
        <w:sectPr w:rsidR="00284D56" w:rsidSect="0050743A">
          <w:pgSz w:w="16834" w:h="11907" w:orient="landscape"/>
          <w:pgMar w:top="1134" w:right="1418" w:bottom="1134" w:left="1418" w:header="720" w:footer="720" w:gutter="0"/>
          <w:paperSrc w:first="15" w:other="15"/>
          <w:cols w:space="720"/>
          <w:docGrid w:linePitch="326"/>
        </w:sectPr>
      </w:pPr>
    </w:p>
    <w:p w:rsidR="0050743A" w:rsidRDefault="0050743A" w:rsidP="0050743A">
      <w:pPr>
        <w:rPr>
          <w:rFonts w:asciiTheme="majorBidi" w:hAnsiTheme="majorBidi" w:cstheme="majorBidi"/>
        </w:rPr>
      </w:pPr>
    </w:p>
    <w:p w:rsidR="00284D56" w:rsidRPr="008D5213" w:rsidRDefault="00284D56" w:rsidP="0050743A">
      <w:pPr>
        <w:rPr>
          <w:rFonts w:asciiTheme="majorBidi" w:hAnsiTheme="majorBidi" w:cstheme="majorBidi"/>
        </w:rPr>
      </w:pPr>
    </w:p>
    <w:tbl>
      <w:tblPr>
        <w:tblW w:w="1431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190"/>
        <w:gridCol w:w="4462"/>
        <w:gridCol w:w="822"/>
        <w:gridCol w:w="822"/>
        <w:gridCol w:w="822"/>
        <w:gridCol w:w="822"/>
        <w:gridCol w:w="823"/>
        <w:gridCol w:w="1554"/>
      </w:tblGrid>
      <w:tr w:rsidR="0050743A" w:rsidRPr="00280260" w:rsidTr="0050743A">
        <w:trPr>
          <w:trHeight w:val="320"/>
          <w:jc w:val="center"/>
        </w:trPr>
        <w:tc>
          <w:tcPr>
            <w:tcW w:w="4190" w:type="dxa"/>
            <w:shd w:val="clear" w:color="auto" w:fill="5B9BD5"/>
            <w:noWrap/>
            <w:hideMark/>
          </w:tcPr>
          <w:p w:rsidR="0050743A" w:rsidRPr="00280260" w:rsidRDefault="0050743A" w:rsidP="0050743A">
            <w:pPr>
              <w:jc w:val="center"/>
              <w:rPr>
                <w:rFonts w:asciiTheme="majorBidi" w:hAnsiTheme="majorBidi" w:cstheme="majorBidi"/>
                <w:b/>
                <w:bCs/>
                <w:color w:val="FFFFFF"/>
                <w:sz w:val="20"/>
                <w:lang w:eastAsia="fr-FR"/>
              </w:rPr>
            </w:pPr>
            <w:r w:rsidRPr="00280260">
              <w:rPr>
                <w:rFonts w:asciiTheme="majorBidi" w:hAnsiTheme="majorBidi" w:cstheme="majorBidi"/>
                <w:b/>
                <w:bCs/>
                <w:color w:val="FFFFFF"/>
                <w:sz w:val="20"/>
              </w:rPr>
              <w:t>Outcome</w:t>
            </w:r>
          </w:p>
        </w:tc>
        <w:tc>
          <w:tcPr>
            <w:tcW w:w="446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p>
        </w:tc>
        <w:tc>
          <w:tcPr>
            <w:tcW w:w="82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82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822" w:type="dxa"/>
            <w:shd w:val="clear" w:color="auto" w:fill="5B9BD5"/>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822" w:type="dxa"/>
            <w:shd w:val="clear" w:color="auto" w:fill="5B9BD5"/>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823"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1554" w:type="dxa"/>
            <w:shd w:val="clear" w:color="auto" w:fill="5B9BD5"/>
            <w:noWrap/>
            <w:hideMark/>
          </w:tcPr>
          <w:p w:rsidR="0050743A" w:rsidRPr="00280260" w:rsidRDefault="0050743A" w:rsidP="0050743A">
            <w:pPr>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50743A" w:rsidRPr="00280260" w:rsidTr="0050743A">
        <w:trPr>
          <w:trHeight w:val="620"/>
          <w:jc w:val="center"/>
        </w:trPr>
        <w:tc>
          <w:tcPr>
            <w:tcW w:w="4190" w:type="dxa"/>
          </w:tcPr>
          <w:p w:rsidR="0050743A" w:rsidRPr="00280260" w:rsidRDefault="0050743A" w:rsidP="0050743A">
            <w:pPr>
              <w:spacing w:after="60"/>
              <w:rPr>
                <w:rFonts w:asciiTheme="majorBidi" w:hAnsiTheme="majorBidi" w:cstheme="majorBidi"/>
                <w:b/>
                <w:bCs/>
                <w:color w:val="5B9BD5"/>
                <w:sz w:val="20"/>
              </w:rPr>
            </w:pPr>
            <w:r w:rsidRPr="00280260">
              <w:rPr>
                <w:rFonts w:asciiTheme="majorBidi" w:hAnsiTheme="majorBidi" w:cstheme="majorBidi"/>
                <w:b/>
                <w:bCs/>
                <w:color w:val="5B9BD5"/>
                <w:sz w:val="20"/>
              </w:rPr>
              <w:t>R.1-5</w:t>
            </w:r>
            <w:r w:rsidRPr="00280260">
              <w:rPr>
                <w:rFonts w:asciiTheme="majorBidi" w:hAnsiTheme="majorBidi" w:cstheme="majorBidi"/>
                <w:sz w:val="20"/>
              </w:rPr>
              <w:t xml:space="preserve">: Increased percentage of spectrum assigned to satellite networks which is free from harmful interference </w:t>
            </w:r>
          </w:p>
        </w:tc>
        <w:tc>
          <w:tcPr>
            <w:tcW w:w="4462" w:type="dxa"/>
            <w:hideMark/>
          </w:tcPr>
          <w:p w:rsidR="0050743A" w:rsidRPr="00280260" w:rsidRDefault="0050743A" w:rsidP="0050743A">
            <w:pPr>
              <w:rPr>
                <w:rFonts w:asciiTheme="majorBidi" w:hAnsiTheme="majorBidi" w:cstheme="majorBidi"/>
                <w:color w:val="000000"/>
                <w:sz w:val="20"/>
              </w:rPr>
            </w:pPr>
            <w:r w:rsidRPr="00280260">
              <w:rPr>
                <w:rFonts w:asciiTheme="majorBidi" w:hAnsiTheme="majorBidi" w:cstheme="majorBidi"/>
                <w:color w:val="000000"/>
                <w:sz w:val="20"/>
              </w:rPr>
              <w:t>% of spectrum assigned to satellite networks which is free from harmful interference</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99.96%</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 xml:space="preserve">99.96% </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99.96%</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99.94%</w:t>
            </w:r>
          </w:p>
        </w:tc>
        <w:tc>
          <w:tcPr>
            <w:tcW w:w="823" w:type="dxa"/>
          </w:tcPr>
          <w:p w:rsidR="0050743A" w:rsidRPr="00280260" w:rsidRDefault="004238CF" w:rsidP="0050743A">
            <w:pPr>
              <w:jc w:val="center"/>
              <w:rPr>
                <w:rFonts w:asciiTheme="majorBidi" w:hAnsiTheme="majorBidi" w:cstheme="majorBidi"/>
                <w:sz w:val="20"/>
              </w:rPr>
            </w:pPr>
            <w:r w:rsidRPr="00280260">
              <w:rPr>
                <w:rFonts w:asciiTheme="majorBidi" w:hAnsiTheme="majorBidi" w:cstheme="majorBidi"/>
                <w:sz w:val="20"/>
              </w:rPr>
              <w:t>99.99%</w:t>
            </w:r>
          </w:p>
        </w:tc>
        <w:tc>
          <w:tcPr>
            <w:tcW w:w="1554" w:type="dxa"/>
            <w:noWrap/>
            <w:hideMark/>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BR/MIFR</w:t>
            </w:r>
          </w:p>
        </w:tc>
      </w:tr>
      <w:tr w:rsidR="0050743A" w:rsidRPr="00280260" w:rsidTr="0050743A">
        <w:trPr>
          <w:trHeight w:val="620"/>
          <w:jc w:val="center"/>
        </w:trPr>
        <w:tc>
          <w:tcPr>
            <w:tcW w:w="4190" w:type="dxa"/>
            <w:hideMark/>
          </w:tcPr>
          <w:p w:rsidR="0050743A" w:rsidRPr="00280260" w:rsidRDefault="0050743A" w:rsidP="0050743A">
            <w:pPr>
              <w:spacing w:after="60"/>
              <w:rPr>
                <w:rFonts w:asciiTheme="majorBidi" w:hAnsiTheme="majorBidi" w:cstheme="majorBidi"/>
                <w:b/>
                <w:bCs/>
                <w:color w:val="5B9BD5"/>
                <w:sz w:val="20"/>
              </w:rPr>
            </w:pPr>
            <w:r w:rsidRPr="00280260">
              <w:rPr>
                <w:rFonts w:asciiTheme="majorBidi" w:hAnsiTheme="majorBidi" w:cstheme="majorBidi"/>
                <w:b/>
                <w:bCs/>
                <w:color w:val="5B9BD5"/>
                <w:sz w:val="20"/>
              </w:rPr>
              <w:t>R.1-6</w:t>
            </w:r>
            <w:r w:rsidRPr="00280260">
              <w:rPr>
                <w:rFonts w:asciiTheme="majorBidi" w:hAnsiTheme="majorBidi" w:cstheme="majorBidi"/>
                <w:sz w:val="20"/>
              </w:rPr>
              <w:t>: Increased percentage of assignments to terrestrial services recorded in the MIFR which are free from harmful interference</w:t>
            </w:r>
          </w:p>
        </w:tc>
        <w:tc>
          <w:tcPr>
            <w:tcW w:w="4462" w:type="dxa"/>
            <w:hideMark/>
          </w:tcPr>
          <w:p w:rsidR="0050743A" w:rsidRPr="00280260" w:rsidRDefault="0050743A" w:rsidP="0050743A">
            <w:pPr>
              <w:rPr>
                <w:rFonts w:asciiTheme="majorBidi" w:hAnsiTheme="majorBidi" w:cstheme="majorBidi"/>
                <w:color w:val="000000"/>
                <w:sz w:val="20"/>
              </w:rPr>
            </w:pPr>
            <w:r w:rsidRPr="00280260">
              <w:rPr>
                <w:rFonts w:asciiTheme="majorBidi" w:hAnsiTheme="majorBidi" w:cstheme="majorBidi"/>
                <w:color w:val="000000"/>
                <w:sz w:val="20"/>
              </w:rPr>
              <w:t>Percentage of assignments to terrestrial services recorded in the Master Register which are free from harmful interference (based on the number of cases reported to the ITU)</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3" w:type="dxa"/>
          </w:tcPr>
          <w:p w:rsidR="0050743A" w:rsidRPr="00280260" w:rsidRDefault="004238CF" w:rsidP="0050743A">
            <w:pPr>
              <w:jc w:val="center"/>
              <w:rPr>
                <w:rFonts w:asciiTheme="majorBidi" w:hAnsiTheme="majorBidi" w:cstheme="majorBidi"/>
                <w:sz w:val="20"/>
              </w:rPr>
            </w:pPr>
            <w:r w:rsidRPr="00280260">
              <w:rPr>
                <w:rFonts w:asciiTheme="majorBidi" w:hAnsiTheme="majorBidi" w:cstheme="majorBidi"/>
                <w:sz w:val="20"/>
              </w:rPr>
              <w:t>99.99%</w:t>
            </w:r>
          </w:p>
        </w:tc>
        <w:tc>
          <w:tcPr>
            <w:tcW w:w="1554" w:type="dxa"/>
            <w:noWrap/>
            <w:hideMark/>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BR/MIFR</w:t>
            </w:r>
          </w:p>
        </w:tc>
      </w:tr>
    </w:tbl>
    <w:p w:rsidR="0050743A" w:rsidRDefault="0050743A" w:rsidP="0050743A">
      <w:pPr>
        <w:rPr>
          <w:rFonts w:asciiTheme="majorBidi" w:hAnsiTheme="majorBidi" w:cstheme="majorBidi"/>
        </w:rPr>
      </w:pPr>
    </w:p>
    <w:p w:rsidR="00284D56" w:rsidRPr="00280260" w:rsidRDefault="00284D56" w:rsidP="0050743A">
      <w:pPr>
        <w:rPr>
          <w:rFonts w:asciiTheme="majorBidi" w:hAnsiTheme="majorBidi" w:cstheme="majorBidi"/>
        </w:rPr>
      </w:pPr>
    </w:p>
    <w:tbl>
      <w:tblPr>
        <w:tblStyle w:val="GridTable4-Accent1121"/>
        <w:tblW w:w="14317" w:type="dxa"/>
        <w:jc w:val="center"/>
        <w:tblLayout w:type="fixed"/>
        <w:tblLook w:val="0620" w:firstRow="1" w:lastRow="0" w:firstColumn="0" w:lastColumn="0" w:noHBand="1" w:noVBand="1"/>
      </w:tblPr>
      <w:tblGrid>
        <w:gridCol w:w="7508"/>
        <w:gridCol w:w="1599"/>
        <w:gridCol w:w="1737"/>
        <w:gridCol w:w="1736"/>
        <w:gridCol w:w="1737"/>
      </w:tblGrid>
      <w:tr w:rsidR="0050743A" w:rsidRPr="00280260" w:rsidTr="00280260">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r w:rsidRPr="00280260">
              <w:rPr>
                <w:rFonts w:asciiTheme="majorBidi" w:hAnsiTheme="majorBidi" w:cstheme="majorBidi"/>
                <w:sz w:val="22"/>
              </w:rPr>
              <w:t>Output</w:t>
            </w:r>
          </w:p>
        </w:tc>
        <w:tc>
          <w:tcPr>
            <w:tcW w:w="6809" w:type="dxa"/>
            <w:gridSpan w:val="4"/>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2"/>
              </w:rPr>
            </w:pPr>
            <w:r w:rsidRPr="00280260">
              <w:rPr>
                <w:rFonts w:asciiTheme="majorBidi" w:hAnsiTheme="majorBidi" w:cstheme="majorBidi"/>
                <w:sz w:val="22"/>
              </w:rPr>
              <w:t>Financial resources</w:t>
            </w:r>
            <w:r w:rsidRPr="00280260">
              <w:rPr>
                <w:rFonts w:asciiTheme="majorBidi" w:hAnsiTheme="majorBidi" w:cstheme="majorBidi"/>
                <w:position w:val="6"/>
                <w:sz w:val="16"/>
              </w:rPr>
              <w:footnoteReference w:id="2"/>
            </w:r>
            <w:r w:rsidRPr="00280260">
              <w:rPr>
                <w:rFonts w:asciiTheme="majorBidi" w:hAnsiTheme="majorBidi" w:cstheme="majorBidi"/>
                <w:sz w:val="22"/>
              </w:rPr>
              <w:t xml:space="preserve"> (in k CHF)</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p>
        </w:tc>
        <w:tc>
          <w:tcPr>
            <w:tcW w:w="1599"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2021</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2022</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2023</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R.1-1 Final acts of world </w:t>
            </w:r>
            <w:proofErr w:type="spellStart"/>
            <w:r w:rsidRPr="00280260">
              <w:rPr>
                <w:rFonts w:asciiTheme="majorBidi" w:hAnsiTheme="majorBidi" w:cstheme="majorBidi"/>
                <w:sz w:val="20"/>
                <w:szCs w:val="18"/>
              </w:rPr>
              <w:t>radiocommunication</w:t>
            </w:r>
            <w:proofErr w:type="spellEnd"/>
            <w:r w:rsidRPr="00280260">
              <w:rPr>
                <w:rFonts w:asciiTheme="majorBidi" w:hAnsiTheme="majorBidi" w:cstheme="majorBidi"/>
                <w:sz w:val="20"/>
                <w:szCs w:val="18"/>
              </w:rPr>
              <w:t xml:space="preserve"> conferences, updated Radio Regulations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1,622</w:t>
            </w:r>
          </w:p>
        </w:tc>
        <w:tc>
          <w:tcPr>
            <w:tcW w:w="1737" w:type="dxa"/>
            <w:vAlign w:val="center"/>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1,685</w:t>
            </w:r>
          </w:p>
        </w:tc>
        <w:tc>
          <w:tcPr>
            <w:tcW w:w="1736" w:type="dxa"/>
            <w:vAlign w:val="center"/>
          </w:tcPr>
          <w:p w:rsidR="0050743A" w:rsidRPr="00280260" w:rsidRDefault="00406FF5" w:rsidP="0050743A">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1,958</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8,934</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R.1-2 Final acts of regional </w:t>
            </w:r>
            <w:proofErr w:type="spellStart"/>
            <w:r w:rsidRPr="00280260">
              <w:rPr>
                <w:rFonts w:asciiTheme="majorBidi" w:hAnsiTheme="majorBidi" w:cstheme="majorBidi"/>
                <w:sz w:val="20"/>
                <w:szCs w:val="18"/>
              </w:rPr>
              <w:t>radiocommunication</w:t>
            </w:r>
            <w:proofErr w:type="spellEnd"/>
            <w:r w:rsidRPr="00280260">
              <w:rPr>
                <w:rFonts w:asciiTheme="majorBidi" w:hAnsiTheme="majorBidi" w:cstheme="majorBidi"/>
                <w:sz w:val="20"/>
                <w:szCs w:val="18"/>
              </w:rPr>
              <w:t xml:space="preserve"> conferences, regional agreements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644</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637</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258</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344</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R.1-3 Rules of Procedure adopted by Radio Regulations Board (RRB) </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2,387</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2,055</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2,311</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2,322</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R.1-4 Publication of space notices and other related activities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21,608</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21,280</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R.1-5 Publication of terrestrial notices and other related activities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10,321</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10,138</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8,412</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8,083</w:t>
            </w:r>
          </w:p>
        </w:tc>
      </w:tr>
      <w:tr w:rsidR="0050743A" w:rsidRPr="00280260" w:rsidTr="00280260">
        <w:trPr>
          <w:trHeight w:val="360"/>
          <w:jc w:val="center"/>
        </w:trPr>
        <w:tc>
          <w:tcPr>
            <w:tcW w:w="7508" w:type="dxa"/>
            <w:vAlign w:val="center"/>
          </w:tcPr>
          <w:p w:rsidR="0050743A" w:rsidRPr="00280260" w:rsidRDefault="0050743A" w:rsidP="0050743A">
            <w:pPr>
              <w:overflowPunct/>
              <w:autoSpaceDE/>
              <w:autoSpaceDN/>
              <w:adjustRightInd/>
              <w:spacing w:before="0"/>
              <w:textAlignment w:val="auto"/>
              <w:rPr>
                <w:rFonts w:asciiTheme="majorBidi" w:hAnsiTheme="majorBidi" w:cstheme="majorBidi"/>
                <w:b/>
                <w:bCs/>
                <w:color w:val="5B9BD5"/>
                <w:sz w:val="20"/>
              </w:rPr>
            </w:pPr>
            <w:r w:rsidRPr="00280260">
              <w:rPr>
                <w:rFonts w:asciiTheme="majorBidi" w:hAnsiTheme="majorBidi" w:cstheme="majorBidi"/>
                <w:sz w:val="20"/>
              </w:rPr>
              <w:t>Cost allocation to Plenipotentiary Conference and Council activities (</w:t>
            </w:r>
            <w:r w:rsidRPr="00280260">
              <w:rPr>
                <w:rFonts w:asciiTheme="majorBidi" w:hAnsiTheme="majorBidi" w:cstheme="majorBidi"/>
                <w:b/>
                <w:bCs/>
                <w:color w:val="5B9BD5"/>
                <w:sz w:val="20"/>
              </w:rPr>
              <w:t>PP</w:t>
            </w:r>
            <w:r w:rsidRPr="00280260">
              <w:rPr>
                <w:rFonts w:asciiTheme="majorBidi" w:hAnsiTheme="majorBidi" w:cstheme="majorBidi"/>
                <w:sz w:val="20"/>
              </w:rPr>
              <w:t xml:space="preserve">, </w:t>
            </w:r>
            <w:r w:rsidRPr="00280260">
              <w:rPr>
                <w:rFonts w:asciiTheme="majorBidi" w:hAnsiTheme="majorBidi" w:cstheme="majorBidi"/>
                <w:b/>
                <w:bCs/>
                <w:color w:val="5B9BD5"/>
                <w:sz w:val="20"/>
              </w:rPr>
              <w:t>Council/CWGs</w:t>
            </w:r>
            <w:r w:rsidRPr="00280260">
              <w:rPr>
                <w:rFonts w:asciiTheme="majorBidi" w:hAnsiTheme="majorBidi" w:cstheme="majorBidi"/>
                <w:sz w:val="20"/>
              </w:rPr>
              <w:t>)</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r>
      <w:tr w:rsidR="0050743A" w:rsidRPr="00280260" w:rsidTr="00280260">
        <w:trPr>
          <w:jc w:val="center"/>
        </w:trPr>
        <w:tc>
          <w:tcPr>
            <w:tcW w:w="7508" w:type="dxa"/>
            <w:vAlign w:val="center"/>
          </w:tcPr>
          <w:p w:rsidR="0050743A" w:rsidRPr="00280260" w:rsidRDefault="0050743A" w:rsidP="0050743A">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280260">
              <w:rPr>
                <w:rFonts w:asciiTheme="majorBidi" w:hAnsiTheme="majorBidi" w:cstheme="majorBidi"/>
                <w:b/>
                <w:bCs/>
                <w:color w:val="5B9BD5"/>
                <w:sz w:val="20"/>
              </w:rPr>
              <w:t>Total for Objective R.1</w:t>
            </w:r>
          </w:p>
        </w:tc>
        <w:tc>
          <w:tcPr>
            <w:tcW w:w="1599"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r>
    </w:tbl>
    <w:p w:rsidR="0050743A" w:rsidRPr="00280260" w:rsidRDefault="0050743A" w:rsidP="0050743A">
      <w:pPr>
        <w:overflowPunct/>
        <w:autoSpaceDE/>
        <w:autoSpaceDN/>
        <w:adjustRightInd/>
        <w:spacing w:before="0"/>
        <w:textAlignment w:val="auto"/>
        <w:rPr>
          <w:rFonts w:asciiTheme="majorBidi" w:eastAsia="SimSun" w:hAnsiTheme="majorBidi" w:cstheme="majorBidi"/>
          <w:color w:val="2E74B5"/>
          <w:sz w:val="26"/>
          <w:szCs w:val="26"/>
        </w:rPr>
      </w:pPr>
    </w:p>
    <w:p w:rsidR="008D5213" w:rsidRDefault="008D5213" w:rsidP="0050743A">
      <w:pPr>
        <w:rPr>
          <w:rFonts w:asciiTheme="majorBidi" w:eastAsia="SimSun" w:hAnsiTheme="majorBidi" w:cstheme="majorBidi"/>
        </w:rPr>
        <w:sectPr w:rsidR="008D5213" w:rsidSect="0050743A">
          <w:pgSz w:w="16834" w:h="11907" w:orient="landscape"/>
          <w:pgMar w:top="1134" w:right="1418" w:bottom="1134" w:left="1418" w:header="720" w:footer="720" w:gutter="0"/>
          <w:paperSrc w:first="15" w:other="15"/>
          <w:cols w:space="720"/>
          <w:docGrid w:linePitch="326"/>
        </w:sectPr>
      </w:pPr>
    </w:p>
    <w:p w:rsidR="00827AFC" w:rsidRPr="00284D56" w:rsidRDefault="0050743A" w:rsidP="0050743A">
      <w:pPr>
        <w:rPr>
          <w:rFonts w:asciiTheme="majorBidi" w:eastAsia="SimSun" w:hAnsiTheme="majorBidi" w:cstheme="majorBidi"/>
          <w:sz w:val="22"/>
          <w:szCs w:val="22"/>
        </w:rPr>
      </w:pPr>
      <w:r w:rsidRPr="00284D56">
        <w:rPr>
          <w:rFonts w:asciiTheme="majorBidi" w:eastAsia="SimSun" w:hAnsiTheme="majorBidi" w:cstheme="majorBidi"/>
          <w:sz w:val="22"/>
          <w:szCs w:val="22"/>
        </w:rPr>
        <w:lastRenderedPageBreak/>
        <w:t xml:space="preserve">R.2 Provide for worldwide connectivity and interoperability, improved performance, quality, affordability, and timeliness of service and overall system economy in </w:t>
      </w:r>
      <w:proofErr w:type="spellStart"/>
      <w:r w:rsidRPr="00284D56">
        <w:rPr>
          <w:rFonts w:asciiTheme="majorBidi" w:eastAsia="SimSun" w:hAnsiTheme="majorBidi" w:cstheme="majorBidi"/>
          <w:sz w:val="22"/>
          <w:szCs w:val="22"/>
        </w:rPr>
        <w:t>radiocommunications</w:t>
      </w:r>
      <w:proofErr w:type="spellEnd"/>
      <w:r w:rsidRPr="00284D56">
        <w:rPr>
          <w:rFonts w:asciiTheme="majorBidi" w:eastAsia="SimSun" w:hAnsiTheme="majorBidi" w:cstheme="majorBidi"/>
          <w:sz w:val="22"/>
          <w:szCs w:val="22"/>
        </w:rPr>
        <w:t>, including through the development of international standards</w:t>
      </w:r>
    </w:p>
    <w:tbl>
      <w:tblPr>
        <w:tblW w:w="1445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27"/>
        <w:gridCol w:w="794"/>
        <w:gridCol w:w="850"/>
        <w:gridCol w:w="851"/>
        <w:gridCol w:w="2693"/>
      </w:tblGrid>
      <w:tr w:rsidR="00827AFC" w:rsidRPr="00280260" w:rsidTr="00827AFC">
        <w:trPr>
          <w:trHeight w:val="320"/>
          <w:tblHeader/>
        </w:trPr>
        <w:tc>
          <w:tcPr>
            <w:tcW w:w="3669"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w:t>
            </w:r>
          </w:p>
        </w:tc>
        <w:tc>
          <w:tcPr>
            <w:tcW w:w="3416"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r w:rsidRPr="00280260">
              <w:rPr>
                <w:rStyle w:val="FootnoteReference"/>
                <w:rFonts w:asciiTheme="majorBidi" w:hAnsiTheme="majorBidi" w:cstheme="majorBidi"/>
                <w:color w:val="FFFFFF"/>
              </w:rPr>
              <w:footnoteReference w:id="3"/>
            </w:r>
          </w:p>
        </w:tc>
        <w:tc>
          <w:tcPr>
            <w:tcW w:w="727"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2014</w:t>
            </w:r>
          </w:p>
        </w:tc>
        <w:tc>
          <w:tcPr>
            <w:tcW w:w="727"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727"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794"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850"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851"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2693" w:type="dxa"/>
            <w:shd w:val="clear" w:color="000000" w:fill="5B9BD5"/>
            <w:noWrap/>
            <w:hideMark/>
          </w:tcPr>
          <w:p w:rsidR="00827AFC" w:rsidRPr="00280260" w:rsidRDefault="00827AFC" w:rsidP="00827AFC">
            <w:pPr>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sz w:val="20"/>
              </w:rPr>
            </w:pPr>
            <w:r w:rsidRPr="00280260">
              <w:rPr>
                <w:rFonts w:asciiTheme="majorBidi" w:hAnsiTheme="majorBidi" w:cstheme="majorBidi"/>
                <w:b/>
                <w:bCs/>
                <w:color w:val="5B9BD5"/>
                <w:sz w:val="20"/>
              </w:rPr>
              <w:t>R.2-1</w:t>
            </w:r>
            <w:r w:rsidRPr="00280260">
              <w:rPr>
                <w:rFonts w:asciiTheme="majorBidi" w:hAnsiTheme="majorBidi" w:cstheme="majorBidi"/>
                <w:sz w:val="20"/>
              </w:rPr>
              <w:t>: Increased mobile-broadband access, including in frequency bands identified for international mobile telecommunications (IMT)</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subscriptions (</w:t>
            </w:r>
            <w:proofErr w:type="spellStart"/>
            <w:r w:rsidRPr="00280260">
              <w:rPr>
                <w:rFonts w:asciiTheme="majorBidi" w:hAnsiTheme="majorBidi" w:cstheme="majorBidi"/>
                <w:color w:val="000000"/>
                <w:sz w:val="20"/>
              </w:rPr>
              <w:t>bn</w:t>
            </w:r>
            <w:proofErr w:type="spellEnd"/>
            <w:r w:rsidRPr="00280260">
              <w:rPr>
                <w:rFonts w:asciiTheme="majorBidi" w:hAnsiTheme="majorBidi" w:cstheme="majorBidi"/>
                <w:color w:val="000000"/>
                <w:sz w:val="20"/>
              </w:rPr>
              <w:t>)</w:t>
            </w:r>
          </w:p>
        </w:tc>
        <w:tc>
          <w:tcPr>
            <w:tcW w:w="727" w:type="dxa"/>
          </w:tcPr>
          <w:p w:rsidR="00827AFC" w:rsidRPr="00280260" w:rsidRDefault="00EA331F" w:rsidP="00827AFC">
            <w:pPr>
              <w:jc w:val="center"/>
              <w:rPr>
                <w:rFonts w:asciiTheme="majorBidi" w:hAnsiTheme="majorBidi" w:cstheme="majorBidi"/>
                <w:color w:val="000000"/>
                <w:sz w:val="20"/>
              </w:rPr>
            </w:pPr>
            <w:r>
              <w:rPr>
                <w:rFonts w:asciiTheme="majorBidi" w:hAnsiTheme="majorBidi" w:cstheme="majorBidi"/>
                <w:color w:val="000000"/>
                <w:sz w:val="20"/>
              </w:rPr>
              <w:t>7.01</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7.22</w:t>
            </w:r>
          </w:p>
        </w:tc>
        <w:tc>
          <w:tcPr>
            <w:tcW w:w="727" w:type="dxa"/>
            <w:shd w:val="clear" w:color="auto" w:fill="auto"/>
            <w:noWrap/>
          </w:tcPr>
          <w:p w:rsidR="00827AFC" w:rsidRPr="00280260" w:rsidRDefault="00EA331F" w:rsidP="00827AFC">
            <w:pPr>
              <w:jc w:val="center"/>
              <w:rPr>
                <w:rFonts w:asciiTheme="majorBidi" w:hAnsiTheme="majorBidi" w:cstheme="majorBidi"/>
                <w:color w:val="000000"/>
                <w:sz w:val="20"/>
              </w:rPr>
            </w:pPr>
            <w:r>
              <w:rPr>
                <w:rFonts w:asciiTheme="majorBidi" w:hAnsiTheme="majorBidi" w:cstheme="majorBidi"/>
                <w:color w:val="000000"/>
                <w:sz w:val="20"/>
              </w:rPr>
              <w:t>7.51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7.81</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8.16</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9.2</w:t>
            </w:r>
          </w:p>
        </w:tc>
        <w:tc>
          <w:tcPr>
            <w:tcW w:w="2693" w:type="dxa"/>
            <w:vMerge w:val="restart"/>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ITU BDT ICT Statistics</w:t>
            </w:r>
          </w:p>
        </w:tc>
      </w:tr>
      <w:tr w:rsidR="00827AFC" w:rsidRPr="00280260" w:rsidTr="00827AFC">
        <w:trPr>
          <w:trHeight w:val="34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 of mobile broadband subscriptions  </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45%</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55%*</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65%</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vMerge/>
            <w:shd w:val="clear" w:color="auto" w:fill="auto"/>
            <w:hideMark/>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40"/>
        </w:trPr>
        <w:tc>
          <w:tcPr>
            <w:tcW w:w="3669" w:type="dxa"/>
            <w:vMerge/>
            <w:shd w:val="clear" w:color="auto" w:fill="auto"/>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subscribers (</w:t>
            </w:r>
            <w:proofErr w:type="spellStart"/>
            <w:r w:rsidRPr="00280260">
              <w:rPr>
                <w:rFonts w:asciiTheme="majorBidi" w:hAnsiTheme="majorBidi" w:cstheme="majorBidi"/>
                <w:color w:val="000000"/>
                <w:sz w:val="20"/>
              </w:rPr>
              <w:t>bn</w:t>
            </w:r>
            <w:proofErr w:type="spellEnd"/>
            <w:r w:rsidRPr="00280260">
              <w:rPr>
                <w:rFonts w:asciiTheme="majorBidi" w:hAnsiTheme="majorBidi" w:cstheme="majorBidi"/>
                <w:color w:val="000000"/>
                <w:sz w:val="20"/>
              </w:rPr>
              <w: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4.83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4.98</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5.18</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5.63</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851" w:type="dxa"/>
            <w:shd w:val="clear" w:color="auto" w:fill="auto"/>
            <w:noWrap/>
          </w:tcPr>
          <w:p w:rsidR="00827AFC" w:rsidRPr="00280260" w:rsidRDefault="00FA2CA9" w:rsidP="00827AFC">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2693" w:type="dxa"/>
            <w:shd w:val="clear" w:color="auto" w:fill="auto"/>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sz w:val="20"/>
              </w:rPr>
            </w:pPr>
            <w:r w:rsidRPr="00280260">
              <w:rPr>
                <w:rFonts w:asciiTheme="majorBidi" w:hAnsiTheme="majorBidi" w:cstheme="majorBidi"/>
                <w:b/>
                <w:bCs/>
                <w:color w:val="5B9BD5"/>
                <w:sz w:val="20"/>
              </w:rPr>
              <w:t>R.2-2</w:t>
            </w:r>
            <w:r w:rsidRPr="00280260">
              <w:rPr>
                <w:rFonts w:asciiTheme="majorBidi" w:hAnsiTheme="majorBidi" w:cstheme="majorBidi"/>
                <w:sz w:val="20"/>
              </w:rPr>
              <w:t>: Reduced mobile-broadband price basket, as a percentage of gross national income (GNI) per capita</w:t>
            </w:r>
          </w:p>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Mobile broadband price basket as percentage of GNI per capita (prepaid, handset 500 MB) </w:t>
            </w:r>
          </w:p>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World</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5.50</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sz w:val="20"/>
              </w:rPr>
              <w:t>3.88</w:t>
            </w:r>
          </w:p>
        </w:tc>
        <w:tc>
          <w:tcPr>
            <w:tcW w:w="727" w:type="dxa"/>
            <w:shd w:val="clear" w:color="auto" w:fill="auto"/>
            <w:noWrap/>
          </w:tcPr>
          <w:p w:rsidR="00827AFC" w:rsidRPr="00280260" w:rsidRDefault="00827AFC" w:rsidP="00827AFC">
            <w:pPr>
              <w:jc w:val="center"/>
              <w:rPr>
                <w:rFonts w:asciiTheme="majorBidi" w:hAnsiTheme="majorBidi" w:cstheme="majorBidi"/>
                <w:sz w:val="20"/>
              </w:rPr>
            </w:pPr>
            <w:r w:rsidRPr="00280260">
              <w:rPr>
                <w:rFonts w:asciiTheme="majorBidi" w:hAnsiTheme="majorBidi" w:cstheme="majorBidi"/>
                <w:color w:val="000000"/>
                <w:sz w:val="20"/>
              </w:rPr>
              <w:t>3.61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2693" w:type="dxa"/>
            <w:vMerge w:val="restart"/>
            <w:shd w:val="clear" w:color="auto" w:fill="auto"/>
            <w:noWrap/>
            <w:hideMark/>
          </w:tcPr>
          <w:p w:rsidR="00827AFC" w:rsidRPr="00280260" w:rsidRDefault="00827AFC" w:rsidP="00827AFC">
            <w:pPr>
              <w:rPr>
                <w:rFonts w:asciiTheme="majorBidi" w:hAnsiTheme="majorBidi" w:cstheme="majorBidi"/>
                <w:color w:val="000000"/>
                <w:sz w:val="20"/>
              </w:rPr>
            </w:pPr>
          </w:p>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ITU BDT ICT Statistics</w:t>
            </w:r>
          </w:p>
        </w:tc>
      </w:tr>
      <w:tr w:rsidR="00827AFC" w:rsidRPr="00280260" w:rsidTr="00827AFC">
        <w:trPr>
          <w:trHeight w:val="6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Developed Countries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0.75</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sz w:val="20"/>
              </w:rPr>
              <w:t>0.57</w:t>
            </w:r>
          </w:p>
        </w:tc>
        <w:tc>
          <w:tcPr>
            <w:tcW w:w="727" w:type="dxa"/>
            <w:shd w:val="clear" w:color="auto" w:fill="auto"/>
            <w:noWrap/>
          </w:tcPr>
          <w:p w:rsidR="00827AFC" w:rsidRPr="00280260" w:rsidRDefault="00827AFC" w:rsidP="00827AFC">
            <w:pPr>
              <w:jc w:val="center"/>
              <w:rPr>
                <w:rFonts w:asciiTheme="majorBidi" w:hAnsiTheme="majorBidi" w:cstheme="majorBidi"/>
                <w:i/>
                <w:sz w:val="20"/>
              </w:rPr>
            </w:pPr>
            <w:r w:rsidRPr="00280260">
              <w:rPr>
                <w:rFonts w:asciiTheme="majorBidi" w:hAnsiTheme="majorBidi" w:cstheme="majorBidi"/>
                <w:color w:val="000000" w:themeColor="text1"/>
                <w:sz w:val="20"/>
              </w:rPr>
              <w:t>0.65</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0.6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0.6</w:t>
            </w:r>
          </w:p>
        </w:tc>
        <w:tc>
          <w:tcPr>
            <w:tcW w:w="851" w:type="dxa"/>
            <w:shd w:val="clear" w:color="auto" w:fill="auto"/>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hideMark/>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Developing Countries</w:t>
            </w:r>
          </w:p>
        </w:tc>
        <w:tc>
          <w:tcPr>
            <w:tcW w:w="727" w:type="dxa"/>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7.2</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5.1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4.6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4.8</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Least Developed Countries</w:t>
            </w:r>
          </w:p>
        </w:tc>
        <w:tc>
          <w:tcPr>
            <w:tcW w:w="727" w:type="dxa"/>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17.0</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11.4</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9.21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10.4</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10.4</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countries with a price basket below 5%</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sz w:val="20"/>
              </w:rPr>
              <w:t>117</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135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150</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145</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145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193</w:t>
            </w: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t>R.2-4</w:t>
            </w:r>
            <w:r w:rsidRPr="00280260">
              <w:rPr>
                <w:rFonts w:asciiTheme="majorBidi" w:hAnsiTheme="majorBidi" w:cstheme="majorBidi"/>
                <w:sz w:val="20"/>
              </w:rPr>
              <w:t>: Increased number of households with digital terrestrial television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households with DTT (millions)</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203.3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sz w:val="20"/>
              </w:rPr>
              <w:t>235.5</w:t>
            </w:r>
          </w:p>
        </w:tc>
        <w:tc>
          <w:tcPr>
            <w:tcW w:w="727" w:type="dxa"/>
            <w:shd w:val="clear" w:color="auto" w:fill="auto"/>
            <w:noWrap/>
          </w:tcPr>
          <w:p w:rsidR="00827AFC" w:rsidRPr="00280260" w:rsidRDefault="00827AFC" w:rsidP="00827AFC">
            <w:pPr>
              <w:jc w:val="center"/>
              <w:rPr>
                <w:rFonts w:asciiTheme="majorBidi" w:hAnsiTheme="majorBidi" w:cstheme="majorBidi"/>
                <w:sz w:val="20"/>
              </w:rPr>
            </w:pPr>
            <w:r w:rsidRPr="00280260">
              <w:rPr>
                <w:rFonts w:asciiTheme="majorBidi" w:hAnsiTheme="majorBidi" w:cstheme="majorBidi"/>
                <w:color w:val="000000"/>
                <w:sz w:val="20"/>
              </w:rPr>
              <w:t>271.9</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311</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335</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453</w:t>
            </w:r>
          </w:p>
        </w:tc>
        <w:tc>
          <w:tcPr>
            <w:tcW w:w="2693" w:type="dxa"/>
            <w:vMerge w:val="restart"/>
            <w:shd w:val="clear" w:color="auto" w:fill="auto"/>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 xml:space="preserve">Digital TV World </w:t>
            </w:r>
            <w:proofErr w:type="spellStart"/>
            <w:r w:rsidRPr="00280260">
              <w:rPr>
                <w:rFonts w:asciiTheme="majorBidi" w:hAnsiTheme="majorBidi" w:cstheme="majorBidi"/>
                <w:sz w:val="20"/>
              </w:rPr>
              <w:t>Databook</w:t>
            </w:r>
            <w:proofErr w:type="spellEnd"/>
            <w:r w:rsidRPr="00280260">
              <w:rPr>
                <w:rFonts w:asciiTheme="majorBidi" w:hAnsiTheme="majorBidi" w:cstheme="majorBidi"/>
                <w:sz w:val="20"/>
              </w:rPr>
              <w:t xml:space="preserve"> report, July 2017; Digital TV Research Ltd</w:t>
            </w:r>
            <w:r w:rsidRPr="00280260">
              <w:rPr>
                <w:rFonts w:asciiTheme="majorBidi" w:hAnsiTheme="majorBidi" w:cstheme="majorBidi"/>
                <w:sz w:val="20"/>
              </w:rPr>
              <w:br/>
            </w:r>
            <w:proofErr w:type="spellStart"/>
            <w:r w:rsidRPr="00280260">
              <w:rPr>
                <w:rFonts w:asciiTheme="majorBidi" w:hAnsiTheme="majorBidi" w:cstheme="majorBidi"/>
                <w:sz w:val="20"/>
              </w:rPr>
              <w:t>Databook</w:t>
            </w:r>
            <w:proofErr w:type="spellEnd"/>
            <w:r w:rsidRPr="00280260">
              <w:rPr>
                <w:rFonts w:asciiTheme="majorBidi" w:hAnsiTheme="majorBidi" w:cstheme="majorBidi"/>
                <w:sz w:val="20"/>
              </w:rPr>
              <w:t xml:space="preserve"> report</w:t>
            </w:r>
          </w:p>
          <w:p w:rsidR="00827AFC" w:rsidRPr="00280260" w:rsidRDefault="00827AFC" w:rsidP="00827AFC">
            <w:pPr>
              <w:rPr>
                <w:rFonts w:asciiTheme="majorBidi" w:hAnsiTheme="majorBidi" w:cstheme="majorBidi"/>
                <w:sz w:val="20"/>
              </w:rPr>
            </w:pPr>
          </w:p>
        </w:tc>
      </w:tr>
      <w:tr w:rsidR="00827AFC" w:rsidRPr="00280260" w:rsidTr="00827AFC">
        <w:trPr>
          <w:trHeight w:val="787"/>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Number of households with ATT (millions)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319.8</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251.6</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color w:val="000000"/>
                <w:sz w:val="20"/>
              </w:rPr>
              <w:t>184.1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136</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104</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vMerge/>
            <w:shd w:val="clear" w:color="auto" w:fill="auto"/>
          </w:tcPr>
          <w:p w:rsidR="00827AFC" w:rsidRPr="00280260" w:rsidRDefault="00827AFC" w:rsidP="00827AFC">
            <w:pPr>
              <w:rPr>
                <w:rFonts w:asciiTheme="majorBidi" w:hAnsiTheme="majorBidi" w:cstheme="majorBidi"/>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Total number of households DTT + ATT (millions)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514.1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themeColor="text1"/>
                <w:sz w:val="20"/>
              </w:rPr>
              <w:t>487.1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456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447</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439</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DTT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10.3%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11.8%</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sz w:val="20"/>
              </w:rPr>
              <w:t>13.5%</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14.90%</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15.80%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22.70%</w:t>
            </w: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ATT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16.3%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9.1%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6.50%</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4.90%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Terrestrial TV</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26.6%</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24.5%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21.40%</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20.80%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lastRenderedPageBreak/>
              <w:t>R.2-5</w:t>
            </w:r>
            <w:r w:rsidRPr="00280260">
              <w:rPr>
                <w:rFonts w:asciiTheme="majorBidi" w:hAnsiTheme="majorBidi" w:cstheme="majorBidi"/>
                <w:sz w:val="20"/>
              </w:rPr>
              <w:t>: Increased number of satellite transponders (equivalent 36 MHz) in operation and corresponding capacity (</w:t>
            </w:r>
            <w:proofErr w:type="spellStart"/>
            <w:r w:rsidRPr="00280260">
              <w:rPr>
                <w:rFonts w:asciiTheme="majorBidi" w:hAnsiTheme="majorBidi" w:cstheme="majorBidi"/>
                <w:sz w:val="20"/>
              </w:rPr>
              <w:t>Tbit</w:t>
            </w:r>
            <w:proofErr w:type="spellEnd"/>
            <w:r w:rsidRPr="00280260">
              <w:rPr>
                <w:rFonts w:asciiTheme="majorBidi" w:hAnsiTheme="majorBidi" w:cstheme="majorBidi"/>
                <w:sz w:val="20"/>
              </w:rPr>
              <w:t>/s); Number of VSAT terminals; Number of households with satellite television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Number of satellite transponders (equivalent 36 MHz) in operation </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15997</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17953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19772</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25056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30742</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shd w:val="clear" w:color="auto" w:fill="auto"/>
            <w:noWrap/>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827AFC" w:rsidRPr="00280260" w:rsidTr="00827AFC">
        <w:trPr>
          <w:trHeight w:val="3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Corresponding capacity (in </w:t>
            </w:r>
            <w:proofErr w:type="spellStart"/>
            <w:r w:rsidRPr="00280260">
              <w:rPr>
                <w:rFonts w:asciiTheme="majorBidi" w:hAnsiTheme="majorBidi" w:cstheme="majorBidi"/>
                <w:color w:val="000000"/>
                <w:sz w:val="20"/>
              </w:rPr>
              <w:t>Tbit</w:t>
            </w:r>
            <w:proofErr w:type="spellEnd"/>
            <w:r w:rsidRPr="00280260">
              <w:rPr>
                <w:rFonts w:asciiTheme="majorBidi" w:hAnsiTheme="majorBidi" w:cstheme="majorBidi"/>
                <w:color w:val="000000"/>
                <w:sz w:val="20"/>
              </w:rPr>
              <w:t>/s)</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1.095</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1.269</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1.491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1.978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2.581</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shd w:val="clear" w:color="auto" w:fill="auto"/>
            <w:noWrap/>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827AFC" w:rsidRPr="00280260" w:rsidTr="00827AFC">
        <w:trPr>
          <w:trHeight w:val="3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VSATs (millions)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3.786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3.891</w:t>
            </w:r>
          </w:p>
        </w:tc>
        <w:tc>
          <w:tcPr>
            <w:tcW w:w="727" w:type="dxa"/>
            <w:shd w:val="clear" w:color="auto" w:fill="auto"/>
            <w:noWrap/>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3.838</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3.972</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4.082</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4.35</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Global VSAT Forum</w:t>
            </w:r>
            <w:r w:rsidRPr="00280260">
              <w:rPr>
                <w:rFonts w:asciiTheme="majorBidi" w:hAnsiTheme="majorBidi" w:cstheme="majorBidi"/>
                <w:color w:val="000000" w:themeColor="text1"/>
                <w:sz w:val="20"/>
              </w:rPr>
              <w:br/>
              <w:t>(https://gvf.org)</w:t>
            </w:r>
          </w:p>
        </w:tc>
      </w:tr>
      <w:tr w:rsidR="00827AFC" w:rsidRPr="00280260" w:rsidTr="00827AFC">
        <w:trPr>
          <w:trHeight w:val="62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DTH (millions)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359.2</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407.9</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411.1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424</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439</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 xml:space="preserve">Digital TV World </w:t>
            </w:r>
            <w:proofErr w:type="spellStart"/>
            <w:r w:rsidRPr="00280260">
              <w:rPr>
                <w:rFonts w:asciiTheme="majorBidi" w:hAnsiTheme="majorBidi" w:cstheme="majorBidi"/>
                <w:color w:val="000000" w:themeColor="text1"/>
                <w:sz w:val="20"/>
              </w:rPr>
              <w:t>Databook</w:t>
            </w:r>
            <w:proofErr w:type="spellEnd"/>
            <w:r w:rsidRPr="00280260">
              <w:rPr>
                <w:rFonts w:asciiTheme="majorBidi" w:hAnsiTheme="majorBidi" w:cstheme="majorBidi"/>
                <w:color w:val="000000" w:themeColor="text1"/>
                <w:sz w:val="20"/>
              </w:rPr>
              <w:t xml:space="preserve"> report, July 2017; Digital TV Research Ltd</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t>R.2-6</w:t>
            </w:r>
            <w:r w:rsidRPr="00280260">
              <w:rPr>
                <w:rFonts w:asciiTheme="majorBidi" w:hAnsiTheme="majorBidi" w:cstheme="majorBidi"/>
                <w:sz w:val="20"/>
              </w:rPr>
              <w:t xml:space="preserve">: Increased number of devices with </w:t>
            </w:r>
            <w:proofErr w:type="spellStart"/>
            <w:r w:rsidRPr="00280260">
              <w:rPr>
                <w:rFonts w:asciiTheme="majorBidi" w:hAnsiTheme="majorBidi" w:cstheme="majorBidi"/>
                <w:sz w:val="20"/>
              </w:rPr>
              <w:t>radionavigation</w:t>
            </w:r>
            <w:proofErr w:type="spellEnd"/>
            <w:r w:rsidRPr="00280260">
              <w:rPr>
                <w:rFonts w:asciiTheme="majorBidi" w:hAnsiTheme="majorBidi" w:cstheme="majorBidi"/>
                <w:sz w:val="20"/>
              </w:rPr>
              <w:t>-satellite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operational GNNS constellations/satellites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2/48</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4/75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5/90</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6/137</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6/144</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BR/MIFR</w:t>
            </w:r>
          </w:p>
        </w:tc>
      </w:tr>
      <w:tr w:rsidR="00827AFC" w:rsidRPr="00280260" w:rsidTr="00827AFC">
        <w:trPr>
          <w:trHeight w:val="61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devices with GNSS embedded Rx (billions)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5.0</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European GNSS Agency:</w:t>
            </w:r>
            <w:r w:rsidRPr="00280260">
              <w:rPr>
                <w:rFonts w:asciiTheme="majorBidi" w:hAnsiTheme="majorBidi" w:cstheme="majorBidi"/>
                <w:color w:val="000000" w:themeColor="text1"/>
                <w:sz w:val="20"/>
              </w:rPr>
              <w:br/>
              <w:t xml:space="preserve">GNNS Report </w:t>
            </w:r>
            <w:r w:rsidRPr="00280260">
              <w:rPr>
                <w:rFonts w:asciiTheme="majorBidi" w:hAnsiTheme="majorBidi" w:cstheme="majorBidi"/>
                <w:color w:val="000000" w:themeColor="text1"/>
                <w:sz w:val="20"/>
              </w:rPr>
              <w:br/>
              <w:t>(https://www.gsa.europa.eu)</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rPr>
                <w:rFonts w:asciiTheme="majorBidi" w:hAnsiTheme="majorBidi" w:cstheme="majorBidi"/>
                <w:b/>
                <w:bCs/>
                <w:color w:val="000000"/>
                <w:sz w:val="20"/>
              </w:rPr>
            </w:pPr>
            <w:r w:rsidRPr="00280260">
              <w:rPr>
                <w:rFonts w:asciiTheme="majorBidi" w:hAnsiTheme="majorBidi" w:cstheme="majorBidi"/>
                <w:b/>
                <w:bCs/>
                <w:color w:val="5B9BD5"/>
                <w:sz w:val="20"/>
              </w:rPr>
              <w:t>R.2-7</w:t>
            </w:r>
            <w:r w:rsidRPr="00280260">
              <w:rPr>
                <w:rFonts w:asciiTheme="majorBidi" w:hAnsiTheme="majorBidi" w:cstheme="majorBidi"/>
                <w:sz w:val="20"/>
              </w:rPr>
              <w:t>: Increased</w:t>
            </w:r>
            <w:r w:rsidR="004A56CD">
              <w:rPr>
                <w:rFonts w:asciiTheme="majorBidi" w:hAnsiTheme="majorBidi" w:cstheme="majorBidi"/>
                <w:sz w:val="20"/>
              </w:rPr>
              <w:t xml:space="preserve"> </w:t>
            </w:r>
            <w:r w:rsidRPr="00280260">
              <w:rPr>
                <w:rFonts w:asciiTheme="majorBidi" w:hAnsiTheme="majorBidi" w:cstheme="majorBidi"/>
                <w:sz w:val="20"/>
              </w:rPr>
              <w:t>number of Earth exploration satellites in operation, corresponding quantity and resolution of transmitted images and data volume downloaded (</w:t>
            </w:r>
            <w:proofErr w:type="spellStart"/>
            <w:r w:rsidRPr="00280260">
              <w:rPr>
                <w:rFonts w:asciiTheme="majorBidi" w:hAnsiTheme="majorBidi" w:cstheme="majorBidi"/>
                <w:sz w:val="20"/>
              </w:rPr>
              <w:t>Tbytes</w:t>
            </w:r>
            <w:proofErr w:type="spellEnd"/>
            <w:r w:rsidRPr="00280260">
              <w:rPr>
                <w:rFonts w:asciiTheme="majorBidi" w:hAnsiTheme="majorBidi" w:cstheme="majorBidi"/>
                <w:sz w:val="20"/>
              </w:rPr>
              <w:t>)</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ERS satellites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180</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219</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265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440</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BR/MIFR</w:t>
            </w:r>
          </w:p>
        </w:tc>
      </w:tr>
      <w:tr w:rsidR="00827AFC" w:rsidRPr="00280260" w:rsidTr="00827AFC">
        <w:trPr>
          <w:trHeight w:val="65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Quantity of transmitted images (million)</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68</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71</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p>
        </w:tc>
        <w:tc>
          <w:tcPr>
            <w:tcW w:w="851"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p>
        </w:tc>
        <w:tc>
          <w:tcPr>
            <w:tcW w:w="2693" w:type="dxa"/>
            <w:shd w:val="clear" w:color="auto" w:fill="auto"/>
            <w:noWrap/>
          </w:tcPr>
          <w:p w:rsidR="00827AFC" w:rsidRPr="00280260" w:rsidRDefault="00827AFC" w:rsidP="00827AFC">
            <w:pPr>
              <w:rPr>
                <w:rFonts w:asciiTheme="majorBidi" w:hAnsiTheme="majorBidi" w:cstheme="majorBidi"/>
                <w:b/>
                <w:bCs/>
                <w:color w:val="000000" w:themeColor="text1"/>
                <w:sz w:val="20"/>
              </w:rPr>
            </w:pPr>
            <w:r w:rsidRPr="00280260">
              <w:rPr>
                <w:rFonts w:asciiTheme="majorBidi" w:hAnsiTheme="majorBidi" w:cstheme="majorBidi"/>
                <w:color w:val="000000"/>
                <w:sz w:val="20"/>
              </w:rPr>
              <w:t>To be obtained from UN OOSA, UN Special Working Group</w:t>
            </w:r>
          </w:p>
        </w:tc>
      </w:tr>
      <w:tr w:rsidR="00827AFC" w:rsidRPr="00280260" w:rsidTr="00827AFC">
        <w:trPr>
          <w:trHeight w:val="34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Size of downloaded images (Terabytes)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27,000</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35,000</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37,000</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p>
        </w:tc>
        <w:tc>
          <w:tcPr>
            <w:tcW w:w="851"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p>
        </w:tc>
        <w:tc>
          <w:tcPr>
            <w:tcW w:w="2693" w:type="dxa"/>
            <w:shd w:val="clear" w:color="auto" w:fill="auto"/>
            <w:noWrap/>
            <w:hideMark/>
          </w:tcPr>
          <w:p w:rsidR="00827AFC" w:rsidRPr="00280260" w:rsidRDefault="00827AFC" w:rsidP="00827AFC">
            <w:pPr>
              <w:rPr>
                <w:rFonts w:asciiTheme="majorBidi" w:hAnsiTheme="majorBidi" w:cstheme="majorBidi"/>
                <w:b/>
                <w:bCs/>
                <w:color w:val="000000" w:themeColor="text1"/>
                <w:sz w:val="20"/>
              </w:rPr>
            </w:pPr>
            <w:r w:rsidRPr="00280260">
              <w:rPr>
                <w:rFonts w:asciiTheme="majorBidi" w:hAnsiTheme="majorBidi" w:cstheme="majorBidi"/>
                <w:color w:val="000000"/>
                <w:sz w:val="20"/>
              </w:rPr>
              <w:t>To be obtained from UN OOSA, UN Special Working Group</w:t>
            </w:r>
          </w:p>
        </w:tc>
      </w:tr>
    </w:tbl>
    <w:p w:rsidR="0050743A" w:rsidRPr="00280260" w:rsidRDefault="0050743A" w:rsidP="0050743A">
      <w:pPr>
        <w:rPr>
          <w:rFonts w:asciiTheme="majorBidi" w:eastAsia="SimSun" w:hAnsiTheme="majorBidi" w:cstheme="majorBidi"/>
        </w:rPr>
      </w:pP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r w:rsidRPr="008D5213">
        <w:rPr>
          <w:rFonts w:asciiTheme="majorBidi" w:eastAsia="Calibri" w:hAnsiTheme="majorBidi" w:cstheme="majorBidi"/>
          <w:sz w:val="16"/>
          <w:szCs w:val="16"/>
        </w:rPr>
        <w:br w:type="page"/>
      </w: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p>
    <w:tbl>
      <w:tblPr>
        <w:tblStyle w:val="GridTable4-Accent1121"/>
        <w:tblW w:w="14454" w:type="dxa"/>
        <w:jc w:val="center"/>
        <w:tblLayout w:type="fixed"/>
        <w:tblLook w:val="0620" w:firstRow="1" w:lastRow="0" w:firstColumn="0" w:lastColumn="0" w:noHBand="1" w:noVBand="1"/>
      </w:tblPr>
      <w:tblGrid>
        <w:gridCol w:w="7508"/>
        <w:gridCol w:w="1736"/>
        <w:gridCol w:w="1737"/>
        <w:gridCol w:w="1736"/>
        <w:gridCol w:w="1737"/>
      </w:tblGrid>
      <w:tr w:rsidR="0050743A" w:rsidRPr="00280260" w:rsidTr="0050743A">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r w:rsidRPr="00280260">
              <w:rPr>
                <w:rFonts w:asciiTheme="majorBidi" w:hAnsiTheme="majorBidi" w:cstheme="majorBidi"/>
                <w:sz w:val="22"/>
              </w:rPr>
              <w:br w:type="page"/>
              <w:t>Output</w:t>
            </w:r>
          </w:p>
        </w:tc>
        <w:tc>
          <w:tcPr>
            <w:tcW w:w="6946" w:type="dxa"/>
            <w:gridSpan w:val="4"/>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2"/>
              </w:rPr>
            </w:pPr>
            <w:r w:rsidRPr="00280260">
              <w:rPr>
                <w:rFonts w:asciiTheme="majorBidi" w:hAnsiTheme="majorBidi" w:cstheme="majorBidi"/>
                <w:sz w:val="22"/>
              </w:rPr>
              <w:t>Financial resources</w:t>
            </w:r>
            <w:r w:rsidRPr="00280260">
              <w:rPr>
                <w:rFonts w:asciiTheme="majorBidi" w:hAnsiTheme="majorBidi" w:cstheme="majorBidi"/>
                <w:position w:val="6"/>
                <w:sz w:val="16"/>
              </w:rPr>
              <w:footnoteReference w:id="4"/>
            </w:r>
            <w:r w:rsidRPr="00280260">
              <w:rPr>
                <w:rFonts w:asciiTheme="majorBidi" w:hAnsiTheme="majorBidi" w:cstheme="majorBidi"/>
                <w:sz w:val="22"/>
              </w:rPr>
              <w:t xml:space="preserve"> (in k CHF)</w:t>
            </w:r>
          </w:p>
        </w:tc>
      </w:tr>
      <w:tr w:rsidR="0050743A" w:rsidRPr="00280260" w:rsidTr="0050743A">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2021</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2022</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2023</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R.2-1 </w:t>
            </w:r>
            <w:r w:rsidRPr="00280260">
              <w:rPr>
                <w:rFonts w:asciiTheme="majorBidi" w:hAnsiTheme="majorBidi" w:cstheme="majorBidi"/>
                <w:color w:val="000000"/>
                <w:sz w:val="20"/>
              </w:rPr>
              <w:t xml:space="preserve">Decisions of the </w:t>
            </w:r>
            <w:proofErr w:type="spellStart"/>
            <w:r w:rsidRPr="00280260">
              <w:rPr>
                <w:rFonts w:asciiTheme="majorBidi" w:hAnsiTheme="majorBidi" w:cstheme="majorBidi"/>
                <w:color w:val="000000"/>
                <w:sz w:val="20"/>
              </w:rPr>
              <w:t>Radiocommunication</w:t>
            </w:r>
            <w:proofErr w:type="spellEnd"/>
            <w:r w:rsidRPr="00280260">
              <w:rPr>
                <w:rFonts w:asciiTheme="majorBidi" w:hAnsiTheme="majorBidi" w:cstheme="majorBidi"/>
                <w:color w:val="000000"/>
                <w:sz w:val="20"/>
              </w:rPr>
              <w:t xml:space="preserve"> Assembly, ITU-R resolutions</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711</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703</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8,670</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9,019</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R.2-2 </w:t>
            </w:r>
            <w:r w:rsidRPr="00280260">
              <w:rPr>
                <w:rFonts w:asciiTheme="majorBidi" w:hAnsiTheme="majorBidi" w:cstheme="majorBidi"/>
                <w:color w:val="000000"/>
                <w:sz w:val="20"/>
              </w:rPr>
              <w:t>ITU-R recommendations, reports (including the CPM report) and handbooks</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5,929</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6,109</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5,635</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6,063</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R.2-3 </w:t>
            </w:r>
            <w:r w:rsidRPr="00280260">
              <w:rPr>
                <w:rFonts w:asciiTheme="majorBidi" w:hAnsiTheme="majorBidi" w:cstheme="majorBidi"/>
                <w:color w:val="000000"/>
                <w:sz w:val="20"/>
              </w:rPr>
              <w:t xml:space="preserve">Advice from the </w:t>
            </w:r>
            <w:proofErr w:type="spellStart"/>
            <w:r w:rsidRPr="00280260">
              <w:rPr>
                <w:rFonts w:asciiTheme="majorBidi" w:hAnsiTheme="majorBidi" w:cstheme="majorBidi"/>
                <w:color w:val="000000"/>
                <w:sz w:val="20"/>
              </w:rPr>
              <w:t>Radiocommunication</w:t>
            </w:r>
            <w:proofErr w:type="spellEnd"/>
            <w:r w:rsidRPr="00280260">
              <w:rPr>
                <w:rFonts w:asciiTheme="majorBidi" w:hAnsiTheme="majorBidi" w:cstheme="majorBidi"/>
                <w:color w:val="000000"/>
                <w:sz w:val="20"/>
              </w:rPr>
              <w:t xml:space="preserve"> Advisory Group</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1,430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1,521</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1,367</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1,340</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b/>
                <w:bCs/>
                <w:color w:val="5B9BD5"/>
                <w:sz w:val="20"/>
              </w:rPr>
            </w:pPr>
            <w:r w:rsidRPr="00280260">
              <w:rPr>
                <w:rFonts w:asciiTheme="majorBidi" w:hAnsiTheme="majorBidi" w:cstheme="majorBidi"/>
                <w:sz w:val="20"/>
              </w:rPr>
              <w:t>Cost allocation to Plenipotentiary Conference and Council activities (</w:t>
            </w:r>
            <w:r w:rsidRPr="00280260">
              <w:rPr>
                <w:rFonts w:asciiTheme="majorBidi" w:hAnsiTheme="majorBidi" w:cstheme="majorBidi"/>
                <w:b/>
                <w:bCs/>
                <w:color w:val="5B9BD5"/>
                <w:sz w:val="20"/>
              </w:rPr>
              <w:t>PP</w:t>
            </w:r>
            <w:r w:rsidRPr="00280260">
              <w:rPr>
                <w:rFonts w:asciiTheme="majorBidi" w:hAnsiTheme="majorBidi" w:cstheme="majorBidi"/>
                <w:sz w:val="20"/>
              </w:rPr>
              <w:t xml:space="preserve">, </w:t>
            </w:r>
            <w:r w:rsidRPr="00280260">
              <w:rPr>
                <w:rFonts w:asciiTheme="majorBidi" w:hAnsiTheme="majorBidi" w:cstheme="majorBidi"/>
                <w:b/>
                <w:bCs/>
                <w:color w:val="5B9BD5"/>
                <w:sz w:val="20"/>
              </w:rPr>
              <w:t>Council/CWGs</w:t>
            </w:r>
            <w:r w:rsidRPr="00280260">
              <w:rPr>
                <w:rFonts w:asciiTheme="majorBidi" w:hAnsiTheme="majorBidi" w:cstheme="majorBidi"/>
                <w:sz w:val="20"/>
              </w:rPr>
              <w:t>)</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60" w:after="60" w:line="216" w:lineRule="auto"/>
              <w:ind w:right="113"/>
              <w:textAlignment w:val="auto"/>
              <w:rPr>
                <w:rFonts w:asciiTheme="majorBidi" w:hAnsiTheme="majorBidi" w:cstheme="majorBidi"/>
                <w:b/>
                <w:bCs/>
                <w:color w:val="5B9BD5"/>
                <w:sz w:val="20"/>
                <w:lang w:eastAsia="zh-CN"/>
              </w:rPr>
            </w:pPr>
            <w:r w:rsidRPr="00280260">
              <w:rPr>
                <w:rFonts w:asciiTheme="majorBidi" w:hAnsiTheme="majorBidi" w:cstheme="majorBidi"/>
                <w:b/>
                <w:bCs/>
                <w:color w:val="5B9BD5"/>
                <w:sz w:val="20"/>
              </w:rPr>
              <w:t>Total for Objective R.2</w:t>
            </w:r>
          </w:p>
        </w:tc>
        <w:tc>
          <w:tcPr>
            <w:tcW w:w="1736"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6"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r>
    </w:tbl>
    <w:p w:rsidR="00280260" w:rsidRDefault="00280260" w:rsidP="0050743A">
      <w:pPr>
        <w:rPr>
          <w:rFonts w:asciiTheme="majorBidi" w:eastAsia="SimSun" w:hAnsiTheme="majorBidi" w:cstheme="majorBidi"/>
        </w:rPr>
      </w:pPr>
    </w:p>
    <w:p w:rsidR="0050743A" w:rsidRPr="00284D56" w:rsidRDefault="0050743A" w:rsidP="0050743A">
      <w:pPr>
        <w:rPr>
          <w:rFonts w:asciiTheme="majorBidi" w:eastAsia="Calibri" w:hAnsiTheme="majorBidi" w:cstheme="majorBidi"/>
          <w:sz w:val="22"/>
          <w:szCs w:val="22"/>
        </w:rPr>
      </w:pPr>
      <w:r w:rsidRPr="00284D56">
        <w:rPr>
          <w:rFonts w:asciiTheme="majorBidi" w:eastAsia="SimSun" w:hAnsiTheme="majorBidi" w:cstheme="majorBidi"/>
          <w:sz w:val="22"/>
          <w:szCs w:val="22"/>
        </w:rPr>
        <w:t xml:space="preserve">R.3 Foster the acquisition and sharing of knowledge and know-how on </w:t>
      </w:r>
      <w:proofErr w:type="spellStart"/>
      <w:r w:rsidRPr="00284D56">
        <w:rPr>
          <w:rFonts w:asciiTheme="majorBidi" w:eastAsia="SimSun" w:hAnsiTheme="majorBidi" w:cstheme="majorBidi"/>
          <w:sz w:val="22"/>
          <w:szCs w:val="22"/>
        </w:rPr>
        <w:t>radiocommunications</w:t>
      </w:r>
      <w:proofErr w:type="spellEnd"/>
    </w:p>
    <w:tbl>
      <w:tblPr>
        <w:tblW w:w="14454" w:type="dxa"/>
        <w:jc w:val="center"/>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943"/>
        <w:gridCol w:w="943"/>
        <w:gridCol w:w="944"/>
        <w:gridCol w:w="943"/>
        <w:gridCol w:w="944"/>
        <w:gridCol w:w="1849"/>
      </w:tblGrid>
      <w:tr w:rsidR="00523D93" w:rsidRPr="00280260" w:rsidTr="00280260">
        <w:trPr>
          <w:trHeight w:val="320"/>
          <w:jc w:val="center"/>
        </w:trPr>
        <w:tc>
          <w:tcPr>
            <w:tcW w:w="3648"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w:t>
            </w:r>
          </w:p>
        </w:tc>
        <w:tc>
          <w:tcPr>
            <w:tcW w:w="4240"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p>
        </w:tc>
        <w:tc>
          <w:tcPr>
            <w:tcW w:w="943"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943"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944" w:type="dxa"/>
            <w:tcBorders>
              <w:top w:val="single" w:sz="4" w:space="0" w:color="5B9BD5"/>
              <w:bottom w:val="single" w:sz="6" w:space="0" w:color="5B9BD5"/>
            </w:tcBorders>
            <w:shd w:val="clear" w:color="000000" w:fill="5B9BD5"/>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943" w:type="dxa"/>
            <w:tcBorders>
              <w:top w:val="single" w:sz="4" w:space="0" w:color="5B9BD5"/>
              <w:bottom w:val="single" w:sz="6" w:space="0" w:color="5B9BD5"/>
            </w:tcBorders>
            <w:shd w:val="clear" w:color="000000" w:fill="5B9BD5"/>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944"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1849"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523D93" w:rsidRPr="00280260" w:rsidTr="00280260">
        <w:trPr>
          <w:trHeight w:val="315"/>
          <w:jc w:val="center"/>
        </w:trPr>
        <w:tc>
          <w:tcPr>
            <w:tcW w:w="3648" w:type="dxa"/>
            <w:vMerge w:val="restart"/>
            <w:tcBorders>
              <w:top w:val="single" w:sz="6" w:space="0" w:color="5B9BD5"/>
            </w:tcBorders>
            <w:shd w:val="clear" w:color="auto" w:fill="auto"/>
            <w:hideMark/>
          </w:tcPr>
          <w:p w:rsidR="00523D93" w:rsidRPr="00280260" w:rsidRDefault="00523D93" w:rsidP="00280260">
            <w:pPr>
              <w:spacing w:before="40" w:after="60"/>
              <w:rPr>
                <w:rFonts w:asciiTheme="majorBidi" w:hAnsiTheme="majorBidi" w:cstheme="majorBidi"/>
                <w:sz w:val="20"/>
              </w:rPr>
            </w:pPr>
            <w:r w:rsidRPr="00280260">
              <w:rPr>
                <w:rFonts w:asciiTheme="majorBidi" w:hAnsiTheme="majorBidi" w:cstheme="majorBidi"/>
                <w:b/>
                <w:bCs/>
                <w:color w:val="5B9BD5"/>
                <w:sz w:val="20"/>
              </w:rPr>
              <w:t>R.3-1</w:t>
            </w:r>
            <w:r w:rsidRPr="00280260">
              <w:rPr>
                <w:rFonts w:asciiTheme="majorBidi" w:hAnsiTheme="majorBidi" w:cstheme="majorBid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ITU-R free online publication downloads (millions)</w:t>
            </w:r>
            <w:r w:rsidRPr="00280260">
              <w:rPr>
                <w:rFonts w:asciiTheme="majorBidi" w:hAnsiTheme="majorBidi" w:cstheme="majorBidi"/>
                <w:position w:val="6"/>
                <w:sz w:val="16"/>
              </w:rPr>
              <w:t xml:space="preserve"> </w:t>
            </w:r>
            <w:r w:rsidRPr="00280260">
              <w:rPr>
                <w:rFonts w:asciiTheme="majorBidi" w:hAnsiTheme="majorBidi" w:cstheme="majorBidi"/>
                <w:position w:val="6"/>
                <w:sz w:val="16"/>
              </w:rPr>
              <w:footnoteReference w:id="5"/>
            </w:r>
          </w:p>
        </w:tc>
        <w:tc>
          <w:tcPr>
            <w:tcW w:w="943"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0.9  </w:t>
            </w:r>
          </w:p>
        </w:tc>
        <w:tc>
          <w:tcPr>
            <w:tcW w:w="943"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1.0</w:t>
            </w:r>
          </w:p>
        </w:tc>
        <w:tc>
          <w:tcPr>
            <w:tcW w:w="944" w:type="dxa"/>
            <w:tcBorders>
              <w:top w:val="single" w:sz="6" w:space="0" w:color="5B9BD5"/>
            </w:tcBorders>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1.7</w:t>
            </w:r>
          </w:p>
        </w:tc>
        <w:tc>
          <w:tcPr>
            <w:tcW w:w="943" w:type="dxa"/>
            <w:tcBorders>
              <w:top w:val="single" w:sz="6" w:space="0" w:color="5B9BD5"/>
            </w:tcBorders>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1.57</w:t>
            </w:r>
          </w:p>
        </w:tc>
        <w:tc>
          <w:tcPr>
            <w:tcW w:w="944"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1849" w:type="dxa"/>
            <w:vMerge w:val="restart"/>
            <w:tcBorders>
              <w:top w:val="single" w:sz="6" w:space="0" w:color="5B9BD5"/>
            </w:tcBorders>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r w:rsidR="00523D93" w:rsidRPr="00280260" w:rsidTr="00280260">
        <w:trPr>
          <w:trHeight w:val="320"/>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 xml:space="preserve">Number of capacity-building events organized/supported by BR (presence &amp; virtual)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25</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944"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37</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34</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29</w:t>
            </w:r>
          </w:p>
        </w:tc>
        <w:tc>
          <w:tcPr>
            <w:tcW w:w="1849" w:type="dxa"/>
            <w:vMerge/>
            <w:shd w:val="clear" w:color="auto" w:fill="auto"/>
            <w:hideMark/>
          </w:tcPr>
          <w:p w:rsidR="00523D93" w:rsidRPr="00280260" w:rsidRDefault="00523D93" w:rsidP="00280260">
            <w:pPr>
              <w:spacing w:before="40"/>
              <w:jc w:val="center"/>
              <w:rPr>
                <w:rFonts w:asciiTheme="majorBidi" w:hAnsiTheme="majorBidi" w:cstheme="majorBidi"/>
                <w:color w:val="000000"/>
                <w:sz w:val="20"/>
              </w:rPr>
            </w:pPr>
          </w:p>
        </w:tc>
      </w:tr>
      <w:tr w:rsidR="00523D93" w:rsidRPr="00280260" w:rsidTr="00280260">
        <w:trPr>
          <w:trHeight w:val="598"/>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participants on capacity building events organized/supported by ITU/BR ( cumulated during the period between two WRCs)</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 1,518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737</w:t>
            </w:r>
          </w:p>
        </w:tc>
        <w:tc>
          <w:tcPr>
            <w:tcW w:w="944" w:type="dxa"/>
          </w:tcPr>
          <w:p w:rsidR="00523D93" w:rsidRPr="00280260" w:rsidRDefault="00523D93" w:rsidP="00280260">
            <w:pPr>
              <w:spacing w:before="40"/>
              <w:jc w:val="center"/>
              <w:rPr>
                <w:rFonts w:asciiTheme="majorBidi" w:hAnsiTheme="majorBidi" w:cstheme="majorBidi"/>
                <w:color w:val="000000"/>
                <w:sz w:val="20"/>
                <w:highlight w:val="yellow"/>
              </w:rPr>
            </w:pPr>
            <w:r w:rsidRPr="00280260">
              <w:rPr>
                <w:rFonts w:asciiTheme="majorBidi" w:hAnsiTheme="majorBidi" w:cstheme="majorBidi"/>
                <w:color w:val="000000"/>
                <w:sz w:val="20"/>
              </w:rPr>
              <w:t>1,363</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669</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2,000</w:t>
            </w:r>
          </w:p>
        </w:tc>
        <w:tc>
          <w:tcPr>
            <w:tcW w:w="1849" w:type="dxa"/>
            <w:vMerge/>
            <w:shd w:val="clear" w:color="auto" w:fill="auto"/>
            <w:hideMark/>
          </w:tcPr>
          <w:p w:rsidR="00523D93" w:rsidRPr="00280260" w:rsidRDefault="00523D93" w:rsidP="00280260">
            <w:pPr>
              <w:spacing w:before="40"/>
              <w:jc w:val="center"/>
              <w:rPr>
                <w:rFonts w:asciiTheme="majorBidi" w:hAnsiTheme="majorBidi" w:cstheme="majorBidi"/>
                <w:color w:val="000000"/>
                <w:sz w:val="20"/>
              </w:rPr>
            </w:pPr>
          </w:p>
        </w:tc>
      </w:tr>
      <w:tr w:rsidR="00523D93" w:rsidRPr="00280260" w:rsidTr="00280260">
        <w:trPr>
          <w:trHeight w:val="320"/>
          <w:jc w:val="center"/>
        </w:trPr>
        <w:tc>
          <w:tcPr>
            <w:tcW w:w="3648" w:type="dxa"/>
            <w:vMerge w:val="restart"/>
            <w:shd w:val="clear" w:color="auto" w:fill="auto"/>
          </w:tcPr>
          <w:p w:rsidR="00523D93" w:rsidRPr="00280260" w:rsidRDefault="00523D93" w:rsidP="00280260">
            <w:pPr>
              <w:spacing w:before="40"/>
              <w:rPr>
                <w:rFonts w:asciiTheme="majorBidi" w:hAnsiTheme="majorBidi" w:cstheme="majorBidi"/>
                <w:b/>
                <w:bCs/>
                <w:color w:val="5B9BD5"/>
                <w:sz w:val="20"/>
              </w:rPr>
            </w:pPr>
            <w:r w:rsidRPr="00280260">
              <w:rPr>
                <w:rFonts w:asciiTheme="majorBidi" w:hAnsiTheme="majorBidi" w:cstheme="majorBidi"/>
                <w:b/>
                <w:bCs/>
                <w:color w:val="5B9BD5"/>
                <w:sz w:val="20"/>
              </w:rPr>
              <w:t>R.3-2</w:t>
            </w:r>
            <w:r w:rsidRPr="00280260">
              <w:rPr>
                <w:rFonts w:asciiTheme="majorBidi" w:hAnsiTheme="majorBidi" w:cstheme="majorBidi"/>
                <w:sz w:val="20"/>
              </w:rPr>
              <w:t>: Increased participation in ITU-R activities (including through remote participation), in particular by developing countries</w:t>
            </w:r>
          </w:p>
        </w:tc>
        <w:tc>
          <w:tcPr>
            <w:tcW w:w="4240" w:type="dxa"/>
            <w:shd w:val="clear" w:color="auto" w:fill="auto"/>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technical assistances/events with BR participation</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93</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100</w:t>
            </w:r>
          </w:p>
        </w:tc>
        <w:tc>
          <w:tcPr>
            <w:tcW w:w="944"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111</w:t>
            </w:r>
          </w:p>
        </w:tc>
        <w:tc>
          <w:tcPr>
            <w:tcW w:w="943"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110</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100</w:t>
            </w:r>
          </w:p>
        </w:tc>
        <w:tc>
          <w:tcPr>
            <w:tcW w:w="1849"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Mission Plan</w:t>
            </w:r>
          </w:p>
        </w:tc>
      </w:tr>
      <w:tr w:rsidR="00523D93" w:rsidRPr="00280260" w:rsidTr="00280260">
        <w:trPr>
          <w:trHeight w:val="320"/>
          <w:jc w:val="center"/>
        </w:trPr>
        <w:tc>
          <w:tcPr>
            <w:tcW w:w="3648" w:type="dxa"/>
            <w:vMerge/>
            <w:shd w:val="clear" w:color="auto" w:fill="auto"/>
          </w:tcPr>
          <w:p w:rsidR="00523D93" w:rsidRPr="00280260" w:rsidRDefault="00523D93" w:rsidP="00280260">
            <w:pPr>
              <w:spacing w:before="40"/>
              <w:jc w:val="center"/>
              <w:rPr>
                <w:rFonts w:asciiTheme="majorBidi" w:hAnsiTheme="majorBidi" w:cstheme="majorBidi"/>
                <w:b/>
                <w:bCs/>
                <w:color w:val="5B9BD5"/>
                <w:sz w:val="20"/>
              </w:rPr>
            </w:pPr>
          </w:p>
        </w:tc>
        <w:tc>
          <w:tcPr>
            <w:tcW w:w="4240" w:type="dxa"/>
            <w:shd w:val="clear" w:color="auto" w:fill="auto"/>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countries receiving BR technical assistance/events</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78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61</w:t>
            </w:r>
          </w:p>
        </w:tc>
        <w:tc>
          <w:tcPr>
            <w:tcW w:w="944"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943"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74</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80</w:t>
            </w:r>
          </w:p>
        </w:tc>
        <w:tc>
          <w:tcPr>
            <w:tcW w:w="1849"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Mission Plan</w:t>
            </w:r>
          </w:p>
        </w:tc>
      </w:tr>
      <w:tr w:rsidR="00523D93" w:rsidRPr="00280260" w:rsidTr="00280260">
        <w:trPr>
          <w:trHeight w:val="803"/>
          <w:jc w:val="center"/>
        </w:trPr>
        <w:tc>
          <w:tcPr>
            <w:tcW w:w="3648" w:type="dxa"/>
            <w:vMerge/>
            <w:shd w:val="clear" w:color="auto" w:fill="auto"/>
            <w:hideMark/>
          </w:tcPr>
          <w:p w:rsidR="00523D93" w:rsidRPr="00280260" w:rsidRDefault="00523D93" w:rsidP="00280260">
            <w:pPr>
              <w:spacing w:before="40"/>
              <w:jc w:val="center"/>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participants/events in ITU-R conferences, assemblies and Study Group-related meetings  (presence &amp; virtual)</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8972/38</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bCs/>
                <w:color w:val="000000" w:themeColor="text1"/>
                <w:sz w:val="20"/>
              </w:rPr>
              <w:t>6042/48</w:t>
            </w:r>
          </w:p>
        </w:tc>
        <w:tc>
          <w:tcPr>
            <w:tcW w:w="944" w:type="dxa"/>
          </w:tcPr>
          <w:p w:rsidR="00523D93" w:rsidRPr="00280260" w:rsidRDefault="00523D93" w:rsidP="0028026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7061/52</w:t>
            </w:r>
          </w:p>
        </w:tc>
        <w:tc>
          <w:tcPr>
            <w:tcW w:w="943" w:type="dxa"/>
          </w:tcPr>
          <w:p w:rsidR="00523D93" w:rsidRPr="00280260" w:rsidRDefault="00523D93" w:rsidP="0028026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4560/47</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4560/47</w:t>
            </w:r>
          </w:p>
        </w:tc>
        <w:tc>
          <w:tcPr>
            <w:tcW w:w="1849" w:type="dxa"/>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r w:rsidR="00523D93" w:rsidRPr="00280260" w:rsidTr="00280260">
        <w:trPr>
          <w:trHeight w:val="340"/>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countries participating in ITU-R seminars and workshops, SG and WP meetings and events (presence &amp; virtual)</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161</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130</w:t>
            </w:r>
          </w:p>
        </w:tc>
        <w:tc>
          <w:tcPr>
            <w:tcW w:w="944"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78</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137</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193</w:t>
            </w:r>
          </w:p>
        </w:tc>
        <w:tc>
          <w:tcPr>
            <w:tcW w:w="1849" w:type="dxa"/>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bl>
    <w:p w:rsidR="008D5213" w:rsidRPr="00280260" w:rsidRDefault="008D5213">
      <w:pPr>
        <w:rPr>
          <w:rFonts w:asciiTheme="majorBidi" w:hAnsiTheme="majorBidi" w:cstheme="majorBidi"/>
        </w:rPr>
      </w:pPr>
    </w:p>
    <w:p w:rsidR="008D5213" w:rsidRDefault="008D5213"/>
    <w:tbl>
      <w:tblPr>
        <w:tblStyle w:val="GridTable4-Accent1121"/>
        <w:tblW w:w="14454" w:type="dxa"/>
        <w:tblLayout w:type="fixed"/>
        <w:tblLook w:val="0620" w:firstRow="1" w:lastRow="0" w:firstColumn="0" w:lastColumn="0" w:noHBand="1" w:noVBand="1"/>
      </w:tblPr>
      <w:tblGrid>
        <w:gridCol w:w="7508"/>
        <w:gridCol w:w="1736"/>
        <w:gridCol w:w="1737"/>
        <w:gridCol w:w="1736"/>
        <w:gridCol w:w="1737"/>
      </w:tblGrid>
      <w:tr w:rsidR="0050743A" w:rsidRPr="008D5213" w:rsidTr="0050743A">
        <w:trPr>
          <w:cnfStyle w:val="100000000000" w:firstRow="1" w:lastRow="0" w:firstColumn="0" w:lastColumn="0" w:oddVBand="0" w:evenVBand="0" w:oddHBand="0" w:evenHBand="0" w:firstRowFirstColumn="0" w:firstRowLastColumn="0" w:lastRowFirstColumn="0" w:lastRowLastColumn="0"/>
        </w:trPr>
        <w:tc>
          <w:tcPr>
            <w:tcW w:w="7508" w:type="dxa"/>
          </w:tcPr>
          <w:p w:rsidR="0050743A" w:rsidRPr="008D5213" w:rsidRDefault="0050743A" w:rsidP="0050743A">
            <w:pPr>
              <w:overflowPunct/>
              <w:autoSpaceDE/>
              <w:autoSpaceDN/>
              <w:adjustRightInd/>
              <w:spacing w:before="40" w:after="40"/>
              <w:textAlignment w:val="auto"/>
              <w:rPr>
                <w:rFonts w:asciiTheme="majorBidi" w:hAnsiTheme="majorBidi" w:cstheme="majorBidi"/>
                <w:sz w:val="22"/>
              </w:rPr>
            </w:pPr>
            <w:r w:rsidRPr="008D5213">
              <w:rPr>
                <w:rFonts w:asciiTheme="majorBidi" w:hAnsiTheme="majorBidi" w:cstheme="majorBidi"/>
                <w:sz w:val="22"/>
              </w:rPr>
              <w:t>Output</w:t>
            </w:r>
          </w:p>
        </w:tc>
        <w:tc>
          <w:tcPr>
            <w:tcW w:w="6946" w:type="dxa"/>
            <w:gridSpan w:val="4"/>
          </w:tcPr>
          <w:p w:rsidR="0050743A" w:rsidRPr="008D5213" w:rsidRDefault="0050743A" w:rsidP="0050743A">
            <w:pPr>
              <w:overflowPunct/>
              <w:autoSpaceDE/>
              <w:autoSpaceDN/>
              <w:adjustRightInd/>
              <w:spacing w:before="40" w:after="40"/>
              <w:jc w:val="center"/>
              <w:textAlignment w:val="auto"/>
              <w:rPr>
                <w:rFonts w:asciiTheme="majorBidi" w:hAnsiTheme="majorBidi" w:cstheme="majorBidi"/>
                <w:sz w:val="22"/>
              </w:rPr>
            </w:pPr>
            <w:r w:rsidRPr="008D5213">
              <w:rPr>
                <w:rFonts w:asciiTheme="majorBidi" w:hAnsiTheme="majorBidi" w:cstheme="majorBidi"/>
                <w:sz w:val="22"/>
              </w:rPr>
              <w:t>Financial resources</w:t>
            </w:r>
            <w:r w:rsidRPr="008D5213">
              <w:rPr>
                <w:rFonts w:asciiTheme="majorBidi" w:hAnsiTheme="majorBidi" w:cstheme="majorBidi"/>
                <w:position w:val="6"/>
                <w:sz w:val="16"/>
              </w:rPr>
              <w:footnoteReference w:id="6"/>
            </w:r>
            <w:r w:rsidRPr="008D5213">
              <w:rPr>
                <w:rFonts w:asciiTheme="majorBidi" w:hAnsiTheme="majorBidi" w:cstheme="majorBidi"/>
                <w:sz w:val="22"/>
              </w:rPr>
              <w:t xml:space="preserve"> (in k CHF)</w:t>
            </w:r>
          </w:p>
        </w:tc>
      </w:tr>
      <w:tr w:rsidR="0050743A" w:rsidRPr="008D5213" w:rsidTr="0050743A">
        <w:tc>
          <w:tcPr>
            <w:tcW w:w="7508" w:type="dxa"/>
          </w:tcPr>
          <w:p w:rsidR="0050743A" w:rsidRPr="008D5213" w:rsidRDefault="0050743A" w:rsidP="0050743A">
            <w:pPr>
              <w:overflowPunct/>
              <w:autoSpaceDE/>
              <w:autoSpaceDN/>
              <w:adjustRightInd/>
              <w:spacing w:before="0"/>
              <w:textAlignment w:val="auto"/>
              <w:rPr>
                <w:rFonts w:asciiTheme="majorBidi" w:hAnsiTheme="majorBidi" w:cstheme="majorBidi"/>
                <w:sz w:val="22"/>
              </w:rPr>
            </w:pPr>
          </w:p>
        </w:tc>
        <w:tc>
          <w:tcPr>
            <w:tcW w:w="1736"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2020</w:t>
            </w:r>
          </w:p>
        </w:tc>
        <w:tc>
          <w:tcPr>
            <w:tcW w:w="1737"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2021</w:t>
            </w:r>
          </w:p>
        </w:tc>
        <w:tc>
          <w:tcPr>
            <w:tcW w:w="1736"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2022</w:t>
            </w:r>
          </w:p>
        </w:tc>
        <w:tc>
          <w:tcPr>
            <w:tcW w:w="1737"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2023</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R.3-1</w:t>
            </w:r>
            <w:r w:rsidRPr="008D5213">
              <w:rPr>
                <w:rFonts w:asciiTheme="majorBidi" w:hAnsiTheme="majorBidi" w:cstheme="majorBidi"/>
                <w:color w:val="000000"/>
                <w:sz w:val="20"/>
              </w:rPr>
              <w:t xml:space="preserve"> ITU-R publications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6,611</w:t>
            </w:r>
          </w:p>
        </w:tc>
        <w:tc>
          <w:tcPr>
            <w:tcW w:w="1737" w:type="dxa"/>
            <w:vAlign w:val="center"/>
          </w:tcPr>
          <w:p w:rsidR="0050743A" w:rsidRPr="008D5213" w:rsidRDefault="0050743A" w:rsidP="0050743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6,495</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7,237</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5,938</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b/>
                <w:bCs/>
                <w:color w:val="5B9BD5"/>
                <w:sz w:val="20"/>
                <w:lang w:eastAsia="zh-CN"/>
              </w:rPr>
            </w:pPr>
            <w:r w:rsidRPr="008D5213">
              <w:rPr>
                <w:rFonts w:asciiTheme="majorBidi" w:hAnsiTheme="majorBidi" w:cstheme="majorBidi"/>
                <w:b/>
                <w:bCs/>
                <w:color w:val="5B9BD5"/>
                <w:sz w:val="20"/>
              </w:rPr>
              <w:t>R.3-2</w:t>
            </w:r>
            <w:r w:rsidRPr="008D5213">
              <w:rPr>
                <w:rFonts w:asciiTheme="majorBidi" w:hAnsiTheme="majorBidi" w:cstheme="majorBidi"/>
                <w:color w:val="000000"/>
                <w:sz w:val="20"/>
              </w:rPr>
              <w:t xml:space="preserve"> Assistance to members, in particular developing countries and LDCs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4,312</w:t>
            </w:r>
          </w:p>
        </w:tc>
        <w:tc>
          <w:tcPr>
            <w:tcW w:w="1737" w:type="dxa"/>
            <w:vAlign w:val="center"/>
          </w:tcPr>
          <w:p w:rsidR="0050743A" w:rsidRPr="008D5213" w:rsidRDefault="0050743A" w:rsidP="0050743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4,321</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2,871</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2,644</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R.3-3</w:t>
            </w:r>
            <w:r w:rsidRPr="008D5213">
              <w:rPr>
                <w:rFonts w:asciiTheme="majorBidi" w:hAnsiTheme="majorBidi" w:cstheme="majorBidi"/>
                <w:color w:val="000000"/>
                <w:sz w:val="20"/>
              </w:rPr>
              <w:t xml:space="preserve"> Liaison/support to development activities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1,521</w:t>
            </w: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1,456</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1,637</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1,674</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 xml:space="preserve">R.3-4 </w:t>
            </w:r>
            <w:r w:rsidRPr="008D5213">
              <w:rPr>
                <w:rFonts w:asciiTheme="majorBidi" w:hAnsiTheme="majorBidi" w:cstheme="majorBidi"/>
                <w:color w:val="000000"/>
                <w:sz w:val="20"/>
              </w:rPr>
              <w:t>Seminars, workshops and other events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4,355</w:t>
            </w: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4,625</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3,862</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3,677</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b/>
                <w:bCs/>
                <w:color w:val="5B9BD5"/>
                <w:sz w:val="20"/>
              </w:rPr>
            </w:pPr>
            <w:r w:rsidRPr="008D5213">
              <w:rPr>
                <w:rFonts w:asciiTheme="majorBidi" w:hAnsiTheme="majorBidi" w:cstheme="majorBidi"/>
                <w:sz w:val="20"/>
              </w:rPr>
              <w:t>Cost allocation to Plenipotentiary Conference and Council activities (</w:t>
            </w:r>
            <w:r w:rsidRPr="008D5213">
              <w:rPr>
                <w:rFonts w:asciiTheme="majorBidi" w:hAnsiTheme="majorBidi" w:cstheme="majorBidi"/>
                <w:b/>
                <w:bCs/>
                <w:color w:val="5B9BD5"/>
                <w:sz w:val="20"/>
              </w:rPr>
              <w:t>PP</w:t>
            </w:r>
            <w:r w:rsidRPr="008D5213">
              <w:rPr>
                <w:rFonts w:asciiTheme="majorBidi" w:hAnsiTheme="majorBidi" w:cstheme="majorBidi"/>
                <w:sz w:val="20"/>
              </w:rPr>
              <w:t xml:space="preserve">, </w:t>
            </w:r>
            <w:r w:rsidRPr="008D5213">
              <w:rPr>
                <w:rFonts w:asciiTheme="majorBidi" w:hAnsiTheme="majorBidi" w:cstheme="majorBidi"/>
                <w:b/>
                <w:bCs/>
                <w:color w:val="5B9BD5"/>
                <w:sz w:val="20"/>
              </w:rPr>
              <w:t>Council/CWGs</w:t>
            </w:r>
            <w:r w:rsidRPr="008D5213">
              <w:rPr>
                <w:rFonts w:asciiTheme="majorBidi" w:hAnsiTheme="majorBidi" w:cstheme="majorBidi"/>
                <w:sz w:val="20"/>
              </w:rPr>
              <w:t>)</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r>
      <w:tr w:rsidR="0050743A" w:rsidRPr="008D5213" w:rsidTr="0050743A">
        <w:tc>
          <w:tcPr>
            <w:tcW w:w="7508" w:type="dxa"/>
            <w:vAlign w:val="center"/>
          </w:tcPr>
          <w:p w:rsidR="0050743A" w:rsidRPr="008D5213" w:rsidRDefault="0050743A" w:rsidP="0050743A">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8D5213">
              <w:rPr>
                <w:rFonts w:asciiTheme="majorBidi" w:hAnsiTheme="majorBidi" w:cstheme="majorBidi"/>
                <w:b/>
                <w:bCs/>
                <w:color w:val="5B9BD5"/>
                <w:sz w:val="20"/>
              </w:rPr>
              <w:t>Total for Objective R.3</w:t>
            </w:r>
          </w:p>
        </w:tc>
        <w:tc>
          <w:tcPr>
            <w:tcW w:w="1736"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r>
    </w:tbl>
    <w:p w:rsidR="0050743A" w:rsidRPr="008D5213" w:rsidRDefault="0050743A" w:rsidP="0050743A">
      <w:pPr>
        <w:rPr>
          <w:rFonts w:asciiTheme="majorBidi" w:hAnsiTheme="majorBidi" w:cstheme="majorBidi"/>
        </w:rPr>
      </w:pPr>
    </w:p>
    <w:p w:rsidR="002816DC" w:rsidRPr="008D5213" w:rsidRDefault="002816DC" w:rsidP="0050743A">
      <w:pPr>
        <w:tabs>
          <w:tab w:val="left" w:pos="5910"/>
        </w:tabs>
        <w:rPr>
          <w:rFonts w:asciiTheme="majorBidi" w:hAnsiTheme="majorBidi" w:cstheme="majorBidi"/>
          <w:sz w:val="20"/>
          <w:lang w:val="de-DE"/>
        </w:rPr>
      </w:pPr>
    </w:p>
    <w:p w:rsidR="002816DC" w:rsidRPr="008D5213" w:rsidRDefault="00056137" w:rsidP="0050743A">
      <w:pPr>
        <w:jc w:val="center"/>
        <w:rPr>
          <w:rFonts w:asciiTheme="majorBidi" w:hAnsiTheme="majorBidi" w:cstheme="majorBidi"/>
        </w:rPr>
      </w:pPr>
      <w:r w:rsidRPr="008D5213">
        <w:rPr>
          <w:rFonts w:asciiTheme="majorBidi" w:hAnsiTheme="majorBidi" w:cstheme="majorBidi"/>
        </w:rPr>
        <w:t>_____________</w:t>
      </w:r>
    </w:p>
    <w:sectPr w:rsidR="002816DC" w:rsidRPr="008D5213" w:rsidSect="0050743A">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A2" w:rsidRDefault="006509A2">
      <w:r>
        <w:separator/>
      </w:r>
    </w:p>
  </w:endnote>
  <w:endnote w:type="continuationSeparator" w:id="0">
    <w:p w:rsidR="006509A2" w:rsidRDefault="0065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0E" w:rsidRDefault="001B7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0E" w:rsidRDefault="001B7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0E" w:rsidRDefault="001B79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Pr="00874EFB" w:rsidRDefault="00280260" w:rsidP="0050743A">
    <w:pPr>
      <w:pStyle w:val="Footer"/>
      <w:jc w:val="center"/>
      <w:rPr>
        <w:rFonts w:asciiTheme="minorHAnsi" w:hAnsiTheme="minorHAnsi" w:cs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Default="00280260" w:rsidP="005074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A2" w:rsidRDefault="006509A2">
      <w:r>
        <w:t>____________________</w:t>
      </w:r>
    </w:p>
  </w:footnote>
  <w:footnote w:type="continuationSeparator" w:id="0">
    <w:p w:rsidR="006509A2" w:rsidRDefault="006509A2">
      <w:r>
        <w:continuationSeparator/>
      </w:r>
    </w:p>
  </w:footnote>
  <w:footnote w:id="1">
    <w:p w:rsidR="00E074E6" w:rsidRPr="00B74BA3" w:rsidRDefault="00E074E6" w:rsidP="00E074E6">
      <w:pPr>
        <w:pStyle w:val="FootnoteText"/>
        <w:spacing w:before="0"/>
        <w:rPr>
          <w:rStyle w:val="FootnoteReference"/>
          <w:sz w:val="20"/>
        </w:rPr>
      </w:pPr>
      <w:r w:rsidRPr="00260A66">
        <w:rPr>
          <w:rFonts w:eastAsia="Calibri" w:cs="Calibri"/>
          <w:sz w:val="18"/>
          <w:vertAlign w:val="superscript"/>
        </w:rPr>
        <w:t>2</w:t>
      </w:r>
      <w:r w:rsidRPr="00260A66">
        <w:rPr>
          <w:rFonts w:eastAsia="Calibri" w:cs="Calibri"/>
          <w:sz w:val="20"/>
          <w:szCs w:val="22"/>
        </w:rPr>
        <w:t xml:space="preserve"> </w:t>
      </w:r>
      <w:r w:rsidRPr="00260A66">
        <w:rPr>
          <w:rFonts w:eastAsia="Calibri" w:cs="Calibri"/>
          <w:sz w:val="18"/>
          <w:szCs w:val="18"/>
        </w:rPr>
        <w:t>Risk owners will be appointed by the Director of the Bureau</w:t>
      </w:r>
      <w:r>
        <w:rPr>
          <w:rFonts w:eastAsia="Calibri" w:cs="Calibri"/>
          <w:sz w:val="18"/>
          <w:szCs w:val="18"/>
        </w:rPr>
        <w:t>.</w:t>
      </w:r>
    </w:p>
  </w:footnote>
  <w:footnote w:id="2">
    <w:p w:rsidR="00280260" w:rsidRPr="004238CF" w:rsidRDefault="00280260" w:rsidP="0050743A">
      <w:pPr>
        <w:pStyle w:val="FootnoteText"/>
        <w:spacing w:before="0"/>
        <w:rPr>
          <w:rStyle w:val="FootnoteReference"/>
          <w:rFonts w:asciiTheme="majorBidi" w:hAnsiTheme="majorBidi" w:cstheme="majorBidi"/>
          <w:sz w:val="20"/>
        </w:rPr>
      </w:pPr>
      <w:r w:rsidRPr="004238CF">
        <w:rPr>
          <w:rStyle w:val="FootnoteReference"/>
          <w:rFonts w:asciiTheme="majorBidi" w:hAnsiTheme="majorBidi" w:cstheme="majorBidi"/>
          <w:sz w:val="20"/>
          <w:vertAlign w:val="superscript"/>
        </w:rPr>
        <w:footnoteRef/>
      </w:r>
      <w:r w:rsidRPr="004238CF">
        <w:rPr>
          <w:rStyle w:val="FootnoteReference"/>
          <w:rFonts w:asciiTheme="majorBidi" w:hAnsiTheme="majorBidi" w:cstheme="majorBidi"/>
          <w:sz w:val="20"/>
          <w:vertAlign w:val="superscript"/>
        </w:rPr>
        <w:t xml:space="preserve"> </w:t>
      </w:r>
      <w:r w:rsidRPr="004238CF">
        <w:rPr>
          <w:rStyle w:val="FootnoteReference"/>
          <w:rFonts w:asciiTheme="majorBidi" w:hAnsiTheme="majorBidi" w:cstheme="majorBidi"/>
          <w:sz w:val="20"/>
        </w:rPr>
        <w:t>Estimates for 2022-2023. Allocation of resources for the subsequent years is subject to change upon Senior Management decisions.</w:t>
      </w:r>
    </w:p>
  </w:footnote>
  <w:footnote w:id="3">
    <w:p w:rsidR="00280260" w:rsidRPr="00280260" w:rsidRDefault="00280260" w:rsidP="00827AFC">
      <w:pPr>
        <w:pStyle w:val="FootnoteText"/>
        <w:spacing w:before="0"/>
        <w:rPr>
          <w:rFonts w:asciiTheme="majorBidi" w:hAnsiTheme="majorBidi" w:cstheme="majorBidi"/>
          <w:sz w:val="20"/>
        </w:rPr>
      </w:pPr>
      <w:r w:rsidRPr="00280260">
        <w:rPr>
          <w:rStyle w:val="FootnoteReference"/>
          <w:rFonts w:asciiTheme="majorBidi" w:hAnsiTheme="majorBidi" w:cstheme="majorBidi"/>
          <w:sz w:val="20"/>
        </w:rPr>
        <w:footnoteRef/>
      </w:r>
      <w:r w:rsidRPr="00280260">
        <w:rPr>
          <w:rStyle w:val="FootnoteReference"/>
          <w:rFonts w:asciiTheme="majorBidi" w:hAnsiTheme="majorBidi" w:cstheme="majorBidi"/>
          <w:sz w:val="20"/>
        </w:rPr>
        <w:t xml:space="preserve"> “n/a” specifies that indicator values are not yet available.</w:t>
      </w:r>
    </w:p>
    <w:p w:rsidR="00280260" w:rsidRPr="00280260" w:rsidRDefault="00280260" w:rsidP="00827AFC">
      <w:pPr>
        <w:pStyle w:val="FootnoteText"/>
        <w:spacing w:before="0"/>
        <w:rPr>
          <w:rStyle w:val="FootnoteReference"/>
          <w:rFonts w:asciiTheme="majorBidi" w:hAnsiTheme="majorBidi" w:cstheme="majorBidi"/>
          <w:sz w:val="20"/>
        </w:rPr>
      </w:pPr>
      <w:r w:rsidRPr="00280260">
        <w:rPr>
          <w:rFonts w:asciiTheme="majorBidi" w:hAnsiTheme="majorBidi" w:cstheme="majorBidi"/>
          <w:sz w:val="20"/>
        </w:rPr>
        <w:t>* Estimates.</w:t>
      </w:r>
    </w:p>
  </w:footnote>
  <w:footnote w:id="4">
    <w:p w:rsidR="00280260" w:rsidRPr="00280260" w:rsidRDefault="00280260" w:rsidP="0050743A">
      <w:pPr>
        <w:pStyle w:val="FootnoteText"/>
        <w:spacing w:before="0"/>
        <w:rPr>
          <w:rFonts w:asciiTheme="majorBidi" w:hAnsiTheme="majorBidi" w:cstheme="majorBidi"/>
          <w:sz w:val="20"/>
        </w:rPr>
      </w:pPr>
      <w:r w:rsidRPr="00280260">
        <w:rPr>
          <w:rStyle w:val="FootnoteReference"/>
          <w:rFonts w:asciiTheme="majorBidi" w:hAnsiTheme="majorBidi" w:cstheme="majorBidi"/>
          <w:sz w:val="20"/>
          <w:vertAlign w:val="superscript"/>
        </w:rPr>
        <w:footnoteRef/>
      </w:r>
      <w:r w:rsidRPr="00280260">
        <w:rPr>
          <w:rStyle w:val="FootnoteReference"/>
          <w:rFonts w:asciiTheme="majorBidi" w:hAnsiTheme="majorBidi" w:cstheme="majorBidi"/>
          <w:sz w:val="20"/>
          <w:vertAlign w:val="superscript"/>
        </w:rPr>
        <w:t xml:space="preserve"> </w:t>
      </w:r>
      <w:r w:rsidRPr="00280260">
        <w:rPr>
          <w:rStyle w:val="FootnoteReference"/>
          <w:rFonts w:asciiTheme="majorBidi" w:hAnsiTheme="majorBidi" w:cstheme="majorBidi"/>
          <w:sz w:val="20"/>
        </w:rPr>
        <w:t>Estimates for 2022-2023. Allocation of resources for the subsequent years is subject to change upon Senior Management decisions..</w:t>
      </w:r>
    </w:p>
    <w:p w:rsidR="00280260" w:rsidRPr="00280260" w:rsidRDefault="00280260" w:rsidP="0050743A">
      <w:pPr>
        <w:pStyle w:val="FootnoteText"/>
        <w:spacing w:before="0"/>
        <w:rPr>
          <w:rStyle w:val="FootnoteReference"/>
          <w:rFonts w:asciiTheme="majorBidi" w:hAnsiTheme="majorBidi" w:cstheme="majorBidi"/>
          <w:sz w:val="20"/>
        </w:rPr>
      </w:pPr>
      <w:r w:rsidRPr="00280260">
        <w:rPr>
          <w:rFonts w:asciiTheme="majorBidi" w:hAnsiTheme="majorBidi" w:cstheme="majorBidi"/>
          <w:sz w:val="20"/>
        </w:rPr>
        <w:t>* Estimates.</w:t>
      </w:r>
    </w:p>
  </w:footnote>
  <w:footnote w:id="5">
    <w:p w:rsidR="00280260" w:rsidRPr="00280260" w:rsidRDefault="00280260" w:rsidP="00523D93">
      <w:pPr>
        <w:pStyle w:val="FootnoteText"/>
        <w:spacing w:before="0"/>
        <w:rPr>
          <w:rStyle w:val="FootnoteReference"/>
          <w:rFonts w:asciiTheme="majorBidi" w:hAnsiTheme="majorBidi" w:cstheme="majorBidi"/>
          <w:sz w:val="20"/>
        </w:rPr>
      </w:pPr>
      <w:r w:rsidRPr="00280260">
        <w:rPr>
          <w:rStyle w:val="FootnoteReference"/>
          <w:rFonts w:asciiTheme="majorBidi" w:hAnsiTheme="majorBidi" w:cstheme="majorBidi"/>
          <w:sz w:val="20"/>
          <w:vertAlign w:val="superscript"/>
        </w:rPr>
        <w:footnoteRef/>
      </w:r>
      <w:r w:rsidRPr="00280260">
        <w:rPr>
          <w:rStyle w:val="FootnoteReference"/>
          <w:rFonts w:asciiTheme="majorBidi" w:hAnsiTheme="majorBidi" w:cstheme="majorBidi"/>
          <w:sz w:val="20"/>
          <w:vertAlign w:val="superscript"/>
        </w:rPr>
        <w:t xml:space="preserve"> </w:t>
      </w:r>
      <w:r w:rsidRPr="00280260">
        <w:rPr>
          <w:rFonts w:asciiTheme="majorBidi" w:hAnsiTheme="majorBidi" w:cstheme="majorBidi"/>
          <w:sz w:val="20"/>
        </w:rPr>
        <w:t>This number is appropriate for comparison purposes only, as the download of a single document/publication might count as several downloads.</w:t>
      </w:r>
    </w:p>
  </w:footnote>
  <w:footnote w:id="6">
    <w:p w:rsidR="00280260" w:rsidRPr="008D5213" w:rsidRDefault="00280260" w:rsidP="0050743A">
      <w:pPr>
        <w:pStyle w:val="FootnoteText"/>
        <w:spacing w:before="0"/>
        <w:rPr>
          <w:rStyle w:val="FootnoteReference"/>
          <w:rFonts w:asciiTheme="majorBidi" w:hAnsiTheme="majorBidi" w:cstheme="majorBidi"/>
          <w:sz w:val="20"/>
        </w:rPr>
      </w:pPr>
      <w:r w:rsidRPr="008D5213">
        <w:rPr>
          <w:rStyle w:val="FootnoteReference"/>
          <w:rFonts w:asciiTheme="majorBidi" w:hAnsiTheme="majorBidi" w:cstheme="majorBidi"/>
          <w:sz w:val="20"/>
          <w:vertAlign w:val="superscript"/>
        </w:rPr>
        <w:footnoteRef/>
      </w:r>
      <w:r w:rsidRPr="008D5213">
        <w:rPr>
          <w:rStyle w:val="FootnoteReference"/>
          <w:rFonts w:asciiTheme="majorBidi" w:hAnsiTheme="majorBidi" w:cstheme="majorBidi"/>
          <w:sz w:val="20"/>
        </w:rPr>
        <w:t xml:space="preserve"> Estimates for 2022-2023.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0E" w:rsidRDefault="001B7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Default="00280260" w:rsidP="001E41A0">
    <w:pPr>
      <w:pStyle w:val="Header"/>
      <w:rPr>
        <w:lang w:val="es-ES"/>
      </w:rPr>
    </w:pPr>
    <w:r>
      <w:fldChar w:fldCharType="begin"/>
    </w:r>
    <w:r>
      <w:instrText xml:space="preserve"> PAGE </w:instrText>
    </w:r>
    <w:r>
      <w:fldChar w:fldCharType="separate"/>
    </w:r>
    <w:r w:rsidR="00327194">
      <w:rPr>
        <w:noProof/>
      </w:rPr>
      <w:t>5</w:t>
    </w:r>
    <w:r>
      <w:rPr>
        <w:noProof/>
      </w:rPr>
      <w:fldChar w:fldCharType="end"/>
    </w:r>
  </w:p>
  <w:p w:rsidR="00280260" w:rsidRDefault="00280260" w:rsidP="001B790E">
    <w:pPr>
      <w:pStyle w:val="Header"/>
      <w:rPr>
        <w:lang w:val="es-ES"/>
      </w:rPr>
    </w:pPr>
    <w:r>
      <w:rPr>
        <w:lang w:val="es-ES"/>
      </w:rPr>
      <w:t>RAG19/</w:t>
    </w:r>
    <w:r w:rsidR="001B790E">
      <w:rPr>
        <w:lang w:val="es-ES"/>
      </w:rPr>
      <w:t>TEMP/2(</w:t>
    </w:r>
    <w:proofErr w:type="spellStart"/>
    <w:r w:rsidR="001B790E">
      <w:rPr>
        <w:lang w:val="es-ES"/>
      </w:rPr>
      <w:t>Annex</w:t>
    </w:r>
    <w:proofErr w:type="spellEnd"/>
    <w:r w:rsidR="001B790E">
      <w:rPr>
        <w:lang w:val="es-ES"/>
      </w:rPr>
      <w:t xml:space="preserve"> 1)-</w:t>
    </w:r>
    <w:r>
      <w:rPr>
        <w:lang w:val="es-ES"/>
      </w:rPr>
      <w:t>E</w:t>
    </w:r>
  </w:p>
  <w:p w:rsidR="00280260" w:rsidRPr="002816DC" w:rsidRDefault="00280260" w:rsidP="002816DC">
    <w:pPr>
      <w:jc w:val="right"/>
      <w:rPr>
        <w:lang w:val="en-US"/>
      </w:rPr>
    </w:pPr>
    <w:r>
      <w:rPr>
        <w:rFonts w:ascii="Calibri" w:hAnsi="Calibri"/>
        <w:b/>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0E" w:rsidRDefault="001B79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0856"/>
      <w:docPartObj>
        <w:docPartGallery w:val="Page Numbers (Top of Page)"/>
        <w:docPartUnique/>
      </w:docPartObj>
    </w:sdtPr>
    <w:sdtEndPr>
      <w:rPr>
        <w:rFonts w:asciiTheme="majorBidi" w:hAnsiTheme="majorBidi" w:cstheme="majorBidi"/>
        <w:noProof/>
        <w:szCs w:val="18"/>
      </w:rPr>
    </w:sdtEndPr>
    <w:sdtContent>
      <w:p w:rsidR="00280260" w:rsidRPr="00DB2FBF" w:rsidRDefault="00280260">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327194">
          <w:rPr>
            <w:rFonts w:asciiTheme="majorBidi" w:hAnsiTheme="majorBidi" w:cstheme="majorBidi"/>
            <w:noProof/>
            <w:szCs w:val="18"/>
          </w:rPr>
          <w:t>9</w:t>
        </w:r>
        <w:r w:rsidRPr="00DB2FBF">
          <w:rPr>
            <w:rFonts w:asciiTheme="majorBidi" w:hAnsiTheme="majorBidi" w:cstheme="majorBidi"/>
            <w:noProof/>
            <w:szCs w:val="18"/>
          </w:rPr>
          <w:fldChar w:fldCharType="end"/>
        </w:r>
      </w:p>
    </w:sdtContent>
  </w:sdt>
  <w:p w:rsidR="00280260" w:rsidRPr="00DB2FBF" w:rsidRDefault="00327194" w:rsidP="0050743A">
    <w:pPr>
      <w:pStyle w:val="Header"/>
      <w:rPr>
        <w:rFonts w:asciiTheme="majorBidi" w:hAnsiTheme="majorBidi" w:cstheme="majorBidi"/>
        <w:szCs w:val="18"/>
        <w:lang w:val="es-ES"/>
      </w:rPr>
    </w:pPr>
    <w:r>
      <w:rPr>
        <w:lang w:val="es-ES"/>
      </w:rPr>
      <w:t>RAG19/TEMP/2(</w:t>
    </w:r>
    <w:proofErr w:type="spellStart"/>
    <w:r>
      <w:rPr>
        <w:lang w:val="es-ES"/>
      </w:rPr>
      <w:t>Annex</w:t>
    </w:r>
    <w:proofErr w:type="spellEnd"/>
    <w:r>
      <w:rPr>
        <w:lang w:val="es-ES"/>
      </w:rPr>
      <w:t xml:space="preserve"> 1)-</w:t>
    </w:r>
    <w:bookmarkStart w:id="5" w:name="_GoBack"/>
    <w:bookmarkEnd w:id="5"/>
    <w:r w:rsidR="001B790E">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DCC"/>
    <w:multiLevelType w:val="hybridMultilevel"/>
    <w:tmpl w:val="0CA2FCC0"/>
    <w:lvl w:ilvl="0" w:tplc="FE6E6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C1807"/>
    <w:multiLevelType w:val="hybridMultilevel"/>
    <w:tmpl w:val="776E368A"/>
    <w:lvl w:ilvl="0" w:tplc="BE007B02">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31E74"/>
    <w:multiLevelType w:val="hybridMultilevel"/>
    <w:tmpl w:val="0590D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34B2A"/>
    <w:multiLevelType w:val="hybridMultilevel"/>
    <w:tmpl w:val="829C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D83649"/>
    <w:multiLevelType w:val="hybridMultilevel"/>
    <w:tmpl w:val="1A2C69BA"/>
    <w:lvl w:ilvl="0" w:tplc="14E2869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0050B"/>
    <w:multiLevelType w:val="hybridMultilevel"/>
    <w:tmpl w:val="57A6E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39B9"/>
    <w:multiLevelType w:val="hybridMultilevel"/>
    <w:tmpl w:val="8BCA544C"/>
    <w:lvl w:ilvl="0" w:tplc="9210165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E75B7"/>
    <w:multiLevelType w:val="hybridMultilevel"/>
    <w:tmpl w:val="777A1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23CE9"/>
    <w:multiLevelType w:val="hybridMultilevel"/>
    <w:tmpl w:val="CCE2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71A06"/>
    <w:multiLevelType w:val="hybridMultilevel"/>
    <w:tmpl w:val="FAFA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9"/>
  </w:num>
  <w:num w:numId="15">
    <w:abstractNumId w:val="21"/>
  </w:num>
  <w:num w:numId="16">
    <w:abstractNumId w:val="26"/>
  </w:num>
  <w:num w:numId="17">
    <w:abstractNumId w:val="22"/>
  </w:num>
  <w:num w:numId="18">
    <w:abstractNumId w:val="15"/>
  </w:num>
  <w:num w:numId="19">
    <w:abstractNumId w:val="20"/>
  </w:num>
  <w:num w:numId="20">
    <w:abstractNumId w:val="23"/>
  </w:num>
  <w:num w:numId="21">
    <w:abstractNumId w:val="18"/>
  </w:num>
  <w:num w:numId="22">
    <w:abstractNumId w:val="11"/>
  </w:num>
  <w:num w:numId="23">
    <w:abstractNumId w:val="13"/>
  </w:num>
  <w:num w:numId="24">
    <w:abstractNumId w:val="16"/>
  </w:num>
  <w:num w:numId="25">
    <w:abstractNumId w:val="24"/>
  </w:num>
  <w:num w:numId="26">
    <w:abstractNumId w:val="25"/>
  </w:num>
  <w:num w:numId="27">
    <w:abstractNumId w:val="2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CB"/>
    <w:rsid w:val="00056137"/>
    <w:rsid w:val="00093C73"/>
    <w:rsid w:val="000F2431"/>
    <w:rsid w:val="0010005D"/>
    <w:rsid w:val="00120FF7"/>
    <w:rsid w:val="001377D6"/>
    <w:rsid w:val="001632FD"/>
    <w:rsid w:val="001B790E"/>
    <w:rsid w:val="001E41A0"/>
    <w:rsid w:val="002075A1"/>
    <w:rsid w:val="002246DF"/>
    <w:rsid w:val="002774E4"/>
    <w:rsid w:val="00280260"/>
    <w:rsid w:val="002816DC"/>
    <w:rsid w:val="00284D56"/>
    <w:rsid w:val="002C2BBE"/>
    <w:rsid w:val="002F4DA3"/>
    <w:rsid w:val="00327194"/>
    <w:rsid w:val="003567C9"/>
    <w:rsid w:val="003D068D"/>
    <w:rsid w:val="003E2CE2"/>
    <w:rsid w:val="00406FF5"/>
    <w:rsid w:val="004238CF"/>
    <w:rsid w:val="00446156"/>
    <w:rsid w:val="00481551"/>
    <w:rsid w:val="004911E1"/>
    <w:rsid w:val="004A56CD"/>
    <w:rsid w:val="004C08D3"/>
    <w:rsid w:val="004F0848"/>
    <w:rsid w:val="004F743F"/>
    <w:rsid w:val="0050743A"/>
    <w:rsid w:val="00507DA3"/>
    <w:rsid w:val="0051782D"/>
    <w:rsid w:val="00523D93"/>
    <w:rsid w:val="00597657"/>
    <w:rsid w:val="005A22DD"/>
    <w:rsid w:val="005B07D0"/>
    <w:rsid w:val="005B2C58"/>
    <w:rsid w:val="00645266"/>
    <w:rsid w:val="006509A2"/>
    <w:rsid w:val="00656189"/>
    <w:rsid w:val="006B4CFB"/>
    <w:rsid w:val="006D0840"/>
    <w:rsid w:val="006F500E"/>
    <w:rsid w:val="00746923"/>
    <w:rsid w:val="007C7AFB"/>
    <w:rsid w:val="00806E63"/>
    <w:rsid w:val="008072BD"/>
    <w:rsid w:val="0081028D"/>
    <w:rsid w:val="00814552"/>
    <w:rsid w:val="00827AFC"/>
    <w:rsid w:val="008B3F50"/>
    <w:rsid w:val="008C6A71"/>
    <w:rsid w:val="008D3FED"/>
    <w:rsid w:val="008D4EC7"/>
    <w:rsid w:val="008D5213"/>
    <w:rsid w:val="00906598"/>
    <w:rsid w:val="00942A70"/>
    <w:rsid w:val="00943435"/>
    <w:rsid w:val="0095426A"/>
    <w:rsid w:val="00961D66"/>
    <w:rsid w:val="00971BF2"/>
    <w:rsid w:val="009D27EC"/>
    <w:rsid w:val="009E65DD"/>
    <w:rsid w:val="00A12B24"/>
    <w:rsid w:val="00A16CB2"/>
    <w:rsid w:val="00A21DDB"/>
    <w:rsid w:val="00A47B73"/>
    <w:rsid w:val="00B26C00"/>
    <w:rsid w:val="00B35BE4"/>
    <w:rsid w:val="00B409FB"/>
    <w:rsid w:val="00B52992"/>
    <w:rsid w:val="00B82514"/>
    <w:rsid w:val="00BD0D55"/>
    <w:rsid w:val="00BE1C08"/>
    <w:rsid w:val="00C322C4"/>
    <w:rsid w:val="00C3371B"/>
    <w:rsid w:val="00C34D29"/>
    <w:rsid w:val="00CC1D49"/>
    <w:rsid w:val="00CD4D80"/>
    <w:rsid w:val="00CE366B"/>
    <w:rsid w:val="00CF7532"/>
    <w:rsid w:val="00CF7855"/>
    <w:rsid w:val="00D211BC"/>
    <w:rsid w:val="00D64F5C"/>
    <w:rsid w:val="00D66FFA"/>
    <w:rsid w:val="00D85155"/>
    <w:rsid w:val="00DB4344"/>
    <w:rsid w:val="00DC3B29"/>
    <w:rsid w:val="00DD3BF8"/>
    <w:rsid w:val="00E074E6"/>
    <w:rsid w:val="00E13E47"/>
    <w:rsid w:val="00E35DCB"/>
    <w:rsid w:val="00E479AE"/>
    <w:rsid w:val="00E92A21"/>
    <w:rsid w:val="00EA331F"/>
    <w:rsid w:val="00EC0BE3"/>
    <w:rsid w:val="00EC1A96"/>
    <w:rsid w:val="00F3638A"/>
    <w:rsid w:val="00F56B1E"/>
    <w:rsid w:val="00F749FF"/>
    <w:rsid w:val="00F90223"/>
    <w:rsid w:val="00FA2CA9"/>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2FF82-D6DF-4E88-9CDF-72B00534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E35DCB"/>
    <w:pPr>
      <w:jc w:val="right"/>
    </w:pPr>
    <w:rPr>
      <w:rFonts w:eastAsia="SimSun"/>
      <w:b/>
      <w:sz w:val="32"/>
    </w:rPr>
  </w:style>
  <w:style w:type="character" w:customStyle="1" w:styleId="DocnumberChar">
    <w:name w:val="Docnumber Char"/>
    <w:link w:val="Docnumber"/>
    <w:rsid w:val="00E35DCB"/>
    <w:rPr>
      <w:rFonts w:ascii="Times New Roman" w:eastAsia="SimSun" w:hAnsi="Times New Roman"/>
      <w:b/>
      <w:sz w:val="32"/>
      <w:lang w:val="en-GB" w:eastAsia="en-US"/>
    </w:rPr>
  </w:style>
  <w:style w:type="character" w:styleId="Hyperlink">
    <w:name w:val="Hyperlink"/>
    <w:aliases w:val="CEO_Hyperlink,超级链接,超?级链,Style 58,超????,하이퍼링크2"/>
    <w:basedOn w:val="DefaultParagraphFont"/>
    <w:qFormat/>
    <w:rsid w:val="00E35DCB"/>
    <w:rPr>
      <w:rFonts w:asciiTheme="majorBidi" w:hAnsiTheme="majorBidi"/>
      <w:color w:val="0000FF"/>
      <w:u w:val="single"/>
    </w:rPr>
  </w:style>
  <w:style w:type="character" w:styleId="PlaceholderText">
    <w:name w:val="Placeholder Text"/>
    <w:basedOn w:val="DefaultParagraphFont"/>
    <w:uiPriority w:val="99"/>
    <w:semiHidden/>
    <w:rsid w:val="00E35DCB"/>
    <w:rPr>
      <w:color w:val="808080"/>
    </w:rPr>
  </w:style>
  <w:style w:type="table" w:styleId="TableGrid">
    <w:name w:val="Table Grid"/>
    <w:basedOn w:val="TableNormal"/>
    <w:rsid w:val="002816D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16DC"/>
    <w:rPr>
      <w:rFonts w:ascii="Times New Roman" w:hAnsi="Times New Roman"/>
      <w:b/>
      <w:sz w:val="24"/>
      <w:lang w:val="en-GB" w:eastAsia="en-US"/>
    </w:rPr>
  </w:style>
  <w:style w:type="character" w:customStyle="1" w:styleId="Heading1Char">
    <w:name w:val="Heading 1 Char"/>
    <w:basedOn w:val="DefaultParagraphFont"/>
    <w:link w:val="Heading1"/>
    <w:rsid w:val="002816DC"/>
    <w:rPr>
      <w:rFonts w:ascii="Times New Roman" w:hAnsi="Times New Roman"/>
      <w:b/>
      <w:sz w:val="24"/>
      <w:lang w:val="en-GB" w:eastAsia="en-US"/>
    </w:rPr>
  </w:style>
  <w:style w:type="paragraph" w:customStyle="1" w:styleId="1AutoList1">
    <w:name w:val="1AutoList1"/>
    <w:rsid w:val="002816DC"/>
    <w:pPr>
      <w:widowControl w:val="0"/>
      <w:tabs>
        <w:tab w:val="left" w:pos="720"/>
      </w:tabs>
      <w:ind w:left="720" w:hanging="720"/>
      <w:jc w:val="both"/>
    </w:pPr>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nl-NL"/>
    </w:rPr>
  </w:style>
  <w:style w:type="character" w:customStyle="1" w:styleId="BalloonTextChar">
    <w:name w:val="Balloon Text Char"/>
    <w:basedOn w:val="DefaultParagraphFont"/>
    <w:link w:val="BalloonText"/>
    <w:uiPriority w:val="99"/>
    <w:semiHidden/>
    <w:rsid w:val="002816DC"/>
    <w:rPr>
      <w:rFonts w:ascii="Tahoma" w:eastAsiaTheme="minorHAnsi" w:hAnsi="Tahoma" w:cs="Tahoma"/>
      <w:sz w:val="16"/>
      <w:szCs w:val="16"/>
      <w:lang w:val="nl-NL" w:eastAsia="en-US"/>
    </w:rPr>
  </w:style>
  <w:style w:type="character" w:styleId="FollowedHyperlink">
    <w:name w:val="FollowedHyperlink"/>
    <w:basedOn w:val="DefaultParagraphFont"/>
    <w:uiPriority w:val="99"/>
    <w:semiHidden/>
    <w:unhideWhenUsed/>
    <w:rsid w:val="002816DC"/>
    <w:rPr>
      <w:color w:val="800080" w:themeColor="followedHyperlink"/>
      <w:u w:val="single"/>
    </w:rPr>
  </w:style>
  <w:style w:type="paragraph" w:styleId="PlainText">
    <w:name w:val="Plain Text"/>
    <w:basedOn w:val="Normal"/>
    <w:link w:val="Plai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Consolas"/>
      <w:sz w:val="21"/>
      <w:szCs w:val="21"/>
      <w:lang w:val="nl-NL"/>
    </w:rPr>
  </w:style>
  <w:style w:type="character" w:customStyle="1" w:styleId="PlainTextChar">
    <w:name w:val="Plain Text Char"/>
    <w:basedOn w:val="DefaultParagraphFont"/>
    <w:link w:val="PlainText"/>
    <w:uiPriority w:val="99"/>
    <w:semiHidden/>
    <w:rsid w:val="002816DC"/>
    <w:rPr>
      <w:rFonts w:ascii="Consolas" w:eastAsiaTheme="minorHAnsi" w:hAnsi="Consolas" w:cs="Consolas"/>
      <w:sz w:val="21"/>
      <w:szCs w:val="21"/>
      <w:lang w:val="nl-NL" w:eastAsia="en-US"/>
    </w:rPr>
  </w:style>
  <w:style w:type="paragraph" w:styleId="ListParagraph">
    <w:name w:val="List Paragraph"/>
    <w:basedOn w:val="Normal"/>
    <w:uiPriority w:val="34"/>
    <w:qFormat/>
    <w:rsid w:val="002816D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nl-NL"/>
    </w:rPr>
  </w:style>
  <w:style w:type="character" w:customStyle="1" w:styleId="Formatvorlage1">
    <w:name w:val="Formatvorlage1"/>
    <w:basedOn w:val="LineNumber"/>
    <w:uiPriority w:val="1"/>
    <w:rsid w:val="002816DC"/>
  </w:style>
  <w:style w:type="character" w:styleId="LineNumber">
    <w:name w:val="line number"/>
    <w:basedOn w:val="DefaultParagraphFont"/>
    <w:uiPriority w:val="99"/>
    <w:semiHidden/>
    <w:unhideWhenUsed/>
    <w:rsid w:val="002816DC"/>
  </w:style>
  <w:style w:type="character" w:customStyle="1" w:styleId="Zeilen">
    <w:name w:val="Zeilen"/>
    <w:basedOn w:val="LineNumber"/>
    <w:uiPriority w:val="1"/>
    <w:rsid w:val="002816DC"/>
  </w:style>
  <w:style w:type="paragraph" w:customStyle="1" w:styleId="Default">
    <w:name w:val="Default"/>
    <w:rsid w:val="002816DC"/>
    <w:pPr>
      <w:autoSpaceDE w:val="0"/>
      <w:autoSpaceDN w:val="0"/>
      <w:adjustRightInd w:val="0"/>
    </w:pPr>
    <w:rPr>
      <w:rFonts w:ascii="Univers" w:eastAsiaTheme="minorHAnsi" w:hAnsi="Univers" w:cs="Univers"/>
      <w:color w:val="000000"/>
      <w:sz w:val="24"/>
      <w:szCs w:val="24"/>
      <w:lang w:val="it-IT" w:eastAsia="en-US"/>
    </w:rPr>
  </w:style>
  <w:style w:type="character" w:customStyle="1" w:styleId="fontstyle01">
    <w:name w:val="fontstyle01"/>
    <w:basedOn w:val="DefaultParagraphFont"/>
    <w:rsid w:val="002816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816DC"/>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2816DC"/>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2816DC"/>
    <w:rPr>
      <w:sz w:val="16"/>
      <w:szCs w:val="16"/>
    </w:rPr>
  </w:style>
  <w:style w:type="paragraph" w:styleId="CommentText">
    <w:name w:val="annotation text"/>
    <w:basedOn w:val="Normal"/>
    <w:link w:val="CommentTextChar"/>
    <w:uiPriority w:val="99"/>
    <w:semiHidden/>
    <w:unhideWhenUsed/>
    <w:rsid w:val="002816DC"/>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HAnsi" w:hAnsiTheme="minorHAnsi" w:cstheme="minorBidi"/>
      <w:sz w:val="20"/>
      <w:lang w:val="nl-NL"/>
    </w:rPr>
  </w:style>
  <w:style w:type="character" w:customStyle="1" w:styleId="CommentTextChar">
    <w:name w:val="Comment Text Char"/>
    <w:basedOn w:val="DefaultParagraphFont"/>
    <w:link w:val="CommentText"/>
    <w:uiPriority w:val="99"/>
    <w:semiHidden/>
    <w:rsid w:val="002816DC"/>
    <w:rPr>
      <w:rFonts w:asciiTheme="minorHAnsi" w:eastAsiaTheme="minorHAnsi" w:hAnsiTheme="minorHAnsi" w:cstheme="minorBidi"/>
      <w:lang w:val="nl-NL" w:eastAsia="en-US"/>
    </w:rPr>
  </w:style>
  <w:style w:type="paragraph" w:styleId="CommentSubject">
    <w:name w:val="annotation subject"/>
    <w:basedOn w:val="CommentText"/>
    <w:next w:val="CommentText"/>
    <w:link w:val="CommentSubjectChar"/>
    <w:uiPriority w:val="99"/>
    <w:semiHidden/>
    <w:unhideWhenUsed/>
    <w:rsid w:val="002816DC"/>
    <w:rPr>
      <w:b/>
      <w:bCs/>
    </w:rPr>
  </w:style>
  <w:style w:type="character" w:customStyle="1" w:styleId="CommentSubjectChar">
    <w:name w:val="Comment Subject Char"/>
    <w:basedOn w:val="CommentTextChar"/>
    <w:link w:val="CommentSubject"/>
    <w:uiPriority w:val="99"/>
    <w:semiHidden/>
    <w:rsid w:val="002816DC"/>
    <w:rPr>
      <w:rFonts w:asciiTheme="minorHAnsi" w:eastAsiaTheme="minorHAnsi" w:hAnsiTheme="minorHAnsi" w:cstheme="minorBidi"/>
      <w:b/>
      <w:bCs/>
      <w:lang w:val="nl-NL" w:eastAsia="en-US"/>
    </w:rPr>
  </w:style>
  <w:style w:type="paragraph" w:styleId="Revision">
    <w:name w:val="Revision"/>
    <w:hidden/>
    <w:uiPriority w:val="99"/>
    <w:semiHidden/>
    <w:rsid w:val="002816DC"/>
    <w:rPr>
      <w:rFonts w:asciiTheme="minorHAnsi" w:eastAsiaTheme="minorHAnsi" w:hAnsiTheme="minorHAnsi" w:cstheme="minorBidi"/>
      <w:sz w:val="22"/>
      <w:szCs w:val="22"/>
      <w:lang w:val="nl-NL" w:eastAsia="en-US"/>
    </w:rPr>
  </w:style>
  <w:style w:type="paragraph" w:customStyle="1" w:styleId="MTDisplayEquation">
    <w:name w:val="MTDisplayEquation"/>
    <w:basedOn w:val="BodyText"/>
    <w:next w:val="Normal"/>
    <w:link w:val="MTDisplayEquationChar"/>
    <w:rsid w:val="002816DC"/>
    <w:pPr>
      <w:tabs>
        <w:tab w:val="center" w:pos="4480"/>
        <w:tab w:val="right" w:pos="8960"/>
      </w:tabs>
      <w:spacing w:line="240" w:lineRule="auto"/>
      <w:jc w:val="both"/>
    </w:pPr>
    <w:rPr>
      <w:rFonts w:ascii="Times New Roman" w:eastAsia="Times New Roman" w:hAnsi="Times New Roman" w:cs="Times New Roman"/>
      <w:sz w:val="24"/>
      <w:szCs w:val="24"/>
      <w:lang w:val="en-GB" w:eastAsia="he-IL" w:bidi="he-IL"/>
    </w:rPr>
  </w:style>
  <w:style w:type="character" w:customStyle="1" w:styleId="MTDisplayEquationChar">
    <w:name w:val="MTDisplayEquation Char"/>
    <w:basedOn w:val="BodyTextChar"/>
    <w:link w:val="MTDisplayEquation"/>
    <w:rsid w:val="002816DC"/>
    <w:rPr>
      <w:rFonts w:asciiTheme="minorHAnsi" w:eastAsiaTheme="minorHAnsi" w:hAnsiTheme="minorHAnsi" w:cstheme="minorBidi"/>
      <w:sz w:val="22"/>
      <w:szCs w:val="24"/>
      <w:lang w:val="nl-NL" w:eastAsia="he-IL" w:bidi="he-IL"/>
    </w:rPr>
  </w:style>
  <w:style w:type="paragraph" w:styleId="BodyText">
    <w:name w:val="Body Text"/>
    <w:basedOn w:val="Normal"/>
    <w:link w:val="BodyTextChar"/>
    <w:uiPriority w:val="99"/>
    <w:semiHidden/>
    <w:unhideWhenUsed/>
    <w:rsid w:val="002816DC"/>
    <w:pPr>
      <w:tabs>
        <w:tab w:val="clear" w:pos="794"/>
        <w:tab w:val="clear" w:pos="1191"/>
        <w:tab w:val="clear" w:pos="1588"/>
        <w:tab w:val="clear" w:pos="1985"/>
      </w:tabs>
      <w:overflowPunct/>
      <w:autoSpaceDE/>
      <w:autoSpaceDN/>
      <w:adjustRightInd/>
      <w:spacing w:before="0" w:after="120" w:line="276" w:lineRule="auto"/>
      <w:textAlignment w:val="auto"/>
    </w:pPr>
    <w:rPr>
      <w:rFonts w:asciiTheme="minorHAnsi" w:eastAsiaTheme="minorHAnsi" w:hAnsiTheme="minorHAnsi" w:cstheme="minorBidi"/>
      <w:sz w:val="22"/>
      <w:szCs w:val="22"/>
      <w:lang w:val="nl-NL"/>
    </w:rPr>
  </w:style>
  <w:style w:type="character" w:customStyle="1" w:styleId="BodyTextChar">
    <w:name w:val="Body Text Char"/>
    <w:basedOn w:val="DefaultParagraphFont"/>
    <w:link w:val="BodyText"/>
    <w:uiPriority w:val="99"/>
    <w:semiHidden/>
    <w:rsid w:val="002816DC"/>
    <w:rPr>
      <w:rFonts w:asciiTheme="minorHAnsi" w:eastAsiaTheme="minorHAnsi" w:hAnsiTheme="minorHAnsi" w:cstheme="minorBidi"/>
      <w:sz w:val="22"/>
      <w:szCs w:val="22"/>
      <w:lang w:val="nl-NL" w:eastAsia="en-US"/>
    </w:rPr>
  </w:style>
  <w:style w:type="table" w:customStyle="1" w:styleId="GridTable1Light-Accent512">
    <w:name w:val="Grid Table 1 Light - Accent 512"/>
    <w:basedOn w:val="TableNormal"/>
    <w:uiPriority w:val="46"/>
    <w:rsid w:val="0050743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50743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B9FA-87C4-43A4-90BA-D930A693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2305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RF EMF exposure limits, ICNIRP guidelines, public consultation</cp:keywords>
  <dc:description>PE_RAG10.dotm  For: _x000d_Document date: _x000d_Saved by TRA44246 at 12:32:17 on 12.02.2010</dc:description>
  <cp:lastModifiedBy>Bonnici, Adrienne</cp:lastModifiedBy>
  <cp:revision>4</cp:revision>
  <cp:lastPrinted>2019-04-16T15:40:00Z</cp:lastPrinted>
  <dcterms:created xsi:type="dcterms:W3CDTF">2019-04-16T15:34:00Z</dcterms:created>
  <dcterms:modified xsi:type="dcterms:W3CDTF">2019-04-16T15:53:00Z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