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F54FE6" w:rsidRPr="00EB6F34" w:rsidTr="00562BA5">
        <w:trPr>
          <w:cantSplit/>
        </w:trPr>
        <w:tc>
          <w:tcPr>
            <w:tcW w:w="6771" w:type="dxa"/>
            <w:vAlign w:val="center"/>
          </w:tcPr>
          <w:p w:rsidR="00F54FE6" w:rsidRPr="00EB6F34" w:rsidRDefault="00F54FE6" w:rsidP="00562BA5">
            <w:pPr>
              <w:shd w:val="solid" w:color="FFFFFF" w:fill="FFFFFF"/>
              <w:tabs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EB6F34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E54DCD">
              <w:rPr>
                <w:rFonts w:ascii="Verdana" w:hAnsi="Verdana"/>
                <w:b/>
                <w:bCs/>
                <w:sz w:val="18"/>
                <w:szCs w:val="16"/>
              </w:rPr>
              <w:t xml:space="preserve">Женева, </w:t>
            </w:r>
            <w:r w:rsidRPr="00921B3C">
              <w:rPr>
                <w:rFonts w:ascii="Verdana" w:hAnsi="Verdana"/>
                <w:b/>
                <w:bCs/>
                <w:sz w:val="18"/>
                <w:szCs w:val="16"/>
              </w:rPr>
              <w:t>15</w:t>
            </w:r>
            <w:r w:rsidRPr="00E54DCD">
              <w:rPr>
                <w:rFonts w:ascii="Verdana" w:hAnsi="Verdana"/>
                <w:b/>
                <w:bCs/>
                <w:sz w:val="18"/>
                <w:szCs w:val="16"/>
              </w:rPr>
              <w:t>–</w:t>
            </w:r>
            <w:r w:rsidRPr="00921B3C">
              <w:rPr>
                <w:rFonts w:ascii="Verdana" w:hAnsi="Verdana"/>
                <w:b/>
                <w:bCs/>
                <w:sz w:val="18"/>
                <w:szCs w:val="16"/>
              </w:rPr>
              <w:t>17</w:t>
            </w:r>
            <w:r w:rsidRPr="00E54DCD">
              <w:rPr>
                <w:rFonts w:ascii="Verdana" w:hAnsi="Verdana"/>
                <w:b/>
                <w:bCs/>
                <w:sz w:val="18"/>
                <w:szCs w:val="16"/>
              </w:rPr>
              <w:t xml:space="preserve"> </w:t>
            </w:r>
            <w:r w:rsidRPr="00921B3C">
              <w:rPr>
                <w:rFonts w:ascii="Verdana" w:hAnsi="Verdana"/>
                <w:b/>
                <w:bCs/>
                <w:sz w:val="18"/>
                <w:szCs w:val="16"/>
              </w:rPr>
              <w:t>апреля</w:t>
            </w:r>
            <w:r w:rsidRPr="00225368">
              <w:rPr>
                <w:b/>
                <w:bCs/>
              </w:rPr>
              <w:t xml:space="preserve"> </w:t>
            </w:r>
            <w:r w:rsidRPr="00E54DCD">
              <w:rPr>
                <w:rFonts w:ascii="Verdana" w:hAnsi="Verdana"/>
                <w:b/>
                <w:bCs/>
                <w:sz w:val="18"/>
                <w:szCs w:val="16"/>
              </w:rPr>
              <w:t>201</w:t>
            </w:r>
            <w:r w:rsidRPr="00921B3C">
              <w:rPr>
                <w:rFonts w:ascii="Verdana" w:hAnsi="Verdana"/>
                <w:b/>
                <w:bCs/>
                <w:sz w:val="18"/>
                <w:szCs w:val="16"/>
              </w:rPr>
              <w:t>9</w:t>
            </w:r>
            <w:r w:rsidRPr="00E54DCD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3118" w:type="dxa"/>
            <w:vAlign w:val="center"/>
          </w:tcPr>
          <w:p w:rsidR="00F54FE6" w:rsidRPr="00EB6F34" w:rsidRDefault="00F54FE6" w:rsidP="00562BA5">
            <w:pPr>
              <w:shd w:val="solid" w:color="FFFFFF" w:fill="FFFFFF"/>
              <w:spacing w:before="0"/>
              <w:jc w:val="right"/>
            </w:pPr>
            <w:r w:rsidRPr="0020275A">
              <w:rPr>
                <w:noProof/>
                <w:lang w:val="en-GB" w:eastAsia="zh-CN"/>
              </w:rPr>
              <w:drawing>
                <wp:inline distT="0" distB="0" distL="0" distR="0" wp14:anchorId="5EAC85EB" wp14:editId="1B9A7060">
                  <wp:extent cx="1311910" cy="691515"/>
                  <wp:effectExtent l="0" t="0" r="2540" b="0"/>
                  <wp:docPr id="180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FE6" w:rsidRPr="00EB6F34" w:rsidTr="00562BA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F54FE6" w:rsidRPr="00EB6F34" w:rsidRDefault="00F54FE6" w:rsidP="00562BA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F54FE6" w:rsidRPr="00EB6F34" w:rsidRDefault="00F54FE6" w:rsidP="00562BA5">
            <w:pPr>
              <w:shd w:val="solid" w:color="FFFFFF" w:fill="FFFFFF"/>
              <w:spacing w:before="0" w:after="48"/>
            </w:pPr>
          </w:p>
        </w:tc>
      </w:tr>
      <w:tr w:rsidR="00F54FE6" w:rsidRPr="00EB6F34" w:rsidTr="00562BA5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:rsidR="00F54FE6" w:rsidRPr="00EB6F34" w:rsidRDefault="00F54FE6" w:rsidP="00562BA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F54FE6" w:rsidRPr="00EB6F34" w:rsidRDefault="00F54FE6" w:rsidP="00562BA5">
            <w:pPr>
              <w:shd w:val="solid" w:color="FFFFFF" w:fill="FFFFFF"/>
              <w:spacing w:before="0" w:after="48"/>
            </w:pPr>
          </w:p>
        </w:tc>
      </w:tr>
      <w:tr w:rsidR="00F54FE6" w:rsidRPr="00EB6F34" w:rsidTr="00562BA5">
        <w:trPr>
          <w:cantSplit/>
        </w:trPr>
        <w:tc>
          <w:tcPr>
            <w:tcW w:w="6771" w:type="dxa"/>
            <w:vMerge w:val="restart"/>
          </w:tcPr>
          <w:p w:rsidR="00F54FE6" w:rsidRPr="00EB6F34" w:rsidRDefault="00F54FE6" w:rsidP="00562BA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F54FE6" w:rsidRPr="00EB6F34" w:rsidRDefault="00F54FE6" w:rsidP="00F54FE6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EB6F34">
              <w:rPr>
                <w:rFonts w:ascii="Verdana" w:hAnsi="Verdana"/>
                <w:b/>
                <w:sz w:val="18"/>
                <w:szCs w:val="18"/>
              </w:rPr>
              <w:t xml:space="preserve">Документ </w:t>
            </w:r>
            <w:proofErr w:type="spellStart"/>
            <w:r w:rsidRPr="00EB6F34">
              <w:rPr>
                <w:rFonts w:ascii="Verdana" w:hAnsi="Verdana"/>
                <w:b/>
                <w:sz w:val="18"/>
                <w:szCs w:val="18"/>
              </w:rPr>
              <w:t>RAG1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9</w:t>
            </w:r>
            <w:r w:rsidRPr="00EB6F34">
              <w:rPr>
                <w:rFonts w:ascii="Verdana" w:hAnsi="Verdana"/>
                <w:b/>
                <w:sz w:val="18"/>
                <w:szCs w:val="18"/>
              </w:rPr>
              <w:t>/</w:t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20</w:t>
            </w:r>
            <w:r w:rsidRPr="00EB6F34">
              <w:rPr>
                <w:rFonts w:ascii="Verdana" w:hAnsi="Verdana"/>
                <w:b/>
                <w:sz w:val="18"/>
                <w:szCs w:val="18"/>
              </w:rPr>
              <w:t>-R</w:t>
            </w:r>
          </w:p>
        </w:tc>
      </w:tr>
      <w:tr w:rsidR="00F54FE6" w:rsidRPr="00FB6D5F" w:rsidTr="00562BA5">
        <w:trPr>
          <w:cantSplit/>
        </w:trPr>
        <w:tc>
          <w:tcPr>
            <w:tcW w:w="6771" w:type="dxa"/>
            <w:vMerge/>
          </w:tcPr>
          <w:p w:rsidR="00F54FE6" w:rsidRPr="00EB6F34" w:rsidRDefault="00F54FE6" w:rsidP="00562BA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F54FE6" w:rsidRPr="00EB6F34" w:rsidRDefault="00F54FE6" w:rsidP="00F54FE6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9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апреля </w:t>
            </w:r>
            <w:r w:rsidRPr="00EB6F34">
              <w:rPr>
                <w:rFonts w:ascii="Verdana" w:hAnsi="Verdana"/>
                <w:b/>
                <w:sz w:val="18"/>
                <w:szCs w:val="18"/>
              </w:rPr>
              <w:t>201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9</w:t>
            </w:r>
            <w:r w:rsidRPr="00EB6F34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F54FE6" w:rsidRPr="00FB6D5F" w:rsidTr="00562BA5">
        <w:trPr>
          <w:cantSplit/>
        </w:trPr>
        <w:tc>
          <w:tcPr>
            <w:tcW w:w="6771" w:type="dxa"/>
            <w:vMerge/>
          </w:tcPr>
          <w:p w:rsidR="00F54FE6" w:rsidRPr="00EB6F34" w:rsidRDefault="00F54FE6" w:rsidP="00562BA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F54FE6" w:rsidRPr="00F54FE6" w:rsidRDefault="00F54FE6" w:rsidP="00F54FE6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EB6F34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F54FE6" w:rsidRPr="00FB6D5F" w:rsidTr="00562BA5">
        <w:trPr>
          <w:cantSplit/>
        </w:trPr>
        <w:tc>
          <w:tcPr>
            <w:tcW w:w="9889" w:type="dxa"/>
            <w:gridSpan w:val="2"/>
          </w:tcPr>
          <w:p w:rsidR="00F54FE6" w:rsidRPr="00EB6F34" w:rsidRDefault="00F54FE6" w:rsidP="00562BA5">
            <w:pPr>
              <w:pStyle w:val="Source"/>
              <w:framePr w:hSpace="0" w:wrap="auto" w:vAnchor="margin" w:hAnchor="text" w:yAlign="inline"/>
            </w:pPr>
            <w:bookmarkStart w:id="3" w:name="dsource" w:colFirst="0" w:colLast="0"/>
            <w:bookmarkEnd w:id="2"/>
            <w:r w:rsidRPr="00D3798F">
              <w:t>Генеральн</w:t>
            </w:r>
            <w:r>
              <w:t>ый</w:t>
            </w:r>
            <w:r w:rsidRPr="00D3798F">
              <w:t xml:space="preserve"> секретар</w:t>
            </w:r>
            <w:r>
              <w:t>ь</w:t>
            </w:r>
          </w:p>
        </w:tc>
      </w:tr>
      <w:tr w:rsidR="00F54FE6" w:rsidRPr="00FB6D5F" w:rsidTr="00562BA5">
        <w:trPr>
          <w:cantSplit/>
        </w:trPr>
        <w:tc>
          <w:tcPr>
            <w:tcW w:w="9889" w:type="dxa"/>
            <w:gridSpan w:val="2"/>
          </w:tcPr>
          <w:p w:rsidR="00F54FE6" w:rsidRPr="00EB6F34" w:rsidRDefault="00F54FE6" w:rsidP="00562BA5">
            <w:pPr>
              <w:pStyle w:val="Title1"/>
            </w:pPr>
            <w:bookmarkStart w:id="4" w:name="dtitle1" w:colFirst="0" w:colLast="0"/>
            <w:bookmarkEnd w:id="3"/>
            <w:r>
              <w:t xml:space="preserve">ПРОЕКТ ОПЕРАТИВНого ПЛАНа </w:t>
            </w:r>
            <w:r w:rsidRPr="007E6436">
              <w:t xml:space="preserve">Генерального секретариата </w:t>
            </w:r>
            <w:r>
              <w:t>НА 2020–2023 ГОДЫ</w:t>
            </w:r>
          </w:p>
        </w:tc>
      </w:tr>
      <w:bookmarkEnd w:id="4"/>
    </w:tbl>
    <w:p w:rsidR="00F54FE6" w:rsidRDefault="00F54FE6"/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9923"/>
      </w:tblGrid>
      <w:tr w:rsidR="00CD34AE" w:rsidRPr="00BD7A1A" w:rsidTr="00F54FE6">
        <w:trPr>
          <w:trHeight w:val="70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F961B7" w:rsidRDefault="00CD34AE" w:rsidP="00F54FE6">
            <w:pPr>
              <w:spacing w:before="240"/>
              <w:rPr>
                <w:b/>
                <w:bCs/>
              </w:rPr>
            </w:pPr>
            <w:r w:rsidRPr="00F961B7">
              <w:rPr>
                <w:b/>
                <w:bCs/>
              </w:rPr>
              <w:t>Резюме</w:t>
            </w:r>
          </w:p>
          <w:p w:rsidR="00D3798F" w:rsidRPr="00353C0B" w:rsidRDefault="00D3798F" w:rsidP="00F54FE6">
            <w:r>
              <w:t>В настоящем документе пр</w:t>
            </w:r>
            <w:r w:rsidR="007E6436">
              <w:t xml:space="preserve">иводится </w:t>
            </w:r>
            <w:r w:rsidR="009D58A4">
              <w:t xml:space="preserve">рабочий </w:t>
            </w:r>
            <w:r>
              <w:t xml:space="preserve">проект Оперативного плана Генерального секретариата на </w:t>
            </w:r>
            <w:r w:rsidR="009D58A4">
              <w:t>2020−2023 годы</w:t>
            </w:r>
            <w:r>
              <w:t xml:space="preserve">, </w:t>
            </w:r>
            <w:r w:rsidR="00EB231C">
              <w:t>который будет представлен сессии Совета МСЭ в июне</w:t>
            </w:r>
            <w:r w:rsidRPr="00D3798F">
              <w:t xml:space="preserve"> 2019</w:t>
            </w:r>
            <w:r w:rsidR="00EB231C">
              <w:t> года</w:t>
            </w:r>
            <w:r w:rsidRPr="00D3798F">
              <w:t xml:space="preserve"> </w:t>
            </w:r>
            <w:r w:rsidR="007E6436">
              <w:t>для его принятия</w:t>
            </w:r>
            <w:r w:rsidRPr="00D3798F">
              <w:t xml:space="preserve">. </w:t>
            </w:r>
            <w:r w:rsidR="00EB231C">
              <w:t>Продолжается</w:t>
            </w:r>
            <w:r w:rsidR="00EB231C" w:rsidRPr="00353C0B">
              <w:t xml:space="preserve"> </w:t>
            </w:r>
            <w:r w:rsidR="00EB231C">
              <w:t>работа</w:t>
            </w:r>
            <w:r w:rsidR="00EB231C" w:rsidRPr="00353C0B">
              <w:t xml:space="preserve"> </w:t>
            </w:r>
            <w:r w:rsidR="00EB231C">
              <w:t>по</w:t>
            </w:r>
            <w:r w:rsidR="00EB231C" w:rsidRPr="00353C0B">
              <w:t xml:space="preserve"> </w:t>
            </w:r>
            <w:r w:rsidR="00EB231C">
              <w:t>завершению</w:t>
            </w:r>
            <w:r w:rsidR="00EB231C" w:rsidRPr="00353C0B">
              <w:t xml:space="preserve"> </w:t>
            </w:r>
            <w:r w:rsidR="00EB231C">
              <w:t>измерения</w:t>
            </w:r>
            <w:r w:rsidR="00EB231C" w:rsidRPr="00353C0B">
              <w:t xml:space="preserve"> </w:t>
            </w:r>
            <w:r w:rsidR="00EB231C">
              <w:t>показателей</w:t>
            </w:r>
            <w:r w:rsidR="00EB231C" w:rsidRPr="00353C0B">
              <w:t xml:space="preserve"> </w:t>
            </w:r>
            <w:r w:rsidR="00353C0B">
              <w:t>конечных</w:t>
            </w:r>
            <w:r w:rsidR="00353C0B" w:rsidRPr="00353C0B">
              <w:t xml:space="preserve"> </w:t>
            </w:r>
            <w:r w:rsidR="00353C0B">
              <w:t>результатов</w:t>
            </w:r>
            <w:r w:rsidR="00353C0B" w:rsidRPr="00353C0B">
              <w:t xml:space="preserve">, </w:t>
            </w:r>
            <w:r w:rsidR="00353C0B">
              <w:t>а</w:t>
            </w:r>
            <w:r w:rsidR="00BD35B7">
              <w:t> </w:t>
            </w:r>
            <w:r w:rsidR="00353C0B">
              <w:t>также</w:t>
            </w:r>
            <w:r w:rsidR="00353C0B" w:rsidRPr="00353C0B">
              <w:t xml:space="preserve"> </w:t>
            </w:r>
            <w:r w:rsidR="00353C0B">
              <w:t>по анализу рисков и мер их снижения</w:t>
            </w:r>
            <w:r w:rsidRPr="00353C0B">
              <w:t>.</w:t>
            </w:r>
          </w:p>
          <w:p w:rsidR="00CD34AE" w:rsidRPr="00F961B7" w:rsidRDefault="00CD34AE" w:rsidP="00F54FE6">
            <w:pPr>
              <w:rPr>
                <w:b/>
                <w:bCs/>
              </w:rPr>
            </w:pPr>
            <w:r w:rsidRPr="00F961B7">
              <w:rPr>
                <w:b/>
                <w:bCs/>
              </w:rPr>
              <w:t>Необходимые действия</w:t>
            </w:r>
          </w:p>
          <w:p w:rsidR="00CD34AE" w:rsidRPr="007E6436" w:rsidRDefault="007E6436" w:rsidP="00F54FE6">
            <w:r>
              <w:t>В</w:t>
            </w:r>
            <w:r w:rsidRPr="007E6436">
              <w:t xml:space="preserve"> </w:t>
            </w:r>
            <w:r>
              <w:t>соответствии</w:t>
            </w:r>
            <w:r w:rsidRPr="007E6436">
              <w:t xml:space="preserve"> </w:t>
            </w:r>
            <w:r>
              <w:t>с</w:t>
            </w:r>
            <w:r w:rsidRPr="007E6436">
              <w:t xml:space="preserve"> </w:t>
            </w:r>
            <w:r>
              <w:t>п</w:t>
            </w:r>
            <w:r w:rsidRPr="007E6436">
              <w:t>. 223</w:t>
            </w:r>
            <w:r w:rsidRPr="007E6436">
              <w:rPr>
                <w:lang w:val="en-US"/>
              </w:rPr>
              <w:t>A</w:t>
            </w:r>
            <w:r w:rsidRPr="007E6436">
              <w:t xml:space="preserve"> </w:t>
            </w:r>
            <w:r>
              <w:t xml:space="preserve">Статьи </w:t>
            </w:r>
            <w:r w:rsidRPr="007E6436">
              <w:t xml:space="preserve">18 </w:t>
            </w:r>
            <w:r>
              <w:t>Конвенции МСЭ</w:t>
            </w:r>
            <w:r w:rsidRPr="007E6436">
              <w:t xml:space="preserve"> </w:t>
            </w:r>
            <w:proofErr w:type="spellStart"/>
            <w:r>
              <w:t>КГР</w:t>
            </w:r>
            <w:proofErr w:type="spellEnd"/>
            <w:r w:rsidR="00061B40" w:rsidRPr="007E6436">
              <w:t xml:space="preserve"> </w:t>
            </w:r>
            <w:r w:rsidR="00D3798F" w:rsidRPr="00D3798F">
              <w:t>предлагается</w:t>
            </w:r>
            <w:r w:rsidR="00D3798F" w:rsidRPr="007E6436">
              <w:t xml:space="preserve"> </w:t>
            </w:r>
            <w:r w:rsidR="00D3798F" w:rsidRPr="007E6436">
              <w:rPr>
                <w:b/>
                <w:bCs/>
              </w:rPr>
              <w:t>рассмотреть</w:t>
            </w:r>
            <w:r w:rsidR="00D3798F" w:rsidRPr="007E6436">
              <w:t xml:space="preserve"> </w:t>
            </w:r>
            <w:r w:rsidR="00D3798F">
              <w:t>настоящий</w:t>
            </w:r>
            <w:r w:rsidR="00D3798F" w:rsidRPr="007E6436">
              <w:t xml:space="preserve"> </w:t>
            </w:r>
            <w:r w:rsidR="00D3798F">
              <w:t>документ</w:t>
            </w:r>
            <w:r w:rsidR="00D3798F" w:rsidRPr="007E6436">
              <w:t>.</w:t>
            </w:r>
          </w:p>
          <w:p w:rsidR="00CD34AE" w:rsidRDefault="00CD34AE" w:rsidP="00F54FE6">
            <w:pPr>
              <w:rPr>
                <w:b/>
                <w:bCs/>
              </w:rPr>
            </w:pPr>
            <w:r w:rsidRPr="00F961B7">
              <w:rPr>
                <w:b/>
                <w:bCs/>
              </w:rPr>
              <w:t>Справочные материалы</w:t>
            </w:r>
          </w:p>
          <w:p w:rsidR="00CD34AE" w:rsidRPr="003C02EB" w:rsidRDefault="003C02EB" w:rsidP="00F54FE6">
            <w:pPr>
              <w:spacing w:after="120"/>
            </w:pPr>
            <w:r>
              <w:t>Отсутствуют.</w:t>
            </w:r>
          </w:p>
        </w:tc>
      </w:tr>
    </w:tbl>
    <w:p w:rsidR="0040328D" w:rsidRDefault="0040328D" w:rsidP="0040328D"/>
    <w:p w:rsidR="00D3798F" w:rsidRDefault="00D3798F" w:rsidP="0040328D"/>
    <w:p w:rsidR="00D3798F" w:rsidRDefault="00D3798F" w:rsidP="00D3798F">
      <w:pPr>
        <w:pStyle w:val="Heading1"/>
        <w:sectPr w:rsidR="00D3798F" w:rsidSect="00111662">
          <w:headerReference w:type="default" r:id="rId9"/>
          <w:footerReference w:type="default" r:id="rId10"/>
          <w:footerReference w:type="first" r:id="rId11"/>
          <w:pgSz w:w="11906" w:h="16838" w:code="9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:rsidR="00D3798F" w:rsidRPr="00D3798F" w:rsidRDefault="00D3798F" w:rsidP="00D3798F">
      <w:pPr>
        <w:pStyle w:val="Heading1"/>
        <w:rPr>
          <w:color w:val="365F91" w:themeColor="accent1" w:themeShade="BF"/>
        </w:rPr>
      </w:pPr>
      <w:r w:rsidRPr="00D3798F">
        <w:rPr>
          <w:color w:val="365F91" w:themeColor="accent1" w:themeShade="BF"/>
        </w:rPr>
        <w:lastRenderedPageBreak/>
        <w:t>1</w:t>
      </w:r>
      <w:r w:rsidRPr="00D3798F">
        <w:rPr>
          <w:color w:val="365F91" w:themeColor="accent1" w:themeShade="BF"/>
        </w:rPr>
        <w:tab/>
        <w:t>Введение</w:t>
      </w:r>
    </w:p>
    <w:p w:rsidR="00D3798F" w:rsidRDefault="00FF48B2" w:rsidP="009D58A4">
      <w:pPr>
        <w:spacing w:after="120"/>
      </w:pPr>
      <w:r>
        <w:t>Настоящий ч</w:t>
      </w:r>
      <w:r w:rsidR="00D3798F" w:rsidRPr="00D3798F">
        <w:t>етырехгодичный скользящий Оперативный план</w:t>
      </w:r>
      <w:r w:rsidR="009D58A4">
        <w:t xml:space="preserve"> (ОП)</w:t>
      </w:r>
      <w:r w:rsidR="00D3798F" w:rsidRPr="00D3798F">
        <w:t xml:space="preserve"> </w:t>
      </w:r>
      <w:r>
        <w:t xml:space="preserve">Генерального секретариата </w:t>
      </w:r>
      <w:r w:rsidR="009D58A4">
        <w:t xml:space="preserve">(ГС) </w:t>
      </w:r>
      <w:r>
        <w:t xml:space="preserve">на 2020−2023 годы </w:t>
      </w:r>
      <w:r w:rsidR="00CF44B2">
        <w:t>–</w:t>
      </w:r>
      <w:r>
        <w:t xml:space="preserve"> </w:t>
      </w:r>
      <w:r w:rsidR="00CF44B2">
        <w:t xml:space="preserve">это </w:t>
      </w:r>
      <w:r>
        <w:t xml:space="preserve">первый ОП ГС, </w:t>
      </w:r>
      <w:r w:rsidR="00D3798F" w:rsidRPr="00D3798F">
        <w:t>подготовлен</w:t>
      </w:r>
      <w:r w:rsidR="00CF44B2">
        <w:t>ный</w:t>
      </w:r>
      <w:r w:rsidR="00D3798F" w:rsidRPr="00D3798F">
        <w:t xml:space="preserve"> в полном соответствии с</w:t>
      </w:r>
      <w:r>
        <w:t xml:space="preserve"> </w:t>
      </w:r>
      <w:r w:rsidR="00CF44B2">
        <w:t>принятым на ПК</w:t>
      </w:r>
      <w:r w:rsidR="00CF44B2">
        <w:noBreakHyphen/>
        <w:t xml:space="preserve">18 (Приложение </w:t>
      </w:r>
      <w:r w:rsidR="003C02EB">
        <w:t xml:space="preserve">1 </w:t>
      </w:r>
      <w:r w:rsidR="00CF44B2">
        <w:t xml:space="preserve">к Резолюции 71) </w:t>
      </w:r>
      <w:r>
        <w:t>новым</w:t>
      </w:r>
      <w:r w:rsidR="00D3798F" w:rsidRPr="00D3798F">
        <w:t xml:space="preserve"> Стратегическим планом </w:t>
      </w:r>
      <w:r w:rsidR="00475374">
        <w:t xml:space="preserve">(СП) </w:t>
      </w:r>
      <w:r w:rsidR="00D3798F" w:rsidRPr="00D3798F">
        <w:t>МСЭ на 20</w:t>
      </w:r>
      <w:r w:rsidR="00BB32E2">
        <w:t>20</w:t>
      </w:r>
      <w:r w:rsidR="00D3798F" w:rsidRPr="00D3798F">
        <w:t>−202</w:t>
      </w:r>
      <w:r w:rsidR="00BB32E2">
        <w:t>3</w:t>
      </w:r>
      <w:r w:rsidR="009D58A4">
        <w:t> </w:t>
      </w:r>
      <w:r w:rsidR="00D3798F" w:rsidRPr="00D3798F">
        <w:t xml:space="preserve">годы в рамках ограничений, установленных в </w:t>
      </w:r>
      <w:r>
        <w:t xml:space="preserve">принятом на ПК-18 (Решение 5) </w:t>
      </w:r>
      <w:r w:rsidR="00D3798F" w:rsidRPr="00D3798F">
        <w:t>Финансовом плане на 20</w:t>
      </w:r>
      <w:r w:rsidR="00BB32E2">
        <w:t>20</w:t>
      </w:r>
      <w:r w:rsidR="00D3798F" w:rsidRPr="00D3798F">
        <w:t>–202</w:t>
      </w:r>
      <w:r w:rsidR="00BB32E2">
        <w:t>3</w:t>
      </w:r>
      <w:r>
        <w:t> </w:t>
      </w:r>
      <w:r w:rsidR="00D3798F" w:rsidRPr="00D3798F">
        <w:t>годы</w:t>
      </w:r>
      <w:r>
        <w:t>,</w:t>
      </w:r>
      <w:r w:rsidR="00D3798F" w:rsidRPr="00D3798F">
        <w:t xml:space="preserve"> и </w:t>
      </w:r>
      <w:r w:rsidR="00D3798F" w:rsidRPr="00836F16">
        <w:t>двухгодичн</w:t>
      </w:r>
      <w:r w:rsidR="00CF44B2" w:rsidRPr="00836F16">
        <w:t>ым</w:t>
      </w:r>
      <w:r w:rsidR="00D3798F" w:rsidRPr="00836F16">
        <w:t xml:space="preserve"> бюджет</w:t>
      </w:r>
      <w:r w:rsidR="00CF44B2" w:rsidRPr="00836F16">
        <w:t>ом</w:t>
      </w:r>
      <w:r>
        <w:t xml:space="preserve"> на 20</w:t>
      </w:r>
      <w:r w:rsidR="000F36A2">
        <w:t>20−2021 годы (для принятия на С</w:t>
      </w:r>
      <w:r>
        <w:t>19)</w:t>
      </w:r>
      <w:r w:rsidR="00D3798F" w:rsidRPr="00D3798F">
        <w:t xml:space="preserve">. Структура соответствует структуре результатов деятельности МСЭ, в которой описаны задачи </w:t>
      </w:r>
      <w:r>
        <w:t>Секторов и межсекторальные задачи</w:t>
      </w:r>
      <w:r w:rsidR="00D3798F" w:rsidRPr="00D3798F">
        <w:t>, соответствующие конечные результаты и показатели для измерения уровня их достижения, намеченные результаты деятельности (продукты и услуги), достигаемые при выполнении видов деятельности</w:t>
      </w:r>
      <w:r>
        <w:t xml:space="preserve">, </w:t>
      </w:r>
      <w:r w:rsidR="00CF44B2" w:rsidRPr="00D3798F">
        <w:t>а также</w:t>
      </w:r>
      <w:r>
        <w:t xml:space="preserve"> вспомогательные услуги Генерального секретариата</w:t>
      </w:r>
      <w:r w:rsidR="00D3798F" w:rsidRPr="00D3798F">
        <w:t>.</w:t>
      </w:r>
    </w:p>
    <w:bookmarkStart w:id="5" w:name="_GoBack"/>
    <w:p w:rsidR="004A28B2" w:rsidRDefault="00A93F16" w:rsidP="004A28B2">
      <w:pPr>
        <w:spacing w:after="120"/>
        <w:jc w:val="center"/>
      </w:pPr>
      <w:r>
        <w:object w:dxaOrig="10535" w:dyaOrig="5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7pt;height:231.75pt" o:ole="">
            <v:imagedata r:id="rId12" o:title="" croptop="8131f" cropbottom="12509f" cropleft="3527f"/>
          </v:shape>
          <o:OLEObject Type="Embed" ProgID="PowerPoint.Slide.12" ShapeID="_x0000_i1025" DrawAspect="Content" ObjectID="_1616412682" r:id="rId13"/>
        </w:object>
      </w:r>
      <w:bookmarkEnd w:id="5"/>
    </w:p>
    <w:p w:rsidR="00D3798F" w:rsidRPr="00D3798F" w:rsidRDefault="00D3798F" w:rsidP="00D3798F">
      <w:pPr>
        <w:pStyle w:val="Heading1"/>
        <w:rPr>
          <w:color w:val="365F91" w:themeColor="accent1" w:themeShade="BF"/>
        </w:rPr>
      </w:pPr>
      <w:r w:rsidRPr="00D3798F">
        <w:rPr>
          <w:color w:val="365F91" w:themeColor="accent1" w:themeShade="BF"/>
        </w:rPr>
        <w:lastRenderedPageBreak/>
        <w:t>2</w:t>
      </w:r>
      <w:r w:rsidRPr="00D3798F">
        <w:rPr>
          <w:color w:val="365F91" w:themeColor="accent1" w:themeShade="BF"/>
        </w:rPr>
        <w:tab/>
        <w:t>Ключевые приоритеты</w:t>
      </w:r>
    </w:p>
    <w:p w:rsidR="00D3798F" w:rsidRPr="007101FE" w:rsidRDefault="00D3798F" w:rsidP="00BB32E2">
      <w:r w:rsidRPr="007101FE">
        <w:t>Ключевые приоритеты Генерального секретариата согласованы со Стратегическим планом на 20</w:t>
      </w:r>
      <w:r w:rsidR="00BB32E2">
        <w:t>20</w:t>
      </w:r>
      <w:r w:rsidRPr="007101FE">
        <w:t>–20</w:t>
      </w:r>
      <w:r w:rsidR="00BB32E2">
        <w:t>23</w:t>
      </w:r>
      <w:r w:rsidRPr="007101FE">
        <w:t xml:space="preserve"> годы и обусловлены его ролью по поддержке секторальных и межсекторальных видов деятельности и содействию таким видам деятельности, которые направлены на решение задач и достижение стратегических целей Союза. </w:t>
      </w:r>
    </w:p>
    <w:p w:rsidR="00A93F16" w:rsidRPr="0021389D" w:rsidRDefault="00CF44B2" w:rsidP="00FE3045">
      <w:r>
        <w:t>Стратегический</w:t>
      </w:r>
      <w:r w:rsidRPr="00836F16">
        <w:t xml:space="preserve"> </w:t>
      </w:r>
      <w:r>
        <w:t>план</w:t>
      </w:r>
      <w:r w:rsidRPr="00836F16">
        <w:t xml:space="preserve"> </w:t>
      </w:r>
      <w:r>
        <w:t>на</w:t>
      </w:r>
      <w:r w:rsidRPr="00836F16">
        <w:t xml:space="preserve"> </w:t>
      </w:r>
      <w:r w:rsidR="00A93F16" w:rsidRPr="00836F16">
        <w:t>2020</w:t>
      </w:r>
      <w:r w:rsidR="000F36A2">
        <w:t>–</w:t>
      </w:r>
      <w:r w:rsidR="00A93F16" w:rsidRPr="00836F16">
        <w:t>2023</w:t>
      </w:r>
      <w:r w:rsidRPr="00CF44B2">
        <w:rPr>
          <w:lang w:val="en-US"/>
        </w:rPr>
        <w:t> </w:t>
      </w:r>
      <w:r>
        <w:t>годы</w:t>
      </w:r>
      <w:r w:rsidRPr="00836F16">
        <w:t xml:space="preserve"> </w:t>
      </w:r>
      <w:r>
        <w:t>включает</w:t>
      </w:r>
      <w:r w:rsidRPr="00836F16">
        <w:t xml:space="preserve"> </w:t>
      </w:r>
      <w:r>
        <w:t>новый</w:t>
      </w:r>
      <w:r w:rsidRPr="00836F16">
        <w:t xml:space="preserve"> </w:t>
      </w:r>
      <w:r>
        <w:t>комплекс</w:t>
      </w:r>
      <w:r w:rsidRPr="00836F16">
        <w:t xml:space="preserve"> </w:t>
      </w:r>
      <w:r>
        <w:t>межсекторальных</w:t>
      </w:r>
      <w:r w:rsidRPr="00836F16">
        <w:t xml:space="preserve"> </w:t>
      </w:r>
      <w:r>
        <w:t>задач</w:t>
      </w:r>
      <w:r w:rsidR="00A93F16" w:rsidRPr="00836F16">
        <w:t xml:space="preserve"> </w:t>
      </w:r>
      <w:r w:rsidR="00836F16">
        <w:t>(и соответствующих конечных результатов и намеченных результатов деятельности</w:t>
      </w:r>
      <w:r w:rsidR="00A93F16" w:rsidRPr="00836F16">
        <w:t>)</w:t>
      </w:r>
      <w:r w:rsidR="00836F16">
        <w:t>, выполнение которых требует расширенной поддержки со стороны Генерального секретариата</w:t>
      </w:r>
      <w:r w:rsidR="00A93F16" w:rsidRPr="00836F16">
        <w:t xml:space="preserve">. </w:t>
      </w:r>
      <w:r w:rsidR="00836F16">
        <w:t>Намеченный</w:t>
      </w:r>
      <w:r w:rsidR="00836F16" w:rsidRPr="0021389D">
        <w:t xml:space="preserve"> </w:t>
      </w:r>
      <w:r w:rsidR="00836F16">
        <w:t>результат</w:t>
      </w:r>
      <w:r w:rsidR="00836F16" w:rsidRPr="0021389D">
        <w:t xml:space="preserve"> </w:t>
      </w:r>
      <w:r w:rsidR="00836F16">
        <w:t>деятельности</w:t>
      </w:r>
      <w:r w:rsidR="00836F16" w:rsidRPr="0021389D">
        <w:t xml:space="preserve"> </w:t>
      </w:r>
      <w:r w:rsidR="00A93F16" w:rsidRPr="00A93F16">
        <w:rPr>
          <w:lang w:val="en-US"/>
        </w:rPr>
        <w:t>I</w:t>
      </w:r>
      <w:r w:rsidR="00A93F16" w:rsidRPr="0021389D">
        <w:t xml:space="preserve">.6, </w:t>
      </w:r>
      <w:r w:rsidR="00836F16">
        <w:t>например</w:t>
      </w:r>
      <w:r w:rsidR="00A93F16" w:rsidRPr="0021389D">
        <w:t xml:space="preserve">, </w:t>
      </w:r>
      <w:r w:rsidR="00836F16">
        <w:t>составляет</w:t>
      </w:r>
      <w:r w:rsidR="00836F16" w:rsidRPr="0021389D">
        <w:t xml:space="preserve"> </w:t>
      </w:r>
      <w:r w:rsidR="00836F16">
        <w:t>сложную</w:t>
      </w:r>
      <w:r w:rsidR="00836F16" w:rsidRPr="0021389D">
        <w:t xml:space="preserve"> </w:t>
      </w:r>
      <w:r w:rsidR="00836F16">
        <w:t>задачу</w:t>
      </w:r>
      <w:r w:rsidR="00836F16" w:rsidRPr="0021389D">
        <w:t xml:space="preserve"> </w:t>
      </w:r>
      <w:r w:rsidR="0021389D">
        <w:t>внедрения</w:t>
      </w:r>
      <w:r w:rsidR="0021389D" w:rsidRPr="0021389D">
        <w:t xml:space="preserve"> </w:t>
      </w:r>
      <w:r w:rsidR="0021389D">
        <w:t>процессов</w:t>
      </w:r>
      <w:r w:rsidR="0021389D" w:rsidRPr="0021389D">
        <w:t xml:space="preserve"> </w:t>
      </w:r>
      <w:r w:rsidR="0021389D">
        <w:t>и</w:t>
      </w:r>
      <w:r w:rsidR="0021389D" w:rsidRPr="0021389D">
        <w:t xml:space="preserve"> </w:t>
      </w:r>
      <w:r w:rsidR="0021389D">
        <w:t>методов</w:t>
      </w:r>
      <w:r w:rsidR="0021389D" w:rsidRPr="0021389D">
        <w:t xml:space="preserve"> </w:t>
      </w:r>
      <w:r w:rsidR="0021389D">
        <w:t>работы</w:t>
      </w:r>
      <w:r w:rsidR="0021389D" w:rsidRPr="0021389D">
        <w:t xml:space="preserve">, </w:t>
      </w:r>
      <w:r w:rsidR="0021389D">
        <w:t>позволяющих</w:t>
      </w:r>
      <w:r w:rsidR="0021389D" w:rsidRPr="0021389D">
        <w:t xml:space="preserve"> </w:t>
      </w:r>
      <w:r w:rsidR="0021389D">
        <w:t>с</w:t>
      </w:r>
      <w:r w:rsidR="0021389D" w:rsidRPr="00482978">
        <w:t>окращать области частичного совпадения и дублирования и содействовать более тесной и более прозрачной координации между Генеральным секретариатом и Секторами МСЭ, с учетом бюджетных ассигнований Союза и специальных знаний</w:t>
      </w:r>
      <w:r w:rsidR="0021389D">
        <w:t>,</w:t>
      </w:r>
      <w:r w:rsidR="0021389D" w:rsidRPr="00482978">
        <w:t xml:space="preserve"> опыта и мандата каждого из Секторов</w:t>
      </w:r>
      <w:r w:rsidR="00A93F16" w:rsidRPr="0021389D">
        <w:t xml:space="preserve">. </w:t>
      </w:r>
      <w:r w:rsidR="0021389D">
        <w:t>К</w:t>
      </w:r>
      <w:r w:rsidR="0021389D" w:rsidRPr="0021389D">
        <w:rPr>
          <w:lang w:val="en-US"/>
        </w:rPr>
        <w:t> </w:t>
      </w:r>
      <w:r w:rsidR="0021389D">
        <w:t>другим</w:t>
      </w:r>
      <w:r w:rsidR="0021389D" w:rsidRPr="0021389D">
        <w:t xml:space="preserve"> </w:t>
      </w:r>
      <w:r w:rsidR="0021389D">
        <w:t>межсекторальным</w:t>
      </w:r>
      <w:r w:rsidR="0021389D" w:rsidRPr="0021389D">
        <w:t xml:space="preserve"> </w:t>
      </w:r>
      <w:r w:rsidR="0021389D">
        <w:t>задачам</w:t>
      </w:r>
      <w:r w:rsidR="0021389D" w:rsidRPr="0021389D">
        <w:t xml:space="preserve"> </w:t>
      </w:r>
      <w:r w:rsidR="0021389D">
        <w:t>относятся</w:t>
      </w:r>
      <w:r w:rsidR="00A93F16" w:rsidRPr="0021389D">
        <w:t xml:space="preserve"> </w:t>
      </w:r>
      <w:r w:rsidR="00861EB0">
        <w:t xml:space="preserve">следующие: </w:t>
      </w:r>
      <w:r w:rsidR="0021389D">
        <w:t>содействие</w:t>
      </w:r>
      <w:r w:rsidR="0021389D" w:rsidRPr="0021389D">
        <w:t xml:space="preserve"> </w:t>
      </w:r>
      <w:r w:rsidR="0021389D">
        <w:t>более</w:t>
      </w:r>
      <w:r w:rsidR="0021389D" w:rsidRPr="0021389D">
        <w:t xml:space="preserve"> </w:t>
      </w:r>
      <w:r w:rsidR="0021389D">
        <w:t>тесному</w:t>
      </w:r>
      <w:r w:rsidR="0021389D" w:rsidRPr="0021389D">
        <w:t xml:space="preserve"> </w:t>
      </w:r>
      <w:r w:rsidR="0021389D">
        <w:t>сотрудничеству</w:t>
      </w:r>
      <w:r w:rsidR="0021389D" w:rsidRPr="0021389D">
        <w:t xml:space="preserve"> </w:t>
      </w:r>
      <w:r w:rsidR="0021389D">
        <w:t>между</w:t>
      </w:r>
      <w:r w:rsidR="0021389D" w:rsidRPr="0021389D">
        <w:t xml:space="preserve"> </w:t>
      </w:r>
      <w:r w:rsidR="0021389D">
        <w:t>всеми</w:t>
      </w:r>
      <w:r w:rsidR="0021389D" w:rsidRPr="0021389D">
        <w:t xml:space="preserve"> </w:t>
      </w:r>
      <w:r w:rsidR="0021389D">
        <w:t>заинтересованными</w:t>
      </w:r>
      <w:r w:rsidR="0021389D" w:rsidRPr="0021389D">
        <w:t xml:space="preserve"> </w:t>
      </w:r>
      <w:r w:rsidR="0021389D">
        <w:t>сторонами</w:t>
      </w:r>
      <w:r w:rsidR="00A93F16" w:rsidRPr="0021389D">
        <w:t xml:space="preserve">; </w:t>
      </w:r>
      <w:r w:rsidR="0021389D">
        <w:t>более</w:t>
      </w:r>
      <w:r w:rsidR="0021389D" w:rsidRPr="0021389D">
        <w:t xml:space="preserve"> </w:t>
      </w:r>
      <w:r w:rsidR="0021389D">
        <w:t>эффективное</w:t>
      </w:r>
      <w:r w:rsidR="0021389D" w:rsidRPr="0021389D">
        <w:t xml:space="preserve"> </w:t>
      </w:r>
      <w:r w:rsidR="0021389D">
        <w:t>выявление</w:t>
      </w:r>
      <w:r w:rsidR="0021389D" w:rsidRPr="0021389D">
        <w:t xml:space="preserve">, </w:t>
      </w:r>
      <w:r w:rsidR="0021389D">
        <w:t>осознание</w:t>
      </w:r>
      <w:r w:rsidR="0021389D" w:rsidRPr="0021389D">
        <w:t xml:space="preserve"> </w:t>
      </w:r>
      <w:r w:rsidR="0021389D">
        <w:t>и</w:t>
      </w:r>
      <w:r w:rsidR="0021389D" w:rsidRPr="0021389D">
        <w:t xml:space="preserve"> </w:t>
      </w:r>
      <w:r w:rsidR="0021389D">
        <w:t>анализ</w:t>
      </w:r>
      <w:r w:rsidR="0021389D" w:rsidRPr="0021389D">
        <w:t xml:space="preserve"> </w:t>
      </w:r>
      <w:r w:rsidR="0021389D" w:rsidRPr="00E173A0">
        <w:t xml:space="preserve">цифровой трансформации и </w:t>
      </w:r>
      <w:r w:rsidR="00FE3045">
        <w:t>возникающих</w:t>
      </w:r>
      <w:r w:rsidR="0021389D" w:rsidRPr="00E173A0">
        <w:t xml:space="preserve"> тенденций</w:t>
      </w:r>
      <w:r w:rsidR="00A93F16" w:rsidRPr="0021389D">
        <w:t xml:space="preserve">; </w:t>
      </w:r>
      <w:r w:rsidR="0021389D">
        <w:t xml:space="preserve">повышение доступности </w:t>
      </w:r>
      <w:r w:rsidR="0021389D" w:rsidRPr="00E173A0">
        <w:t>электросвязи/ИКТ для лиц с ограниченными возможностями и лиц с особыми потребностями</w:t>
      </w:r>
      <w:r w:rsidR="00A93F16" w:rsidRPr="0021389D">
        <w:t xml:space="preserve">; </w:t>
      </w:r>
      <w:r w:rsidR="00B81394">
        <w:t>расширение</w:t>
      </w:r>
      <w:r w:rsidR="00A93F16" w:rsidRPr="0021389D">
        <w:t xml:space="preserve"> </w:t>
      </w:r>
      <w:r w:rsidR="0021389D" w:rsidRPr="00E173A0">
        <w:t>использование электросвязи/ИКТ для достижения гендерного равенства и интеграции</w:t>
      </w:r>
      <w:r w:rsidR="0021389D">
        <w:t>, а также</w:t>
      </w:r>
      <w:r w:rsidR="0021389D" w:rsidRPr="00E173A0">
        <w:t xml:space="preserve"> </w:t>
      </w:r>
      <w:r w:rsidR="009D58A4">
        <w:t xml:space="preserve">для </w:t>
      </w:r>
      <w:r w:rsidR="0021389D" w:rsidRPr="00E173A0">
        <w:t>расширения прав и возможностей женщин и девуше</w:t>
      </w:r>
      <w:r w:rsidR="0021389D">
        <w:t>к</w:t>
      </w:r>
      <w:r w:rsidR="00A93F16" w:rsidRPr="0021389D">
        <w:t xml:space="preserve">; </w:t>
      </w:r>
      <w:r w:rsidR="0021389D">
        <w:t>и</w:t>
      </w:r>
      <w:r w:rsidR="00861EB0">
        <w:t>,</w:t>
      </w:r>
      <w:r w:rsidR="007762D8">
        <w:t xml:space="preserve"> последнее</w:t>
      </w:r>
      <w:r w:rsidR="0021389D">
        <w:t>,</w:t>
      </w:r>
      <w:r w:rsidR="007762D8">
        <w:t xml:space="preserve"> но не менее важное, использование </w:t>
      </w:r>
      <w:r w:rsidR="007762D8" w:rsidRPr="00E173A0">
        <w:t>электросвяз</w:t>
      </w:r>
      <w:r w:rsidR="007762D8">
        <w:t>и</w:t>
      </w:r>
      <w:r w:rsidR="007762D8" w:rsidRPr="00E173A0">
        <w:t>/ИКТ для уменьшения экологического следа</w:t>
      </w:r>
      <w:r w:rsidR="00A93F16" w:rsidRPr="0021389D">
        <w:t>.</w:t>
      </w:r>
    </w:p>
    <w:p w:rsidR="00BB32E2" w:rsidRDefault="00D3798F" w:rsidP="00140EF4">
      <w:r w:rsidRPr="007101FE">
        <w:t xml:space="preserve">Кроме того, для выполнения всех запланированных видов деятельности при обеспечении </w:t>
      </w:r>
      <w:r w:rsidR="00B81394">
        <w:t xml:space="preserve">для </w:t>
      </w:r>
      <w:r w:rsidRPr="007101FE">
        <w:t>член</w:t>
      </w:r>
      <w:r w:rsidR="00B81394">
        <w:t>ов</w:t>
      </w:r>
      <w:r w:rsidRPr="007101FE">
        <w:t xml:space="preserve"> услуг самого высокого качества</w:t>
      </w:r>
      <w:r w:rsidR="00140EF4" w:rsidRPr="00140EF4">
        <w:t xml:space="preserve"> </w:t>
      </w:r>
      <w:r w:rsidR="00140EF4" w:rsidRPr="007101FE">
        <w:t xml:space="preserve">потребуется </w:t>
      </w:r>
      <w:r w:rsidR="00140EF4" w:rsidRPr="0007551A">
        <w:t>повышение эффективности</w:t>
      </w:r>
      <w:r w:rsidRPr="0007551A">
        <w:t xml:space="preserve">. </w:t>
      </w:r>
      <w:r w:rsidR="00140EF4" w:rsidRPr="0007551A">
        <w:t>В ходе выполнения</w:t>
      </w:r>
      <w:r w:rsidRPr="0007551A">
        <w:t xml:space="preserve"> Оперативного плана Генеральный секретариат будет уделять основное внимание</w:t>
      </w:r>
      <w:r w:rsidR="00B81394" w:rsidRPr="0007551A">
        <w:t xml:space="preserve"> следующим направлениям</w:t>
      </w:r>
      <w:r w:rsidR="00BB32E2" w:rsidRPr="0007551A">
        <w:t>:</w:t>
      </w:r>
    </w:p>
    <w:p w:rsidR="00BB32E2" w:rsidRDefault="00BB32E2" w:rsidP="000F36A2">
      <w:pPr>
        <w:pStyle w:val="enumlev1"/>
        <w:spacing w:before="80"/>
      </w:pPr>
      <w:r>
        <w:t>•</w:t>
      </w:r>
      <w:r>
        <w:tab/>
      </w:r>
      <w:r w:rsidR="00D3798F" w:rsidRPr="007101FE">
        <w:t>полн</w:t>
      </w:r>
      <w:r w:rsidR="00B81394">
        <w:t>ая</w:t>
      </w:r>
      <w:r w:rsidR="00D3798F" w:rsidRPr="007101FE">
        <w:t xml:space="preserve"> оптимизаци</w:t>
      </w:r>
      <w:r w:rsidR="00B81394">
        <w:t>я</w:t>
      </w:r>
      <w:r w:rsidR="00D3798F" w:rsidRPr="007101FE">
        <w:t xml:space="preserve"> планирования, контроля и от</w:t>
      </w:r>
      <w:r>
        <w:t>четности по видам деятельности;</w:t>
      </w:r>
    </w:p>
    <w:p w:rsidR="00BB32E2" w:rsidRDefault="00BB32E2" w:rsidP="000F36A2">
      <w:pPr>
        <w:pStyle w:val="enumlev1"/>
        <w:spacing w:before="80"/>
      </w:pPr>
      <w:r>
        <w:t>•</w:t>
      </w:r>
      <w:r>
        <w:tab/>
      </w:r>
      <w:r w:rsidR="00140EF4">
        <w:t>мониторинг</w:t>
      </w:r>
      <w:r w:rsidR="00D3798F" w:rsidRPr="007101FE">
        <w:t xml:space="preserve"> выполнения Стратегического плана;</w:t>
      </w:r>
    </w:p>
    <w:p w:rsidR="00BB32E2" w:rsidRDefault="00BB32E2" w:rsidP="000F36A2">
      <w:pPr>
        <w:pStyle w:val="enumlev1"/>
        <w:spacing w:before="80"/>
      </w:pPr>
      <w:r>
        <w:t>•</w:t>
      </w:r>
      <w:r>
        <w:tab/>
      </w:r>
      <w:r w:rsidR="00D3798F" w:rsidRPr="007101FE">
        <w:t>дальнейше</w:t>
      </w:r>
      <w:r w:rsidR="00B81394">
        <w:t xml:space="preserve">е </w:t>
      </w:r>
      <w:r w:rsidR="00D3798F" w:rsidRPr="007101FE">
        <w:t>совершенствовани</w:t>
      </w:r>
      <w:r w:rsidR="00B81394">
        <w:t>е</w:t>
      </w:r>
      <w:r w:rsidR="00D3798F" w:rsidRPr="007101FE">
        <w:t xml:space="preserve"> </w:t>
      </w:r>
      <w:r w:rsidR="00140EF4">
        <w:t>стратегий</w:t>
      </w:r>
      <w:r w:rsidR="00D3798F" w:rsidRPr="007101FE">
        <w:t xml:space="preserve"> мобилизации ресурсов;</w:t>
      </w:r>
    </w:p>
    <w:p w:rsidR="00BB32E2" w:rsidRDefault="00BB32E2" w:rsidP="000F36A2">
      <w:pPr>
        <w:pStyle w:val="enumlev1"/>
        <w:spacing w:before="80"/>
      </w:pPr>
      <w:r>
        <w:t>•</w:t>
      </w:r>
      <w:r>
        <w:tab/>
      </w:r>
      <w:r w:rsidR="00B81394">
        <w:t>обеспечение</w:t>
      </w:r>
      <w:r w:rsidR="00D3798F" w:rsidRPr="007101FE">
        <w:t xml:space="preserve"> и постоянно</w:t>
      </w:r>
      <w:r w:rsidR="00B81394">
        <w:t>е</w:t>
      </w:r>
      <w:r w:rsidR="00D3798F" w:rsidRPr="007101FE">
        <w:t xml:space="preserve"> совершенствовани</w:t>
      </w:r>
      <w:r w:rsidR="00B81394">
        <w:t>е</w:t>
      </w:r>
      <w:r w:rsidR="00D3798F" w:rsidRPr="007101FE">
        <w:t xml:space="preserve"> относящихся к конференциям и публикациям</w:t>
      </w:r>
      <w:r>
        <w:t xml:space="preserve"> услуг, предоставляемых членам;</w:t>
      </w:r>
    </w:p>
    <w:p w:rsidR="00BB32E2" w:rsidRDefault="00BB32E2" w:rsidP="000F36A2">
      <w:pPr>
        <w:pStyle w:val="enumlev1"/>
        <w:spacing w:before="80"/>
      </w:pPr>
      <w:r>
        <w:t>•</w:t>
      </w:r>
      <w:r>
        <w:tab/>
      </w:r>
      <w:r w:rsidR="00D3798F" w:rsidRPr="007101FE">
        <w:t>максимально</w:t>
      </w:r>
      <w:r w:rsidR="00B81394">
        <w:t>е</w:t>
      </w:r>
      <w:r w:rsidR="00D3798F" w:rsidRPr="007101FE">
        <w:t xml:space="preserve"> </w:t>
      </w:r>
      <w:r w:rsidR="00B81394">
        <w:t>повышение</w:t>
      </w:r>
      <w:r w:rsidR="00D3798F" w:rsidRPr="007101FE">
        <w:t xml:space="preserve"> ценности информации МСЭ, предоставляемой членам и глобальному сообществу ИКТ;</w:t>
      </w:r>
    </w:p>
    <w:p w:rsidR="00BB32E2" w:rsidRDefault="00BB32E2" w:rsidP="000F36A2">
      <w:pPr>
        <w:pStyle w:val="enumlev1"/>
        <w:spacing w:before="80"/>
      </w:pPr>
      <w:r>
        <w:t>•</w:t>
      </w:r>
      <w:r>
        <w:tab/>
      </w:r>
      <w:r w:rsidR="00D3798F" w:rsidRPr="007101FE">
        <w:t>содействи</w:t>
      </w:r>
      <w:r w:rsidR="00B81394">
        <w:t>е</w:t>
      </w:r>
      <w:r w:rsidR="00D3798F" w:rsidRPr="007101FE">
        <w:t xml:space="preserve"> лучшему пониманию роли МСЭ и </w:t>
      </w:r>
      <w:r w:rsidR="00B81394">
        <w:t>популяризаци</w:t>
      </w:r>
      <w:r w:rsidR="00140EF4">
        <w:t>я</w:t>
      </w:r>
      <w:r w:rsidR="00D3798F" w:rsidRPr="007101FE">
        <w:t xml:space="preserve"> его деятельности и миссии среди основных заинтересованных </w:t>
      </w:r>
      <w:r w:rsidR="00140EF4">
        <w:t>групп</w:t>
      </w:r>
      <w:r w:rsidR="00D3798F" w:rsidRPr="007101FE">
        <w:t>;</w:t>
      </w:r>
    </w:p>
    <w:p w:rsidR="00BB32E2" w:rsidRDefault="00BB32E2" w:rsidP="000F36A2">
      <w:pPr>
        <w:pStyle w:val="enumlev1"/>
        <w:spacing w:before="80"/>
      </w:pPr>
      <w:r>
        <w:t>•</w:t>
      </w:r>
      <w:r>
        <w:tab/>
      </w:r>
      <w:r w:rsidR="00D3798F" w:rsidRPr="007101FE">
        <w:t>повышени</w:t>
      </w:r>
      <w:r w:rsidR="00B81394">
        <w:t>е</w:t>
      </w:r>
      <w:r w:rsidR="00D3798F" w:rsidRPr="007101FE">
        <w:t xml:space="preserve"> доступности и функционально</w:t>
      </w:r>
      <w:r>
        <w:t>сти инфраструктуры и услуг ИКТ;</w:t>
      </w:r>
    </w:p>
    <w:p w:rsidR="00BB32E2" w:rsidRDefault="00BB32E2" w:rsidP="000F36A2">
      <w:pPr>
        <w:pStyle w:val="enumlev1"/>
        <w:spacing w:before="80"/>
      </w:pPr>
      <w:r>
        <w:t>•</w:t>
      </w:r>
      <w:r>
        <w:tab/>
      </w:r>
      <w:r w:rsidR="00D3798F" w:rsidRPr="007101FE">
        <w:t>повышени</w:t>
      </w:r>
      <w:r w:rsidR="00B81394">
        <w:t>е</w:t>
      </w:r>
      <w:r w:rsidR="00D3798F" w:rsidRPr="007101FE">
        <w:t xml:space="preserve"> эффективности сектораль</w:t>
      </w:r>
      <w:r>
        <w:t>ных видов деятельности; а также</w:t>
      </w:r>
    </w:p>
    <w:p w:rsidR="00D3798F" w:rsidRPr="007101FE" w:rsidRDefault="00BB32E2" w:rsidP="000F36A2">
      <w:pPr>
        <w:pStyle w:val="enumlev1"/>
        <w:spacing w:before="80"/>
      </w:pPr>
      <w:r>
        <w:t>•</w:t>
      </w:r>
      <w:r>
        <w:tab/>
      </w:r>
      <w:r w:rsidR="001D4864">
        <w:t>стимулирование</w:t>
      </w:r>
      <w:r w:rsidR="00D3798F" w:rsidRPr="007101FE">
        <w:t xml:space="preserve"> инноваци</w:t>
      </w:r>
      <w:r w:rsidR="001D4864">
        <w:t>й</w:t>
      </w:r>
      <w:r w:rsidR="00D3798F" w:rsidRPr="007101FE">
        <w:t xml:space="preserve"> путем поддержки усилий Секторов, направленных на развитие экосистемы, достаточно благоприятной для инноваций, и на адаптацию к измен</w:t>
      </w:r>
      <w:r>
        <w:t>яющейся среде электросвязи/ИКТ.</w:t>
      </w:r>
    </w:p>
    <w:p w:rsidR="00D3798F" w:rsidRPr="007101FE" w:rsidRDefault="00D3798F" w:rsidP="0007551A">
      <w:pPr>
        <w:keepNext/>
      </w:pPr>
      <w:r w:rsidRPr="007101FE">
        <w:lastRenderedPageBreak/>
        <w:t>В течение этого периода в рамках Генерального секретариата будет продолжена деятельность по модернизации практики управления, а также будет постоянно совершенствоваться организация, ориентированная на результаты, включая согласование процессов оперативного, финансово-бюджетного и стратегического планирования.</w:t>
      </w:r>
    </w:p>
    <w:p w:rsidR="00D3798F" w:rsidRDefault="001D4864" w:rsidP="001D4864">
      <w:r>
        <w:t>О</w:t>
      </w:r>
      <w:r w:rsidRPr="007101FE">
        <w:t xml:space="preserve">тдельного упоминания заслуживает </w:t>
      </w:r>
      <w:r w:rsidR="00D3798F" w:rsidRPr="007101FE">
        <w:t>крупный стратегический проект, выпо</w:t>
      </w:r>
      <w:r>
        <w:t>лняемый в течение этого периода</w:t>
      </w:r>
      <w:r w:rsidR="00D3798F" w:rsidRPr="007101FE">
        <w:t xml:space="preserve">: снос здания "Варембе", замена его </w:t>
      </w:r>
      <w:r w:rsidR="00D3798F" w:rsidRPr="0007551A">
        <w:t xml:space="preserve">единым зданием, в котором также </w:t>
      </w:r>
      <w:r w:rsidRPr="0007551A">
        <w:t>воз</w:t>
      </w:r>
      <w:r w:rsidR="00D3798F" w:rsidRPr="0007551A">
        <w:t>можно будет разместить сохраняющиеся объекты здания МСЭ "Башня" и большинс</w:t>
      </w:r>
      <w:r w:rsidR="00BB32E2" w:rsidRPr="0007551A">
        <w:t>тво объектов здания "Монбрийан"</w:t>
      </w:r>
      <w:r w:rsidR="00D3798F" w:rsidRPr="0007551A">
        <w:t>.</w:t>
      </w:r>
    </w:p>
    <w:p w:rsidR="00BB32E2" w:rsidRPr="00BB32E2" w:rsidRDefault="00BB32E2" w:rsidP="0097001B">
      <w:pPr>
        <w:pStyle w:val="Heading1"/>
        <w:rPr>
          <w:color w:val="365F91" w:themeColor="accent1" w:themeShade="BF"/>
        </w:rPr>
      </w:pPr>
      <w:r w:rsidRPr="00BB32E2">
        <w:rPr>
          <w:color w:val="365F91" w:themeColor="accent1" w:themeShade="BF"/>
        </w:rPr>
        <w:t>3</w:t>
      </w:r>
      <w:r w:rsidRPr="00BB32E2">
        <w:rPr>
          <w:color w:val="365F91" w:themeColor="accent1" w:themeShade="BF"/>
        </w:rPr>
        <w:tab/>
      </w:r>
      <w:r w:rsidR="0097001B">
        <w:rPr>
          <w:color w:val="365F91" w:themeColor="accent1" w:themeShade="BF"/>
        </w:rPr>
        <w:t>Задачи</w:t>
      </w:r>
      <w:r w:rsidRPr="00BB32E2">
        <w:rPr>
          <w:color w:val="365F91" w:themeColor="accent1" w:themeShade="BF"/>
        </w:rPr>
        <w:t xml:space="preserve">, </w:t>
      </w:r>
      <w:r w:rsidR="0097001B">
        <w:rPr>
          <w:color w:val="365F91" w:themeColor="accent1" w:themeShade="BF"/>
        </w:rPr>
        <w:t>конечные</w:t>
      </w:r>
      <w:r w:rsidRPr="00BB32E2">
        <w:rPr>
          <w:color w:val="365F91" w:themeColor="accent1" w:themeShade="BF"/>
        </w:rPr>
        <w:t xml:space="preserve"> </w:t>
      </w:r>
      <w:r w:rsidR="0097001B">
        <w:rPr>
          <w:color w:val="365F91" w:themeColor="accent1" w:themeShade="BF"/>
        </w:rPr>
        <w:t>результаты и намеченные результаты деятельности</w:t>
      </w:r>
    </w:p>
    <w:p w:rsidR="00D3798F" w:rsidRPr="001B1EE1" w:rsidRDefault="001B1EE1" w:rsidP="001B1EE1">
      <w:pPr>
        <w:pStyle w:val="Heading2"/>
        <w:spacing w:after="120"/>
        <w:rPr>
          <w:color w:val="365F91" w:themeColor="accent1" w:themeShade="BF"/>
        </w:rPr>
      </w:pPr>
      <w:r>
        <w:rPr>
          <w:color w:val="365F91" w:themeColor="accent1" w:themeShade="BF"/>
        </w:rPr>
        <w:t>3</w:t>
      </w:r>
      <w:r w:rsidR="00D3798F" w:rsidRPr="001B1EE1">
        <w:rPr>
          <w:color w:val="365F91" w:themeColor="accent1" w:themeShade="BF"/>
        </w:rPr>
        <w:t>.1</w:t>
      </w:r>
      <w:r w:rsidR="00D3798F" w:rsidRPr="001B1EE1">
        <w:rPr>
          <w:color w:val="365F91" w:themeColor="accent1" w:themeShade="BF"/>
        </w:rPr>
        <w:tab/>
        <w:t>Распределение затрат Генерального секретариата на 20</w:t>
      </w:r>
      <w:r w:rsidRPr="001B1EE1">
        <w:rPr>
          <w:color w:val="365F91" w:themeColor="accent1" w:themeShade="BF"/>
        </w:rPr>
        <w:t>20−2021</w:t>
      </w:r>
      <w:r w:rsidR="00D3798F" w:rsidRPr="001B1EE1">
        <w:rPr>
          <w:color w:val="365F91" w:themeColor="accent1" w:themeShade="BF"/>
        </w:rPr>
        <w:t> год</w:t>
      </w:r>
      <w:r>
        <w:rPr>
          <w:color w:val="365F91" w:themeColor="accent1" w:themeShade="BF"/>
        </w:rPr>
        <w:t>ы</w:t>
      </w:r>
    </w:p>
    <w:tbl>
      <w:tblPr>
        <w:tblStyle w:val="GridTable4-Accent11"/>
        <w:tblW w:w="665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620" w:firstRow="1" w:lastRow="0" w:firstColumn="0" w:lastColumn="0" w:noHBand="1" w:noVBand="1"/>
      </w:tblPr>
      <w:tblGrid>
        <w:gridCol w:w="4815"/>
        <w:gridCol w:w="1843"/>
      </w:tblGrid>
      <w:tr w:rsidR="001B1EE1" w:rsidRPr="007101FE" w:rsidTr="001B1E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4815" w:type="dxa"/>
            <w:hideMark/>
          </w:tcPr>
          <w:p w:rsidR="001B1EE1" w:rsidRPr="007101FE" w:rsidRDefault="001B1EE1" w:rsidP="00D205C8">
            <w:pPr>
              <w:spacing w:before="60" w:after="60"/>
              <w:jc w:val="center"/>
              <w:rPr>
                <w:color w:val="FFFFFF"/>
                <w:sz w:val="18"/>
                <w:szCs w:val="18"/>
              </w:rPr>
            </w:pPr>
            <w:r w:rsidRPr="007101FE">
              <w:rPr>
                <w:color w:val="FFFFFF"/>
                <w:sz w:val="18"/>
                <w:szCs w:val="18"/>
              </w:rPr>
              <w:t>Общие ресурсы Генерального секретариата</w:t>
            </w:r>
          </w:p>
        </w:tc>
        <w:tc>
          <w:tcPr>
            <w:tcW w:w="1843" w:type="dxa"/>
          </w:tcPr>
          <w:p w:rsidR="001B1EE1" w:rsidRPr="007101FE" w:rsidRDefault="001B1EE1" w:rsidP="00D205C8">
            <w:pPr>
              <w:spacing w:before="60" w:after="60"/>
              <w:jc w:val="center"/>
              <w:rPr>
                <w:color w:val="FFFFFF"/>
                <w:sz w:val="18"/>
                <w:szCs w:val="18"/>
              </w:rPr>
            </w:pPr>
            <w:r w:rsidRPr="007101FE">
              <w:rPr>
                <w:color w:val="FFFFFF"/>
                <w:sz w:val="18"/>
                <w:szCs w:val="18"/>
              </w:rPr>
              <w:t xml:space="preserve">% </w:t>
            </w:r>
          </w:p>
        </w:tc>
      </w:tr>
      <w:tr w:rsidR="001B1EE1" w:rsidRPr="007101FE" w:rsidTr="001B1EE1">
        <w:trPr>
          <w:trHeight w:val="300"/>
        </w:trPr>
        <w:tc>
          <w:tcPr>
            <w:tcW w:w="4815" w:type="dxa"/>
            <w:hideMark/>
          </w:tcPr>
          <w:p w:rsidR="001B1EE1" w:rsidRPr="001B1EE1" w:rsidRDefault="001B1EE1" w:rsidP="00D205C8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1B1EE1">
              <w:rPr>
                <w:color w:val="000000"/>
                <w:sz w:val="18"/>
                <w:szCs w:val="18"/>
              </w:rPr>
              <w:t xml:space="preserve">Ресурсы, </w:t>
            </w:r>
            <w:r w:rsidRPr="00D205C8">
              <w:rPr>
                <w:color w:val="000000"/>
                <w:sz w:val="18"/>
                <w:szCs w:val="18"/>
              </w:rPr>
              <w:t>распределенные на задачи Секторов</w:t>
            </w:r>
            <w:r w:rsidRPr="00D205C8">
              <w:rPr>
                <w:rStyle w:val="FootnoteReference"/>
                <w:positio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843" w:type="dxa"/>
          </w:tcPr>
          <w:p w:rsidR="001B1EE1" w:rsidRPr="001B1EE1" w:rsidRDefault="001B1EE1" w:rsidP="00D205C8">
            <w:pPr>
              <w:spacing w:before="20" w:after="20"/>
              <w:ind w:right="567"/>
              <w:jc w:val="right"/>
              <w:rPr>
                <w:sz w:val="18"/>
                <w:szCs w:val="18"/>
              </w:rPr>
            </w:pPr>
            <w:r w:rsidRPr="001B1EE1">
              <w:rPr>
                <w:sz w:val="18"/>
                <w:szCs w:val="18"/>
              </w:rPr>
              <w:t>84%</w:t>
            </w:r>
          </w:p>
        </w:tc>
      </w:tr>
      <w:tr w:rsidR="001B1EE1" w:rsidRPr="007101FE" w:rsidTr="001B1EE1">
        <w:trPr>
          <w:trHeight w:val="161"/>
        </w:trPr>
        <w:tc>
          <w:tcPr>
            <w:tcW w:w="4815" w:type="dxa"/>
            <w:hideMark/>
          </w:tcPr>
          <w:p w:rsidR="001B1EE1" w:rsidRPr="001B1EE1" w:rsidRDefault="001B1EE1" w:rsidP="00D205C8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1B1EE1">
              <w:rPr>
                <w:color w:val="000000"/>
                <w:sz w:val="18"/>
                <w:szCs w:val="18"/>
              </w:rPr>
              <w:t>Ресурсы, распределенные на межсекторальные задачи</w:t>
            </w:r>
            <w:r w:rsidRPr="00D205C8">
              <w:rPr>
                <w:rStyle w:val="FootnoteReference"/>
                <w:positio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843" w:type="dxa"/>
          </w:tcPr>
          <w:p w:rsidR="001B1EE1" w:rsidRPr="001B1EE1" w:rsidRDefault="001B1EE1" w:rsidP="00D205C8">
            <w:pPr>
              <w:spacing w:before="20" w:after="20"/>
              <w:ind w:right="567"/>
              <w:jc w:val="right"/>
              <w:rPr>
                <w:sz w:val="18"/>
                <w:szCs w:val="18"/>
              </w:rPr>
            </w:pPr>
            <w:r w:rsidRPr="001B1EE1">
              <w:rPr>
                <w:sz w:val="18"/>
                <w:szCs w:val="18"/>
              </w:rPr>
              <w:t>16%</w:t>
            </w:r>
          </w:p>
        </w:tc>
      </w:tr>
      <w:tr w:rsidR="001B1EE1" w:rsidRPr="007101FE" w:rsidTr="001B1EE1">
        <w:trPr>
          <w:trHeight w:val="81"/>
        </w:trPr>
        <w:tc>
          <w:tcPr>
            <w:tcW w:w="4815" w:type="dxa"/>
            <w:hideMark/>
          </w:tcPr>
          <w:p w:rsidR="001B1EE1" w:rsidRPr="001B1EE1" w:rsidRDefault="001B1EE1" w:rsidP="00D205C8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1B1EE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843" w:type="dxa"/>
          </w:tcPr>
          <w:p w:rsidR="001B1EE1" w:rsidRPr="001B1EE1" w:rsidRDefault="001B1EE1" w:rsidP="00D205C8">
            <w:pPr>
              <w:spacing w:before="20" w:after="20"/>
              <w:ind w:right="567"/>
              <w:jc w:val="right"/>
              <w:rPr>
                <w:sz w:val="18"/>
                <w:szCs w:val="18"/>
              </w:rPr>
            </w:pPr>
            <w:r w:rsidRPr="001B1EE1">
              <w:rPr>
                <w:sz w:val="18"/>
                <w:szCs w:val="18"/>
              </w:rPr>
              <w:t>100%</w:t>
            </w:r>
          </w:p>
        </w:tc>
      </w:tr>
    </w:tbl>
    <w:p w:rsidR="001B1EE1" w:rsidRDefault="001B1EE1" w:rsidP="0097001B">
      <w:pPr>
        <w:pStyle w:val="FootnoteText"/>
      </w:pPr>
      <w:r w:rsidRPr="001B1EE1">
        <w:rPr>
          <w:rStyle w:val="FootnoteReference"/>
        </w:rPr>
        <w:t>*</w:t>
      </w:r>
      <w:r>
        <w:tab/>
        <w:t>Включает средства достижения целей</w:t>
      </w:r>
      <w:r w:rsidR="0097001B">
        <w:t xml:space="preserve">, </w:t>
      </w:r>
      <w:r>
        <w:t>вспомогательные услуги и документацию.</w:t>
      </w:r>
    </w:p>
    <w:p w:rsidR="001B1EE1" w:rsidRDefault="001B1EE1" w:rsidP="00D205C8">
      <w:pPr>
        <w:pStyle w:val="FootnoteText"/>
        <w:spacing w:before="20"/>
      </w:pPr>
      <w:r w:rsidRPr="001B1EE1">
        <w:rPr>
          <w:rStyle w:val="FootnoteReference"/>
        </w:rPr>
        <w:t>**</w:t>
      </w:r>
      <w:r w:rsidRPr="001B1EE1">
        <w:tab/>
        <w:t>Включает прямые затраты на межсекторальные намеченные результаты деятельности.</w:t>
      </w:r>
    </w:p>
    <w:p w:rsidR="00D3798F" w:rsidRPr="001B1EE1" w:rsidRDefault="001B1EE1" w:rsidP="0007551A">
      <w:pPr>
        <w:pStyle w:val="Heading2"/>
        <w:pageBreakBefore/>
        <w:spacing w:before="240" w:after="120"/>
        <w:rPr>
          <w:color w:val="365F91" w:themeColor="accent1" w:themeShade="BF"/>
        </w:rPr>
      </w:pPr>
      <w:r w:rsidRPr="001B1EE1">
        <w:rPr>
          <w:color w:val="365F91" w:themeColor="accent1" w:themeShade="BF"/>
        </w:rPr>
        <w:lastRenderedPageBreak/>
        <w:t>3</w:t>
      </w:r>
      <w:r w:rsidR="00D3798F" w:rsidRPr="001B1EE1">
        <w:rPr>
          <w:color w:val="365F91" w:themeColor="accent1" w:themeShade="BF"/>
        </w:rPr>
        <w:t>.2</w:t>
      </w:r>
      <w:r w:rsidR="00D3798F" w:rsidRPr="001B1EE1">
        <w:rPr>
          <w:color w:val="365F91" w:themeColor="accent1" w:themeShade="BF"/>
        </w:rPr>
        <w:tab/>
        <w:t xml:space="preserve">Распределение ресурсов Генерального секретариата на </w:t>
      </w:r>
      <w:r w:rsidR="0097001B">
        <w:rPr>
          <w:color w:val="365F91" w:themeColor="accent1" w:themeShade="BF"/>
        </w:rPr>
        <w:t>межсекторальные задачи и намеченные результаты деятельности</w:t>
      </w:r>
      <w:r w:rsidR="00D3798F" w:rsidRPr="001B1EE1">
        <w:rPr>
          <w:color w:val="365F91" w:themeColor="accent1" w:themeShade="BF"/>
        </w:rPr>
        <w:t xml:space="preserve"> в 20</w:t>
      </w:r>
      <w:r w:rsidRPr="001B1EE1">
        <w:rPr>
          <w:color w:val="365F91" w:themeColor="accent1" w:themeShade="BF"/>
        </w:rPr>
        <w:t>20−2021</w:t>
      </w:r>
      <w:r w:rsidR="00D3798F" w:rsidRPr="001B1EE1">
        <w:rPr>
          <w:color w:val="365F91" w:themeColor="accent1" w:themeShade="BF"/>
        </w:rPr>
        <w:t xml:space="preserve"> год</w:t>
      </w:r>
      <w:r w:rsidRPr="001B1EE1">
        <w:rPr>
          <w:color w:val="365F91" w:themeColor="accent1" w:themeShade="BF"/>
        </w:rPr>
        <w:t>ах</w:t>
      </w:r>
    </w:p>
    <w:tbl>
      <w:tblPr>
        <w:tblStyle w:val="GridTable1Light-Accent51"/>
        <w:tblW w:w="144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6555"/>
        <w:gridCol w:w="7937"/>
      </w:tblGrid>
      <w:tr w:rsidR="001B1EE1" w:rsidRPr="00D95571" w:rsidTr="006F0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5" w:type="dxa"/>
          </w:tcPr>
          <w:p w:rsidR="001B1EE1" w:rsidRPr="00945C0F" w:rsidRDefault="00945C0F" w:rsidP="00945C0F">
            <w:pPr>
              <w:spacing w:before="20" w:after="20"/>
              <w:jc w:val="center"/>
              <w:rPr>
                <w:color w:val="4F81BD" w:themeColor="accent1"/>
                <w:lang w:eastAsia="zh-CN"/>
              </w:rPr>
            </w:pPr>
            <w:r w:rsidRPr="00945C0F">
              <w:rPr>
                <w:color w:val="4F81BD" w:themeColor="accent1"/>
                <w:lang w:eastAsia="zh-CN"/>
              </w:rPr>
              <w:t>Запланированное распределение ресурсов по задачам</w:t>
            </w:r>
          </w:p>
        </w:tc>
        <w:tc>
          <w:tcPr>
            <w:tcW w:w="7937" w:type="dxa"/>
            <w:vMerge w:val="restart"/>
          </w:tcPr>
          <w:tbl>
            <w:tblPr>
              <w:tblStyle w:val="PlainTable21"/>
              <w:tblW w:w="7698" w:type="dxa"/>
              <w:tblInd w:w="18" w:type="dxa"/>
              <w:tblBorders>
                <w:top w:val="none" w:sz="0" w:space="0" w:color="auto"/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4"/>
              <w:gridCol w:w="1077"/>
              <w:gridCol w:w="1077"/>
            </w:tblGrid>
            <w:tr w:rsidR="001B1EE1" w:rsidRPr="007101FE" w:rsidTr="006F0D1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4" w:type="dxa"/>
                  <w:tcBorders>
                    <w:bottom w:val="single" w:sz="4" w:space="0" w:color="auto"/>
                  </w:tcBorders>
                </w:tcPr>
                <w:p w:rsidR="001B1EE1" w:rsidRPr="007101FE" w:rsidRDefault="001B1EE1" w:rsidP="006F0D1E">
                  <w:pPr>
                    <w:spacing w:before="20" w:after="20"/>
                    <w:jc w:val="center"/>
                    <w:rPr>
                      <w:color w:val="4F81BD" w:themeColor="accent1"/>
                      <w:lang w:eastAsia="zh-CN"/>
                    </w:rPr>
                  </w:pPr>
                  <w:r w:rsidRPr="007101FE">
                    <w:rPr>
                      <w:color w:val="4F81BD" w:themeColor="accent1"/>
                      <w:lang w:eastAsia="zh-CN"/>
                    </w:rPr>
                    <w:t>Запланированное распределение ресурсов по</w:t>
                  </w:r>
                  <w:r w:rsidR="006F0D1E">
                    <w:rPr>
                      <w:color w:val="4F81BD" w:themeColor="accent1"/>
                      <w:lang w:eastAsia="zh-CN"/>
                    </w:rPr>
                    <w:t> </w:t>
                  </w:r>
                  <w:r w:rsidRPr="007101FE">
                    <w:rPr>
                      <w:color w:val="4F81BD" w:themeColor="accent1"/>
                      <w:lang w:eastAsia="zh-CN"/>
                    </w:rPr>
                    <w:t>намеченным результатам деятельности</w:t>
                  </w: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  <w:vAlign w:val="center"/>
                </w:tcPr>
                <w:p w:rsidR="001B1EE1" w:rsidRPr="007101FE" w:rsidRDefault="001B1EE1" w:rsidP="00CE3E18">
                  <w:pPr>
                    <w:spacing w:before="20" w:after="20"/>
                    <w:ind w:left="-57" w:right="-57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4F81BD" w:themeColor="accent1"/>
                      <w:sz w:val="18"/>
                      <w:szCs w:val="18"/>
                    </w:rPr>
                  </w:pPr>
                  <w:r w:rsidRPr="007101FE">
                    <w:rPr>
                      <w:color w:val="4F81BD" w:themeColor="accent1"/>
                      <w:sz w:val="18"/>
                      <w:szCs w:val="18"/>
                    </w:rPr>
                    <w:t>% от общей суммы</w:t>
                  </w: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  <w:vAlign w:val="center"/>
                </w:tcPr>
                <w:p w:rsidR="001B1EE1" w:rsidRPr="007101FE" w:rsidRDefault="001B1EE1" w:rsidP="00CE3E18">
                  <w:pPr>
                    <w:spacing w:before="20" w:after="20"/>
                    <w:ind w:left="-57" w:right="-57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4F81BD" w:themeColor="accent1"/>
                      <w:sz w:val="18"/>
                      <w:szCs w:val="18"/>
                    </w:rPr>
                  </w:pPr>
                  <w:r w:rsidRPr="007101FE">
                    <w:rPr>
                      <w:rFonts w:eastAsia="Calibri" w:cs="Arial"/>
                      <w:color w:val="4F81BD" w:themeColor="accent1"/>
                      <w:sz w:val="18"/>
                      <w:szCs w:val="18"/>
                    </w:rPr>
                    <w:t>% от задачи</w:t>
                  </w:r>
                </w:p>
              </w:tc>
            </w:tr>
            <w:tr w:rsidR="001B1EE1" w:rsidRPr="007101FE" w:rsidTr="006F0D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4" w:type="dxa"/>
                  <w:tcBorders>
                    <w:top w:val="single" w:sz="4" w:space="0" w:color="auto"/>
                    <w:bottom w:val="none" w:sz="0" w:space="0" w:color="auto"/>
                  </w:tcBorders>
                </w:tcPr>
                <w:p w:rsidR="001B1EE1" w:rsidRPr="007101FE" w:rsidRDefault="001B1EE1" w:rsidP="001B1EE1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I.1-1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 xml:space="preserve">Межсекторальные всемирные конференции, форумы, мероприятия и платформы для </w:t>
                  </w:r>
                  <w:r w:rsidR="008C2659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 xml:space="preserve">проведения 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обсуждений на высоком уровне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bottom w:val="none" w:sz="0" w:space="0" w:color="auto"/>
                  </w:tcBorders>
                  <w:vAlign w:val="bottom"/>
                </w:tcPr>
                <w:p w:rsidR="001B1EE1" w:rsidRPr="007101FE" w:rsidRDefault="001B1EE1" w:rsidP="0082770D">
                  <w:pPr>
                    <w:spacing w:before="20" w:after="2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 w:rsidRPr="007101FE">
                    <w:rPr>
                      <w:sz w:val="18"/>
                      <w:szCs w:val="18"/>
                    </w:rPr>
                    <w:t>3</w:t>
                  </w:r>
                  <w:r w:rsidR="0082770D">
                    <w:rPr>
                      <w:sz w:val="18"/>
                      <w:szCs w:val="18"/>
                    </w:rPr>
                    <w:t>7</w:t>
                  </w:r>
                  <w:r w:rsidRPr="007101FE">
                    <w:rPr>
                      <w:sz w:val="18"/>
                      <w:szCs w:val="18"/>
                    </w:rPr>
                    <w:t>,</w:t>
                  </w:r>
                  <w:r w:rsidR="0082770D">
                    <w:rPr>
                      <w:sz w:val="18"/>
                      <w:szCs w:val="18"/>
                    </w:rPr>
                    <w:t>2</w:t>
                  </w:r>
                  <w:r w:rsidRPr="007101FE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bottom w:val="none" w:sz="0" w:space="0" w:color="auto"/>
                  </w:tcBorders>
                  <w:vAlign w:val="bottom"/>
                </w:tcPr>
                <w:p w:rsidR="001B1EE1" w:rsidRPr="007101FE" w:rsidRDefault="0082770D" w:rsidP="0082770D">
                  <w:pPr>
                    <w:spacing w:before="20" w:after="20"/>
                    <w:ind w:right="113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59</w:t>
                  </w:r>
                  <w:r w:rsidR="001B1EE1" w:rsidRPr="007101FE">
                    <w:rPr>
                      <w:b/>
                      <w:bCs/>
                      <w:sz w:val="18"/>
                      <w:szCs w:val="18"/>
                    </w:rPr>
                    <w:t>,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2</w:t>
                  </w:r>
                  <w:r w:rsidR="001B1EE1" w:rsidRPr="007101FE">
                    <w:rPr>
                      <w:b/>
                      <w:bCs/>
                      <w:sz w:val="18"/>
                      <w:szCs w:val="18"/>
                    </w:rPr>
                    <w:t>%</w:t>
                  </w:r>
                </w:p>
              </w:tc>
            </w:tr>
            <w:tr w:rsidR="001B1EE1" w:rsidRPr="007101FE" w:rsidTr="006F0D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4" w:type="dxa"/>
                </w:tcPr>
                <w:p w:rsidR="001B1EE1" w:rsidRPr="007101FE" w:rsidRDefault="001B1EE1" w:rsidP="0082770D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7101FE">
                    <w:rPr>
                      <w:rFonts w:asciiTheme="minorHAnsi" w:eastAsia="Calibri" w:hAnsiTheme="minorHAnsi" w:cs="Arial"/>
                      <w:color w:val="4F81BD" w:themeColor="accent1"/>
                      <w:sz w:val="18"/>
                      <w:szCs w:val="18"/>
                    </w:rPr>
                    <w:t>I.</w:t>
                  </w:r>
                  <w:r w:rsidR="0082770D">
                    <w:rPr>
                      <w:rFonts w:asciiTheme="minorHAnsi" w:eastAsia="Calibri" w:hAnsiTheme="minorHAnsi" w:cs="Arial"/>
                      <w:color w:val="4F81BD" w:themeColor="accent1"/>
                      <w:sz w:val="18"/>
                      <w:szCs w:val="18"/>
                    </w:rPr>
                    <w:t>1</w:t>
                  </w:r>
                  <w:r w:rsidRPr="007101FE">
                    <w:rPr>
                      <w:rFonts w:asciiTheme="minorHAnsi" w:eastAsia="Calibri" w:hAnsiTheme="minorHAnsi" w:cs="Arial"/>
                      <w:color w:val="4F81BD" w:themeColor="accent1"/>
                      <w:sz w:val="18"/>
                      <w:szCs w:val="18"/>
                    </w:rPr>
                    <w:t>-</w:t>
                  </w:r>
                  <w:r w:rsidR="0082770D">
                    <w:rPr>
                      <w:rFonts w:asciiTheme="minorHAnsi" w:eastAsia="Calibri" w:hAnsiTheme="minorHAnsi" w:cs="Arial"/>
                      <w:color w:val="4F81BD" w:themeColor="accent1"/>
                      <w:sz w:val="18"/>
                      <w:szCs w:val="18"/>
                    </w:rPr>
                    <w:t>2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 w:rsidR="00FE3045" w:rsidRPr="00FE3045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Совместное использование знаний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, сотрудничество и партнерские отношения</w:t>
                  </w:r>
                </w:p>
              </w:tc>
              <w:tc>
                <w:tcPr>
                  <w:tcW w:w="1077" w:type="dxa"/>
                  <w:vAlign w:val="bottom"/>
                </w:tcPr>
                <w:p w:rsidR="001B1EE1" w:rsidRPr="007101FE" w:rsidRDefault="0082770D" w:rsidP="0082770D">
                  <w:pPr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  <w:r w:rsidR="001B1EE1" w:rsidRPr="007101FE">
                    <w:rPr>
                      <w:sz w:val="18"/>
                      <w:szCs w:val="18"/>
                    </w:rPr>
                    <w:t>,</w:t>
                  </w:r>
                  <w:r>
                    <w:rPr>
                      <w:sz w:val="18"/>
                      <w:szCs w:val="18"/>
                    </w:rPr>
                    <w:t>6</w:t>
                  </w:r>
                  <w:r w:rsidR="001B1EE1" w:rsidRPr="007101FE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077" w:type="dxa"/>
                  <w:vAlign w:val="bottom"/>
                </w:tcPr>
                <w:p w:rsidR="001B1EE1" w:rsidRPr="007101FE" w:rsidRDefault="0082770D" w:rsidP="0082770D">
                  <w:pPr>
                    <w:spacing w:before="20" w:after="20"/>
                    <w:ind w:right="113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28</w:t>
                  </w:r>
                  <w:r w:rsidR="001B1EE1" w:rsidRPr="007101FE">
                    <w:rPr>
                      <w:b/>
                      <w:bCs/>
                      <w:sz w:val="18"/>
                      <w:szCs w:val="18"/>
                    </w:rPr>
                    <w:t>,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2</w:t>
                  </w:r>
                  <w:r w:rsidR="001B1EE1" w:rsidRPr="007101FE">
                    <w:rPr>
                      <w:b/>
                      <w:bCs/>
                      <w:sz w:val="18"/>
                      <w:szCs w:val="18"/>
                    </w:rPr>
                    <w:t>%</w:t>
                  </w:r>
                </w:p>
              </w:tc>
            </w:tr>
            <w:tr w:rsidR="006F0D1E" w:rsidRPr="007101FE" w:rsidTr="006F0D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4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:rsidR="001B1EE1" w:rsidRPr="007101FE" w:rsidRDefault="001B1EE1" w:rsidP="0082770D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rFonts w:asciiTheme="minorHAnsi" w:eastAsia="Calibri" w:hAnsiTheme="minorHAnsi" w:cs="Arial"/>
                      <w:b w:val="0"/>
                      <w:bCs w:val="0"/>
                      <w:sz w:val="18"/>
                      <w:szCs w:val="18"/>
                    </w:rPr>
                  </w:pPr>
                  <w:r w:rsidRPr="007101FE">
                    <w:rPr>
                      <w:rFonts w:asciiTheme="minorHAnsi" w:eastAsia="Calibri" w:hAnsiTheme="minorHAnsi" w:cs="Arial"/>
                      <w:color w:val="4F81BD" w:themeColor="accent1"/>
                      <w:sz w:val="18"/>
                      <w:szCs w:val="18"/>
                    </w:rPr>
                    <w:t>I.</w:t>
                  </w:r>
                  <w:r w:rsidR="0082770D">
                    <w:rPr>
                      <w:rFonts w:asciiTheme="minorHAnsi" w:eastAsia="Calibri" w:hAnsiTheme="minorHAnsi" w:cs="Arial"/>
                      <w:color w:val="4F81BD" w:themeColor="accent1"/>
                      <w:sz w:val="18"/>
                      <w:szCs w:val="18"/>
                    </w:rPr>
                    <w:t>1</w:t>
                  </w:r>
                  <w:r w:rsidRPr="007101FE">
                    <w:rPr>
                      <w:rFonts w:asciiTheme="minorHAnsi" w:eastAsia="Calibri" w:hAnsiTheme="minorHAnsi" w:cs="Arial"/>
                      <w:color w:val="4F81BD" w:themeColor="accent1"/>
                      <w:sz w:val="18"/>
                      <w:szCs w:val="18"/>
                    </w:rPr>
                    <w:t>-</w:t>
                  </w:r>
                  <w:r w:rsidR="0082770D">
                    <w:rPr>
                      <w:rFonts w:asciiTheme="minorHAnsi" w:eastAsia="Calibri" w:hAnsiTheme="minorHAnsi" w:cs="Arial"/>
                      <w:color w:val="4F81BD" w:themeColor="accent1"/>
                      <w:sz w:val="18"/>
                      <w:szCs w:val="18"/>
                    </w:rPr>
                    <w:t>3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Меморандумы о взаимопонимании (МоВ)</w:t>
                  </w:r>
                </w:p>
              </w:tc>
              <w:tc>
                <w:tcPr>
                  <w:tcW w:w="1077" w:type="dxa"/>
                  <w:tcBorders>
                    <w:top w:val="none" w:sz="0" w:space="0" w:color="auto"/>
                    <w:bottom w:val="none" w:sz="0" w:space="0" w:color="auto"/>
                  </w:tcBorders>
                  <w:vAlign w:val="bottom"/>
                </w:tcPr>
                <w:p w:rsidR="001B1EE1" w:rsidRPr="007101FE" w:rsidRDefault="0082770D" w:rsidP="0082770D">
                  <w:pPr>
                    <w:spacing w:before="20" w:after="2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  <w:r w:rsidR="001B1EE1" w:rsidRPr="007101FE">
                    <w:rPr>
                      <w:sz w:val="18"/>
                      <w:szCs w:val="18"/>
                    </w:rPr>
                    <w:t>,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="001B1EE1" w:rsidRPr="007101FE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077" w:type="dxa"/>
                  <w:tcBorders>
                    <w:top w:val="none" w:sz="0" w:space="0" w:color="auto"/>
                    <w:bottom w:val="none" w:sz="0" w:space="0" w:color="auto"/>
                  </w:tcBorders>
                  <w:vAlign w:val="bottom"/>
                </w:tcPr>
                <w:p w:rsidR="001B1EE1" w:rsidRPr="007101FE" w:rsidRDefault="0082770D" w:rsidP="0082770D">
                  <w:pPr>
                    <w:spacing w:before="20" w:after="20"/>
                    <w:ind w:right="113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</w:t>
                  </w:r>
                  <w:r w:rsidR="001B1EE1" w:rsidRPr="007101FE">
                    <w:rPr>
                      <w:b/>
                      <w:bCs/>
                      <w:sz w:val="18"/>
                      <w:szCs w:val="18"/>
                    </w:rPr>
                    <w:t>,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2</w:t>
                  </w:r>
                  <w:r w:rsidR="001B1EE1" w:rsidRPr="007101FE">
                    <w:rPr>
                      <w:b/>
                      <w:bCs/>
                      <w:sz w:val="18"/>
                      <w:szCs w:val="18"/>
                    </w:rPr>
                    <w:t>%</w:t>
                  </w:r>
                </w:p>
              </w:tc>
            </w:tr>
            <w:tr w:rsidR="006F0D1E" w:rsidRPr="007101FE" w:rsidTr="006F0D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4" w:type="dxa"/>
                </w:tcPr>
                <w:p w:rsidR="001B1EE1" w:rsidRPr="007101FE" w:rsidRDefault="001B1EE1" w:rsidP="00475374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eastAsia="zh-CN"/>
                    </w:rPr>
                  </w:pP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I.</w:t>
                  </w:r>
                  <w:r w:rsidR="0082770D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1</w:t>
                  </w: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-</w:t>
                  </w:r>
                  <w:r w:rsidR="0082770D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4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 w:rsidR="00FE3045" w:rsidRPr="00FE3045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Отчеты и другие входные документы для процессов, проходящих внутри ООН, а также многосторонних и межправительственных процессов</w:t>
                  </w:r>
                </w:p>
              </w:tc>
              <w:tc>
                <w:tcPr>
                  <w:tcW w:w="1077" w:type="dxa"/>
                  <w:vAlign w:val="bottom"/>
                </w:tcPr>
                <w:p w:rsidR="001B1EE1" w:rsidRPr="007101FE" w:rsidRDefault="0082770D" w:rsidP="0082770D">
                  <w:pPr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  <w:r w:rsidR="001B1EE1" w:rsidRPr="007101FE">
                    <w:rPr>
                      <w:sz w:val="18"/>
                      <w:szCs w:val="18"/>
                    </w:rPr>
                    <w:t>,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="001B1EE1" w:rsidRPr="007101FE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077" w:type="dxa"/>
                  <w:vAlign w:val="bottom"/>
                </w:tcPr>
                <w:p w:rsidR="001B1EE1" w:rsidRPr="007101FE" w:rsidRDefault="0082770D" w:rsidP="0082770D">
                  <w:pPr>
                    <w:spacing w:before="20" w:after="20"/>
                    <w:ind w:right="113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6</w:t>
                  </w:r>
                  <w:r w:rsidR="001B1EE1" w:rsidRPr="007101FE">
                    <w:rPr>
                      <w:b/>
                      <w:bCs/>
                      <w:sz w:val="18"/>
                      <w:szCs w:val="18"/>
                    </w:rPr>
                    <w:t>,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5</w:t>
                  </w:r>
                  <w:r w:rsidR="001B1EE1" w:rsidRPr="007101FE">
                    <w:rPr>
                      <w:b/>
                      <w:bCs/>
                      <w:sz w:val="18"/>
                      <w:szCs w:val="18"/>
                    </w:rPr>
                    <w:t>%</w:t>
                  </w:r>
                </w:p>
              </w:tc>
            </w:tr>
            <w:tr w:rsidR="0082770D" w:rsidRPr="0082770D" w:rsidTr="006F0D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4" w:type="dxa"/>
                  <w:tcBorders>
                    <w:top w:val="none" w:sz="0" w:space="0" w:color="auto"/>
                    <w:bottom w:val="single" w:sz="4" w:space="0" w:color="auto"/>
                  </w:tcBorders>
                </w:tcPr>
                <w:p w:rsidR="0082770D" w:rsidRPr="00945C0F" w:rsidRDefault="0082770D" w:rsidP="00945C0F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</w:pPr>
                  <w:r w:rsidRPr="0082770D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val="en-US" w:eastAsia="zh-CN"/>
                    </w:rPr>
                    <w:t>I</w:t>
                  </w:r>
                  <w:r w:rsidRPr="00945C0F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.1-5</w:t>
                  </w:r>
                  <w:r w:rsidRPr="00945C0F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945C0F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 w:rsidR="00FE3045" w:rsidRPr="00FE3045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Предоставление вспомогательных услуг членам МСЭ в рамках деятельности и мероприятий МСЭ</w:t>
                  </w:r>
                </w:p>
              </w:tc>
              <w:tc>
                <w:tcPr>
                  <w:tcW w:w="1077" w:type="dxa"/>
                  <w:tcBorders>
                    <w:top w:val="none" w:sz="0" w:space="0" w:color="auto"/>
                    <w:bottom w:val="single" w:sz="4" w:space="0" w:color="auto"/>
                  </w:tcBorders>
                  <w:vAlign w:val="bottom"/>
                </w:tcPr>
                <w:p w:rsidR="0082770D" w:rsidRPr="0082770D" w:rsidRDefault="0082770D" w:rsidP="0082770D">
                  <w:pPr>
                    <w:spacing w:before="20" w:after="2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3,5%</w:t>
                  </w:r>
                </w:p>
              </w:tc>
              <w:tc>
                <w:tcPr>
                  <w:tcW w:w="1077" w:type="dxa"/>
                  <w:tcBorders>
                    <w:top w:val="none" w:sz="0" w:space="0" w:color="auto"/>
                    <w:bottom w:val="single" w:sz="4" w:space="0" w:color="auto"/>
                  </w:tcBorders>
                  <w:vAlign w:val="bottom"/>
                </w:tcPr>
                <w:p w:rsidR="0082770D" w:rsidRPr="0082770D" w:rsidRDefault="0082770D" w:rsidP="0082770D">
                  <w:pPr>
                    <w:spacing w:before="20" w:after="20"/>
                    <w:ind w:right="113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5,6%</w:t>
                  </w:r>
                </w:p>
              </w:tc>
            </w:tr>
            <w:tr w:rsidR="0082770D" w:rsidRPr="0082770D" w:rsidTr="006F0D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4" w:type="dxa"/>
                  <w:tcBorders>
                    <w:top w:val="single" w:sz="4" w:space="0" w:color="auto"/>
                  </w:tcBorders>
                </w:tcPr>
                <w:p w:rsidR="0082770D" w:rsidRPr="007101FE" w:rsidRDefault="0082770D" w:rsidP="00F67EB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eastAsia="zh-CN"/>
                    </w:rPr>
                  </w:pP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I.</w:t>
                  </w:r>
                  <w:r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2</w:t>
                  </w: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-</w:t>
                  </w:r>
                  <w:r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1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 w:rsidRPr="0082770D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Межсекторальные инициативы и отчеты о</w:t>
                  </w:r>
                  <w:r w:rsidR="00F67EB2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 xml:space="preserve"> соответствующих </w:t>
                  </w:r>
                  <w:r w:rsidRPr="0082770D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возникающих тенденциях в области электросвязи/ИКТ, а также другие аналогичные инициативы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</w:tcBorders>
                  <w:vAlign w:val="bottom"/>
                </w:tcPr>
                <w:p w:rsidR="0082770D" w:rsidRPr="0082770D" w:rsidRDefault="0082770D" w:rsidP="0082770D">
                  <w:pPr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4,0%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</w:tcBorders>
                  <w:vAlign w:val="bottom"/>
                </w:tcPr>
                <w:p w:rsidR="0082770D" w:rsidRPr="0082770D" w:rsidRDefault="0082770D" w:rsidP="0082770D">
                  <w:pPr>
                    <w:spacing w:before="20" w:after="20"/>
                    <w:ind w:right="113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21,5%</w:t>
                  </w:r>
                </w:p>
              </w:tc>
            </w:tr>
            <w:tr w:rsidR="0082770D" w:rsidRPr="0082770D" w:rsidTr="006F0D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4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:rsidR="0082770D" w:rsidRPr="007101FE" w:rsidRDefault="0082770D" w:rsidP="0082770D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eastAsia="zh-CN"/>
                    </w:rPr>
                  </w:pP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I.</w:t>
                  </w:r>
                  <w:r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2</w:t>
                  </w: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-</w:t>
                  </w:r>
                  <w:r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2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 w:rsidR="008C2659" w:rsidRPr="008C2659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Журнал "Новости МСЭ" в цифровом формате</w:t>
                  </w:r>
                </w:p>
              </w:tc>
              <w:tc>
                <w:tcPr>
                  <w:tcW w:w="1077" w:type="dxa"/>
                  <w:tcBorders>
                    <w:top w:val="none" w:sz="0" w:space="0" w:color="auto"/>
                    <w:bottom w:val="none" w:sz="0" w:space="0" w:color="auto"/>
                  </w:tcBorders>
                  <w:vAlign w:val="bottom"/>
                </w:tcPr>
                <w:p w:rsidR="0082770D" w:rsidRPr="0082770D" w:rsidRDefault="0082770D" w:rsidP="0082770D">
                  <w:pPr>
                    <w:spacing w:before="20" w:after="2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6,7%</w:t>
                  </w:r>
                </w:p>
              </w:tc>
              <w:tc>
                <w:tcPr>
                  <w:tcW w:w="1077" w:type="dxa"/>
                  <w:tcBorders>
                    <w:top w:val="none" w:sz="0" w:space="0" w:color="auto"/>
                    <w:bottom w:val="none" w:sz="0" w:space="0" w:color="auto"/>
                  </w:tcBorders>
                  <w:vAlign w:val="bottom"/>
                </w:tcPr>
                <w:p w:rsidR="0082770D" w:rsidRPr="0082770D" w:rsidRDefault="0082770D" w:rsidP="0082770D">
                  <w:pPr>
                    <w:spacing w:before="20" w:after="20"/>
                    <w:ind w:right="113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36,2%</w:t>
                  </w:r>
                </w:p>
              </w:tc>
            </w:tr>
            <w:tr w:rsidR="0082770D" w:rsidRPr="0082770D" w:rsidTr="006F0D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4" w:type="dxa"/>
                  <w:tcBorders>
                    <w:bottom w:val="single" w:sz="4" w:space="0" w:color="auto"/>
                  </w:tcBorders>
                </w:tcPr>
                <w:p w:rsidR="0082770D" w:rsidRPr="00945C0F" w:rsidRDefault="0082770D" w:rsidP="008C2659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</w:pPr>
                  <w:r w:rsidRPr="0082770D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val="en-US" w:eastAsia="zh-CN"/>
                    </w:rPr>
                    <w:t>I</w:t>
                  </w:r>
                  <w:r w:rsidRPr="00945C0F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.2-3</w:t>
                  </w:r>
                  <w:r w:rsidRPr="00945C0F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945C0F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 w:rsidR="00945C0F" w:rsidRPr="00945C0F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 xml:space="preserve">Платформы для </w:t>
                  </w:r>
                  <w:r w:rsidR="008C2659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обмена информацией о</w:t>
                  </w:r>
                  <w:r w:rsidR="00945C0F" w:rsidRPr="00945C0F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 xml:space="preserve"> новых тенденци</w:t>
                  </w:r>
                  <w:r w:rsidR="008C2659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ях</w:t>
                  </w: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  <w:vAlign w:val="bottom"/>
                </w:tcPr>
                <w:p w:rsidR="0082770D" w:rsidRPr="0082770D" w:rsidRDefault="0082770D" w:rsidP="0082770D">
                  <w:pPr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7,8%</w:t>
                  </w: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  <w:vAlign w:val="bottom"/>
                </w:tcPr>
                <w:p w:rsidR="0082770D" w:rsidRPr="0082770D" w:rsidRDefault="0082770D" w:rsidP="0082770D">
                  <w:pPr>
                    <w:spacing w:before="20" w:after="20"/>
                    <w:ind w:right="113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42,2%</w:t>
                  </w:r>
                </w:p>
              </w:tc>
            </w:tr>
            <w:tr w:rsidR="006F0D1E" w:rsidRPr="007101FE" w:rsidTr="006F0D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4" w:type="dxa"/>
                  <w:tcBorders>
                    <w:top w:val="single" w:sz="4" w:space="0" w:color="auto"/>
                    <w:bottom w:val="none" w:sz="0" w:space="0" w:color="auto"/>
                  </w:tcBorders>
                </w:tcPr>
                <w:p w:rsidR="0082770D" w:rsidRPr="007101FE" w:rsidRDefault="0082770D" w:rsidP="0082770D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I.</w:t>
                  </w:r>
                  <w:r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3</w:t>
                  </w: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-1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 w:rsidR="00763045" w:rsidRPr="00763045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Отчеты, руководящие указания, стандарты и контрольные перечни по вопросам доступности электросвязи/ИКТ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bottom w:val="none" w:sz="0" w:space="0" w:color="auto"/>
                  </w:tcBorders>
                  <w:vAlign w:val="bottom"/>
                </w:tcPr>
                <w:p w:rsidR="0082770D" w:rsidRPr="007101FE" w:rsidRDefault="00945C0F" w:rsidP="0082770D">
                  <w:pPr>
                    <w:spacing w:before="20" w:after="2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1,3</w:t>
                  </w:r>
                  <w:r w:rsidR="0082770D" w:rsidRPr="007101FE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bottom w:val="none" w:sz="0" w:space="0" w:color="auto"/>
                  </w:tcBorders>
                  <w:vAlign w:val="bottom"/>
                </w:tcPr>
                <w:p w:rsidR="0082770D" w:rsidRPr="007101FE" w:rsidRDefault="0082770D" w:rsidP="00945C0F">
                  <w:pPr>
                    <w:spacing w:before="20" w:after="20"/>
                    <w:ind w:right="113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</w:rPr>
                  </w:pPr>
                  <w:r w:rsidRPr="007101FE">
                    <w:rPr>
                      <w:b/>
                      <w:bCs/>
                      <w:sz w:val="18"/>
                      <w:szCs w:val="18"/>
                    </w:rPr>
                    <w:t>6</w:t>
                  </w:r>
                  <w:r w:rsidR="00945C0F">
                    <w:rPr>
                      <w:b/>
                      <w:bCs/>
                      <w:sz w:val="18"/>
                      <w:szCs w:val="18"/>
                    </w:rPr>
                    <w:t>9</w:t>
                  </w:r>
                  <w:r w:rsidRPr="007101FE">
                    <w:rPr>
                      <w:b/>
                      <w:bCs/>
                      <w:sz w:val="18"/>
                      <w:szCs w:val="18"/>
                    </w:rPr>
                    <w:t>,</w:t>
                  </w:r>
                  <w:r w:rsidR="00945C0F">
                    <w:rPr>
                      <w:b/>
                      <w:bCs/>
                      <w:sz w:val="18"/>
                      <w:szCs w:val="18"/>
                    </w:rPr>
                    <w:t>7</w:t>
                  </w:r>
                  <w:r w:rsidRPr="007101FE">
                    <w:rPr>
                      <w:b/>
                      <w:bCs/>
                      <w:sz w:val="18"/>
                      <w:szCs w:val="18"/>
                    </w:rPr>
                    <w:t>%</w:t>
                  </w:r>
                </w:p>
              </w:tc>
            </w:tr>
            <w:tr w:rsidR="0082770D" w:rsidRPr="007101FE" w:rsidTr="006F0D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4" w:type="dxa"/>
                </w:tcPr>
                <w:p w:rsidR="0082770D" w:rsidRPr="007101FE" w:rsidRDefault="0082770D" w:rsidP="0082770D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I.</w:t>
                  </w:r>
                  <w:r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3</w:t>
                  </w: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-2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 w:rsidR="00763045" w:rsidRPr="00763045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 xml:space="preserve">Мобилизация ресурсов и специальных технических знаний, например благодаря содействию расширению участия лиц с ограниченными возможностями и </w:t>
                  </w:r>
                  <w:r w:rsidR="00872D6C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 xml:space="preserve">лиц с </w:t>
                  </w:r>
                  <w:r w:rsidR="00763045" w:rsidRPr="00763045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особыми потребностями в международных и региональных собраниях</w:t>
                  </w:r>
                </w:p>
              </w:tc>
              <w:tc>
                <w:tcPr>
                  <w:tcW w:w="1077" w:type="dxa"/>
                  <w:vAlign w:val="bottom"/>
                </w:tcPr>
                <w:p w:rsidR="0082770D" w:rsidRPr="007101FE" w:rsidRDefault="0082770D" w:rsidP="00945C0F">
                  <w:pPr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 w:rsidRPr="007101FE">
                    <w:rPr>
                      <w:sz w:val="18"/>
                      <w:szCs w:val="18"/>
                    </w:rPr>
                    <w:t>0,</w:t>
                  </w:r>
                  <w:r w:rsidR="00945C0F">
                    <w:rPr>
                      <w:sz w:val="18"/>
                      <w:szCs w:val="18"/>
                    </w:rPr>
                    <w:t>1</w:t>
                  </w:r>
                  <w:r w:rsidRPr="007101FE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077" w:type="dxa"/>
                  <w:vAlign w:val="bottom"/>
                </w:tcPr>
                <w:p w:rsidR="0082770D" w:rsidRPr="007101FE" w:rsidRDefault="00945C0F" w:rsidP="00945C0F">
                  <w:pPr>
                    <w:spacing w:before="20" w:after="20"/>
                    <w:ind w:right="113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5</w:t>
                  </w:r>
                  <w:r w:rsidR="0082770D" w:rsidRPr="007101FE">
                    <w:rPr>
                      <w:b/>
                      <w:bCs/>
                      <w:sz w:val="18"/>
                      <w:szCs w:val="18"/>
                    </w:rPr>
                    <w:t>,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9</w:t>
                  </w:r>
                  <w:r w:rsidR="0082770D" w:rsidRPr="007101FE">
                    <w:rPr>
                      <w:b/>
                      <w:bCs/>
                      <w:sz w:val="18"/>
                      <w:szCs w:val="18"/>
                    </w:rPr>
                    <w:t>%</w:t>
                  </w:r>
                </w:p>
              </w:tc>
            </w:tr>
            <w:tr w:rsidR="0082770D" w:rsidRPr="007101FE" w:rsidTr="006F0D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4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:rsidR="0082770D" w:rsidRPr="007101FE" w:rsidRDefault="0082770D" w:rsidP="00945C0F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I.</w:t>
                  </w:r>
                  <w:r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3</w:t>
                  </w: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-3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Дальнейшая разработка и реализация политики МСЭ по</w:t>
                  </w:r>
                  <w:r w:rsidR="00945C0F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 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обеспечению доступности и связанных с ней планов</w:t>
                  </w:r>
                </w:p>
              </w:tc>
              <w:tc>
                <w:tcPr>
                  <w:tcW w:w="1077" w:type="dxa"/>
                  <w:tcBorders>
                    <w:top w:val="none" w:sz="0" w:space="0" w:color="auto"/>
                    <w:bottom w:val="none" w:sz="0" w:space="0" w:color="auto"/>
                  </w:tcBorders>
                  <w:vAlign w:val="bottom"/>
                </w:tcPr>
                <w:p w:rsidR="0082770D" w:rsidRPr="007101FE" w:rsidRDefault="0082770D" w:rsidP="00945C0F">
                  <w:pPr>
                    <w:spacing w:before="20" w:after="2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 w:rsidRPr="007101FE">
                    <w:rPr>
                      <w:sz w:val="18"/>
                      <w:szCs w:val="18"/>
                    </w:rPr>
                    <w:t>0,</w:t>
                  </w:r>
                  <w:r w:rsidR="00945C0F">
                    <w:rPr>
                      <w:sz w:val="18"/>
                      <w:szCs w:val="18"/>
                    </w:rPr>
                    <w:t>2</w:t>
                  </w:r>
                  <w:r w:rsidRPr="007101FE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077" w:type="dxa"/>
                  <w:tcBorders>
                    <w:top w:val="none" w:sz="0" w:space="0" w:color="auto"/>
                    <w:bottom w:val="none" w:sz="0" w:space="0" w:color="auto"/>
                  </w:tcBorders>
                  <w:vAlign w:val="bottom"/>
                </w:tcPr>
                <w:p w:rsidR="0082770D" w:rsidRPr="007101FE" w:rsidRDefault="00945C0F" w:rsidP="00945C0F">
                  <w:pPr>
                    <w:spacing w:before="20" w:after="20"/>
                    <w:ind w:right="113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10</w:t>
                  </w:r>
                  <w:r w:rsidR="0082770D" w:rsidRPr="007101FE">
                    <w:rPr>
                      <w:b/>
                      <w:bCs/>
                      <w:sz w:val="18"/>
                      <w:szCs w:val="18"/>
                    </w:rPr>
                    <w:t>,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7</w:t>
                  </w:r>
                  <w:r w:rsidR="0082770D" w:rsidRPr="007101FE">
                    <w:rPr>
                      <w:b/>
                      <w:bCs/>
                      <w:sz w:val="18"/>
                      <w:szCs w:val="18"/>
                    </w:rPr>
                    <w:t>%</w:t>
                  </w:r>
                </w:p>
              </w:tc>
            </w:tr>
            <w:tr w:rsidR="006F0D1E" w:rsidRPr="007101FE" w:rsidTr="006F0D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4" w:type="dxa"/>
                  <w:tcBorders>
                    <w:bottom w:val="single" w:sz="4" w:space="0" w:color="auto"/>
                  </w:tcBorders>
                </w:tcPr>
                <w:p w:rsidR="0082770D" w:rsidRPr="007101FE" w:rsidRDefault="0082770D" w:rsidP="00945C0F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I.</w:t>
                  </w:r>
                  <w:r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3</w:t>
                  </w: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-4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 w:rsidR="00763045" w:rsidRPr="00763045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Информационно-просветительские мероприятия как на уровне ООН, так и на региональном и национальном уровнях</w:t>
                  </w: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  <w:vAlign w:val="bottom"/>
                </w:tcPr>
                <w:p w:rsidR="0082770D" w:rsidRPr="007101FE" w:rsidRDefault="0082770D" w:rsidP="00945C0F">
                  <w:pPr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 w:rsidRPr="007101FE">
                    <w:rPr>
                      <w:sz w:val="18"/>
                      <w:szCs w:val="18"/>
                    </w:rPr>
                    <w:t>0,</w:t>
                  </w:r>
                  <w:r w:rsidR="00945C0F">
                    <w:rPr>
                      <w:sz w:val="18"/>
                      <w:szCs w:val="18"/>
                    </w:rPr>
                    <w:t>3</w:t>
                  </w:r>
                  <w:r w:rsidRPr="007101FE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  <w:vAlign w:val="bottom"/>
                </w:tcPr>
                <w:p w:rsidR="0082770D" w:rsidRPr="007101FE" w:rsidRDefault="0082770D" w:rsidP="00945C0F">
                  <w:pPr>
                    <w:spacing w:before="20" w:after="20"/>
                    <w:ind w:right="113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</w:rPr>
                  </w:pPr>
                  <w:r w:rsidRPr="007101FE">
                    <w:rPr>
                      <w:b/>
                      <w:bCs/>
                      <w:sz w:val="18"/>
                      <w:szCs w:val="18"/>
                    </w:rPr>
                    <w:t>1</w:t>
                  </w:r>
                  <w:r w:rsidR="00945C0F">
                    <w:rPr>
                      <w:b/>
                      <w:bCs/>
                      <w:sz w:val="18"/>
                      <w:szCs w:val="18"/>
                    </w:rPr>
                    <w:t>3</w:t>
                  </w:r>
                  <w:r w:rsidRPr="007101FE">
                    <w:rPr>
                      <w:b/>
                      <w:bCs/>
                      <w:sz w:val="18"/>
                      <w:szCs w:val="18"/>
                    </w:rPr>
                    <w:t>,</w:t>
                  </w:r>
                  <w:r w:rsidR="00945C0F">
                    <w:rPr>
                      <w:b/>
                      <w:bCs/>
                      <w:sz w:val="18"/>
                      <w:szCs w:val="18"/>
                    </w:rPr>
                    <w:t>6</w:t>
                  </w:r>
                  <w:r w:rsidRPr="007101FE">
                    <w:rPr>
                      <w:b/>
                      <w:bCs/>
                      <w:sz w:val="18"/>
                      <w:szCs w:val="18"/>
                    </w:rPr>
                    <w:t>%</w:t>
                  </w:r>
                </w:p>
              </w:tc>
            </w:tr>
            <w:tr w:rsidR="0082770D" w:rsidRPr="007101FE" w:rsidTr="006F0D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4" w:type="dxa"/>
                  <w:tcBorders>
                    <w:top w:val="single" w:sz="4" w:space="0" w:color="auto"/>
                    <w:bottom w:val="none" w:sz="0" w:space="0" w:color="auto"/>
                  </w:tcBorders>
                </w:tcPr>
                <w:p w:rsidR="0082770D" w:rsidRPr="007101FE" w:rsidRDefault="0082770D" w:rsidP="00945C0F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</w:pP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I.</w:t>
                  </w:r>
                  <w:r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4</w:t>
                  </w: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-1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 w:rsidR="00945C0F" w:rsidRPr="00945C0F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Комплекты материалов, инструменты оценки и</w:t>
                  </w:r>
                  <w:r w:rsidR="00945C0F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 </w:t>
                  </w:r>
                  <w:r w:rsidR="00945C0F" w:rsidRPr="00945C0F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руководящие указания для разработки политики и</w:t>
                  </w:r>
                  <w:r w:rsidR="00945C0F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 </w:t>
                  </w:r>
                  <w:r w:rsidR="00945C0F" w:rsidRPr="00945C0F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развития навыков и других видов практики для</w:t>
                  </w:r>
                  <w:r w:rsidR="00945C0F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 </w:t>
                  </w:r>
                  <w:r w:rsidR="00B72FE7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применения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bottom w:val="none" w:sz="0" w:space="0" w:color="auto"/>
                  </w:tcBorders>
                  <w:vAlign w:val="bottom"/>
                </w:tcPr>
                <w:p w:rsidR="0082770D" w:rsidRPr="007101FE" w:rsidRDefault="00945C0F" w:rsidP="0082770D">
                  <w:pPr>
                    <w:spacing w:before="20" w:after="2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1,7%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bottom w:val="none" w:sz="0" w:space="0" w:color="auto"/>
                  </w:tcBorders>
                  <w:vAlign w:val="bottom"/>
                </w:tcPr>
                <w:p w:rsidR="0082770D" w:rsidRPr="007101FE" w:rsidRDefault="00945C0F" w:rsidP="0082770D">
                  <w:pPr>
                    <w:spacing w:before="20" w:after="20"/>
                    <w:ind w:right="113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23,1%</w:t>
                  </w:r>
                </w:p>
              </w:tc>
            </w:tr>
            <w:tr w:rsidR="0082770D" w:rsidRPr="007101FE" w:rsidTr="006F0D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4" w:type="dxa"/>
                </w:tcPr>
                <w:p w:rsidR="0082770D" w:rsidRPr="007101FE" w:rsidRDefault="0082770D" w:rsidP="00945C0F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</w:pP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I.</w:t>
                  </w:r>
                  <w:r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4</w:t>
                  </w: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-</w:t>
                  </w:r>
                  <w:r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2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 w:rsidR="00945C0F" w:rsidRPr="00945C0F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Сообщества, взаимодействие, инициативы и</w:t>
                  </w:r>
                  <w:r w:rsidR="00945C0F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 </w:t>
                  </w:r>
                  <w:r w:rsidR="00945C0F" w:rsidRPr="00945C0F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партнерские отношения</w:t>
                  </w:r>
                </w:p>
              </w:tc>
              <w:tc>
                <w:tcPr>
                  <w:tcW w:w="1077" w:type="dxa"/>
                  <w:vAlign w:val="bottom"/>
                </w:tcPr>
                <w:p w:rsidR="0082770D" w:rsidRPr="007101FE" w:rsidRDefault="00945C0F" w:rsidP="0082770D">
                  <w:pPr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2,7%</w:t>
                  </w:r>
                </w:p>
              </w:tc>
              <w:tc>
                <w:tcPr>
                  <w:tcW w:w="1077" w:type="dxa"/>
                  <w:vAlign w:val="bottom"/>
                </w:tcPr>
                <w:p w:rsidR="0082770D" w:rsidRPr="007101FE" w:rsidRDefault="00945C0F" w:rsidP="0082770D">
                  <w:pPr>
                    <w:spacing w:before="20" w:after="20"/>
                    <w:ind w:right="113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36,8%</w:t>
                  </w:r>
                </w:p>
              </w:tc>
            </w:tr>
            <w:tr w:rsidR="0082770D" w:rsidRPr="007101FE" w:rsidTr="006F0D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4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:rsidR="0082770D" w:rsidRPr="007101FE" w:rsidRDefault="0082770D" w:rsidP="00945C0F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</w:pP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I.</w:t>
                  </w:r>
                  <w:r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4</w:t>
                  </w: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-</w:t>
                  </w:r>
                  <w:r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3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 w:rsidR="00945C0F" w:rsidRPr="00945C0F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Информационно-просветительская деятельность как на</w:t>
                  </w:r>
                  <w:r w:rsidR="00945C0F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 </w:t>
                  </w:r>
                  <w:r w:rsidR="00945C0F" w:rsidRPr="00945C0F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уровне ООН, так и на уровне региона и страны</w:t>
                  </w:r>
                </w:p>
              </w:tc>
              <w:tc>
                <w:tcPr>
                  <w:tcW w:w="1077" w:type="dxa"/>
                  <w:tcBorders>
                    <w:top w:val="none" w:sz="0" w:space="0" w:color="auto"/>
                    <w:bottom w:val="none" w:sz="0" w:space="0" w:color="auto"/>
                  </w:tcBorders>
                  <w:vAlign w:val="bottom"/>
                </w:tcPr>
                <w:p w:rsidR="0082770D" w:rsidRPr="007101FE" w:rsidRDefault="00945C0F" w:rsidP="0082770D">
                  <w:pPr>
                    <w:spacing w:before="20" w:after="2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2,0%</w:t>
                  </w:r>
                </w:p>
              </w:tc>
              <w:tc>
                <w:tcPr>
                  <w:tcW w:w="1077" w:type="dxa"/>
                  <w:tcBorders>
                    <w:top w:val="none" w:sz="0" w:space="0" w:color="auto"/>
                    <w:bottom w:val="none" w:sz="0" w:space="0" w:color="auto"/>
                  </w:tcBorders>
                  <w:vAlign w:val="bottom"/>
                </w:tcPr>
                <w:p w:rsidR="0082770D" w:rsidRPr="007101FE" w:rsidRDefault="00945C0F" w:rsidP="0082770D">
                  <w:pPr>
                    <w:spacing w:before="20" w:after="20"/>
                    <w:ind w:right="113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26,8%</w:t>
                  </w:r>
                </w:p>
              </w:tc>
            </w:tr>
            <w:tr w:rsidR="0082770D" w:rsidRPr="007101FE" w:rsidTr="006F0D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4" w:type="dxa"/>
                  <w:tcBorders>
                    <w:bottom w:val="single" w:sz="4" w:space="0" w:color="auto"/>
                  </w:tcBorders>
                </w:tcPr>
                <w:p w:rsidR="0082770D" w:rsidRPr="007101FE" w:rsidRDefault="0082770D" w:rsidP="0082770D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</w:pP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lastRenderedPageBreak/>
                    <w:t>I.</w:t>
                  </w:r>
                  <w:r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4</w:t>
                  </w: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-</w:t>
                  </w:r>
                  <w:r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4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 w:rsidR="00945C0F" w:rsidRPr="00945C0F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Поддержка партнерства "РАВНЫЕ"</w:t>
                  </w: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  <w:vAlign w:val="bottom"/>
                </w:tcPr>
                <w:p w:rsidR="0082770D" w:rsidRPr="007101FE" w:rsidRDefault="00945C0F" w:rsidP="0082770D">
                  <w:pPr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1,0%</w:t>
                  </w: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  <w:vAlign w:val="bottom"/>
                </w:tcPr>
                <w:p w:rsidR="0082770D" w:rsidRPr="007101FE" w:rsidRDefault="00945C0F" w:rsidP="0082770D">
                  <w:pPr>
                    <w:spacing w:before="20" w:after="20"/>
                    <w:ind w:right="113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13,2%</w:t>
                  </w:r>
                </w:p>
              </w:tc>
            </w:tr>
            <w:tr w:rsidR="0082770D" w:rsidRPr="007101FE" w:rsidTr="006F0D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4" w:type="dxa"/>
                  <w:tcBorders>
                    <w:top w:val="single" w:sz="4" w:space="0" w:color="auto"/>
                    <w:bottom w:val="none" w:sz="0" w:space="0" w:color="auto"/>
                  </w:tcBorders>
                </w:tcPr>
                <w:p w:rsidR="0082770D" w:rsidRPr="007101FE" w:rsidRDefault="0082770D" w:rsidP="00945C0F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</w:pP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I.</w:t>
                  </w:r>
                  <w:r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5</w:t>
                  </w: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-1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 w:rsidR="00945C0F" w:rsidRPr="00945C0F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Политика и стандарты в</w:t>
                  </w:r>
                  <w:r w:rsidR="00945C0F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 xml:space="preserve"> области энергоэффективност</w:t>
                  </w:r>
                  <w:r w:rsidR="00475374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и</w:t>
                  </w:r>
                  <w:r w:rsidR="00945C0F" w:rsidRPr="00945C0F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bottom w:val="none" w:sz="0" w:space="0" w:color="auto"/>
                  </w:tcBorders>
                  <w:vAlign w:val="bottom"/>
                </w:tcPr>
                <w:p w:rsidR="0082770D" w:rsidRPr="007101FE" w:rsidRDefault="00945C0F" w:rsidP="0082770D">
                  <w:pPr>
                    <w:spacing w:before="20" w:after="2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0,8%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bottom w:val="none" w:sz="0" w:space="0" w:color="auto"/>
                  </w:tcBorders>
                  <w:vAlign w:val="bottom"/>
                </w:tcPr>
                <w:p w:rsidR="0082770D" w:rsidRPr="007101FE" w:rsidRDefault="00945C0F" w:rsidP="0082770D">
                  <w:pPr>
                    <w:spacing w:before="20" w:after="20"/>
                    <w:ind w:right="113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33,3%</w:t>
                  </w:r>
                </w:p>
              </w:tc>
            </w:tr>
            <w:tr w:rsidR="0082770D" w:rsidRPr="007101FE" w:rsidTr="006F0D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4" w:type="dxa"/>
                </w:tcPr>
                <w:p w:rsidR="0082770D" w:rsidRPr="007101FE" w:rsidRDefault="0082770D" w:rsidP="0082770D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</w:pP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I.</w:t>
                  </w:r>
                  <w:r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5</w:t>
                  </w: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-</w:t>
                  </w:r>
                  <w:r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2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 w:rsidR="00945C0F" w:rsidRPr="00945C0F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Безопасность и экологические характеристики оборудования и средств ИКТ (управление электронными отходами)</w:t>
                  </w:r>
                </w:p>
              </w:tc>
              <w:tc>
                <w:tcPr>
                  <w:tcW w:w="1077" w:type="dxa"/>
                  <w:vAlign w:val="bottom"/>
                </w:tcPr>
                <w:p w:rsidR="0082770D" w:rsidRPr="007101FE" w:rsidRDefault="00945C0F" w:rsidP="0082770D">
                  <w:pPr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0,8%</w:t>
                  </w:r>
                </w:p>
              </w:tc>
              <w:tc>
                <w:tcPr>
                  <w:tcW w:w="1077" w:type="dxa"/>
                  <w:vAlign w:val="bottom"/>
                </w:tcPr>
                <w:p w:rsidR="0082770D" w:rsidRPr="007101FE" w:rsidRDefault="00945C0F" w:rsidP="0082770D">
                  <w:pPr>
                    <w:spacing w:before="20" w:after="20"/>
                    <w:ind w:right="113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33,3%</w:t>
                  </w:r>
                </w:p>
              </w:tc>
            </w:tr>
            <w:tr w:rsidR="0082770D" w:rsidRPr="007101FE" w:rsidTr="006F0D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4" w:type="dxa"/>
                  <w:tcBorders>
                    <w:top w:val="none" w:sz="0" w:space="0" w:color="auto"/>
                    <w:bottom w:val="single" w:sz="4" w:space="0" w:color="auto"/>
                  </w:tcBorders>
                </w:tcPr>
                <w:p w:rsidR="0082770D" w:rsidRPr="007101FE" w:rsidRDefault="0082770D" w:rsidP="0082770D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</w:pP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I.</w:t>
                  </w:r>
                  <w:r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5</w:t>
                  </w: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-</w:t>
                  </w:r>
                  <w:r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3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 w:rsidR="00945C0F" w:rsidRPr="00945C0F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Глобальная платформа для "умных" устойчивых городов, включая разработку KPI</w:t>
                  </w:r>
                </w:p>
              </w:tc>
              <w:tc>
                <w:tcPr>
                  <w:tcW w:w="1077" w:type="dxa"/>
                  <w:tcBorders>
                    <w:top w:val="none" w:sz="0" w:space="0" w:color="auto"/>
                    <w:bottom w:val="single" w:sz="4" w:space="0" w:color="auto"/>
                  </w:tcBorders>
                  <w:vAlign w:val="bottom"/>
                </w:tcPr>
                <w:p w:rsidR="0082770D" w:rsidRPr="007101FE" w:rsidRDefault="00945C0F" w:rsidP="0082770D">
                  <w:pPr>
                    <w:spacing w:before="20" w:after="2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0,8%</w:t>
                  </w:r>
                </w:p>
              </w:tc>
              <w:tc>
                <w:tcPr>
                  <w:tcW w:w="1077" w:type="dxa"/>
                  <w:tcBorders>
                    <w:top w:val="none" w:sz="0" w:space="0" w:color="auto"/>
                    <w:bottom w:val="single" w:sz="4" w:space="0" w:color="auto"/>
                  </w:tcBorders>
                  <w:vAlign w:val="bottom"/>
                </w:tcPr>
                <w:p w:rsidR="0082770D" w:rsidRPr="007101FE" w:rsidRDefault="00945C0F" w:rsidP="0082770D">
                  <w:pPr>
                    <w:spacing w:before="20" w:after="20"/>
                    <w:ind w:right="113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33,3%</w:t>
                  </w:r>
                </w:p>
              </w:tc>
            </w:tr>
            <w:tr w:rsidR="0082770D" w:rsidRPr="007101FE" w:rsidTr="006F0D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4" w:type="dxa"/>
                  <w:tcBorders>
                    <w:top w:val="single" w:sz="4" w:space="0" w:color="auto"/>
                  </w:tcBorders>
                </w:tcPr>
                <w:p w:rsidR="0082770D" w:rsidRPr="00674FDE" w:rsidRDefault="0082770D" w:rsidP="00674FD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</w:pP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I.</w:t>
                  </w:r>
                  <w:r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6</w:t>
                  </w: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-1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 w:rsidR="00945C0F" w:rsidRPr="00945C0F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Процесс, который позволяет выявлять и устранять все формы и случаи дублирования функций и деятельности всех структурных органов МСЭ</w:t>
                  </w:r>
                  <w:r w:rsidR="00674FDE" w:rsidRPr="00674FDE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 xml:space="preserve"> (</w:t>
                  </w:r>
                  <w:r w:rsidR="00674FDE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…</w:t>
                  </w:r>
                  <w:r w:rsidR="00674FDE" w:rsidRPr="00674FDE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</w:tcBorders>
                  <w:vAlign w:val="bottom"/>
                </w:tcPr>
                <w:p w:rsidR="0082770D" w:rsidRPr="007101FE" w:rsidRDefault="00945C0F" w:rsidP="0082770D">
                  <w:pPr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3,3%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</w:tcBorders>
                  <w:vAlign w:val="bottom"/>
                </w:tcPr>
                <w:p w:rsidR="0082770D" w:rsidRPr="007101FE" w:rsidRDefault="00945C0F" w:rsidP="0082770D">
                  <w:pPr>
                    <w:spacing w:before="20" w:after="20"/>
                    <w:ind w:right="113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43,8%</w:t>
                  </w:r>
                </w:p>
              </w:tc>
            </w:tr>
            <w:tr w:rsidR="0082770D" w:rsidRPr="007101FE" w:rsidTr="006F0D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4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:rsidR="0082770D" w:rsidRPr="007101FE" w:rsidRDefault="0082770D" w:rsidP="0082770D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</w:pP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I.</w:t>
                  </w:r>
                  <w:r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6</w:t>
                  </w: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-</w:t>
                  </w:r>
                  <w:r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2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 w:rsidR="00945C0F" w:rsidRPr="00945C0F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Реализация концепции "Единый МСЭ", согласование, в возможной степени, процедур Секторов и региональных отделений</w:t>
                  </w:r>
                  <w:r w:rsidR="00945C0F" w:rsidRPr="00674FDE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/регионального присутствия</w:t>
                  </w:r>
                  <w:r w:rsidR="003C02EB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 xml:space="preserve"> </w:t>
                  </w:r>
                  <w:r w:rsidR="00674FDE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(…)</w:t>
                  </w:r>
                </w:p>
              </w:tc>
              <w:tc>
                <w:tcPr>
                  <w:tcW w:w="1077" w:type="dxa"/>
                  <w:tcBorders>
                    <w:top w:val="none" w:sz="0" w:space="0" w:color="auto"/>
                    <w:bottom w:val="none" w:sz="0" w:space="0" w:color="auto"/>
                  </w:tcBorders>
                  <w:vAlign w:val="bottom"/>
                </w:tcPr>
                <w:p w:rsidR="0082770D" w:rsidRPr="007101FE" w:rsidRDefault="00945C0F" w:rsidP="0082770D">
                  <w:pPr>
                    <w:spacing w:before="20" w:after="2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4,2%</w:t>
                  </w:r>
                </w:p>
              </w:tc>
              <w:tc>
                <w:tcPr>
                  <w:tcW w:w="1077" w:type="dxa"/>
                  <w:tcBorders>
                    <w:top w:val="none" w:sz="0" w:space="0" w:color="auto"/>
                    <w:bottom w:val="none" w:sz="0" w:space="0" w:color="auto"/>
                  </w:tcBorders>
                  <w:vAlign w:val="bottom"/>
                </w:tcPr>
                <w:p w:rsidR="0082770D" w:rsidRPr="007101FE" w:rsidRDefault="00945C0F" w:rsidP="0082770D">
                  <w:pPr>
                    <w:spacing w:before="20" w:after="20"/>
                    <w:ind w:right="113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53,2%</w:t>
                  </w:r>
                </w:p>
              </w:tc>
            </w:tr>
          </w:tbl>
          <w:p w:rsidR="001B1EE1" w:rsidRPr="00D95571" w:rsidRDefault="00344C3F" w:rsidP="00D95571">
            <w:pPr>
              <w:tabs>
                <w:tab w:val="clear" w:pos="794"/>
                <w:tab w:val="left" w:pos="1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D95571">
              <w:rPr>
                <w:sz w:val="18"/>
                <w:szCs w:val="18"/>
              </w:rPr>
              <w:t>Затраты</w:t>
            </w:r>
            <w:r w:rsidR="00D95571" w:rsidRPr="00D95571">
              <w:rPr>
                <w:sz w:val="18"/>
                <w:szCs w:val="18"/>
              </w:rPr>
              <w:t xml:space="preserve"> </w:t>
            </w:r>
            <w:r w:rsidR="00D95571">
              <w:rPr>
                <w:sz w:val="18"/>
                <w:szCs w:val="18"/>
              </w:rPr>
              <w:t>по</w:t>
            </w:r>
            <w:r w:rsidR="00D95571" w:rsidRPr="00D95571">
              <w:rPr>
                <w:sz w:val="18"/>
                <w:szCs w:val="18"/>
              </w:rPr>
              <w:t xml:space="preserve"> </w:t>
            </w:r>
            <w:r w:rsidR="00D95571">
              <w:rPr>
                <w:sz w:val="18"/>
                <w:szCs w:val="18"/>
              </w:rPr>
              <w:t>намеченным</w:t>
            </w:r>
            <w:r w:rsidR="00D95571" w:rsidRPr="00D95571">
              <w:rPr>
                <w:sz w:val="18"/>
                <w:szCs w:val="18"/>
              </w:rPr>
              <w:t xml:space="preserve"> </w:t>
            </w:r>
            <w:r w:rsidR="00D95571">
              <w:rPr>
                <w:sz w:val="18"/>
                <w:szCs w:val="18"/>
              </w:rPr>
              <w:t>результатам</w:t>
            </w:r>
            <w:r w:rsidR="00D95571" w:rsidRPr="00D95571">
              <w:rPr>
                <w:sz w:val="18"/>
                <w:szCs w:val="18"/>
              </w:rPr>
              <w:t xml:space="preserve"> </w:t>
            </w:r>
            <w:r w:rsidR="00D95571">
              <w:rPr>
                <w:sz w:val="18"/>
                <w:szCs w:val="18"/>
              </w:rPr>
              <w:t>деятельности</w:t>
            </w:r>
            <w:r w:rsidR="00D95571" w:rsidRPr="00D95571">
              <w:rPr>
                <w:sz w:val="18"/>
                <w:szCs w:val="18"/>
              </w:rPr>
              <w:t xml:space="preserve">, </w:t>
            </w:r>
            <w:r w:rsidR="00D95571">
              <w:rPr>
                <w:sz w:val="18"/>
                <w:szCs w:val="18"/>
              </w:rPr>
              <w:t>относящимся</w:t>
            </w:r>
            <w:r w:rsidR="00D95571" w:rsidRPr="00D95571">
              <w:rPr>
                <w:sz w:val="18"/>
                <w:szCs w:val="18"/>
              </w:rPr>
              <w:t xml:space="preserve"> </w:t>
            </w:r>
            <w:r w:rsidR="00D95571">
              <w:rPr>
                <w:sz w:val="18"/>
                <w:szCs w:val="18"/>
              </w:rPr>
              <w:t>к</w:t>
            </w:r>
            <w:r w:rsidR="00D95571" w:rsidRPr="00D95571">
              <w:rPr>
                <w:sz w:val="18"/>
                <w:szCs w:val="18"/>
              </w:rPr>
              <w:t xml:space="preserve"> </w:t>
            </w:r>
            <w:r w:rsidR="00D95571">
              <w:rPr>
                <w:sz w:val="18"/>
                <w:szCs w:val="18"/>
              </w:rPr>
              <w:t>ПК</w:t>
            </w:r>
            <w:r w:rsidR="00D95571" w:rsidRPr="00D95571">
              <w:rPr>
                <w:sz w:val="18"/>
                <w:szCs w:val="18"/>
              </w:rPr>
              <w:t>/</w:t>
            </w:r>
            <w:r w:rsidR="00D95571">
              <w:rPr>
                <w:sz w:val="18"/>
                <w:szCs w:val="18"/>
              </w:rPr>
              <w:t>Совету</w:t>
            </w:r>
            <w:r w:rsidR="00D95571" w:rsidRPr="00D95571">
              <w:rPr>
                <w:sz w:val="18"/>
                <w:szCs w:val="18"/>
              </w:rPr>
              <w:t>,</w:t>
            </w:r>
            <w:r w:rsidR="00D95571">
              <w:rPr>
                <w:sz w:val="18"/>
                <w:szCs w:val="18"/>
              </w:rPr>
              <w:t xml:space="preserve"> распределены между всеми задачами Союза</w:t>
            </w:r>
            <w:r w:rsidR="001B1EE1" w:rsidRPr="00D955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)</w:t>
            </w:r>
          </w:p>
        </w:tc>
      </w:tr>
      <w:tr w:rsidR="001B1EE1" w:rsidRPr="007101FE" w:rsidTr="006F0D1E">
        <w:trPr>
          <w:trHeight w:val="2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5" w:type="dxa"/>
          </w:tcPr>
          <w:p w:rsidR="001B1EE1" w:rsidRPr="007101FE" w:rsidRDefault="00945C0F" w:rsidP="00945C0F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3CDFDE88" wp14:editId="7368D3C1">
                  <wp:extent cx="3209925" cy="2357755"/>
                  <wp:effectExtent l="0" t="0" r="0" b="0"/>
                  <wp:docPr id="25" name="Chart 2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tbl>
            <w:tblPr>
              <w:tblStyle w:val="GridTable1Light-Accent51"/>
              <w:tblW w:w="616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80" w:firstRow="0" w:lastRow="0" w:firstColumn="1" w:lastColumn="0" w:noHBand="0" w:noVBand="1"/>
            </w:tblPr>
            <w:tblGrid>
              <w:gridCol w:w="5029"/>
              <w:gridCol w:w="1134"/>
            </w:tblGrid>
            <w:tr w:rsidR="001B1EE1" w:rsidRPr="007101FE" w:rsidTr="006F0D1E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29" w:type="dxa"/>
                </w:tcPr>
                <w:p w:rsidR="001B1EE1" w:rsidRPr="007101FE" w:rsidRDefault="001B1EE1" w:rsidP="001B1EE1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left="368" w:hanging="425"/>
                    <w:rPr>
                      <w:b w:val="0"/>
                      <w:bCs w:val="0"/>
                      <w:sz w:val="18"/>
                      <w:szCs w:val="18"/>
                      <w:lang w:eastAsia="zh-CN"/>
                    </w:rPr>
                  </w:pPr>
                  <w:r w:rsidRPr="007101FE">
                    <w:rPr>
                      <w:color w:val="4F81BD" w:themeColor="accent1"/>
                      <w:sz w:val="18"/>
                      <w:szCs w:val="18"/>
                      <w:lang w:eastAsia="zh-CN"/>
                    </w:rPr>
                    <w:t>I.1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7101FE">
                    <w:rPr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>
                    <w:rPr>
                      <w:b w:val="0"/>
                      <w:bCs w:val="0"/>
                      <w:sz w:val="18"/>
                      <w:szCs w:val="18"/>
                    </w:rPr>
                    <w:t>Сотрудничество</w:t>
                  </w:r>
                </w:p>
              </w:tc>
              <w:tc>
                <w:tcPr>
                  <w:tcW w:w="1134" w:type="dxa"/>
                  <w:vAlign w:val="bottom"/>
                </w:tcPr>
                <w:p w:rsidR="001B1EE1" w:rsidRPr="007101FE" w:rsidRDefault="001B1EE1" w:rsidP="001B1EE1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right="113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62</w:t>
                  </w:r>
                  <w:r w:rsidRPr="007101FE"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,</w:t>
                  </w:r>
                  <w:r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5</w:t>
                  </w:r>
                  <w:r w:rsidRPr="007101FE"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5%</w:t>
                  </w:r>
                </w:p>
              </w:tc>
            </w:tr>
            <w:tr w:rsidR="001B1EE1" w:rsidRPr="007101FE" w:rsidTr="006F0D1E">
              <w:tblPrEx>
                <w:tblCellMar>
                  <w:left w:w="57" w:type="dxa"/>
                  <w:right w:w="57" w:type="dxa"/>
                </w:tblCellMar>
              </w:tblPrEx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29" w:type="dxa"/>
                </w:tcPr>
                <w:p w:rsidR="001B1EE1" w:rsidRPr="007101FE" w:rsidRDefault="001B1EE1" w:rsidP="00D205C8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20" w:after="20"/>
                    <w:ind w:left="425" w:hanging="425"/>
                    <w:rPr>
                      <w:b w:val="0"/>
                      <w:bCs w:val="0"/>
                      <w:sz w:val="18"/>
                      <w:szCs w:val="18"/>
                      <w:lang w:eastAsia="zh-CN"/>
                    </w:rPr>
                  </w:pPr>
                  <w:r w:rsidRPr="007101FE">
                    <w:rPr>
                      <w:color w:val="4F81BD" w:themeColor="accent1"/>
                      <w:sz w:val="18"/>
                      <w:szCs w:val="18"/>
                      <w:lang w:eastAsia="zh-CN"/>
                    </w:rPr>
                    <w:t>I.2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7101FE">
                    <w:rPr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>
                    <w:rPr>
                      <w:b w:val="0"/>
                      <w:bCs w:val="0"/>
                      <w:sz w:val="18"/>
                      <w:szCs w:val="18"/>
                    </w:rPr>
                    <w:t>В</w:t>
                  </w:r>
                  <w:r w:rsidRPr="001B1EE1">
                    <w:rPr>
                      <w:b w:val="0"/>
                      <w:bCs w:val="0"/>
                      <w:sz w:val="18"/>
                      <w:szCs w:val="18"/>
                    </w:rPr>
                    <w:t>озникающи</w:t>
                  </w:r>
                  <w:r>
                    <w:rPr>
                      <w:b w:val="0"/>
                      <w:bCs w:val="0"/>
                      <w:sz w:val="18"/>
                      <w:szCs w:val="18"/>
                    </w:rPr>
                    <w:t>е</w:t>
                  </w:r>
                  <w:r w:rsidRPr="001B1EE1">
                    <w:rPr>
                      <w:b w:val="0"/>
                      <w:bCs w:val="0"/>
                      <w:sz w:val="18"/>
                      <w:szCs w:val="18"/>
                    </w:rPr>
                    <w:t xml:space="preserve"> тенденци</w:t>
                  </w:r>
                  <w:r>
                    <w:rPr>
                      <w:b w:val="0"/>
                      <w:bCs w:val="0"/>
                      <w:sz w:val="18"/>
                      <w:szCs w:val="18"/>
                    </w:rPr>
                    <w:t>и</w:t>
                  </w:r>
                  <w:r w:rsidRPr="001B1EE1">
                    <w:rPr>
                      <w:b w:val="0"/>
                      <w:bCs w:val="0"/>
                      <w:sz w:val="18"/>
                      <w:szCs w:val="18"/>
                    </w:rPr>
                    <w:t xml:space="preserve"> в </w:t>
                  </w:r>
                  <w:r w:rsidR="00E36198">
                    <w:rPr>
                      <w:b w:val="0"/>
                      <w:bCs w:val="0"/>
                      <w:sz w:val="18"/>
                      <w:szCs w:val="18"/>
                    </w:rPr>
                    <w:t>области</w:t>
                  </w:r>
                  <w:r w:rsidRPr="001B1EE1">
                    <w:rPr>
                      <w:b w:val="0"/>
                      <w:bCs w:val="0"/>
                      <w:sz w:val="18"/>
                      <w:szCs w:val="18"/>
                    </w:rPr>
                    <w:t xml:space="preserve"> электросвязи/ИКТ</w:t>
                  </w:r>
                </w:p>
              </w:tc>
              <w:tc>
                <w:tcPr>
                  <w:tcW w:w="1134" w:type="dxa"/>
                  <w:vAlign w:val="bottom"/>
                </w:tcPr>
                <w:p w:rsidR="001B1EE1" w:rsidRPr="007101FE" w:rsidRDefault="001B1EE1" w:rsidP="00D205C8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18</w:t>
                  </w:r>
                  <w:r w:rsidRPr="007101FE"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,</w:t>
                  </w:r>
                  <w:r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36</w:t>
                  </w:r>
                  <w:r w:rsidRPr="007101FE"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%</w:t>
                  </w:r>
                </w:p>
              </w:tc>
            </w:tr>
            <w:tr w:rsidR="001B1EE1" w:rsidRPr="007101FE" w:rsidTr="006F0D1E">
              <w:tblPrEx>
                <w:tblCellMar>
                  <w:left w:w="57" w:type="dxa"/>
                  <w:right w:w="57" w:type="dxa"/>
                </w:tblCellMar>
              </w:tblPrEx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29" w:type="dxa"/>
                </w:tcPr>
                <w:p w:rsidR="001B1EE1" w:rsidRPr="007101FE" w:rsidRDefault="001B1EE1" w:rsidP="00D205C8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20" w:after="20"/>
                    <w:ind w:left="425" w:hanging="425"/>
                    <w:rPr>
                      <w:b w:val="0"/>
                      <w:bCs w:val="0"/>
                      <w:sz w:val="18"/>
                      <w:szCs w:val="18"/>
                      <w:lang w:eastAsia="zh-CN"/>
                    </w:rPr>
                  </w:pPr>
                  <w:r w:rsidRPr="007101FE">
                    <w:rPr>
                      <w:color w:val="4F81BD" w:themeColor="accent1"/>
                      <w:sz w:val="18"/>
                      <w:szCs w:val="18"/>
                      <w:lang w:eastAsia="zh-CN"/>
                    </w:rPr>
                    <w:t>I.3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7101FE">
                    <w:rPr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>
                    <w:rPr>
                      <w:b w:val="0"/>
                      <w:bCs w:val="0"/>
                      <w:sz w:val="18"/>
                      <w:szCs w:val="18"/>
                    </w:rPr>
                    <w:t>Доступность</w:t>
                  </w:r>
                  <w:r w:rsidRPr="007101FE">
                    <w:rPr>
                      <w:b w:val="0"/>
                      <w:bCs w:val="0"/>
                      <w:sz w:val="18"/>
                      <w:szCs w:val="18"/>
                    </w:rPr>
                    <w:t xml:space="preserve"> электросвязи/ИКТ</w:t>
                  </w:r>
                </w:p>
              </w:tc>
              <w:tc>
                <w:tcPr>
                  <w:tcW w:w="1134" w:type="dxa"/>
                  <w:vAlign w:val="bottom"/>
                </w:tcPr>
                <w:p w:rsidR="001B1EE1" w:rsidRPr="007101FE" w:rsidRDefault="001B1EE1" w:rsidP="00D205C8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1</w:t>
                  </w:r>
                  <w:r w:rsidRPr="007101FE"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,</w:t>
                  </w:r>
                  <w:r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89</w:t>
                  </w:r>
                  <w:r w:rsidRPr="007101FE"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%</w:t>
                  </w:r>
                </w:p>
              </w:tc>
            </w:tr>
            <w:tr w:rsidR="001B1EE1" w:rsidRPr="007101FE" w:rsidTr="006F0D1E">
              <w:tblPrEx>
                <w:tblCellMar>
                  <w:left w:w="57" w:type="dxa"/>
                  <w:right w:w="57" w:type="dxa"/>
                </w:tblCellMar>
              </w:tblPrEx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29" w:type="dxa"/>
                </w:tcPr>
                <w:p w:rsidR="001B1EE1" w:rsidRPr="00E36198" w:rsidRDefault="001B1EE1" w:rsidP="00D205C8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20" w:after="20"/>
                    <w:ind w:left="425" w:hanging="425"/>
                    <w:rPr>
                      <w:b w:val="0"/>
                      <w:bCs w:val="0"/>
                      <w:sz w:val="18"/>
                      <w:szCs w:val="18"/>
                      <w:lang w:eastAsia="zh-CN"/>
                    </w:rPr>
                  </w:pPr>
                  <w:r w:rsidRPr="001B1EE1">
                    <w:rPr>
                      <w:color w:val="4F81BD" w:themeColor="accent1"/>
                      <w:sz w:val="18"/>
                      <w:szCs w:val="18"/>
                      <w:lang w:val="en-US" w:eastAsia="zh-CN"/>
                    </w:rPr>
                    <w:t>I</w:t>
                  </w:r>
                  <w:r w:rsidRPr="00E36198">
                    <w:rPr>
                      <w:color w:val="4F81BD" w:themeColor="accent1"/>
                      <w:sz w:val="18"/>
                      <w:szCs w:val="18"/>
                      <w:lang w:eastAsia="zh-CN"/>
                    </w:rPr>
                    <w:t>.4</w:t>
                  </w:r>
                  <w:r w:rsidRPr="00E36198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E36198">
                    <w:rPr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 w:rsidR="00E36198">
                    <w:rPr>
                      <w:b w:val="0"/>
                      <w:bCs w:val="0"/>
                      <w:sz w:val="18"/>
                      <w:szCs w:val="18"/>
                    </w:rPr>
                    <w:t>Г</w:t>
                  </w:r>
                  <w:r w:rsidR="00E36198" w:rsidRPr="00E36198">
                    <w:rPr>
                      <w:b w:val="0"/>
                      <w:bCs w:val="0"/>
                      <w:sz w:val="18"/>
                      <w:szCs w:val="18"/>
                    </w:rPr>
                    <w:t>ендерно</w:t>
                  </w:r>
                  <w:r w:rsidR="00E36198">
                    <w:rPr>
                      <w:b w:val="0"/>
                      <w:bCs w:val="0"/>
                      <w:sz w:val="18"/>
                      <w:szCs w:val="18"/>
                    </w:rPr>
                    <w:t>е</w:t>
                  </w:r>
                  <w:r w:rsidR="00E36198" w:rsidRPr="00E36198">
                    <w:rPr>
                      <w:b w:val="0"/>
                      <w:bCs w:val="0"/>
                      <w:sz w:val="18"/>
                      <w:szCs w:val="18"/>
                    </w:rPr>
                    <w:t xml:space="preserve"> равенств</w:t>
                  </w:r>
                  <w:r w:rsidR="00E36198">
                    <w:rPr>
                      <w:b w:val="0"/>
                      <w:bCs w:val="0"/>
                      <w:sz w:val="18"/>
                      <w:szCs w:val="18"/>
                    </w:rPr>
                    <w:t>о</w:t>
                  </w:r>
                  <w:r w:rsidR="00E36198" w:rsidRPr="00E36198">
                    <w:rPr>
                      <w:b w:val="0"/>
                      <w:bCs w:val="0"/>
                      <w:sz w:val="18"/>
                      <w:szCs w:val="18"/>
                    </w:rPr>
                    <w:t xml:space="preserve"> и интеграци</w:t>
                  </w:r>
                  <w:r w:rsidR="00E36198">
                    <w:rPr>
                      <w:b w:val="0"/>
                      <w:bCs w:val="0"/>
                      <w:sz w:val="18"/>
                      <w:szCs w:val="18"/>
                    </w:rPr>
                    <w:t>я</w:t>
                  </w:r>
                </w:p>
              </w:tc>
              <w:tc>
                <w:tcPr>
                  <w:tcW w:w="1134" w:type="dxa"/>
                  <w:vAlign w:val="bottom"/>
                </w:tcPr>
                <w:p w:rsidR="001B1EE1" w:rsidRPr="007101FE" w:rsidRDefault="001B1EE1" w:rsidP="00D205C8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7</w:t>
                  </w:r>
                  <w:r w:rsidRPr="007101FE"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,</w:t>
                  </w:r>
                  <w:r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46</w:t>
                  </w:r>
                  <w:r w:rsidRPr="007101FE"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%</w:t>
                  </w:r>
                </w:p>
              </w:tc>
            </w:tr>
            <w:tr w:rsidR="001B1EE1" w:rsidRPr="007101FE" w:rsidTr="006F0D1E">
              <w:tblPrEx>
                <w:tblCellMar>
                  <w:left w:w="57" w:type="dxa"/>
                  <w:right w:w="57" w:type="dxa"/>
                </w:tblCellMar>
              </w:tblPrEx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29" w:type="dxa"/>
                </w:tcPr>
                <w:p w:rsidR="001B1EE1" w:rsidRPr="007101FE" w:rsidRDefault="001B1EE1" w:rsidP="00D205C8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20" w:after="20"/>
                    <w:ind w:left="425" w:hanging="425"/>
                    <w:rPr>
                      <w:sz w:val="18"/>
                      <w:szCs w:val="18"/>
                      <w:lang w:eastAsia="zh-CN"/>
                    </w:rPr>
                  </w:pPr>
                  <w:r w:rsidRPr="007101FE">
                    <w:rPr>
                      <w:color w:val="4F81BD" w:themeColor="accent1"/>
                      <w:sz w:val="18"/>
                      <w:szCs w:val="18"/>
                      <w:lang w:eastAsia="zh-CN"/>
                    </w:rPr>
                    <w:t>I.5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7101FE">
                    <w:rPr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 w:rsidR="00E36198">
                    <w:rPr>
                      <w:b w:val="0"/>
                      <w:bCs w:val="0"/>
                      <w:sz w:val="18"/>
                      <w:szCs w:val="18"/>
                    </w:rPr>
                    <w:t>Экологическая устойчивость</w:t>
                  </w:r>
                </w:p>
              </w:tc>
              <w:tc>
                <w:tcPr>
                  <w:tcW w:w="1134" w:type="dxa"/>
                  <w:vAlign w:val="bottom"/>
                </w:tcPr>
                <w:p w:rsidR="001B1EE1" w:rsidRPr="007101FE" w:rsidRDefault="001B1EE1" w:rsidP="00D205C8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2</w:t>
                  </w:r>
                  <w:r w:rsidRPr="007101FE"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,</w:t>
                  </w:r>
                  <w:r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32</w:t>
                  </w:r>
                  <w:r w:rsidRPr="007101FE"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%</w:t>
                  </w:r>
                </w:p>
              </w:tc>
            </w:tr>
            <w:tr w:rsidR="001B1EE1" w:rsidRPr="007101FE" w:rsidTr="006F0D1E">
              <w:tblPrEx>
                <w:tblCellMar>
                  <w:left w:w="57" w:type="dxa"/>
                  <w:right w:w="57" w:type="dxa"/>
                </w:tblCellMar>
              </w:tblPrEx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29" w:type="dxa"/>
                </w:tcPr>
                <w:p w:rsidR="001B1EE1" w:rsidRPr="00E36198" w:rsidRDefault="001B1EE1" w:rsidP="00D205C8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20" w:after="20"/>
                    <w:ind w:left="425" w:hanging="425"/>
                    <w:rPr>
                      <w:color w:val="4F81BD" w:themeColor="accent1"/>
                      <w:sz w:val="18"/>
                      <w:szCs w:val="18"/>
                      <w:lang w:eastAsia="zh-CN"/>
                    </w:rPr>
                  </w:pPr>
                  <w:r w:rsidRPr="001B1EE1">
                    <w:rPr>
                      <w:color w:val="4F81BD" w:themeColor="accent1"/>
                      <w:sz w:val="18"/>
                      <w:szCs w:val="18"/>
                      <w:lang w:val="en-US" w:eastAsia="zh-CN"/>
                    </w:rPr>
                    <w:t>I</w:t>
                  </w:r>
                  <w:r w:rsidRPr="00E36198">
                    <w:rPr>
                      <w:color w:val="4F81BD" w:themeColor="accent1"/>
                      <w:sz w:val="18"/>
                      <w:szCs w:val="18"/>
                      <w:lang w:eastAsia="zh-CN"/>
                    </w:rPr>
                    <w:t>.6</w:t>
                  </w:r>
                  <w:r w:rsidRPr="00E36198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E36198">
                    <w:rPr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 w:rsidR="00E36198" w:rsidRPr="00E36198">
                    <w:rPr>
                      <w:b w:val="0"/>
                      <w:bCs w:val="0"/>
                      <w:sz w:val="18"/>
                      <w:szCs w:val="18"/>
                    </w:rPr>
                    <w:t>Сокращ</w:t>
                  </w:r>
                  <w:r w:rsidR="00E36198">
                    <w:rPr>
                      <w:b w:val="0"/>
                      <w:bCs w:val="0"/>
                      <w:sz w:val="18"/>
                      <w:szCs w:val="18"/>
                    </w:rPr>
                    <w:t>ение</w:t>
                  </w:r>
                  <w:r w:rsidR="00E36198" w:rsidRPr="00E36198">
                    <w:rPr>
                      <w:b w:val="0"/>
                      <w:bCs w:val="0"/>
                      <w:sz w:val="18"/>
                      <w:szCs w:val="18"/>
                    </w:rPr>
                    <w:t xml:space="preserve"> частичного совпадения и дублирования</w:t>
                  </w:r>
                </w:p>
              </w:tc>
              <w:tc>
                <w:tcPr>
                  <w:tcW w:w="1134" w:type="dxa"/>
                  <w:vAlign w:val="bottom"/>
                </w:tcPr>
                <w:p w:rsidR="001B1EE1" w:rsidRDefault="001B1EE1" w:rsidP="00D205C8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7</w:t>
                  </w:r>
                  <w:r w:rsidRPr="007101FE"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,</w:t>
                  </w:r>
                  <w:r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42</w:t>
                  </w:r>
                  <w:r w:rsidRPr="007101FE"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%</w:t>
                  </w:r>
                </w:p>
              </w:tc>
            </w:tr>
          </w:tbl>
          <w:p w:rsidR="001B1EE1" w:rsidRPr="007101FE" w:rsidRDefault="001B1EE1" w:rsidP="00CE3E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60" w:after="60"/>
              <w:ind w:left="425" w:right="284" w:hanging="425"/>
              <w:rPr>
                <w:b w:val="0"/>
                <w:bCs w:val="0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7937" w:type="dxa"/>
            <w:vMerge/>
          </w:tcPr>
          <w:p w:rsidR="001B1EE1" w:rsidRPr="007101FE" w:rsidRDefault="001B1EE1" w:rsidP="00CE3E1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zh-CN"/>
              </w:rPr>
            </w:pPr>
          </w:p>
        </w:tc>
      </w:tr>
    </w:tbl>
    <w:p w:rsidR="00D3798F" w:rsidRPr="00D95571" w:rsidRDefault="006F0D1E" w:rsidP="00530393">
      <w:pPr>
        <w:pStyle w:val="Heading2"/>
        <w:spacing w:after="120"/>
        <w:rPr>
          <w:color w:val="365F91" w:themeColor="accent1" w:themeShade="BF"/>
        </w:rPr>
      </w:pPr>
      <w:r w:rsidRPr="00D95571">
        <w:rPr>
          <w:color w:val="365F91" w:themeColor="accent1" w:themeShade="BF"/>
        </w:rPr>
        <w:t>3.3</w:t>
      </w:r>
      <w:r w:rsidRPr="00D95571">
        <w:rPr>
          <w:color w:val="365F91" w:themeColor="accent1" w:themeShade="BF"/>
        </w:rPr>
        <w:tab/>
      </w:r>
      <w:r w:rsidR="00D95571" w:rsidRPr="00D95571">
        <w:rPr>
          <w:color w:val="365F91" w:themeColor="accent1" w:themeShade="BF"/>
        </w:rPr>
        <w:t xml:space="preserve">Распределение ресурсов Генерального секретариата </w:t>
      </w:r>
      <w:r w:rsidR="00530393">
        <w:rPr>
          <w:color w:val="365F91" w:themeColor="accent1" w:themeShade="BF"/>
        </w:rPr>
        <w:t>по</w:t>
      </w:r>
      <w:r w:rsidR="00D95571" w:rsidRPr="00D95571">
        <w:rPr>
          <w:color w:val="365F91" w:themeColor="accent1" w:themeShade="BF"/>
        </w:rPr>
        <w:t xml:space="preserve"> вспомогательны</w:t>
      </w:r>
      <w:r w:rsidR="00530393">
        <w:rPr>
          <w:color w:val="365F91" w:themeColor="accent1" w:themeShade="BF"/>
        </w:rPr>
        <w:t>м</w:t>
      </w:r>
      <w:r w:rsidR="00D95571" w:rsidRPr="00D95571">
        <w:rPr>
          <w:color w:val="365F91" w:themeColor="accent1" w:themeShade="BF"/>
        </w:rPr>
        <w:t xml:space="preserve"> услуг</w:t>
      </w:r>
      <w:r w:rsidR="00530393">
        <w:rPr>
          <w:color w:val="365F91" w:themeColor="accent1" w:themeShade="BF"/>
        </w:rPr>
        <w:t>ам</w:t>
      </w:r>
      <w:r w:rsidR="00D95571">
        <w:rPr>
          <w:color w:val="365F91" w:themeColor="accent1" w:themeShade="BF"/>
        </w:rPr>
        <w:t xml:space="preserve"> в поддержку выполнения задач</w:t>
      </w:r>
      <w:r w:rsidR="00D95571" w:rsidRPr="00D95571">
        <w:rPr>
          <w:color w:val="365F91" w:themeColor="accent1" w:themeShade="BF"/>
        </w:rPr>
        <w:t xml:space="preserve"> </w:t>
      </w:r>
      <w:r w:rsidR="00D95571">
        <w:rPr>
          <w:color w:val="365F91" w:themeColor="accent1" w:themeShade="BF"/>
        </w:rPr>
        <w:t xml:space="preserve">Секторов </w:t>
      </w:r>
      <w:r w:rsidR="00D95571" w:rsidRPr="00D95571">
        <w:rPr>
          <w:color w:val="365F91" w:themeColor="accent1" w:themeShade="BF"/>
        </w:rPr>
        <w:t>и</w:t>
      </w:r>
      <w:r w:rsidR="00D95571">
        <w:rPr>
          <w:color w:val="365F91" w:themeColor="accent1" w:themeShade="BF"/>
        </w:rPr>
        <w:t xml:space="preserve"> межсекторальных задач на</w:t>
      </w:r>
      <w:r w:rsidRPr="00D95571">
        <w:rPr>
          <w:color w:val="365F91" w:themeColor="accent1" w:themeShade="BF"/>
        </w:rPr>
        <w:t xml:space="preserve"> 2020</w:t>
      </w:r>
      <w:r w:rsidR="0007551A" w:rsidRPr="0007551A">
        <w:rPr>
          <w:color w:val="365F91" w:themeColor="accent1" w:themeShade="BF"/>
        </w:rPr>
        <w:t>–</w:t>
      </w:r>
      <w:r w:rsidRPr="00D95571">
        <w:rPr>
          <w:color w:val="365F91" w:themeColor="accent1" w:themeShade="BF"/>
        </w:rPr>
        <w:t>2021</w:t>
      </w:r>
      <w:r w:rsidR="00D95571">
        <w:rPr>
          <w:color w:val="365F91" w:themeColor="accent1" w:themeShade="BF"/>
        </w:rPr>
        <w:t xml:space="preserve"> годы</w:t>
      </w:r>
    </w:p>
    <w:tbl>
      <w:tblPr>
        <w:tblStyle w:val="PlainTable2"/>
        <w:tblW w:w="14601" w:type="dxa"/>
        <w:tblLayout w:type="fixed"/>
        <w:tblLook w:val="0420" w:firstRow="1" w:lastRow="0" w:firstColumn="0" w:lastColumn="0" w:noHBand="0" w:noVBand="1"/>
      </w:tblPr>
      <w:tblGrid>
        <w:gridCol w:w="1438"/>
        <w:gridCol w:w="11745"/>
        <w:gridCol w:w="1418"/>
      </w:tblGrid>
      <w:tr w:rsidR="00011086" w:rsidRPr="00011086" w:rsidTr="000110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  <w:tblHeader/>
        </w:trPr>
        <w:tc>
          <w:tcPr>
            <w:tcW w:w="1438" w:type="dxa"/>
            <w:vAlign w:val="center"/>
            <w:hideMark/>
          </w:tcPr>
          <w:p w:rsidR="00011086" w:rsidRPr="00D95571" w:rsidRDefault="00011086" w:rsidP="00CE3E18">
            <w:pPr>
              <w:pStyle w:val="Tablehead"/>
              <w:rPr>
                <w:b/>
                <w:bCs w:val="0"/>
                <w:color w:val="365F91" w:themeColor="accent1" w:themeShade="BF"/>
              </w:rPr>
            </w:pPr>
          </w:p>
        </w:tc>
        <w:tc>
          <w:tcPr>
            <w:tcW w:w="11745" w:type="dxa"/>
            <w:vAlign w:val="center"/>
            <w:hideMark/>
          </w:tcPr>
          <w:p w:rsidR="00011086" w:rsidRPr="006673A9" w:rsidRDefault="006673A9" w:rsidP="006673A9">
            <w:pPr>
              <w:pStyle w:val="Tablehead"/>
              <w:rPr>
                <w:b/>
                <w:bCs w:val="0"/>
                <w:color w:val="365F91" w:themeColor="accent1" w:themeShade="BF"/>
              </w:rPr>
            </w:pPr>
            <w:r>
              <w:rPr>
                <w:b/>
                <w:bCs w:val="0"/>
                <w:color w:val="365F91" w:themeColor="accent1" w:themeShade="BF"/>
              </w:rPr>
              <w:t>Запланированное распределение ресурсов по вспомогательным услугам</w:t>
            </w:r>
          </w:p>
        </w:tc>
        <w:tc>
          <w:tcPr>
            <w:tcW w:w="1418" w:type="dxa"/>
          </w:tcPr>
          <w:p w:rsidR="00011086" w:rsidRPr="00F3457E" w:rsidRDefault="00F3457E" w:rsidP="00CE3E18">
            <w:pPr>
              <w:pStyle w:val="Tablehead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%</w:t>
            </w:r>
          </w:p>
        </w:tc>
      </w:tr>
      <w:tr w:rsidR="00011086" w:rsidRPr="006B6460" w:rsidTr="00011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1438" w:type="dxa"/>
          </w:tcPr>
          <w:p w:rsidR="00011086" w:rsidRPr="00011086" w:rsidRDefault="00011086" w:rsidP="00011086">
            <w:pPr>
              <w:spacing w:before="40" w:after="40"/>
              <w:rPr>
                <w:color w:val="365F91" w:themeColor="accent1" w:themeShade="BF"/>
                <w:sz w:val="20"/>
                <w:lang w:val="en-US"/>
              </w:rPr>
            </w:pPr>
            <w:r w:rsidRPr="00011086">
              <w:rPr>
                <w:color w:val="365F91" w:themeColor="accent1" w:themeShade="BF"/>
                <w:sz w:val="20"/>
                <w:lang w:val="en-US"/>
              </w:rPr>
              <w:t>S.1</w:t>
            </w:r>
          </w:p>
        </w:tc>
        <w:tc>
          <w:tcPr>
            <w:tcW w:w="11745" w:type="dxa"/>
          </w:tcPr>
          <w:p w:rsidR="00011086" w:rsidRPr="006B6460" w:rsidRDefault="00011086" w:rsidP="00CE3E18">
            <w:pPr>
              <w:spacing w:before="40" w:after="40"/>
              <w:rPr>
                <w:sz w:val="20"/>
              </w:rPr>
            </w:pPr>
            <w:r w:rsidRPr="006B6460">
              <w:rPr>
                <w:sz w:val="20"/>
              </w:rPr>
              <w:t>Управление Союзом</w:t>
            </w:r>
          </w:p>
        </w:tc>
        <w:tc>
          <w:tcPr>
            <w:tcW w:w="1418" w:type="dxa"/>
          </w:tcPr>
          <w:p w:rsidR="00011086" w:rsidRPr="006B6460" w:rsidRDefault="00011086" w:rsidP="00F3457E">
            <w:pPr>
              <w:spacing w:before="40" w:after="40"/>
              <w:ind w:right="397"/>
              <w:jc w:val="right"/>
              <w:rPr>
                <w:sz w:val="20"/>
              </w:rPr>
            </w:pPr>
            <w:r>
              <w:rPr>
                <w:sz w:val="20"/>
              </w:rPr>
              <w:t>3,1%</w:t>
            </w:r>
          </w:p>
        </w:tc>
      </w:tr>
      <w:tr w:rsidR="00011086" w:rsidRPr="006B6460" w:rsidTr="00011086">
        <w:trPr>
          <w:trHeight w:val="131"/>
        </w:trPr>
        <w:tc>
          <w:tcPr>
            <w:tcW w:w="1438" w:type="dxa"/>
          </w:tcPr>
          <w:p w:rsidR="00011086" w:rsidRPr="00011086" w:rsidRDefault="00011086" w:rsidP="00011086">
            <w:pPr>
              <w:spacing w:before="40" w:after="40"/>
              <w:rPr>
                <w:color w:val="365F91" w:themeColor="accent1" w:themeShade="BF"/>
                <w:sz w:val="20"/>
              </w:rPr>
            </w:pPr>
            <w:r w:rsidRPr="00011086">
              <w:rPr>
                <w:color w:val="365F91" w:themeColor="accent1" w:themeShade="BF"/>
                <w:sz w:val="20"/>
                <w:lang w:val="en-US"/>
              </w:rPr>
              <w:t>S.2</w:t>
            </w:r>
            <w:r>
              <w:rPr>
                <w:color w:val="365F91" w:themeColor="accent1" w:themeShade="BF"/>
                <w:sz w:val="20"/>
                <w:lang w:val="en-US"/>
              </w:rPr>
              <w:t xml:space="preserve"> </w:t>
            </w:r>
            <w:r>
              <w:rPr>
                <w:color w:val="365F91" w:themeColor="accent1" w:themeShade="BF"/>
                <w:sz w:val="20"/>
              </w:rPr>
              <w:t xml:space="preserve">и </w:t>
            </w:r>
            <w:r w:rsidRPr="00011086">
              <w:rPr>
                <w:color w:val="365F91" w:themeColor="accent1" w:themeShade="BF"/>
                <w:sz w:val="20"/>
                <w:lang w:val="en-US"/>
              </w:rPr>
              <w:t>S.3</w:t>
            </w:r>
          </w:p>
        </w:tc>
        <w:tc>
          <w:tcPr>
            <w:tcW w:w="11745" w:type="dxa"/>
          </w:tcPr>
          <w:p w:rsidR="00011086" w:rsidRPr="006B6460" w:rsidRDefault="00011086" w:rsidP="00011086">
            <w:pPr>
              <w:spacing w:before="40" w:after="40"/>
              <w:rPr>
                <w:sz w:val="20"/>
              </w:rPr>
            </w:pPr>
            <w:r w:rsidRPr="006B6460">
              <w:rPr>
                <w:sz w:val="20"/>
              </w:rPr>
              <w:t xml:space="preserve">Услуги по управлению мероприятиями </w:t>
            </w:r>
            <w:r w:rsidR="006673A9">
              <w:rPr>
                <w:sz w:val="20"/>
              </w:rPr>
              <w:t xml:space="preserve">(включая письменный и устный перевод) </w:t>
            </w:r>
            <w:r>
              <w:rPr>
                <w:sz w:val="20"/>
              </w:rPr>
              <w:t>и у</w:t>
            </w:r>
            <w:r w:rsidRPr="006B6460">
              <w:rPr>
                <w:sz w:val="20"/>
              </w:rPr>
              <w:t>слуги публикаций</w:t>
            </w:r>
          </w:p>
        </w:tc>
        <w:tc>
          <w:tcPr>
            <w:tcW w:w="1418" w:type="dxa"/>
          </w:tcPr>
          <w:p w:rsidR="00011086" w:rsidRPr="006B6460" w:rsidRDefault="00011086" w:rsidP="00F3457E">
            <w:pPr>
              <w:spacing w:before="40" w:after="40"/>
              <w:ind w:right="397"/>
              <w:jc w:val="right"/>
              <w:rPr>
                <w:sz w:val="20"/>
              </w:rPr>
            </w:pPr>
            <w:r>
              <w:rPr>
                <w:sz w:val="20"/>
              </w:rPr>
              <w:t>31,8%</w:t>
            </w:r>
          </w:p>
        </w:tc>
      </w:tr>
      <w:tr w:rsidR="00011086" w:rsidRPr="006B6460" w:rsidTr="00011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438" w:type="dxa"/>
          </w:tcPr>
          <w:p w:rsidR="00011086" w:rsidRPr="00011086" w:rsidRDefault="00011086" w:rsidP="00CE3E18">
            <w:pPr>
              <w:spacing w:before="40" w:after="40"/>
              <w:rPr>
                <w:color w:val="365F91" w:themeColor="accent1" w:themeShade="BF"/>
                <w:sz w:val="20"/>
              </w:rPr>
            </w:pPr>
            <w:r w:rsidRPr="00011086">
              <w:rPr>
                <w:color w:val="365F91" w:themeColor="accent1" w:themeShade="BF"/>
                <w:sz w:val="20"/>
                <w:lang w:val="en-US"/>
              </w:rPr>
              <w:t>S.4</w:t>
            </w:r>
          </w:p>
        </w:tc>
        <w:tc>
          <w:tcPr>
            <w:tcW w:w="11745" w:type="dxa"/>
          </w:tcPr>
          <w:p w:rsidR="00011086" w:rsidRPr="006B6460" w:rsidRDefault="00011086" w:rsidP="00CE3E18">
            <w:pPr>
              <w:spacing w:before="40" w:after="40"/>
              <w:rPr>
                <w:sz w:val="20"/>
              </w:rPr>
            </w:pPr>
            <w:r w:rsidRPr="006B6460">
              <w:rPr>
                <w:sz w:val="20"/>
              </w:rPr>
              <w:t>Услуги ИКТ</w:t>
            </w:r>
          </w:p>
        </w:tc>
        <w:tc>
          <w:tcPr>
            <w:tcW w:w="1418" w:type="dxa"/>
          </w:tcPr>
          <w:p w:rsidR="00011086" w:rsidRPr="006B6460" w:rsidRDefault="00011086" w:rsidP="00F3457E">
            <w:pPr>
              <w:spacing w:before="40" w:after="40"/>
              <w:ind w:right="397"/>
              <w:jc w:val="right"/>
              <w:rPr>
                <w:sz w:val="20"/>
              </w:rPr>
            </w:pPr>
            <w:r>
              <w:rPr>
                <w:sz w:val="20"/>
              </w:rPr>
              <w:t>22,9%</w:t>
            </w:r>
          </w:p>
        </w:tc>
      </w:tr>
      <w:tr w:rsidR="00011086" w:rsidRPr="006B6460" w:rsidTr="00011086">
        <w:trPr>
          <w:trHeight w:val="70"/>
        </w:trPr>
        <w:tc>
          <w:tcPr>
            <w:tcW w:w="1438" w:type="dxa"/>
          </w:tcPr>
          <w:p w:rsidR="00011086" w:rsidRPr="00011086" w:rsidRDefault="00011086" w:rsidP="00CE3E18">
            <w:pPr>
              <w:spacing w:before="40" w:after="40"/>
              <w:rPr>
                <w:color w:val="365F91" w:themeColor="accent1" w:themeShade="BF"/>
                <w:sz w:val="20"/>
              </w:rPr>
            </w:pPr>
            <w:r w:rsidRPr="00011086">
              <w:rPr>
                <w:color w:val="365F91" w:themeColor="accent1" w:themeShade="BF"/>
                <w:sz w:val="20"/>
                <w:lang w:val="en-US"/>
              </w:rPr>
              <w:t>S.5</w:t>
            </w:r>
          </w:p>
        </w:tc>
        <w:tc>
          <w:tcPr>
            <w:tcW w:w="11745" w:type="dxa"/>
          </w:tcPr>
          <w:p w:rsidR="00011086" w:rsidRPr="006B6460" w:rsidRDefault="00011086" w:rsidP="00CE3E18">
            <w:pPr>
              <w:spacing w:before="40" w:after="40"/>
              <w:rPr>
                <w:sz w:val="20"/>
              </w:rPr>
            </w:pPr>
            <w:r w:rsidRPr="006B6460">
              <w:rPr>
                <w:sz w:val="20"/>
              </w:rPr>
              <w:t xml:space="preserve">Услуги </w:t>
            </w:r>
            <w:r w:rsidR="00530393">
              <w:rPr>
                <w:sz w:val="20"/>
              </w:rPr>
              <w:t xml:space="preserve">обеспечения </w:t>
            </w:r>
            <w:r w:rsidRPr="006B6460">
              <w:rPr>
                <w:sz w:val="20"/>
              </w:rPr>
              <w:t>безопасности и защиты</w:t>
            </w:r>
          </w:p>
        </w:tc>
        <w:tc>
          <w:tcPr>
            <w:tcW w:w="1418" w:type="dxa"/>
          </w:tcPr>
          <w:p w:rsidR="00011086" w:rsidRPr="006B6460" w:rsidRDefault="00011086" w:rsidP="00F3457E">
            <w:pPr>
              <w:spacing w:before="40" w:after="40"/>
              <w:ind w:right="397"/>
              <w:jc w:val="right"/>
              <w:rPr>
                <w:sz w:val="20"/>
              </w:rPr>
            </w:pPr>
            <w:r>
              <w:rPr>
                <w:sz w:val="20"/>
              </w:rPr>
              <w:t>3,5%</w:t>
            </w:r>
          </w:p>
        </w:tc>
      </w:tr>
      <w:tr w:rsidR="00011086" w:rsidRPr="006B6460" w:rsidTr="00011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438" w:type="dxa"/>
          </w:tcPr>
          <w:p w:rsidR="00011086" w:rsidRPr="00011086" w:rsidRDefault="00011086" w:rsidP="00CE3E18">
            <w:pPr>
              <w:spacing w:before="40" w:after="40"/>
              <w:rPr>
                <w:color w:val="365F91" w:themeColor="accent1" w:themeShade="BF"/>
                <w:sz w:val="20"/>
              </w:rPr>
            </w:pPr>
            <w:r w:rsidRPr="00011086">
              <w:rPr>
                <w:color w:val="365F91" w:themeColor="accent1" w:themeShade="BF"/>
                <w:sz w:val="20"/>
                <w:lang w:val="en-US"/>
              </w:rPr>
              <w:t>S.6</w:t>
            </w:r>
          </w:p>
        </w:tc>
        <w:tc>
          <w:tcPr>
            <w:tcW w:w="11745" w:type="dxa"/>
          </w:tcPr>
          <w:p w:rsidR="00011086" w:rsidRPr="006B6460" w:rsidRDefault="00011086" w:rsidP="00CE3E18">
            <w:pPr>
              <w:spacing w:before="40" w:after="40"/>
              <w:rPr>
                <w:sz w:val="20"/>
              </w:rPr>
            </w:pPr>
            <w:r w:rsidRPr="006B6460">
              <w:rPr>
                <w:sz w:val="20"/>
              </w:rPr>
              <w:t>Услуги по управлению людскими ресурсами (включая начисление заработной платы, управление персоналом, благополучие персонала, структуру организации и подбор персонала, планирование и развитие)</w:t>
            </w:r>
          </w:p>
        </w:tc>
        <w:tc>
          <w:tcPr>
            <w:tcW w:w="1418" w:type="dxa"/>
          </w:tcPr>
          <w:p w:rsidR="00011086" w:rsidRPr="006B6460" w:rsidRDefault="00011086" w:rsidP="00F3457E">
            <w:pPr>
              <w:spacing w:before="40" w:after="40"/>
              <w:ind w:right="397"/>
              <w:jc w:val="right"/>
              <w:rPr>
                <w:sz w:val="20"/>
              </w:rPr>
            </w:pPr>
            <w:r>
              <w:rPr>
                <w:sz w:val="20"/>
              </w:rPr>
              <w:t>7,4%</w:t>
            </w:r>
          </w:p>
        </w:tc>
      </w:tr>
      <w:tr w:rsidR="00011086" w:rsidRPr="006B6460" w:rsidTr="00011086">
        <w:trPr>
          <w:trHeight w:val="70"/>
        </w:trPr>
        <w:tc>
          <w:tcPr>
            <w:tcW w:w="1438" w:type="dxa"/>
          </w:tcPr>
          <w:p w:rsidR="00011086" w:rsidRPr="00011086" w:rsidRDefault="00011086" w:rsidP="00CE3E18">
            <w:pPr>
              <w:spacing w:before="40" w:after="40"/>
              <w:rPr>
                <w:color w:val="365F91" w:themeColor="accent1" w:themeShade="BF"/>
                <w:sz w:val="20"/>
              </w:rPr>
            </w:pPr>
            <w:r w:rsidRPr="00011086">
              <w:rPr>
                <w:color w:val="365F91" w:themeColor="accent1" w:themeShade="BF"/>
                <w:sz w:val="20"/>
                <w:lang w:val="en-US"/>
              </w:rPr>
              <w:t>S.7</w:t>
            </w:r>
          </w:p>
        </w:tc>
        <w:tc>
          <w:tcPr>
            <w:tcW w:w="11745" w:type="dxa"/>
          </w:tcPr>
          <w:p w:rsidR="00011086" w:rsidRPr="006B6460" w:rsidRDefault="00011086" w:rsidP="00CE3E18">
            <w:pPr>
              <w:spacing w:before="40" w:after="40"/>
              <w:rPr>
                <w:sz w:val="20"/>
              </w:rPr>
            </w:pPr>
            <w:r w:rsidRPr="006B6460">
              <w:rPr>
                <w:sz w:val="20"/>
              </w:rPr>
              <w:t xml:space="preserve">Услуги </w:t>
            </w:r>
            <w:r w:rsidR="00530393">
              <w:rPr>
                <w:sz w:val="20"/>
              </w:rPr>
              <w:t>по управлению</w:t>
            </w:r>
            <w:r w:rsidRPr="006B6460">
              <w:rPr>
                <w:sz w:val="20"/>
              </w:rPr>
              <w:t xml:space="preserve"> финансовыми ресурсами (включая анализ бюджета и финансов, счета, закупки, поездки)</w:t>
            </w:r>
          </w:p>
        </w:tc>
        <w:tc>
          <w:tcPr>
            <w:tcW w:w="1418" w:type="dxa"/>
          </w:tcPr>
          <w:p w:rsidR="00011086" w:rsidRPr="006B6460" w:rsidRDefault="00011086" w:rsidP="00F3457E">
            <w:pPr>
              <w:spacing w:before="40" w:after="40"/>
              <w:ind w:right="397"/>
              <w:jc w:val="right"/>
              <w:rPr>
                <w:sz w:val="20"/>
              </w:rPr>
            </w:pPr>
            <w:r>
              <w:rPr>
                <w:sz w:val="20"/>
              </w:rPr>
              <w:t>12,1%</w:t>
            </w:r>
          </w:p>
        </w:tc>
      </w:tr>
      <w:tr w:rsidR="00011086" w:rsidRPr="006B6460" w:rsidTr="00011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438" w:type="dxa"/>
          </w:tcPr>
          <w:p w:rsidR="00011086" w:rsidRPr="00011086" w:rsidRDefault="00011086" w:rsidP="00CE3E18">
            <w:pPr>
              <w:spacing w:before="40" w:after="40"/>
              <w:rPr>
                <w:color w:val="365F91" w:themeColor="accent1" w:themeShade="BF"/>
                <w:sz w:val="20"/>
              </w:rPr>
            </w:pPr>
            <w:r w:rsidRPr="00011086">
              <w:rPr>
                <w:color w:val="365F91" w:themeColor="accent1" w:themeShade="BF"/>
                <w:sz w:val="20"/>
                <w:lang w:val="en-US"/>
              </w:rPr>
              <w:t>S.8</w:t>
            </w:r>
          </w:p>
        </w:tc>
        <w:tc>
          <w:tcPr>
            <w:tcW w:w="11745" w:type="dxa"/>
          </w:tcPr>
          <w:p w:rsidR="00011086" w:rsidRPr="006B6460" w:rsidRDefault="00011086" w:rsidP="00CE3E18">
            <w:pPr>
              <w:spacing w:before="40" w:after="40"/>
              <w:rPr>
                <w:sz w:val="20"/>
              </w:rPr>
            </w:pPr>
            <w:r w:rsidRPr="006B6460">
              <w:rPr>
                <w:sz w:val="20"/>
              </w:rPr>
              <w:t>Юридические услуги</w:t>
            </w:r>
          </w:p>
        </w:tc>
        <w:tc>
          <w:tcPr>
            <w:tcW w:w="1418" w:type="dxa"/>
          </w:tcPr>
          <w:p w:rsidR="00011086" w:rsidRPr="006B6460" w:rsidRDefault="00011086" w:rsidP="00F3457E">
            <w:pPr>
              <w:spacing w:before="40" w:after="40"/>
              <w:ind w:right="397"/>
              <w:jc w:val="right"/>
              <w:rPr>
                <w:sz w:val="20"/>
              </w:rPr>
            </w:pPr>
            <w:r>
              <w:rPr>
                <w:sz w:val="20"/>
              </w:rPr>
              <w:t>1,5%</w:t>
            </w:r>
          </w:p>
        </w:tc>
      </w:tr>
      <w:tr w:rsidR="00011086" w:rsidRPr="006B6460" w:rsidTr="00011086">
        <w:trPr>
          <w:trHeight w:val="70"/>
        </w:trPr>
        <w:tc>
          <w:tcPr>
            <w:tcW w:w="1438" w:type="dxa"/>
          </w:tcPr>
          <w:p w:rsidR="00011086" w:rsidRPr="00011086" w:rsidRDefault="00011086" w:rsidP="00CE3E18">
            <w:pPr>
              <w:spacing w:before="40" w:after="40"/>
              <w:rPr>
                <w:color w:val="365F91" w:themeColor="accent1" w:themeShade="BF"/>
                <w:sz w:val="20"/>
              </w:rPr>
            </w:pPr>
            <w:r w:rsidRPr="00011086">
              <w:rPr>
                <w:color w:val="365F91" w:themeColor="accent1" w:themeShade="BF"/>
                <w:sz w:val="20"/>
                <w:lang w:val="en-US"/>
              </w:rPr>
              <w:t>S.9</w:t>
            </w:r>
          </w:p>
        </w:tc>
        <w:tc>
          <w:tcPr>
            <w:tcW w:w="11745" w:type="dxa"/>
          </w:tcPr>
          <w:p w:rsidR="00011086" w:rsidRPr="006B6460" w:rsidRDefault="00011086" w:rsidP="00CE3E18">
            <w:pPr>
              <w:spacing w:before="40" w:after="40"/>
              <w:rPr>
                <w:sz w:val="20"/>
              </w:rPr>
            </w:pPr>
            <w:r w:rsidRPr="006B6460">
              <w:rPr>
                <w:sz w:val="20"/>
              </w:rPr>
              <w:t>Внутренний аудит</w:t>
            </w:r>
          </w:p>
        </w:tc>
        <w:tc>
          <w:tcPr>
            <w:tcW w:w="1418" w:type="dxa"/>
          </w:tcPr>
          <w:p w:rsidR="00011086" w:rsidRPr="006B6460" w:rsidRDefault="00011086" w:rsidP="00F3457E">
            <w:pPr>
              <w:spacing w:before="40" w:after="40"/>
              <w:ind w:right="397"/>
              <w:jc w:val="right"/>
              <w:rPr>
                <w:sz w:val="20"/>
              </w:rPr>
            </w:pPr>
            <w:r>
              <w:rPr>
                <w:sz w:val="20"/>
              </w:rPr>
              <w:t>0,9%</w:t>
            </w:r>
          </w:p>
        </w:tc>
      </w:tr>
      <w:tr w:rsidR="00011086" w:rsidRPr="006B6460" w:rsidTr="00011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438" w:type="dxa"/>
          </w:tcPr>
          <w:p w:rsidR="00011086" w:rsidRPr="00011086" w:rsidRDefault="00011086" w:rsidP="00CE3E18">
            <w:pPr>
              <w:spacing w:before="40" w:after="40"/>
              <w:rPr>
                <w:color w:val="365F91" w:themeColor="accent1" w:themeShade="BF"/>
                <w:sz w:val="20"/>
              </w:rPr>
            </w:pPr>
            <w:r w:rsidRPr="00011086">
              <w:rPr>
                <w:color w:val="365F91" w:themeColor="accent1" w:themeShade="BF"/>
                <w:sz w:val="20"/>
                <w:lang w:val="en-US"/>
              </w:rPr>
              <w:t>S.10</w:t>
            </w:r>
          </w:p>
        </w:tc>
        <w:tc>
          <w:tcPr>
            <w:tcW w:w="11745" w:type="dxa"/>
          </w:tcPr>
          <w:p w:rsidR="00011086" w:rsidRPr="006B6460" w:rsidRDefault="00011086" w:rsidP="00CE3E18">
            <w:pPr>
              <w:spacing w:before="40" w:after="40"/>
              <w:rPr>
                <w:sz w:val="20"/>
              </w:rPr>
            </w:pPr>
            <w:r w:rsidRPr="006B6460">
              <w:rPr>
                <w:sz w:val="20"/>
              </w:rPr>
              <w:t>Управление по вопросам этики</w:t>
            </w:r>
          </w:p>
        </w:tc>
        <w:tc>
          <w:tcPr>
            <w:tcW w:w="1418" w:type="dxa"/>
          </w:tcPr>
          <w:p w:rsidR="00011086" w:rsidRPr="006B6460" w:rsidRDefault="00011086" w:rsidP="00F3457E">
            <w:pPr>
              <w:spacing w:before="40" w:after="40"/>
              <w:ind w:right="397"/>
              <w:jc w:val="right"/>
              <w:rPr>
                <w:sz w:val="20"/>
              </w:rPr>
            </w:pPr>
            <w:r>
              <w:rPr>
                <w:sz w:val="20"/>
              </w:rPr>
              <w:t>0,5%</w:t>
            </w:r>
          </w:p>
        </w:tc>
      </w:tr>
      <w:tr w:rsidR="00011086" w:rsidRPr="006B6460" w:rsidTr="00011086">
        <w:trPr>
          <w:trHeight w:val="70"/>
        </w:trPr>
        <w:tc>
          <w:tcPr>
            <w:tcW w:w="1438" w:type="dxa"/>
          </w:tcPr>
          <w:p w:rsidR="00011086" w:rsidRPr="00011086" w:rsidRDefault="00011086" w:rsidP="00CE3E18">
            <w:pPr>
              <w:spacing w:before="40" w:after="40"/>
              <w:rPr>
                <w:color w:val="365F91" w:themeColor="accent1" w:themeShade="BF"/>
                <w:sz w:val="20"/>
              </w:rPr>
            </w:pPr>
            <w:r w:rsidRPr="00011086">
              <w:rPr>
                <w:color w:val="365F91" w:themeColor="accent1" w:themeShade="BF"/>
                <w:sz w:val="20"/>
                <w:lang w:val="en-US"/>
              </w:rPr>
              <w:t>S.11</w:t>
            </w:r>
          </w:p>
        </w:tc>
        <w:tc>
          <w:tcPr>
            <w:tcW w:w="11745" w:type="dxa"/>
          </w:tcPr>
          <w:p w:rsidR="00011086" w:rsidRPr="006B6460" w:rsidRDefault="00011086" w:rsidP="00F3457E">
            <w:pPr>
              <w:spacing w:before="40" w:after="40"/>
              <w:rPr>
                <w:sz w:val="20"/>
              </w:rPr>
            </w:pPr>
            <w:r w:rsidRPr="006B6460">
              <w:rPr>
                <w:sz w:val="20"/>
              </w:rPr>
              <w:t>Работа с Членами Союза/Вспомогательные услуги по поддержке Членов</w:t>
            </w:r>
          </w:p>
        </w:tc>
        <w:tc>
          <w:tcPr>
            <w:tcW w:w="1418" w:type="dxa"/>
          </w:tcPr>
          <w:p w:rsidR="00011086" w:rsidRPr="006B6460" w:rsidRDefault="00011086" w:rsidP="00F3457E">
            <w:pPr>
              <w:spacing w:before="40" w:after="40"/>
              <w:ind w:right="397"/>
              <w:jc w:val="right"/>
              <w:rPr>
                <w:sz w:val="20"/>
              </w:rPr>
            </w:pPr>
            <w:r>
              <w:rPr>
                <w:sz w:val="20"/>
              </w:rPr>
              <w:t>2,3%</w:t>
            </w:r>
          </w:p>
        </w:tc>
      </w:tr>
      <w:tr w:rsidR="00011086" w:rsidRPr="006B6460" w:rsidTr="00011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438" w:type="dxa"/>
          </w:tcPr>
          <w:p w:rsidR="00011086" w:rsidRPr="00011086" w:rsidRDefault="00011086" w:rsidP="00CE3E18">
            <w:pPr>
              <w:spacing w:before="40" w:after="40"/>
              <w:rPr>
                <w:color w:val="365F91" w:themeColor="accent1" w:themeShade="BF"/>
                <w:sz w:val="20"/>
              </w:rPr>
            </w:pPr>
            <w:r w:rsidRPr="00011086">
              <w:rPr>
                <w:color w:val="365F91" w:themeColor="accent1" w:themeShade="BF"/>
                <w:sz w:val="20"/>
                <w:lang w:val="en-US"/>
              </w:rPr>
              <w:t>S.12</w:t>
            </w:r>
          </w:p>
        </w:tc>
        <w:tc>
          <w:tcPr>
            <w:tcW w:w="11745" w:type="dxa"/>
          </w:tcPr>
          <w:p w:rsidR="00011086" w:rsidRPr="006B6460" w:rsidRDefault="00011086" w:rsidP="00CE3E18">
            <w:pPr>
              <w:spacing w:before="40" w:after="40"/>
              <w:rPr>
                <w:sz w:val="20"/>
              </w:rPr>
            </w:pPr>
            <w:r w:rsidRPr="006B6460">
              <w:rPr>
                <w:sz w:val="20"/>
              </w:rPr>
              <w:t>Коммуникационные услуги</w:t>
            </w:r>
          </w:p>
        </w:tc>
        <w:tc>
          <w:tcPr>
            <w:tcW w:w="1418" w:type="dxa"/>
          </w:tcPr>
          <w:p w:rsidR="00011086" w:rsidRPr="006B6460" w:rsidRDefault="00011086" w:rsidP="00F3457E">
            <w:pPr>
              <w:spacing w:before="40" w:after="40"/>
              <w:ind w:right="397"/>
              <w:jc w:val="right"/>
              <w:rPr>
                <w:sz w:val="20"/>
              </w:rPr>
            </w:pPr>
            <w:r>
              <w:rPr>
                <w:sz w:val="20"/>
              </w:rPr>
              <w:t>2,7%</w:t>
            </w:r>
          </w:p>
        </w:tc>
      </w:tr>
      <w:tr w:rsidR="00011086" w:rsidRPr="006B6460" w:rsidTr="00011086">
        <w:trPr>
          <w:trHeight w:val="70"/>
        </w:trPr>
        <w:tc>
          <w:tcPr>
            <w:tcW w:w="1438" w:type="dxa"/>
          </w:tcPr>
          <w:p w:rsidR="00011086" w:rsidRPr="00011086" w:rsidRDefault="00011086" w:rsidP="00CE3E18">
            <w:pPr>
              <w:spacing w:before="40" w:after="40"/>
              <w:rPr>
                <w:color w:val="365F91" w:themeColor="accent1" w:themeShade="BF"/>
                <w:sz w:val="20"/>
              </w:rPr>
            </w:pPr>
            <w:r w:rsidRPr="00011086">
              <w:rPr>
                <w:color w:val="365F91" w:themeColor="accent1" w:themeShade="BF"/>
                <w:sz w:val="20"/>
                <w:lang w:val="en-US"/>
              </w:rPr>
              <w:lastRenderedPageBreak/>
              <w:t>S.13</w:t>
            </w:r>
          </w:p>
        </w:tc>
        <w:tc>
          <w:tcPr>
            <w:tcW w:w="11745" w:type="dxa"/>
          </w:tcPr>
          <w:p w:rsidR="00011086" w:rsidRPr="006B6460" w:rsidRDefault="00011086" w:rsidP="00CE3E18">
            <w:pPr>
              <w:spacing w:before="40" w:after="40"/>
              <w:rPr>
                <w:sz w:val="20"/>
              </w:rPr>
            </w:pPr>
            <w:r w:rsidRPr="006B6460">
              <w:rPr>
                <w:sz w:val="20"/>
              </w:rPr>
              <w:t>Протокольные службы</w:t>
            </w:r>
          </w:p>
        </w:tc>
        <w:tc>
          <w:tcPr>
            <w:tcW w:w="1418" w:type="dxa"/>
          </w:tcPr>
          <w:p w:rsidR="00011086" w:rsidRPr="006B6460" w:rsidRDefault="00011086" w:rsidP="00F3457E">
            <w:pPr>
              <w:spacing w:before="40" w:after="40"/>
              <w:ind w:right="397"/>
              <w:jc w:val="right"/>
              <w:rPr>
                <w:sz w:val="20"/>
              </w:rPr>
            </w:pPr>
            <w:r>
              <w:rPr>
                <w:sz w:val="20"/>
              </w:rPr>
              <w:t>0,5%</w:t>
            </w:r>
          </w:p>
        </w:tc>
      </w:tr>
      <w:tr w:rsidR="00011086" w:rsidRPr="006B6460" w:rsidTr="00011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438" w:type="dxa"/>
          </w:tcPr>
          <w:p w:rsidR="00011086" w:rsidRPr="00011086" w:rsidRDefault="00011086" w:rsidP="00CE3E18">
            <w:pPr>
              <w:spacing w:before="40" w:after="40"/>
              <w:rPr>
                <w:color w:val="365F91" w:themeColor="accent1" w:themeShade="BF"/>
                <w:sz w:val="20"/>
              </w:rPr>
            </w:pPr>
            <w:r w:rsidRPr="00011086">
              <w:rPr>
                <w:color w:val="365F91" w:themeColor="accent1" w:themeShade="BF"/>
                <w:sz w:val="20"/>
                <w:lang w:val="en-US"/>
              </w:rPr>
              <w:t>S.14</w:t>
            </w:r>
          </w:p>
        </w:tc>
        <w:tc>
          <w:tcPr>
            <w:tcW w:w="11745" w:type="dxa"/>
          </w:tcPr>
          <w:p w:rsidR="00011086" w:rsidRPr="006B6460" w:rsidRDefault="00011086" w:rsidP="00CE3E18">
            <w:pPr>
              <w:spacing w:before="40" w:after="40"/>
              <w:rPr>
                <w:sz w:val="20"/>
              </w:rPr>
            </w:pPr>
            <w:r w:rsidRPr="006B6460">
              <w:rPr>
                <w:sz w:val="20"/>
              </w:rPr>
              <w:t>Содействие работе руководящих органов (ПК, Совет, РГС)</w:t>
            </w:r>
          </w:p>
        </w:tc>
        <w:tc>
          <w:tcPr>
            <w:tcW w:w="1418" w:type="dxa"/>
          </w:tcPr>
          <w:p w:rsidR="00011086" w:rsidRPr="006B6460" w:rsidRDefault="00011086" w:rsidP="00F3457E">
            <w:pPr>
              <w:spacing w:before="40" w:after="40"/>
              <w:ind w:right="397"/>
              <w:jc w:val="right"/>
              <w:rPr>
                <w:sz w:val="20"/>
              </w:rPr>
            </w:pPr>
            <w:r>
              <w:rPr>
                <w:sz w:val="20"/>
              </w:rPr>
              <w:t>0,9%</w:t>
            </w:r>
          </w:p>
        </w:tc>
      </w:tr>
      <w:tr w:rsidR="00011086" w:rsidRPr="006B6460" w:rsidTr="00011086">
        <w:trPr>
          <w:trHeight w:val="70"/>
        </w:trPr>
        <w:tc>
          <w:tcPr>
            <w:tcW w:w="1438" w:type="dxa"/>
          </w:tcPr>
          <w:p w:rsidR="00011086" w:rsidRPr="00011086" w:rsidRDefault="00011086" w:rsidP="00CE3E18">
            <w:pPr>
              <w:spacing w:before="40" w:after="40"/>
              <w:rPr>
                <w:color w:val="365F91" w:themeColor="accent1" w:themeShade="BF"/>
                <w:sz w:val="20"/>
              </w:rPr>
            </w:pPr>
            <w:r w:rsidRPr="00011086">
              <w:rPr>
                <w:color w:val="365F91" w:themeColor="accent1" w:themeShade="BF"/>
                <w:sz w:val="20"/>
                <w:lang w:val="en-US"/>
              </w:rPr>
              <w:t>S.15</w:t>
            </w:r>
          </w:p>
        </w:tc>
        <w:tc>
          <w:tcPr>
            <w:tcW w:w="11745" w:type="dxa"/>
          </w:tcPr>
          <w:p w:rsidR="00011086" w:rsidRPr="006B6460" w:rsidRDefault="00011086" w:rsidP="00CE3E18">
            <w:pPr>
              <w:spacing w:before="40" w:after="40"/>
              <w:rPr>
                <w:sz w:val="20"/>
              </w:rPr>
            </w:pPr>
            <w:r w:rsidRPr="006B6460">
              <w:rPr>
                <w:sz w:val="20"/>
              </w:rPr>
              <w:t>Услуги административно-хозяйственного управления</w:t>
            </w:r>
          </w:p>
        </w:tc>
        <w:tc>
          <w:tcPr>
            <w:tcW w:w="1418" w:type="dxa"/>
          </w:tcPr>
          <w:p w:rsidR="00011086" w:rsidRPr="006B6460" w:rsidRDefault="00011086" w:rsidP="00F3457E">
            <w:pPr>
              <w:spacing w:before="40" w:after="40"/>
              <w:ind w:right="397"/>
              <w:jc w:val="right"/>
              <w:rPr>
                <w:sz w:val="20"/>
              </w:rPr>
            </w:pPr>
            <w:r>
              <w:rPr>
                <w:sz w:val="20"/>
              </w:rPr>
              <w:t>7,5%</w:t>
            </w:r>
          </w:p>
        </w:tc>
      </w:tr>
      <w:tr w:rsidR="00011086" w:rsidRPr="006B6460" w:rsidTr="00011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438" w:type="dxa"/>
            <w:shd w:val="clear" w:color="auto" w:fill="auto"/>
          </w:tcPr>
          <w:p w:rsidR="00011086" w:rsidRPr="00011086" w:rsidRDefault="00011086" w:rsidP="00CE3E18">
            <w:pPr>
              <w:spacing w:before="40" w:after="40"/>
              <w:rPr>
                <w:color w:val="365F91" w:themeColor="accent1" w:themeShade="BF"/>
                <w:sz w:val="20"/>
              </w:rPr>
            </w:pPr>
            <w:r w:rsidRPr="00011086">
              <w:rPr>
                <w:color w:val="365F91" w:themeColor="accent1" w:themeShade="BF"/>
                <w:sz w:val="20"/>
                <w:lang w:val="en-US"/>
              </w:rPr>
              <w:t>S.16</w:t>
            </w:r>
          </w:p>
        </w:tc>
        <w:tc>
          <w:tcPr>
            <w:tcW w:w="11745" w:type="dxa"/>
            <w:shd w:val="clear" w:color="auto" w:fill="auto"/>
          </w:tcPr>
          <w:p w:rsidR="00011086" w:rsidRPr="006B6460" w:rsidRDefault="00011086" w:rsidP="00CE3E18">
            <w:pPr>
              <w:spacing w:before="40" w:after="40"/>
              <w:rPr>
                <w:sz w:val="20"/>
              </w:rPr>
            </w:pPr>
            <w:r w:rsidRPr="006B6460">
              <w:rPr>
                <w:sz w:val="20"/>
              </w:rPr>
              <w:t>Услуги по разработке контента и управлению им / Корпоративное стратегическое управление и планирование</w:t>
            </w:r>
          </w:p>
        </w:tc>
        <w:tc>
          <w:tcPr>
            <w:tcW w:w="1418" w:type="dxa"/>
          </w:tcPr>
          <w:p w:rsidR="00011086" w:rsidRPr="006B6460" w:rsidRDefault="00011086" w:rsidP="00F3457E">
            <w:pPr>
              <w:spacing w:before="40" w:after="40"/>
              <w:ind w:right="397"/>
              <w:jc w:val="right"/>
              <w:rPr>
                <w:sz w:val="20"/>
              </w:rPr>
            </w:pPr>
            <w:r>
              <w:rPr>
                <w:sz w:val="20"/>
              </w:rPr>
              <w:t>2,5%</w:t>
            </w:r>
          </w:p>
        </w:tc>
      </w:tr>
    </w:tbl>
    <w:p w:rsidR="00F3457E" w:rsidRPr="00F3457E" w:rsidRDefault="003C02EB" w:rsidP="00F3457E">
      <w:pPr>
        <w:pStyle w:val="Heading1"/>
        <w:rPr>
          <w:color w:val="365F91" w:themeColor="accent1" w:themeShade="BF"/>
        </w:rPr>
      </w:pPr>
      <w:r>
        <w:rPr>
          <w:color w:val="365F91" w:themeColor="accent1" w:themeShade="BF"/>
        </w:rPr>
        <w:t>4</w:t>
      </w:r>
      <w:r w:rsidR="00F3457E" w:rsidRPr="00F3457E">
        <w:rPr>
          <w:color w:val="365F91" w:themeColor="accent1" w:themeShade="BF"/>
        </w:rPr>
        <w:tab/>
        <w:t>Анализ рисков</w:t>
      </w:r>
    </w:p>
    <w:p w:rsidR="00D3798F" w:rsidRPr="006673A9" w:rsidRDefault="006673A9" w:rsidP="00BE1686">
      <w:pPr>
        <w:spacing w:after="120"/>
      </w:pPr>
      <w:r>
        <w:rPr>
          <w:color w:val="000000"/>
        </w:rPr>
        <w:t>Переход от стратегии к реализации:</w:t>
      </w:r>
      <w:r w:rsidRPr="006673A9">
        <w:t xml:space="preserve"> </w:t>
      </w:r>
      <w:r>
        <w:rPr>
          <w:color w:val="000000"/>
        </w:rPr>
        <w:t>в нижеследующей таблице представлены общие риски МСЭ верхнего уровня</w:t>
      </w:r>
      <w:r w:rsidR="00F3457E" w:rsidRPr="006673A9">
        <w:t xml:space="preserve">. </w:t>
      </w:r>
      <w:r>
        <w:t>В</w:t>
      </w:r>
      <w:r w:rsidRPr="006673A9">
        <w:rPr>
          <w:lang w:val="en-US"/>
        </w:rPr>
        <w:t> </w:t>
      </w:r>
      <w:r>
        <w:t>отдельной</w:t>
      </w:r>
      <w:r w:rsidRPr="006673A9">
        <w:t xml:space="preserve"> </w:t>
      </w:r>
      <w:r>
        <w:t>таблице</w:t>
      </w:r>
      <w:r w:rsidRPr="006673A9">
        <w:t xml:space="preserve"> </w:t>
      </w:r>
      <w:r>
        <w:t xml:space="preserve">представлены меры по </w:t>
      </w:r>
      <w:r w:rsidR="00BE1686">
        <w:t>смягчению последствий</w:t>
      </w:r>
      <w:r w:rsidR="00F3457E" w:rsidRPr="006673A9">
        <w:t>.</w:t>
      </w:r>
    </w:p>
    <w:tbl>
      <w:tblPr>
        <w:tblStyle w:val="GridTable4-Accent11"/>
        <w:tblW w:w="14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A0" w:firstRow="1" w:lastRow="0" w:firstColumn="1" w:lastColumn="0" w:noHBand="1" w:noVBand="1"/>
      </w:tblPr>
      <w:tblGrid>
        <w:gridCol w:w="1838"/>
        <w:gridCol w:w="8505"/>
        <w:gridCol w:w="1276"/>
        <w:gridCol w:w="1276"/>
        <w:gridCol w:w="1672"/>
      </w:tblGrid>
      <w:tr w:rsidR="00F3457E" w:rsidRPr="007101FE" w:rsidTr="00F345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3457E" w:rsidRPr="007101FE" w:rsidRDefault="00F3457E" w:rsidP="00CE3E18">
            <w:pPr>
              <w:spacing w:before="40" w:after="40" w:line="210" w:lineRule="exact"/>
              <w:jc w:val="center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Область</w:t>
            </w:r>
          </w:p>
        </w:tc>
        <w:tc>
          <w:tcPr>
            <w:tcW w:w="8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3457E" w:rsidRPr="007101FE" w:rsidRDefault="00F3457E" w:rsidP="00CE3E18">
            <w:pPr>
              <w:spacing w:before="40" w:after="40" w:line="21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 xml:space="preserve">Описание риска 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3457E" w:rsidRPr="007101FE" w:rsidRDefault="00F3457E" w:rsidP="00CE3E18">
            <w:pPr>
              <w:spacing w:before="40" w:after="40" w:line="210" w:lineRule="exact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Вероятность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3457E" w:rsidRPr="007101FE" w:rsidRDefault="00F3457E" w:rsidP="00CE3E18">
            <w:pPr>
              <w:spacing w:before="40" w:after="40" w:line="210" w:lineRule="exact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Уровень воздействия</w:t>
            </w:r>
          </w:p>
        </w:tc>
        <w:tc>
          <w:tcPr>
            <w:tcW w:w="1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3457E" w:rsidRPr="007101FE" w:rsidRDefault="00F3457E" w:rsidP="00CE3E18">
            <w:pPr>
              <w:spacing w:before="40" w:after="40" w:line="21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Смягчение последствий</w:t>
            </w:r>
          </w:p>
        </w:tc>
      </w:tr>
      <w:tr w:rsidR="00CE3E18" w:rsidRPr="007101FE" w:rsidTr="00CE3E1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:rsidR="00CE3E18" w:rsidRPr="007101FE" w:rsidRDefault="00CE3E18" w:rsidP="00CE3E18">
            <w:pPr>
              <w:spacing w:before="20" w:after="20" w:line="210" w:lineRule="exact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Организация</w:t>
            </w:r>
          </w:p>
        </w:tc>
        <w:tc>
          <w:tcPr>
            <w:tcW w:w="8505" w:type="dxa"/>
          </w:tcPr>
          <w:p w:rsidR="00CE3E18" w:rsidRPr="007101FE" w:rsidRDefault="00CE3E18" w:rsidP="00CE3E18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Общая охрана и безопасность персонала МСЭ, а также помещений и имущества организации во всем мире</w:t>
            </w:r>
          </w:p>
        </w:tc>
        <w:tc>
          <w:tcPr>
            <w:tcW w:w="1276" w:type="dxa"/>
            <w:vAlign w:val="center"/>
          </w:tcPr>
          <w:p w:rsidR="00CE3E18" w:rsidRPr="007101FE" w:rsidRDefault="00CE3E18" w:rsidP="00CE3E18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Низкая</w:t>
            </w:r>
          </w:p>
        </w:tc>
        <w:tc>
          <w:tcPr>
            <w:tcW w:w="1276" w:type="dxa"/>
            <w:vAlign w:val="center"/>
          </w:tcPr>
          <w:p w:rsidR="00CE3E18" w:rsidRPr="007101FE" w:rsidRDefault="00CE3E18" w:rsidP="00CE3E18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Высокий</w:t>
            </w:r>
          </w:p>
        </w:tc>
        <w:tc>
          <w:tcPr>
            <w:tcW w:w="1672" w:type="dxa"/>
            <w:vMerge w:val="restart"/>
            <w:vAlign w:val="center"/>
          </w:tcPr>
          <w:p w:rsidR="00CE3E18" w:rsidRPr="007101FE" w:rsidRDefault="00CE3E18" w:rsidP="00CE3E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4, 5</w:t>
            </w:r>
          </w:p>
        </w:tc>
      </w:tr>
      <w:tr w:rsidR="00CE3E18" w:rsidRPr="007101FE" w:rsidTr="00CE3E1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CE3E18" w:rsidRPr="007101FE" w:rsidRDefault="00CE3E18" w:rsidP="00CE3E18">
            <w:pPr>
              <w:spacing w:before="20" w:after="20" w:line="210" w:lineRule="exact"/>
              <w:rPr>
                <w:sz w:val="18"/>
                <w:szCs w:val="18"/>
              </w:rPr>
            </w:pPr>
          </w:p>
        </w:tc>
        <w:tc>
          <w:tcPr>
            <w:tcW w:w="8505" w:type="dxa"/>
          </w:tcPr>
          <w:p w:rsidR="00CE3E18" w:rsidRPr="007101FE" w:rsidRDefault="00CE3E18" w:rsidP="00CE3E18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Отсутствие физической возможности использовать штаб</w:t>
            </w:r>
            <w:r w:rsidRPr="007101FE">
              <w:rPr>
                <w:sz w:val="18"/>
                <w:szCs w:val="18"/>
              </w:rPr>
              <w:noBreakHyphen/>
              <w:t>квартиру</w:t>
            </w:r>
          </w:p>
        </w:tc>
        <w:tc>
          <w:tcPr>
            <w:tcW w:w="1276" w:type="dxa"/>
            <w:vAlign w:val="center"/>
          </w:tcPr>
          <w:p w:rsidR="00CE3E18" w:rsidRPr="007101FE" w:rsidRDefault="00CE3E18" w:rsidP="00CE3E18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Низкая</w:t>
            </w:r>
          </w:p>
        </w:tc>
        <w:tc>
          <w:tcPr>
            <w:tcW w:w="1276" w:type="dxa"/>
            <w:vAlign w:val="center"/>
          </w:tcPr>
          <w:p w:rsidR="00CE3E18" w:rsidRPr="007101FE" w:rsidRDefault="00CE3E18" w:rsidP="00CE3E18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Высокий</w:t>
            </w:r>
          </w:p>
        </w:tc>
        <w:tc>
          <w:tcPr>
            <w:tcW w:w="1672" w:type="dxa"/>
            <w:vMerge/>
            <w:vAlign w:val="center"/>
          </w:tcPr>
          <w:p w:rsidR="00CE3E18" w:rsidRPr="007101FE" w:rsidRDefault="00CE3E18" w:rsidP="00CE3E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</w:p>
        </w:tc>
      </w:tr>
      <w:tr w:rsidR="00CE3E18" w:rsidRPr="007101FE" w:rsidTr="00CE3E1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CE3E18" w:rsidRPr="007101FE" w:rsidRDefault="00CE3E18" w:rsidP="00CE3E18">
            <w:pPr>
              <w:spacing w:before="20" w:after="20" w:line="210" w:lineRule="exact"/>
              <w:rPr>
                <w:sz w:val="18"/>
                <w:szCs w:val="18"/>
              </w:rPr>
            </w:pPr>
          </w:p>
        </w:tc>
        <w:tc>
          <w:tcPr>
            <w:tcW w:w="8505" w:type="dxa"/>
          </w:tcPr>
          <w:p w:rsidR="00CE3E18" w:rsidRPr="007101FE" w:rsidRDefault="00CE3E18" w:rsidP="003C02EB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 xml:space="preserve">Отсутствие физической возможности организации основных мероприятий на территории другого государства или в Женеве (например, </w:t>
            </w:r>
            <w:r w:rsidR="00530393">
              <w:rPr>
                <w:sz w:val="18"/>
                <w:szCs w:val="18"/>
              </w:rPr>
              <w:t xml:space="preserve">изменение </w:t>
            </w:r>
            <w:r w:rsidR="00530393" w:rsidRPr="007101FE">
              <w:rPr>
                <w:sz w:val="18"/>
                <w:szCs w:val="18"/>
              </w:rPr>
              <w:t>в последний момент</w:t>
            </w:r>
            <w:r w:rsidRPr="007101FE">
              <w:rPr>
                <w:sz w:val="18"/>
                <w:szCs w:val="18"/>
              </w:rPr>
              <w:t xml:space="preserve"> принимающ</w:t>
            </w:r>
            <w:r w:rsidR="00530393">
              <w:rPr>
                <w:sz w:val="18"/>
                <w:szCs w:val="18"/>
              </w:rPr>
              <w:t>ей</w:t>
            </w:r>
            <w:r w:rsidRPr="007101FE">
              <w:rPr>
                <w:sz w:val="18"/>
                <w:szCs w:val="18"/>
              </w:rPr>
              <w:t xml:space="preserve"> мероприятие </w:t>
            </w:r>
            <w:r w:rsidR="00530393" w:rsidRPr="007101FE">
              <w:rPr>
                <w:sz w:val="18"/>
                <w:szCs w:val="18"/>
              </w:rPr>
              <w:t>стран</w:t>
            </w:r>
            <w:r w:rsidR="00530393">
              <w:rPr>
                <w:sz w:val="18"/>
                <w:szCs w:val="18"/>
              </w:rPr>
              <w:t>ы</w:t>
            </w:r>
            <w:r w:rsidR="00530393" w:rsidRPr="007101FE">
              <w:rPr>
                <w:sz w:val="18"/>
                <w:szCs w:val="18"/>
              </w:rPr>
              <w:t xml:space="preserve"> </w:t>
            </w:r>
            <w:r w:rsidRPr="007101FE">
              <w:rPr>
                <w:sz w:val="18"/>
                <w:szCs w:val="18"/>
              </w:rPr>
              <w:t xml:space="preserve">в связи с политической нестабильностью или кризисом, который оказывает </w:t>
            </w:r>
            <w:r w:rsidR="00530393">
              <w:rPr>
                <w:sz w:val="18"/>
                <w:szCs w:val="18"/>
              </w:rPr>
              <w:t>существенное</w:t>
            </w:r>
            <w:r w:rsidRPr="007101FE">
              <w:rPr>
                <w:sz w:val="18"/>
                <w:szCs w:val="18"/>
              </w:rPr>
              <w:t xml:space="preserve"> воздействие, таким как пандемия или соображения </w:t>
            </w:r>
            <w:r w:rsidR="003C02EB">
              <w:rPr>
                <w:sz w:val="18"/>
                <w:szCs w:val="18"/>
              </w:rPr>
              <w:t>общественной</w:t>
            </w:r>
            <w:r w:rsidRPr="007101FE">
              <w:rPr>
                <w:sz w:val="18"/>
                <w:szCs w:val="18"/>
              </w:rPr>
              <w:t xml:space="preserve"> безопасности)</w:t>
            </w:r>
          </w:p>
        </w:tc>
        <w:tc>
          <w:tcPr>
            <w:tcW w:w="1276" w:type="dxa"/>
            <w:vAlign w:val="center"/>
          </w:tcPr>
          <w:p w:rsidR="00CE3E18" w:rsidRPr="007101FE" w:rsidRDefault="00CE3E18" w:rsidP="00CE3E18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Низкая</w:t>
            </w:r>
          </w:p>
        </w:tc>
        <w:tc>
          <w:tcPr>
            <w:tcW w:w="1276" w:type="dxa"/>
            <w:vAlign w:val="center"/>
          </w:tcPr>
          <w:p w:rsidR="00CE3E18" w:rsidRPr="007101FE" w:rsidRDefault="00CE3E18" w:rsidP="00CE3E18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Высокий</w:t>
            </w:r>
          </w:p>
        </w:tc>
        <w:tc>
          <w:tcPr>
            <w:tcW w:w="1672" w:type="dxa"/>
            <w:vMerge/>
            <w:vAlign w:val="center"/>
          </w:tcPr>
          <w:p w:rsidR="00CE3E18" w:rsidRPr="007101FE" w:rsidRDefault="00CE3E18" w:rsidP="00CE3E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</w:p>
        </w:tc>
      </w:tr>
      <w:tr w:rsidR="00F3457E" w:rsidRPr="007101FE" w:rsidTr="00CE3E1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3457E" w:rsidRPr="007101FE" w:rsidRDefault="00F3457E" w:rsidP="00CE3E18">
            <w:pPr>
              <w:spacing w:before="20" w:after="20" w:line="210" w:lineRule="exact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Инфраструктура</w:t>
            </w:r>
          </w:p>
        </w:tc>
        <w:tc>
          <w:tcPr>
            <w:tcW w:w="8505" w:type="dxa"/>
          </w:tcPr>
          <w:p w:rsidR="00F3457E" w:rsidRPr="007101FE" w:rsidRDefault="00D7040B" w:rsidP="00CE3E18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Нарушение предоставления</w:t>
            </w:r>
            <w:r w:rsidR="00C70005">
              <w:rPr>
                <w:sz w:val="18"/>
                <w:szCs w:val="18"/>
              </w:rPr>
              <w:t xml:space="preserve"> услуг ИКТ</w:t>
            </w:r>
          </w:p>
        </w:tc>
        <w:tc>
          <w:tcPr>
            <w:tcW w:w="1276" w:type="dxa"/>
            <w:vAlign w:val="center"/>
          </w:tcPr>
          <w:p w:rsidR="00F3457E" w:rsidRPr="007101FE" w:rsidRDefault="00F3457E" w:rsidP="00CE3E18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Низкая</w:t>
            </w:r>
          </w:p>
        </w:tc>
        <w:tc>
          <w:tcPr>
            <w:tcW w:w="1276" w:type="dxa"/>
            <w:vAlign w:val="center"/>
          </w:tcPr>
          <w:p w:rsidR="00F3457E" w:rsidRPr="007101FE" w:rsidRDefault="00F3457E" w:rsidP="00CE3E18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Высокий</w:t>
            </w:r>
          </w:p>
        </w:tc>
        <w:tc>
          <w:tcPr>
            <w:tcW w:w="1672" w:type="dxa"/>
            <w:vAlign w:val="center"/>
          </w:tcPr>
          <w:p w:rsidR="00F3457E" w:rsidRPr="007101FE" w:rsidRDefault="00F3457E" w:rsidP="00CE3E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5, 6</w:t>
            </w:r>
          </w:p>
        </w:tc>
      </w:tr>
      <w:tr w:rsidR="00F3457E" w:rsidRPr="00F3457E" w:rsidTr="00CE3E1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3457E" w:rsidRPr="007101FE" w:rsidRDefault="00BE1686" w:rsidP="00CE3E18">
            <w:pPr>
              <w:spacing w:before="20" w:after="20" w:line="21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Репутация</w:t>
            </w:r>
          </w:p>
        </w:tc>
        <w:tc>
          <w:tcPr>
            <w:tcW w:w="8505" w:type="dxa"/>
          </w:tcPr>
          <w:p w:rsidR="00F3457E" w:rsidRPr="00BE1686" w:rsidRDefault="00BE1686" w:rsidP="006B1CFF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Урон</w:t>
            </w:r>
            <w:r w:rsidRPr="00BE168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репутации</w:t>
            </w:r>
            <w:r w:rsidRPr="00BE168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МСЭ</w:t>
            </w:r>
            <w:r w:rsidRPr="00BE168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вследствие ложной или неточной </w:t>
            </w:r>
            <w:r w:rsidR="006B1CFF">
              <w:rPr>
                <w:sz w:val="18"/>
                <w:szCs w:val="18"/>
              </w:rPr>
              <w:t>общедоступной</w:t>
            </w:r>
            <w:r>
              <w:rPr>
                <w:sz w:val="18"/>
                <w:szCs w:val="18"/>
              </w:rPr>
              <w:t xml:space="preserve"> информации</w:t>
            </w:r>
          </w:p>
        </w:tc>
        <w:tc>
          <w:tcPr>
            <w:tcW w:w="1276" w:type="dxa"/>
            <w:vAlign w:val="center"/>
          </w:tcPr>
          <w:p w:rsidR="00F3457E" w:rsidRPr="00F3457E" w:rsidRDefault="00F3457E" w:rsidP="00D7040B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7101FE">
              <w:rPr>
                <w:sz w:val="18"/>
                <w:szCs w:val="18"/>
              </w:rPr>
              <w:t>Высок</w:t>
            </w:r>
            <w:r w:rsidR="00D7040B">
              <w:rPr>
                <w:sz w:val="18"/>
                <w:szCs w:val="18"/>
              </w:rPr>
              <w:t>ая</w:t>
            </w:r>
          </w:p>
        </w:tc>
        <w:tc>
          <w:tcPr>
            <w:tcW w:w="1276" w:type="dxa"/>
            <w:vAlign w:val="center"/>
          </w:tcPr>
          <w:p w:rsidR="00F3457E" w:rsidRPr="00F3457E" w:rsidRDefault="00F3457E" w:rsidP="00CE3E18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7101FE">
              <w:rPr>
                <w:sz w:val="18"/>
                <w:szCs w:val="18"/>
              </w:rPr>
              <w:t>Средний</w:t>
            </w:r>
          </w:p>
        </w:tc>
        <w:tc>
          <w:tcPr>
            <w:tcW w:w="1672" w:type="dxa"/>
            <w:vAlign w:val="center"/>
          </w:tcPr>
          <w:p w:rsidR="00F3457E" w:rsidRPr="00F3457E" w:rsidRDefault="00F3457E" w:rsidP="00CE3E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11, 12</w:t>
            </w:r>
          </w:p>
        </w:tc>
      </w:tr>
      <w:tr w:rsidR="00CE3E18" w:rsidRPr="007101FE" w:rsidTr="00CE3E1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:rsidR="00CE3E18" w:rsidRPr="007101FE" w:rsidRDefault="00CE3E18" w:rsidP="00CE3E18">
            <w:pPr>
              <w:spacing w:before="20" w:after="20" w:line="210" w:lineRule="exact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Заинтересованные стороны/партнеры</w:t>
            </w:r>
          </w:p>
        </w:tc>
        <w:tc>
          <w:tcPr>
            <w:tcW w:w="8505" w:type="dxa"/>
          </w:tcPr>
          <w:p w:rsidR="00CE3E18" w:rsidRPr="006B1CFF" w:rsidRDefault="006B1CFF" w:rsidP="00CE3E18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Длительные сроки принятия решений</w:t>
            </w:r>
          </w:p>
        </w:tc>
        <w:tc>
          <w:tcPr>
            <w:tcW w:w="1276" w:type="dxa"/>
            <w:vAlign w:val="center"/>
          </w:tcPr>
          <w:p w:rsidR="00CE3E18" w:rsidRPr="007101FE" w:rsidRDefault="00CE3E18" w:rsidP="00D7040B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Средн</w:t>
            </w:r>
            <w:r w:rsidR="00D7040B">
              <w:rPr>
                <w:sz w:val="18"/>
                <w:szCs w:val="18"/>
              </w:rPr>
              <w:t>яя</w:t>
            </w:r>
          </w:p>
        </w:tc>
        <w:tc>
          <w:tcPr>
            <w:tcW w:w="1276" w:type="dxa"/>
            <w:vAlign w:val="center"/>
          </w:tcPr>
          <w:p w:rsidR="00CE3E18" w:rsidRPr="007101FE" w:rsidRDefault="00CE3E18" w:rsidP="00CE3E18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Средний</w:t>
            </w:r>
          </w:p>
        </w:tc>
        <w:tc>
          <w:tcPr>
            <w:tcW w:w="1672" w:type="dxa"/>
            <w:vAlign w:val="center"/>
          </w:tcPr>
          <w:p w:rsidR="00CE3E18" w:rsidRPr="007101FE" w:rsidRDefault="00CE3E18" w:rsidP="00CE3E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1, 3, 10</w:t>
            </w:r>
          </w:p>
        </w:tc>
      </w:tr>
      <w:tr w:rsidR="00CE3E18" w:rsidRPr="00CE3E18" w:rsidTr="00CE3E1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CE3E18" w:rsidRPr="007101FE" w:rsidRDefault="00CE3E18" w:rsidP="00CE3E18">
            <w:pPr>
              <w:spacing w:before="20" w:after="20" w:line="210" w:lineRule="exact"/>
              <w:rPr>
                <w:sz w:val="18"/>
                <w:szCs w:val="18"/>
              </w:rPr>
            </w:pPr>
          </w:p>
        </w:tc>
        <w:tc>
          <w:tcPr>
            <w:tcW w:w="8505" w:type="dxa"/>
          </w:tcPr>
          <w:p w:rsidR="00CE3E18" w:rsidRPr="006B1CFF" w:rsidRDefault="006B1CFF" w:rsidP="006B1CFF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Возрастающие сложности привлечения аудитории (новые участники, несколько соперничающих организаций, борющихся за привлечение внимания</w:t>
            </w:r>
            <w:r w:rsidR="00CE3E18" w:rsidRPr="006B1CFF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CE3E18" w:rsidRPr="00CE3E18" w:rsidRDefault="00CE3E18" w:rsidP="00D7040B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7101FE">
              <w:rPr>
                <w:sz w:val="18"/>
                <w:szCs w:val="18"/>
              </w:rPr>
              <w:t>Средн</w:t>
            </w:r>
            <w:r w:rsidR="00D7040B">
              <w:rPr>
                <w:sz w:val="18"/>
                <w:szCs w:val="18"/>
              </w:rPr>
              <w:t>яя</w:t>
            </w:r>
          </w:p>
        </w:tc>
        <w:tc>
          <w:tcPr>
            <w:tcW w:w="1276" w:type="dxa"/>
            <w:vAlign w:val="center"/>
          </w:tcPr>
          <w:p w:rsidR="00CE3E18" w:rsidRPr="00CE3E18" w:rsidRDefault="00CE3E18" w:rsidP="00CE3E18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7101FE">
              <w:rPr>
                <w:sz w:val="18"/>
                <w:szCs w:val="18"/>
              </w:rPr>
              <w:t>Средний</w:t>
            </w:r>
          </w:p>
        </w:tc>
        <w:tc>
          <w:tcPr>
            <w:tcW w:w="1672" w:type="dxa"/>
            <w:vAlign w:val="center"/>
          </w:tcPr>
          <w:p w:rsidR="00CE3E18" w:rsidRPr="00CE3E18" w:rsidRDefault="00CE3E18" w:rsidP="00CE3E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12</w:t>
            </w:r>
          </w:p>
        </w:tc>
      </w:tr>
      <w:tr w:rsidR="00F3457E" w:rsidRPr="007101FE" w:rsidTr="00CE3E1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3457E" w:rsidRPr="007101FE" w:rsidRDefault="00F3457E" w:rsidP="00CE3E18">
            <w:pPr>
              <w:spacing w:before="20" w:after="20" w:line="210" w:lineRule="exact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Людские ресурсы</w:t>
            </w:r>
          </w:p>
        </w:tc>
        <w:tc>
          <w:tcPr>
            <w:tcW w:w="8505" w:type="dxa"/>
          </w:tcPr>
          <w:p w:rsidR="00F3457E" w:rsidRPr="007101FE" w:rsidRDefault="00F3457E" w:rsidP="00CE3E18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r w:rsidRPr="007101FE">
              <w:rPr>
                <w:rFonts w:cs="Calibri"/>
                <w:sz w:val="18"/>
                <w:szCs w:val="18"/>
              </w:rPr>
              <w:t>Отсутствие универсальности, оперативности и подготовленности работников для адаптации к</w:t>
            </w:r>
            <w:r w:rsidR="00CE3E18">
              <w:rPr>
                <w:rFonts w:cs="Calibri"/>
                <w:sz w:val="18"/>
                <w:szCs w:val="18"/>
              </w:rPr>
              <w:t> </w:t>
            </w:r>
            <w:r w:rsidRPr="007101FE">
              <w:rPr>
                <w:rFonts w:cs="Calibri"/>
                <w:sz w:val="18"/>
                <w:szCs w:val="18"/>
              </w:rPr>
              <w:t>меняющимся потребностям</w:t>
            </w:r>
          </w:p>
        </w:tc>
        <w:tc>
          <w:tcPr>
            <w:tcW w:w="1276" w:type="dxa"/>
            <w:vAlign w:val="center"/>
          </w:tcPr>
          <w:p w:rsidR="00F3457E" w:rsidRPr="007101FE" w:rsidRDefault="00F3457E" w:rsidP="00CE3E18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Низкая</w:t>
            </w:r>
          </w:p>
        </w:tc>
        <w:tc>
          <w:tcPr>
            <w:tcW w:w="1276" w:type="dxa"/>
            <w:vAlign w:val="center"/>
          </w:tcPr>
          <w:p w:rsidR="00F3457E" w:rsidRPr="007101FE" w:rsidRDefault="00F3457E" w:rsidP="00CE3E18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Высокий</w:t>
            </w:r>
          </w:p>
        </w:tc>
        <w:tc>
          <w:tcPr>
            <w:tcW w:w="1672" w:type="dxa"/>
            <w:vAlign w:val="center"/>
          </w:tcPr>
          <w:p w:rsidR="00F3457E" w:rsidRPr="007101FE" w:rsidRDefault="00CE3E18" w:rsidP="00CE3E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2, 3, 8</w:t>
            </w:r>
          </w:p>
        </w:tc>
      </w:tr>
      <w:tr w:rsidR="00F3457E" w:rsidRPr="007101FE" w:rsidTr="00CE3E1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:rsidR="00F3457E" w:rsidRPr="007101FE" w:rsidRDefault="00F3457E" w:rsidP="00CE3E18">
            <w:pPr>
              <w:spacing w:before="20" w:after="20" w:line="210" w:lineRule="exact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Операционный риск</w:t>
            </w:r>
          </w:p>
        </w:tc>
        <w:tc>
          <w:tcPr>
            <w:tcW w:w="8505" w:type="dxa"/>
          </w:tcPr>
          <w:p w:rsidR="00F3457E" w:rsidRPr="007101FE" w:rsidRDefault="006B1CFF" w:rsidP="00D7040B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Снижен</w:t>
            </w:r>
            <w:r w:rsidR="00D7040B">
              <w:rPr>
                <w:rFonts w:cs="Calibri"/>
                <w:sz w:val="18"/>
                <w:szCs w:val="18"/>
              </w:rPr>
              <w:t>ие</w:t>
            </w:r>
            <w:r>
              <w:rPr>
                <w:rFonts w:cs="Calibri"/>
                <w:sz w:val="18"/>
                <w:szCs w:val="18"/>
              </w:rPr>
              <w:t xml:space="preserve"> межсекторальн</w:t>
            </w:r>
            <w:r w:rsidR="00D7040B">
              <w:rPr>
                <w:rFonts w:cs="Calibri"/>
                <w:sz w:val="18"/>
                <w:szCs w:val="18"/>
              </w:rPr>
              <w:t>ой</w:t>
            </w:r>
            <w:r>
              <w:rPr>
                <w:rFonts w:cs="Calibri"/>
                <w:sz w:val="18"/>
                <w:szCs w:val="18"/>
              </w:rPr>
              <w:t xml:space="preserve"> координаци</w:t>
            </w:r>
            <w:r w:rsidR="00D7040B">
              <w:rPr>
                <w:rFonts w:cs="Calibri"/>
                <w:sz w:val="18"/>
                <w:szCs w:val="18"/>
              </w:rPr>
              <w:t>и</w:t>
            </w:r>
          </w:p>
        </w:tc>
        <w:tc>
          <w:tcPr>
            <w:tcW w:w="1276" w:type="dxa"/>
            <w:vAlign w:val="center"/>
          </w:tcPr>
          <w:p w:rsidR="00F3457E" w:rsidRPr="007101FE" w:rsidRDefault="005B1C00" w:rsidP="00CE3E18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Средняя</w:t>
            </w:r>
          </w:p>
        </w:tc>
        <w:tc>
          <w:tcPr>
            <w:tcW w:w="1276" w:type="dxa"/>
            <w:vAlign w:val="center"/>
          </w:tcPr>
          <w:p w:rsidR="00F3457E" w:rsidRPr="007101FE" w:rsidRDefault="00F3457E" w:rsidP="00CE3E18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Средний</w:t>
            </w:r>
          </w:p>
        </w:tc>
        <w:tc>
          <w:tcPr>
            <w:tcW w:w="1672" w:type="dxa"/>
            <w:vAlign w:val="center"/>
          </w:tcPr>
          <w:p w:rsidR="00F3457E" w:rsidRPr="007101FE" w:rsidRDefault="00CE3E18" w:rsidP="00CE3E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1</w:t>
            </w:r>
          </w:p>
        </w:tc>
      </w:tr>
      <w:tr w:rsidR="00CE3E18" w:rsidRPr="00CE3E18" w:rsidTr="00CE3E1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CE3E18" w:rsidRPr="007101FE" w:rsidRDefault="00CE3E18" w:rsidP="00CE3E18">
            <w:pPr>
              <w:spacing w:before="20" w:after="20" w:line="210" w:lineRule="exact"/>
              <w:rPr>
                <w:sz w:val="18"/>
                <w:szCs w:val="18"/>
              </w:rPr>
            </w:pPr>
          </w:p>
        </w:tc>
        <w:tc>
          <w:tcPr>
            <w:tcW w:w="8505" w:type="dxa"/>
          </w:tcPr>
          <w:p w:rsidR="00CE3E18" w:rsidRPr="006B1CFF" w:rsidRDefault="006B1CFF" w:rsidP="006B1CFF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Инициирование</w:t>
            </w:r>
            <w:r w:rsidRPr="006B1CF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новых</w:t>
            </w:r>
            <w:r w:rsidRPr="006B1CF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видов</w:t>
            </w:r>
            <w:r w:rsidRPr="006B1CF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деятельности</w:t>
            </w:r>
            <w:r w:rsidRPr="006B1CFF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ведущее</w:t>
            </w:r>
            <w:r w:rsidRPr="006B1CF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</w:t>
            </w:r>
            <w:r w:rsidRPr="006B1CFF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внутреннему</w:t>
            </w:r>
            <w:r w:rsidRPr="006B1CF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Pr="006B1CF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внешнему</w:t>
            </w:r>
            <w:r w:rsidRPr="006B1CFF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дублированию работы</w:t>
            </w:r>
          </w:p>
        </w:tc>
        <w:tc>
          <w:tcPr>
            <w:tcW w:w="1276" w:type="dxa"/>
            <w:vAlign w:val="center"/>
          </w:tcPr>
          <w:p w:rsidR="00CE3E18" w:rsidRPr="00CE3E18" w:rsidRDefault="00CE3E18" w:rsidP="00D7040B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7101FE">
              <w:rPr>
                <w:sz w:val="18"/>
                <w:szCs w:val="18"/>
              </w:rPr>
              <w:t>Средн</w:t>
            </w:r>
            <w:r w:rsidR="00D7040B">
              <w:rPr>
                <w:sz w:val="18"/>
                <w:szCs w:val="18"/>
              </w:rPr>
              <w:t>яя</w:t>
            </w:r>
          </w:p>
        </w:tc>
        <w:tc>
          <w:tcPr>
            <w:tcW w:w="1276" w:type="dxa"/>
            <w:vAlign w:val="center"/>
          </w:tcPr>
          <w:p w:rsidR="00CE3E18" w:rsidRPr="00CE3E18" w:rsidRDefault="00CE3E18" w:rsidP="00CE3E18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7101FE">
              <w:rPr>
                <w:sz w:val="18"/>
                <w:szCs w:val="18"/>
              </w:rPr>
              <w:t>Средний</w:t>
            </w:r>
          </w:p>
        </w:tc>
        <w:tc>
          <w:tcPr>
            <w:tcW w:w="1672" w:type="dxa"/>
            <w:vAlign w:val="center"/>
          </w:tcPr>
          <w:p w:rsidR="00CE3E18" w:rsidRPr="00CE3E18" w:rsidRDefault="00CE3E18" w:rsidP="00CE3E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1, 2, 10</w:t>
            </w:r>
          </w:p>
        </w:tc>
      </w:tr>
      <w:tr w:rsidR="00CE3E18" w:rsidRPr="00CE3E18" w:rsidTr="00CE3E1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CE3E18" w:rsidRPr="00CE3E18" w:rsidRDefault="00CE3E18" w:rsidP="00CE3E18">
            <w:pPr>
              <w:spacing w:before="20" w:after="20" w:line="21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8505" w:type="dxa"/>
          </w:tcPr>
          <w:p w:rsidR="00CE3E18" w:rsidRPr="004A31E6" w:rsidRDefault="004A31E6" w:rsidP="006B1CFF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6B1CFF">
              <w:rPr>
                <w:sz w:val="18"/>
                <w:szCs w:val="18"/>
              </w:rPr>
              <w:t>существление</w:t>
            </w:r>
            <w:r w:rsidR="006B1CFF" w:rsidRPr="004A31E6">
              <w:rPr>
                <w:sz w:val="18"/>
                <w:szCs w:val="18"/>
              </w:rPr>
              <w:t xml:space="preserve"> </w:t>
            </w:r>
            <w:r w:rsidR="006B1CFF">
              <w:rPr>
                <w:sz w:val="18"/>
                <w:szCs w:val="18"/>
              </w:rPr>
              <w:t>видов</w:t>
            </w:r>
            <w:r w:rsidR="006B1CFF" w:rsidRPr="004A31E6">
              <w:rPr>
                <w:sz w:val="18"/>
                <w:szCs w:val="18"/>
              </w:rPr>
              <w:t xml:space="preserve"> </w:t>
            </w:r>
            <w:r w:rsidR="006B1CFF">
              <w:rPr>
                <w:sz w:val="18"/>
                <w:szCs w:val="18"/>
              </w:rPr>
              <w:t>деятельности</w:t>
            </w:r>
            <w:r w:rsidR="006B1CFF" w:rsidRPr="004A31E6">
              <w:rPr>
                <w:sz w:val="18"/>
                <w:szCs w:val="18"/>
              </w:rPr>
              <w:t>/</w:t>
            </w:r>
            <w:r w:rsidR="006B1CFF">
              <w:rPr>
                <w:sz w:val="18"/>
                <w:szCs w:val="18"/>
              </w:rPr>
              <w:t>инициатив</w:t>
            </w:r>
            <w:r w:rsidR="006B1CFF" w:rsidRPr="004A31E6">
              <w:rPr>
                <w:sz w:val="18"/>
                <w:szCs w:val="18"/>
              </w:rPr>
              <w:t xml:space="preserve">, </w:t>
            </w:r>
            <w:r w:rsidR="006B1CFF">
              <w:rPr>
                <w:sz w:val="18"/>
                <w:szCs w:val="18"/>
              </w:rPr>
              <w:t>не</w:t>
            </w:r>
            <w:r w:rsidR="006B1CFF" w:rsidRPr="004A31E6">
              <w:rPr>
                <w:sz w:val="18"/>
                <w:szCs w:val="18"/>
              </w:rPr>
              <w:t xml:space="preserve"> </w:t>
            </w:r>
            <w:r w:rsidR="006B1CFF">
              <w:rPr>
                <w:sz w:val="18"/>
                <w:szCs w:val="18"/>
              </w:rPr>
              <w:t>соответствующих</w:t>
            </w:r>
            <w:r w:rsidR="006B1CFF" w:rsidRPr="004A31E6">
              <w:rPr>
                <w:sz w:val="18"/>
                <w:szCs w:val="18"/>
              </w:rPr>
              <w:t xml:space="preserve"> </w:t>
            </w:r>
            <w:r w:rsidR="006B1CFF">
              <w:rPr>
                <w:sz w:val="18"/>
                <w:szCs w:val="18"/>
              </w:rPr>
              <w:t>задачам</w:t>
            </w:r>
            <w:r w:rsidR="006B1CFF" w:rsidRPr="004A31E6">
              <w:rPr>
                <w:sz w:val="18"/>
                <w:szCs w:val="18"/>
              </w:rPr>
              <w:t xml:space="preserve"> </w:t>
            </w:r>
            <w:r w:rsidR="006B1CFF">
              <w:rPr>
                <w:sz w:val="18"/>
                <w:szCs w:val="18"/>
              </w:rPr>
              <w:t>Организации</w:t>
            </w:r>
          </w:p>
        </w:tc>
        <w:tc>
          <w:tcPr>
            <w:tcW w:w="1276" w:type="dxa"/>
            <w:vAlign w:val="center"/>
          </w:tcPr>
          <w:p w:rsidR="00CE3E18" w:rsidRPr="00CE3E18" w:rsidRDefault="00CE3E18" w:rsidP="00D7040B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7101FE">
              <w:rPr>
                <w:sz w:val="18"/>
                <w:szCs w:val="18"/>
              </w:rPr>
              <w:t>Средн</w:t>
            </w:r>
            <w:r w:rsidR="00D7040B">
              <w:rPr>
                <w:sz w:val="18"/>
                <w:szCs w:val="18"/>
              </w:rPr>
              <w:t>яя</w:t>
            </w:r>
          </w:p>
        </w:tc>
        <w:tc>
          <w:tcPr>
            <w:tcW w:w="1276" w:type="dxa"/>
            <w:vAlign w:val="center"/>
          </w:tcPr>
          <w:p w:rsidR="00CE3E18" w:rsidRPr="00CE3E18" w:rsidRDefault="00CE3E18" w:rsidP="00CE3E18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7101FE">
              <w:rPr>
                <w:sz w:val="18"/>
                <w:szCs w:val="18"/>
              </w:rPr>
              <w:t>Средний</w:t>
            </w:r>
          </w:p>
        </w:tc>
        <w:tc>
          <w:tcPr>
            <w:tcW w:w="1672" w:type="dxa"/>
            <w:vAlign w:val="center"/>
          </w:tcPr>
          <w:p w:rsidR="00CE3E18" w:rsidRPr="00CE3E18" w:rsidRDefault="00CE3E18" w:rsidP="00CE3E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1, 2, 3, 10</w:t>
            </w:r>
          </w:p>
        </w:tc>
      </w:tr>
      <w:tr w:rsidR="00CE3E18" w:rsidRPr="00CE3E18" w:rsidTr="00CE3E1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CE3E18" w:rsidRPr="00CE3E18" w:rsidRDefault="00CE3E18" w:rsidP="00CE3E18">
            <w:pPr>
              <w:spacing w:before="20" w:after="20" w:line="21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8505" w:type="dxa"/>
          </w:tcPr>
          <w:p w:rsidR="00CE3E18" w:rsidRPr="007101FE" w:rsidRDefault="00CE3E18" w:rsidP="005B1C00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rFonts w:cs="Calibri"/>
                <w:sz w:val="18"/>
                <w:szCs w:val="18"/>
              </w:rPr>
              <w:t xml:space="preserve">Неэффективное управление финансовыми ресурсами (отсутствие контроля, ошибки, </w:t>
            </w:r>
            <w:r w:rsidR="005B1C00" w:rsidRPr="005B1C00">
              <w:rPr>
                <w:rFonts w:cs="Calibri"/>
                <w:sz w:val="18"/>
                <w:szCs w:val="18"/>
              </w:rPr>
              <w:t>человечески</w:t>
            </w:r>
            <w:r w:rsidR="005B1C00">
              <w:rPr>
                <w:rFonts w:cs="Calibri"/>
                <w:sz w:val="18"/>
                <w:szCs w:val="18"/>
              </w:rPr>
              <w:t>е</w:t>
            </w:r>
            <w:r w:rsidR="005B1C00" w:rsidRPr="005B1C00">
              <w:rPr>
                <w:rFonts w:cs="Calibri"/>
                <w:sz w:val="18"/>
                <w:szCs w:val="18"/>
              </w:rPr>
              <w:t xml:space="preserve"> ошибки</w:t>
            </w:r>
            <w:r w:rsidRPr="007101FE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CE3E18" w:rsidRPr="00CE3E18" w:rsidRDefault="00CE3E18" w:rsidP="00CE3E18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7101FE">
              <w:rPr>
                <w:sz w:val="18"/>
                <w:szCs w:val="18"/>
              </w:rPr>
              <w:t>Низкая</w:t>
            </w:r>
          </w:p>
        </w:tc>
        <w:tc>
          <w:tcPr>
            <w:tcW w:w="1276" w:type="dxa"/>
            <w:vAlign w:val="center"/>
          </w:tcPr>
          <w:p w:rsidR="00CE3E18" w:rsidRPr="00CE3E18" w:rsidRDefault="00CE3E18" w:rsidP="00CE3E18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7101FE">
              <w:rPr>
                <w:sz w:val="18"/>
                <w:szCs w:val="18"/>
              </w:rPr>
              <w:t>Средний</w:t>
            </w:r>
          </w:p>
        </w:tc>
        <w:tc>
          <w:tcPr>
            <w:tcW w:w="1672" w:type="dxa"/>
            <w:vAlign w:val="center"/>
          </w:tcPr>
          <w:p w:rsidR="00CE3E18" w:rsidRPr="00CE3E18" w:rsidRDefault="00CE3E18" w:rsidP="00CE3E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2, 3, 9</w:t>
            </w:r>
          </w:p>
        </w:tc>
      </w:tr>
      <w:tr w:rsidR="00CE3E18" w:rsidRPr="007101FE" w:rsidTr="00CE3E1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CE3E18" w:rsidRPr="00CE3E18" w:rsidRDefault="00CE3E18" w:rsidP="00CE3E18">
            <w:pPr>
              <w:spacing w:before="20" w:after="20" w:line="21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8505" w:type="dxa"/>
          </w:tcPr>
          <w:p w:rsidR="00CE3E18" w:rsidRPr="007101FE" w:rsidRDefault="000870EB" w:rsidP="00CE3E18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Поддержка противоречивых видов деятельности</w:t>
            </w:r>
          </w:p>
        </w:tc>
        <w:tc>
          <w:tcPr>
            <w:tcW w:w="1276" w:type="dxa"/>
            <w:vAlign w:val="center"/>
          </w:tcPr>
          <w:p w:rsidR="00CE3E18" w:rsidRPr="007101FE" w:rsidRDefault="00CE3E18" w:rsidP="00D7040B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Средн</w:t>
            </w:r>
            <w:r w:rsidR="00D7040B">
              <w:rPr>
                <w:sz w:val="18"/>
                <w:szCs w:val="18"/>
              </w:rPr>
              <w:t>яя</w:t>
            </w:r>
          </w:p>
        </w:tc>
        <w:tc>
          <w:tcPr>
            <w:tcW w:w="1276" w:type="dxa"/>
            <w:vAlign w:val="center"/>
          </w:tcPr>
          <w:p w:rsidR="00CE3E18" w:rsidRPr="007101FE" w:rsidRDefault="00CE3E18" w:rsidP="00CE3E18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Средний</w:t>
            </w:r>
          </w:p>
        </w:tc>
        <w:tc>
          <w:tcPr>
            <w:tcW w:w="1672" w:type="dxa"/>
            <w:vAlign w:val="center"/>
          </w:tcPr>
          <w:p w:rsidR="00CE3E18" w:rsidRPr="007101FE" w:rsidRDefault="00CE3E18" w:rsidP="00CE3E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1, 3, 7, 10</w:t>
            </w:r>
          </w:p>
        </w:tc>
      </w:tr>
      <w:tr w:rsidR="00CE3E18" w:rsidRPr="007101FE" w:rsidTr="00CE3E1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CE3E18" w:rsidRPr="007101FE" w:rsidRDefault="00CE3E18" w:rsidP="00CE3E18">
            <w:pPr>
              <w:spacing w:before="20" w:after="20" w:line="210" w:lineRule="exact"/>
              <w:rPr>
                <w:sz w:val="18"/>
                <w:szCs w:val="18"/>
              </w:rPr>
            </w:pPr>
          </w:p>
        </w:tc>
        <w:tc>
          <w:tcPr>
            <w:tcW w:w="8505" w:type="dxa"/>
          </w:tcPr>
          <w:p w:rsidR="00CE3E18" w:rsidRPr="007101FE" w:rsidRDefault="000870EB" w:rsidP="000870EB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Устаревшая организационная структура</w:t>
            </w:r>
          </w:p>
        </w:tc>
        <w:tc>
          <w:tcPr>
            <w:tcW w:w="1276" w:type="dxa"/>
            <w:vAlign w:val="center"/>
          </w:tcPr>
          <w:p w:rsidR="00CE3E18" w:rsidRPr="007101FE" w:rsidRDefault="00CE3E18" w:rsidP="00D7040B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Средн</w:t>
            </w:r>
            <w:r w:rsidR="00D7040B">
              <w:rPr>
                <w:sz w:val="18"/>
                <w:szCs w:val="18"/>
              </w:rPr>
              <w:t>яя</w:t>
            </w:r>
          </w:p>
        </w:tc>
        <w:tc>
          <w:tcPr>
            <w:tcW w:w="1276" w:type="dxa"/>
            <w:vAlign w:val="center"/>
          </w:tcPr>
          <w:p w:rsidR="00CE3E18" w:rsidRPr="007101FE" w:rsidRDefault="00CE3E18" w:rsidP="00CE3E18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Средний</w:t>
            </w:r>
          </w:p>
        </w:tc>
        <w:tc>
          <w:tcPr>
            <w:tcW w:w="1672" w:type="dxa"/>
            <w:vAlign w:val="center"/>
          </w:tcPr>
          <w:p w:rsidR="00CE3E18" w:rsidRPr="007101FE" w:rsidRDefault="00CE3E18" w:rsidP="00CE3E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1, 3</w:t>
            </w:r>
          </w:p>
        </w:tc>
      </w:tr>
      <w:tr w:rsidR="00F3457E" w:rsidRPr="007101FE" w:rsidTr="00CE3E1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F3457E" w:rsidRPr="007101FE" w:rsidRDefault="00F3457E" w:rsidP="00CE3E18">
            <w:pPr>
              <w:spacing w:before="20" w:after="20" w:line="210" w:lineRule="exact"/>
              <w:rPr>
                <w:sz w:val="18"/>
                <w:szCs w:val="18"/>
              </w:rPr>
            </w:pPr>
          </w:p>
        </w:tc>
        <w:tc>
          <w:tcPr>
            <w:tcW w:w="8505" w:type="dxa"/>
          </w:tcPr>
          <w:p w:rsidR="00F3457E" w:rsidRPr="000870EB" w:rsidRDefault="005B1C00" w:rsidP="000870EB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0870EB">
              <w:rPr>
                <w:sz w:val="18"/>
                <w:szCs w:val="18"/>
              </w:rPr>
              <w:t>тсутствие надлежащих механизмов контроля</w:t>
            </w:r>
          </w:p>
        </w:tc>
        <w:tc>
          <w:tcPr>
            <w:tcW w:w="1276" w:type="dxa"/>
            <w:vAlign w:val="center"/>
          </w:tcPr>
          <w:p w:rsidR="00F3457E" w:rsidRPr="00CE3E18" w:rsidRDefault="00CE3E18" w:rsidP="00D7040B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7101FE">
              <w:rPr>
                <w:sz w:val="18"/>
                <w:szCs w:val="18"/>
              </w:rPr>
              <w:t>Средн</w:t>
            </w:r>
            <w:r w:rsidR="00D7040B">
              <w:rPr>
                <w:sz w:val="18"/>
                <w:szCs w:val="18"/>
              </w:rPr>
              <w:t>яя</w:t>
            </w:r>
          </w:p>
        </w:tc>
        <w:tc>
          <w:tcPr>
            <w:tcW w:w="1276" w:type="dxa"/>
            <w:vAlign w:val="center"/>
          </w:tcPr>
          <w:p w:rsidR="00F3457E" w:rsidRPr="00CE3E18" w:rsidRDefault="00CE3E18" w:rsidP="00CE3E18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7101FE">
              <w:rPr>
                <w:sz w:val="18"/>
                <w:szCs w:val="18"/>
              </w:rPr>
              <w:t>Средний</w:t>
            </w:r>
          </w:p>
        </w:tc>
        <w:tc>
          <w:tcPr>
            <w:tcW w:w="1672" w:type="dxa"/>
            <w:vAlign w:val="center"/>
          </w:tcPr>
          <w:p w:rsidR="00F3457E" w:rsidRPr="007101FE" w:rsidRDefault="00CE3E18" w:rsidP="00CE3E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2, 9</w:t>
            </w:r>
          </w:p>
        </w:tc>
      </w:tr>
      <w:tr w:rsidR="00CE3E18" w:rsidRPr="007101FE" w:rsidTr="00CE3E1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CE3E18" w:rsidRPr="007101FE" w:rsidRDefault="000870EB" w:rsidP="00CE3E18">
            <w:pPr>
              <w:spacing w:before="20" w:after="20" w:line="21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риск</w:t>
            </w:r>
          </w:p>
        </w:tc>
        <w:tc>
          <w:tcPr>
            <w:tcW w:w="8505" w:type="dxa"/>
          </w:tcPr>
          <w:p w:rsidR="00CE3E18" w:rsidRPr="007101FE" w:rsidRDefault="00CE3E18" w:rsidP="000870EB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Неуплата или снижение класса взносов</w:t>
            </w:r>
            <w:r w:rsidR="000870EB">
              <w:rPr>
                <w:sz w:val="18"/>
                <w:szCs w:val="18"/>
              </w:rPr>
              <w:t>, сборов</w:t>
            </w:r>
            <w:r w:rsidRPr="007101FE">
              <w:rPr>
                <w:sz w:val="18"/>
                <w:szCs w:val="18"/>
              </w:rPr>
              <w:t xml:space="preserve"> и/или уменьшение доходов</w:t>
            </w:r>
          </w:p>
        </w:tc>
        <w:tc>
          <w:tcPr>
            <w:tcW w:w="1276" w:type="dxa"/>
            <w:vAlign w:val="center"/>
          </w:tcPr>
          <w:p w:rsidR="00CE3E18" w:rsidRPr="007101FE" w:rsidRDefault="00CE3E18" w:rsidP="00CE3E18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Низкая</w:t>
            </w:r>
          </w:p>
        </w:tc>
        <w:tc>
          <w:tcPr>
            <w:tcW w:w="1276" w:type="dxa"/>
            <w:vAlign w:val="center"/>
          </w:tcPr>
          <w:p w:rsidR="00CE3E18" w:rsidRPr="007101FE" w:rsidRDefault="00CE3E18" w:rsidP="00CE3E18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Средний</w:t>
            </w:r>
          </w:p>
        </w:tc>
        <w:tc>
          <w:tcPr>
            <w:tcW w:w="1672" w:type="dxa"/>
            <w:vAlign w:val="center"/>
          </w:tcPr>
          <w:p w:rsidR="00CE3E18" w:rsidRPr="007101FE" w:rsidRDefault="00CE3E18" w:rsidP="00CE3E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7, 10</w:t>
            </w:r>
          </w:p>
        </w:tc>
      </w:tr>
    </w:tbl>
    <w:p w:rsidR="00011086" w:rsidRPr="00CE3E18" w:rsidRDefault="00011086" w:rsidP="0040328D"/>
    <w:tbl>
      <w:tblPr>
        <w:tblStyle w:val="GridTable4-Accent11"/>
        <w:tblW w:w="14596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A0" w:firstRow="1" w:lastRow="0" w:firstColumn="1" w:lastColumn="0" w:noHBand="1" w:noVBand="1"/>
      </w:tblPr>
      <w:tblGrid>
        <w:gridCol w:w="562"/>
        <w:gridCol w:w="9923"/>
        <w:gridCol w:w="1701"/>
        <w:gridCol w:w="2410"/>
      </w:tblGrid>
      <w:tr w:rsidR="00CE3E18" w:rsidRPr="007101FE" w:rsidTr="003874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  <w:vAlign w:val="center"/>
          </w:tcPr>
          <w:p w:rsidR="00CE3E18" w:rsidRPr="007101FE" w:rsidRDefault="000870EB" w:rsidP="00CE3E18">
            <w:pPr>
              <w:spacing w:before="40" w:after="40" w:line="21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Ключевые меры по смягчению последствий</w:t>
            </w:r>
          </w:p>
        </w:tc>
        <w:tc>
          <w:tcPr>
            <w:tcW w:w="1701" w:type="dxa"/>
            <w:vAlign w:val="center"/>
          </w:tcPr>
          <w:p w:rsidR="00CE3E18" w:rsidRPr="007101FE" w:rsidRDefault="000870EB" w:rsidP="00CE3E18">
            <w:pPr>
              <w:spacing w:before="40" w:after="40" w:line="21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</w:tc>
        <w:tc>
          <w:tcPr>
            <w:tcW w:w="2410" w:type="dxa"/>
            <w:vAlign w:val="center"/>
          </w:tcPr>
          <w:p w:rsidR="00CE3E18" w:rsidRPr="007101FE" w:rsidRDefault="000870EB" w:rsidP="00CE3E18">
            <w:pPr>
              <w:spacing w:before="40" w:after="40" w:line="210" w:lineRule="exact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</w:tr>
      <w:tr w:rsidR="00387483" w:rsidRPr="007101FE" w:rsidTr="0038748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il"/>
            </w:tcBorders>
          </w:tcPr>
          <w:p w:rsidR="00387483" w:rsidRPr="00387483" w:rsidRDefault="00387483" w:rsidP="00CE3E18">
            <w:pPr>
              <w:spacing w:before="20" w:after="20" w:line="21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3" w:type="dxa"/>
            <w:tcBorders>
              <w:left w:val="nil"/>
            </w:tcBorders>
          </w:tcPr>
          <w:p w:rsidR="00387483" w:rsidRPr="003D084F" w:rsidRDefault="000870EB" w:rsidP="003D084F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Стратеги</w:t>
            </w:r>
            <w:r w:rsidR="00E1598A">
              <w:rPr>
                <w:sz w:val="18"/>
                <w:szCs w:val="18"/>
              </w:rPr>
              <w:t>я</w:t>
            </w:r>
            <w:r w:rsidRPr="003D084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межсекторальной</w:t>
            </w:r>
            <w:r w:rsidRPr="003D084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координации</w:t>
            </w:r>
            <w:r w:rsidR="003D084F">
              <w:rPr>
                <w:sz w:val="18"/>
                <w:szCs w:val="18"/>
              </w:rPr>
              <w:t xml:space="preserve"> для совершенствования процессов принятия решений; обеспечение более эффективного планирования, согласования и координации видов деятельности</w:t>
            </w:r>
            <w:r w:rsidR="00387483" w:rsidRPr="003D084F">
              <w:rPr>
                <w:sz w:val="18"/>
                <w:szCs w:val="18"/>
              </w:rPr>
              <w:t xml:space="preserve">; </w:t>
            </w:r>
            <w:r w:rsidR="003D084F">
              <w:rPr>
                <w:sz w:val="18"/>
                <w:szCs w:val="18"/>
              </w:rPr>
              <w:t>и уменьшение конкуренции и внутреннего дублирования работы</w:t>
            </w:r>
            <w:r w:rsidR="00C700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87483" w:rsidRPr="007101FE" w:rsidRDefault="003D084F" w:rsidP="00387483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ЦГ-МСК</w:t>
            </w:r>
          </w:p>
        </w:tc>
        <w:tc>
          <w:tcPr>
            <w:tcW w:w="2410" w:type="dxa"/>
          </w:tcPr>
          <w:p w:rsidR="00387483" w:rsidRPr="007101FE" w:rsidRDefault="00A67D63" w:rsidP="00387483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Осуществляется</w:t>
            </w:r>
          </w:p>
        </w:tc>
      </w:tr>
      <w:tr w:rsidR="00387483" w:rsidRPr="007101FE" w:rsidTr="0038748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il"/>
            </w:tcBorders>
          </w:tcPr>
          <w:p w:rsidR="00387483" w:rsidRPr="00387483" w:rsidRDefault="00387483" w:rsidP="00CE3E18">
            <w:pPr>
              <w:spacing w:before="20" w:after="20" w:line="21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3" w:type="dxa"/>
            <w:tcBorders>
              <w:left w:val="nil"/>
            </w:tcBorders>
          </w:tcPr>
          <w:p w:rsidR="00387483" w:rsidRPr="00C70005" w:rsidRDefault="003E7976" w:rsidP="003E7976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Укрепление</w:t>
            </w:r>
            <w:r w:rsidRPr="00C700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механизмов</w:t>
            </w:r>
            <w:r w:rsidRPr="00C70005">
              <w:rPr>
                <w:sz w:val="18"/>
                <w:szCs w:val="18"/>
              </w:rPr>
              <w:t xml:space="preserve"> </w:t>
            </w:r>
            <w:r w:rsidRPr="004240AB">
              <w:rPr>
                <w:sz w:val="18"/>
                <w:szCs w:val="18"/>
              </w:rPr>
              <w:t>контроля</w:t>
            </w:r>
            <w:r w:rsidRPr="00C700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Pr="00C700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оценки</w:t>
            </w:r>
            <w:r w:rsidR="00C700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87483" w:rsidRPr="007101FE" w:rsidRDefault="00387483" w:rsidP="00387483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87483">
              <w:rPr>
                <w:sz w:val="18"/>
                <w:szCs w:val="18"/>
              </w:rPr>
              <w:t>SGO</w:t>
            </w:r>
          </w:p>
        </w:tc>
        <w:tc>
          <w:tcPr>
            <w:tcW w:w="2410" w:type="dxa"/>
          </w:tcPr>
          <w:p w:rsidR="00387483" w:rsidRPr="007101FE" w:rsidRDefault="00A67D63" w:rsidP="00387483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Осуществляется</w:t>
            </w:r>
          </w:p>
        </w:tc>
      </w:tr>
      <w:tr w:rsidR="00387483" w:rsidRPr="00F3457E" w:rsidTr="0038748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il"/>
            </w:tcBorders>
          </w:tcPr>
          <w:p w:rsidR="00387483" w:rsidRPr="00387483" w:rsidRDefault="00387483" w:rsidP="00CE3E18">
            <w:pPr>
              <w:spacing w:before="20" w:after="20" w:line="21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3" w:type="dxa"/>
            <w:tcBorders>
              <w:left w:val="nil"/>
            </w:tcBorders>
          </w:tcPr>
          <w:p w:rsidR="00387483" w:rsidRPr="00FE5FF8" w:rsidRDefault="003E7976" w:rsidP="009D45B7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</w:t>
            </w:r>
            <w:r w:rsidR="00FE5FF8">
              <w:rPr>
                <w:sz w:val="18"/>
                <w:szCs w:val="18"/>
              </w:rPr>
              <w:t>дение</w:t>
            </w:r>
            <w:r w:rsidRPr="00FE5F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оценк</w:t>
            </w:r>
            <w:r w:rsidR="00FE5FF8">
              <w:rPr>
                <w:sz w:val="18"/>
                <w:szCs w:val="18"/>
              </w:rPr>
              <w:t>и</w:t>
            </w:r>
            <w:r w:rsidR="009D45B7">
              <w:rPr>
                <w:sz w:val="18"/>
                <w:szCs w:val="18"/>
              </w:rPr>
              <w:t xml:space="preserve"> в Организации:</w:t>
            </w:r>
            <w:r w:rsidRPr="00FE5FF8">
              <w:rPr>
                <w:sz w:val="18"/>
                <w:szCs w:val="18"/>
              </w:rPr>
              <w:t xml:space="preserve"> </w:t>
            </w:r>
            <w:r w:rsidR="00FE5FF8">
              <w:rPr>
                <w:sz w:val="18"/>
                <w:szCs w:val="18"/>
              </w:rPr>
              <w:t>оценка</w:t>
            </w:r>
            <w:r w:rsidR="00FE5FF8" w:rsidRPr="00FE5FF8">
              <w:rPr>
                <w:sz w:val="18"/>
                <w:szCs w:val="18"/>
              </w:rPr>
              <w:t xml:space="preserve"> </w:t>
            </w:r>
            <w:r w:rsidR="00FE5FF8">
              <w:rPr>
                <w:sz w:val="18"/>
                <w:szCs w:val="18"/>
              </w:rPr>
              <w:t>и</w:t>
            </w:r>
            <w:r w:rsidR="00FE5FF8" w:rsidRPr="00FE5FF8">
              <w:rPr>
                <w:sz w:val="18"/>
                <w:szCs w:val="18"/>
              </w:rPr>
              <w:t xml:space="preserve"> </w:t>
            </w:r>
            <w:r w:rsidR="00FE5FF8">
              <w:rPr>
                <w:sz w:val="18"/>
                <w:szCs w:val="18"/>
              </w:rPr>
              <w:t>консультации</w:t>
            </w:r>
            <w:r w:rsidR="00FE5FF8" w:rsidRPr="00FE5FF8">
              <w:rPr>
                <w:sz w:val="18"/>
                <w:szCs w:val="18"/>
              </w:rPr>
              <w:t xml:space="preserve"> </w:t>
            </w:r>
            <w:r w:rsidR="00FE5FF8">
              <w:rPr>
                <w:sz w:val="18"/>
                <w:szCs w:val="18"/>
              </w:rPr>
              <w:t>по</w:t>
            </w:r>
            <w:r w:rsidR="00FE5FF8" w:rsidRPr="00FE5FF8">
              <w:rPr>
                <w:sz w:val="18"/>
                <w:szCs w:val="18"/>
              </w:rPr>
              <w:t xml:space="preserve"> </w:t>
            </w:r>
            <w:r w:rsidR="00FE5FF8">
              <w:rPr>
                <w:sz w:val="18"/>
                <w:szCs w:val="18"/>
              </w:rPr>
              <w:t>организационной</w:t>
            </w:r>
            <w:r w:rsidR="00FE5FF8" w:rsidRPr="00FE5FF8">
              <w:rPr>
                <w:sz w:val="18"/>
                <w:szCs w:val="18"/>
              </w:rPr>
              <w:t xml:space="preserve"> </w:t>
            </w:r>
            <w:r w:rsidR="00FE5FF8">
              <w:rPr>
                <w:sz w:val="18"/>
                <w:szCs w:val="18"/>
              </w:rPr>
              <w:t>культуре</w:t>
            </w:r>
            <w:r w:rsidR="00FE5FF8" w:rsidRPr="00FE5FF8">
              <w:rPr>
                <w:sz w:val="18"/>
                <w:szCs w:val="18"/>
              </w:rPr>
              <w:t xml:space="preserve"> </w:t>
            </w:r>
            <w:r w:rsidR="00FE5FF8">
              <w:rPr>
                <w:sz w:val="18"/>
                <w:szCs w:val="18"/>
              </w:rPr>
              <w:t>и</w:t>
            </w:r>
            <w:r w:rsidR="00FE5FF8" w:rsidRPr="00FE5FF8">
              <w:rPr>
                <w:sz w:val="18"/>
                <w:szCs w:val="18"/>
              </w:rPr>
              <w:t xml:space="preserve"> </w:t>
            </w:r>
            <w:r w:rsidR="00FE5FF8">
              <w:rPr>
                <w:sz w:val="18"/>
                <w:szCs w:val="18"/>
              </w:rPr>
              <w:t>навыкам</w:t>
            </w:r>
            <w:r w:rsidR="00387483" w:rsidRPr="00FE5FF8">
              <w:rPr>
                <w:sz w:val="18"/>
                <w:szCs w:val="18"/>
              </w:rPr>
              <w:t xml:space="preserve">; </w:t>
            </w:r>
            <w:r w:rsidR="00FE5FF8">
              <w:rPr>
                <w:sz w:val="18"/>
                <w:szCs w:val="18"/>
              </w:rPr>
              <w:t>определение</w:t>
            </w:r>
            <w:r w:rsidR="00FE5FF8" w:rsidRPr="00FE5FF8">
              <w:rPr>
                <w:sz w:val="18"/>
                <w:szCs w:val="18"/>
              </w:rPr>
              <w:t xml:space="preserve"> </w:t>
            </w:r>
            <w:r w:rsidR="00FE5FF8">
              <w:rPr>
                <w:sz w:val="18"/>
                <w:szCs w:val="18"/>
              </w:rPr>
              <w:t>управленческих</w:t>
            </w:r>
            <w:r w:rsidR="00FE5FF8" w:rsidRPr="00FE5FF8">
              <w:rPr>
                <w:sz w:val="18"/>
                <w:szCs w:val="18"/>
              </w:rPr>
              <w:t xml:space="preserve"> </w:t>
            </w:r>
            <w:r w:rsidR="00FE5FF8">
              <w:rPr>
                <w:sz w:val="18"/>
                <w:szCs w:val="18"/>
              </w:rPr>
              <w:t>задач</w:t>
            </w:r>
            <w:r w:rsidR="00FE5FF8" w:rsidRPr="00FE5FF8">
              <w:rPr>
                <w:sz w:val="18"/>
                <w:szCs w:val="18"/>
              </w:rPr>
              <w:t xml:space="preserve"> </w:t>
            </w:r>
            <w:r w:rsidR="00FE5FF8">
              <w:rPr>
                <w:sz w:val="18"/>
                <w:szCs w:val="18"/>
              </w:rPr>
              <w:t>для</w:t>
            </w:r>
            <w:r w:rsidR="00FE5FF8" w:rsidRPr="00FE5FF8">
              <w:rPr>
                <w:sz w:val="18"/>
                <w:szCs w:val="18"/>
              </w:rPr>
              <w:t xml:space="preserve"> </w:t>
            </w:r>
            <w:r w:rsidR="00FE5FF8">
              <w:rPr>
                <w:sz w:val="18"/>
                <w:szCs w:val="18"/>
              </w:rPr>
              <w:t>реагирования</w:t>
            </w:r>
            <w:r w:rsidR="00FE5FF8" w:rsidRPr="00FE5FF8">
              <w:rPr>
                <w:sz w:val="18"/>
                <w:szCs w:val="18"/>
              </w:rPr>
              <w:t xml:space="preserve"> </w:t>
            </w:r>
            <w:r w:rsidR="00FE5FF8">
              <w:rPr>
                <w:sz w:val="18"/>
                <w:szCs w:val="18"/>
              </w:rPr>
              <w:t>на</w:t>
            </w:r>
            <w:r w:rsidR="00FE5FF8" w:rsidRPr="00FE5FF8">
              <w:rPr>
                <w:sz w:val="18"/>
                <w:szCs w:val="18"/>
              </w:rPr>
              <w:t xml:space="preserve"> </w:t>
            </w:r>
            <w:r w:rsidR="00FE5FF8">
              <w:rPr>
                <w:sz w:val="18"/>
                <w:szCs w:val="18"/>
              </w:rPr>
              <w:t>проблемы</w:t>
            </w:r>
            <w:r w:rsidR="00FE5FF8" w:rsidRPr="00FE5FF8">
              <w:rPr>
                <w:sz w:val="18"/>
                <w:szCs w:val="18"/>
              </w:rPr>
              <w:t>/</w:t>
            </w:r>
            <w:r w:rsidR="00FE5FF8">
              <w:rPr>
                <w:sz w:val="18"/>
                <w:szCs w:val="18"/>
              </w:rPr>
              <w:t>потребности</w:t>
            </w:r>
            <w:r w:rsidR="00FE5FF8" w:rsidRPr="00FE5FF8">
              <w:rPr>
                <w:sz w:val="18"/>
                <w:szCs w:val="18"/>
              </w:rPr>
              <w:t xml:space="preserve"> </w:t>
            </w:r>
            <w:r w:rsidR="00FE5FF8">
              <w:rPr>
                <w:sz w:val="18"/>
                <w:szCs w:val="18"/>
              </w:rPr>
              <w:t>членов</w:t>
            </w:r>
            <w:r w:rsidR="00FE5FF8" w:rsidRPr="00FE5FF8">
              <w:rPr>
                <w:sz w:val="18"/>
                <w:szCs w:val="18"/>
              </w:rPr>
              <w:t xml:space="preserve"> </w:t>
            </w:r>
            <w:r w:rsidR="00FE5FF8">
              <w:rPr>
                <w:sz w:val="18"/>
                <w:szCs w:val="18"/>
              </w:rPr>
              <w:t>МСЭ и экосистемы ИКТ</w:t>
            </w:r>
            <w:r w:rsidR="00387483" w:rsidRPr="00FE5FF8">
              <w:rPr>
                <w:sz w:val="18"/>
                <w:szCs w:val="18"/>
              </w:rPr>
              <w:t xml:space="preserve">; </w:t>
            </w:r>
            <w:r w:rsidR="009D45B7">
              <w:rPr>
                <w:sz w:val="18"/>
                <w:szCs w:val="18"/>
              </w:rPr>
              <w:t>изучение разрывов в навыках/людских ресурсах, технологиях и инструментах; и определение плана действий для формирования желаемой организационной культуры и навыков, необходимых для поддержания актуальности и конкурентоспособности</w:t>
            </w:r>
            <w:r w:rsidR="00C700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87483" w:rsidRPr="00F3457E" w:rsidRDefault="00387483" w:rsidP="00387483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387483">
              <w:rPr>
                <w:sz w:val="18"/>
                <w:szCs w:val="18"/>
              </w:rPr>
              <w:t>SGO</w:t>
            </w:r>
          </w:p>
        </w:tc>
        <w:tc>
          <w:tcPr>
            <w:tcW w:w="2410" w:type="dxa"/>
          </w:tcPr>
          <w:p w:rsidR="00387483" w:rsidRPr="00A67D63" w:rsidRDefault="00A67D63" w:rsidP="00387483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Планируется</w:t>
            </w:r>
          </w:p>
        </w:tc>
      </w:tr>
      <w:tr w:rsidR="00387483" w:rsidRPr="007101FE" w:rsidTr="0038748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il"/>
            </w:tcBorders>
          </w:tcPr>
          <w:p w:rsidR="00387483" w:rsidRPr="00387483" w:rsidRDefault="00387483" w:rsidP="00CE3E18">
            <w:pPr>
              <w:spacing w:before="20" w:after="20" w:line="21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3" w:type="dxa"/>
            <w:tcBorders>
              <w:left w:val="nil"/>
            </w:tcBorders>
          </w:tcPr>
          <w:p w:rsidR="00387483" w:rsidRPr="00387483" w:rsidRDefault="00387483" w:rsidP="004240AB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87483">
              <w:rPr>
                <w:sz w:val="18"/>
                <w:szCs w:val="18"/>
              </w:rPr>
              <w:t>Обеспечение достижения целей стратегического проектирования системы обеспечения безопасности в Организации Объединенных Наций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t>a</w:t>
            </w:r>
            <w:r w:rsidRPr="00387483">
              <w:rPr>
                <w:sz w:val="18"/>
                <w:szCs w:val="18"/>
              </w:rPr>
              <w:t>) совершенствование физической инфраструктуры обеспечен</w:t>
            </w:r>
            <w:r>
              <w:rPr>
                <w:sz w:val="18"/>
                <w:szCs w:val="18"/>
              </w:rPr>
              <w:t>ия безопасности в штаб-квартире</w:t>
            </w:r>
            <w:r w:rsidRPr="00387483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b</w:t>
            </w:r>
            <w:r w:rsidRPr="0038748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  <w:lang w:val="en-US"/>
              </w:rPr>
              <w:t> </w:t>
            </w:r>
            <w:r w:rsidRPr="00387483">
              <w:rPr>
                <w:sz w:val="18"/>
                <w:szCs w:val="18"/>
              </w:rPr>
              <w:t xml:space="preserve">продолжение аудита оценки безопасности в региональных и зональных отделениях. </w:t>
            </w:r>
            <w:r>
              <w:rPr>
                <w:sz w:val="18"/>
                <w:szCs w:val="18"/>
                <w:lang w:val="en-US"/>
              </w:rPr>
              <w:t>c</w:t>
            </w:r>
            <w:r w:rsidRPr="00387483">
              <w:rPr>
                <w:sz w:val="18"/>
                <w:szCs w:val="18"/>
              </w:rPr>
              <w:t xml:space="preserve">) реализация </w:t>
            </w:r>
            <w:r w:rsidR="00FA00B0" w:rsidRPr="00FA00B0">
              <w:rPr>
                <w:sz w:val="18"/>
                <w:szCs w:val="18"/>
              </w:rPr>
              <w:t xml:space="preserve">Системы обеспечения организационной жизнеспособности </w:t>
            </w:r>
            <w:r w:rsidR="00FA00B0">
              <w:rPr>
                <w:sz w:val="18"/>
                <w:szCs w:val="18"/>
              </w:rPr>
              <w:t>(</w:t>
            </w:r>
            <w:r w:rsidRPr="00387483">
              <w:rPr>
                <w:sz w:val="18"/>
                <w:szCs w:val="18"/>
              </w:rPr>
              <w:t>ORMS</w:t>
            </w:r>
            <w:r w:rsidR="00FA00B0">
              <w:rPr>
                <w:sz w:val="18"/>
                <w:szCs w:val="18"/>
              </w:rPr>
              <w:t>)</w:t>
            </w:r>
            <w:r w:rsidRPr="00387483">
              <w:rPr>
                <w:sz w:val="18"/>
                <w:szCs w:val="18"/>
              </w:rPr>
              <w:t xml:space="preserve"> (штаб-квартира и отделения на местах), </w:t>
            </w:r>
            <w:r>
              <w:rPr>
                <w:sz w:val="18"/>
                <w:szCs w:val="18"/>
                <w:lang w:val="en-US"/>
              </w:rPr>
              <w:t>d</w:t>
            </w:r>
            <w:r w:rsidRPr="00387483">
              <w:rPr>
                <w:sz w:val="18"/>
                <w:szCs w:val="18"/>
              </w:rPr>
              <w:t>) защита помещений (защитная противоударная пленка на окнах)</w:t>
            </w:r>
            <w:r>
              <w:rPr>
                <w:sz w:val="18"/>
                <w:szCs w:val="18"/>
              </w:rPr>
              <w:t xml:space="preserve"> и е) о</w:t>
            </w:r>
            <w:r w:rsidRPr="00387483">
              <w:rPr>
                <w:sz w:val="18"/>
                <w:szCs w:val="18"/>
              </w:rPr>
              <w:t>бсуждение со страной пребывания вопроса о заграждении пешеходных проходов</w:t>
            </w:r>
            <w:r w:rsidR="004240AB">
              <w:rPr>
                <w:sz w:val="18"/>
                <w:szCs w:val="18"/>
              </w:rPr>
              <w:t xml:space="preserve"> и транспортных подъездов</w:t>
            </w:r>
            <w:r w:rsidR="00C700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87483" w:rsidRPr="00387483" w:rsidRDefault="00387483" w:rsidP="008134AD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87483">
              <w:rPr>
                <w:sz w:val="18"/>
                <w:szCs w:val="18"/>
                <w:lang w:val="en-US"/>
              </w:rPr>
              <w:t>ISD</w:t>
            </w:r>
            <w:r w:rsidRPr="00387483">
              <w:rPr>
                <w:sz w:val="18"/>
                <w:szCs w:val="18"/>
              </w:rPr>
              <w:t xml:space="preserve"> (</w:t>
            </w:r>
            <w:r w:rsidR="008134AD">
              <w:rPr>
                <w:sz w:val="18"/>
                <w:szCs w:val="18"/>
              </w:rPr>
              <w:t>уполномоченная ГС МСЭ структура</w:t>
            </w:r>
            <w:r w:rsidRPr="00387483">
              <w:rPr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:rsidR="00387483" w:rsidRPr="007101FE" w:rsidRDefault="00A67D63" w:rsidP="00387483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Осуществляется (постоянно)</w:t>
            </w:r>
          </w:p>
        </w:tc>
      </w:tr>
      <w:tr w:rsidR="00387483" w:rsidRPr="00387483" w:rsidTr="0038748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il"/>
            </w:tcBorders>
          </w:tcPr>
          <w:p w:rsidR="00387483" w:rsidRPr="00387483" w:rsidRDefault="00387483" w:rsidP="00CE3E18">
            <w:pPr>
              <w:spacing w:before="20" w:after="20" w:line="21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3" w:type="dxa"/>
            <w:tcBorders>
              <w:left w:val="nil"/>
            </w:tcBorders>
          </w:tcPr>
          <w:p w:rsidR="00387483" w:rsidRPr="00387483" w:rsidRDefault="00FF3DF4" w:rsidP="00006B5F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  <w:r w:rsidR="00387483" w:rsidRPr="00387483">
              <w:rPr>
                <w:sz w:val="18"/>
                <w:szCs w:val="18"/>
              </w:rPr>
              <w:t xml:space="preserve"> обеспечения непрерывной деятельности МСЭ в целом на глобальном уровне</w:t>
            </w:r>
            <w:r w:rsidR="00FA00B0">
              <w:rPr>
                <w:sz w:val="18"/>
                <w:szCs w:val="18"/>
              </w:rPr>
              <w:t xml:space="preserve"> (как часть </w:t>
            </w:r>
            <w:r w:rsidR="00FA00B0">
              <w:rPr>
                <w:sz w:val="18"/>
                <w:szCs w:val="18"/>
                <w:lang w:val="en-US"/>
              </w:rPr>
              <w:t>ORMS</w:t>
            </w:r>
            <w:r w:rsidR="00FA00B0" w:rsidRPr="00FA00B0">
              <w:rPr>
                <w:sz w:val="18"/>
                <w:szCs w:val="18"/>
              </w:rPr>
              <w:t>)</w:t>
            </w:r>
            <w:r w:rsidR="00387483" w:rsidRPr="00387483">
              <w:rPr>
                <w:sz w:val="18"/>
                <w:szCs w:val="18"/>
              </w:rPr>
              <w:t xml:space="preserve">, в том числе </w:t>
            </w:r>
            <w:r w:rsidR="00006B5F">
              <w:rPr>
                <w:sz w:val="18"/>
                <w:szCs w:val="18"/>
              </w:rPr>
              <w:t>укрепление</w:t>
            </w:r>
            <w:r w:rsidR="00387483" w:rsidRPr="00387483">
              <w:rPr>
                <w:sz w:val="18"/>
                <w:szCs w:val="18"/>
              </w:rPr>
              <w:t xml:space="preserve"> средств дистанционного участия</w:t>
            </w:r>
            <w:r w:rsidR="00C700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87483" w:rsidRPr="00387483" w:rsidRDefault="00387483" w:rsidP="00387483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87483">
              <w:rPr>
                <w:sz w:val="18"/>
                <w:szCs w:val="18"/>
                <w:lang w:val="en-US"/>
              </w:rPr>
              <w:t>ISD</w:t>
            </w:r>
          </w:p>
        </w:tc>
        <w:tc>
          <w:tcPr>
            <w:tcW w:w="2410" w:type="dxa"/>
          </w:tcPr>
          <w:p w:rsidR="00387483" w:rsidRPr="00A67D63" w:rsidRDefault="000870EB" w:rsidP="00A67D63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В процессе </w:t>
            </w:r>
            <w:r w:rsidR="00A67D63">
              <w:rPr>
                <w:sz w:val="18"/>
                <w:szCs w:val="18"/>
              </w:rPr>
              <w:t>реализации</w:t>
            </w:r>
          </w:p>
        </w:tc>
      </w:tr>
      <w:tr w:rsidR="00387483" w:rsidRPr="007101FE" w:rsidTr="0038748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il"/>
            </w:tcBorders>
          </w:tcPr>
          <w:p w:rsidR="00387483" w:rsidRPr="00387483" w:rsidRDefault="00387483" w:rsidP="00CE3E18">
            <w:pPr>
              <w:spacing w:before="20" w:after="20" w:line="21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3" w:type="dxa"/>
            <w:tcBorders>
              <w:left w:val="nil"/>
            </w:tcBorders>
          </w:tcPr>
          <w:p w:rsidR="00387483" w:rsidRPr="00387483" w:rsidRDefault="00FA00B0" w:rsidP="00C70005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Базовый п</w:t>
            </w:r>
            <w:r w:rsidR="00387483" w:rsidRPr="00387483">
              <w:rPr>
                <w:sz w:val="18"/>
                <w:szCs w:val="18"/>
              </w:rPr>
              <w:t xml:space="preserve">лан восстановления </w:t>
            </w:r>
            <w:r w:rsidRPr="00387483">
              <w:rPr>
                <w:sz w:val="18"/>
                <w:szCs w:val="18"/>
              </w:rPr>
              <w:t xml:space="preserve">ИКТ </w:t>
            </w:r>
            <w:r w:rsidR="00387483" w:rsidRPr="00387483">
              <w:rPr>
                <w:sz w:val="18"/>
                <w:szCs w:val="18"/>
              </w:rPr>
              <w:t>после бедствий и обеспечения непрерывно</w:t>
            </w:r>
            <w:r>
              <w:rPr>
                <w:sz w:val="18"/>
                <w:szCs w:val="18"/>
              </w:rPr>
              <w:t xml:space="preserve">сти </w:t>
            </w:r>
            <w:r w:rsidR="0037715B">
              <w:rPr>
                <w:sz w:val="18"/>
                <w:szCs w:val="18"/>
              </w:rPr>
              <w:t>фун</w:t>
            </w:r>
            <w:r w:rsidR="00C70005">
              <w:rPr>
                <w:sz w:val="18"/>
                <w:szCs w:val="18"/>
              </w:rPr>
              <w:t>к</w:t>
            </w:r>
            <w:r w:rsidR="0037715B">
              <w:rPr>
                <w:sz w:val="18"/>
                <w:szCs w:val="18"/>
              </w:rPr>
              <w:t>ционирования</w:t>
            </w:r>
            <w:r w:rsidR="00C700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87483" w:rsidRPr="007101FE" w:rsidRDefault="00387483" w:rsidP="00387483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r w:rsidRPr="00387483">
              <w:rPr>
                <w:sz w:val="18"/>
                <w:szCs w:val="18"/>
                <w:lang w:val="en-US"/>
              </w:rPr>
              <w:t>ISD</w:t>
            </w:r>
          </w:p>
        </w:tc>
        <w:tc>
          <w:tcPr>
            <w:tcW w:w="2410" w:type="dxa"/>
          </w:tcPr>
          <w:p w:rsidR="00387483" w:rsidRPr="00A67D63" w:rsidRDefault="000870EB" w:rsidP="00A67D63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В процессе </w:t>
            </w:r>
            <w:r w:rsidR="00A67D63">
              <w:rPr>
                <w:sz w:val="18"/>
                <w:szCs w:val="18"/>
              </w:rPr>
              <w:t>реализации</w:t>
            </w:r>
          </w:p>
        </w:tc>
      </w:tr>
      <w:tr w:rsidR="00387483" w:rsidRPr="007101FE" w:rsidTr="0038748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il"/>
            </w:tcBorders>
          </w:tcPr>
          <w:p w:rsidR="00387483" w:rsidRPr="00387483" w:rsidRDefault="00387483" w:rsidP="00CE3E18">
            <w:pPr>
              <w:spacing w:before="20" w:after="20" w:line="21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3" w:type="dxa"/>
            <w:tcBorders>
              <w:left w:val="nil"/>
            </w:tcBorders>
          </w:tcPr>
          <w:p w:rsidR="00387483" w:rsidRPr="00387483" w:rsidRDefault="0037715B" w:rsidP="00CE3E18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Заблаговременное</w:t>
            </w:r>
            <w:r w:rsidR="00387483" w:rsidRPr="00387483">
              <w:rPr>
                <w:sz w:val="18"/>
                <w:szCs w:val="18"/>
              </w:rPr>
              <w:t xml:space="preserve"> взаимодействие с членами МСЭ (как на уровне штаб-квартиры, так и при работе через региональные отделения)</w:t>
            </w:r>
            <w:r w:rsidR="00C700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87483" w:rsidRPr="007101FE" w:rsidRDefault="00387483" w:rsidP="00A67D63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87483">
              <w:rPr>
                <w:sz w:val="18"/>
                <w:szCs w:val="18"/>
              </w:rPr>
              <w:t xml:space="preserve">FRMD, SPM </w:t>
            </w:r>
            <w:r w:rsidR="00A67D63">
              <w:rPr>
                <w:sz w:val="18"/>
                <w:szCs w:val="18"/>
              </w:rPr>
              <w:t>и Сектора</w:t>
            </w:r>
          </w:p>
        </w:tc>
        <w:tc>
          <w:tcPr>
            <w:tcW w:w="2410" w:type="dxa"/>
          </w:tcPr>
          <w:p w:rsidR="00387483" w:rsidRPr="007101FE" w:rsidRDefault="00A67D63" w:rsidP="00387483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Осуществляется (постоянно)</w:t>
            </w:r>
          </w:p>
        </w:tc>
      </w:tr>
      <w:tr w:rsidR="00387483" w:rsidRPr="007101FE" w:rsidTr="0038748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il"/>
            </w:tcBorders>
          </w:tcPr>
          <w:p w:rsidR="00387483" w:rsidRPr="00387483" w:rsidRDefault="00387483" w:rsidP="00CE3E18">
            <w:pPr>
              <w:spacing w:before="20" w:after="20" w:line="21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3" w:type="dxa"/>
            <w:tcBorders>
              <w:left w:val="nil"/>
            </w:tcBorders>
          </w:tcPr>
          <w:p w:rsidR="00387483" w:rsidRPr="00387483" w:rsidRDefault="00E104E0" w:rsidP="00006B5F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</w:t>
            </w:r>
            <w:r w:rsidR="00387483" w:rsidRPr="00387483">
              <w:rPr>
                <w:sz w:val="18"/>
                <w:szCs w:val="18"/>
              </w:rPr>
              <w:t xml:space="preserve"> стратегического плана в области людских ресурсов, </w:t>
            </w:r>
            <w:r>
              <w:rPr>
                <w:sz w:val="18"/>
                <w:szCs w:val="18"/>
              </w:rPr>
              <w:t>определяющего</w:t>
            </w:r>
            <w:r w:rsidR="00387483" w:rsidRPr="00387483">
              <w:rPr>
                <w:sz w:val="18"/>
                <w:szCs w:val="18"/>
              </w:rPr>
              <w:t xml:space="preserve"> кадровые потребности и потребности в области хозяйственной деятельности путем планирования </w:t>
            </w:r>
            <w:r w:rsidR="00006B5F">
              <w:rPr>
                <w:sz w:val="18"/>
                <w:szCs w:val="18"/>
              </w:rPr>
              <w:t>рабочей силы</w:t>
            </w:r>
            <w:r w:rsidR="00387483" w:rsidRPr="00387483">
              <w:rPr>
                <w:sz w:val="18"/>
                <w:szCs w:val="18"/>
              </w:rPr>
              <w:t xml:space="preserve">, анализа пробелов </w:t>
            </w:r>
            <w:r w:rsidR="00C942B6">
              <w:rPr>
                <w:sz w:val="18"/>
                <w:szCs w:val="18"/>
              </w:rPr>
              <w:t>на основе</w:t>
            </w:r>
            <w:r w:rsidR="00387483" w:rsidRPr="00387483">
              <w:rPr>
                <w:sz w:val="18"/>
                <w:szCs w:val="18"/>
              </w:rPr>
              <w:t xml:space="preserve"> управления показателями деятельности и удовлетворения потребностей в квалификации и компетенции благодаря обучению и развитию. Обеспечение</w:t>
            </w:r>
            <w:r>
              <w:rPr>
                <w:sz w:val="18"/>
                <w:szCs w:val="18"/>
              </w:rPr>
              <w:t xml:space="preserve"> процедур</w:t>
            </w:r>
            <w:r w:rsidR="00387483" w:rsidRPr="00387483">
              <w:rPr>
                <w:sz w:val="18"/>
                <w:szCs w:val="18"/>
              </w:rPr>
              <w:t xml:space="preserve"> и процесс</w:t>
            </w:r>
            <w:r>
              <w:rPr>
                <w:sz w:val="18"/>
                <w:szCs w:val="18"/>
              </w:rPr>
              <w:t>ов</w:t>
            </w:r>
            <w:r w:rsidR="00387483" w:rsidRPr="00387483">
              <w:rPr>
                <w:sz w:val="18"/>
                <w:szCs w:val="18"/>
              </w:rPr>
              <w:t xml:space="preserve"> в области людских ресурсов</w:t>
            </w:r>
            <w:r>
              <w:rPr>
                <w:sz w:val="18"/>
                <w:szCs w:val="18"/>
              </w:rPr>
              <w:t>,</w:t>
            </w:r>
            <w:r w:rsidR="00387483" w:rsidRPr="00387483">
              <w:rPr>
                <w:sz w:val="18"/>
                <w:szCs w:val="18"/>
              </w:rPr>
              <w:t xml:space="preserve"> поддержива</w:t>
            </w:r>
            <w:r>
              <w:rPr>
                <w:sz w:val="18"/>
                <w:szCs w:val="18"/>
              </w:rPr>
              <w:t>ющих</w:t>
            </w:r>
            <w:r w:rsidR="00387483" w:rsidRPr="00387483">
              <w:rPr>
                <w:sz w:val="18"/>
                <w:szCs w:val="18"/>
              </w:rPr>
              <w:t xml:space="preserve"> универсальность, оперативность и подготовленность </w:t>
            </w:r>
            <w:r>
              <w:rPr>
                <w:sz w:val="18"/>
                <w:szCs w:val="18"/>
              </w:rPr>
              <w:t>рабочей силы</w:t>
            </w:r>
            <w:r w:rsidR="00387483" w:rsidRPr="00387483">
              <w:rPr>
                <w:sz w:val="18"/>
                <w:szCs w:val="18"/>
              </w:rPr>
              <w:t xml:space="preserve"> в соответствии с Положениями о персонале и Правилами о персонале, а также общей системой политики ООН</w:t>
            </w:r>
            <w:r w:rsidR="00C700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87483" w:rsidRPr="007101FE" w:rsidRDefault="00387483" w:rsidP="00387483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87483">
              <w:rPr>
                <w:sz w:val="18"/>
                <w:szCs w:val="18"/>
              </w:rPr>
              <w:t>HRMD</w:t>
            </w:r>
          </w:p>
        </w:tc>
        <w:tc>
          <w:tcPr>
            <w:tcW w:w="2410" w:type="dxa"/>
          </w:tcPr>
          <w:p w:rsidR="00387483" w:rsidRPr="00A67D63" w:rsidRDefault="000870EB" w:rsidP="00A67D63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В процессе </w:t>
            </w:r>
            <w:r w:rsidR="00A67D63">
              <w:rPr>
                <w:sz w:val="18"/>
                <w:szCs w:val="18"/>
              </w:rPr>
              <w:t>реализации</w:t>
            </w:r>
          </w:p>
        </w:tc>
      </w:tr>
      <w:tr w:rsidR="00387483" w:rsidRPr="007101FE" w:rsidTr="0038748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il"/>
            </w:tcBorders>
          </w:tcPr>
          <w:p w:rsidR="00387483" w:rsidRPr="00387483" w:rsidRDefault="00387483" w:rsidP="00CE3E18">
            <w:pPr>
              <w:spacing w:before="20" w:after="20" w:line="21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3" w:type="dxa"/>
            <w:tcBorders>
              <w:left w:val="nil"/>
            </w:tcBorders>
          </w:tcPr>
          <w:p w:rsidR="00387483" w:rsidRPr="00C942B6" w:rsidRDefault="00C942B6" w:rsidP="00C942B6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Укрепление</w:t>
            </w:r>
            <w:r w:rsidRPr="00C942B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системы</w:t>
            </w:r>
            <w:r w:rsidRPr="00C942B6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механизмов</w:t>
            </w:r>
            <w:r w:rsidRPr="00C942B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внутреннего контроля</w:t>
            </w:r>
            <w:r w:rsidR="00C700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87483" w:rsidRPr="007101FE" w:rsidRDefault="00387483" w:rsidP="00387483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87483">
              <w:rPr>
                <w:sz w:val="18"/>
                <w:szCs w:val="18"/>
              </w:rPr>
              <w:t>SGO</w:t>
            </w:r>
          </w:p>
        </w:tc>
        <w:tc>
          <w:tcPr>
            <w:tcW w:w="2410" w:type="dxa"/>
          </w:tcPr>
          <w:p w:rsidR="00387483" w:rsidRPr="007101FE" w:rsidRDefault="00A67D63" w:rsidP="00387483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Осуществляется</w:t>
            </w:r>
          </w:p>
        </w:tc>
      </w:tr>
      <w:tr w:rsidR="00387483" w:rsidRPr="007101FE" w:rsidTr="0038748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il"/>
            </w:tcBorders>
          </w:tcPr>
          <w:p w:rsidR="00387483" w:rsidRPr="00387483" w:rsidRDefault="00387483" w:rsidP="00CE3E18">
            <w:pPr>
              <w:spacing w:before="20" w:after="20" w:line="21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3" w:type="dxa"/>
            <w:tcBorders>
              <w:left w:val="nil"/>
            </w:tcBorders>
          </w:tcPr>
          <w:p w:rsidR="00387483" w:rsidRPr="00387483" w:rsidRDefault="00387483" w:rsidP="00C942B6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87483">
              <w:rPr>
                <w:sz w:val="18"/>
                <w:szCs w:val="18"/>
              </w:rPr>
              <w:t xml:space="preserve">Постоянный </w:t>
            </w:r>
            <w:r w:rsidR="00C942B6">
              <w:rPr>
                <w:sz w:val="18"/>
                <w:szCs w:val="18"/>
              </w:rPr>
              <w:t>мониторинг</w:t>
            </w:r>
            <w:r w:rsidRPr="00387483">
              <w:rPr>
                <w:sz w:val="18"/>
                <w:szCs w:val="18"/>
              </w:rPr>
              <w:t xml:space="preserve"> и </w:t>
            </w:r>
            <w:r w:rsidR="00C942B6">
              <w:rPr>
                <w:sz w:val="18"/>
                <w:szCs w:val="18"/>
              </w:rPr>
              <w:t>заблаговременное</w:t>
            </w:r>
            <w:r w:rsidRPr="00387483">
              <w:rPr>
                <w:sz w:val="18"/>
                <w:szCs w:val="18"/>
              </w:rPr>
              <w:t xml:space="preserve"> взаимодействие с членами МСЭ (как на уровне штаб-квартиры, так и при работе через региональные отделения)</w:t>
            </w:r>
            <w:r>
              <w:rPr>
                <w:sz w:val="18"/>
                <w:szCs w:val="18"/>
              </w:rPr>
              <w:t xml:space="preserve">; </w:t>
            </w:r>
            <w:r w:rsidR="00C942B6">
              <w:rPr>
                <w:sz w:val="18"/>
                <w:szCs w:val="18"/>
              </w:rPr>
              <w:t>мониторинг</w:t>
            </w:r>
            <w:r w:rsidRPr="00387483">
              <w:rPr>
                <w:sz w:val="18"/>
                <w:szCs w:val="18"/>
              </w:rPr>
              <w:t xml:space="preserve"> доход</w:t>
            </w:r>
            <w:r w:rsidR="00C942B6">
              <w:rPr>
                <w:sz w:val="18"/>
                <w:szCs w:val="18"/>
              </w:rPr>
              <w:t>ов</w:t>
            </w:r>
            <w:r w:rsidRPr="00387483">
              <w:rPr>
                <w:sz w:val="18"/>
                <w:szCs w:val="18"/>
              </w:rPr>
              <w:t xml:space="preserve"> и </w:t>
            </w:r>
            <w:r w:rsidR="00C942B6">
              <w:rPr>
                <w:sz w:val="18"/>
                <w:szCs w:val="18"/>
              </w:rPr>
              <w:t>заблаговременное</w:t>
            </w:r>
            <w:r w:rsidRPr="00387483">
              <w:rPr>
                <w:sz w:val="18"/>
                <w:szCs w:val="18"/>
              </w:rPr>
              <w:t xml:space="preserve"> взаимодействие с руководством</w:t>
            </w:r>
            <w:r w:rsidR="00C700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87483" w:rsidRPr="007101FE" w:rsidRDefault="00387483" w:rsidP="00387483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87483">
              <w:rPr>
                <w:sz w:val="18"/>
                <w:szCs w:val="18"/>
              </w:rPr>
              <w:t xml:space="preserve">FRMD, SPM </w:t>
            </w:r>
            <w:r w:rsidR="00A67D63">
              <w:rPr>
                <w:sz w:val="18"/>
                <w:szCs w:val="18"/>
              </w:rPr>
              <w:t>и Сектора</w:t>
            </w:r>
          </w:p>
        </w:tc>
        <w:tc>
          <w:tcPr>
            <w:tcW w:w="2410" w:type="dxa"/>
          </w:tcPr>
          <w:p w:rsidR="00387483" w:rsidRPr="007101FE" w:rsidRDefault="00A67D63" w:rsidP="00387483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Осуществляется (постоянно)</w:t>
            </w:r>
          </w:p>
        </w:tc>
      </w:tr>
      <w:tr w:rsidR="00387483" w:rsidRPr="007101FE" w:rsidTr="0038748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il"/>
            </w:tcBorders>
          </w:tcPr>
          <w:p w:rsidR="00387483" w:rsidRPr="00387483" w:rsidRDefault="00387483" w:rsidP="00CE3E18">
            <w:pPr>
              <w:spacing w:before="20" w:after="20" w:line="21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23" w:type="dxa"/>
            <w:tcBorders>
              <w:left w:val="nil"/>
            </w:tcBorders>
          </w:tcPr>
          <w:p w:rsidR="00387483" w:rsidRPr="00FF3DF4" w:rsidRDefault="00387483" w:rsidP="00006B5F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87483">
              <w:rPr>
                <w:sz w:val="18"/>
                <w:szCs w:val="18"/>
                <w:lang w:val="en-US"/>
              </w:rPr>
              <w:t>ORMS</w:t>
            </w:r>
            <w:r w:rsidR="00C942B6" w:rsidRPr="00FF3DF4">
              <w:rPr>
                <w:sz w:val="18"/>
                <w:szCs w:val="18"/>
              </w:rPr>
              <w:t xml:space="preserve"> </w:t>
            </w:r>
            <w:r w:rsidR="00C942B6">
              <w:rPr>
                <w:sz w:val="18"/>
                <w:szCs w:val="18"/>
              </w:rPr>
              <w:t>на</w:t>
            </w:r>
            <w:r w:rsidR="00C942B6" w:rsidRPr="00FF3DF4">
              <w:rPr>
                <w:sz w:val="18"/>
                <w:szCs w:val="18"/>
              </w:rPr>
              <w:t xml:space="preserve"> </w:t>
            </w:r>
            <w:r w:rsidR="00C942B6">
              <w:rPr>
                <w:sz w:val="18"/>
                <w:szCs w:val="18"/>
              </w:rPr>
              <w:t>уровне</w:t>
            </w:r>
            <w:r w:rsidR="00C942B6" w:rsidRPr="00FF3DF4">
              <w:rPr>
                <w:sz w:val="18"/>
                <w:szCs w:val="18"/>
              </w:rPr>
              <w:t xml:space="preserve"> </w:t>
            </w:r>
            <w:r w:rsidR="00C942B6">
              <w:rPr>
                <w:sz w:val="18"/>
                <w:szCs w:val="18"/>
              </w:rPr>
              <w:t>МСЭ</w:t>
            </w:r>
            <w:r w:rsidRPr="00FF3DF4">
              <w:rPr>
                <w:sz w:val="18"/>
                <w:szCs w:val="18"/>
              </w:rPr>
              <w:t>,</w:t>
            </w:r>
            <w:r w:rsidR="00FF3DF4" w:rsidRPr="00FF3DF4">
              <w:rPr>
                <w:sz w:val="18"/>
                <w:szCs w:val="18"/>
              </w:rPr>
              <w:t xml:space="preserve"> </w:t>
            </w:r>
            <w:r w:rsidR="00FF3DF4">
              <w:rPr>
                <w:sz w:val="18"/>
                <w:szCs w:val="18"/>
              </w:rPr>
              <w:t>включая</w:t>
            </w:r>
            <w:r w:rsidR="00FF3DF4" w:rsidRPr="00FF3DF4">
              <w:rPr>
                <w:sz w:val="18"/>
                <w:szCs w:val="18"/>
              </w:rPr>
              <w:t xml:space="preserve"> </w:t>
            </w:r>
            <w:r w:rsidR="00FF3DF4">
              <w:rPr>
                <w:sz w:val="18"/>
                <w:szCs w:val="18"/>
              </w:rPr>
              <w:t>политику</w:t>
            </w:r>
            <w:r w:rsidR="00FF3DF4" w:rsidRPr="00FF3DF4">
              <w:rPr>
                <w:sz w:val="18"/>
                <w:szCs w:val="18"/>
              </w:rPr>
              <w:t xml:space="preserve"> </w:t>
            </w:r>
            <w:r w:rsidR="00FF3DF4">
              <w:rPr>
                <w:sz w:val="18"/>
                <w:szCs w:val="18"/>
              </w:rPr>
              <w:t>и</w:t>
            </w:r>
            <w:r w:rsidR="00FF3DF4" w:rsidRPr="00FF3DF4">
              <w:rPr>
                <w:sz w:val="18"/>
                <w:szCs w:val="18"/>
              </w:rPr>
              <w:t xml:space="preserve"> </w:t>
            </w:r>
            <w:r w:rsidR="00FF3DF4">
              <w:rPr>
                <w:sz w:val="18"/>
                <w:szCs w:val="18"/>
              </w:rPr>
              <w:t>процедуру</w:t>
            </w:r>
            <w:r w:rsidR="00FF3DF4" w:rsidRPr="00FF3DF4">
              <w:rPr>
                <w:sz w:val="18"/>
                <w:szCs w:val="18"/>
              </w:rPr>
              <w:t xml:space="preserve"> </w:t>
            </w:r>
            <w:r w:rsidR="00FF3DF4">
              <w:rPr>
                <w:sz w:val="18"/>
                <w:szCs w:val="18"/>
              </w:rPr>
              <w:t>управления</w:t>
            </w:r>
            <w:r w:rsidR="00FF3DF4" w:rsidRPr="00FF3DF4">
              <w:rPr>
                <w:sz w:val="18"/>
                <w:szCs w:val="18"/>
              </w:rPr>
              <w:t xml:space="preserve"> </w:t>
            </w:r>
            <w:r w:rsidR="00FF3DF4">
              <w:rPr>
                <w:sz w:val="18"/>
                <w:szCs w:val="18"/>
              </w:rPr>
              <w:t>в</w:t>
            </w:r>
            <w:r w:rsidR="00FF3DF4" w:rsidRPr="00FF3DF4">
              <w:rPr>
                <w:sz w:val="18"/>
                <w:szCs w:val="18"/>
              </w:rPr>
              <w:t xml:space="preserve"> </w:t>
            </w:r>
            <w:r w:rsidR="00FF3DF4">
              <w:rPr>
                <w:sz w:val="18"/>
                <w:szCs w:val="18"/>
              </w:rPr>
              <w:t>кризисных</w:t>
            </w:r>
            <w:r w:rsidR="00FF3DF4" w:rsidRPr="00FF3DF4">
              <w:rPr>
                <w:sz w:val="18"/>
                <w:szCs w:val="18"/>
              </w:rPr>
              <w:t xml:space="preserve"> </w:t>
            </w:r>
            <w:r w:rsidR="00FF3DF4">
              <w:rPr>
                <w:sz w:val="18"/>
                <w:szCs w:val="18"/>
              </w:rPr>
              <w:t xml:space="preserve">ситуациях </w:t>
            </w:r>
            <w:r w:rsidR="00FF3DF4" w:rsidRPr="00FF3DF4">
              <w:rPr>
                <w:sz w:val="18"/>
                <w:szCs w:val="18"/>
              </w:rPr>
              <w:t>(</w:t>
            </w:r>
            <w:r w:rsidR="00FF3DF4" w:rsidRPr="00387483">
              <w:rPr>
                <w:sz w:val="18"/>
                <w:szCs w:val="18"/>
                <w:lang w:val="en-US"/>
              </w:rPr>
              <w:t>CM</w:t>
            </w:r>
            <w:r w:rsidR="00006B5F">
              <w:rPr>
                <w:sz w:val="18"/>
                <w:szCs w:val="18"/>
              </w:rPr>
              <w:t>), в том числе</w:t>
            </w:r>
            <w:r w:rsidR="00FF3DF4" w:rsidRPr="00FF3DF4">
              <w:rPr>
                <w:sz w:val="18"/>
                <w:szCs w:val="18"/>
              </w:rPr>
              <w:t xml:space="preserve"> </w:t>
            </w:r>
            <w:r w:rsidR="00FF3DF4">
              <w:rPr>
                <w:sz w:val="18"/>
                <w:szCs w:val="18"/>
              </w:rPr>
              <w:t xml:space="preserve">план управления непрерывностью деятельности </w:t>
            </w:r>
            <w:r w:rsidR="00FF3DF4" w:rsidRPr="00FF3DF4">
              <w:rPr>
                <w:sz w:val="18"/>
                <w:szCs w:val="18"/>
              </w:rPr>
              <w:t>(</w:t>
            </w:r>
            <w:r w:rsidR="00FF3DF4" w:rsidRPr="00387483">
              <w:rPr>
                <w:sz w:val="18"/>
                <w:szCs w:val="18"/>
                <w:lang w:val="en-US"/>
              </w:rPr>
              <w:t>BC</w:t>
            </w:r>
            <w:r w:rsidR="00FF3DF4" w:rsidRPr="00FF3DF4">
              <w:rPr>
                <w:sz w:val="18"/>
                <w:szCs w:val="18"/>
              </w:rPr>
              <w:t>)</w:t>
            </w:r>
            <w:r w:rsidR="00FF3DF4">
              <w:rPr>
                <w:sz w:val="18"/>
                <w:szCs w:val="18"/>
              </w:rPr>
              <w:t>, и обеспечение механизма эффективного управления связью в кризисной ситуации</w:t>
            </w:r>
            <w:r w:rsidRPr="00FF3DF4">
              <w:rPr>
                <w:sz w:val="18"/>
                <w:szCs w:val="18"/>
              </w:rPr>
              <w:t xml:space="preserve"> (</w:t>
            </w:r>
            <w:r w:rsidRPr="00387483">
              <w:rPr>
                <w:sz w:val="18"/>
                <w:szCs w:val="18"/>
                <w:lang w:val="en-US"/>
              </w:rPr>
              <w:t>CC</w:t>
            </w:r>
            <w:r w:rsidRPr="00FF3DF4">
              <w:rPr>
                <w:sz w:val="18"/>
                <w:szCs w:val="18"/>
              </w:rPr>
              <w:t>)</w:t>
            </w:r>
            <w:r w:rsidR="00C700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87483" w:rsidRPr="007101FE" w:rsidRDefault="00387483" w:rsidP="00387483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87483">
              <w:rPr>
                <w:sz w:val="18"/>
                <w:szCs w:val="18"/>
              </w:rPr>
              <w:t>SGO</w:t>
            </w:r>
          </w:p>
        </w:tc>
        <w:tc>
          <w:tcPr>
            <w:tcW w:w="2410" w:type="dxa"/>
          </w:tcPr>
          <w:p w:rsidR="00387483" w:rsidRPr="007101FE" w:rsidRDefault="00A67D63" w:rsidP="00387483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Осуществляется</w:t>
            </w:r>
          </w:p>
        </w:tc>
      </w:tr>
      <w:tr w:rsidR="00387483" w:rsidRPr="007101FE" w:rsidTr="0038748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il"/>
            </w:tcBorders>
          </w:tcPr>
          <w:p w:rsidR="00387483" w:rsidRDefault="00387483" w:rsidP="00CE3E18">
            <w:pPr>
              <w:spacing w:before="20" w:after="20" w:line="21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9923" w:type="dxa"/>
            <w:tcBorders>
              <w:left w:val="nil"/>
            </w:tcBorders>
          </w:tcPr>
          <w:p w:rsidR="00387483" w:rsidRPr="00C70005" w:rsidRDefault="000A6A26" w:rsidP="003C02EB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Стратегия</w:t>
            </w:r>
            <w:r w:rsidRPr="00C24D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цифровой</w:t>
            </w:r>
            <w:r w:rsidRPr="00C24D5F">
              <w:rPr>
                <w:sz w:val="18"/>
                <w:szCs w:val="18"/>
              </w:rPr>
              <w:t xml:space="preserve"> </w:t>
            </w:r>
            <w:r w:rsidR="00006B5F">
              <w:rPr>
                <w:sz w:val="18"/>
                <w:szCs w:val="18"/>
              </w:rPr>
              <w:t>коммуникации</w:t>
            </w:r>
            <w:r w:rsidRPr="00C24D5F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ориентированная</w:t>
            </w:r>
            <w:r w:rsidRPr="00C24D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  <w:r w:rsidRPr="00C24D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ежедневное</w:t>
            </w:r>
            <w:r w:rsidRPr="00C24D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прослушивание</w:t>
            </w:r>
            <w:r w:rsidRPr="00C24D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медиасреды</w:t>
            </w:r>
            <w:r w:rsidRPr="00C24D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Pr="00C24D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новостных</w:t>
            </w:r>
            <w:r w:rsidRPr="00C24D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СМИ</w:t>
            </w:r>
            <w:r w:rsidRPr="00C24D5F">
              <w:rPr>
                <w:sz w:val="18"/>
                <w:szCs w:val="18"/>
              </w:rPr>
              <w:t xml:space="preserve"> </w:t>
            </w:r>
            <w:r w:rsidR="00387483" w:rsidRPr="00C24D5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включая</w:t>
            </w:r>
            <w:r w:rsidRPr="00C24D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макротенденции</w:t>
            </w:r>
            <w:r w:rsidR="00387483" w:rsidRPr="00C24D5F">
              <w:rPr>
                <w:sz w:val="18"/>
                <w:szCs w:val="18"/>
              </w:rPr>
              <w:t xml:space="preserve">); </w:t>
            </w:r>
            <w:r w:rsidR="00C24D5F">
              <w:rPr>
                <w:sz w:val="18"/>
                <w:szCs w:val="18"/>
              </w:rPr>
              <w:t>сопоставление</w:t>
            </w:r>
            <w:r w:rsidR="00C24D5F" w:rsidRPr="00C24D5F">
              <w:rPr>
                <w:sz w:val="18"/>
                <w:szCs w:val="18"/>
              </w:rPr>
              <w:t xml:space="preserve"> </w:t>
            </w:r>
            <w:r w:rsidR="00C24D5F">
              <w:rPr>
                <w:sz w:val="18"/>
                <w:szCs w:val="18"/>
              </w:rPr>
              <w:t>и</w:t>
            </w:r>
            <w:r w:rsidR="00C24D5F" w:rsidRPr="00C24D5F">
              <w:rPr>
                <w:sz w:val="18"/>
                <w:szCs w:val="18"/>
              </w:rPr>
              <w:t xml:space="preserve"> </w:t>
            </w:r>
            <w:r w:rsidR="00C24D5F">
              <w:rPr>
                <w:sz w:val="18"/>
                <w:szCs w:val="18"/>
              </w:rPr>
              <w:t>взаимосвязи</w:t>
            </w:r>
            <w:r w:rsidR="00C24D5F" w:rsidRPr="00C24D5F">
              <w:rPr>
                <w:sz w:val="18"/>
                <w:szCs w:val="18"/>
              </w:rPr>
              <w:t xml:space="preserve"> </w:t>
            </w:r>
            <w:r w:rsidR="00C24D5F">
              <w:rPr>
                <w:sz w:val="18"/>
                <w:szCs w:val="18"/>
              </w:rPr>
              <w:t>влияющих</w:t>
            </w:r>
            <w:r w:rsidR="00C24D5F" w:rsidRPr="00C24D5F">
              <w:rPr>
                <w:sz w:val="18"/>
                <w:szCs w:val="18"/>
              </w:rPr>
              <w:t xml:space="preserve"> (</w:t>
            </w:r>
            <w:r w:rsidR="00C24D5F">
              <w:rPr>
                <w:sz w:val="18"/>
                <w:szCs w:val="18"/>
              </w:rPr>
              <w:t>микро</w:t>
            </w:r>
            <w:r w:rsidR="00C24D5F" w:rsidRPr="00C24D5F">
              <w:rPr>
                <w:sz w:val="18"/>
                <w:szCs w:val="18"/>
              </w:rPr>
              <w:t>)</w:t>
            </w:r>
            <w:r w:rsidR="00C24D5F">
              <w:rPr>
                <w:sz w:val="18"/>
                <w:szCs w:val="18"/>
              </w:rPr>
              <w:t>факторов</w:t>
            </w:r>
            <w:r w:rsidR="00387483" w:rsidRPr="00C24D5F">
              <w:rPr>
                <w:sz w:val="18"/>
                <w:szCs w:val="18"/>
              </w:rPr>
              <w:t xml:space="preserve">; </w:t>
            </w:r>
            <w:r w:rsidR="00C24D5F">
              <w:rPr>
                <w:sz w:val="18"/>
                <w:szCs w:val="18"/>
              </w:rPr>
              <w:t>управление в кризисной ситуации и управление репутационными рисками</w:t>
            </w:r>
            <w:r w:rsidR="00387483" w:rsidRPr="00C24D5F">
              <w:rPr>
                <w:sz w:val="18"/>
                <w:szCs w:val="18"/>
              </w:rPr>
              <w:t xml:space="preserve">; </w:t>
            </w:r>
            <w:r w:rsidR="00C24D5F">
              <w:rPr>
                <w:sz w:val="18"/>
                <w:szCs w:val="18"/>
              </w:rPr>
              <w:t>контент-маркетинг, включая рекламу в медиасреде</w:t>
            </w:r>
            <w:r w:rsidR="00387483" w:rsidRPr="00C24D5F">
              <w:rPr>
                <w:sz w:val="18"/>
                <w:szCs w:val="18"/>
              </w:rPr>
              <w:t xml:space="preserve">; </w:t>
            </w:r>
            <w:r w:rsidR="003C02EB">
              <w:rPr>
                <w:sz w:val="18"/>
                <w:szCs w:val="18"/>
              </w:rPr>
              <w:t xml:space="preserve">формирование имиджа по принципу "внутренняя среда </w:t>
            </w:r>
            <w:r w:rsidR="003C02EB" w:rsidRPr="003C02EB">
              <w:rPr>
                <w:sz w:val="18"/>
                <w:szCs w:val="18"/>
              </w:rPr>
              <w:t>–</w:t>
            </w:r>
            <w:r w:rsidR="003C02EB">
              <w:rPr>
                <w:sz w:val="18"/>
                <w:szCs w:val="18"/>
              </w:rPr>
              <w:t xml:space="preserve"> внешняя среда"</w:t>
            </w:r>
            <w:r w:rsidR="00C7008B">
              <w:rPr>
                <w:sz w:val="18"/>
                <w:szCs w:val="18"/>
              </w:rPr>
              <w:t>, включая внутренн</w:t>
            </w:r>
            <w:r w:rsidR="00006B5F">
              <w:rPr>
                <w:sz w:val="18"/>
                <w:szCs w:val="18"/>
              </w:rPr>
              <w:t>ие коммуникации</w:t>
            </w:r>
            <w:r w:rsidR="00387483" w:rsidRPr="00C70005">
              <w:rPr>
                <w:sz w:val="18"/>
                <w:szCs w:val="18"/>
              </w:rPr>
              <w:t>;</w:t>
            </w:r>
            <w:r w:rsidR="009D0141" w:rsidRPr="00C70005">
              <w:rPr>
                <w:sz w:val="18"/>
                <w:szCs w:val="18"/>
              </w:rPr>
              <w:t xml:space="preserve"> </w:t>
            </w:r>
            <w:r w:rsidR="009D0141">
              <w:rPr>
                <w:sz w:val="18"/>
                <w:szCs w:val="18"/>
              </w:rPr>
              <w:t>и</w:t>
            </w:r>
            <w:r w:rsidR="009D0141" w:rsidRPr="00C70005">
              <w:rPr>
                <w:sz w:val="18"/>
                <w:szCs w:val="18"/>
              </w:rPr>
              <w:t xml:space="preserve"> </w:t>
            </w:r>
            <w:r w:rsidR="009D0141">
              <w:rPr>
                <w:sz w:val="18"/>
                <w:szCs w:val="18"/>
              </w:rPr>
              <w:t>сопровождение</w:t>
            </w:r>
            <w:r w:rsidR="009D0141" w:rsidRPr="00C70005">
              <w:rPr>
                <w:sz w:val="18"/>
                <w:szCs w:val="18"/>
              </w:rPr>
              <w:t xml:space="preserve"> </w:t>
            </w:r>
            <w:r w:rsidR="00C70005">
              <w:rPr>
                <w:sz w:val="18"/>
                <w:szCs w:val="18"/>
              </w:rPr>
              <w:t>нейтрального</w:t>
            </w:r>
            <w:r w:rsidR="00C70005" w:rsidRPr="00C70005">
              <w:rPr>
                <w:sz w:val="18"/>
                <w:szCs w:val="18"/>
              </w:rPr>
              <w:t xml:space="preserve"> </w:t>
            </w:r>
            <w:r w:rsidR="00C70005">
              <w:rPr>
                <w:sz w:val="18"/>
                <w:szCs w:val="18"/>
              </w:rPr>
              <w:t>центра</w:t>
            </w:r>
            <w:r w:rsidR="00C70005" w:rsidRPr="00C70005">
              <w:rPr>
                <w:sz w:val="18"/>
                <w:szCs w:val="18"/>
              </w:rPr>
              <w:t xml:space="preserve"> </w:t>
            </w:r>
            <w:r w:rsidR="00C70005">
              <w:rPr>
                <w:sz w:val="18"/>
                <w:szCs w:val="18"/>
              </w:rPr>
              <w:t>контента, предназначенного</w:t>
            </w:r>
            <w:r w:rsidR="00C70005" w:rsidRPr="00C70005">
              <w:rPr>
                <w:sz w:val="18"/>
                <w:szCs w:val="18"/>
              </w:rPr>
              <w:t xml:space="preserve"> </w:t>
            </w:r>
            <w:r w:rsidR="00C70005">
              <w:rPr>
                <w:sz w:val="18"/>
                <w:szCs w:val="18"/>
              </w:rPr>
              <w:t>для</w:t>
            </w:r>
            <w:r w:rsidR="00387483" w:rsidRPr="00C70005">
              <w:rPr>
                <w:sz w:val="18"/>
                <w:szCs w:val="18"/>
              </w:rPr>
              <w:t xml:space="preserve"> </w:t>
            </w:r>
            <w:r w:rsidR="00C70005">
              <w:rPr>
                <w:sz w:val="18"/>
                <w:szCs w:val="18"/>
              </w:rPr>
              <w:t>своевременного, доступного, имеющего практическую ценность, достоверного и надежного, актуального, доступного для понимания звукового, визуального и текстового контента, поступающего из МСЭ и от внешних авторитетных экспертов.</w:t>
            </w:r>
          </w:p>
        </w:tc>
        <w:tc>
          <w:tcPr>
            <w:tcW w:w="1701" w:type="dxa"/>
          </w:tcPr>
          <w:p w:rsidR="00387483" w:rsidRPr="00387483" w:rsidRDefault="00387483" w:rsidP="00387483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87483">
              <w:rPr>
                <w:sz w:val="18"/>
                <w:szCs w:val="18"/>
              </w:rPr>
              <w:t>SPM</w:t>
            </w:r>
          </w:p>
        </w:tc>
        <w:tc>
          <w:tcPr>
            <w:tcW w:w="2410" w:type="dxa"/>
          </w:tcPr>
          <w:p w:rsidR="00387483" w:rsidRPr="00CE3E18" w:rsidRDefault="00A67D63" w:rsidP="00387483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Осуществляется</w:t>
            </w:r>
          </w:p>
        </w:tc>
      </w:tr>
    </w:tbl>
    <w:p w:rsidR="00387483" w:rsidRPr="00387483" w:rsidRDefault="00387483" w:rsidP="00DD613A">
      <w:pPr>
        <w:pStyle w:val="Heading1"/>
        <w:rPr>
          <w:color w:val="365F91" w:themeColor="accent1" w:themeShade="BF"/>
        </w:rPr>
      </w:pPr>
      <w:r w:rsidRPr="00387483">
        <w:rPr>
          <w:color w:val="365F91" w:themeColor="accent1" w:themeShade="BF"/>
        </w:rPr>
        <w:t>5</w:t>
      </w:r>
      <w:r w:rsidRPr="00387483">
        <w:rPr>
          <w:color w:val="365F91" w:themeColor="accent1" w:themeShade="BF"/>
        </w:rPr>
        <w:tab/>
        <w:t>Задачи, конечные результаты и намеченные результаты деятельности на 20</w:t>
      </w:r>
      <w:r w:rsidR="00DD613A">
        <w:rPr>
          <w:color w:val="365F91" w:themeColor="accent1" w:themeShade="BF"/>
        </w:rPr>
        <w:t>20</w:t>
      </w:r>
      <w:r w:rsidRPr="00387483">
        <w:rPr>
          <w:color w:val="365F91" w:themeColor="accent1" w:themeShade="BF"/>
        </w:rPr>
        <w:t>–202</w:t>
      </w:r>
      <w:r w:rsidR="00DD613A">
        <w:rPr>
          <w:color w:val="365F91" w:themeColor="accent1" w:themeShade="BF"/>
        </w:rPr>
        <w:t>3</w:t>
      </w:r>
      <w:r w:rsidRPr="00387483">
        <w:rPr>
          <w:color w:val="365F91" w:themeColor="accent1" w:themeShade="BF"/>
        </w:rPr>
        <w:t xml:space="preserve"> годы</w:t>
      </w:r>
    </w:p>
    <w:p w:rsidR="00011086" w:rsidRPr="00AC1EF4" w:rsidRDefault="00AC1EF4" w:rsidP="00AC1EF4">
      <w:r>
        <w:t>Выполнение задач</w:t>
      </w:r>
      <w:r w:rsidR="00387483">
        <w:t xml:space="preserve"> буд</w:t>
      </w:r>
      <w:r>
        <w:t>е</w:t>
      </w:r>
      <w:r w:rsidR="00387483">
        <w:t xml:space="preserve">т </w:t>
      </w:r>
      <w:r>
        <w:t>осуществляться</w:t>
      </w:r>
      <w:r w:rsidR="00387483">
        <w:t xml:space="preserve"> </w:t>
      </w:r>
      <w:r>
        <w:t>путем</w:t>
      </w:r>
      <w:r w:rsidR="00387483">
        <w:t xml:space="preserve"> достижения соответствующих конечных результатов</w:t>
      </w:r>
      <w:r w:rsidR="00DD613A">
        <w:t xml:space="preserve"> на основе реализации намеченных результатов деятельности</w:t>
      </w:r>
      <w:r w:rsidR="00091289">
        <w:t xml:space="preserve">. </w:t>
      </w:r>
      <w:r>
        <w:t>Выполнение секторальных</w:t>
      </w:r>
      <w:r w:rsidRPr="00AC1EF4">
        <w:t xml:space="preserve"> </w:t>
      </w:r>
      <w:r>
        <w:t>и</w:t>
      </w:r>
      <w:r w:rsidRPr="00AC1EF4">
        <w:t xml:space="preserve"> </w:t>
      </w:r>
      <w:r>
        <w:t>межсекторальных</w:t>
      </w:r>
      <w:r w:rsidRPr="00AC1EF4">
        <w:t xml:space="preserve"> </w:t>
      </w:r>
      <w:r>
        <w:t>задач</w:t>
      </w:r>
      <w:r w:rsidRPr="00AC1EF4">
        <w:t xml:space="preserve"> </w:t>
      </w:r>
      <w:r>
        <w:t>в</w:t>
      </w:r>
      <w:r w:rsidRPr="00AC1EF4">
        <w:t xml:space="preserve"> </w:t>
      </w:r>
      <w:r>
        <w:t>рамках</w:t>
      </w:r>
      <w:r w:rsidRPr="00AC1EF4">
        <w:t xml:space="preserve"> </w:t>
      </w:r>
      <w:r>
        <w:t>компетенции</w:t>
      </w:r>
      <w:r w:rsidRPr="00AC1EF4">
        <w:t xml:space="preserve"> </w:t>
      </w:r>
      <w:r>
        <w:t>каждого</w:t>
      </w:r>
      <w:r w:rsidRPr="00AC1EF4">
        <w:t xml:space="preserve"> </w:t>
      </w:r>
      <w:r>
        <w:t>Сектора</w:t>
      </w:r>
      <w:r w:rsidRPr="00AC1EF4">
        <w:t xml:space="preserve"> </w:t>
      </w:r>
      <w:r>
        <w:t>и</w:t>
      </w:r>
      <w:r w:rsidRPr="00AC1EF4">
        <w:t xml:space="preserve"> </w:t>
      </w:r>
      <w:r>
        <w:t>ГС</w:t>
      </w:r>
      <w:r w:rsidRPr="00AC1EF4">
        <w:t xml:space="preserve"> </w:t>
      </w:r>
      <w:r>
        <w:t>способствует достижению общих целей Союза</w:t>
      </w:r>
      <w:r w:rsidR="00091289" w:rsidRPr="00AC1EF4">
        <w:t xml:space="preserve">. </w:t>
      </w:r>
      <w:r>
        <w:t>Бюджеты на</w:t>
      </w:r>
      <w:r w:rsidR="00091289" w:rsidRPr="00AC1EF4">
        <w:t xml:space="preserve"> 2022</w:t>
      </w:r>
      <w:r>
        <w:t>−</w:t>
      </w:r>
      <w:r w:rsidR="00091289" w:rsidRPr="00AC1EF4">
        <w:t>2023</w:t>
      </w:r>
      <w:r>
        <w:t> года являются сметными оценками; окончательное распределение ресурсов</w:t>
      </w:r>
      <w:r w:rsidR="00091289" w:rsidRPr="00AC1EF4">
        <w:t xml:space="preserve"> </w:t>
      </w:r>
      <w:r>
        <w:t>может изменяться на основании решений высшего руководства</w:t>
      </w:r>
      <w:r w:rsidR="00091289" w:rsidRPr="00AC1EF4">
        <w:t>.</w:t>
      </w:r>
    </w:p>
    <w:p w:rsidR="00CE3E18" w:rsidRPr="00091289" w:rsidRDefault="00091289" w:rsidP="00091289">
      <w:pPr>
        <w:pStyle w:val="Heading2"/>
        <w:rPr>
          <w:color w:val="365F91" w:themeColor="accent1" w:themeShade="BF"/>
        </w:rPr>
      </w:pPr>
      <w:r w:rsidRPr="00091289">
        <w:rPr>
          <w:color w:val="365F91" w:themeColor="accent1" w:themeShade="BF"/>
        </w:rPr>
        <w:t>5.1</w:t>
      </w:r>
      <w:r w:rsidRPr="00091289">
        <w:rPr>
          <w:color w:val="365F91" w:themeColor="accent1" w:themeShade="BF"/>
        </w:rPr>
        <w:tab/>
        <w:t>Межсекторальные задачи, конечные результаты и намеченные результаты деятельности</w:t>
      </w:r>
    </w:p>
    <w:p w:rsidR="00011086" w:rsidRPr="006F00EC" w:rsidRDefault="00091289" w:rsidP="00D86116">
      <w:pPr>
        <w:spacing w:after="120"/>
      </w:pPr>
      <w:r w:rsidRPr="00091289">
        <w:rPr>
          <w:lang w:val="en-US"/>
        </w:rPr>
        <w:t>I</w:t>
      </w:r>
      <w:r w:rsidRPr="006F00EC">
        <w:t>.1</w:t>
      </w:r>
      <w:r w:rsidR="00D86116">
        <w:tab/>
      </w:r>
      <w:r w:rsidR="007B5B5B">
        <w:t>Способствовать</w:t>
      </w:r>
      <w:r w:rsidR="006F00EC" w:rsidRPr="0021389D">
        <w:t xml:space="preserve"> </w:t>
      </w:r>
      <w:r w:rsidR="006F00EC">
        <w:t>более</w:t>
      </w:r>
      <w:r w:rsidR="006F00EC" w:rsidRPr="0021389D">
        <w:t xml:space="preserve"> </w:t>
      </w:r>
      <w:r w:rsidR="006F00EC">
        <w:t>тесному</w:t>
      </w:r>
      <w:r w:rsidR="006F00EC" w:rsidRPr="0021389D">
        <w:t xml:space="preserve"> </w:t>
      </w:r>
      <w:r w:rsidR="006F00EC">
        <w:t>сотрудничеству</w:t>
      </w:r>
      <w:r w:rsidR="006F00EC" w:rsidRPr="0021389D">
        <w:t xml:space="preserve"> </w:t>
      </w:r>
      <w:r w:rsidR="006F00EC">
        <w:t>между</w:t>
      </w:r>
      <w:r w:rsidR="006F00EC" w:rsidRPr="0021389D">
        <w:t xml:space="preserve"> </w:t>
      </w:r>
      <w:r w:rsidR="006F00EC">
        <w:t>всеми</w:t>
      </w:r>
      <w:r w:rsidR="006F00EC" w:rsidRPr="0021389D">
        <w:t xml:space="preserve"> </w:t>
      </w:r>
      <w:r w:rsidR="006F00EC">
        <w:t>заинтересованными</w:t>
      </w:r>
      <w:r w:rsidR="006F00EC" w:rsidRPr="0021389D">
        <w:t xml:space="preserve"> </w:t>
      </w:r>
      <w:r w:rsidR="006F00EC">
        <w:t>сторонами</w:t>
      </w:r>
      <w:r w:rsidR="006F00EC" w:rsidRPr="006F00EC">
        <w:t xml:space="preserve"> </w:t>
      </w:r>
      <w:r w:rsidR="006F00EC">
        <w:t>в экосистеме электросвязи/ИКТ</w:t>
      </w:r>
    </w:p>
    <w:tbl>
      <w:tblPr>
        <w:tblStyle w:val="GridTable4-Accent11"/>
        <w:tblW w:w="14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A0" w:firstRow="1" w:lastRow="0" w:firstColumn="1" w:lastColumn="0" w:noHBand="1" w:noVBand="1"/>
      </w:tblPr>
      <w:tblGrid>
        <w:gridCol w:w="4041"/>
        <w:gridCol w:w="7642"/>
        <w:gridCol w:w="2884"/>
      </w:tblGrid>
      <w:tr w:rsidR="00091289" w:rsidRPr="007101FE" w:rsidTr="001E4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91289" w:rsidRPr="007101FE" w:rsidRDefault="00091289" w:rsidP="001E4FCF">
            <w:pPr>
              <w:spacing w:before="80" w:after="8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Конечный результат</w:t>
            </w:r>
          </w:p>
        </w:tc>
        <w:tc>
          <w:tcPr>
            <w:tcW w:w="76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91289" w:rsidRPr="007101FE" w:rsidRDefault="00091289" w:rsidP="00561162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 xml:space="preserve">Показатель конечного результата </w:t>
            </w:r>
          </w:p>
        </w:tc>
        <w:tc>
          <w:tcPr>
            <w:tcW w:w="28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91289" w:rsidRPr="007101FE" w:rsidRDefault="00091289" w:rsidP="001E4FCF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Средства измерения</w:t>
            </w:r>
          </w:p>
        </w:tc>
      </w:tr>
      <w:tr w:rsidR="00091289" w:rsidRPr="007101FE" w:rsidTr="00091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091289" w:rsidRPr="007101FE" w:rsidRDefault="00091289" w:rsidP="00091289">
            <w:pPr>
              <w:spacing w:before="40" w:after="40"/>
              <w:rPr>
                <w:rFonts w:eastAsia="Calibri" w:cs="Arial"/>
                <w:b w:val="0"/>
                <w:bCs w:val="0"/>
                <w:sz w:val="18"/>
                <w:szCs w:val="18"/>
              </w:rPr>
            </w:pP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I.1-</w:t>
            </w:r>
            <w:r>
              <w:rPr>
                <w:rFonts w:eastAsia="Calibri" w:cs="Arial"/>
                <w:color w:val="4F81BD" w:themeColor="accent1"/>
                <w:sz w:val="18"/>
                <w:szCs w:val="18"/>
                <w:lang w:val="en-US"/>
              </w:rPr>
              <w:t>a</w:t>
            </w:r>
            <w:r w:rsidRPr="007101FE">
              <w:rPr>
                <w:rFonts w:eastAsia="Calibri" w:cs="Arial"/>
                <w:b w:val="0"/>
                <w:bCs w:val="0"/>
                <w:sz w:val="18"/>
                <w:szCs w:val="18"/>
              </w:rPr>
              <w:t xml:space="preserve">: </w:t>
            </w:r>
            <w:r w:rsidRPr="007101FE">
              <w:rPr>
                <w:b w:val="0"/>
                <w:bCs w:val="0"/>
                <w:sz w:val="18"/>
                <w:szCs w:val="18"/>
              </w:rPr>
              <w:t>Расширенное сотрудничество между соответствующими заинтересованными сторонами, направленное на повышение эффективности среды электросвязи/ИКТ</w:t>
            </w:r>
          </w:p>
        </w:tc>
        <w:tc>
          <w:tcPr>
            <w:tcW w:w="7642" w:type="dxa"/>
            <w:shd w:val="clear" w:color="auto" w:fill="auto"/>
          </w:tcPr>
          <w:p w:rsidR="00091289" w:rsidRPr="006F00EC" w:rsidRDefault="006F00EC" w:rsidP="006F00E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F00EC">
              <w:rPr>
                <w:sz w:val="18"/>
                <w:szCs w:val="18"/>
              </w:rPr>
              <w:t>Число</w:t>
            </w:r>
            <w:r w:rsidR="00091289" w:rsidRPr="006F00E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стран, принимающих участие в собраниях в связи с ВВУИО/мероприятиях</w:t>
            </w:r>
            <w:r w:rsidR="00091289" w:rsidRPr="006F00EC">
              <w:rPr>
                <w:sz w:val="18"/>
                <w:szCs w:val="18"/>
              </w:rPr>
              <w:t xml:space="preserve"> </w:t>
            </w:r>
            <w:r w:rsidR="00091289" w:rsidRPr="001E4FCF">
              <w:rPr>
                <w:sz w:val="18"/>
                <w:szCs w:val="18"/>
                <w:lang w:val="en-US"/>
              </w:rPr>
              <w:t>Telecom</w:t>
            </w:r>
          </w:p>
          <w:p w:rsidR="00091289" w:rsidRPr="00737825" w:rsidRDefault="007B5B5B" w:rsidP="006F00E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F00EC">
              <w:rPr>
                <w:sz w:val="18"/>
                <w:szCs w:val="18"/>
              </w:rPr>
              <w:t xml:space="preserve">Число </w:t>
            </w:r>
            <w:r w:rsidR="006F00EC">
              <w:rPr>
                <w:sz w:val="18"/>
                <w:szCs w:val="18"/>
              </w:rPr>
              <w:t>участников мероприятий ВВУИО/</w:t>
            </w:r>
            <w:r w:rsidR="00091289" w:rsidRPr="001E4FCF">
              <w:rPr>
                <w:sz w:val="18"/>
                <w:szCs w:val="18"/>
                <w:lang w:val="en-US"/>
              </w:rPr>
              <w:t>Telecom</w:t>
            </w:r>
          </w:p>
          <w:p w:rsidR="00091289" w:rsidRPr="00737825" w:rsidRDefault="007B5B5B" w:rsidP="006F00E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F00EC">
              <w:rPr>
                <w:sz w:val="18"/>
                <w:szCs w:val="18"/>
              </w:rPr>
              <w:t xml:space="preserve">Число </w:t>
            </w:r>
            <w:r w:rsidR="006F00EC">
              <w:rPr>
                <w:sz w:val="18"/>
                <w:szCs w:val="18"/>
              </w:rPr>
              <w:t>участников</w:t>
            </w:r>
            <w:r w:rsidR="006F00EC" w:rsidRPr="006F00EC">
              <w:rPr>
                <w:sz w:val="18"/>
                <w:szCs w:val="18"/>
              </w:rPr>
              <w:t xml:space="preserve"> </w:t>
            </w:r>
            <w:r w:rsidR="006F00EC">
              <w:rPr>
                <w:sz w:val="18"/>
                <w:szCs w:val="18"/>
              </w:rPr>
              <w:t>высокого</w:t>
            </w:r>
            <w:r w:rsidR="006F00EC" w:rsidRPr="006F00EC">
              <w:rPr>
                <w:sz w:val="18"/>
                <w:szCs w:val="18"/>
              </w:rPr>
              <w:t xml:space="preserve"> </w:t>
            </w:r>
            <w:r w:rsidR="006F00EC">
              <w:rPr>
                <w:sz w:val="18"/>
                <w:szCs w:val="18"/>
              </w:rPr>
              <w:t>уровня на мероприятиях ВВУИО</w:t>
            </w:r>
            <w:r w:rsidR="00091289" w:rsidRPr="006F00EC">
              <w:rPr>
                <w:sz w:val="18"/>
                <w:szCs w:val="18"/>
              </w:rPr>
              <w:t>/</w:t>
            </w:r>
            <w:r w:rsidR="00091289" w:rsidRPr="001E4FCF">
              <w:rPr>
                <w:sz w:val="18"/>
                <w:szCs w:val="18"/>
                <w:lang w:val="en-US"/>
              </w:rPr>
              <w:t>Telecom</w:t>
            </w:r>
          </w:p>
          <w:p w:rsidR="00091289" w:rsidRPr="00737825" w:rsidRDefault="007B5B5B" w:rsidP="006F00E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6F00EC">
              <w:rPr>
                <w:sz w:val="18"/>
                <w:szCs w:val="18"/>
              </w:rPr>
              <w:t xml:space="preserve">Число </w:t>
            </w:r>
            <w:r w:rsidR="006F00EC">
              <w:rPr>
                <w:sz w:val="18"/>
                <w:szCs w:val="18"/>
              </w:rPr>
              <w:t xml:space="preserve">организаций-экспонентов на выставке </w:t>
            </w:r>
            <w:r w:rsidR="00091289" w:rsidRPr="001E4FCF">
              <w:rPr>
                <w:sz w:val="18"/>
                <w:szCs w:val="18"/>
                <w:lang w:val="en-US"/>
              </w:rPr>
              <w:t>Telecom</w:t>
            </w:r>
          </w:p>
        </w:tc>
        <w:tc>
          <w:tcPr>
            <w:tcW w:w="2884" w:type="dxa"/>
            <w:shd w:val="clear" w:color="auto" w:fill="auto"/>
          </w:tcPr>
          <w:p w:rsidR="00091289" w:rsidRPr="007101FE" w:rsidRDefault="00091289" w:rsidP="001E4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Данные ВВУИО, Telecom</w:t>
            </w:r>
          </w:p>
        </w:tc>
      </w:tr>
      <w:tr w:rsidR="00091289" w:rsidRPr="00EB231C" w:rsidTr="00091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091289" w:rsidRPr="007101FE" w:rsidRDefault="00091289" w:rsidP="00091289">
            <w:pPr>
              <w:spacing w:before="40" w:after="40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I.1-</w:t>
            </w:r>
            <w:r>
              <w:rPr>
                <w:rFonts w:eastAsia="Calibri" w:cs="Arial"/>
                <w:color w:val="4F81BD" w:themeColor="accent1"/>
                <w:sz w:val="18"/>
                <w:szCs w:val="18"/>
                <w:lang w:val="en-US"/>
              </w:rPr>
              <w:t>b</w:t>
            </w:r>
            <w:r w:rsidRPr="007101FE">
              <w:rPr>
                <w:rFonts w:eastAsia="Calibri" w:cs="Arial"/>
                <w:b w:val="0"/>
                <w:bCs w:val="0"/>
                <w:sz w:val="18"/>
                <w:szCs w:val="18"/>
              </w:rPr>
              <w:t xml:space="preserve">: </w:t>
            </w:r>
            <w:r w:rsidRPr="00091289">
              <w:rPr>
                <w:b w:val="0"/>
                <w:bCs w:val="0"/>
                <w:sz w:val="18"/>
                <w:szCs w:val="18"/>
              </w:rPr>
              <w:t>Больший синергический эффект от партнерских отношений в области электросвязи/ИКТ</w:t>
            </w:r>
          </w:p>
        </w:tc>
        <w:tc>
          <w:tcPr>
            <w:tcW w:w="7642" w:type="dxa"/>
            <w:shd w:val="clear" w:color="auto" w:fill="auto"/>
          </w:tcPr>
          <w:p w:rsidR="00091289" w:rsidRPr="006F00EC" w:rsidRDefault="006F00EC" w:rsidP="006F00E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365F91" w:themeColor="accent1" w:themeShade="BF"/>
                <w:sz w:val="18"/>
                <w:szCs w:val="18"/>
              </w:rPr>
            </w:pP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Новый конечный результат</w:t>
            </w:r>
            <w:r w:rsidR="00091289"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(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СП</w:t>
            </w:r>
            <w:r w:rsidR="00091289"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2020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−</w:t>
            </w:r>
            <w:r w:rsidR="00091289"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2023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 гг.</w:t>
            </w:r>
            <w:r w:rsidR="00091289"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)</w:t>
            </w:r>
          </w:p>
          <w:p w:rsidR="00091289" w:rsidRPr="00737825" w:rsidRDefault="00091289" w:rsidP="0073782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F00EC">
              <w:rPr>
                <w:sz w:val="18"/>
                <w:szCs w:val="18"/>
              </w:rPr>
              <w:t xml:space="preserve">% </w:t>
            </w:r>
            <w:r w:rsidR="006F00EC">
              <w:rPr>
                <w:sz w:val="18"/>
                <w:szCs w:val="18"/>
              </w:rPr>
              <w:t>Членов</w:t>
            </w:r>
            <w:r w:rsidR="006F00EC" w:rsidRPr="006F00EC">
              <w:rPr>
                <w:sz w:val="18"/>
                <w:szCs w:val="18"/>
              </w:rPr>
              <w:t xml:space="preserve">, </w:t>
            </w:r>
            <w:r w:rsidR="006F00EC">
              <w:rPr>
                <w:sz w:val="18"/>
                <w:szCs w:val="18"/>
              </w:rPr>
              <w:t xml:space="preserve">заявивших, что разрабатываемые МСЭ Рекомендации/Стандарты/передовой опыт используются для </w:t>
            </w:r>
            <w:r w:rsidR="00737825">
              <w:rPr>
                <w:sz w:val="18"/>
                <w:szCs w:val="18"/>
              </w:rPr>
              <w:t>поддержки развития</w:t>
            </w:r>
            <w:r w:rsidR="006F00EC">
              <w:rPr>
                <w:sz w:val="18"/>
                <w:szCs w:val="18"/>
              </w:rPr>
              <w:t xml:space="preserve"> партнерских отношений</w:t>
            </w:r>
          </w:p>
          <w:p w:rsidR="00091289" w:rsidRPr="00977122" w:rsidRDefault="00977122" w:rsidP="0097712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Восприятие соответствующими заинтересованными сторонами увеличения/уменьшения синергического эффекта, обусловливаемого партнерствами в области электросвязи/ИКТ</w:t>
            </w:r>
          </w:p>
        </w:tc>
        <w:tc>
          <w:tcPr>
            <w:tcW w:w="2884" w:type="dxa"/>
            <w:vMerge w:val="restart"/>
            <w:shd w:val="clear" w:color="auto" w:fill="auto"/>
          </w:tcPr>
          <w:p w:rsidR="00475374" w:rsidRPr="00475374" w:rsidRDefault="00475374" w:rsidP="0047537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Ежегодное</w:t>
            </w:r>
            <w:r w:rsidRPr="0047537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обследование</w:t>
            </w:r>
            <w:r w:rsidRPr="0047537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среди членов МСЭ</w:t>
            </w:r>
          </w:p>
          <w:p w:rsidR="00091289" w:rsidRPr="00475374" w:rsidRDefault="00475374" w:rsidP="0009128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Отчеты, новости</w:t>
            </w:r>
          </w:p>
        </w:tc>
      </w:tr>
      <w:tr w:rsidR="00091289" w:rsidRPr="00475374" w:rsidTr="00091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091289" w:rsidRPr="007101FE" w:rsidRDefault="00091289" w:rsidP="00091289">
            <w:pPr>
              <w:spacing w:before="40" w:after="40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I.1-</w:t>
            </w:r>
            <w:r>
              <w:rPr>
                <w:rFonts w:eastAsia="Calibri" w:cs="Arial"/>
                <w:color w:val="4F81BD" w:themeColor="accent1"/>
                <w:sz w:val="18"/>
                <w:szCs w:val="18"/>
                <w:lang w:val="en-US"/>
              </w:rPr>
              <w:t>c</w:t>
            </w:r>
            <w:r w:rsidRPr="007101FE">
              <w:rPr>
                <w:rFonts w:eastAsia="Calibri" w:cs="Arial"/>
                <w:b w:val="0"/>
                <w:bCs w:val="0"/>
                <w:sz w:val="18"/>
                <w:szCs w:val="18"/>
              </w:rPr>
              <w:t xml:space="preserve">: </w:t>
            </w:r>
            <w:r w:rsidRPr="00091289">
              <w:rPr>
                <w:b w:val="0"/>
                <w:bCs w:val="0"/>
                <w:sz w:val="18"/>
                <w:szCs w:val="18"/>
              </w:rPr>
              <w:t>Более широкое признание электросвязи/ИКТ в качестве междисциплинарного средства достижения целей применительно к реализации Направлений деятельности ВВУИО и Повестки дня в области развития на период до 2030 года</w:t>
            </w:r>
          </w:p>
        </w:tc>
        <w:tc>
          <w:tcPr>
            <w:tcW w:w="7642" w:type="dxa"/>
            <w:shd w:val="clear" w:color="auto" w:fill="auto"/>
          </w:tcPr>
          <w:p w:rsidR="00091289" w:rsidRPr="00475374" w:rsidRDefault="00475374" w:rsidP="0009128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365F91" w:themeColor="accent1" w:themeShade="BF"/>
                <w:sz w:val="18"/>
                <w:szCs w:val="18"/>
              </w:rPr>
            </w:pP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Новый конечный результат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(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СП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2020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−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2023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 гг.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)</w:t>
            </w:r>
          </w:p>
          <w:p w:rsidR="00091289" w:rsidRPr="00475374" w:rsidRDefault="00091289" w:rsidP="003C02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75374">
              <w:rPr>
                <w:sz w:val="18"/>
                <w:szCs w:val="18"/>
              </w:rPr>
              <w:t xml:space="preserve">% </w:t>
            </w:r>
            <w:r w:rsidR="00475374">
              <w:rPr>
                <w:sz w:val="18"/>
                <w:szCs w:val="18"/>
              </w:rPr>
              <w:t>Членов</w:t>
            </w:r>
            <w:r w:rsidR="00475374" w:rsidRPr="00475374">
              <w:rPr>
                <w:sz w:val="18"/>
                <w:szCs w:val="18"/>
              </w:rPr>
              <w:t xml:space="preserve">, </w:t>
            </w:r>
            <w:r w:rsidR="00475374">
              <w:rPr>
                <w:sz w:val="18"/>
                <w:szCs w:val="18"/>
              </w:rPr>
              <w:t>которые</w:t>
            </w:r>
            <w:r w:rsidR="00475374" w:rsidRPr="00475374">
              <w:rPr>
                <w:sz w:val="18"/>
                <w:szCs w:val="18"/>
              </w:rPr>
              <w:t xml:space="preserve"> </w:t>
            </w:r>
            <w:r w:rsidR="00475374">
              <w:rPr>
                <w:sz w:val="18"/>
                <w:szCs w:val="18"/>
              </w:rPr>
              <w:t>полагают, что</w:t>
            </w:r>
            <w:r w:rsidR="00475374" w:rsidRPr="00475374">
              <w:rPr>
                <w:sz w:val="18"/>
                <w:szCs w:val="18"/>
              </w:rPr>
              <w:t xml:space="preserve"> </w:t>
            </w:r>
            <w:r w:rsidR="00475374">
              <w:rPr>
                <w:sz w:val="18"/>
                <w:szCs w:val="18"/>
              </w:rPr>
              <w:t>ИКТ</w:t>
            </w:r>
            <w:r w:rsidR="00475374" w:rsidRPr="00475374">
              <w:rPr>
                <w:sz w:val="18"/>
                <w:szCs w:val="18"/>
              </w:rPr>
              <w:t>/</w:t>
            </w:r>
            <w:r w:rsidR="00475374">
              <w:rPr>
                <w:sz w:val="18"/>
                <w:szCs w:val="18"/>
              </w:rPr>
              <w:t>электросвязь</w:t>
            </w:r>
            <w:r w:rsidR="00475374" w:rsidRPr="00475374">
              <w:rPr>
                <w:sz w:val="18"/>
                <w:szCs w:val="18"/>
              </w:rPr>
              <w:t xml:space="preserve"> </w:t>
            </w:r>
            <w:r w:rsidR="00475374">
              <w:rPr>
                <w:sz w:val="18"/>
                <w:szCs w:val="18"/>
              </w:rPr>
              <w:t>способствуют</w:t>
            </w:r>
            <w:r w:rsidR="00475374" w:rsidRPr="00475374">
              <w:rPr>
                <w:sz w:val="18"/>
                <w:szCs w:val="18"/>
              </w:rPr>
              <w:t xml:space="preserve"> </w:t>
            </w:r>
            <w:r w:rsidR="00475374">
              <w:rPr>
                <w:sz w:val="18"/>
                <w:szCs w:val="18"/>
              </w:rPr>
              <w:t>достижению ЦУР</w:t>
            </w:r>
            <w:r w:rsidR="00475374" w:rsidRPr="00475374">
              <w:rPr>
                <w:sz w:val="18"/>
                <w:szCs w:val="18"/>
              </w:rPr>
              <w:t xml:space="preserve"> </w:t>
            </w:r>
            <w:r w:rsidR="00475374">
              <w:rPr>
                <w:sz w:val="18"/>
                <w:szCs w:val="18"/>
              </w:rPr>
              <w:t>и</w:t>
            </w:r>
            <w:r w:rsidR="00475374" w:rsidRPr="00475374">
              <w:rPr>
                <w:sz w:val="18"/>
                <w:szCs w:val="18"/>
              </w:rPr>
              <w:t xml:space="preserve"> </w:t>
            </w:r>
            <w:r w:rsidR="00475374">
              <w:rPr>
                <w:sz w:val="18"/>
                <w:szCs w:val="18"/>
              </w:rPr>
              <w:t>выполнению</w:t>
            </w:r>
            <w:r w:rsidR="00475374" w:rsidRPr="00475374">
              <w:rPr>
                <w:sz w:val="18"/>
                <w:szCs w:val="18"/>
              </w:rPr>
              <w:t xml:space="preserve"> </w:t>
            </w:r>
            <w:r w:rsidR="00475374">
              <w:rPr>
                <w:sz w:val="18"/>
                <w:szCs w:val="18"/>
              </w:rPr>
              <w:t>Повестки</w:t>
            </w:r>
            <w:r w:rsidR="00475374" w:rsidRPr="00475374">
              <w:rPr>
                <w:sz w:val="18"/>
                <w:szCs w:val="18"/>
              </w:rPr>
              <w:t xml:space="preserve"> </w:t>
            </w:r>
            <w:r w:rsidR="007B5B5B">
              <w:rPr>
                <w:sz w:val="18"/>
                <w:szCs w:val="18"/>
              </w:rPr>
              <w:t xml:space="preserve">дня </w:t>
            </w:r>
            <w:r w:rsidR="00475374">
              <w:rPr>
                <w:sz w:val="18"/>
                <w:szCs w:val="18"/>
              </w:rPr>
              <w:t>на</w:t>
            </w:r>
            <w:r w:rsidR="00475374" w:rsidRPr="00475374">
              <w:rPr>
                <w:sz w:val="18"/>
                <w:szCs w:val="18"/>
              </w:rPr>
              <w:t xml:space="preserve"> </w:t>
            </w:r>
            <w:r w:rsidR="00475374">
              <w:rPr>
                <w:sz w:val="18"/>
                <w:szCs w:val="18"/>
              </w:rPr>
              <w:t>период</w:t>
            </w:r>
            <w:r w:rsidR="00475374" w:rsidRPr="00475374">
              <w:rPr>
                <w:sz w:val="18"/>
                <w:szCs w:val="18"/>
              </w:rPr>
              <w:t xml:space="preserve"> </w:t>
            </w:r>
            <w:r w:rsidR="00475374">
              <w:rPr>
                <w:sz w:val="18"/>
                <w:szCs w:val="18"/>
              </w:rPr>
              <w:t>до</w:t>
            </w:r>
            <w:r w:rsidRPr="00475374">
              <w:rPr>
                <w:sz w:val="18"/>
                <w:szCs w:val="18"/>
              </w:rPr>
              <w:t xml:space="preserve"> 2030</w:t>
            </w:r>
            <w:r w:rsidR="00475374">
              <w:rPr>
                <w:sz w:val="18"/>
                <w:szCs w:val="18"/>
              </w:rPr>
              <w:t xml:space="preserve"> года</w:t>
            </w:r>
          </w:p>
          <w:p w:rsidR="00091289" w:rsidRPr="00475374" w:rsidRDefault="00475374" w:rsidP="003C02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Цитаты</w:t>
            </w:r>
            <w:r w:rsidRPr="00475374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упоминания, касающиеся значимости ИКТ для выполнения </w:t>
            </w:r>
            <w:r w:rsidR="00FE3045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овестки дня на период до </w:t>
            </w:r>
            <w:r w:rsidR="00091289" w:rsidRPr="00475374">
              <w:rPr>
                <w:sz w:val="18"/>
                <w:szCs w:val="18"/>
              </w:rPr>
              <w:t>2030</w:t>
            </w:r>
            <w:r>
              <w:rPr>
                <w:sz w:val="18"/>
                <w:szCs w:val="18"/>
              </w:rPr>
              <w:t xml:space="preserve"> года, в источниках высокого </w:t>
            </w:r>
            <w:r w:rsidR="00FE3045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ровня</w:t>
            </w:r>
          </w:p>
        </w:tc>
        <w:tc>
          <w:tcPr>
            <w:tcW w:w="2884" w:type="dxa"/>
            <w:vMerge/>
            <w:shd w:val="clear" w:color="auto" w:fill="auto"/>
          </w:tcPr>
          <w:p w:rsidR="00091289" w:rsidRPr="00475374" w:rsidRDefault="00091289" w:rsidP="001E4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91289" w:rsidRPr="00FE3045" w:rsidTr="00091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091289" w:rsidRPr="007101FE" w:rsidRDefault="00091289" w:rsidP="00091289">
            <w:pPr>
              <w:spacing w:before="40" w:after="40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lastRenderedPageBreak/>
              <w:t>I.1-</w:t>
            </w:r>
            <w:r>
              <w:rPr>
                <w:rFonts w:eastAsia="Calibri" w:cs="Arial"/>
                <w:color w:val="4F81BD" w:themeColor="accent1"/>
                <w:sz w:val="18"/>
                <w:szCs w:val="18"/>
                <w:lang w:val="en-US"/>
              </w:rPr>
              <w:t>d</w:t>
            </w:r>
            <w:r w:rsidRPr="007101FE">
              <w:rPr>
                <w:rFonts w:eastAsia="Calibri" w:cs="Arial"/>
                <w:b w:val="0"/>
                <w:bCs w:val="0"/>
                <w:sz w:val="18"/>
                <w:szCs w:val="18"/>
              </w:rPr>
              <w:t xml:space="preserve">: </w:t>
            </w:r>
            <w:r w:rsidRPr="00091289">
              <w:rPr>
                <w:b w:val="0"/>
                <w:bCs w:val="0"/>
                <w:sz w:val="18"/>
                <w:szCs w:val="18"/>
              </w:rPr>
              <w:t>Усиленная поддержка членов МСЭ в разработке и поставке продуктов и услуг ИКТ</w:t>
            </w:r>
          </w:p>
        </w:tc>
        <w:tc>
          <w:tcPr>
            <w:tcW w:w="7642" w:type="dxa"/>
            <w:shd w:val="clear" w:color="auto" w:fill="auto"/>
          </w:tcPr>
          <w:p w:rsidR="00091289" w:rsidRPr="00475374" w:rsidRDefault="00475374" w:rsidP="0009128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365F91" w:themeColor="accent1" w:themeShade="BF"/>
                <w:sz w:val="18"/>
                <w:szCs w:val="18"/>
              </w:rPr>
            </w:pP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Новый конечный результат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(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СП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2020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−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2023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 гг.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)</w:t>
            </w:r>
          </w:p>
          <w:p w:rsidR="00091289" w:rsidRPr="00FE3045" w:rsidRDefault="00091289" w:rsidP="00FE304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E3045">
              <w:rPr>
                <w:sz w:val="18"/>
                <w:szCs w:val="18"/>
              </w:rPr>
              <w:t xml:space="preserve">% </w:t>
            </w:r>
            <w:r w:rsidR="00FE3045">
              <w:rPr>
                <w:sz w:val="18"/>
                <w:szCs w:val="18"/>
              </w:rPr>
              <w:t>Членов</w:t>
            </w:r>
            <w:r w:rsidR="00FE3045" w:rsidRPr="00FE3045">
              <w:rPr>
                <w:sz w:val="18"/>
                <w:szCs w:val="18"/>
              </w:rPr>
              <w:t xml:space="preserve">, </w:t>
            </w:r>
            <w:r w:rsidR="00FE3045">
              <w:rPr>
                <w:sz w:val="18"/>
                <w:szCs w:val="18"/>
              </w:rPr>
              <w:t>заявивших</w:t>
            </w:r>
            <w:r w:rsidR="00FE3045" w:rsidRPr="00FE3045">
              <w:rPr>
                <w:sz w:val="18"/>
                <w:szCs w:val="18"/>
              </w:rPr>
              <w:t xml:space="preserve">, </w:t>
            </w:r>
            <w:r w:rsidR="00FE3045">
              <w:rPr>
                <w:sz w:val="18"/>
                <w:szCs w:val="18"/>
              </w:rPr>
              <w:t>что</w:t>
            </w:r>
            <w:r w:rsidR="00FE3045" w:rsidRPr="00FE3045">
              <w:rPr>
                <w:sz w:val="18"/>
                <w:szCs w:val="18"/>
              </w:rPr>
              <w:t xml:space="preserve"> </w:t>
            </w:r>
            <w:r w:rsidR="00FE3045">
              <w:rPr>
                <w:sz w:val="18"/>
                <w:szCs w:val="18"/>
              </w:rPr>
              <w:t>разрабатываемые МСЭ Рекомендации/Стандарты/передовой опыт используются для проектирования новых сетей и продуктов электросвязи</w:t>
            </w:r>
          </w:p>
          <w:p w:rsidR="00091289" w:rsidRPr="00FE3045" w:rsidRDefault="00091289" w:rsidP="00FE304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E3045">
              <w:rPr>
                <w:sz w:val="18"/>
                <w:szCs w:val="18"/>
              </w:rPr>
              <w:t xml:space="preserve">% </w:t>
            </w:r>
            <w:r w:rsidR="00FE3045">
              <w:rPr>
                <w:sz w:val="18"/>
                <w:szCs w:val="18"/>
              </w:rPr>
              <w:t>Членов</w:t>
            </w:r>
            <w:r w:rsidR="00FE3045" w:rsidRPr="00FE3045">
              <w:rPr>
                <w:sz w:val="18"/>
                <w:szCs w:val="18"/>
              </w:rPr>
              <w:t xml:space="preserve">, </w:t>
            </w:r>
            <w:r w:rsidR="00FE3045">
              <w:rPr>
                <w:sz w:val="18"/>
                <w:szCs w:val="18"/>
              </w:rPr>
              <w:t>удовлетворенных</w:t>
            </w:r>
            <w:r w:rsidR="00FE3045" w:rsidRPr="00FE3045">
              <w:rPr>
                <w:sz w:val="18"/>
                <w:szCs w:val="18"/>
              </w:rPr>
              <w:t xml:space="preserve"> </w:t>
            </w:r>
            <w:r w:rsidR="00FE3045">
              <w:rPr>
                <w:sz w:val="18"/>
                <w:szCs w:val="18"/>
              </w:rPr>
              <w:t>общим обслуживанием, которое МСЭ предоставляет своим клиентам</w:t>
            </w:r>
          </w:p>
        </w:tc>
        <w:tc>
          <w:tcPr>
            <w:tcW w:w="2884" w:type="dxa"/>
            <w:vMerge/>
            <w:shd w:val="clear" w:color="auto" w:fill="auto"/>
          </w:tcPr>
          <w:p w:rsidR="00091289" w:rsidRPr="00FE3045" w:rsidRDefault="00091289" w:rsidP="001E4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091289" w:rsidRPr="00FE3045" w:rsidRDefault="00091289" w:rsidP="00482978">
      <w:pPr>
        <w:spacing w:before="0"/>
      </w:pPr>
    </w:p>
    <w:tbl>
      <w:tblPr>
        <w:tblStyle w:val="GridTable4-Accent11"/>
        <w:tblW w:w="14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20" w:firstRow="1" w:lastRow="0" w:firstColumn="0" w:lastColumn="0" w:noHBand="1" w:noVBand="1"/>
      </w:tblPr>
      <w:tblGrid>
        <w:gridCol w:w="8784"/>
        <w:gridCol w:w="1445"/>
        <w:gridCol w:w="1446"/>
        <w:gridCol w:w="1446"/>
        <w:gridCol w:w="1446"/>
      </w:tblGrid>
      <w:tr w:rsidR="00091289" w:rsidRPr="00B87D66" w:rsidTr="001E4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91289" w:rsidRPr="007101FE" w:rsidRDefault="00091289" w:rsidP="001E4FCF">
            <w:pPr>
              <w:spacing w:before="80" w:after="8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Намеченный результат деятельности</w:t>
            </w:r>
          </w:p>
        </w:tc>
        <w:tc>
          <w:tcPr>
            <w:tcW w:w="578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91289" w:rsidRPr="007101FE" w:rsidRDefault="00091289" w:rsidP="00561162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Финансовые ресурсы</w:t>
            </w:r>
            <w:r w:rsidR="00561162">
              <w:rPr>
                <w:sz w:val="18"/>
                <w:szCs w:val="18"/>
              </w:rPr>
              <w:t xml:space="preserve"> </w:t>
            </w:r>
            <w:r w:rsidRPr="007101FE">
              <w:rPr>
                <w:b w:val="0"/>
                <w:bCs w:val="0"/>
                <w:sz w:val="18"/>
                <w:szCs w:val="18"/>
              </w:rPr>
              <w:t xml:space="preserve">(в </w:t>
            </w:r>
            <w:r>
              <w:rPr>
                <w:b w:val="0"/>
                <w:bCs w:val="0"/>
                <w:sz w:val="18"/>
                <w:szCs w:val="18"/>
              </w:rPr>
              <w:t>шв. фр.</w:t>
            </w:r>
            <w:r w:rsidRPr="007101FE">
              <w:rPr>
                <w:b w:val="0"/>
                <w:bCs w:val="0"/>
                <w:sz w:val="18"/>
                <w:szCs w:val="18"/>
              </w:rPr>
              <w:t>)</w:t>
            </w:r>
          </w:p>
        </w:tc>
      </w:tr>
      <w:tr w:rsidR="00091289" w:rsidRPr="007101FE" w:rsidTr="001E4FCF">
        <w:tc>
          <w:tcPr>
            <w:tcW w:w="8784" w:type="dxa"/>
          </w:tcPr>
          <w:p w:rsidR="00091289" w:rsidRPr="007101FE" w:rsidRDefault="00091289" w:rsidP="001E4FCF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45" w:type="dxa"/>
          </w:tcPr>
          <w:p w:rsidR="00091289" w:rsidRPr="007101FE" w:rsidRDefault="00091289" w:rsidP="00091289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>20</w:t>
            </w:r>
            <w:r>
              <w:rPr>
                <w:b/>
                <w:bCs/>
                <w:color w:val="4F81BD" w:themeColor="accent1"/>
                <w:sz w:val="18"/>
                <w:szCs w:val="18"/>
              </w:rPr>
              <w:t>20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 xml:space="preserve"> г.</w:t>
            </w:r>
          </w:p>
        </w:tc>
        <w:tc>
          <w:tcPr>
            <w:tcW w:w="1446" w:type="dxa"/>
          </w:tcPr>
          <w:p w:rsidR="00091289" w:rsidRPr="007101FE" w:rsidRDefault="00091289" w:rsidP="00091289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>202</w:t>
            </w:r>
            <w:r>
              <w:rPr>
                <w:b/>
                <w:bCs/>
                <w:color w:val="4F81BD" w:themeColor="accent1"/>
                <w:sz w:val="18"/>
                <w:szCs w:val="18"/>
              </w:rPr>
              <w:t>1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 xml:space="preserve"> г.</w:t>
            </w:r>
          </w:p>
        </w:tc>
        <w:tc>
          <w:tcPr>
            <w:tcW w:w="1446" w:type="dxa"/>
          </w:tcPr>
          <w:p w:rsidR="00091289" w:rsidRPr="007101FE" w:rsidRDefault="00091289" w:rsidP="00091289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>202</w:t>
            </w:r>
            <w:r>
              <w:rPr>
                <w:b/>
                <w:bCs/>
                <w:color w:val="4F81BD" w:themeColor="accent1"/>
                <w:sz w:val="18"/>
                <w:szCs w:val="18"/>
              </w:rPr>
              <w:t>2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 xml:space="preserve"> г.</w:t>
            </w:r>
          </w:p>
        </w:tc>
        <w:tc>
          <w:tcPr>
            <w:tcW w:w="1446" w:type="dxa"/>
          </w:tcPr>
          <w:p w:rsidR="00091289" w:rsidRPr="007101FE" w:rsidRDefault="00091289" w:rsidP="00091289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>202</w:t>
            </w:r>
            <w:r>
              <w:rPr>
                <w:b/>
                <w:bCs/>
                <w:color w:val="4F81BD" w:themeColor="accent1"/>
                <w:sz w:val="18"/>
                <w:szCs w:val="18"/>
              </w:rPr>
              <w:t>3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 xml:space="preserve"> г.</w:t>
            </w:r>
          </w:p>
        </w:tc>
      </w:tr>
      <w:tr w:rsidR="00091289" w:rsidRPr="007101FE" w:rsidTr="001E4FCF">
        <w:tc>
          <w:tcPr>
            <w:tcW w:w="8784" w:type="dxa"/>
          </w:tcPr>
          <w:p w:rsidR="00091289" w:rsidRPr="007101FE" w:rsidRDefault="00091289" w:rsidP="00091289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I.1-</w:t>
            </w:r>
            <w:r w:rsidRPr="0009128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1</w:t>
            </w:r>
            <w:r w:rsidRPr="007101FE">
              <w:rPr>
                <w:rFonts w:eastAsia="Calibri" w:cs="Arial"/>
                <w:sz w:val="18"/>
                <w:szCs w:val="18"/>
              </w:rPr>
              <w:t xml:space="preserve">: </w:t>
            </w:r>
            <w:r w:rsidRPr="007101FE">
              <w:rPr>
                <w:rFonts w:asciiTheme="minorHAnsi" w:hAnsiTheme="minorHAnsi"/>
                <w:sz w:val="18"/>
                <w:szCs w:val="18"/>
              </w:rPr>
              <w:t xml:space="preserve">Межсекторальные всемирные конференции, форумы, мероприятия и платформы для </w:t>
            </w:r>
            <w:r w:rsidR="00FE3045">
              <w:rPr>
                <w:rFonts w:asciiTheme="minorHAnsi" w:hAnsiTheme="minorHAnsi"/>
                <w:sz w:val="18"/>
                <w:szCs w:val="18"/>
              </w:rPr>
              <w:t xml:space="preserve">проведения </w:t>
            </w:r>
            <w:r w:rsidRPr="007101FE">
              <w:rPr>
                <w:rFonts w:asciiTheme="minorHAnsi" w:hAnsiTheme="minorHAnsi"/>
                <w:sz w:val="18"/>
                <w:szCs w:val="18"/>
              </w:rPr>
              <w:t>обсуждений на высоком уровне</w:t>
            </w:r>
          </w:p>
        </w:tc>
        <w:tc>
          <w:tcPr>
            <w:tcW w:w="1445" w:type="dxa"/>
            <w:vAlign w:val="bottom"/>
          </w:tcPr>
          <w:p w:rsidR="00091289" w:rsidRPr="00091289" w:rsidRDefault="00091289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5 228 418</w:t>
            </w:r>
          </w:p>
        </w:tc>
        <w:tc>
          <w:tcPr>
            <w:tcW w:w="1446" w:type="dxa"/>
            <w:vAlign w:val="bottom"/>
          </w:tcPr>
          <w:p w:rsidR="00091289" w:rsidRPr="00091289" w:rsidRDefault="00091289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5 939 751</w:t>
            </w:r>
          </w:p>
        </w:tc>
        <w:tc>
          <w:tcPr>
            <w:tcW w:w="1446" w:type="dxa"/>
            <w:vAlign w:val="bottom"/>
          </w:tcPr>
          <w:p w:rsidR="00091289" w:rsidRPr="00091289" w:rsidRDefault="00091289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9 411 902</w:t>
            </w:r>
          </w:p>
        </w:tc>
        <w:tc>
          <w:tcPr>
            <w:tcW w:w="1446" w:type="dxa"/>
            <w:vAlign w:val="bottom"/>
          </w:tcPr>
          <w:p w:rsidR="00091289" w:rsidRPr="00091289" w:rsidRDefault="00091289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5 012 333</w:t>
            </w:r>
          </w:p>
        </w:tc>
      </w:tr>
      <w:tr w:rsidR="00091289" w:rsidRPr="007101FE" w:rsidTr="001E4FCF">
        <w:tc>
          <w:tcPr>
            <w:tcW w:w="8784" w:type="dxa"/>
          </w:tcPr>
          <w:p w:rsidR="00091289" w:rsidRPr="007101FE" w:rsidRDefault="00091289" w:rsidP="00091289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I.1-</w:t>
            </w:r>
            <w:r w:rsidRPr="0009128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2</w:t>
            </w:r>
            <w:r w:rsidRPr="007101FE">
              <w:rPr>
                <w:rFonts w:eastAsia="Calibri" w:cs="Arial"/>
                <w:sz w:val="18"/>
                <w:szCs w:val="18"/>
              </w:rPr>
              <w:t xml:space="preserve">: </w:t>
            </w:r>
            <w:r w:rsidRPr="00091289">
              <w:rPr>
                <w:rFonts w:asciiTheme="minorHAnsi" w:hAnsiTheme="minorHAnsi"/>
                <w:sz w:val="18"/>
                <w:szCs w:val="18"/>
              </w:rPr>
              <w:t>Совместное использование знаний, сотрудничество и партнерские отношения</w:t>
            </w:r>
          </w:p>
        </w:tc>
        <w:tc>
          <w:tcPr>
            <w:tcW w:w="1445" w:type="dxa"/>
            <w:vAlign w:val="bottom"/>
          </w:tcPr>
          <w:p w:rsidR="00091289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3 169 431</w:t>
            </w:r>
          </w:p>
        </w:tc>
        <w:tc>
          <w:tcPr>
            <w:tcW w:w="1446" w:type="dxa"/>
            <w:vAlign w:val="bottom"/>
          </w:tcPr>
          <w:p w:rsidR="00091289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3 081 994</w:t>
            </w:r>
          </w:p>
        </w:tc>
        <w:tc>
          <w:tcPr>
            <w:tcW w:w="1446" w:type="dxa"/>
            <w:vAlign w:val="bottom"/>
          </w:tcPr>
          <w:p w:rsidR="00091289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2 735 717</w:t>
            </w:r>
          </w:p>
        </w:tc>
        <w:tc>
          <w:tcPr>
            <w:tcW w:w="1446" w:type="dxa"/>
            <w:vAlign w:val="bottom"/>
          </w:tcPr>
          <w:p w:rsidR="00091289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3 133 389</w:t>
            </w:r>
          </w:p>
        </w:tc>
      </w:tr>
      <w:tr w:rsidR="00091289" w:rsidRPr="007101FE" w:rsidTr="001E4FCF">
        <w:tc>
          <w:tcPr>
            <w:tcW w:w="8784" w:type="dxa"/>
          </w:tcPr>
          <w:p w:rsidR="00091289" w:rsidRPr="007101FE" w:rsidRDefault="00091289" w:rsidP="00091289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I.1-</w:t>
            </w:r>
            <w:r w:rsidRPr="0009128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3</w:t>
            </w:r>
            <w:r w:rsidRPr="007101FE">
              <w:rPr>
                <w:rFonts w:eastAsia="Calibri" w:cs="Arial"/>
                <w:sz w:val="18"/>
                <w:szCs w:val="18"/>
              </w:rPr>
              <w:t xml:space="preserve">: </w:t>
            </w:r>
            <w:r w:rsidRPr="00091289">
              <w:rPr>
                <w:rFonts w:asciiTheme="minorHAnsi" w:hAnsiTheme="minorHAnsi"/>
                <w:sz w:val="18"/>
                <w:szCs w:val="18"/>
              </w:rPr>
              <w:t>Меморандумы о взаимопонимании (МоВ)</w:t>
            </w:r>
          </w:p>
        </w:tc>
        <w:tc>
          <w:tcPr>
            <w:tcW w:w="1445" w:type="dxa"/>
            <w:vAlign w:val="bottom"/>
          </w:tcPr>
          <w:p w:rsidR="00091289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22 138</w:t>
            </w:r>
          </w:p>
        </w:tc>
        <w:tc>
          <w:tcPr>
            <w:tcW w:w="1446" w:type="dxa"/>
            <w:vAlign w:val="bottom"/>
          </w:tcPr>
          <w:p w:rsidR="00091289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22 138</w:t>
            </w:r>
          </w:p>
        </w:tc>
        <w:tc>
          <w:tcPr>
            <w:tcW w:w="1446" w:type="dxa"/>
            <w:vAlign w:val="bottom"/>
          </w:tcPr>
          <w:p w:rsidR="00091289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22 059</w:t>
            </w:r>
          </w:p>
        </w:tc>
        <w:tc>
          <w:tcPr>
            <w:tcW w:w="1446" w:type="dxa"/>
            <w:vAlign w:val="bottom"/>
          </w:tcPr>
          <w:p w:rsidR="00091289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21 882</w:t>
            </w:r>
          </w:p>
        </w:tc>
      </w:tr>
      <w:tr w:rsidR="00091289" w:rsidRPr="007101FE" w:rsidTr="001E4FCF">
        <w:tc>
          <w:tcPr>
            <w:tcW w:w="8784" w:type="dxa"/>
          </w:tcPr>
          <w:p w:rsidR="00091289" w:rsidRPr="007101FE" w:rsidRDefault="00091289" w:rsidP="00091289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I.1-</w:t>
            </w:r>
            <w:r w:rsidRPr="0009128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4</w:t>
            </w:r>
            <w:r w:rsidRPr="007101FE">
              <w:rPr>
                <w:rFonts w:eastAsia="Calibri" w:cs="Arial"/>
                <w:sz w:val="18"/>
                <w:szCs w:val="18"/>
              </w:rPr>
              <w:t xml:space="preserve">: </w:t>
            </w:r>
            <w:r w:rsidRPr="00091289">
              <w:rPr>
                <w:rFonts w:asciiTheme="minorHAnsi" w:hAnsiTheme="minorHAnsi"/>
                <w:sz w:val="18"/>
                <w:szCs w:val="18"/>
              </w:rPr>
              <w:t>Отчеты и другие входные документы для процессов, проходящих внутри ООН, а также многосторонних и межправительственных процессов</w:t>
            </w:r>
          </w:p>
        </w:tc>
        <w:tc>
          <w:tcPr>
            <w:tcW w:w="1445" w:type="dxa"/>
            <w:vAlign w:val="bottom"/>
          </w:tcPr>
          <w:p w:rsidR="00091289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718 085</w:t>
            </w:r>
          </w:p>
        </w:tc>
        <w:tc>
          <w:tcPr>
            <w:tcW w:w="1446" w:type="dxa"/>
            <w:vAlign w:val="bottom"/>
          </w:tcPr>
          <w:p w:rsidR="00091289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718 074</w:t>
            </w:r>
          </w:p>
        </w:tc>
        <w:tc>
          <w:tcPr>
            <w:tcW w:w="1446" w:type="dxa"/>
            <w:vAlign w:val="bottom"/>
          </w:tcPr>
          <w:p w:rsidR="00091289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657 835</w:t>
            </w:r>
          </w:p>
        </w:tc>
        <w:tc>
          <w:tcPr>
            <w:tcW w:w="1446" w:type="dxa"/>
            <w:vAlign w:val="bottom"/>
          </w:tcPr>
          <w:p w:rsidR="00091289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709 788</w:t>
            </w:r>
          </w:p>
        </w:tc>
      </w:tr>
      <w:tr w:rsidR="00091289" w:rsidRPr="007101FE" w:rsidTr="001E4FCF">
        <w:tc>
          <w:tcPr>
            <w:tcW w:w="8784" w:type="dxa"/>
          </w:tcPr>
          <w:p w:rsidR="00091289" w:rsidRPr="007101FE" w:rsidRDefault="00091289" w:rsidP="00091289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I.1-</w:t>
            </w:r>
            <w:r w:rsidRPr="0009128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5</w:t>
            </w:r>
            <w:r w:rsidRPr="007101FE">
              <w:rPr>
                <w:rFonts w:eastAsia="Calibri" w:cs="Arial"/>
                <w:sz w:val="18"/>
                <w:szCs w:val="18"/>
              </w:rPr>
              <w:t xml:space="preserve">: </w:t>
            </w:r>
            <w:r w:rsidRPr="00091289">
              <w:rPr>
                <w:rFonts w:asciiTheme="minorHAnsi" w:hAnsiTheme="minorHAnsi"/>
                <w:sz w:val="18"/>
                <w:szCs w:val="18"/>
              </w:rPr>
              <w:t>Предоставление вспомогательных услуг членам МСЭ в рамках деятельности и мероприятий МСЭ</w:t>
            </w:r>
          </w:p>
        </w:tc>
        <w:tc>
          <w:tcPr>
            <w:tcW w:w="1445" w:type="dxa"/>
            <w:vAlign w:val="bottom"/>
          </w:tcPr>
          <w:p w:rsidR="00091289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604 798</w:t>
            </w:r>
          </w:p>
        </w:tc>
        <w:tc>
          <w:tcPr>
            <w:tcW w:w="1446" w:type="dxa"/>
            <w:vAlign w:val="bottom"/>
          </w:tcPr>
          <w:p w:rsidR="00091289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604 798</w:t>
            </w:r>
          </w:p>
        </w:tc>
        <w:tc>
          <w:tcPr>
            <w:tcW w:w="1446" w:type="dxa"/>
            <w:vAlign w:val="bottom"/>
          </w:tcPr>
          <w:p w:rsidR="00091289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583 418</w:t>
            </w:r>
          </w:p>
        </w:tc>
        <w:tc>
          <w:tcPr>
            <w:tcW w:w="1446" w:type="dxa"/>
            <w:vAlign w:val="bottom"/>
          </w:tcPr>
          <w:p w:rsidR="00091289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597 811</w:t>
            </w:r>
          </w:p>
        </w:tc>
      </w:tr>
      <w:tr w:rsidR="00091289" w:rsidRPr="007101FE" w:rsidTr="001E4FCF">
        <w:tc>
          <w:tcPr>
            <w:tcW w:w="8784" w:type="dxa"/>
          </w:tcPr>
          <w:p w:rsidR="00091289" w:rsidRPr="007101FE" w:rsidRDefault="00091289" w:rsidP="001E4FCF">
            <w:pPr>
              <w:spacing w:before="40" w:after="40"/>
              <w:ind w:right="113"/>
              <w:rPr>
                <w:b/>
                <w:bCs/>
                <w:color w:val="4F81BD" w:themeColor="accent1"/>
                <w:sz w:val="18"/>
                <w:szCs w:val="18"/>
                <w:lang w:eastAsia="zh-CN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  <w:lang w:eastAsia="zh-CN"/>
              </w:rPr>
              <w:t>Всего для Задачи I.1</w:t>
            </w:r>
          </w:p>
        </w:tc>
        <w:tc>
          <w:tcPr>
            <w:tcW w:w="1445" w:type="dxa"/>
            <w:vAlign w:val="bottom"/>
          </w:tcPr>
          <w:p w:rsidR="00091289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9 742 870</w:t>
            </w:r>
          </w:p>
        </w:tc>
        <w:tc>
          <w:tcPr>
            <w:tcW w:w="1446" w:type="dxa"/>
            <w:vAlign w:val="bottom"/>
          </w:tcPr>
          <w:p w:rsidR="00091289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10 366 746</w:t>
            </w:r>
          </w:p>
        </w:tc>
        <w:tc>
          <w:tcPr>
            <w:tcW w:w="1446" w:type="dxa"/>
            <w:vAlign w:val="bottom"/>
          </w:tcPr>
          <w:p w:rsidR="00091289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13 410 931</w:t>
            </w:r>
          </w:p>
        </w:tc>
        <w:tc>
          <w:tcPr>
            <w:tcW w:w="1446" w:type="dxa"/>
            <w:vAlign w:val="bottom"/>
          </w:tcPr>
          <w:p w:rsidR="00091289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9 475 203</w:t>
            </w:r>
          </w:p>
        </w:tc>
      </w:tr>
    </w:tbl>
    <w:p w:rsidR="00091289" w:rsidRPr="000F6DA1" w:rsidRDefault="000F6DA1" w:rsidP="00D86116">
      <w:pPr>
        <w:spacing w:after="120"/>
      </w:pPr>
      <w:r w:rsidRPr="000F6DA1">
        <w:rPr>
          <w:lang w:val="en-US"/>
        </w:rPr>
        <w:t>I</w:t>
      </w:r>
      <w:r w:rsidRPr="000F6DA1">
        <w:t>.2</w:t>
      </w:r>
      <w:r w:rsidR="00D86116">
        <w:tab/>
      </w:r>
      <w:r w:rsidRPr="000F6DA1">
        <w:t>Способствовать выявлению, осознанию и анализу цифровой трансформации и возникающих тенденций в среде электросвязи/ИКТ</w:t>
      </w:r>
    </w:p>
    <w:tbl>
      <w:tblPr>
        <w:tblStyle w:val="GridTable4-Accent11"/>
        <w:tblW w:w="14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A0" w:firstRow="1" w:lastRow="0" w:firstColumn="1" w:lastColumn="0" w:noHBand="1" w:noVBand="1"/>
      </w:tblPr>
      <w:tblGrid>
        <w:gridCol w:w="4041"/>
        <w:gridCol w:w="7642"/>
        <w:gridCol w:w="2884"/>
      </w:tblGrid>
      <w:tr w:rsidR="000F6DA1" w:rsidRPr="007101FE" w:rsidTr="001E4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vAlign w:val="center"/>
          </w:tcPr>
          <w:p w:rsidR="000F6DA1" w:rsidRPr="007101FE" w:rsidRDefault="000F6DA1" w:rsidP="001E4FCF">
            <w:pPr>
              <w:spacing w:before="80" w:after="8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Конечный результат</w:t>
            </w:r>
          </w:p>
        </w:tc>
        <w:tc>
          <w:tcPr>
            <w:tcW w:w="7642" w:type="dxa"/>
            <w:vAlign w:val="center"/>
          </w:tcPr>
          <w:p w:rsidR="000F6DA1" w:rsidRPr="007101FE" w:rsidRDefault="000F6DA1" w:rsidP="00561162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 xml:space="preserve">Показатель конечного результата </w:t>
            </w:r>
          </w:p>
        </w:tc>
        <w:tc>
          <w:tcPr>
            <w:tcW w:w="2884" w:type="dxa"/>
            <w:vAlign w:val="center"/>
          </w:tcPr>
          <w:p w:rsidR="000F6DA1" w:rsidRPr="007101FE" w:rsidRDefault="000F6DA1" w:rsidP="001E4FCF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Средства измерения</w:t>
            </w:r>
          </w:p>
        </w:tc>
      </w:tr>
      <w:tr w:rsidR="000F6DA1" w:rsidRPr="007101FE" w:rsidTr="001E4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0F6DA1" w:rsidRPr="007101FE" w:rsidRDefault="000F6DA1" w:rsidP="00FE3045">
            <w:pPr>
              <w:spacing w:before="40" w:after="40"/>
              <w:rPr>
                <w:rFonts w:eastAsia="Calibri" w:cs="Arial"/>
                <w:b w:val="0"/>
                <w:bCs w:val="0"/>
                <w:sz w:val="18"/>
                <w:szCs w:val="18"/>
              </w:rPr>
            </w:pP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I.</w:t>
            </w:r>
            <w:r w:rsidRPr="000F6DA1">
              <w:rPr>
                <w:rFonts w:eastAsia="Calibri" w:cs="Arial"/>
                <w:color w:val="4F81BD" w:themeColor="accent1"/>
                <w:sz w:val="18"/>
                <w:szCs w:val="18"/>
              </w:rPr>
              <w:t>2</w:t>
            </w: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-</w:t>
            </w:r>
            <w:r>
              <w:rPr>
                <w:rFonts w:eastAsia="Calibri" w:cs="Arial"/>
                <w:color w:val="4F81BD" w:themeColor="accent1"/>
                <w:sz w:val="18"/>
                <w:szCs w:val="18"/>
                <w:lang w:val="en-US"/>
              </w:rPr>
              <w:t>a</w:t>
            </w:r>
            <w:r w:rsidRPr="007101FE">
              <w:rPr>
                <w:rFonts w:eastAsia="Calibri" w:cs="Arial"/>
                <w:b w:val="0"/>
                <w:bCs w:val="0"/>
                <w:sz w:val="18"/>
                <w:szCs w:val="18"/>
              </w:rPr>
              <w:t xml:space="preserve">: </w:t>
            </w:r>
            <w:r w:rsidRPr="000F6DA1">
              <w:rPr>
                <w:b w:val="0"/>
                <w:bCs w:val="0"/>
                <w:sz w:val="18"/>
                <w:szCs w:val="18"/>
              </w:rPr>
              <w:t xml:space="preserve">Выявление, осознание и анализ цифровой трансформации и </w:t>
            </w:r>
            <w:r w:rsidR="00FE3045" w:rsidRPr="000F6DA1">
              <w:rPr>
                <w:b w:val="0"/>
                <w:bCs w:val="0"/>
                <w:sz w:val="18"/>
                <w:szCs w:val="18"/>
              </w:rPr>
              <w:t xml:space="preserve">возникающих </w:t>
            </w:r>
            <w:r w:rsidRPr="000F6DA1">
              <w:rPr>
                <w:b w:val="0"/>
                <w:bCs w:val="0"/>
                <w:sz w:val="18"/>
                <w:szCs w:val="18"/>
              </w:rPr>
              <w:t xml:space="preserve">тенденций в </w:t>
            </w:r>
            <w:r w:rsidR="00FE3045">
              <w:rPr>
                <w:b w:val="0"/>
                <w:bCs w:val="0"/>
                <w:sz w:val="18"/>
                <w:szCs w:val="18"/>
              </w:rPr>
              <w:t>области</w:t>
            </w:r>
            <w:r w:rsidRPr="000F6DA1">
              <w:rPr>
                <w:b w:val="0"/>
                <w:bCs w:val="0"/>
                <w:sz w:val="18"/>
                <w:szCs w:val="18"/>
              </w:rPr>
              <w:t xml:space="preserve"> электросвязи/ИКТ</w:t>
            </w:r>
          </w:p>
        </w:tc>
        <w:tc>
          <w:tcPr>
            <w:tcW w:w="7642" w:type="dxa"/>
            <w:shd w:val="clear" w:color="auto" w:fill="auto"/>
          </w:tcPr>
          <w:p w:rsidR="000F6DA1" w:rsidRPr="00FE3045" w:rsidRDefault="00FE3045" w:rsidP="000F6DA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Новые оперативные группы</w:t>
            </w:r>
          </w:p>
          <w:p w:rsidR="000F6DA1" w:rsidRPr="00FE3045" w:rsidRDefault="00FE3045" w:rsidP="00FE304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Новые</w:t>
            </w:r>
            <w:r w:rsidRPr="00FE304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публикации</w:t>
            </w:r>
            <w:r w:rsidRPr="00FE3045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отчеты</w:t>
            </w:r>
            <w:r w:rsidRPr="00FE304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</w:t>
            </w:r>
            <w:r w:rsidRPr="00FE304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формирующихся</w:t>
            </w:r>
            <w:r w:rsidRPr="00FE304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тенденциях</w:t>
            </w:r>
            <w:r w:rsidRPr="00FE3045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появляющихся технологиях</w:t>
            </w:r>
          </w:p>
          <w:p w:rsidR="000F6DA1" w:rsidRPr="00FE3045" w:rsidRDefault="00FE3045" w:rsidP="0034660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</w:t>
            </w:r>
            <w:r w:rsidRPr="00FE304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мероприятий</w:t>
            </w:r>
            <w:r w:rsidRPr="00FE304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на</w:t>
            </w:r>
            <w:r w:rsidRPr="00FE304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которых </w:t>
            </w:r>
            <w:r w:rsidR="0034660E">
              <w:rPr>
                <w:sz w:val="18"/>
                <w:szCs w:val="18"/>
              </w:rPr>
              <w:t>демонстрируются</w:t>
            </w:r>
            <w:r>
              <w:rPr>
                <w:sz w:val="18"/>
                <w:szCs w:val="18"/>
              </w:rPr>
              <w:t xml:space="preserve"> появляющиеся технологии</w:t>
            </w:r>
          </w:p>
          <w:p w:rsidR="000F6DA1" w:rsidRPr="0034660E" w:rsidRDefault="0034660E" w:rsidP="005958C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Новые</w:t>
            </w:r>
            <w:r w:rsidRPr="005958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темы</w:t>
            </w:r>
            <w:r w:rsidR="005958C5">
              <w:rPr>
                <w:sz w:val="18"/>
                <w:szCs w:val="18"/>
              </w:rPr>
              <w:t>,</w:t>
            </w:r>
            <w:r w:rsidRPr="005958C5">
              <w:rPr>
                <w:sz w:val="18"/>
                <w:szCs w:val="18"/>
              </w:rPr>
              <w:t xml:space="preserve"> </w:t>
            </w:r>
            <w:r w:rsidR="005958C5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ключенные</w:t>
            </w:r>
            <w:r w:rsidRPr="0034660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 w:rsidR="005958C5">
              <w:rPr>
                <w:sz w:val="18"/>
                <w:szCs w:val="18"/>
              </w:rPr>
              <w:t xml:space="preserve"> программу</w:t>
            </w:r>
            <w:r w:rsidRPr="0034660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работ</w:t>
            </w:r>
            <w:r w:rsidR="005958C5">
              <w:rPr>
                <w:sz w:val="18"/>
                <w:szCs w:val="18"/>
              </w:rPr>
              <w:t>ы</w:t>
            </w:r>
            <w:r w:rsidRPr="0034660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МСЭ</w:t>
            </w:r>
            <w:r w:rsidRPr="0034660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 w:rsidRPr="0034660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результате</w:t>
            </w:r>
            <w:r w:rsidRPr="0034660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анализа</w:t>
            </w:r>
            <w:r w:rsidRPr="0034660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возникающих</w:t>
            </w:r>
            <w:r w:rsidRPr="0034660E">
              <w:rPr>
                <w:sz w:val="18"/>
                <w:szCs w:val="18"/>
              </w:rPr>
              <w:t xml:space="preserve"> </w:t>
            </w:r>
            <w:r w:rsidR="00872D6C">
              <w:rPr>
                <w:sz w:val="18"/>
                <w:szCs w:val="18"/>
              </w:rPr>
              <w:t>тенденций</w:t>
            </w:r>
          </w:p>
        </w:tc>
        <w:tc>
          <w:tcPr>
            <w:tcW w:w="2884" w:type="dxa"/>
            <w:shd w:val="clear" w:color="auto" w:fill="auto"/>
          </w:tcPr>
          <w:p w:rsidR="000F6DA1" w:rsidRPr="007101FE" w:rsidRDefault="0034660E" w:rsidP="001E4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660E">
              <w:rPr>
                <w:sz w:val="18"/>
                <w:szCs w:val="18"/>
              </w:rPr>
              <w:t>Межсекторальные данные</w:t>
            </w:r>
          </w:p>
        </w:tc>
      </w:tr>
    </w:tbl>
    <w:p w:rsidR="00091289" w:rsidRPr="000F6DA1" w:rsidRDefault="00091289" w:rsidP="00482978">
      <w:pPr>
        <w:spacing w:before="0"/>
      </w:pPr>
    </w:p>
    <w:tbl>
      <w:tblPr>
        <w:tblStyle w:val="GridTable4-Accent11"/>
        <w:tblW w:w="14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20" w:firstRow="1" w:lastRow="0" w:firstColumn="0" w:lastColumn="0" w:noHBand="1" w:noVBand="1"/>
      </w:tblPr>
      <w:tblGrid>
        <w:gridCol w:w="8784"/>
        <w:gridCol w:w="1445"/>
        <w:gridCol w:w="1446"/>
        <w:gridCol w:w="1446"/>
        <w:gridCol w:w="1446"/>
      </w:tblGrid>
      <w:tr w:rsidR="000F6DA1" w:rsidRPr="00B87D66" w:rsidTr="001E4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DA1" w:rsidRPr="007101FE" w:rsidRDefault="000F6DA1" w:rsidP="001E4FCF">
            <w:pPr>
              <w:spacing w:before="80" w:after="8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Намеченный результат деятельности</w:t>
            </w:r>
          </w:p>
        </w:tc>
        <w:tc>
          <w:tcPr>
            <w:tcW w:w="578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DA1" w:rsidRPr="007101FE" w:rsidRDefault="000F6DA1" w:rsidP="00561162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Финансовые ресурсы</w:t>
            </w:r>
            <w:r w:rsidR="00561162">
              <w:rPr>
                <w:sz w:val="18"/>
                <w:szCs w:val="18"/>
              </w:rPr>
              <w:t xml:space="preserve"> </w:t>
            </w:r>
            <w:r w:rsidRPr="007101FE">
              <w:rPr>
                <w:b w:val="0"/>
                <w:bCs w:val="0"/>
                <w:sz w:val="18"/>
                <w:szCs w:val="18"/>
              </w:rPr>
              <w:t xml:space="preserve">(в </w:t>
            </w:r>
            <w:r>
              <w:rPr>
                <w:b w:val="0"/>
                <w:bCs w:val="0"/>
                <w:sz w:val="18"/>
                <w:szCs w:val="18"/>
              </w:rPr>
              <w:t>шв. фр.</w:t>
            </w:r>
            <w:r w:rsidRPr="007101FE">
              <w:rPr>
                <w:b w:val="0"/>
                <w:bCs w:val="0"/>
                <w:sz w:val="18"/>
                <w:szCs w:val="18"/>
              </w:rPr>
              <w:t>)</w:t>
            </w:r>
          </w:p>
        </w:tc>
      </w:tr>
      <w:tr w:rsidR="000F6DA1" w:rsidRPr="007101FE" w:rsidTr="001E4FCF">
        <w:tc>
          <w:tcPr>
            <w:tcW w:w="8784" w:type="dxa"/>
          </w:tcPr>
          <w:p w:rsidR="000F6DA1" w:rsidRPr="007101FE" w:rsidRDefault="000F6DA1" w:rsidP="001E4FCF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45" w:type="dxa"/>
          </w:tcPr>
          <w:p w:rsidR="000F6DA1" w:rsidRPr="007101FE" w:rsidRDefault="000F6DA1" w:rsidP="001E4FCF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>20</w:t>
            </w:r>
            <w:r>
              <w:rPr>
                <w:b/>
                <w:bCs/>
                <w:color w:val="4F81BD" w:themeColor="accent1"/>
                <w:sz w:val="18"/>
                <w:szCs w:val="18"/>
              </w:rPr>
              <w:t>20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 xml:space="preserve"> г.</w:t>
            </w:r>
          </w:p>
        </w:tc>
        <w:tc>
          <w:tcPr>
            <w:tcW w:w="1446" w:type="dxa"/>
          </w:tcPr>
          <w:p w:rsidR="000F6DA1" w:rsidRPr="007101FE" w:rsidRDefault="000F6DA1" w:rsidP="001E4FCF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>202</w:t>
            </w:r>
            <w:r>
              <w:rPr>
                <w:b/>
                <w:bCs/>
                <w:color w:val="4F81BD" w:themeColor="accent1"/>
                <w:sz w:val="18"/>
                <w:szCs w:val="18"/>
              </w:rPr>
              <w:t>1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 xml:space="preserve"> г.</w:t>
            </w:r>
          </w:p>
        </w:tc>
        <w:tc>
          <w:tcPr>
            <w:tcW w:w="1446" w:type="dxa"/>
          </w:tcPr>
          <w:p w:rsidR="000F6DA1" w:rsidRPr="007101FE" w:rsidRDefault="000F6DA1" w:rsidP="001E4FCF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>202</w:t>
            </w:r>
            <w:r>
              <w:rPr>
                <w:b/>
                <w:bCs/>
                <w:color w:val="4F81BD" w:themeColor="accent1"/>
                <w:sz w:val="18"/>
                <w:szCs w:val="18"/>
              </w:rPr>
              <w:t>2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 xml:space="preserve"> г.</w:t>
            </w:r>
          </w:p>
        </w:tc>
        <w:tc>
          <w:tcPr>
            <w:tcW w:w="1446" w:type="dxa"/>
          </w:tcPr>
          <w:p w:rsidR="000F6DA1" w:rsidRPr="007101FE" w:rsidRDefault="000F6DA1" w:rsidP="001E4FCF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>202</w:t>
            </w:r>
            <w:r>
              <w:rPr>
                <w:b/>
                <w:bCs/>
                <w:color w:val="4F81BD" w:themeColor="accent1"/>
                <w:sz w:val="18"/>
                <w:szCs w:val="18"/>
              </w:rPr>
              <w:t>3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 xml:space="preserve"> г.</w:t>
            </w:r>
          </w:p>
        </w:tc>
      </w:tr>
      <w:tr w:rsidR="000F6DA1" w:rsidRPr="007101FE" w:rsidTr="001E4FCF">
        <w:tc>
          <w:tcPr>
            <w:tcW w:w="8784" w:type="dxa"/>
          </w:tcPr>
          <w:p w:rsidR="000F6DA1" w:rsidRPr="007101FE" w:rsidRDefault="000F6DA1" w:rsidP="000F6DA1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I.</w:t>
            </w:r>
            <w:r w:rsidRPr="000F6DA1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2</w:t>
            </w: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</w:t>
            </w:r>
            <w:r w:rsidRPr="0009128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1</w:t>
            </w:r>
            <w:r w:rsidRPr="007101FE">
              <w:rPr>
                <w:rFonts w:eastAsia="Calibri" w:cs="Arial"/>
                <w:sz w:val="18"/>
                <w:szCs w:val="18"/>
              </w:rPr>
              <w:t xml:space="preserve">: </w:t>
            </w:r>
            <w:r w:rsidRPr="000F6DA1">
              <w:rPr>
                <w:rFonts w:asciiTheme="minorHAnsi" w:hAnsiTheme="minorHAnsi"/>
                <w:sz w:val="18"/>
                <w:szCs w:val="18"/>
              </w:rPr>
              <w:t>Межсекторальные инициативы и отчеты о соответствующих возникающих тенденциях в области электросвязи/ИКТ, а также другие аналогичные инициативы</w:t>
            </w:r>
          </w:p>
        </w:tc>
        <w:tc>
          <w:tcPr>
            <w:tcW w:w="1445" w:type="dxa"/>
            <w:vAlign w:val="bottom"/>
          </w:tcPr>
          <w:p w:rsidR="000F6DA1" w:rsidRPr="00091289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673 857</w:t>
            </w:r>
          </w:p>
        </w:tc>
        <w:tc>
          <w:tcPr>
            <w:tcW w:w="1446" w:type="dxa"/>
            <w:vAlign w:val="bottom"/>
          </w:tcPr>
          <w:p w:rsidR="000F6DA1" w:rsidRPr="00091289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636 459</w:t>
            </w:r>
          </w:p>
        </w:tc>
        <w:tc>
          <w:tcPr>
            <w:tcW w:w="1446" w:type="dxa"/>
            <w:vAlign w:val="bottom"/>
          </w:tcPr>
          <w:p w:rsidR="000F6DA1" w:rsidRPr="00091289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688 732</w:t>
            </w:r>
          </w:p>
        </w:tc>
        <w:tc>
          <w:tcPr>
            <w:tcW w:w="1446" w:type="dxa"/>
            <w:vAlign w:val="bottom"/>
          </w:tcPr>
          <w:p w:rsidR="000F6DA1" w:rsidRPr="00091289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716 938</w:t>
            </w:r>
          </w:p>
        </w:tc>
      </w:tr>
      <w:tr w:rsidR="000F6DA1" w:rsidRPr="007101FE" w:rsidTr="001E4FCF">
        <w:tc>
          <w:tcPr>
            <w:tcW w:w="8784" w:type="dxa"/>
          </w:tcPr>
          <w:p w:rsidR="000F6DA1" w:rsidRPr="007101FE" w:rsidRDefault="000F6DA1" w:rsidP="000F6DA1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I.</w:t>
            </w:r>
            <w:r w:rsidRPr="000F6DA1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2</w:t>
            </w: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</w:t>
            </w:r>
            <w:r w:rsidRPr="0009128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2</w:t>
            </w:r>
            <w:r w:rsidRPr="007101FE">
              <w:rPr>
                <w:rFonts w:eastAsia="Calibri" w:cs="Arial"/>
                <w:sz w:val="18"/>
                <w:szCs w:val="18"/>
              </w:rPr>
              <w:t xml:space="preserve">: </w:t>
            </w:r>
            <w:r w:rsidRPr="000F6DA1">
              <w:rPr>
                <w:rFonts w:asciiTheme="minorHAnsi" w:hAnsiTheme="minorHAnsi"/>
                <w:sz w:val="18"/>
                <w:szCs w:val="18"/>
              </w:rPr>
              <w:t>Журнал "Новости МСЭ" в цифровом формате</w:t>
            </w:r>
          </w:p>
        </w:tc>
        <w:tc>
          <w:tcPr>
            <w:tcW w:w="1445" w:type="dxa"/>
            <w:vAlign w:val="bottom"/>
          </w:tcPr>
          <w:p w:rsidR="000F6DA1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1 098 982</w:t>
            </w:r>
          </w:p>
        </w:tc>
        <w:tc>
          <w:tcPr>
            <w:tcW w:w="1446" w:type="dxa"/>
            <w:vAlign w:val="bottom"/>
          </w:tcPr>
          <w:p w:rsidR="000F6DA1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1 103 925</w:t>
            </w:r>
          </w:p>
        </w:tc>
        <w:tc>
          <w:tcPr>
            <w:tcW w:w="1446" w:type="dxa"/>
            <w:vAlign w:val="bottom"/>
          </w:tcPr>
          <w:p w:rsidR="000F6DA1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1 217 930</w:t>
            </w:r>
          </w:p>
        </w:tc>
        <w:tc>
          <w:tcPr>
            <w:tcW w:w="1446" w:type="dxa"/>
            <w:vAlign w:val="bottom"/>
          </w:tcPr>
          <w:p w:rsidR="000F6DA1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1 152 437</w:t>
            </w:r>
          </w:p>
        </w:tc>
      </w:tr>
      <w:tr w:rsidR="000F6DA1" w:rsidRPr="007101FE" w:rsidTr="001E4FCF">
        <w:tc>
          <w:tcPr>
            <w:tcW w:w="8784" w:type="dxa"/>
          </w:tcPr>
          <w:p w:rsidR="000F6DA1" w:rsidRPr="007101FE" w:rsidRDefault="000F6DA1" w:rsidP="008C2659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lastRenderedPageBreak/>
              <w:t>I.</w:t>
            </w:r>
            <w:r w:rsidRPr="000F6DA1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2</w:t>
            </w: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</w:t>
            </w:r>
            <w:r w:rsidRPr="0009128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3</w:t>
            </w:r>
            <w:r w:rsidRPr="007101FE">
              <w:rPr>
                <w:rFonts w:eastAsia="Calibri" w:cs="Arial"/>
                <w:sz w:val="18"/>
                <w:szCs w:val="18"/>
              </w:rPr>
              <w:t xml:space="preserve">: </w:t>
            </w:r>
            <w:r w:rsidRPr="000F6DA1">
              <w:rPr>
                <w:rFonts w:asciiTheme="minorHAnsi" w:hAnsiTheme="minorHAnsi"/>
                <w:sz w:val="18"/>
                <w:szCs w:val="18"/>
              </w:rPr>
              <w:t>Платформы для обмена информацией о новы</w:t>
            </w:r>
            <w:r w:rsidR="008C2659">
              <w:rPr>
                <w:rFonts w:asciiTheme="minorHAnsi" w:hAnsiTheme="minorHAnsi"/>
                <w:sz w:val="18"/>
                <w:szCs w:val="18"/>
              </w:rPr>
              <w:t>х</w:t>
            </w:r>
            <w:r w:rsidRPr="000F6DA1">
              <w:rPr>
                <w:rFonts w:asciiTheme="minorHAnsi" w:hAnsiTheme="minorHAnsi"/>
                <w:sz w:val="18"/>
                <w:szCs w:val="18"/>
              </w:rPr>
              <w:t xml:space="preserve"> тенденция</w:t>
            </w:r>
            <w:r w:rsidR="008C2659">
              <w:rPr>
                <w:rFonts w:asciiTheme="minorHAnsi" w:hAnsiTheme="minorHAnsi"/>
                <w:sz w:val="18"/>
                <w:szCs w:val="18"/>
              </w:rPr>
              <w:t>х</w:t>
            </w:r>
          </w:p>
        </w:tc>
        <w:tc>
          <w:tcPr>
            <w:tcW w:w="1445" w:type="dxa"/>
            <w:vAlign w:val="bottom"/>
          </w:tcPr>
          <w:p w:rsidR="000F6DA1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1 327 209</w:t>
            </w:r>
          </w:p>
        </w:tc>
        <w:tc>
          <w:tcPr>
            <w:tcW w:w="1446" w:type="dxa"/>
            <w:vAlign w:val="bottom"/>
          </w:tcPr>
          <w:p w:rsidR="000F6DA1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1 333 161</w:t>
            </w:r>
          </w:p>
        </w:tc>
        <w:tc>
          <w:tcPr>
            <w:tcW w:w="1446" w:type="dxa"/>
            <w:vAlign w:val="bottom"/>
          </w:tcPr>
          <w:p w:rsidR="000F6DA1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1 352 269</w:t>
            </w:r>
          </w:p>
        </w:tc>
        <w:tc>
          <w:tcPr>
            <w:tcW w:w="1446" w:type="dxa"/>
            <w:vAlign w:val="bottom"/>
          </w:tcPr>
          <w:p w:rsidR="000F6DA1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1 319 680</w:t>
            </w:r>
          </w:p>
        </w:tc>
      </w:tr>
      <w:tr w:rsidR="000F6DA1" w:rsidRPr="007101FE" w:rsidTr="001E4FCF">
        <w:tc>
          <w:tcPr>
            <w:tcW w:w="8784" w:type="dxa"/>
          </w:tcPr>
          <w:p w:rsidR="000F6DA1" w:rsidRPr="000F6DA1" w:rsidRDefault="000F6DA1" w:rsidP="000F6DA1">
            <w:pPr>
              <w:spacing w:before="40" w:after="40"/>
              <w:ind w:right="113"/>
              <w:rPr>
                <w:b/>
                <w:bCs/>
                <w:color w:val="4F81BD" w:themeColor="accent1"/>
                <w:sz w:val="18"/>
                <w:szCs w:val="18"/>
                <w:lang w:val="en-US" w:eastAsia="zh-CN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  <w:lang w:eastAsia="zh-CN"/>
              </w:rPr>
              <w:t>Всего для Задачи I.</w:t>
            </w:r>
            <w:r>
              <w:rPr>
                <w:b/>
                <w:bCs/>
                <w:color w:val="4F81BD" w:themeColor="accent1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45" w:type="dxa"/>
            <w:vAlign w:val="bottom"/>
          </w:tcPr>
          <w:p w:rsidR="000F6DA1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3 100 048</w:t>
            </w:r>
          </w:p>
        </w:tc>
        <w:tc>
          <w:tcPr>
            <w:tcW w:w="1446" w:type="dxa"/>
            <w:vAlign w:val="bottom"/>
          </w:tcPr>
          <w:p w:rsidR="000F6DA1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3 073 545</w:t>
            </w:r>
          </w:p>
        </w:tc>
        <w:tc>
          <w:tcPr>
            <w:tcW w:w="1446" w:type="dxa"/>
            <w:vAlign w:val="bottom"/>
          </w:tcPr>
          <w:p w:rsidR="000F6DA1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3 258 931</w:t>
            </w:r>
          </w:p>
        </w:tc>
        <w:tc>
          <w:tcPr>
            <w:tcW w:w="1446" w:type="dxa"/>
            <w:vAlign w:val="bottom"/>
          </w:tcPr>
          <w:p w:rsidR="000F6DA1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3 189 054</w:t>
            </w:r>
          </w:p>
        </w:tc>
      </w:tr>
    </w:tbl>
    <w:p w:rsidR="00091289" w:rsidRPr="000F6DA1" w:rsidRDefault="000F6DA1" w:rsidP="00D86116">
      <w:pPr>
        <w:spacing w:after="120"/>
      </w:pPr>
      <w:r w:rsidRPr="000F6DA1">
        <w:t>I.3</w:t>
      </w:r>
      <w:r w:rsidR="00D86116">
        <w:tab/>
      </w:r>
      <w:r w:rsidRPr="000F6DA1">
        <w:t xml:space="preserve">Способствовать доступности электросвязи/ИКТ для лиц с ограниченными возможностями и </w:t>
      </w:r>
      <w:r w:rsidR="00872D6C">
        <w:t xml:space="preserve">лиц </w:t>
      </w:r>
      <w:r w:rsidRPr="000F6DA1">
        <w:t>особыми потребностями</w:t>
      </w:r>
    </w:p>
    <w:tbl>
      <w:tblPr>
        <w:tblStyle w:val="GridTable4-Accent11"/>
        <w:tblW w:w="14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A0" w:firstRow="1" w:lastRow="0" w:firstColumn="1" w:lastColumn="0" w:noHBand="1" w:noVBand="1"/>
      </w:tblPr>
      <w:tblGrid>
        <w:gridCol w:w="4041"/>
        <w:gridCol w:w="7642"/>
        <w:gridCol w:w="2884"/>
      </w:tblGrid>
      <w:tr w:rsidR="000F6DA1" w:rsidRPr="007101FE" w:rsidTr="001E4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F6DA1" w:rsidRPr="007101FE" w:rsidRDefault="000F6DA1" w:rsidP="001E4FCF">
            <w:pPr>
              <w:spacing w:before="80" w:after="8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Конечный результат</w:t>
            </w:r>
          </w:p>
        </w:tc>
        <w:tc>
          <w:tcPr>
            <w:tcW w:w="76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F6DA1" w:rsidRPr="007101FE" w:rsidRDefault="000F6DA1" w:rsidP="00561162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 xml:space="preserve">Показатель конечного результата </w:t>
            </w:r>
          </w:p>
        </w:tc>
        <w:tc>
          <w:tcPr>
            <w:tcW w:w="28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F6DA1" w:rsidRPr="007101FE" w:rsidRDefault="000F6DA1" w:rsidP="001E4FCF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Средства измерения</w:t>
            </w:r>
          </w:p>
        </w:tc>
      </w:tr>
      <w:tr w:rsidR="000F6DA1" w:rsidRPr="007101FE" w:rsidTr="001E4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0F6DA1" w:rsidRPr="007101FE" w:rsidRDefault="000F6DA1" w:rsidP="00F67EB2">
            <w:pPr>
              <w:spacing w:before="40" w:after="40"/>
              <w:rPr>
                <w:rFonts w:eastAsia="Calibri" w:cs="Arial"/>
                <w:b w:val="0"/>
                <w:bCs w:val="0"/>
                <w:sz w:val="18"/>
                <w:szCs w:val="18"/>
              </w:rPr>
            </w:pP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I.</w:t>
            </w:r>
            <w:r w:rsidRPr="000F6DA1">
              <w:rPr>
                <w:rFonts w:eastAsia="Calibri" w:cs="Arial"/>
                <w:color w:val="4F81BD" w:themeColor="accent1"/>
                <w:sz w:val="18"/>
                <w:szCs w:val="18"/>
              </w:rPr>
              <w:t>3</w:t>
            </w: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-</w:t>
            </w:r>
            <w:r>
              <w:rPr>
                <w:rFonts w:eastAsia="Calibri" w:cs="Arial"/>
                <w:color w:val="4F81BD" w:themeColor="accent1"/>
                <w:sz w:val="18"/>
                <w:szCs w:val="18"/>
                <w:lang w:val="en-US"/>
              </w:rPr>
              <w:t>a</w:t>
            </w:r>
            <w:r w:rsidRPr="007101FE">
              <w:rPr>
                <w:rFonts w:eastAsia="Calibri" w:cs="Arial"/>
                <w:b w:val="0"/>
                <w:bCs w:val="0"/>
                <w:sz w:val="18"/>
                <w:szCs w:val="18"/>
              </w:rPr>
              <w:t xml:space="preserve">: </w:t>
            </w:r>
            <w:r w:rsidRPr="000F6DA1">
              <w:rPr>
                <w:b w:val="0"/>
                <w:bCs w:val="0"/>
                <w:sz w:val="18"/>
                <w:szCs w:val="18"/>
              </w:rPr>
              <w:t>Повышение доступности оборудования, услуг и приложений электросвязи/ИКТ и их</w:t>
            </w:r>
            <w:r w:rsidR="00F67EB2">
              <w:rPr>
                <w:b w:val="0"/>
                <w:bCs w:val="0"/>
                <w:sz w:val="18"/>
                <w:szCs w:val="18"/>
              </w:rPr>
              <w:t xml:space="preserve"> большее</w:t>
            </w:r>
            <w:r w:rsidRPr="000F6DA1">
              <w:rPr>
                <w:b w:val="0"/>
                <w:bCs w:val="0"/>
                <w:sz w:val="18"/>
                <w:szCs w:val="18"/>
              </w:rPr>
              <w:t xml:space="preserve"> соответствия принципам универсального дизайна</w:t>
            </w:r>
          </w:p>
        </w:tc>
        <w:tc>
          <w:tcPr>
            <w:tcW w:w="7642" w:type="dxa"/>
            <w:shd w:val="clear" w:color="auto" w:fill="auto"/>
          </w:tcPr>
          <w:p w:rsidR="000F6DA1" w:rsidRPr="00554D1F" w:rsidRDefault="00554D1F" w:rsidP="00554D1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54D1F">
              <w:rPr>
                <w:sz w:val="18"/>
                <w:szCs w:val="18"/>
              </w:rPr>
              <w:t>Количество технических публикаций, содержащих важнейшие элементы доступности ИКТ</w:t>
            </w:r>
            <w:r>
              <w:rPr>
                <w:sz w:val="18"/>
                <w:szCs w:val="18"/>
              </w:rPr>
              <w:t>.</w:t>
            </w:r>
          </w:p>
          <w:p w:rsidR="000F6DA1" w:rsidRPr="00554D1F" w:rsidRDefault="00554D1F" w:rsidP="00554D1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</w:t>
            </w:r>
            <w:r w:rsidRPr="00554D1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единиц </w:t>
            </w:r>
            <w:r w:rsidRPr="00554D1F">
              <w:rPr>
                <w:sz w:val="18"/>
                <w:szCs w:val="18"/>
              </w:rPr>
              <w:t>оборудования, услуг и приложений электросвязи/ИКТ</w:t>
            </w:r>
            <w:r>
              <w:rPr>
                <w:sz w:val="18"/>
                <w:szCs w:val="18"/>
              </w:rPr>
              <w:t>,</w:t>
            </w:r>
            <w:r w:rsidRPr="00554D1F">
              <w:rPr>
                <w:sz w:val="18"/>
                <w:szCs w:val="18"/>
              </w:rPr>
              <w:t xml:space="preserve"> соответств</w:t>
            </w:r>
            <w:r>
              <w:rPr>
                <w:sz w:val="18"/>
                <w:szCs w:val="18"/>
              </w:rPr>
              <w:t>ующих</w:t>
            </w:r>
            <w:r w:rsidRPr="00554D1F">
              <w:rPr>
                <w:sz w:val="18"/>
                <w:szCs w:val="18"/>
              </w:rPr>
              <w:t xml:space="preserve"> принципам универсального дизайна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84" w:type="dxa"/>
            <w:vMerge w:val="restart"/>
            <w:shd w:val="clear" w:color="auto" w:fill="auto"/>
          </w:tcPr>
          <w:p w:rsidR="000F6DA1" w:rsidRPr="000F6DA1" w:rsidRDefault="000F6DA1" w:rsidP="000F6DA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МСЭ</w:t>
            </w:r>
          </w:p>
        </w:tc>
      </w:tr>
      <w:tr w:rsidR="000F6DA1" w:rsidRPr="004F1C60" w:rsidTr="001E4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0F6DA1" w:rsidRPr="007101FE" w:rsidRDefault="000F6DA1" w:rsidP="000F6DA1">
            <w:pPr>
              <w:spacing w:before="40" w:after="40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I.</w:t>
            </w:r>
            <w:r w:rsidRPr="000F6DA1">
              <w:rPr>
                <w:rFonts w:eastAsia="Calibri" w:cs="Arial"/>
                <w:color w:val="4F81BD" w:themeColor="accent1"/>
                <w:sz w:val="18"/>
                <w:szCs w:val="18"/>
              </w:rPr>
              <w:t>3</w:t>
            </w: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-</w:t>
            </w:r>
            <w:r>
              <w:rPr>
                <w:rFonts w:eastAsia="Calibri" w:cs="Arial"/>
                <w:color w:val="4F81BD" w:themeColor="accent1"/>
                <w:sz w:val="18"/>
                <w:szCs w:val="18"/>
                <w:lang w:val="en-US"/>
              </w:rPr>
              <w:t>b</w:t>
            </w:r>
            <w:r w:rsidRPr="007101FE">
              <w:rPr>
                <w:rFonts w:eastAsia="Calibri" w:cs="Arial"/>
                <w:b w:val="0"/>
                <w:bCs w:val="0"/>
                <w:sz w:val="18"/>
                <w:szCs w:val="18"/>
              </w:rPr>
              <w:t xml:space="preserve">: </w:t>
            </w:r>
            <w:r w:rsidRPr="000F6DA1">
              <w:rPr>
                <w:b w:val="0"/>
                <w:bCs w:val="0"/>
                <w:sz w:val="18"/>
                <w:szCs w:val="18"/>
              </w:rPr>
              <w:t xml:space="preserve">Расширение участия организаций лиц с </w:t>
            </w:r>
            <w:r w:rsidR="00872D6C">
              <w:rPr>
                <w:b w:val="0"/>
                <w:bCs w:val="0"/>
                <w:sz w:val="18"/>
                <w:szCs w:val="18"/>
              </w:rPr>
              <w:t xml:space="preserve">ограниченными возможностями и лиц с </w:t>
            </w:r>
            <w:r w:rsidR="005332B4">
              <w:rPr>
                <w:b w:val="0"/>
                <w:bCs w:val="0"/>
                <w:sz w:val="18"/>
                <w:szCs w:val="18"/>
              </w:rPr>
              <w:t>особыми потребностями</w:t>
            </w:r>
            <w:r w:rsidRPr="000F6DA1">
              <w:rPr>
                <w:b w:val="0"/>
                <w:bCs w:val="0"/>
                <w:sz w:val="18"/>
                <w:szCs w:val="18"/>
              </w:rPr>
              <w:t xml:space="preserve"> в работе Союза</w:t>
            </w:r>
          </w:p>
        </w:tc>
        <w:tc>
          <w:tcPr>
            <w:tcW w:w="7642" w:type="dxa"/>
            <w:shd w:val="clear" w:color="auto" w:fill="auto"/>
          </w:tcPr>
          <w:p w:rsidR="000F6DA1" w:rsidRPr="004F1C60" w:rsidRDefault="004F1C60" w:rsidP="004F1C6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  <w:r w:rsidRPr="004F1C6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собраний, на которых обеспечивается</w:t>
            </w:r>
            <w:r w:rsidRPr="004F1C6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сурдоперевод, ввод субтитров и т. д</w:t>
            </w:r>
          </w:p>
        </w:tc>
        <w:tc>
          <w:tcPr>
            <w:tcW w:w="2884" w:type="dxa"/>
            <w:vMerge/>
            <w:shd w:val="clear" w:color="auto" w:fill="auto"/>
          </w:tcPr>
          <w:p w:rsidR="000F6DA1" w:rsidRPr="004F1C60" w:rsidRDefault="000F6DA1" w:rsidP="001E4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F6DA1" w:rsidRPr="00091289" w:rsidTr="001E4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0F6DA1" w:rsidRPr="007101FE" w:rsidRDefault="000F6DA1" w:rsidP="000F6DA1">
            <w:pPr>
              <w:spacing w:before="40" w:after="40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I.</w:t>
            </w:r>
            <w:r w:rsidRPr="000F6DA1">
              <w:rPr>
                <w:rFonts w:eastAsia="Calibri" w:cs="Arial"/>
                <w:color w:val="4F81BD" w:themeColor="accent1"/>
                <w:sz w:val="18"/>
                <w:szCs w:val="18"/>
              </w:rPr>
              <w:t>3</w:t>
            </w: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-</w:t>
            </w:r>
            <w:r>
              <w:rPr>
                <w:rFonts w:eastAsia="Calibri" w:cs="Arial"/>
                <w:color w:val="4F81BD" w:themeColor="accent1"/>
                <w:sz w:val="18"/>
                <w:szCs w:val="18"/>
                <w:lang w:val="en-US"/>
              </w:rPr>
              <w:t>c</w:t>
            </w:r>
            <w:r w:rsidRPr="007101FE">
              <w:rPr>
                <w:rFonts w:eastAsia="Calibri" w:cs="Arial"/>
                <w:b w:val="0"/>
                <w:bCs w:val="0"/>
                <w:sz w:val="18"/>
                <w:szCs w:val="18"/>
              </w:rPr>
              <w:t xml:space="preserve">: </w:t>
            </w:r>
            <w:r w:rsidRPr="000F6DA1">
              <w:rPr>
                <w:b w:val="0"/>
                <w:bCs w:val="0"/>
                <w:sz w:val="18"/>
                <w:szCs w:val="18"/>
              </w:rPr>
              <w:t xml:space="preserve">Повышение осознания, в том числе признания на многостороннем и межправительственном уровне, необходимости расширять доступ к электросвязи/ИКТ для лиц с </w:t>
            </w:r>
            <w:r w:rsidR="00872D6C">
              <w:rPr>
                <w:b w:val="0"/>
                <w:bCs w:val="0"/>
                <w:sz w:val="18"/>
                <w:szCs w:val="18"/>
              </w:rPr>
              <w:t xml:space="preserve">ограниченными возможностями и лиц с </w:t>
            </w:r>
            <w:r w:rsidR="005332B4">
              <w:rPr>
                <w:b w:val="0"/>
                <w:bCs w:val="0"/>
                <w:sz w:val="18"/>
                <w:szCs w:val="18"/>
              </w:rPr>
              <w:t>особыми потребностями</w:t>
            </w:r>
          </w:p>
        </w:tc>
        <w:tc>
          <w:tcPr>
            <w:tcW w:w="7642" w:type="dxa"/>
            <w:shd w:val="clear" w:color="auto" w:fill="auto"/>
          </w:tcPr>
          <w:p w:rsidR="000F6DA1" w:rsidRPr="004F1C60" w:rsidRDefault="004F1C60" w:rsidP="0076304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стран, </w:t>
            </w:r>
            <w:r w:rsidR="00763045">
              <w:rPr>
                <w:sz w:val="18"/>
                <w:szCs w:val="18"/>
              </w:rPr>
              <w:t>в которых осуществляется</w:t>
            </w:r>
            <w:r>
              <w:rPr>
                <w:sz w:val="18"/>
                <w:szCs w:val="18"/>
              </w:rPr>
              <w:t xml:space="preserve"> политик</w:t>
            </w:r>
            <w:r w:rsidR="00763045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 обеспечения доступности.</w:t>
            </w:r>
          </w:p>
        </w:tc>
        <w:tc>
          <w:tcPr>
            <w:tcW w:w="2884" w:type="dxa"/>
            <w:shd w:val="clear" w:color="auto" w:fill="auto"/>
          </w:tcPr>
          <w:p w:rsidR="000F6DA1" w:rsidRPr="00F76A16" w:rsidRDefault="00F76A16" w:rsidP="00F76A1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Проводимое </w:t>
            </w:r>
            <w:r w:rsidRPr="00F76A16">
              <w:rPr>
                <w:sz w:val="18"/>
                <w:szCs w:val="18"/>
              </w:rPr>
              <w:t xml:space="preserve">МСЭ </w:t>
            </w:r>
            <w:r>
              <w:rPr>
                <w:sz w:val="18"/>
                <w:szCs w:val="18"/>
              </w:rPr>
              <w:t>о</w:t>
            </w:r>
            <w:r w:rsidRPr="00F76A16">
              <w:rPr>
                <w:sz w:val="18"/>
                <w:szCs w:val="18"/>
              </w:rPr>
              <w:t>бследование по вопросам регулирования</w:t>
            </w:r>
          </w:p>
        </w:tc>
      </w:tr>
    </w:tbl>
    <w:p w:rsidR="000F6DA1" w:rsidRPr="00F76A16" w:rsidRDefault="000F6DA1" w:rsidP="00482978">
      <w:pPr>
        <w:spacing w:before="0"/>
      </w:pPr>
    </w:p>
    <w:tbl>
      <w:tblPr>
        <w:tblStyle w:val="GridTable4-Accent11"/>
        <w:tblW w:w="14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20" w:firstRow="1" w:lastRow="0" w:firstColumn="0" w:lastColumn="0" w:noHBand="1" w:noVBand="1"/>
      </w:tblPr>
      <w:tblGrid>
        <w:gridCol w:w="8784"/>
        <w:gridCol w:w="1445"/>
        <w:gridCol w:w="1446"/>
        <w:gridCol w:w="1446"/>
        <w:gridCol w:w="1446"/>
      </w:tblGrid>
      <w:tr w:rsidR="000F6DA1" w:rsidRPr="00B87D66" w:rsidTr="001E4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DA1" w:rsidRPr="007101FE" w:rsidRDefault="000F6DA1" w:rsidP="001E4FCF">
            <w:pPr>
              <w:spacing w:before="80" w:after="8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Намеченный результат деятельности</w:t>
            </w:r>
          </w:p>
        </w:tc>
        <w:tc>
          <w:tcPr>
            <w:tcW w:w="578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DA1" w:rsidRPr="007101FE" w:rsidRDefault="000F6DA1" w:rsidP="001E4FCF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Финансовые ресурсы</w:t>
            </w:r>
            <w:r w:rsidR="00561162">
              <w:rPr>
                <w:b w:val="0"/>
                <w:bCs w:val="0"/>
                <w:szCs w:val="16"/>
              </w:rPr>
              <w:t xml:space="preserve"> </w:t>
            </w:r>
            <w:r w:rsidRPr="007101FE">
              <w:rPr>
                <w:b w:val="0"/>
                <w:bCs w:val="0"/>
                <w:sz w:val="18"/>
                <w:szCs w:val="18"/>
              </w:rPr>
              <w:t xml:space="preserve">(в </w:t>
            </w:r>
            <w:r>
              <w:rPr>
                <w:b w:val="0"/>
                <w:bCs w:val="0"/>
                <w:sz w:val="18"/>
                <w:szCs w:val="18"/>
              </w:rPr>
              <w:t>шв. фр.</w:t>
            </w:r>
            <w:r w:rsidRPr="007101FE">
              <w:rPr>
                <w:b w:val="0"/>
                <w:bCs w:val="0"/>
                <w:sz w:val="18"/>
                <w:szCs w:val="18"/>
              </w:rPr>
              <w:t>)</w:t>
            </w:r>
          </w:p>
        </w:tc>
      </w:tr>
      <w:tr w:rsidR="000F6DA1" w:rsidRPr="007101FE" w:rsidTr="001E4FCF">
        <w:tc>
          <w:tcPr>
            <w:tcW w:w="8784" w:type="dxa"/>
          </w:tcPr>
          <w:p w:rsidR="000F6DA1" w:rsidRPr="007101FE" w:rsidRDefault="000F6DA1" w:rsidP="001E4FCF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45" w:type="dxa"/>
          </w:tcPr>
          <w:p w:rsidR="000F6DA1" w:rsidRPr="007101FE" w:rsidRDefault="000F6DA1" w:rsidP="001E4FCF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>20</w:t>
            </w:r>
            <w:r>
              <w:rPr>
                <w:b/>
                <w:bCs/>
                <w:color w:val="4F81BD" w:themeColor="accent1"/>
                <w:sz w:val="18"/>
                <w:szCs w:val="18"/>
              </w:rPr>
              <w:t>20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 xml:space="preserve"> г.</w:t>
            </w:r>
          </w:p>
        </w:tc>
        <w:tc>
          <w:tcPr>
            <w:tcW w:w="1446" w:type="dxa"/>
          </w:tcPr>
          <w:p w:rsidR="000F6DA1" w:rsidRPr="007101FE" w:rsidRDefault="000F6DA1" w:rsidP="001E4FCF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>202</w:t>
            </w:r>
            <w:r>
              <w:rPr>
                <w:b/>
                <w:bCs/>
                <w:color w:val="4F81BD" w:themeColor="accent1"/>
                <w:sz w:val="18"/>
                <w:szCs w:val="18"/>
              </w:rPr>
              <w:t>1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 xml:space="preserve"> г.</w:t>
            </w:r>
          </w:p>
        </w:tc>
        <w:tc>
          <w:tcPr>
            <w:tcW w:w="1446" w:type="dxa"/>
          </w:tcPr>
          <w:p w:rsidR="000F6DA1" w:rsidRPr="007101FE" w:rsidRDefault="000F6DA1" w:rsidP="001E4FCF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>202</w:t>
            </w:r>
            <w:r>
              <w:rPr>
                <w:b/>
                <w:bCs/>
                <w:color w:val="4F81BD" w:themeColor="accent1"/>
                <w:sz w:val="18"/>
                <w:szCs w:val="18"/>
              </w:rPr>
              <w:t>2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 xml:space="preserve"> г.</w:t>
            </w:r>
          </w:p>
        </w:tc>
        <w:tc>
          <w:tcPr>
            <w:tcW w:w="1446" w:type="dxa"/>
          </w:tcPr>
          <w:p w:rsidR="000F6DA1" w:rsidRPr="007101FE" w:rsidRDefault="000F6DA1" w:rsidP="001E4FCF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>202</w:t>
            </w:r>
            <w:r>
              <w:rPr>
                <w:b/>
                <w:bCs/>
                <w:color w:val="4F81BD" w:themeColor="accent1"/>
                <w:sz w:val="18"/>
                <w:szCs w:val="18"/>
              </w:rPr>
              <w:t>3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 xml:space="preserve"> г.</w:t>
            </w:r>
          </w:p>
        </w:tc>
      </w:tr>
      <w:tr w:rsidR="000F6DA1" w:rsidRPr="007101FE" w:rsidTr="001E4FCF">
        <w:tc>
          <w:tcPr>
            <w:tcW w:w="8784" w:type="dxa"/>
          </w:tcPr>
          <w:p w:rsidR="000F6DA1" w:rsidRPr="007101FE" w:rsidRDefault="000F6DA1" w:rsidP="000F6DA1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I.</w:t>
            </w:r>
            <w:r w:rsidRPr="000F6DA1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3</w:t>
            </w: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</w:t>
            </w:r>
            <w:r w:rsidRPr="0009128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1</w:t>
            </w:r>
            <w:r w:rsidRPr="007101FE">
              <w:rPr>
                <w:rFonts w:eastAsia="Calibri" w:cs="Arial"/>
                <w:sz w:val="18"/>
                <w:szCs w:val="18"/>
              </w:rPr>
              <w:t xml:space="preserve">: </w:t>
            </w:r>
            <w:r w:rsidR="00CA0779" w:rsidRPr="00CA0779">
              <w:rPr>
                <w:rFonts w:asciiTheme="minorHAnsi" w:hAnsiTheme="minorHAnsi"/>
                <w:sz w:val="18"/>
                <w:szCs w:val="18"/>
              </w:rPr>
              <w:t>Отчеты, руководящие указания, стандарты и контрольные перечни по вопросам доступности электросвязи/ИКТ</w:t>
            </w:r>
          </w:p>
        </w:tc>
        <w:tc>
          <w:tcPr>
            <w:tcW w:w="1445" w:type="dxa"/>
            <w:vAlign w:val="bottom"/>
          </w:tcPr>
          <w:p w:rsidR="000F6DA1" w:rsidRPr="00AC317A" w:rsidRDefault="00AC317A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226 455</w:t>
            </w:r>
          </w:p>
        </w:tc>
        <w:tc>
          <w:tcPr>
            <w:tcW w:w="1446" w:type="dxa"/>
            <w:vAlign w:val="bottom"/>
          </w:tcPr>
          <w:p w:rsidR="000F6DA1" w:rsidRPr="00AC317A" w:rsidRDefault="00AC317A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226 456</w:t>
            </w:r>
          </w:p>
        </w:tc>
        <w:tc>
          <w:tcPr>
            <w:tcW w:w="1446" w:type="dxa"/>
            <w:vAlign w:val="bottom"/>
          </w:tcPr>
          <w:p w:rsidR="000F6DA1" w:rsidRPr="00AC317A" w:rsidRDefault="00AC317A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227 249</w:t>
            </w:r>
          </w:p>
        </w:tc>
        <w:tc>
          <w:tcPr>
            <w:tcW w:w="1446" w:type="dxa"/>
            <w:vAlign w:val="bottom"/>
          </w:tcPr>
          <w:p w:rsidR="000F6DA1" w:rsidRPr="00AC317A" w:rsidRDefault="00AC317A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225 329</w:t>
            </w:r>
          </w:p>
        </w:tc>
      </w:tr>
      <w:tr w:rsidR="000F6DA1" w:rsidRPr="007101FE" w:rsidTr="001E4FCF">
        <w:tc>
          <w:tcPr>
            <w:tcW w:w="8784" w:type="dxa"/>
          </w:tcPr>
          <w:p w:rsidR="000F6DA1" w:rsidRPr="007101FE" w:rsidRDefault="000F6DA1" w:rsidP="000F6DA1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I.</w:t>
            </w:r>
            <w:r w:rsidRPr="000F6DA1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3</w:t>
            </w: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</w:t>
            </w:r>
            <w:r w:rsidRPr="0009128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2</w:t>
            </w:r>
            <w:r w:rsidRPr="007101FE">
              <w:rPr>
                <w:rFonts w:eastAsia="Calibri" w:cs="Arial"/>
                <w:sz w:val="18"/>
                <w:szCs w:val="18"/>
              </w:rPr>
              <w:t xml:space="preserve">: </w:t>
            </w:r>
            <w:r w:rsidR="00CA0779" w:rsidRPr="00CA0779">
              <w:rPr>
                <w:rFonts w:asciiTheme="minorHAnsi" w:hAnsiTheme="minorHAnsi"/>
                <w:sz w:val="18"/>
                <w:szCs w:val="18"/>
              </w:rPr>
              <w:t xml:space="preserve">Мобилизация ресурсов и специальных технических знаний, например благодаря содействию расширению участия лиц с </w:t>
            </w:r>
            <w:r w:rsidR="00872D6C">
              <w:rPr>
                <w:rFonts w:asciiTheme="minorHAnsi" w:hAnsiTheme="minorHAnsi"/>
                <w:sz w:val="18"/>
                <w:szCs w:val="18"/>
              </w:rPr>
              <w:t xml:space="preserve">ограниченными возможностями и лиц с </w:t>
            </w:r>
            <w:r w:rsidR="005332B4">
              <w:rPr>
                <w:rFonts w:asciiTheme="minorHAnsi" w:hAnsiTheme="minorHAnsi"/>
                <w:sz w:val="18"/>
                <w:szCs w:val="18"/>
              </w:rPr>
              <w:t>особыми потребностями</w:t>
            </w:r>
            <w:r w:rsidR="00CA0779" w:rsidRPr="00CA0779">
              <w:rPr>
                <w:rFonts w:asciiTheme="minorHAnsi" w:hAnsiTheme="minorHAnsi"/>
                <w:sz w:val="18"/>
                <w:szCs w:val="18"/>
              </w:rPr>
              <w:t xml:space="preserve"> в международных и региональных собраниях</w:t>
            </w:r>
          </w:p>
        </w:tc>
        <w:tc>
          <w:tcPr>
            <w:tcW w:w="1445" w:type="dxa"/>
            <w:vAlign w:val="bottom"/>
          </w:tcPr>
          <w:p w:rsidR="000F6DA1" w:rsidRPr="00AC317A" w:rsidRDefault="00AC317A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19 302</w:t>
            </w:r>
          </w:p>
        </w:tc>
        <w:tc>
          <w:tcPr>
            <w:tcW w:w="1446" w:type="dxa"/>
            <w:vAlign w:val="bottom"/>
          </w:tcPr>
          <w:p w:rsidR="000F6DA1" w:rsidRPr="00AC317A" w:rsidRDefault="00AC317A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19 302</w:t>
            </w:r>
          </w:p>
        </w:tc>
        <w:tc>
          <w:tcPr>
            <w:tcW w:w="1446" w:type="dxa"/>
            <w:vAlign w:val="bottom"/>
          </w:tcPr>
          <w:p w:rsidR="000F6DA1" w:rsidRPr="00AC317A" w:rsidRDefault="00AC317A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13 234</w:t>
            </w:r>
          </w:p>
        </w:tc>
        <w:tc>
          <w:tcPr>
            <w:tcW w:w="1446" w:type="dxa"/>
            <w:vAlign w:val="bottom"/>
          </w:tcPr>
          <w:p w:rsidR="000F6DA1" w:rsidRPr="00AC317A" w:rsidRDefault="00AC317A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19 079</w:t>
            </w:r>
          </w:p>
        </w:tc>
      </w:tr>
      <w:tr w:rsidR="000F6DA1" w:rsidRPr="007101FE" w:rsidTr="001E4FCF">
        <w:tc>
          <w:tcPr>
            <w:tcW w:w="8784" w:type="dxa"/>
          </w:tcPr>
          <w:p w:rsidR="000F6DA1" w:rsidRPr="007101FE" w:rsidRDefault="000F6DA1" w:rsidP="000F6DA1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I.</w:t>
            </w:r>
            <w:r w:rsidRPr="000F6DA1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3</w:t>
            </w: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</w:t>
            </w:r>
            <w:r w:rsidRPr="0009128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3</w:t>
            </w:r>
            <w:r w:rsidRPr="007101FE">
              <w:rPr>
                <w:rFonts w:eastAsia="Calibri" w:cs="Arial"/>
                <w:sz w:val="18"/>
                <w:szCs w:val="18"/>
              </w:rPr>
              <w:t xml:space="preserve">: </w:t>
            </w:r>
            <w:r w:rsidR="00CA0779" w:rsidRPr="00CA0779">
              <w:rPr>
                <w:rFonts w:asciiTheme="minorHAnsi" w:hAnsiTheme="minorHAnsi"/>
                <w:sz w:val="18"/>
                <w:szCs w:val="18"/>
              </w:rPr>
              <w:t>Дальнейшая разработка и реализация политики МСЭ по обеспечению доступности и связанных с ней планов</w:t>
            </w:r>
          </w:p>
        </w:tc>
        <w:tc>
          <w:tcPr>
            <w:tcW w:w="1445" w:type="dxa"/>
            <w:vAlign w:val="bottom"/>
          </w:tcPr>
          <w:p w:rsidR="000F6DA1" w:rsidRPr="00AC317A" w:rsidRDefault="00AC317A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19 302</w:t>
            </w:r>
          </w:p>
        </w:tc>
        <w:tc>
          <w:tcPr>
            <w:tcW w:w="1446" w:type="dxa"/>
            <w:vAlign w:val="bottom"/>
          </w:tcPr>
          <w:p w:rsidR="000F6DA1" w:rsidRPr="00AC317A" w:rsidRDefault="00AC317A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19 302</w:t>
            </w:r>
          </w:p>
        </w:tc>
        <w:tc>
          <w:tcPr>
            <w:tcW w:w="1446" w:type="dxa"/>
            <w:vAlign w:val="bottom"/>
          </w:tcPr>
          <w:p w:rsidR="000F6DA1" w:rsidRPr="00AC317A" w:rsidRDefault="00AC317A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50 791</w:t>
            </w:r>
          </w:p>
        </w:tc>
        <w:tc>
          <w:tcPr>
            <w:tcW w:w="1446" w:type="dxa"/>
            <w:vAlign w:val="bottom"/>
          </w:tcPr>
          <w:p w:rsidR="000F6DA1" w:rsidRPr="00AC317A" w:rsidRDefault="00AC317A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49 999</w:t>
            </w:r>
          </w:p>
        </w:tc>
      </w:tr>
      <w:tr w:rsidR="000F6DA1" w:rsidRPr="007101FE" w:rsidTr="001E4FCF">
        <w:tc>
          <w:tcPr>
            <w:tcW w:w="8784" w:type="dxa"/>
          </w:tcPr>
          <w:p w:rsidR="000F6DA1" w:rsidRPr="007101FE" w:rsidRDefault="000F6DA1" w:rsidP="000F6DA1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I.</w:t>
            </w:r>
            <w:r w:rsidRPr="000F6DA1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3</w:t>
            </w: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</w:t>
            </w:r>
            <w:r w:rsidRPr="0009128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4</w:t>
            </w:r>
            <w:r w:rsidRPr="007101FE">
              <w:rPr>
                <w:rFonts w:eastAsia="Calibri" w:cs="Arial"/>
                <w:sz w:val="18"/>
                <w:szCs w:val="18"/>
              </w:rPr>
              <w:t xml:space="preserve">: </w:t>
            </w:r>
            <w:r w:rsidR="00CA0779" w:rsidRPr="00CA0779">
              <w:rPr>
                <w:rFonts w:asciiTheme="minorHAnsi" w:hAnsiTheme="minorHAnsi"/>
                <w:sz w:val="18"/>
                <w:szCs w:val="18"/>
              </w:rPr>
              <w:t>Информационно-просветительские мероприятия как на уровне ООН, так и на региональном и национальном уровнях</w:t>
            </w:r>
          </w:p>
        </w:tc>
        <w:tc>
          <w:tcPr>
            <w:tcW w:w="1445" w:type="dxa"/>
            <w:vAlign w:val="bottom"/>
          </w:tcPr>
          <w:p w:rsidR="000F6DA1" w:rsidRPr="00AC317A" w:rsidRDefault="00AC317A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44 302</w:t>
            </w:r>
          </w:p>
        </w:tc>
        <w:tc>
          <w:tcPr>
            <w:tcW w:w="1446" w:type="dxa"/>
            <w:vAlign w:val="bottom"/>
          </w:tcPr>
          <w:p w:rsidR="000F6DA1" w:rsidRPr="00AC317A" w:rsidRDefault="00AC317A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44 302</w:t>
            </w:r>
          </w:p>
        </w:tc>
        <w:tc>
          <w:tcPr>
            <w:tcW w:w="1446" w:type="dxa"/>
            <w:vAlign w:val="bottom"/>
          </w:tcPr>
          <w:p w:rsidR="000F6DA1" w:rsidRPr="00AC317A" w:rsidRDefault="00AC317A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44 234</w:t>
            </w:r>
          </w:p>
        </w:tc>
        <w:tc>
          <w:tcPr>
            <w:tcW w:w="1446" w:type="dxa"/>
            <w:vAlign w:val="bottom"/>
          </w:tcPr>
          <w:p w:rsidR="000F6DA1" w:rsidRPr="00AC317A" w:rsidRDefault="00AC317A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44 079</w:t>
            </w:r>
          </w:p>
        </w:tc>
      </w:tr>
      <w:tr w:rsidR="000F6DA1" w:rsidRPr="007101FE" w:rsidTr="001E4FCF">
        <w:tc>
          <w:tcPr>
            <w:tcW w:w="8784" w:type="dxa"/>
          </w:tcPr>
          <w:p w:rsidR="000F6DA1" w:rsidRPr="007101FE" w:rsidRDefault="000F6DA1" w:rsidP="00CA0779">
            <w:pPr>
              <w:spacing w:before="40" w:after="40"/>
              <w:ind w:right="113"/>
              <w:rPr>
                <w:b/>
                <w:bCs/>
                <w:color w:val="4F81BD" w:themeColor="accent1"/>
                <w:sz w:val="18"/>
                <w:szCs w:val="18"/>
                <w:lang w:eastAsia="zh-CN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  <w:lang w:eastAsia="zh-CN"/>
              </w:rPr>
              <w:t>Всего для Задачи I.</w:t>
            </w:r>
            <w:r w:rsidR="00CA0779">
              <w:rPr>
                <w:b/>
                <w:bCs/>
                <w:color w:val="4F81BD" w:themeColor="accent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445" w:type="dxa"/>
            <w:vAlign w:val="bottom"/>
          </w:tcPr>
          <w:p w:rsidR="000F6DA1" w:rsidRPr="00AC317A" w:rsidRDefault="00AC317A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309 363</w:t>
            </w:r>
          </w:p>
        </w:tc>
        <w:tc>
          <w:tcPr>
            <w:tcW w:w="1446" w:type="dxa"/>
            <w:vAlign w:val="bottom"/>
          </w:tcPr>
          <w:p w:rsidR="000F6DA1" w:rsidRPr="00AC317A" w:rsidRDefault="00AC317A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309 362</w:t>
            </w:r>
          </w:p>
        </w:tc>
        <w:tc>
          <w:tcPr>
            <w:tcW w:w="1446" w:type="dxa"/>
            <w:vAlign w:val="bottom"/>
          </w:tcPr>
          <w:p w:rsidR="000F6DA1" w:rsidRPr="00AC317A" w:rsidRDefault="00AC317A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341 508</w:t>
            </w:r>
          </w:p>
        </w:tc>
        <w:tc>
          <w:tcPr>
            <w:tcW w:w="1446" w:type="dxa"/>
            <w:vAlign w:val="bottom"/>
          </w:tcPr>
          <w:p w:rsidR="000F6DA1" w:rsidRPr="00AC317A" w:rsidRDefault="00AC317A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338 486</w:t>
            </w:r>
          </w:p>
        </w:tc>
      </w:tr>
    </w:tbl>
    <w:p w:rsidR="00091289" w:rsidRPr="000F6DA1" w:rsidRDefault="001E4FCF" w:rsidP="005936B6">
      <w:pPr>
        <w:keepNext/>
        <w:spacing w:after="120"/>
      </w:pPr>
      <w:r w:rsidRPr="001E4FCF">
        <w:lastRenderedPageBreak/>
        <w:t>I.4</w:t>
      </w:r>
      <w:r w:rsidR="00D86116">
        <w:tab/>
      </w:r>
      <w:r w:rsidRPr="001E4FCF">
        <w:t>Расширять использование электросвязи/ИКТ для достижения гендерного равенства и интеграции</w:t>
      </w:r>
      <w:r w:rsidR="00FE3641">
        <w:t>, а также</w:t>
      </w:r>
      <w:r w:rsidRPr="001E4FCF">
        <w:t xml:space="preserve"> расширения прав и возможностей женщин и девушек</w:t>
      </w:r>
    </w:p>
    <w:tbl>
      <w:tblPr>
        <w:tblStyle w:val="GridTable4-Accent11"/>
        <w:tblW w:w="14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A0" w:firstRow="1" w:lastRow="0" w:firstColumn="1" w:lastColumn="0" w:noHBand="1" w:noVBand="1"/>
      </w:tblPr>
      <w:tblGrid>
        <w:gridCol w:w="4041"/>
        <w:gridCol w:w="7642"/>
        <w:gridCol w:w="2884"/>
      </w:tblGrid>
      <w:tr w:rsidR="001E4FCF" w:rsidRPr="007101FE" w:rsidTr="001E4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FCF" w:rsidRPr="007101FE" w:rsidRDefault="001E4FCF" w:rsidP="001E4FCF">
            <w:pPr>
              <w:spacing w:before="80" w:after="8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Конечный результат</w:t>
            </w:r>
          </w:p>
        </w:tc>
        <w:tc>
          <w:tcPr>
            <w:tcW w:w="76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FCF" w:rsidRPr="007101FE" w:rsidRDefault="001E4FCF" w:rsidP="00561162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 xml:space="preserve">Показатель конечного результата </w:t>
            </w:r>
          </w:p>
        </w:tc>
        <w:tc>
          <w:tcPr>
            <w:tcW w:w="28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FCF" w:rsidRPr="007101FE" w:rsidRDefault="001E4FCF" w:rsidP="001E4FCF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Средства измерения</w:t>
            </w:r>
          </w:p>
        </w:tc>
      </w:tr>
      <w:tr w:rsidR="001E4FCF" w:rsidRPr="007101FE" w:rsidTr="001E4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1E4FCF" w:rsidRPr="007101FE" w:rsidRDefault="001E4FCF" w:rsidP="001E4FCF">
            <w:pPr>
              <w:spacing w:before="40" w:after="40"/>
              <w:rPr>
                <w:rFonts w:eastAsia="Calibri" w:cs="Arial"/>
                <w:b w:val="0"/>
                <w:bCs w:val="0"/>
                <w:sz w:val="18"/>
                <w:szCs w:val="18"/>
              </w:rPr>
            </w:pP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I.</w:t>
            </w:r>
            <w:r>
              <w:rPr>
                <w:rFonts w:eastAsia="Calibri" w:cs="Arial"/>
                <w:color w:val="4F81BD" w:themeColor="accent1"/>
                <w:sz w:val="18"/>
                <w:szCs w:val="18"/>
              </w:rPr>
              <w:t>4</w:t>
            </w: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-</w:t>
            </w:r>
            <w:r>
              <w:rPr>
                <w:rFonts w:eastAsia="Calibri" w:cs="Arial"/>
                <w:color w:val="4F81BD" w:themeColor="accent1"/>
                <w:sz w:val="18"/>
                <w:szCs w:val="18"/>
                <w:lang w:val="en-US"/>
              </w:rPr>
              <w:t>a</w:t>
            </w:r>
            <w:r w:rsidRPr="007101FE">
              <w:rPr>
                <w:rFonts w:eastAsia="Calibri" w:cs="Arial"/>
                <w:b w:val="0"/>
                <w:bCs w:val="0"/>
                <w:sz w:val="18"/>
                <w:szCs w:val="18"/>
              </w:rPr>
              <w:t xml:space="preserve">: </w:t>
            </w:r>
            <w:r w:rsidRPr="001E4FCF">
              <w:rPr>
                <w:b w:val="0"/>
                <w:bCs w:val="0"/>
                <w:sz w:val="18"/>
                <w:szCs w:val="18"/>
              </w:rPr>
              <w:t>Улучшенный доступ к электросвязи/ИКТ и их использование в целях содействия расширению прав и возможностей женщин</w:t>
            </w:r>
          </w:p>
        </w:tc>
        <w:tc>
          <w:tcPr>
            <w:tcW w:w="7642" w:type="dxa"/>
            <w:shd w:val="clear" w:color="auto" w:fill="auto"/>
          </w:tcPr>
          <w:p w:rsidR="001E4FCF" w:rsidRPr="00561162" w:rsidRDefault="00561162" w:rsidP="001E4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365F91" w:themeColor="accent1" w:themeShade="BF"/>
                <w:sz w:val="18"/>
                <w:szCs w:val="18"/>
              </w:rPr>
            </w:pP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Новый конечный результат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(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СП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2020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−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2023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 гг.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)</w:t>
            </w:r>
          </w:p>
          <w:p w:rsidR="001E4FCF" w:rsidRPr="007C20B0" w:rsidRDefault="00F8487F" w:rsidP="007C20B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Разница</w:t>
            </w:r>
            <w:r w:rsidRPr="007C20B0">
              <w:rPr>
                <w:sz w:val="18"/>
                <w:szCs w:val="18"/>
              </w:rPr>
              <w:t xml:space="preserve"> </w:t>
            </w:r>
            <w:r w:rsidR="007C20B0">
              <w:rPr>
                <w:sz w:val="18"/>
                <w:szCs w:val="18"/>
              </w:rPr>
              <w:t>в процентном составе мужчин и женщин, использующих</w:t>
            </w:r>
            <w:r w:rsidR="007C20B0" w:rsidRPr="007C20B0">
              <w:rPr>
                <w:sz w:val="18"/>
                <w:szCs w:val="18"/>
              </w:rPr>
              <w:t xml:space="preserve"> </w:t>
            </w:r>
            <w:r w:rsidR="007C20B0">
              <w:rPr>
                <w:sz w:val="18"/>
                <w:szCs w:val="18"/>
              </w:rPr>
              <w:t>интернет.</w:t>
            </w:r>
            <w:r w:rsidR="001E4FCF" w:rsidRPr="007C20B0">
              <w:rPr>
                <w:sz w:val="18"/>
                <w:szCs w:val="18"/>
              </w:rPr>
              <w:t xml:space="preserve"> </w:t>
            </w:r>
          </w:p>
          <w:p w:rsidR="001E4FCF" w:rsidRPr="007C20B0" w:rsidRDefault="007C20B0" w:rsidP="007C20B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Разница</w:t>
            </w:r>
            <w:r w:rsidRPr="007C20B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 процентном составе мужчин и женщин, владеющих мобильным телефоном.</w:t>
            </w:r>
          </w:p>
        </w:tc>
        <w:tc>
          <w:tcPr>
            <w:tcW w:w="2884" w:type="dxa"/>
            <w:shd w:val="clear" w:color="auto" w:fill="auto"/>
          </w:tcPr>
          <w:p w:rsidR="001E4FCF" w:rsidRPr="007101FE" w:rsidRDefault="001E4FCF" w:rsidP="001E4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E4FCF">
              <w:rPr>
                <w:sz w:val="18"/>
                <w:szCs w:val="18"/>
              </w:rPr>
              <w:t>BDT/STATS</w:t>
            </w:r>
          </w:p>
        </w:tc>
      </w:tr>
      <w:tr w:rsidR="001E4FCF" w:rsidRPr="001E4FCF" w:rsidTr="001E4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1E4FCF" w:rsidRPr="007101FE" w:rsidRDefault="001E4FCF" w:rsidP="001E4FCF">
            <w:pPr>
              <w:spacing w:before="40" w:after="40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I.</w:t>
            </w:r>
            <w:r>
              <w:rPr>
                <w:rFonts w:eastAsia="Calibri" w:cs="Arial"/>
                <w:color w:val="4F81BD" w:themeColor="accent1"/>
                <w:sz w:val="18"/>
                <w:szCs w:val="18"/>
              </w:rPr>
              <w:t>4</w:t>
            </w: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-</w:t>
            </w:r>
            <w:r>
              <w:rPr>
                <w:rFonts w:eastAsia="Calibri" w:cs="Arial"/>
                <w:color w:val="4F81BD" w:themeColor="accent1"/>
                <w:sz w:val="18"/>
                <w:szCs w:val="18"/>
                <w:lang w:val="en-US"/>
              </w:rPr>
              <w:t>b</w:t>
            </w:r>
            <w:r w:rsidRPr="007101FE">
              <w:rPr>
                <w:rFonts w:eastAsia="Calibri" w:cs="Arial"/>
                <w:b w:val="0"/>
                <w:bCs w:val="0"/>
                <w:sz w:val="18"/>
                <w:szCs w:val="18"/>
              </w:rPr>
              <w:t xml:space="preserve">: </w:t>
            </w:r>
            <w:r w:rsidRPr="001E4FCF">
              <w:rPr>
                <w:b w:val="0"/>
                <w:bCs w:val="0"/>
                <w:sz w:val="18"/>
                <w:szCs w:val="18"/>
              </w:rPr>
              <w:t>Расширенное участие женщин в процессе принятия решений на всех уровнях в работе Союза и сектора электросвязи/ИКТ</w:t>
            </w:r>
          </w:p>
        </w:tc>
        <w:tc>
          <w:tcPr>
            <w:tcW w:w="7642" w:type="dxa"/>
            <w:shd w:val="clear" w:color="auto" w:fill="auto"/>
          </w:tcPr>
          <w:p w:rsidR="001E4FCF" w:rsidRPr="00561162" w:rsidRDefault="00561162" w:rsidP="001E4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365F91" w:themeColor="accent1" w:themeShade="BF"/>
                <w:sz w:val="18"/>
                <w:szCs w:val="18"/>
              </w:rPr>
            </w:pP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Новый конечный результат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(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СП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2020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−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2023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 гг.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)</w:t>
            </w:r>
          </w:p>
          <w:p w:rsidR="001E4FCF" w:rsidRPr="007C20B0" w:rsidRDefault="007C20B0" w:rsidP="003C02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</w:t>
            </w:r>
            <w:r w:rsidRPr="007C20B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женщин</w:t>
            </w:r>
            <w:r w:rsidRPr="007C20B0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участвующих</w:t>
            </w:r>
            <w:r w:rsidRPr="007C20B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 w:rsidRPr="007C20B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собраниях</w:t>
            </w:r>
            <w:r w:rsidRPr="007C20B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МСЭ</w:t>
            </w:r>
            <w:r w:rsidR="001E4FCF" w:rsidRPr="007C20B0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всего</w:t>
            </w:r>
            <w:r w:rsidRPr="007C20B0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председатели</w:t>
            </w:r>
            <w:r w:rsidRPr="007C20B0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заместители</w:t>
            </w:r>
            <w:r w:rsidRPr="007C20B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председателей</w:t>
            </w:r>
            <w:r w:rsidR="001E4FCF" w:rsidRPr="007C20B0">
              <w:rPr>
                <w:sz w:val="18"/>
                <w:szCs w:val="18"/>
              </w:rPr>
              <w:t xml:space="preserve">; </w:t>
            </w:r>
            <w:r w:rsidR="003D101B"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 xml:space="preserve">исло женщин в </w:t>
            </w:r>
            <w:r w:rsidRPr="007C20B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>ах</w:t>
            </w:r>
            <w:r w:rsidRPr="007C20B0">
              <w:rPr>
                <w:sz w:val="18"/>
                <w:szCs w:val="18"/>
              </w:rPr>
              <w:t xml:space="preserve">, </w:t>
            </w:r>
            <w:r w:rsidRPr="005936B6">
              <w:rPr>
                <w:sz w:val="18"/>
                <w:szCs w:val="18"/>
              </w:rPr>
              <w:t>учреждаемых в соответствии с уставными документами МСЭ</w:t>
            </w:r>
            <w:r w:rsidR="001E4FCF" w:rsidRPr="005936B6">
              <w:rPr>
                <w:sz w:val="18"/>
                <w:szCs w:val="18"/>
              </w:rPr>
              <w:t xml:space="preserve">; </w:t>
            </w:r>
            <w:r w:rsidRPr="005936B6">
              <w:rPr>
                <w:sz w:val="18"/>
                <w:szCs w:val="18"/>
              </w:rPr>
              <w:t>число женщин, участвующих в ключевых мероприятиях</w:t>
            </w:r>
            <w:r w:rsidR="001E4FCF" w:rsidRPr="005936B6">
              <w:rPr>
                <w:sz w:val="18"/>
                <w:szCs w:val="18"/>
              </w:rPr>
              <w:t>;</w:t>
            </w:r>
            <w:r w:rsidRPr="005936B6">
              <w:rPr>
                <w:sz w:val="18"/>
                <w:szCs w:val="18"/>
              </w:rPr>
              <w:t xml:space="preserve"> число женщин, участвующих в ПК и сессиях Совета</w:t>
            </w:r>
            <w:r w:rsidR="001E4FCF" w:rsidRPr="005936B6">
              <w:rPr>
                <w:sz w:val="18"/>
                <w:szCs w:val="18"/>
              </w:rPr>
              <w:t xml:space="preserve">; </w:t>
            </w:r>
            <w:r w:rsidRPr="005936B6">
              <w:rPr>
                <w:sz w:val="18"/>
                <w:szCs w:val="18"/>
              </w:rPr>
              <w:t>число женщин</w:t>
            </w:r>
            <w:r w:rsidR="003C02EB" w:rsidRPr="005936B6">
              <w:rPr>
                <w:sz w:val="18"/>
                <w:szCs w:val="18"/>
              </w:rPr>
              <w:t xml:space="preserve">, занятых в сфере ИКТ и имеющих возможности </w:t>
            </w:r>
            <w:r w:rsidRPr="005936B6">
              <w:rPr>
                <w:sz w:val="18"/>
                <w:szCs w:val="18"/>
              </w:rPr>
              <w:t>установления соединений</w:t>
            </w:r>
          </w:p>
        </w:tc>
        <w:tc>
          <w:tcPr>
            <w:tcW w:w="2884" w:type="dxa"/>
            <w:shd w:val="clear" w:color="auto" w:fill="auto"/>
          </w:tcPr>
          <w:p w:rsidR="001E4FCF" w:rsidRPr="007C20B0" w:rsidRDefault="007C20B0" w:rsidP="007C20B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</w:t>
            </w:r>
            <w:r>
              <w:rPr>
                <w:sz w:val="18"/>
                <w:szCs w:val="18"/>
                <w:lang w:val="en-US"/>
              </w:rPr>
              <w:t>SPM</w:t>
            </w:r>
          </w:p>
        </w:tc>
      </w:tr>
      <w:tr w:rsidR="001E4FCF" w:rsidRPr="007C20B0" w:rsidTr="001E4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1E4FCF" w:rsidRPr="007101FE" w:rsidRDefault="001E4FCF" w:rsidP="001E4FCF">
            <w:pPr>
              <w:spacing w:before="40" w:after="40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I.</w:t>
            </w:r>
            <w:r>
              <w:rPr>
                <w:rFonts w:eastAsia="Calibri" w:cs="Arial"/>
                <w:color w:val="4F81BD" w:themeColor="accent1"/>
                <w:sz w:val="18"/>
                <w:szCs w:val="18"/>
              </w:rPr>
              <w:t>4</w:t>
            </w: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-</w:t>
            </w:r>
            <w:r>
              <w:rPr>
                <w:rFonts w:eastAsia="Calibri" w:cs="Arial"/>
                <w:color w:val="4F81BD" w:themeColor="accent1"/>
                <w:sz w:val="18"/>
                <w:szCs w:val="18"/>
                <w:lang w:val="en-US"/>
              </w:rPr>
              <w:t>c</w:t>
            </w:r>
            <w:r w:rsidRPr="007101FE">
              <w:rPr>
                <w:rFonts w:eastAsia="Calibri" w:cs="Arial"/>
                <w:b w:val="0"/>
                <w:bCs w:val="0"/>
                <w:sz w:val="18"/>
                <w:szCs w:val="18"/>
              </w:rPr>
              <w:t xml:space="preserve">: </w:t>
            </w:r>
            <w:r w:rsidRPr="001E4FCF">
              <w:rPr>
                <w:b w:val="0"/>
                <w:bCs w:val="0"/>
                <w:sz w:val="18"/>
                <w:szCs w:val="18"/>
              </w:rPr>
              <w:t>Расширенное взаимодействие с другими организациями ООН и заинтересованными сторонами, участвующими в использовании электросвязи/ИКТ в целях содействия расширению прав и возможностей женщин</w:t>
            </w:r>
          </w:p>
        </w:tc>
        <w:tc>
          <w:tcPr>
            <w:tcW w:w="7642" w:type="dxa"/>
            <w:shd w:val="clear" w:color="auto" w:fill="auto"/>
          </w:tcPr>
          <w:p w:rsidR="001E4FCF" w:rsidRPr="00561162" w:rsidRDefault="00561162" w:rsidP="001E4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365F91" w:themeColor="accent1" w:themeShade="BF"/>
                <w:sz w:val="18"/>
                <w:szCs w:val="18"/>
              </w:rPr>
            </w:pP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Новый конечный результат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(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СП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2020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−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2023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 гг.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)</w:t>
            </w:r>
          </w:p>
          <w:p w:rsidR="001E4FCF" w:rsidRPr="007C20B0" w:rsidRDefault="007C20B0" w:rsidP="003C02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партнерств, мероприятий, публикаций (например, в рамках</w:t>
            </w:r>
            <w:r w:rsidR="001E4FCF" w:rsidRPr="007C20B0">
              <w:rPr>
                <w:sz w:val="18"/>
                <w:szCs w:val="18"/>
              </w:rPr>
              <w:t xml:space="preserve"> </w:t>
            </w:r>
            <w:r w:rsidR="003C02EB">
              <w:rPr>
                <w:sz w:val="18"/>
                <w:szCs w:val="18"/>
              </w:rPr>
              <w:t>партнерства "РАВНЫЕ"</w:t>
            </w:r>
            <w:r w:rsidR="001E4FCF" w:rsidRPr="007C20B0">
              <w:rPr>
                <w:sz w:val="18"/>
                <w:szCs w:val="18"/>
              </w:rPr>
              <w:t xml:space="preserve">, </w:t>
            </w:r>
            <w:r w:rsidR="001E4FCF" w:rsidRPr="001E4FCF">
              <w:rPr>
                <w:sz w:val="18"/>
                <w:szCs w:val="18"/>
                <w:lang w:val="en-US"/>
              </w:rPr>
              <w:t>BBComm</w:t>
            </w:r>
            <w:r w:rsidR="001E4FCF" w:rsidRPr="007C20B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84" w:type="dxa"/>
            <w:shd w:val="clear" w:color="auto" w:fill="auto"/>
          </w:tcPr>
          <w:p w:rsidR="001E4FCF" w:rsidRPr="003C02EB" w:rsidRDefault="007C20B0" w:rsidP="003C02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</w:t>
            </w:r>
            <w:r w:rsidRPr="003C02EB">
              <w:rPr>
                <w:sz w:val="18"/>
                <w:szCs w:val="18"/>
              </w:rPr>
              <w:t xml:space="preserve"> </w:t>
            </w:r>
            <w:r w:rsidR="003C02EB">
              <w:rPr>
                <w:sz w:val="18"/>
                <w:szCs w:val="18"/>
              </w:rPr>
              <w:t>парнтерства "РАВНЫЕ"</w:t>
            </w:r>
            <w:r w:rsidR="001E4FCF" w:rsidRPr="003C02E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="001E4FCF" w:rsidRPr="003C02EB">
              <w:rPr>
                <w:sz w:val="18"/>
                <w:szCs w:val="18"/>
              </w:rPr>
              <w:t xml:space="preserve"> </w:t>
            </w:r>
            <w:r w:rsidR="001E4FCF" w:rsidRPr="001E4FCF">
              <w:rPr>
                <w:sz w:val="18"/>
                <w:szCs w:val="18"/>
                <w:lang w:val="en-US"/>
              </w:rPr>
              <w:t>BBComm</w:t>
            </w:r>
            <w:r w:rsidR="001E4FCF" w:rsidRPr="003C02EB">
              <w:rPr>
                <w:sz w:val="18"/>
                <w:szCs w:val="18"/>
              </w:rPr>
              <w:t xml:space="preserve"> </w:t>
            </w:r>
          </w:p>
        </w:tc>
      </w:tr>
      <w:tr w:rsidR="001E4FCF" w:rsidRPr="00091289" w:rsidTr="001E4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1E4FCF" w:rsidRPr="007101FE" w:rsidRDefault="001E4FCF" w:rsidP="001E4FCF">
            <w:pPr>
              <w:spacing w:before="40" w:after="40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I.</w:t>
            </w:r>
            <w:r>
              <w:rPr>
                <w:rFonts w:eastAsia="Calibri" w:cs="Arial"/>
                <w:color w:val="4F81BD" w:themeColor="accent1"/>
                <w:sz w:val="18"/>
                <w:szCs w:val="18"/>
              </w:rPr>
              <w:t>4</w:t>
            </w: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-</w:t>
            </w:r>
            <w:r>
              <w:rPr>
                <w:rFonts w:eastAsia="Calibri" w:cs="Arial"/>
                <w:color w:val="4F81BD" w:themeColor="accent1"/>
                <w:sz w:val="18"/>
                <w:szCs w:val="18"/>
                <w:lang w:val="en-US"/>
              </w:rPr>
              <w:t>d</w:t>
            </w:r>
            <w:r w:rsidRPr="007101FE">
              <w:rPr>
                <w:rFonts w:eastAsia="Calibri" w:cs="Arial"/>
                <w:b w:val="0"/>
                <w:bCs w:val="0"/>
                <w:sz w:val="18"/>
                <w:szCs w:val="18"/>
              </w:rPr>
              <w:t xml:space="preserve">: </w:t>
            </w:r>
            <w:r w:rsidRPr="001E4FCF">
              <w:rPr>
                <w:b w:val="0"/>
                <w:bCs w:val="0"/>
                <w:sz w:val="18"/>
                <w:szCs w:val="18"/>
              </w:rPr>
              <w:t>Полномасштабная реализация Общесистемной стратегии Организации Объединенных Наций в области гендерного равенства в рамках компетенции Союза</w:t>
            </w:r>
          </w:p>
        </w:tc>
        <w:tc>
          <w:tcPr>
            <w:tcW w:w="7642" w:type="dxa"/>
            <w:shd w:val="clear" w:color="auto" w:fill="auto"/>
          </w:tcPr>
          <w:p w:rsidR="001E4FCF" w:rsidRPr="00561162" w:rsidRDefault="00561162" w:rsidP="001E4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365F91" w:themeColor="accent1" w:themeShade="BF"/>
                <w:sz w:val="18"/>
                <w:szCs w:val="18"/>
              </w:rPr>
            </w:pP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Новый конечный результат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(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СП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2020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−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2023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 гг.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)</w:t>
            </w:r>
          </w:p>
          <w:p w:rsidR="001E4FCF" w:rsidRPr="00C76908" w:rsidRDefault="007C20B0" w:rsidP="00134E9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Рейтинг МСЭ </w:t>
            </w:r>
            <w:r w:rsidR="00456C3F">
              <w:rPr>
                <w:sz w:val="18"/>
                <w:szCs w:val="18"/>
              </w:rPr>
              <w:t>по</w:t>
            </w:r>
            <w:r>
              <w:rPr>
                <w:sz w:val="18"/>
                <w:szCs w:val="18"/>
              </w:rPr>
              <w:t xml:space="preserve"> показател</w:t>
            </w:r>
            <w:r w:rsidR="00456C3F">
              <w:rPr>
                <w:sz w:val="18"/>
                <w:szCs w:val="18"/>
              </w:rPr>
              <w:t>ям</w:t>
            </w:r>
            <w:r>
              <w:rPr>
                <w:sz w:val="18"/>
                <w:szCs w:val="18"/>
              </w:rPr>
              <w:t xml:space="preserve"> эффективности деятельности, включенны</w:t>
            </w:r>
            <w:r w:rsidR="00456C3F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 xml:space="preserve"> в </w:t>
            </w:r>
            <w:r w:rsidR="00456C3F">
              <w:rPr>
                <w:sz w:val="18"/>
                <w:szCs w:val="18"/>
              </w:rPr>
              <w:t>Общесистемный план действий ООН</w:t>
            </w:r>
            <w:r w:rsidR="001E4FCF" w:rsidRPr="007C20B0">
              <w:rPr>
                <w:sz w:val="18"/>
                <w:szCs w:val="18"/>
              </w:rPr>
              <w:t xml:space="preserve">. </w:t>
            </w:r>
            <w:r w:rsidR="00456C3F">
              <w:rPr>
                <w:sz w:val="18"/>
                <w:szCs w:val="18"/>
              </w:rPr>
              <w:t>Количество</w:t>
            </w:r>
            <w:r w:rsidR="00456C3F" w:rsidRPr="00456C3F">
              <w:rPr>
                <w:sz w:val="18"/>
                <w:szCs w:val="18"/>
              </w:rPr>
              <w:t xml:space="preserve"> </w:t>
            </w:r>
            <w:r w:rsidR="00456C3F">
              <w:rPr>
                <w:sz w:val="18"/>
                <w:szCs w:val="18"/>
              </w:rPr>
              <w:t>показателей</w:t>
            </w:r>
            <w:r w:rsidR="00456C3F" w:rsidRPr="00456C3F">
              <w:rPr>
                <w:sz w:val="18"/>
                <w:szCs w:val="18"/>
              </w:rPr>
              <w:t xml:space="preserve"> </w:t>
            </w:r>
            <w:r w:rsidR="00456C3F">
              <w:rPr>
                <w:sz w:val="18"/>
                <w:szCs w:val="18"/>
              </w:rPr>
              <w:t>эффективности</w:t>
            </w:r>
            <w:r w:rsidR="00456C3F" w:rsidRPr="00456C3F">
              <w:rPr>
                <w:sz w:val="18"/>
                <w:szCs w:val="18"/>
              </w:rPr>
              <w:t xml:space="preserve"> </w:t>
            </w:r>
            <w:r w:rsidR="00456C3F">
              <w:rPr>
                <w:sz w:val="18"/>
                <w:szCs w:val="18"/>
              </w:rPr>
              <w:t>деятельности</w:t>
            </w:r>
            <w:r w:rsidR="00456C3F" w:rsidRPr="00456C3F">
              <w:rPr>
                <w:sz w:val="18"/>
                <w:szCs w:val="18"/>
              </w:rPr>
              <w:t xml:space="preserve">, </w:t>
            </w:r>
            <w:r w:rsidR="00456C3F">
              <w:rPr>
                <w:sz w:val="18"/>
                <w:szCs w:val="18"/>
              </w:rPr>
              <w:t xml:space="preserve">которые </w:t>
            </w:r>
            <w:r w:rsidR="001E4FCF" w:rsidRPr="001E4FCF">
              <w:rPr>
                <w:sz w:val="18"/>
                <w:szCs w:val="18"/>
                <w:lang w:val="en-US"/>
              </w:rPr>
              <w:t>a</w:t>
            </w:r>
            <w:r w:rsidR="001E4FCF" w:rsidRPr="00456C3F">
              <w:rPr>
                <w:sz w:val="18"/>
                <w:szCs w:val="18"/>
              </w:rPr>
              <w:t>)</w:t>
            </w:r>
            <w:r w:rsidR="00C76908">
              <w:rPr>
                <w:sz w:val="18"/>
                <w:szCs w:val="18"/>
              </w:rPr>
              <w:t> приближаются к требованиям</w:t>
            </w:r>
            <w:r w:rsidR="00134E99">
              <w:rPr>
                <w:sz w:val="18"/>
                <w:szCs w:val="18"/>
              </w:rPr>
              <w:t>,</w:t>
            </w:r>
            <w:r w:rsidR="001E4FCF" w:rsidRPr="00456C3F">
              <w:rPr>
                <w:sz w:val="18"/>
                <w:szCs w:val="18"/>
              </w:rPr>
              <w:t xml:space="preserve"> </w:t>
            </w:r>
            <w:r w:rsidR="001E4FCF" w:rsidRPr="001E4FCF">
              <w:rPr>
                <w:sz w:val="18"/>
                <w:szCs w:val="18"/>
                <w:lang w:val="en-US"/>
              </w:rPr>
              <w:t>b</w:t>
            </w:r>
            <w:r w:rsidR="001E4FCF" w:rsidRPr="00456C3F">
              <w:rPr>
                <w:sz w:val="18"/>
                <w:szCs w:val="18"/>
              </w:rPr>
              <w:t>)</w:t>
            </w:r>
            <w:r w:rsidR="00C76908">
              <w:rPr>
                <w:sz w:val="18"/>
                <w:szCs w:val="18"/>
              </w:rPr>
              <w:t> соответствуют требования</w:t>
            </w:r>
            <w:r w:rsidR="003C02EB">
              <w:rPr>
                <w:sz w:val="18"/>
                <w:szCs w:val="18"/>
              </w:rPr>
              <w:t>м</w:t>
            </w:r>
            <w:r w:rsidR="001E4FCF" w:rsidRPr="00456C3F">
              <w:rPr>
                <w:sz w:val="18"/>
                <w:szCs w:val="18"/>
              </w:rPr>
              <w:t xml:space="preserve"> </w:t>
            </w:r>
            <w:r w:rsidR="00C76908">
              <w:rPr>
                <w:sz w:val="18"/>
                <w:szCs w:val="18"/>
              </w:rPr>
              <w:t>и</w:t>
            </w:r>
            <w:r w:rsidR="001E4FCF" w:rsidRPr="00456C3F">
              <w:rPr>
                <w:sz w:val="18"/>
                <w:szCs w:val="18"/>
              </w:rPr>
              <w:t xml:space="preserve"> </w:t>
            </w:r>
            <w:r w:rsidR="001E4FCF" w:rsidRPr="001E4FCF">
              <w:rPr>
                <w:sz w:val="18"/>
                <w:szCs w:val="18"/>
                <w:lang w:val="en-US"/>
              </w:rPr>
              <w:t>c</w:t>
            </w:r>
            <w:r w:rsidR="001E4FCF" w:rsidRPr="00456C3F">
              <w:rPr>
                <w:sz w:val="18"/>
                <w:szCs w:val="18"/>
              </w:rPr>
              <w:t>)</w:t>
            </w:r>
            <w:r w:rsidR="00C76908">
              <w:rPr>
                <w:sz w:val="18"/>
                <w:szCs w:val="18"/>
              </w:rPr>
              <w:t> превышают требования.</w:t>
            </w:r>
          </w:p>
        </w:tc>
        <w:tc>
          <w:tcPr>
            <w:tcW w:w="2884" w:type="dxa"/>
            <w:shd w:val="clear" w:color="auto" w:fill="auto"/>
          </w:tcPr>
          <w:p w:rsidR="001E4FCF" w:rsidRPr="00091289" w:rsidRDefault="007C20B0" w:rsidP="001E4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Данные </w:t>
            </w:r>
            <w:r>
              <w:rPr>
                <w:sz w:val="18"/>
                <w:szCs w:val="18"/>
                <w:lang w:val="en-US"/>
              </w:rPr>
              <w:t>SPM</w:t>
            </w:r>
          </w:p>
        </w:tc>
      </w:tr>
    </w:tbl>
    <w:p w:rsidR="001E4FCF" w:rsidRPr="00091289" w:rsidRDefault="001E4FCF" w:rsidP="00482978">
      <w:pPr>
        <w:spacing w:before="0"/>
        <w:rPr>
          <w:lang w:val="en-US"/>
        </w:rPr>
      </w:pPr>
    </w:p>
    <w:tbl>
      <w:tblPr>
        <w:tblStyle w:val="GridTable4-Accent11"/>
        <w:tblW w:w="14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20" w:firstRow="1" w:lastRow="0" w:firstColumn="0" w:lastColumn="0" w:noHBand="1" w:noVBand="1"/>
      </w:tblPr>
      <w:tblGrid>
        <w:gridCol w:w="8784"/>
        <w:gridCol w:w="1445"/>
        <w:gridCol w:w="1446"/>
        <w:gridCol w:w="1446"/>
        <w:gridCol w:w="1446"/>
      </w:tblGrid>
      <w:tr w:rsidR="001E4FCF" w:rsidRPr="00B87D66" w:rsidTr="001E4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E4FCF" w:rsidRPr="007101FE" w:rsidRDefault="001E4FCF" w:rsidP="001E4FCF">
            <w:pPr>
              <w:spacing w:before="80" w:after="8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Намеченный результат деятельности</w:t>
            </w:r>
          </w:p>
        </w:tc>
        <w:tc>
          <w:tcPr>
            <w:tcW w:w="578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E4FCF" w:rsidRPr="007101FE" w:rsidRDefault="001E4FCF" w:rsidP="00561162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Финансовые ресурсы</w:t>
            </w:r>
            <w:r w:rsidR="00561162">
              <w:rPr>
                <w:sz w:val="18"/>
                <w:szCs w:val="18"/>
              </w:rPr>
              <w:t xml:space="preserve"> </w:t>
            </w:r>
            <w:r w:rsidRPr="007101FE">
              <w:rPr>
                <w:b w:val="0"/>
                <w:bCs w:val="0"/>
                <w:sz w:val="18"/>
                <w:szCs w:val="18"/>
              </w:rPr>
              <w:t xml:space="preserve">(в </w:t>
            </w:r>
            <w:r>
              <w:rPr>
                <w:b w:val="0"/>
                <w:bCs w:val="0"/>
                <w:sz w:val="18"/>
                <w:szCs w:val="18"/>
              </w:rPr>
              <w:t>шв. фр.</w:t>
            </w:r>
            <w:r w:rsidRPr="007101FE">
              <w:rPr>
                <w:b w:val="0"/>
                <w:bCs w:val="0"/>
                <w:sz w:val="18"/>
                <w:szCs w:val="18"/>
              </w:rPr>
              <w:t>)</w:t>
            </w:r>
          </w:p>
        </w:tc>
      </w:tr>
      <w:tr w:rsidR="001E4FCF" w:rsidRPr="007101FE" w:rsidTr="001E4FCF">
        <w:tc>
          <w:tcPr>
            <w:tcW w:w="8784" w:type="dxa"/>
          </w:tcPr>
          <w:p w:rsidR="001E4FCF" w:rsidRPr="007101FE" w:rsidRDefault="001E4FCF" w:rsidP="001E4FCF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45" w:type="dxa"/>
          </w:tcPr>
          <w:p w:rsidR="001E4FCF" w:rsidRPr="007101FE" w:rsidRDefault="001E4FCF" w:rsidP="001E4FCF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>20</w:t>
            </w:r>
            <w:r>
              <w:rPr>
                <w:b/>
                <w:bCs/>
                <w:color w:val="4F81BD" w:themeColor="accent1"/>
                <w:sz w:val="18"/>
                <w:szCs w:val="18"/>
              </w:rPr>
              <w:t>20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 xml:space="preserve"> г.</w:t>
            </w:r>
          </w:p>
        </w:tc>
        <w:tc>
          <w:tcPr>
            <w:tcW w:w="1446" w:type="dxa"/>
          </w:tcPr>
          <w:p w:rsidR="001E4FCF" w:rsidRPr="007101FE" w:rsidRDefault="001E4FCF" w:rsidP="001E4FCF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>202</w:t>
            </w:r>
            <w:r>
              <w:rPr>
                <w:b/>
                <w:bCs/>
                <w:color w:val="4F81BD" w:themeColor="accent1"/>
                <w:sz w:val="18"/>
                <w:szCs w:val="18"/>
              </w:rPr>
              <w:t>1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 xml:space="preserve"> г.</w:t>
            </w:r>
          </w:p>
        </w:tc>
        <w:tc>
          <w:tcPr>
            <w:tcW w:w="1446" w:type="dxa"/>
          </w:tcPr>
          <w:p w:rsidR="001E4FCF" w:rsidRPr="007101FE" w:rsidRDefault="001E4FCF" w:rsidP="001E4FCF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>202</w:t>
            </w:r>
            <w:r>
              <w:rPr>
                <w:b/>
                <w:bCs/>
                <w:color w:val="4F81BD" w:themeColor="accent1"/>
                <w:sz w:val="18"/>
                <w:szCs w:val="18"/>
              </w:rPr>
              <w:t>2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 xml:space="preserve"> г.</w:t>
            </w:r>
          </w:p>
        </w:tc>
        <w:tc>
          <w:tcPr>
            <w:tcW w:w="1446" w:type="dxa"/>
          </w:tcPr>
          <w:p w:rsidR="001E4FCF" w:rsidRPr="007101FE" w:rsidRDefault="001E4FCF" w:rsidP="001E4FCF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>202</w:t>
            </w:r>
            <w:r>
              <w:rPr>
                <w:b/>
                <w:bCs/>
                <w:color w:val="4F81BD" w:themeColor="accent1"/>
                <w:sz w:val="18"/>
                <w:szCs w:val="18"/>
              </w:rPr>
              <w:t>3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 xml:space="preserve"> г.</w:t>
            </w:r>
          </w:p>
        </w:tc>
      </w:tr>
      <w:tr w:rsidR="001E4FCF" w:rsidRPr="007101FE" w:rsidTr="001E4FCF">
        <w:tc>
          <w:tcPr>
            <w:tcW w:w="8784" w:type="dxa"/>
          </w:tcPr>
          <w:p w:rsidR="001E4FCF" w:rsidRPr="007101FE" w:rsidRDefault="001E4FCF" w:rsidP="001E4FCF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I.</w:t>
            </w:r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4</w:t>
            </w: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</w:t>
            </w:r>
            <w:r w:rsidRPr="0009128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1</w:t>
            </w:r>
            <w:r w:rsidRPr="007101FE">
              <w:rPr>
                <w:rFonts w:eastAsia="Calibri" w:cs="Arial"/>
                <w:sz w:val="18"/>
                <w:szCs w:val="18"/>
              </w:rPr>
              <w:t xml:space="preserve">: </w:t>
            </w:r>
            <w:r w:rsidRPr="001E4FCF">
              <w:rPr>
                <w:rFonts w:asciiTheme="minorHAnsi" w:hAnsiTheme="minorHAnsi"/>
                <w:sz w:val="18"/>
                <w:szCs w:val="18"/>
              </w:rPr>
              <w:t>Комплекты материалов, инструменты оценки и руководящие указания для разработки политики и развития навыков и других видов практики для применения</w:t>
            </w:r>
          </w:p>
        </w:tc>
        <w:tc>
          <w:tcPr>
            <w:tcW w:w="1445" w:type="dxa"/>
            <w:vAlign w:val="bottom"/>
          </w:tcPr>
          <w:p w:rsidR="001E4FCF" w:rsidRPr="001E4FCF" w:rsidRDefault="001E4FCF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297 403</w:t>
            </w:r>
          </w:p>
        </w:tc>
        <w:tc>
          <w:tcPr>
            <w:tcW w:w="1446" w:type="dxa"/>
            <w:vAlign w:val="bottom"/>
          </w:tcPr>
          <w:p w:rsidR="001E4FCF" w:rsidRPr="001E4FCF" w:rsidRDefault="001E4FCF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297 398</w:t>
            </w:r>
          </w:p>
        </w:tc>
        <w:tc>
          <w:tcPr>
            <w:tcW w:w="1446" w:type="dxa"/>
            <w:vAlign w:val="bottom"/>
          </w:tcPr>
          <w:p w:rsidR="001E4FCF" w:rsidRPr="001E4FCF" w:rsidRDefault="001E4FCF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296 347</w:t>
            </w:r>
          </w:p>
        </w:tc>
        <w:tc>
          <w:tcPr>
            <w:tcW w:w="1446" w:type="dxa"/>
            <w:vAlign w:val="bottom"/>
          </w:tcPr>
          <w:p w:rsidR="001E4FCF" w:rsidRPr="001E4FCF" w:rsidRDefault="001E4FCF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293 966</w:t>
            </w:r>
          </w:p>
        </w:tc>
      </w:tr>
      <w:tr w:rsidR="001E4FCF" w:rsidRPr="007101FE" w:rsidTr="001E4FCF">
        <w:tc>
          <w:tcPr>
            <w:tcW w:w="8784" w:type="dxa"/>
          </w:tcPr>
          <w:p w:rsidR="001E4FCF" w:rsidRPr="007101FE" w:rsidRDefault="001E4FCF" w:rsidP="001E4FCF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I.</w:t>
            </w:r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4</w:t>
            </w: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</w:t>
            </w:r>
            <w:r w:rsidRPr="0009128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2</w:t>
            </w:r>
            <w:r w:rsidRPr="007101FE">
              <w:rPr>
                <w:rFonts w:eastAsia="Calibri" w:cs="Arial"/>
                <w:sz w:val="18"/>
                <w:szCs w:val="18"/>
              </w:rPr>
              <w:t xml:space="preserve">: </w:t>
            </w:r>
            <w:r w:rsidRPr="001E4FCF">
              <w:rPr>
                <w:rFonts w:asciiTheme="minorHAnsi" w:hAnsiTheme="minorHAnsi"/>
                <w:sz w:val="18"/>
                <w:szCs w:val="18"/>
              </w:rPr>
              <w:t>Сообщества, взаимодействие, инициативы и партнерские отношения</w:t>
            </w:r>
          </w:p>
        </w:tc>
        <w:tc>
          <w:tcPr>
            <w:tcW w:w="1445" w:type="dxa"/>
            <w:vAlign w:val="bottom"/>
          </w:tcPr>
          <w:p w:rsidR="001E4FCF" w:rsidRPr="001E4FCF" w:rsidRDefault="001E4FCF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474 292</w:t>
            </w:r>
          </w:p>
        </w:tc>
        <w:tc>
          <w:tcPr>
            <w:tcW w:w="1446" w:type="dxa"/>
            <w:vAlign w:val="bottom"/>
          </w:tcPr>
          <w:p w:rsidR="001E4FCF" w:rsidRPr="001E4FCF" w:rsidRDefault="001E4FCF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474 285</w:t>
            </w:r>
          </w:p>
        </w:tc>
        <w:tc>
          <w:tcPr>
            <w:tcW w:w="1446" w:type="dxa"/>
            <w:vAlign w:val="bottom"/>
          </w:tcPr>
          <w:p w:rsidR="001E4FCF" w:rsidRPr="001E4FCF" w:rsidRDefault="001E4FCF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472 610</w:t>
            </w:r>
          </w:p>
        </w:tc>
        <w:tc>
          <w:tcPr>
            <w:tcW w:w="1446" w:type="dxa"/>
            <w:vAlign w:val="bottom"/>
          </w:tcPr>
          <w:p w:rsidR="001E4FCF" w:rsidRPr="001E4FCF" w:rsidRDefault="001E4FCF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468 812</w:t>
            </w:r>
          </w:p>
        </w:tc>
      </w:tr>
      <w:tr w:rsidR="001E4FCF" w:rsidRPr="007101FE" w:rsidTr="001E4FCF">
        <w:tc>
          <w:tcPr>
            <w:tcW w:w="8784" w:type="dxa"/>
          </w:tcPr>
          <w:p w:rsidR="001E4FCF" w:rsidRPr="007101FE" w:rsidRDefault="001E4FCF" w:rsidP="001E4FCF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I.</w:t>
            </w:r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4</w:t>
            </w: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</w:t>
            </w:r>
            <w:r w:rsidRPr="0009128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3</w:t>
            </w:r>
            <w:r w:rsidRPr="007101FE">
              <w:rPr>
                <w:rFonts w:eastAsia="Calibri" w:cs="Arial"/>
                <w:sz w:val="18"/>
                <w:szCs w:val="18"/>
              </w:rPr>
              <w:t xml:space="preserve">: </w:t>
            </w:r>
            <w:r w:rsidRPr="001E4FCF">
              <w:rPr>
                <w:rFonts w:asciiTheme="minorHAnsi" w:hAnsiTheme="minorHAnsi"/>
                <w:sz w:val="18"/>
                <w:szCs w:val="18"/>
              </w:rPr>
              <w:t>Информационно-просветительская деятельность как на уровне ООН, так и на уровне региона и страны</w:t>
            </w:r>
          </w:p>
        </w:tc>
        <w:tc>
          <w:tcPr>
            <w:tcW w:w="1445" w:type="dxa"/>
            <w:vAlign w:val="bottom"/>
          </w:tcPr>
          <w:p w:rsidR="001E4FCF" w:rsidRPr="001E4FCF" w:rsidRDefault="001E4FCF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345 249</w:t>
            </w:r>
          </w:p>
        </w:tc>
        <w:tc>
          <w:tcPr>
            <w:tcW w:w="1446" w:type="dxa"/>
            <w:vAlign w:val="bottom"/>
          </w:tcPr>
          <w:p w:rsidR="001E4FCF" w:rsidRPr="001E4FCF" w:rsidRDefault="001E4FCF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245 244</w:t>
            </w:r>
          </w:p>
        </w:tc>
        <w:tc>
          <w:tcPr>
            <w:tcW w:w="1446" w:type="dxa"/>
            <w:vAlign w:val="bottom"/>
          </w:tcPr>
          <w:p w:rsidR="001E4FCF" w:rsidRPr="001E4FCF" w:rsidRDefault="001E4FCF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344 024</w:t>
            </w:r>
          </w:p>
        </w:tc>
        <w:tc>
          <w:tcPr>
            <w:tcW w:w="1446" w:type="dxa"/>
            <w:vAlign w:val="bottom"/>
          </w:tcPr>
          <w:p w:rsidR="001E4FCF" w:rsidRPr="001E4FCF" w:rsidRDefault="001E4FCF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341 260</w:t>
            </w:r>
          </w:p>
        </w:tc>
      </w:tr>
      <w:tr w:rsidR="001E4FCF" w:rsidRPr="007101FE" w:rsidTr="001E4FCF">
        <w:tc>
          <w:tcPr>
            <w:tcW w:w="8784" w:type="dxa"/>
          </w:tcPr>
          <w:p w:rsidR="001E4FCF" w:rsidRPr="007101FE" w:rsidRDefault="001E4FCF" w:rsidP="001E4FCF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I.</w:t>
            </w:r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4</w:t>
            </w: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</w:t>
            </w:r>
            <w:r w:rsidRPr="0009128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4</w:t>
            </w:r>
            <w:r w:rsidRPr="007101FE">
              <w:rPr>
                <w:rFonts w:eastAsia="Calibri" w:cs="Arial"/>
                <w:sz w:val="18"/>
                <w:szCs w:val="18"/>
              </w:rPr>
              <w:t xml:space="preserve">: </w:t>
            </w:r>
            <w:r w:rsidRPr="001E4FCF">
              <w:rPr>
                <w:rFonts w:asciiTheme="minorHAnsi" w:hAnsiTheme="minorHAnsi"/>
                <w:sz w:val="18"/>
                <w:szCs w:val="18"/>
              </w:rPr>
              <w:t>Поддержка партнерства "РАВНЫЕ"</w:t>
            </w:r>
          </w:p>
        </w:tc>
        <w:tc>
          <w:tcPr>
            <w:tcW w:w="1445" w:type="dxa"/>
            <w:vAlign w:val="bottom"/>
          </w:tcPr>
          <w:p w:rsidR="001E4FCF" w:rsidRPr="001E4FCF" w:rsidRDefault="001E4FCF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170 580</w:t>
            </w:r>
          </w:p>
        </w:tc>
        <w:tc>
          <w:tcPr>
            <w:tcW w:w="1446" w:type="dxa"/>
            <w:vAlign w:val="bottom"/>
          </w:tcPr>
          <w:p w:rsidR="001E4FCF" w:rsidRPr="001E4FCF" w:rsidRDefault="001E4FCF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170 577</w:t>
            </w:r>
          </w:p>
        </w:tc>
        <w:tc>
          <w:tcPr>
            <w:tcW w:w="1446" w:type="dxa"/>
            <w:vAlign w:val="bottom"/>
          </w:tcPr>
          <w:p w:rsidR="001E4FCF" w:rsidRPr="001E4FCF" w:rsidRDefault="001E4FCF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169 975</w:t>
            </w:r>
          </w:p>
        </w:tc>
        <w:tc>
          <w:tcPr>
            <w:tcW w:w="1446" w:type="dxa"/>
            <w:vAlign w:val="bottom"/>
          </w:tcPr>
          <w:p w:rsidR="001E4FCF" w:rsidRPr="001E4FCF" w:rsidRDefault="001E4FCF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168 609</w:t>
            </w:r>
          </w:p>
        </w:tc>
      </w:tr>
      <w:tr w:rsidR="001E4FCF" w:rsidRPr="007101FE" w:rsidTr="001E4FCF">
        <w:tc>
          <w:tcPr>
            <w:tcW w:w="8784" w:type="dxa"/>
          </w:tcPr>
          <w:p w:rsidR="001E4FCF" w:rsidRPr="007101FE" w:rsidRDefault="001E4FCF" w:rsidP="001E4FCF">
            <w:pPr>
              <w:spacing w:before="40" w:after="40"/>
              <w:ind w:right="113"/>
              <w:rPr>
                <w:b/>
                <w:bCs/>
                <w:color w:val="4F81BD" w:themeColor="accent1"/>
                <w:sz w:val="18"/>
                <w:szCs w:val="18"/>
                <w:lang w:eastAsia="zh-CN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  <w:lang w:eastAsia="zh-CN"/>
              </w:rPr>
              <w:t>Всего для Задачи I.</w:t>
            </w:r>
            <w:r>
              <w:rPr>
                <w:b/>
                <w:bCs/>
                <w:color w:val="4F81BD" w:themeColor="accent1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445" w:type="dxa"/>
            <w:vAlign w:val="bottom"/>
          </w:tcPr>
          <w:p w:rsidR="001E4FCF" w:rsidRPr="001E4FCF" w:rsidRDefault="001E4FCF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1 287 524</w:t>
            </w:r>
          </w:p>
        </w:tc>
        <w:tc>
          <w:tcPr>
            <w:tcW w:w="1446" w:type="dxa"/>
            <w:vAlign w:val="bottom"/>
          </w:tcPr>
          <w:p w:rsidR="001E4FCF" w:rsidRPr="001E4FCF" w:rsidRDefault="001E4FCF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1 287 504</w:t>
            </w:r>
          </w:p>
        </w:tc>
        <w:tc>
          <w:tcPr>
            <w:tcW w:w="1446" w:type="dxa"/>
            <w:vAlign w:val="bottom"/>
          </w:tcPr>
          <w:p w:rsidR="001E4FCF" w:rsidRPr="001E4FCF" w:rsidRDefault="001E4FCF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1 282 955</w:t>
            </w:r>
          </w:p>
        </w:tc>
        <w:tc>
          <w:tcPr>
            <w:tcW w:w="1446" w:type="dxa"/>
            <w:vAlign w:val="bottom"/>
          </w:tcPr>
          <w:p w:rsidR="001E4FCF" w:rsidRPr="001E4FCF" w:rsidRDefault="001E4FCF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1 272 648</w:t>
            </w:r>
          </w:p>
        </w:tc>
      </w:tr>
    </w:tbl>
    <w:p w:rsidR="00091289" w:rsidRPr="000F6DA1" w:rsidRDefault="00482978" w:rsidP="005936B6">
      <w:pPr>
        <w:keepNext/>
        <w:spacing w:after="120"/>
      </w:pPr>
      <w:r w:rsidRPr="00482978">
        <w:lastRenderedPageBreak/>
        <w:t>I.5</w:t>
      </w:r>
      <w:r w:rsidR="00D86116">
        <w:tab/>
      </w:r>
      <w:r w:rsidRPr="00482978">
        <w:t>Использовать электросвязь/ИКТ для уменьшения экологического следа</w:t>
      </w:r>
    </w:p>
    <w:tbl>
      <w:tblPr>
        <w:tblStyle w:val="GridTable4-Accent11"/>
        <w:tblW w:w="14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A0" w:firstRow="1" w:lastRow="0" w:firstColumn="1" w:lastColumn="0" w:noHBand="1" w:noVBand="1"/>
      </w:tblPr>
      <w:tblGrid>
        <w:gridCol w:w="4041"/>
        <w:gridCol w:w="7642"/>
        <w:gridCol w:w="2884"/>
      </w:tblGrid>
      <w:tr w:rsidR="001E4FCF" w:rsidRPr="007101FE" w:rsidTr="001E4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FCF" w:rsidRPr="007101FE" w:rsidRDefault="001E4FCF" w:rsidP="001E4FCF">
            <w:pPr>
              <w:spacing w:before="80" w:after="8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Конечный результат</w:t>
            </w:r>
          </w:p>
        </w:tc>
        <w:tc>
          <w:tcPr>
            <w:tcW w:w="76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FCF" w:rsidRPr="007101FE" w:rsidRDefault="001E4FCF" w:rsidP="00561162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 xml:space="preserve">Показатель конечного результата </w:t>
            </w:r>
          </w:p>
        </w:tc>
        <w:tc>
          <w:tcPr>
            <w:tcW w:w="28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FCF" w:rsidRPr="007101FE" w:rsidRDefault="001E4FCF" w:rsidP="001E4FCF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Средства измерения</w:t>
            </w:r>
          </w:p>
        </w:tc>
      </w:tr>
      <w:tr w:rsidR="001E4FCF" w:rsidRPr="007101FE" w:rsidTr="001E4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1E4FCF" w:rsidRPr="007101FE" w:rsidRDefault="001E4FCF" w:rsidP="001E4FCF">
            <w:pPr>
              <w:spacing w:before="40" w:after="40"/>
              <w:rPr>
                <w:rFonts w:eastAsia="Calibri" w:cs="Arial"/>
                <w:b w:val="0"/>
                <w:bCs w:val="0"/>
                <w:sz w:val="18"/>
                <w:szCs w:val="18"/>
              </w:rPr>
            </w:pP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I.</w:t>
            </w:r>
            <w:r>
              <w:rPr>
                <w:rFonts w:eastAsia="Calibri" w:cs="Arial"/>
                <w:color w:val="4F81BD" w:themeColor="accent1"/>
                <w:sz w:val="18"/>
                <w:szCs w:val="18"/>
              </w:rPr>
              <w:t>5</w:t>
            </w: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-</w:t>
            </w:r>
            <w:r>
              <w:rPr>
                <w:rFonts w:eastAsia="Calibri" w:cs="Arial"/>
                <w:color w:val="4F81BD" w:themeColor="accent1"/>
                <w:sz w:val="18"/>
                <w:szCs w:val="18"/>
                <w:lang w:val="en-US"/>
              </w:rPr>
              <w:t>a</w:t>
            </w:r>
            <w:r w:rsidRPr="007101FE">
              <w:rPr>
                <w:rFonts w:eastAsia="Calibri" w:cs="Arial"/>
                <w:b w:val="0"/>
                <w:bCs w:val="0"/>
                <w:sz w:val="18"/>
                <w:szCs w:val="18"/>
              </w:rPr>
              <w:t xml:space="preserve">: </w:t>
            </w:r>
            <w:r w:rsidR="00482978" w:rsidRPr="00482978">
              <w:rPr>
                <w:b w:val="0"/>
                <w:bCs w:val="0"/>
                <w:sz w:val="18"/>
                <w:szCs w:val="18"/>
              </w:rPr>
              <w:t>Повышение эффективности экологической политики и стандартов</w:t>
            </w:r>
          </w:p>
        </w:tc>
        <w:tc>
          <w:tcPr>
            <w:tcW w:w="7642" w:type="dxa"/>
            <w:shd w:val="clear" w:color="auto" w:fill="auto"/>
          </w:tcPr>
          <w:p w:rsidR="001E4FCF" w:rsidRPr="00561162" w:rsidRDefault="00561162" w:rsidP="001E4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365F91" w:themeColor="accent1" w:themeShade="BF"/>
                <w:sz w:val="18"/>
                <w:szCs w:val="18"/>
              </w:rPr>
            </w:pP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Новый конечный результат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(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СП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2020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−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2023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 гг.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)</w:t>
            </w:r>
          </w:p>
          <w:p w:rsidR="001E4FCF" w:rsidRPr="00EF5D5E" w:rsidRDefault="00EF5D5E" w:rsidP="003C02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5D5E">
              <w:rPr>
                <w:sz w:val="18"/>
                <w:szCs w:val="18"/>
              </w:rPr>
              <w:t xml:space="preserve">оля стран, </w:t>
            </w:r>
            <w:r w:rsidR="003C02EB">
              <w:rPr>
                <w:sz w:val="18"/>
                <w:szCs w:val="18"/>
              </w:rPr>
              <w:t>имеющих законы по</w:t>
            </w:r>
            <w:r w:rsidRPr="00EF5D5E">
              <w:rPr>
                <w:sz w:val="18"/>
                <w:szCs w:val="18"/>
              </w:rPr>
              <w:t xml:space="preserve"> электронны</w:t>
            </w:r>
            <w:r w:rsidR="003C02EB">
              <w:rPr>
                <w:sz w:val="18"/>
                <w:szCs w:val="18"/>
              </w:rPr>
              <w:t>м</w:t>
            </w:r>
            <w:r w:rsidRPr="00EF5D5E">
              <w:rPr>
                <w:sz w:val="18"/>
                <w:szCs w:val="18"/>
              </w:rPr>
              <w:t xml:space="preserve"> отхода</w:t>
            </w:r>
            <w:r w:rsidR="003C02EB">
              <w:rPr>
                <w:sz w:val="18"/>
                <w:szCs w:val="18"/>
              </w:rPr>
              <w:t>м</w:t>
            </w:r>
          </w:p>
        </w:tc>
        <w:tc>
          <w:tcPr>
            <w:tcW w:w="2884" w:type="dxa"/>
            <w:shd w:val="clear" w:color="auto" w:fill="auto"/>
          </w:tcPr>
          <w:p w:rsidR="001E4FCF" w:rsidRPr="007101FE" w:rsidRDefault="00932281" w:rsidP="003C02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МСЭ</w:t>
            </w:r>
            <w:r w:rsidR="001E4FCF" w:rsidRPr="001E4FC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="001E4FCF" w:rsidRPr="001E4FCF">
              <w:rPr>
                <w:sz w:val="18"/>
                <w:szCs w:val="18"/>
              </w:rPr>
              <w:t xml:space="preserve"> </w:t>
            </w:r>
            <w:r w:rsidR="003C02EB">
              <w:rPr>
                <w:sz w:val="18"/>
                <w:szCs w:val="18"/>
              </w:rPr>
              <w:t>УООН</w:t>
            </w:r>
            <w:r w:rsidR="001E4FCF" w:rsidRPr="001E4FCF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БРЭ</w:t>
            </w:r>
            <w:r w:rsidR="001E4FCF" w:rsidRPr="001E4FCF">
              <w:rPr>
                <w:sz w:val="18"/>
                <w:szCs w:val="18"/>
              </w:rPr>
              <w:t>)</w:t>
            </w:r>
          </w:p>
        </w:tc>
      </w:tr>
      <w:tr w:rsidR="001E4FCF" w:rsidRPr="001E4FCF" w:rsidTr="001E4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1E4FCF" w:rsidRPr="007101FE" w:rsidRDefault="001E4FCF" w:rsidP="001E4FCF">
            <w:pPr>
              <w:spacing w:before="40" w:after="40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I.</w:t>
            </w:r>
            <w:r>
              <w:rPr>
                <w:rFonts w:eastAsia="Calibri" w:cs="Arial"/>
                <w:color w:val="4F81BD" w:themeColor="accent1"/>
                <w:sz w:val="18"/>
                <w:szCs w:val="18"/>
              </w:rPr>
              <w:t>5</w:t>
            </w: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-</w:t>
            </w:r>
            <w:r>
              <w:rPr>
                <w:rFonts w:eastAsia="Calibri" w:cs="Arial"/>
                <w:color w:val="4F81BD" w:themeColor="accent1"/>
                <w:sz w:val="18"/>
                <w:szCs w:val="18"/>
                <w:lang w:val="en-US"/>
              </w:rPr>
              <w:t>b</w:t>
            </w:r>
            <w:r w:rsidRPr="007101FE">
              <w:rPr>
                <w:rFonts w:eastAsia="Calibri" w:cs="Arial"/>
                <w:b w:val="0"/>
                <w:bCs w:val="0"/>
                <w:sz w:val="18"/>
                <w:szCs w:val="18"/>
              </w:rPr>
              <w:t xml:space="preserve">: </w:t>
            </w:r>
            <w:r w:rsidR="00482978" w:rsidRPr="00482978">
              <w:rPr>
                <w:b w:val="0"/>
                <w:bCs w:val="0"/>
                <w:sz w:val="18"/>
                <w:szCs w:val="18"/>
              </w:rPr>
              <w:t>Сокращение потребления энергии приложениями электросвязи/ИКТ</w:t>
            </w:r>
          </w:p>
        </w:tc>
        <w:tc>
          <w:tcPr>
            <w:tcW w:w="7642" w:type="dxa"/>
            <w:shd w:val="clear" w:color="auto" w:fill="auto"/>
          </w:tcPr>
          <w:p w:rsidR="001E4FCF" w:rsidRPr="00561162" w:rsidRDefault="00561162" w:rsidP="001E4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365F91" w:themeColor="accent1" w:themeShade="BF"/>
                <w:sz w:val="18"/>
                <w:szCs w:val="18"/>
              </w:rPr>
            </w:pP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Новый конечный результат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(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СП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2020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−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2023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 гг.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)</w:t>
            </w:r>
          </w:p>
          <w:p w:rsidR="001E4FCF" w:rsidRPr="00EF5D5E" w:rsidRDefault="00EF5D5E" w:rsidP="00EF5D5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Сокращение</w:t>
            </w:r>
            <w:r w:rsidRPr="00EF5D5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чистого объема выбросов парниковых газов, связанных</w:t>
            </w:r>
            <w:r w:rsidRPr="00EF5D5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</w:t>
            </w:r>
            <w:r w:rsidRPr="00EF5D5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электросвязью</w:t>
            </w:r>
            <w:r w:rsidRPr="00EF5D5E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ИКТ</w:t>
            </w:r>
          </w:p>
        </w:tc>
        <w:tc>
          <w:tcPr>
            <w:tcW w:w="2884" w:type="dxa"/>
            <w:shd w:val="clear" w:color="auto" w:fill="auto"/>
          </w:tcPr>
          <w:p w:rsidR="001E4FCF" w:rsidRPr="00EF5D5E" w:rsidRDefault="00932281" w:rsidP="003C02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МСЭ</w:t>
            </w:r>
            <w:r w:rsidR="001E4FCF" w:rsidRPr="001E4FC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="001E4FCF" w:rsidRPr="001E4FCF">
              <w:rPr>
                <w:sz w:val="18"/>
                <w:szCs w:val="18"/>
              </w:rPr>
              <w:t xml:space="preserve"> </w:t>
            </w:r>
            <w:r w:rsidR="003C02EB">
              <w:rPr>
                <w:sz w:val="18"/>
                <w:szCs w:val="18"/>
              </w:rPr>
              <w:t>МГЭИК</w:t>
            </w:r>
            <w:r w:rsidR="001E4FCF" w:rsidRPr="001E4FCF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БРЭ</w:t>
            </w:r>
            <w:r w:rsidR="001E4FCF" w:rsidRPr="001E4FCF">
              <w:rPr>
                <w:sz w:val="18"/>
                <w:szCs w:val="18"/>
              </w:rPr>
              <w:t>)</w:t>
            </w:r>
          </w:p>
        </w:tc>
      </w:tr>
      <w:tr w:rsidR="001E4FCF" w:rsidRPr="00091289" w:rsidTr="001E4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1E4FCF" w:rsidRPr="007101FE" w:rsidRDefault="001E4FCF" w:rsidP="001E4FCF">
            <w:pPr>
              <w:spacing w:before="40" w:after="40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I.</w:t>
            </w:r>
            <w:r>
              <w:rPr>
                <w:rFonts w:eastAsia="Calibri" w:cs="Arial"/>
                <w:color w:val="4F81BD" w:themeColor="accent1"/>
                <w:sz w:val="18"/>
                <w:szCs w:val="18"/>
              </w:rPr>
              <w:t>5</w:t>
            </w: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-</w:t>
            </w:r>
            <w:r>
              <w:rPr>
                <w:rFonts w:eastAsia="Calibri" w:cs="Arial"/>
                <w:color w:val="4F81BD" w:themeColor="accent1"/>
                <w:sz w:val="18"/>
                <w:szCs w:val="18"/>
                <w:lang w:val="en-US"/>
              </w:rPr>
              <w:t>c</w:t>
            </w:r>
            <w:r w:rsidRPr="007101FE">
              <w:rPr>
                <w:rFonts w:eastAsia="Calibri" w:cs="Arial"/>
                <w:b w:val="0"/>
                <w:bCs w:val="0"/>
                <w:sz w:val="18"/>
                <w:szCs w:val="18"/>
              </w:rPr>
              <w:t xml:space="preserve">: </w:t>
            </w:r>
            <w:r w:rsidR="00482978" w:rsidRPr="00482978">
              <w:rPr>
                <w:b w:val="0"/>
                <w:bCs w:val="0"/>
                <w:sz w:val="18"/>
                <w:szCs w:val="18"/>
              </w:rPr>
              <w:t>Увеличение количества утилизированных электронных отходов</w:t>
            </w:r>
          </w:p>
        </w:tc>
        <w:tc>
          <w:tcPr>
            <w:tcW w:w="7642" w:type="dxa"/>
            <w:shd w:val="clear" w:color="auto" w:fill="auto"/>
          </w:tcPr>
          <w:p w:rsidR="001E4FCF" w:rsidRPr="00561162" w:rsidRDefault="00561162" w:rsidP="001E4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365F91" w:themeColor="accent1" w:themeShade="BF"/>
                <w:sz w:val="18"/>
                <w:szCs w:val="18"/>
              </w:rPr>
            </w:pP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Новый конечный результат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(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СП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2020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−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2023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 гг.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)</w:t>
            </w:r>
          </w:p>
          <w:p w:rsidR="001E4FCF" w:rsidRPr="00EF5D5E" w:rsidRDefault="00EF5D5E" w:rsidP="00C62EA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EF5D5E">
              <w:rPr>
                <w:sz w:val="18"/>
                <w:szCs w:val="18"/>
              </w:rPr>
              <w:t>лобальны</w:t>
            </w:r>
            <w:r>
              <w:rPr>
                <w:sz w:val="18"/>
                <w:szCs w:val="18"/>
              </w:rPr>
              <w:t>й</w:t>
            </w:r>
            <w:r w:rsidRPr="00EF5D5E">
              <w:rPr>
                <w:sz w:val="18"/>
                <w:szCs w:val="18"/>
              </w:rPr>
              <w:t xml:space="preserve"> показател</w:t>
            </w:r>
            <w:r>
              <w:rPr>
                <w:sz w:val="18"/>
                <w:szCs w:val="18"/>
              </w:rPr>
              <w:t>ь</w:t>
            </w:r>
            <w:r w:rsidRPr="00EF5D5E">
              <w:rPr>
                <w:sz w:val="18"/>
                <w:szCs w:val="18"/>
              </w:rPr>
              <w:t xml:space="preserve"> </w:t>
            </w:r>
            <w:r w:rsidR="00C62EAB">
              <w:rPr>
                <w:sz w:val="18"/>
                <w:szCs w:val="18"/>
              </w:rPr>
              <w:t>утилизации</w:t>
            </w:r>
            <w:r w:rsidRPr="00EF5D5E">
              <w:rPr>
                <w:sz w:val="18"/>
                <w:szCs w:val="18"/>
              </w:rPr>
              <w:t xml:space="preserve"> электронных отходов</w:t>
            </w:r>
          </w:p>
        </w:tc>
        <w:tc>
          <w:tcPr>
            <w:tcW w:w="2884" w:type="dxa"/>
            <w:shd w:val="clear" w:color="auto" w:fill="auto"/>
          </w:tcPr>
          <w:p w:rsidR="001E4FCF" w:rsidRPr="00091289" w:rsidRDefault="00932281" w:rsidP="003C02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МСЭ</w:t>
            </w:r>
            <w:r w:rsidR="001E4FCF" w:rsidRPr="001E4FC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="001E4FCF" w:rsidRPr="001E4FCF">
              <w:rPr>
                <w:sz w:val="18"/>
                <w:szCs w:val="18"/>
              </w:rPr>
              <w:t xml:space="preserve"> </w:t>
            </w:r>
            <w:r w:rsidR="003C02EB">
              <w:rPr>
                <w:sz w:val="18"/>
                <w:szCs w:val="18"/>
              </w:rPr>
              <w:t>УООН</w:t>
            </w:r>
            <w:r w:rsidR="001E4FCF" w:rsidRPr="001E4FCF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БРЭ</w:t>
            </w:r>
            <w:r w:rsidR="001E4FCF" w:rsidRPr="001E4FCF">
              <w:rPr>
                <w:sz w:val="18"/>
                <w:szCs w:val="18"/>
              </w:rPr>
              <w:t>)</w:t>
            </w:r>
          </w:p>
        </w:tc>
      </w:tr>
      <w:tr w:rsidR="001E4FCF" w:rsidRPr="00091289" w:rsidTr="001E4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1E4FCF" w:rsidRPr="007101FE" w:rsidRDefault="001E4FCF" w:rsidP="001E4FCF">
            <w:pPr>
              <w:spacing w:before="40" w:after="40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I.</w:t>
            </w:r>
            <w:r>
              <w:rPr>
                <w:rFonts w:eastAsia="Calibri" w:cs="Arial"/>
                <w:color w:val="4F81BD" w:themeColor="accent1"/>
                <w:sz w:val="18"/>
                <w:szCs w:val="18"/>
              </w:rPr>
              <w:t>5</w:t>
            </w: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-</w:t>
            </w:r>
            <w:r>
              <w:rPr>
                <w:rFonts w:eastAsia="Calibri" w:cs="Arial"/>
                <w:color w:val="4F81BD" w:themeColor="accent1"/>
                <w:sz w:val="18"/>
                <w:szCs w:val="18"/>
                <w:lang w:val="en-US"/>
              </w:rPr>
              <w:t>d</w:t>
            </w:r>
            <w:r w:rsidRPr="007101FE">
              <w:rPr>
                <w:rFonts w:eastAsia="Calibri" w:cs="Arial"/>
                <w:b w:val="0"/>
                <w:bCs w:val="0"/>
                <w:sz w:val="18"/>
                <w:szCs w:val="18"/>
              </w:rPr>
              <w:t xml:space="preserve">: </w:t>
            </w:r>
            <w:r w:rsidR="00482978" w:rsidRPr="00482978">
              <w:rPr>
                <w:b w:val="0"/>
                <w:bCs w:val="0"/>
                <w:sz w:val="18"/>
                <w:szCs w:val="18"/>
              </w:rPr>
              <w:t>Улучшение решений для "умных" устойчивых городов</w:t>
            </w:r>
          </w:p>
        </w:tc>
        <w:tc>
          <w:tcPr>
            <w:tcW w:w="7642" w:type="dxa"/>
            <w:shd w:val="clear" w:color="auto" w:fill="auto"/>
          </w:tcPr>
          <w:p w:rsidR="001E4FCF" w:rsidRPr="00561162" w:rsidRDefault="00561162" w:rsidP="001E4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365F91" w:themeColor="accent1" w:themeShade="BF"/>
                <w:sz w:val="18"/>
                <w:szCs w:val="18"/>
              </w:rPr>
            </w:pP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Новый конечный результат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(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СП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2020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−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2023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 гг.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)</w:t>
            </w:r>
          </w:p>
          <w:p w:rsidR="001E4FCF" w:rsidRPr="00156CF3" w:rsidRDefault="00156CF3" w:rsidP="001E4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</w:t>
            </w:r>
            <w:r w:rsidRPr="00156C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улучшения</w:t>
            </w:r>
            <w:r w:rsidRPr="00156C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решений</w:t>
            </w:r>
            <w:r w:rsidRPr="00156C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для</w:t>
            </w:r>
            <w:r w:rsidRPr="00156CF3">
              <w:rPr>
                <w:sz w:val="18"/>
                <w:szCs w:val="18"/>
              </w:rPr>
              <w:t xml:space="preserve"> "умных" устойчивых городов</w:t>
            </w:r>
          </w:p>
        </w:tc>
        <w:tc>
          <w:tcPr>
            <w:tcW w:w="2884" w:type="dxa"/>
            <w:shd w:val="clear" w:color="auto" w:fill="auto"/>
          </w:tcPr>
          <w:p w:rsidR="001E4FCF" w:rsidRPr="00091289" w:rsidRDefault="00932281" w:rsidP="001E4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БСЭ</w:t>
            </w:r>
          </w:p>
        </w:tc>
      </w:tr>
    </w:tbl>
    <w:p w:rsidR="001E4FCF" w:rsidRPr="00091289" w:rsidRDefault="001E4FCF" w:rsidP="00482978">
      <w:pPr>
        <w:spacing w:before="0"/>
        <w:rPr>
          <w:lang w:val="en-US"/>
        </w:rPr>
      </w:pPr>
    </w:p>
    <w:tbl>
      <w:tblPr>
        <w:tblStyle w:val="GridTable4-Accent11"/>
        <w:tblW w:w="14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20" w:firstRow="1" w:lastRow="0" w:firstColumn="0" w:lastColumn="0" w:noHBand="1" w:noVBand="1"/>
      </w:tblPr>
      <w:tblGrid>
        <w:gridCol w:w="8784"/>
        <w:gridCol w:w="1445"/>
        <w:gridCol w:w="1446"/>
        <w:gridCol w:w="1446"/>
        <w:gridCol w:w="1446"/>
      </w:tblGrid>
      <w:tr w:rsidR="001E4FCF" w:rsidRPr="00B87D66" w:rsidTr="001E4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E4FCF" w:rsidRPr="007101FE" w:rsidRDefault="001E4FCF" w:rsidP="001E4FCF">
            <w:pPr>
              <w:spacing w:before="80" w:after="8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Намеченный результат деятельности</w:t>
            </w:r>
          </w:p>
        </w:tc>
        <w:tc>
          <w:tcPr>
            <w:tcW w:w="578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E4FCF" w:rsidRPr="007101FE" w:rsidRDefault="001E4FCF" w:rsidP="00561162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Финансовые ресурсы</w:t>
            </w:r>
            <w:r w:rsidR="00561162">
              <w:rPr>
                <w:sz w:val="18"/>
                <w:szCs w:val="18"/>
              </w:rPr>
              <w:t xml:space="preserve"> </w:t>
            </w:r>
            <w:r w:rsidRPr="007101FE">
              <w:rPr>
                <w:b w:val="0"/>
                <w:bCs w:val="0"/>
                <w:sz w:val="18"/>
                <w:szCs w:val="18"/>
              </w:rPr>
              <w:t xml:space="preserve">(в </w:t>
            </w:r>
            <w:r>
              <w:rPr>
                <w:b w:val="0"/>
                <w:bCs w:val="0"/>
                <w:sz w:val="18"/>
                <w:szCs w:val="18"/>
              </w:rPr>
              <w:t>шв. фр.</w:t>
            </w:r>
            <w:r w:rsidRPr="007101FE">
              <w:rPr>
                <w:b w:val="0"/>
                <w:bCs w:val="0"/>
                <w:sz w:val="18"/>
                <w:szCs w:val="18"/>
              </w:rPr>
              <w:t>)</w:t>
            </w:r>
          </w:p>
        </w:tc>
      </w:tr>
      <w:tr w:rsidR="001E4FCF" w:rsidRPr="007101FE" w:rsidTr="001E4FCF">
        <w:tc>
          <w:tcPr>
            <w:tcW w:w="8784" w:type="dxa"/>
          </w:tcPr>
          <w:p w:rsidR="001E4FCF" w:rsidRPr="007101FE" w:rsidRDefault="001E4FCF" w:rsidP="001E4FCF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45" w:type="dxa"/>
          </w:tcPr>
          <w:p w:rsidR="001E4FCF" w:rsidRPr="007101FE" w:rsidRDefault="001E4FCF" w:rsidP="001E4FCF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>20</w:t>
            </w:r>
            <w:r>
              <w:rPr>
                <w:b/>
                <w:bCs/>
                <w:color w:val="4F81BD" w:themeColor="accent1"/>
                <w:sz w:val="18"/>
                <w:szCs w:val="18"/>
              </w:rPr>
              <w:t>20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 xml:space="preserve"> г.</w:t>
            </w:r>
          </w:p>
        </w:tc>
        <w:tc>
          <w:tcPr>
            <w:tcW w:w="1446" w:type="dxa"/>
          </w:tcPr>
          <w:p w:rsidR="001E4FCF" w:rsidRPr="007101FE" w:rsidRDefault="001E4FCF" w:rsidP="001E4FCF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>202</w:t>
            </w:r>
            <w:r>
              <w:rPr>
                <w:b/>
                <w:bCs/>
                <w:color w:val="4F81BD" w:themeColor="accent1"/>
                <w:sz w:val="18"/>
                <w:szCs w:val="18"/>
              </w:rPr>
              <w:t>1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 xml:space="preserve"> г.</w:t>
            </w:r>
          </w:p>
        </w:tc>
        <w:tc>
          <w:tcPr>
            <w:tcW w:w="1446" w:type="dxa"/>
          </w:tcPr>
          <w:p w:rsidR="001E4FCF" w:rsidRPr="007101FE" w:rsidRDefault="001E4FCF" w:rsidP="001E4FCF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>202</w:t>
            </w:r>
            <w:r>
              <w:rPr>
                <w:b/>
                <w:bCs/>
                <w:color w:val="4F81BD" w:themeColor="accent1"/>
                <w:sz w:val="18"/>
                <w:szCs w:val="18"/>
              </w:rPr>
              <w:t>2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 xml:space="preserve"> г.</w:t>
            </w:r>
          </w:p>
        </w:tc>
        <w:tc>
          <w:tcPr>
            <w:tcW w:w="1446" w:type="dxa"/>
          </w:tcPr>
          <w:p w:rsidR="001E4FCF" w:rsidRPr="007101FE" w:rsidRDefault="001E4FCF" w:rsidP="001E4FCF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>202</w:t>
            </w:r>
            <w:r>
              <w:rPr>
                <w:b/>
                <w:bCs/>
                <w:color w:val="4F81BD" w:themeColor="accent1"/>
                <w:sz w:val="18"/>
                <w:szCs w:val="18"/>
              </w:rPr>
              <w:t>3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 xml:space="preserve"> г.</w:t>
            </w:r>
          </w:p>
        </w:tc>
      </w:tr>
      <w:tr w:rsidR="001E4FCF" w:rsidRPr="007101FE" w:rsidTr="001E4FCF">
        <w:tc>
          <w:tcPr>
            <w:tcW w:w="8784" w:type="dxa"/>
          </w:tcPr>
          <w:p w:rsidR="001E4FCF" w:rsidRPr="007101FE" w:rsidRDefault="001E4FCF" w:rsidP="00482978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I.</w:t>
            </w:r>
            <w:r w:rsidR="0048297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5</w:t>
            </w: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</w:t>
            </w:r>
            <w:r w:rsidRPr="0009128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1</w:t>
            </w:r>
            <w:r w:rsidRPr="007101FE">
              <w:rPr>
                <w:rFonts w:eastAsia="Calibri" w:cs="Arial"/>
                <w:sz w:val="18"/>
                <w:szCs w:val="18"/>
              </w:rPr>
              <w:t xml:space="preserve">: </w:t>
            </w:r>
            <w:r w:rsidR="00482978" w:rsidRPr="00482978">
              <w:rPr>
                <w:rFonts w:asciiTheme="minorHAnsi" w:hAnsiTheme="minorHAnsi"/>
                <w:sz w:val="18"/>
                <w:szCs w:val="18"/>
              </w:rPr>
              <w:t>Политика и стандарты в области энергоэффективности</w:t>
            </w:r>
          </w:p>
        </w:tc>
        <w:tc>
          <w:tcPr>
            <w:tcW w:w="1445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132 738</w:t>
            </w:r>
          </w:p>
        </w:tc>
        <w:tc>
          <w:tcPr>
            <w:tcW w:w="1446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132 739</w:t>
            </w:r>
          </w:p>
        </w:tc>
        <w:tc>
          <w:tcPr>
            <w:tcW w:w="1446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133 291</w:t>
            </w:r>
          </w:p>
        </w:tc>
        <w:tc>
          <w:tcPr>
            <w:tcW w:w="1446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132 159</w:t>
            </w:r>
          </w:p>
        </w:tc>
      </w:tr>
      <w:tr w:rsidR="001E4FCF" w:rsidRPr="007101FE" w:rsidTr="001E4FCF">
        <w:tc>
          <w:tcPr>
            <w:tcW w:w="8784" w:type="dxa"/>
          </w:tcPr>
          <w:p w:rsidR="001E4FCF" w:rsidRPr="007101FE" w:rsidRDefault="001E4FCF" w:rsidP="00482978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I.</w:t>
            </w:r>
            <w:r w:rsidR="0048297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5</w:t>
            </w: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</w:t>
            </w:r>
            <w:r w:rsidRPr="0009128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2</w:t>
            </w:r>
            <w:r w:rsidRPr="007101FE">
              <w:rPr>
                <w:rFonts w:eastAsia="Calibri" w:cs="Arial"/>
                <w:sz w:val="18"/>
                <w:szCs w:val="18"/>
              </w:rPr>
              <w:t xml:space="preserve">: </w:t>
            </w:r>
            <w:r w:rsidR="00482978" w:rsidRPr="00482978">
              <w:rPr>
                <w:rFonts w:asciiTheme="minorHAnsi" w:hAnsiTheme="minorHAnsi"/>
                <w:sz w:val="18"/>
                <w:szCs w:val="18"/>
              </w:rPr>
              <w:t>Безопасность и экологические характеристики оборудования и средств ИКТ (управление электронными отходами)</w:t>
            </w:r>
          </w:p>
        </w:tc>
        <w:tc>
          <w:tcPr>
            <w:tcW w:w="1445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132 738</w:t>
            </w:r>
          </w:p>
        </w:tc>
        <w:tc>
          <w:tcPr>
            <w:tcW w:w="1446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132 739</w:t>
            </w:r>
          </w:p>
        </w:tc>
        <w:tc>
          <w:tcPr>
            <w:tcW w:w="1446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133 291</w:t>
            </w:r>
          </w:p>
        </w:tc>
        <w:tc>
          <w:tcPr>
            <w:tcW w:w="1446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132 159</w:t>
            </w:r>
          </w:p>
        </w:tc>
      </w:tr>
      <w:tr w:rsidR="001E4FCF" w:rsidRPr="007101FE" w:rsidTr="001E4FCF">
        <w:tc>
          <w:tcPr>
            <w:tcW w:w="8784" w:type="dxa"/>
          </w:tcPr>
          <w:p w:rsidR="001E4FCF" w:rsidRPr="007101FE" w:rsidRDefault="001E4FCF" w:rsidP="00482978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I.</w:t>
            </w:r>
            <w:r w:rsidR="0048297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5</w:t>
            </w: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</w:t>
            </w:r>
            <w:r w:rsidRPr="0009128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3</w:t>
            </w:r>
            <w:r w:rsidRPr="007101FE">
              <w:rPr>
                <w:rFonts w:eastAsia="Calibri" w:cs="Arial"/>
                <w:sz w:val="18"/>
                <w:szCs w:val="18"/>
              </w:rPr>
              <w:t xml:space="preserve">: </w:t>
            </w:r>
            <w:r w:rsidR="00482978" w:rsidRPr="00482978">
              <w:rPr>
                <w:rFonts w:asciiTheme="minorHAnsi" w:hAnsiTheme="minorHAnsi"/>
                <w:sz w:val="18"/>
                <w:szCs w:val="18"/>
              </w:rPr>
              <w:t>Глобальная платформа для "умных" устойчивых городов, включая разработку KPI</w:t>
            </w:r>
          </w:p>
        </w:tc>
        <w:tc>
          <w:tcPr>
            <w:tcW w:w="1445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132 738</w:t>
            </w:r>
          </w:p>
        </w:tc>
        <w:tc>
          <w:tcPr>
            <w:tcW w:w="1446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132 739</w:t>
            </w:r>
          </w:p>
        </w:tc>
        <w:tc>
          <w:tcPr>
            <w:tcW w:w="1446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133 291</w:t>
            </w:r>
          </w:p>
        </w:tc>
        <w:tc>
          <w:tcPr>
            <w:tcW w:w="1446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132 159</w:t>
            </w:r>
          </w:p>
        </w:tc>
      </w:tr>
      <w:tr w:rsidR="001E4FCF" w:rsidRPr="007101FE" w:rsidTr="001E4FCF">
        <w:tc>
          <w:tcPr>
            <w:tcW w:w="8784" w:type="dxa"/>
          </w:tcPr>
          <w:p w:rsidR="001E4FCF" w:rsidRPr="007101FE" w:rsidRDefault="001E4FCF" w:rsidP="00482978">
            <w:pPr>
              <w:spacing w:before="40" w:after="40"/>
              <w:ind w:right="113"/>
              <w:rPr>
                <w:b/>
                <w:bCs/>
                <w:color w:val="4F81BD" w:themeColor="accent1"/>
                <w:sz w:val="18"/>
                <w:szCs w:val="18"/>
                <w:lang w:eastAsia="zh-CN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  <w:lang w:eastAsia="zh-CN"/>
              </w:rPr>
              <w:t>Всего для Задачи I.</w:t>
            </w:r>
            <w:r w:rsidR="00482978">
              <w:rPr>
                <w:b/>
                <w:bCs/>
                <w:color w:val="4F81BD" w:themeColor="accent1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445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398 214</w:t>
            </w:r>
          </w:p>
        </w:tc>
        <w:tc>
          <w:tcPr>
            <w:tcW w:w="1446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398 216</w:t>
            </w:r>
          </w:p>
        </w:tc>
        <w:tc>
          <w:tcPr>
            <w:tcW w:w="1446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399 872</w:t>
            </w:r>
          </w:p>
        </w:tc>
        <w:tc>
          <w:tcPr>
            <w:tcW w:w="1446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396 478</w:t>
            </w:r>
          </w:p>
        </w:tc>
      </w:tr>
    </w:tbl>
    <w:p w:rsidR="00091289" w:rsidRPr="000F6DA1" w:rsidRDefault="0099530A" w:rsidP="0099530A">
      <w:pPr>
        <w:spacing w:after="120"/>
        <w:ind w:left="851" w:hanging="851"/>
      </w:pPr>
      <w:r>
        <w:t>I.6</w:t>
      </w:r>
      <w:r>
        <w:tab/>
      </w:r>
      <w:r w:rsidR="00482978" w:rsidRPr="00482978">
        <w:t>Сокращать области частичного совпадения и дублирования и содействовать более тесной и более прозрачной координации между Генеральным секретариатом и Секторами МСЭ, с учетом бюджетных ассигнований Союза и специальных знаний</w:t>
      </w:r>
      <w:r w:rsidR="00156CF3">
        <w:t>,</w:t>
      </w:r>
      <w:r w:rsidR="00482978" w:rsidRPr="00482978">
        <w:t xml:space="preserve"> опыта и мандата каждого из Секторов</w:t>
      </w:r>
    </w:p>
    <w:tbl>
      <w:tblPr>
        <w:tblStyle w:val="GridTable4-Accent11"/>
        <w:tblW w:w="14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A0" w:firstRow="1" w:lastRow="0" w:firstColumn="1" w:lastColumn="0" w:noHBand="1" w:noVBand="1"/>
      </w:tblPr>
      <w:tblGrid>
        <w:gridCol w:w="4041"/>
        <w:gridCol w:w="7642"/>
        <w:gridCol w:w="2884"/>
      </w:tblGrid>
      <w:tr w:rsidR="001E4FCF" w:rsidRPr="007101FE" w:rsidTr="001E4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FCF" w:rsidRPr="007101FE" w:rsidRDefault="001E4FCF" w:rsidP="001E4FCF">
            <w:pPr>
              <w:spacing w:before="80" w:after="8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Конечный результат</w:t>
            </w:r>
          </w:p>
        </w:tc>
        <w:tc>
          <w:tcPr>
            <w:tcW w:w="76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FCF" w:rsidRPr="007101FE" w:rsidRDefault="001E4FCF" w:rsidP="00561162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 xml:space="preserve">Показатель конечного результата </w:t>
            </w:r>
          </w:p>
        </w:tc>
        <w:tc>
          <w:tcPr>
            <w:tcW w:w="28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FCF" w:rsidRPr="007101FE" w:rsidRDefault="001E4FCF" w:rsidP="001E4FCF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Средства измерения</w:t>
            </w:r>
          </w:p>
        </w:tc>
      </w:tr>
      <w:tr w:rsidR="001E4FCF" w:rsidRPr="007101FE" w:rsidTr="001E4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1E4FCF" w:rsidRPr="007101FE" w:rsidRDefault="001E4FCF" w:rsidP="00482978">
            <w:pPr>
              <w:spacing w:before="40" w:after="40"/>
              <w:rPr>
                <w:rFonts w:eastAsia="Calibri" w:cs="Arial"/>
                <w:b w:val="0"/>
                <w:bCs w:val="0"/>
                <w:sz w:val="18"/>
                <w:szCs w:val="18"/>
              </w:rPr>
            </w:pP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I.</w:t>
            </w:r>
            <w:r w:rsidR="00482978">
              <w:rPr>
                <w:rFonts w:eastAsia="Calibri" w:cs="Arial"/>
                <w:color w:val="4F81BD" w:themeColor="accent1"/>
                <w:sz w:val="18"/>
                <w:szCs w:val="18"/>
              </w:rPr>
              <w:t>6</w:t>
            </w: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-</w:t>
            </w:r>
            <w:r>
              <w:rPr>
                <w:rFonts w:eastAsia="Calibri" w:cs="Arial"/>
                <w:color w:val="4F81BD" w:themeColor="accent1"/>
                <w:sz w:val="18"/>
                <w:szCs w:val="18"/>
                <w:lang w:val="en-US"/>
              </w:rPr>
              <w:t>a</w:t>
            </w:r>
            <w:r w:rsidRPr="007101FE">
              <w:rPr>
                <w:rFonts w:eastAsia="Calibri" w:cs="Arial"/>
                <w:b w:val="0"/>
                <w:bCs w:val="0"/>
                <w:sz w:val="18"/>
                <w:szCs w:val="18"/>
              </w:rPr>
              <w:t xml:space="preserve">: </w:t>
            </w:r>
            <w:r w:rsidR="00482978" w:rsidRPr="00482978">
              <w:rPr>
                <w:b w:val="0"/>
                <w:bCs w:val="0"/>
                <w:sz w:val="18"/>
                <w:szCs w:val="18"/>
              </w:rPr>
              <w:t>Более тесная и более прозрачная координации между Секторами, Генеральным секретариатом и тремя Бюро МСЭ</w:t>
            </w:r>
          </w:p>
        </w:tc>
        <w:tc>
          <w:tcPr>
            <w:tcW w:w="7642" w:type="dxa"/>
            <w:shd w:val="clear" w:color="auto" w:fill="auto"/>
          </w:tcPr>
          <w:p w:rsidR="00482978" w:rsidRPr="00561162" w:rsidRDefault="00561162" w:rsidP="0048297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365F91" w:themeColor="accent1" w:themeShade="BF"/>
                <w:sz w:val="18"/>
                <w:szCs w:val="18"/>
              </w:rPr>
            </w:pP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Новый конечный результат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(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СП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2020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−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2023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 гг.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)</w:t>
            </w:r>
          </w:p>
          <w:p w:rsidR="00482978" w:rsidRPr="00156CF3" w:rsidRDefault="00156CF3" w:rsidP="00156CF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</w:t>
            </w:r>
            <w:r w:rsidRPr="00156C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мероприятий</w:t>
            </w:r>
            <w:r w:rsidRPr="00156CF3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организованных</w:t>
            </w:r>
            <w:r w:rsidRPr="00156C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совместно</w:t>
            </w:r>
            <w:r w:rsidRPr="00156C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не менее чем двумя Секторами.</w:t>
            </w:r>
          </w:p>
          <w:p w:rsidR="001E4FCF" w:rsidRPr="00156CF3" w:rsidRDefault="00156CF3" w:rsidP="0048297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Внедрена стратегия межсекторальной координации.</w:t>
            </w:r>
          </w:p>
        </w:tc>
        <w:tc>
          <w:tcPr>
            <w:tcW w:w="2884" w:type="dxa"/>
            <w:shd w:val="clear" w:color="auto" w:fill="auto"/>
          </w:tcPr>
          <w:p w:rsidR="00482978" w:rsidRPr="003C02EB" w:rsidRDefault="00597B9B" w:rsidP="0048297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 Бюро</w:t>
            </w:r>
          </w:p>
          <w:p w:rsidR="001E4FCF" w:rsidRPr="007101FE" w:rsidRDefault="00156CF3" w:rsidP="00156CF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Секретариат </w:t>
            </w:r>
            <w:r w:rsidR="003D084F">
              <w:rPr>
                <w:sz w:val="18"/>
                <w:szCs w:val="18"/>
              </w:rPr>
              <w:t>ЦГ-МСК</w:t>
            </w:r>
            <w:r w:rsidR="00482978" w:rsidRPr="00482978">
              <w:rPr>
                <w:sz w:val="18"/>
                <w:szCs w:val="18"/>
              </w:rPr>
              <w:t xml:space="preserve"> </w:t>
            </w:r>
          </w:p>
        </w:tc>
      </w:tr>
      <w:tr w:rsidR="001E4FCF" w:rsidRPr="001E4FCF" w:rsidTr="001E4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1E4FCF" w:rsidRPr="007101FE" w:rsidRDefault="001E4FCF" w:rsidP="00482978">
            <w:pPr>
              <w:spacing w:before="40" w:after="40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I.</w:t>
            </w:r>
            <w:r w:rsidR="00482978">
              <w:rPr>
                <w:rFonts w:eastAsia="Calibri" w:cs="Arial"/>
                <w:color w:val="4F81BD" w:themeColor="accent1"/>
                <w:sz w:val="18"/>
                <w:szCs w:val="18"/>
              </w:rPr>
              <w:t>6</w:t>
            </w: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-</w:t>
            </w:r>
            <w:r>
              <w:rPr>
                <w:rFonts w:eastAsia="Calibri" w:cs="Arial"/>
                <w:color w:val="4F81BD" w:themeColor="accent1"/>
                <w:sz w:val="18"/>
                <w:szCs w:val="18"/>
                <w:lang w:val="en-US"/>
              </w:rPr>
              <w:t>b</w:t>
            </w:r>
            <w:r w:rsidRPr="007101FE">
              <w:rPr>
                <w:rFonts w:eastAsia="Calibri" w:cs="Arial"/>
                <w:b w:val="0"/>
                <w:bCs w:val="0"/>
                <w:sz w:val="18"/>
                <w:szCs w:val="18"/>
              </w:rPr>
              <w:t xml:space="preserve">: </w:t>
            </w:r>
            <w:r w:rsidR="00482978" w:rsidRPr="00482978">
              <w:rPr>
                <w:b w:val="0"/>
                <w:bCs w:val="0"/>
                <w:sz w:val="18"/>
                <w:szCs w:val="18"/>
              </w:rPr>
              <w:t>Сокращение областей частичного совпадения и дублирования между Секторами МСЭ и работой Генерального секретариата и трех Бюро</w:t>
            </w:r>
          </w:p>
        </w:tc>
        <w:tc>
          <w:tcPr>
            <w:tcW w:w="7642" w:type="dxa"/>
            <w:shd w:val="clear" w:color="auto" w:fill="auto"/>
          </w:tcPr>
          <w:p w:rsidR="00482978" w:rsidRPr="00561162" w:rsidRDefault="00561162" w:rsidP="0048297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365F91" w:themeColor="accent1" w:themeShade="BF"/>
                <w:sz w:val="18"/>
                <w:szCs w:val="18"/>
              </w:rPr>
            </w:pP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Новый конечный результат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(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СП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2020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−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2023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 гг.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)</w:t>
            </w:r>
          </w:p>
          <w:p w:rsidR="00482978" w:rsidRPr="00156CF3" w:rsidRDefault="00156CF3" w:rsidP="00156CF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Внедрены</w:t>
            </w:r>
            <w:r w:rsidRPr="00156C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методы</w:t>
            </w:r>
            <w:r w:rsidRPr="00156C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работы</w:t>
            </w:r>
            <w:r w:rsidRPr="00156CF3">
              <w:rPr>
                <w:sz w:val="18"/>
                <w:szCs w:val="18"/>
              </w:rPr>
              <w:t xml:space="preserve"> </w:t>
            </w:r>
            <w:r w:rsidR="003D084F" w:rsidRPr="00156CF3">
              <w:rPr>
                <w:sz w:val="18"/>
                <w:szCs w:val="18"/>
              </w:rPr>
              <w:t>ЦГ-МСК</w:t>
            </w:r>
            <w:r w:rsidR="00482978" w:rsidRPr="00156CF3">
              <w:rPr>
                <w:sz w:val="18"/>
                <w:szCs w:val="18"/>
              </w:rPr>
              <w:t xml:space="preserve"> </w:t>
            </w:r>
          </w:p>
          <w:p w:rsidR="001E4FCF" w:rsidRPr="00156CF3" w:rsidRDefault="00156CF3" w:rsidP="00156CF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областей частичного совпадения, которые выявлены и в связи с которыми приняты меры.</w:t>
            </w:r>
          </w:p>
        </w:tc>
        <w:tc>
          <w:tcPr>
            <w:tcW w:w="2884" w:type="dxa"/>
            <w:shd w:val="clear" w:color="auto" w:fill="auto"/>
          </w:tcPr>
          <w:p w:rsidR="001E4FCF" w:rsidRPr="001E4FCF" w:rsidRDefault="00156CF3" w:rsidP="001E4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Секретариат ЦГ-МСК</w:t>
            </w:r>
          </w:p>
        </w:tc>
      </w:tr>
      <w:tr w:rsidR="001E4FCF" w:rsidRPr="00091289" w:rsidTr="001E4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1E4FCF" w:rsidRPr="007101FE" w:rsidRDefault="001E4FCF" w:rsidP="00482978">
            <w:pPr>
              <w:spacing w:before="40" w:after="40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lastRenderedPageBreak/>
              <w:t>I.</w:t>
            </w:r>
            <w:r w:rsidR="00482978">
              <w:rPr>
                <w:rFonts w:eastAsia="Calibri" w:cs="Arial"/>
                <w:color w:val="4F81BD" w:themeColor="accent1"/>
                <w:sz w:val="18"/>
                <w:szCs w:val="18"/>
              </w:rPr>
              <w:t>6</w:t>
            </w: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-</w:t>
            </w:r>
            <w:r>
              <w:rPr>
                <w:rFonts w:eastAsia="Calibri" w:cs="Arial"/>
                <w:color w:val="4F81BD" w:themeColor="accent1"/>
                <w:sz w:val="18"/>
                <w:szCs w:val="18"/>
                <w:lang w:val="en-US"/>
              </w:rPr>
              <w:t>c</w:t>
            </w:r>
            <w:r w:rsidRPr="007101FE">
              <w:rPr>
                <w:rFonts w:eastAsia="Calibri" w:cs="Arial"/>
                <w:b w:val="0"/>
                <w:bCs w:val="0"/>
                <w:sz w:val="18"/>
                <w:szCs w:val="18"/>
              </w:rPr>
              <w:t xml:space="preserve">: </w:t>
            </w:r>
            <w:r w:rsidR="00482978" w:rsidRPr="00482978">
              <w:rPr>
                <w:b w:val="0"/>
                <w:bCs w:val="0"/>
                <w:sz w:val="18"/>
                <w:szCs w:val="18"/>
              </w:rPr>
              <w:t>Достижение экономии благодаря исключению областей частичного совпадения и дублирования</w:t>
            </w:r>
          </w:p>
        </w:tc>
        <w:tc>
          <w:tcPr>
            <w:tcW w:w="7642" w:type="dxa"/>
            <w:shd w:val="clear" w:color="auto" w:fill="auto"/>
          </w:tcPr>
          <w:p w:rsidR="00482978" w:rsidRPr="00561162" w:rsidRDefault="00561162" w:rsidP="0048297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365F91" w:themeColor="accent1" w:themeShade="BF"/>
                <w:sz w:val="18"/>
                <w:szCs w:val="18"/>
              </w:rPr>
            </w:pP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Новый конечный результат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(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СП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2020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−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2023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 гг.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)</w:t>
            </w:r>
          </w:p>
          <w:p w:rsidR="001E4FCF" w:rsidRPr="00156CF3" w:rsidRDefault="00156CF3" w:rsidP="00156CF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Сокращение</w:t>
            </w:r>
            <w:r w:rsidRPr="00156C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затрат</w:t>
            </w:r>
            <w:r w:rsidRPr="00156C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 w:rsidRPr="00156C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результате</w:t>
            </w:r>
            <w:r w:rsidRPr="00156C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мер</w:t>
            </w:r>
            <w:r w:rsidRPr="00156C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Pr="00156C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повышению</w:t>
            </w:r>
            <w:r w:rsidRPr="00156C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эффективности, связанных с выявлением и устранением всех форм и случаев дублирования.</w:t>
            </w:r>
          </w:p>
        </w:tc>
        <w:tc>
          <w:tcPr>
            <w:tcW w:w="2884" w:type="dxa"/>
            <w:shd w:val="clear" w:color="auto" w:fill="auto"/>
          </w:tcPr>
          <w:p w:rsidR="001E4FCF" w:rsidRPr="00091289" w:rsidRDefault="00482978" w:rsidP="001E4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482978">
              <w:rPr>
                <w:sz w:val="18"/>
                <w:szCs w:val="18"/>
                <w:lang w:val="en-US"/>
              </w:rPr>
              <w:t>FRMD</w:t>
            </w:r>
          </w:p>
        </w:tc>
      </w:tr>
    </w:tbl>
    <w:p w:rsidR="001E4FCF" w:rsidRPr="00091289" w:rsidRDefault="001E4FCF" w:rsidP="00482978">
      <w:pPr>
        <w:spacing w:before="0"/>
        <w:rPr>
          <w:lang w:val="en-US"/>
        </w:rPr>
      </w:pPr>
    </w:p>
    <w:tbl>
      <w:tblPr>
        <w:tblStyle w:val="GridTable4-Accent11"/>
        <w:tblW w:w="14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20" w:firstRow="1" w:lastRow="0" w:firstColumn="0" w:lastColumn="0" w:noHBand="1" w:noVBand="1"/>
      </w:tblPr>
      <w:tblGrid>
        <w:gridCol w:w="8784"/>
        <w:gridCol w:w="1445"/>
        <w:gridCol w:w="1446"/>
        <w:gridCol w:w="1446"/>
        <w:gridCol w:w="1446"/>
      </w:tblGrid>
      <w:tr w:rsidR="001E4FCF" w:rsidRPr="00B87D66" w:rsidTr="001E4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E4FCF" w:rsidRPr="007101FE" w:rsidRDefault="001E4FCF" w:rsidP="001E4FCF">
            <w:pPr>
              <w:spacing w:before="80" w:after="8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Намеченный результат деятельности</w:t>
            </w:r>
          </w:p>
        </w:tc>
        <w:tc>
          <w:tcPr>
            <w:tcW w:w="578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E4FCF" w:rsidRPr="007101FE" w:rsidRDefault="001E4FCF" w:rsidP="001E4FCF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Финансовые ресурсы</w:t>
            </w:r>
            <w:r w:rsidR="00561162">
              <w:rPr>
                <w:b w:val="0"/>
                <w:bCs w:val="0"/>
                <w:szCs w:val="16"/>
              </w:rPr>
              <w:t xml:space="preserve"> </w:t>
            </w:r>
            <w:r w:rsidRPr="007101FE">
              <w:rPr>
                <w:b w:val="0"/>
                <w:bCs w:val="0"/>
                <w:sz w:val="18"/>
                <w:szCs w:val="18"/>
              </w:rPr>
              <w:t xml:space="preserve">(в </w:t>
            </w:r>
            <w:r>
              <w:rPr>
                <w:b w:val="0"/>
                <w:bCs w:val="0"/>
                <w:sz w:val="18"/>
                <w:szCs w:val="18"/>
              </w:rPr>
              <w:t>шв. фр.</w:t>
            </w:r>
            <w:r w:rsidRPr="007101FE">
              <w:rPr>
                <w:b w:val="0"/>
                <w:bCs w:val="0"/>
                <w:sz w:val="18"/>
                <w:szCs w:val="18"/>
              </w:rPr>
              <w:t>)</w:t>
            </w:r>
          </w:p>
        </w:tc>
      </w:tr>
      <w:tr w:rsidR="001E4FCF" w:rsidRPr="007101FE" w:rsidTr="001E4FCF">
        <w:tc>
          <w:tcPr>
            <w:tcW w:w="8784" w:type="dxa"/>
          </w:tcPr>
          <w:p w:rsidR="001E4FCF" w:rsidRPr="007101FE" w:rsidRDefault="001E4FCF" w:rsidP="001E4FCF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45" w:type="dxa"/>
          </w:tcPr>
          <w:p w:rsidR="001E4FCF" w:rsidRPr="007101FE" w:rsidRDefault="001E4FCF" w:rsidP="001E4FCF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>20</w:t>
            </w:r>
            <w:r>
              <w:rPr>
                <w:b/>
                <w:bCs/>
                <w:color w:val="4F81BD" w:themeColor="accent1"/>
                <w:sz w:val="18"/>
                <w:szCs w:val="18"/>
              </w:rPr>
              <w:t>20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 xml:space="preserve"> г.</w:t>
            </w:r>
          </w:p>
        </w:tc>
        <w:tc>
          <w:tcPr>
            <w:tcW w:w="1446" w:type="dxa"/>
          </w:tcPr>
          <w:p w:rsidR="001E4FCF" w:rsidRPr="007101FE" w:rsidRDefault="001E4FCF" w:rsidP="001E4FCF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>202</w:t>
            </w:r>
            <w:r>
              <w:rPr>
                <w:b/>
                <w:bCs/>
                <w:color w:val="4F81BD" w:themeColor="accent1"/>
                <w:sz w:val="18"/>
                <w:szCs w:val="18"/>
              </w:rPr>
              <w:t>1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 xml:space="preserve"> г.</w:t>
            </w:r>
          </w:p>
        </w:tc>
        <w:tc>
          <w:tcPr>
            <w:tcW w:w="1446" w:type="dxa"/>
          </w:tcPr>
          <w:p w:rsidR="001E4FCF" w:rsidRPr="007101FE" w:rsidRDefault="001E4FCF" w:rsidP="001E4FCF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>202</w:t>
            </w:r>
            <w:r>
              <w:rPr>
                <w:b/>
                <w:bCs/>
                <w:color w:val="4F81BD" w:themeColor="accent1"/>
                <w:sz w:val="18"/>
                <w:szCs w:val="18"/>
              </w:rPr>
              <w:t>2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 xml:space="preserve"> г.</w:t>
            </w:r>
          </w:p>
        </w:tc>
        <w:tc>
          <w:tcPr>
            <w:tcW w:w="1446" w:type="dxa"/>
          </w:tcPr>
          <w:p w:rsidR="001E4FCF" w:rsidRPr="007101FE" w:rsidRDefault="001E4FCF" w:rsidP="001E4FCF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>202</w:t>
            </w:r>
            <w:r>
              <w:rPr>
                <w:b/>
                <w:bCs/>
                <w:color w:val="4F81BD" w:themeColor="accent1"/>
                <w:sz w:val="18"/>
                <w:szCs w:val="18"/>
              </w:rPr>
              <w:t>3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 xml:space="preserve"> г.</w:t>
            </w:r>
          </w:p>
        </w:tc>
      </w:tr>
      <w:tr w:rsidR="001E4FCF" w:rsidRPr="007101FE" w:rsidTr="001E4FCF">
        <w:tc>
          <w:tcPr>
            <w:tcW w:w="8784" w:type="dxa"/>
          </w:tcPr>
          <w:p w:rsidR="001E4FCF" w:rsidRPr="007101FE" w:rsidRDefault="001E4FCF" w:rsidP="00482978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I.</w:t>
            </w:r>
            <w:r w:rsidR="0048297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6</w:t>
            </w: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</w:t>
            </w:r>
            <w:r w:rsidRPr="0009128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1</w:t>
            </w:r>
            <w:r w:rsidRPr="007101FE">
              <w:rPr>
                <w:rFonts w:eastAsia="Calibri" w:cs="Arial"/>
                <w:sz w:val="18"/>
                <w:szCs w:val="18"/>
              </w:rPr>
              <w:t xml:space="preserve">: </w:t>
            </w:r>
            <w:r w:rsidR="00482978" w:rsidRPr="00482978">
              <w:rPr>
                <w:rFonts w:asciiTheme="minorHAnsi" w:hAnsiTheme="minorHAnsi"/>
                <w:sz w:val="18"/>
                <w:szCs w:val="18"/>
              </w:rPr>
              <w:t>Процесс, который позволяет выявлять и устранять все формы и случаи дублирования функций и деятельности всех структурных органов МСЭ, оптимизируя, в том числе, методы управления, материально-технического обеспечения, координации и поддержки со стороны Секретариата</w:t>
            </w:r>
          </w:p>
        </w:tc>
        <w:tc>
          <w:tcPr>
            <w:tcW w:w="1445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569 397</w:t>
            </w:r>
          </w:p>
        </w:tc>
        <w:tc>
          <w:tcPr>
            <w:tcW w:w="1446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569 388</w:t>
            </w:r>
          </w:p>
        </w:tc>
        <w:tc>
          <w:tcPr>
            <w:tcW w:w="1446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534 377</w:t>
            </w:r>
          </w:p>
        </w:tc>
        <w:tc>
          <w:tcPr>
            <w:tcW w:w="1446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562 818</w:t>
            </w:r>
          </w:p>
        </w:tc>
      </w:tr>
      <w:tr w:rsidR="001E4FCF" w:rsidRPr="007101FE" w:rsidTr="001E4FCF">
        <w:tc>
          <w:tcPr>
            <w:tcW w:w="8784" w:type="dxa"/>
          </w:tcPr>
          <w:p w:rsidR="001E4FCF" w:rsidRPr="007101FE" w:rsidRDefault="001E4FCF" w:rsidP="00482978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I.</w:t>
            </w:r>
            <w:r w:rsidR="0048297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6</w:t>
            </w: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</w:t>
            </w:r>
            <w:r w:rsidRPr="0009128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2</w:t>
            </w:r>
            <w:r w:rsidRPr="007101FE">
              <w:rPr>
                <w:rFonts w:eastAsia="Calibri" w:cs="Arial"/>
                <w:sz w:val="18"/>
                <w:szCs w:val="18"/>
              </w:rPr>
              <w:t xml:space="preserve">: </w:t>
            </w:r>
            <w:r w:rsidR="00482978" w:rsidRPr="00482978">
              <w:rPr>
                <w:rFonts w:asciiTheme="minorHAnsi" w:hAnsiTheme="minorHAnsi"/>
                <w:sz w:val="18"/>
                <w:szCs w:val="18"/>
              </w:rPr>
              <w:t>Реализация концепции "Единый МСЭ", согласование, в возможной степени, процедур Секторов и региональных отделений/регионального присутствия при достижении целей и задач МСЭ и Секторов</w:t>
            </w:r>
          </w:p>
        </w:tc>
        <w:tc>
          <w:tcPr>
            <w:tcW w:w="1445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764 292</w:t>
            </w:r>
          </w:p>
        </w:tc>
        <w:tc>
          <w:tcPr>
            <w:tcW w:w="1446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714 281</w:t>
            </w:r>
          </w:p>
        </w:tc>
        <w:tc>
          <w:tcPr>
            <w:tcW w:w="1446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678 935</w:t>
            </w:r>
          </w:p>
        </w:tc>
        <w:tc>
          <w:tcPr>
            <w:tcW w:w="1446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706 616</w:t>
            </w:r>
          </w:p>
        </w:tc>
      </w:tr>
      <w:tr w:rsidR="001E4FCF" w:rsidRPr="007101FE" w:rsidTr="001E4FCF">
        <w:tc>
          <w:tcPr>
            <w:tcW w:w="8784" w:type="dxa"/>
          </w:tcPr>
          <w:p w:rsidR="001E4FCF" w:rsidRPr="007101FE" w:rsidRDefault="001E4FCF" w:rsidP="001E4FCF">
            <w:pPr>
              <w:spacing w:before="40" w:after="40"/>
              <w:ind w:right="113"/>
              <w:rPr>
                <w:b/>
                <w:bCs/>
                <w:color w:val="4F81BD" w:themeColor="accent1"/>
                <w:sz w:val="18"/>
                <w:szCs w:val="18"/>
                <w:lang w:eastAsia="zh-CN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  <w:lang w:eastAsia="zh-CN"/>
              </w:rPr>
              <w:t>Всего для Задачи I.1</w:t>
            </w:r>
          </w:p>
        </w:tc>
        <w:tc>
          <w:tcPr>
            <w:tcW w:w="1445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1 333 689</w:t>
            </w:r>
          </w:p>
        </w:tc>
        <w:tc>
          <w:tcPr>
            <w:tcW w:w="1446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1 283 670</w:t>
            </w:r>
          </w:p>
        </w:tc>
        <w:tc>
          <w:tcPr>
            <w:tcW w:w="1446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1 213 311</w:t>
            </w:r>
          </w:p>
        </w:tc>
        <w:tc>
          <w:tcPr>
            <w:tcW w:w="1446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1 269 435</w:t>
            </w:r>
          </w:p>
        </w:tc>
      </w:tr>
    </w:tbl>
    <w:p w:rsidR="00091289" w:rsidRPr="00482978" w:rsidRDefault="00482978" w:rsidP="00482978">
      <w:pPr>
        <w:pStyle w:val="Heading1"/>
        <w:rPr>
          <w:color w:val="365F91" w:themeColor="accent1" w:themeShade="BF"/>
        </w:rPr>
      </w:pPr>
      <w:r w:rsidRPr="00482978">
        <w:rPr>
          <w:color w:val="365F91" w:themeColor="accent1" w:themeShade="BF"/>
        </w:rPr>
        <w:t>6</w:t>
      </w:r>
      <w:r w:rsidRPr="00482978">
        <w:rPr>
          <w:color w:val="365F91" w:themeColor="accent1" w:themeShade="BF"/>
        </w:rPr>
        <w:tab/>
        <w:t>Выполнение Оперативного плана</w:t>
      </w:r>
    </w:p>
    <w:p w:rsidR="00091289" w:rsidRPr="000F6DA1" w:rsidRDefault="00051F66" w:rsidP="00162858">
      <w:r>
        <w:rPr>
          <w:color w:val="000000"/>
        </w:rPr>
        <w:t>Достижение намеченных результатов деятельности, определенных в настоящем Оперативном плане, будет координировать Генеральны</w:t>
      </w:r>
      <w:r w:rsidR="00162858">
        <w:rPr>
          <w:color w:val="000000"/>
        </w:rPr>
        <w:t>й</w:t>
      </w:r>
      <w:r>
        <w:rPr>
          <w:color w:val="000000"/>
        </w:rPr>
        <w:t xml:space="preserve"> секретариат, который осуществляет деятельность в соответствии с внутренними планами работы каждого департамента</w:t>
      </w:r>
      <w:r w:rsidR="00482978" w:rsidRPr="00051F66">
        <w:t xml:space="preserve">. </w:t>
      </w:r>
      <w:r w:rsidR="00162858">
        <w:rPr>
          <w:color w:val="000000"/>
        </w:rPr>
        <w:t>Вспомогательные административные услуги предоставляются в основном Генеральным секретариатом в соответствии с предварительно определенными и согласованными между двумя сторонами ежегодными соглашениями об уровне обслуживания (предоставление внутренних услуг)</w:t>
      </w:r>
      <w:r w:rsidR="00482978" w:rsidRPr="00162858">
        <w:t xml:space="preserve">. </w:t>
      </w:r>
      <w:r w:rsidR="00482978" w:rsidRPr="00482978">
        <w:t xml:space="preserve">Достижение намеченных результатов деятельности и предоставление вспомогательных услуг планирует, контролирует и оценивает руководство МСЭ на основе задач МСЭ, изложенных в Стратегическом плане. В ежегодном отчете о выполнении Стратегического плана </w:t>
      </w:r>
      <w:r w:rsidR="00162858" w:rsidRPr="00482978">
        <w:t xml:space="preserve">особое внимание </w:t>
      </w:r>
      <w:r w:rsidR="00482978" w:rsidRPr="00482978">
        <w:t>будет обращ</w:t>
      </w:r>
      <w:r w:rsidR="00162858">
        <w:t>ено</w:t>
      </w:r>
      <w:r w:rsidR="00482978" w:rsidRPr="00482978">
        <w:t xml:space="preserve"> на ход выполнения этих задач и достижения общих целей. Что касается управления рисками, </w:t>
      </w:r>
      <w:r w:rsidR="00162858">
        <w:t xml:space="preserve">то наряду с </w:t>
      </w:r>
      <w:r w:rsidR="00482978" w:rsidRPr="00482978">
        <w:t>анализ</w:t>
      </w:r>
      <w:r w:rsidR="00162858">
        <w:t>ом</w:t>
      </w:r>
      <w:r w:rsidR="00482978" w:rsidRPr="00482978">
        <w:t xml:space="preserve"> рисков, включенн</w:t>
      </w:r>
      <w:r w:rsidR="00162858">
        <w:t>ым</w:t>
      </w:r>
      <w:r w:rsidR="00482978" w:rsidRPr="00482978">
        <w:t xml:space="preserve"> в настоящий Оперативный план для периодического рассмотрения высшим руководством, каждый департамент будет продолжать систематическое определение, оценку и управление рисками, связанными с достижением соответствующих намеченных результатов деятельности и предоставлением вспомогательных услуг, используя подход на основе многоуровневого управления рисками.</w:t>
      </w:r>
    </w:p>
    <w:p w:rsidR="00482978" w:rsidRPr="00332BC2" w:rsidRDefault="00482978" w:rsidP="00332BC2">
      <w:pPr>
        <w:pStyle w:val="Heading1"/>
        <w:rPr>
          <w:color w:val="365F91" w:themeColor="accent1" w:themeShade="BF"/>
          <w:lang w:val="en-US"/>
        </w:rPr>
      </w:pPr>
      <w:r w:rsidRPr="00332BC2">
        <w:rPr>
          <w:color w:val="365F91" w:themeColor="accent1" w:themeShade="BF"/>
          <w:lang w:val="en-US"/>
        </w:rPr>
        <w:lastRenderedPageBreak/>
        <w:t xml:space="preserve">Annex 1: </w:t>
      </w:r>
      <w:r w:rsidRPr="00061B40">
        <w:rPr>
          <w:color w:val="365F91" w:themeColor="accent1" w:themeShade="BF"/>
          <w:lang w:val="en-GB"/>
        </w:rPr>
        <w:t>Allocation</w:t>
      </w:r>
      <w:r w:rsidRPr="00332BC2">
        <w:rPr>
          <w:color w:val="365F91" w:themeColor="accent1" w:themeShade="BF"/>
          <w:lang w:val="en-US"/>
        </w:rPr>
        <w:t xml:space="preserve"> of resources to intersectoral objectives and ITU Strategic Goals</w:t>
      </w:r>
    </w:p>
    <w:p w:rsidR="00091289" w:rsidRPr="000F6DA1" w:rsidRDefault="00482978" w:rsidP="00332BC2">
      <w:pPr>
        <w:keepNext/>
      </w:pPr>
      <w:r>
        <w:t>2020:</w:t>
      </w:r>
    </w:p>
    <w:p w:rsidR="00091289" w:rsidRDefault="00332BC2" w:rsidP="0040328D">
      <w:r w:rsidRPr="00657CFC">
        <w:rPr>
          <w:noProof/>
          <w:lang w:val="en-GB" w:eastAsia="zh-CN"/>
        </w:rPr>
        <w:drawing>
          <wp:inline distT="0" distB="0" distL="0" distR="0" wp14:anchorId="24656286" wp14:editId="60818046">
            <wp:extent cx="9251950" cy="1563828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6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978" w:rsidRPr="00332BC2" w:rsidRDefault="00482978" w:rsidP="00332BC2">
      <w:pPr>
        <w:pStyle w:val="Heading1"/>
        <w:rPr>
          <w:color w:val="365F91" w:themeColor="accent1" w:themeShade="BF"/>
          <w:lang w:val="en-US"/>
        </w:rPr>
      </w:pPr>
      <w:r w:rsidRPr="00332BC2">
        <w:rPr>
          <w:color w:val="365F91" w:themeColor="accent1" w:themeShade="BF"/>
          <w:lang w:val="en-US"/>
        </w:rPr>
        <w:t>Annex 2: Resource allocation of General Secretariat support services to objectives and ITU strategic goals</w:t>
      </w:r>
    </w:p>
    <w:p w:rsidR="00482978" w:rsidRPr="00332BC2" w:rsidRDefault="00482978" w:rsidP="00482978">
      <w:pPr>
        <w:rPr>
          <w:lang w:val="en-US"/>
        </w:rPr>
      </w:pPr>
      <w:r w:rsidRPr="00332BC2">
        <w:rPr>
          <w:lang w:val="en-US"/>
        </w:rPr>
        <w:t>2020:</w:t>
      </w:r>
    </w:p>
    <w:p w:rsidR="00482978" w:rsidRDefault="00332BC2" w:rsidP="0040328D">
      <w:pPr>
        <w:rPr>
          <w:lang w:val="en-US"/>
        </w:rPr>
      </w:pPr>
      <w:r w:rsidRPr="006F0854">
        <w:rPr>
          <w:noProof/>
          <w:lang w:val="en-GB" w:eastAsia="zh-CN"/>
        </w:rPr>
        <w:drawing>
          <wp:inline distT="0" distB="0" distL="0" distR="0" wp14:anchorId="423157E5" wp14:editId="7A05BBB0">
            <wp:extent cx="9251950" cy="95440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95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BC2" w:rsidRPr="00332BC2" w:rsidRDefault="00332BC2" w:rsidP="0040328D">
      <w:pPr>
        <w:rPr>
          <w:lang w:val="en-US"/>
        </w:rPr>
      </w:pPr>
      <w:r w:rsidRPr="006F0854">
        <w:rPr>
          <w:noProof/>
          <w:lang w:val="en-GB" w:eastAsia="zh-CN"/>
        </w:rPr>
        <w:drawing>
          <wp:inline distT="0" distB="0" distL="0" distR="0" wp14:anchorId="0C751DC7" wp14:editId="04041A50">
            <wp:extent cx="4914900" cy="14180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818" cy="143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BC2" w:rsidRPr="00332BC2" w:rsidRDefault="00332BC2" w:rsidP="00332BC2">
      <w:pPr>
        <w:rPr>
          <w:lang w:val="en-US"/>
        </w:rPr>
      </w:pPr>
      <w:r w:rsidRPr="00332BC2">
        <w:rPr>
          <w:lang w:val="en-US"/>
        </w:rPr>
        <w:lastRenderedPageBreak/>
        <w:t>In this short version of resources allocated from the General Secretariat: Documentation costs include translation, typing pool, and reprography from C&amp;P; Administrative services costs include SGO, Legal Unit, AUDIT, IMAC, Ethics, Security, part of HRMD, FRMD, IS except Conference division, ASHI, 50% of Building costs and 50% of ICT costs;</w:t>
      </w:r>
    </w:p>
    <w:p w:rsidR="00482978" w:rsidRPr="00332BC2" w:rsidRDefault="00332BC2" w:rsidP="00332BC2">
      <w:pPr>
        <w:rPr>
          <w:lang w:val="en-US"/>
        </w:rPr>
      </w:pPr>
      <w:r w:rsidRPr="00332BC2">
        <w:rPr>
          <w:lang w:val="en-US"/>
        </w:rPr>
        <w:t>Support services include C&amp;P, part of HRMD, IS support for conferences, 50% of Building costs and 50% of ICT costs; Intersectoral includes SPM costs.</w:t>
      </w:r>
    </w:p>
    <w:p w:rsidR="0040328D" w:rsidRDefault="0040328D" w:rsidP="00332BC2">
      <w:pPr>
        <w:tabs>
          <w:tab w:val="clear" w:pos="794"/>
          <w:tab w:val="clear" w:pos="1191"/>
          <w:tab w:val="clear" w:pos="1588"/>
          <w:tab w:val="clear" w:pos="1985"/>
        </w:tabs>
        <w:spacing w:before="480" w:after="120"/>
        <w:jc w:val="center"/>
      </w:pPr>
      <w:r w:rsidRPr="00156BF6">
        <w:t>_______________</w:t>
      </w:r>
    </w:p>
    <w:sectPr w:rsidR="0040328D" w:rsidSect="00D3798F">
      <w:footerReference w:type="default" r:id="rId18"/>
      <w:pgSz w:w="16838" w:h="11906" w:orient="landscape" w:code="9"/>
      <w:pgMar w:top="1417" w:right="1134" w:bottom="1417" w:left="1134" w:header="720" w:footer="720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4A0" w:rsidRDefault="002A14A0" w:rsidP="00E54FD2">
      <w:pPr>
        <w:spacing w:before="0"/>
      </w:pPr>
      <w:r>
        <w:separator/>
      </w:r>
    </w:p>
  </w:endnote>
  <w:endnote w:type="continuationSeparator" w:id="0">
    <w:p w:rsidR="002A14A0" w:rsidRDefault="002A14A0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6A2" w:rsidRPr="00AA42F8" w:rsidRDefault="002A14A0" w:rsidP="00D3798F">
    <w:pPr>
      <w:pStyle w:val="Footer"/>
    </w:pPr>
    <w:fldSimple w:instr=" FILENAME \p  \* MERGEFORMAT ">
      <w:r w:rsidR="000F36A2">
        <w:t>P:\RUS\ITU-D\CONF-D\TDAG19\000\025R.docx</w:t>
      </w:r>
    </w:fldSimple>
    <w:r w:rsidR="000F36A2">
      <w:t xml:space="preserve"> (449232)</w:t>
    </w:r>
    <w:r w:rsidR="000F36A2">
      <w:tab/>
    </w:r>
    <w:r w:rsidR="000F36A2">
      <w:fldChar w:fldCharType="begin"/>
    </w:r>
    <w:r w:rsidR="000F36A2">
      <w:instrText xml:space="preserve"> SAVEDATE \@ DD.MM.YY </w:instrText>
    </w:r>
    <w:r w:rsidR="000F36A2">
      <w:fldChar w:fldCharType="separate"/>
    </w:r>
    <w:r w:rsidR="00F54FE6">
      <w:t>10.04.19</w:t>
    </w:r>
    <w:r w:rsidR="000F36A2">
      <w:fldChar w:fldCharType="end"/>
    </w:r>
    <w:r w:rsidR="000F36A2">
      <w:tab/>
    </w:r>
    <w:r w:rsidR="000F36A2">
      <w:fldChar w:fldCharType="begin"/>
    </w:r>
    <w:r w:rsidR="000F36A2">
      <w:instrText xml:space="preserve"> PRINTDATE \@ DD.MM.YY </w:instrText>
    </w:r>
    <w:r w:rsidR="000F36A2">
      <w:fldChar w:fldCharType="separate"/>
    </w:r>
    <w:r w:rsidR="000F36A2">
      <w:t>02.03.15</w:t>
    </w:r>
    <w:r w:rsidR="000F36A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6A2" w:rsidRPr="006E7D3B" w:rsidRDefault="002A14A0" w:rsidP="006E7D3B">
    <w:pPr>
      <w:pStyle w:val="Footer"/>
      <w:tabs>
        <w:tab w:val="clear" w:pos="794"/>
        <w:tab w:val="clear" w:pos="1191"/>
        <w:tab w:val="clear" w:pos="1588"/>
        <w:tab w:val="clear" w:pos="1985"/>
        <w:tab w:val="clear" w:pos="5954"/>
        <w:tab w:val="left" w:pos="6804"/>
      </w:tabs>
      <w:rPr>
        <w:lang w:val="en-GB"/>
      </w:rPr>
    </w:pPr>
    <w:r>
      <w:fldChar w:fldCharType="begin"/>
    </w:r>
    <w:r w:rsidRPr="006E7D3B">
      <w:rPr>
        <w:lang w:val="en-GB"/>
      </w:rPr>
      <w:instrText xml:space="preserve"> FILENAME \p  \* MERGEFORMAT </w:instrText>
    </w:r>
    <w:r>
      <w:fldChar w:fldCharType="separate"/>
    </w:r>
    <w:r w:rsidR="006E7D3B" w:rsidRPr="006E7D3B">
      <w:rPr>
        <w:lang w:val="en-GB"/>
      </w:rPr>
      <w:t>P:\RUS\ITU-R\AG\RAG\RAG19\000\020R.docx</w:t>
    </w:r>
    <w:r>
      <w:fldChar w:fldCharType="end"/>
    </w:r>
    <w:r w:rsidR="000F36A2" w:rsidRPr="006E7D3B">
      <w:rPr>
        <w:lang w:val="en-GB"/>
      </w:rPr>
      <w:t xml:space="preserve"> (449232)</w:t>
    </w:r>
    <w:r w:rsidR="000F36A2" w:rsidRPr="006E7D3B">
      <w:rPr>
        <w:lang w:val="en-GB"/>
      </w:rPr>
      <w:tab/>
    </w:r>
    <w:r w:rsidR="000F36A2">
      <w:fldChar w:fldCharType="begin"/>
    </w:r>
    <w:r w:rsidR="000F36A2">
      <w:instrText xml:space="preserve"> SAVEDATE \@ DD.MM.YY </w:instrText>
    </w:r>
    <w:r w:rsidR="000F36A2">
      <w:fldChar w:fldCharType="separate"/>
    </w:r>
    <w:r w:rsidR="00F54FE6">
      <w:t>10.04.19</w:t>
    </w:r>
    <w:r w:rsidR="000F36A2">
      <w:fldChar w:fldCharType="end"/>
    </w:r>
    <w:r w:rsidR="000F36A2" w:rsidRPr="006E7D3B">
      <w:rPr>
        <w:lang w:val="en-GB"/>
      </w:rPr>
      <w:tab/>
    </w:r>
    <w:r w:rsidR="000F36A2">
      <w:fldChar w:fldCharType="begin"/>
    </w:r>
    <w:r w:rsidR="000F36A2">
      <w:instrText xml:space="preserve"> PRINTDATE \@ DD.MM.YY </w:instrText>
    </w:r>
    <w:r w:rsidR="000F36A2">
      <w:fldChar w:fldCharType="separate"/>
    </w:r>
    <w:r w:rsidR="000F36A2">
      <w:t>02.03.15</w:t>
    </w:r>
    <w:r w:rsidR="000F36A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51A" w:rsidRPr="006E7D3B" w:rsidRDefault="002A14A0" w:rsidP="00F54FE6">
    <w:pPr>
      <w:pStyle w:val="Footer"/>
      <w:tabs>
        <w:tab w:val="clear" w:pos="794"/>
        <w:tab w:val="clear" w:pos="1191"/>
        <w:tab w:val="clear" w:pos="1588"/>
        <w:tab w:val="clear" w:pos="1985"/>
        <w:tab w:val="clear" w:pos="5954"/>
        <w:tab w:val="clear" w:pos="9639"/>
        <w:tab w:val="left" w:pos="9072"/>
        <w:tab w:val="right" w:pos="14570"/>
      </w:tabs>
      <w:rPr>
        <w:lang w:val="en-GB"/>
      </w:rPr>
    </w:pPr>
    <w:r>
      <w:fldChar w:fldCharType="begin"/>
    </w:r>
    <w:r w:rsidRPr="006E7D3B">
      <w:rPr>
        <w:lang w:val="en-GB"/>
      </w:rPr>
      <w:instrText xml:space="preserve"> FILENAME \p  \* MERGEFORMAT </w:instrText>
    </w:r>
    <w:r>
      <w:fldChar w:fldCharType="separate"/>
    </w:r>
    <w:r w:rsidR="006E7D3B" w:rsidRPr="006E7D3B">
      <w:rPr>
        <w:lang w:val="en-GB"/>
      </w:rPr>
      <w:t>P:\RUS\ITU-R\AG\RAG\RAG19\000\020R.docx</w:t>
    </w:r>
    <w:r>
      <w:fldChar w:fldCharType="end"/>
    </w:r>
    <w:r w:rsidR="0007551A" w:rsidRPr="006E7D3B">
      <w:rPr>
        <w:lang w:val="en-GB"/>
      </w:rPr>
      <w:t xml:space="preserve"> (</w:t>
    </w:r>
    <w:r w:rsidR="00F54FE6">
      <w:rPr>
        <w:lang w:val="en-GB"/>
      </w:rPr>
      <w:t>453372</w:t>
    </w:r>
    <w:r w:rsidR="0007551A" w:rsidRPr="006E7D3B">
      <w:rPr>
        <w:lang w:val="en-GB"/>
      </w:rPr>
      <w:t>)</w:t>
    </w:r>
    <w:r w:rsidR="0007551A" w:rsidRPr="006E7D3B">
      <w:rPr>
        <w:lang w:val="en-GB"/>
      </w:rPr>
      <w:tab/>
    </w:r>
    <w:r w:rsidR="0007551A">
      <w:fldChar w:fldCharType="begin"/>
    </w:r>
    <w:r w:rsidR="0007551A">
      <w:instrText xml:space="preserve"> SAVEDATE \@ DD.MM.YY </w:instrText>
    </w:r>
    <w:r w:rsidR="0007551A">
      <w:fldChar w:fldCharType="separate"/>
    </w:r>
    <w:r w:rsidR="00F54FE6">
      <w:t>10.04.19</w:t>
    </w:r>
    <w:r w:rsidR="0007551A">
      <w:fldChar w:fldCharType="end"/>
    </w:r>
    <w:r w:rsidR="0007551A" w:rsidRPr="006E7D3B">
      <w:rPr>
        <w:lang w:val="en-GB"/>
      </w:rPr>
      <w:tab/>
    </w:r>
    <w:r w:rsidR="0007551A">
      <w:fldChar w:fldCharType="begin"/>
    </w:r>
    <w:r w:rsidR="0007551A">
      <w:instrText xml:space="preserve"> PRINTDATE \@ DD.MM.YY </w:instrText>
    </w:r>
    <w:r w:rsidR="0007551A">
      <w:fldChar w:fldCharType="separate"/>
    </w:r>
    <w:r w:rsidR="0007551A">
      <w:t>02.03.15</w:t>
    </w:r>
    <w:r w:rsidR="0007551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4A0" w:rsidRDefault="002A14A0" w:rsidP="00E54FD2">
      <w:pPr>
        <w:spacing w:before="0"/>
      </w:pPr>
      <w:r>
        <w:separator/>
      </w:r>
    </w:p>
  </w:footnote>
  <w:footnote w:type="continuationSeparator" w:id="0">
    <w:p w:rsidR="002A14A0" w:rsidRDefault="002A14A0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6A2" w:rsidRPr="00701E31" w:rsidRDefault="000F36A2" w:rsidP="00F54FE6">
    <w:pPr>
      <w:tabs>
        <w:tab w:val="clear" w:pos="794"/>
        <w:tab w:val="clear" w:pos="1191"/>
        <w:tab w:val="clear" w:pos="1588"/>
        <w:tab w:val="clear" w:pos="1985"/>
        <w:tab w:val="center" w:pos="6946"/>
        <w:tab w:val="right" w:pos="14600"/>
      </w:tabs>
      <w:rPr>
        <w:smallCaps/>
        <w:spacing w:val="24"/>
      </w:rPr>
    </w:pPr>
    <w:r w:rsidRPr="00972BCD">
      <w:tab/>
    </w:r>
    <w:r w:rsidR="00F54FE6">
      <w:rPr>
        <w:lang w:val="en-GB"/>
      </w:rPr>
      <w:t>R</w:t>
    </w:r>
    <w:proofErr w:type="spellStart"/>
    <w:r w:rsidRPr="002236F8">
      <w:t>AG</w:t>
    </w:r>
    <w:r w:rsidRPr="00701E31">
      <w:t>1</w:t>
    </w:r>
    <w:r w:rsidRPr="00B24169">
      <w:t>9</w:t>
    </w:r>
    <w:proofErr w:type="spellEnd"/>
    <w:r w:rsidRPr="00701E31">
      <w:t>/</w:t>
    </w:r>
    <w:r>
      <w:t>2</w:t>
    </w:r>
    <w:r w:rsidR="00F54FE6">
      <w:rPr>
        <w:lang w:val="en-GB"/>
      </w:rPr>
      <w:t>0</w:t>
    </w:r>
    <w:r w:rsidRPr="00701E31">
      <w:t>-</w:t>
    </w:r>
    <w:r w:rsidRPr="00D923CD">
      <w:t>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 w:rsidR="006E7D3B">
      <w:rPr>
        <w:rStyle w:val="PageNumber"/>
        <w:noProof/>
      </w:rPr>
      <w:t>16</w:t>
    </w:r>
    <w:r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A288F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853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57"/>
    <w:rsid w:val="00006B5F"/>
    <w:rsid w:val="00011086"/>
    <w:rsid w:val="0003514E"/>
    <w:rsid w:val="00051F66"/>
    <w:rsid w:val="00061B40"/>
    <w:rsid w:val="0007551A"/>
    <w:rsid w:val="000870EB"/>
    <w:rsid w:val="00091289"/>
    <w:rsid w:val="000A6A26"/>
    <w:rsid w:val="000D0D2F"/>
    <w:rsid w:val="000F36A2"/>
    <w:rsid w:val="000F6DA1"/>
    <w:rsid w:val="00107E03"/>
    <w:rsid w:val="00111662"/>
    <w:rsid w:val="00134D3C"/>
    <w:rsid w:val="00134E99"/>
    <w:rsid w:val="00140EF4"/>
    <w:rsid w:val="001530FB"/>
    <w:rsid w:val="00156CF3"/>
    <w:rsid w:val="00162858"/>
    <w:rsid w:val="00191479"/>
    <w:rsid w:val="001A13F4"/>
    <w:rsid w:val="001B1EE1"/>
    <w:rsid w:val="001C6DD3"/>
    <w:rsid w:val="001D4864"/>
    <w:rsid w:val="001E3E78"/>
    <w:rsid w:val="001E4FCF"/>
    <w:rsid w:val="00202D0A"/>
    <w:rsid w:val="0021389D"/>
    <w:rsid w:val="002236F8"/>
    <w:rsid w:val="00257C2C"/>
    <w:rsid w:val="00270876"/>
    <w:rsid w:val="002717CC"/>
    <w:rsid w:val="00291BCC"/>
    <w:rsid w:val="002A14A0"/>
    <w:rsid w:val="00316454"/>
    <w:rsid w:val="00332BC2"/>
    <w:rsid w:val="00344C3F"/>
    <w:rsid w:val="0034660E"/>
    <w:rsid w:val="00353C0B"/>
    <w:rsid w:val="00366978"/>
    <w:rsid w:val="0037715B"/>
    <w:rsid w:val="00382C57"/>
    <w:rsid w:val="00387483"/>
    <w:rsid w:val="003A294B"/>
    <w:rsid w:val="003C02EB"/>
    <w:rsid w:val="003C6E83"/>
    <w:rsid w:val="003D084F"/>
    <w:rsid w:val="003D101B"/>
    <w:rsid w:val="003E6E87"/>
    <w:rsid w:val="003E7976"/>
    <w:rsid w:val="0040328D"/>
    <w:rsid w:val="004143D5"/>
    <w:rsid w:val="00422053"/>
    <w:rsid w:val="004240AB"/>
    <w:rsid w:val="00456C3F"/>
    <w:rsid w:val="004713B8"/>
    <w:rsid w:val="00475374"/>
    <w:rsid w:val="00476515"/>
    <w:rsid w:val="00482978"/>
    <w:rsid w:val="00492670"/>
    <w:rsid w:val="004A28B2"/>
    <w:rsid w:val="004A31E6"/>
    <w:rsid w:val="004E4490"/>
    <w:rsid w:val="004F1C60"/>
    <w:rsid w:val="00530393"/>
    <w:rsid w:val="005332B4"/>
    <w:rsid w:val="00554D1F"/>
    <w:rsid w:val="00561162"/>
    <w:rsid w:val="0056370A"/>
    <w:rsid w:val="005936B6"/>
    <w:rsid w:val="005958C5"/>
    <w:rsid w:val="00597B9B"/>
    <w:rsid w:val="005B1C00"/>
    <w:rsid w:val="00655923"/>
    <w:rsid w:val="006673A9"/>
    <w:rsid w:val="00674FDE"/>
    <w:rsid w:val="00684658"/>
    <w:rsid w:val="00694764"/>
    <w:rsid w:val="006B1CFF"/>
    <w:rsid w:val="006E7D3B"/>
    <w:rsid w:val="006F00EC"/>
    <w:rsid w:val="006F0D1E"/>
    <w:rsid w:val="00701E31"/>
    <w:rsid w:val="00737825"/>
    <w:rsid w:val="00763045"/>
    <w:rsid w:val="007762D8"/>
    <w:rsid w:val="007B5B5B"/>
    <w:rsid w:val="007C20B0"/>
    <w:rsid w:val="007E6436"/>
    <w:rsid w:val="008112E9"/>
    <w:rsid w:val="008134AD"/>
    <w:rsid w:val="0082770D"/>
    <w:rsid w:val="00836F16"/>
    <w:rsid w:val="00840127"/>
    <w:rsid w:val="00861EB0"/>
    <w:rsid w:val="00872D6C"/>
    <w:rsid w:val="00875722"/>
    <w:rsid w:val="008C2659"/>
    <w:rsid w:val="008C576E"/>
    <w:rsid w:val="00916B10"/>
    <w:rsid w:val="00932281"/>
    <w:rsid w:val="00945C0F"/>
    <w:rsid w:val="0097001B"/>
    <w:rsid w:val="00977122"/>
    <w:rsid w:val="0099530A"/>
    <w:rsid w:val="009A6DB2"/>
    <w:rsid w:val="009C5B8E"/>
    <w:rsid w:val="009D0141"/>
    <w:rsid w:val="009D45B7"/>
    <w:rsid w:val="009D58A4"/>
    <w:rsid w:val="00A031DF"/>
    <w:rsid w:val="00A30897"/>
    <w:rsid w:val="00A44602"/>
    <w:rsid w:val="00A64F9D"/>
    <w:rsid w:val="00A67D63"/>
    <w:rsid w:val="00A73D91"/>
    <w:rsid w:val="00A93F16"/>
    <w:rsid w:val="00AA42F8"/>
    <w:rsid w:val="00AC1EF4"/>
    <w:rsid w:val="00AC2E0E"/>
    <w:rsid w:val="00AC317A"/>
    <w:rsid w:val="00AC6023"/>
    <w:rsid w:val="00AE0BB7"/>
    <w:rsid w:val="00AE1BA7"/>
    <w:rsid w:val="00AF2140"/>
    <w:rsid w:val="00B222FE"/>
    <w:rsid w:val="00B24169"/>
    <w:rsid w:val="00B52E6E"/>
    <w:rsid w:val="00B726C0"/>
    <w:rsid w:val="00B72FE7"/>
    <w:rsid w:val="00B75868"/>
    <w:rsid w:val="00B7723F"/>
    <w:rsid w:val="00B81394"/>
    <w:rsid w:val="00B90DF4"/>
    <w:rsid w:val="00BB32E2"/>
    <w:rsid w:val="00BD2C91"/>
    <w:rsid w:val="00BD35B7"/>
    <w:rsid w:val="00BD7A1A"/>
    <w:rsid w:val="00BE1686"/>
    <w:rsid w:val="00BE5C0B"/>
    <w:rsid w:val="00C24D5F"/>
    <w:rsid w:val="00C4023C"/>
    <w:rsid w:val="00C62E82"/>
    <w:rsid w:val="00C62EAB"/>
    <w:rsid w:val="00C70005"/>
    <w:rsid w:val="00C7008B"/>
    <w:rsid w:val="00C71A6F"/>
    <w:rsid w:val="00C76908"/>
    <w:rsid w:val="00C84CCD"/>
    <w:rsid w:val="00C942B6"/>
    <w:rsid w:val="00CA0779"/>
    <w:rsid w:val="00CD34AE"/>
    <w:rsid w:val="00CE37A1"/>
    <w:rsid w:val="00CE3E18"/>
    <w:rsid w:val="00CE5E7B"/>
    <w:rsid w:val="00CF44B2"/>
    <w:rsid w:val="00D16175"/>
    <w:rsid w:val="00D205C8"/>
    <w:rsid w:val="00D3798F"/>
    <w:rsid w:val="00D7040B"/>
    <w:rsid w:val="00D712FE"/>
    <w:rsid w:val="00D86116"/>
    <w:rsid w:val="00D923CD"/>
    <w:rsid w:val="00D93FCC"/>
    <w:rsid w:val="00D95571"/>
    <w:rsid w:val="00DA4610"/>
    <w:rsid w:val="00DD19E1"/>
    <w:rsid w:val="00DD5D8C"/>
    <w:rsid w:val="00DD613A"/>
    <w:rsid w:val="00E06A7D"/>
    <w:rsid w:val="00E0763A"/>
    <w:rsid w:val="00E104E0"/>
    <w:rsid w:val="00E1598A"/>
    <w:rsid w:val="00E30170"/>
    <w:rsid w:val="00E36198"/>
    <w:rsid w:val="00E54FD2"/>
    <w:rsid w:val="00E82D31"/>
    <w:rsid w:val="00EB231C"/>
    <w:rsid w:val="00EE153D"/>
    <w:rsid w:val="00EF5D5E"/>
    <w:rsid w:val="00F3457E"/>
    <w:rsid w:val="00F54FE6"/>
    <w:rsid w:val="00F67EB2"/>
    <w:rsid w:val="00F72A94"/>
    <w:rsid w:val="00F746B3"/>
    <w:rsid w:val="00F76A16"/>
    <w:rsid w:val="00F8487F"/>
    <w:rsid w:val="00F961B7"/>
    <w:rsid w:val="00FA00B0"/>
    <w:rsid w:val="00FA2BC3"/>
    <w:rsid w:val="00FC1008"/>
    <w:rsid w:val="00FC5ABC"/>
    <w:rsid w:val="00FE3045"/>
    <w:rsid w:val="00FE3641"/>
    <w:rsid w:val="00FE5FF8"/>
    <w:rsid w:val="00FE63AD"/>
    <w:rsid w:val="00FF3DF4"/>
    <w:rsid w:val="00F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61C51F6-DED3-44DA-A5D1-146E4D9B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link w:val="SourceChar"/>
    <w:autoRedefine/>
    <w:rsid w:val="004143D5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link w:val="TableheadChar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link w:val="Title1Char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table" w:customStyle="1" w:styleId="GridTable1Light-Accent51">
    <w:name w:val="Grid Table 1 Light - Accent 51"/>
    <w:basedOn w:val="TableNormal"/>
    <w:uiPriority w:val="46"/>
    <w:rsid w:val="00D3798F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">
    <w:name w:val="Plain Table 21"/>
    <w:basedOn w:val="TableNormal"/>
    <w:uiPriority w:val="42"/>
    <w:rsid w:val="00D3798F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D3798F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PlainTable2">
    <w:name w:val="Plain Table 2"/>
    <w:basedOn w:val="TableNormal"/>
    <w:uiPriority w:val="42"/>
    <w:rsid w:val="00011086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ableheadChar">
    <w:name w:val="Table_head Char"/>
    <w:link w:val="Tablehead"/>
    <w:locked/>
    <w:rsid w:val="00011086"/>
    <w:rPr>
      <w:rFonts w:ascii="Calibri" w:eastAsia="Times New Roman" w:hAnsi="Calibri" w:cs="Times New Roman"/>
      <w:b/>
      <w:sz w:val="20"/>
      <w:lang w:val="ru-RU" w:eastAsia="en-US"/>
    </w:rPr>
  </w:style>
  <w:style w:type="character" w:customStyle="1" w:styleId="SourceChar">
    <w:name w:val="Source Char"/>
    <w:link w:val="Source"/>
    <w:locked/>
    <w:rsid w:val="00F54FE6"/>
    <w:rPr>
      <w:rFonts w:ascii="Calibri" w:eastAsia="Times New Roman" w:hAnsi="Calibri" w:cs="Times New Roman"/>
      <w:b/>
      <w:sz w:val="26"/>
      <w:szCs w:val="28"/>
      <w:lang w:val="ru-RU"/>
    </w:rPr>
  </w:style>
  <w:style w:type="character" w:customStyle="1" w:styleId="Title1Char">
    <w:name w:val="Title 1 Char"/>
    <w:link w:val="Title1"/>
    <w:locked/>
    <w:rsid w:val="00F54FE6"/>
    <w:rPr>
      <w:rFonts w:ascii="Calibri" w:eastAsia="Times New Roman" w:hAnsi="Calibri" w:cs="Times New Roman"/>
      <w:caps/>
      <w:sz w:val="26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package" Target="embeddings/Microsoft_PowerPoint_Slide1.sldx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zarenk\AppData\Roaming\Microsoft\Templates\POOL%20R%20-%20ITU\PR_TDAG19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ivera\AppData\Local\Microsoft\Windows\INetCache\Content.Outlook\EATEX5GL\OPERATIONAL%20PLAN%202020-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5.1126367396726845E-2"/>
          <c:w val="0.99727360456497116"/>
          <c:h val="0.9067030784508443"/>
        </c:manualLayout>
      </c:layout>
      <c:pie3DChart>
        <c:varyColors val="1"/>
        <c:ser>
          <c:idx val="16"/>
          <c:order val="0"/>
          <c:tx>
            <c:strRef>
              <c:f>Sheet1!$B$1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shade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>
                  <a:shade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shade val="9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1">
                  <a:tint val="9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1">
                  <a:tint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spPr>
              <a:solidFill>
                <a:schemeClr val="accent1">
                  <a:tint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-0.15691249073439531"/>
                  <c:y val="-0.1313615713626660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I.1: </a:t>
                    </a:r>
                    <a:fld id="{EBD78C21-19ED-4383-A4AA-6A21FBA73205}" type="PERCENTAGE">
                      <a:rPr lang="en-US"/>
                      <a:pPr/>
                      <a:t>[PERCENTAGE]</a:t>
                    </a:fld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.16493587502272694"/>
                  <c:y val="-3.92555262766930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I.2: </a:t>
                    </a:r>
                    <a:fld id="{CCCC0A40-C193-44F2-8550-AE233C7E0B48}" type="PERCENTAGE">
                      <a:rPr lang="en-US"/>
                      <a:pPr/>
                      <a:t>[PERCENTAGE]</a:t>
                    </a:fld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5.7696683496892172E-2"/>
                  <c:y val="3.532561061580103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I.3: 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6.7851598871426208E-2"/>
                  <c:y val="7.820312930220198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I.4: </a:t>
                    </a:r>
                    <a:fld id="{08737D8D-ADDA-467B-9333-1667467511A9}" type="PERCENTAGE">
                      <a:rPr lang="en-US"/>
                      <a:pPr/>
                      <a:t>[PERCENTAGE]</a:t>
                    </a:fld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4.1105383915363995E-2"/>
                  <c:y val="6.47585049870337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I.5: </a:t>
                    </a:r>
                    <a:fld id="{FE4AF0D2-3270-4EE8-A6CA-149C3D1A178C}" type="PERCENTAGE">
                      <a:rPr lang="en-US"/>
                      <a:pPr/>
                      <a:t>[PERCENTAGE]</a:t>
                    </a:fld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4.2978985056586802E-2"/>
                  <c:y val="8.02692371879241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I.6: </a:t>
                    </a:r>
                    <a:fld id="{D29F16BC-04BA-42BC-8B34-8E72E0B680B1}" type="PERCENTAGE">
                      <a:rPr lang="en-US"/>
                      <a:pPr/>
                      <a:t>[PERCENTAGE]</a:t>
                    </a:fld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6"/>
                <c:pt idx="0">
                  <c:v>I.1 Collaboration</c:v>
                </c:pt>
                <c:pt idx="1">
                  <c:v>I.2 Emerging telecommunication/ICT trends</c:v>
                </c:pt>
                <c:pt idx="2">
                  <c:v>I.3 Telecommunication/ICT accessibility</c:v>
                </c:pt>
                <c:pt idx="3">
                  <c:v>I.4 Gender equality and inclusion</c:v>
                </c:pt>
                <c:pt idx="4">
                  <c:v>I.5 Environmental sustainability</c:v>
                </c:pt>
                <c:pt idx="5">
                  <c:v>I.6 Reducing overlap and duplication</c:v>
                </c:pt>
              </c:strCache>
            </c:strRef>
          </c:cat>
          <c:val>
            <c:numRef>
              <c:f>Sheet1!$B$2:$B$7</c:f>
              <c:numCache>
                <c:formatCode>0.00%</c:formatCode>
                <c:ptCount val="6"/>
                <c:pt idx="0">
                  <c:v>0.62549999999999994</c:v>
                </c:pt>
                <c:pt idx="1">
                  <c:v>0.18360000000000001</c:v>
                </c:pt>
                <c:pt idx="2">
                  <c:v>1.89E-2</c:v>
                </c:pt>
                <c:pt idx="3">
                  <c:v>7.46E-2</c:v>
                </c:pt>
                <c:pt idx="4">
                  <c:v>2.3199999999999998E-2</c:v>
                </c:pt>
                <c:pt idx="5">
                  <c:v>7.4200000000000002E-2</c:v>
                </c:pt>
              </c:numCache>
            </c:numRef>
          </c:val>
        </c:ser>
        <c:ser>
          <c:idx val="8"/>
          <c:order val="1"/>
          <c:dPt>
            <c:idx val="0"/>
            <c:bubble3D val="0"/>
            <c:spPr>
              <a:solidFill>
                <a:schemeClr val="accent1">
                  <a:shade val="53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>
                  <a:shade val="7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1">
                  <a:tint val="77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1">
                  <a:tint val="54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elete val="1"/>
          </c:dLbls>
          <c:cat>
            <c:numRef>
              <c:f>all!$C$19:$C$23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cat>
          <c:val>
            <c:numRef>
              <c:f>all!$E$19:$E$23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9"/>
          <c:order val="2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all!$C$19:$C$23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cat>
          <c:val>
            <c:numRef>
              <c:f>all!$F$2:$F$4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0"/>
          <c:order val="3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all!$C$19:$C$23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cat>
          <c:val>
            <c:numRef>
              <c:f>all!$E$2:$E$4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1"/>
          <c:order val="4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all!$C$19:$C$23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cat>
          <c:val>
            <c:numRef>
              <c:f>all!$F$2:$F$4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2"/>
          <c:order val="5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all!$C$19:$C$23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cat>
          <c:val>
            <c:numRef>
              <c:f>all!$E$2:$E$4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3"/>
          <c:order val="6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all!$C$19:$C$23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cat>
          <c:val>
            <c:numRef>
              <c:f>all!$F$2:$F$4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4"/>
          <c:order val="7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all!$C$19:$C$23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cat>
          <c:val>
            <c:numRef>
              <c:f>all!$E$2:$E$4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5"/>
          <c:order val="8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all!$C$19:$C$23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cat>
          <c:val>
            <c:numRef>
              <c:f>all!$F$2:$F$4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4"/>
          <c:order val="9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all!$C$19:$C$23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cat>
          <c:val>
            <c:numRef>
              <c:f>all!$E$2:$E$4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5"/>
          <c:order val="10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all!$C$19:$C$23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cat>
          <c:val>
            <c:numRef>
              <c:f>all!$F$2:$F$4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6"/>
          <c:order val="11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all!$C$19:$C$23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cat>
          <c:val>
            <c:numRef>
              <c:f>all!$E$2:$E$4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7"/>
          <c:order val="12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all!$C$19:$C$23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cat>
          <c:val>
            <c:numRef>
              <c:f>all!$F$2:$F$4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13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all!$C$19:$C$23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cat>
          <c:val>
            <c:numRef>
              <c:f>all!$E$2:$E$4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3"/>
          <c:order val="14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all!$C$19:$C$23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cat>
          <c:val>
            <c:numRef>
              <c:f>all!$F$2:$F$4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0"/>
          <c:order val="15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all!$C$19:$C$23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cat>
          <c:val>
            <c:numRef>
              <c:f>all!$E$2:$E$4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6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all!$C$19:$C$23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cat>
          <c:val>
            <c:numRef>
              <c:f>all!$F$2:$F$4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7FBF6-ADE8-40D5-8055-10B8899E4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PR_TDAG19.dotx</Template>
  <TotalTime>1029</TotalTime>
  <Pages>16</Pages>
  <Words>4481</Words>
  <Characters>25548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29970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Nazarenko, Oleksandr</dc:creator>
  <cp:keywords/>
  <dc:description/>
  <cp:lastModifiedBy>Antipina, Nadezda</cp:lastModifiedBy>
  <cp:revision>12</cp:revision>
  <cp:lastPrinted>2015-03-02T13:42:00Z</cp:lastPrinted>
  <dcterms:created xsi:type="dcterms:W3CDTF">2019-04-02T08:13:00Z</dcterms:created>
  <dcterms:modified xsi:type="dcterms:W3CDTF">2019-04-10T12:43:00Z</dcterms:modified>
</cp:coreProperties>
</file>