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2A3680" w:rsidTr="00112C3C">
        <w:trPr>
          <w:cantSplit/>
        </w:trPr>
        <w:tc>
          <w:tcPr>
            <w:tcW w:w="6771" w:type="dxa"/>
            <w:vAlign w:val="center"/>
          </w:tcPr>
          <w:p w:rsidR="002A3680" w:rsidRPr="002D238A" w:rsidRDefault="002A3680" w:rsidP="00112C3C">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Pr>
                <w:rFonts w:ascii="Verdana" w:hAnsi="Verdana"/>
                <w:b/>
                <w:bCs/>
                <w:sz w:val="20"/>
              </w:rPr>
              <w:t>15</w:t>
            </w:r>
            <w:r w:rsidRPr="002D238A">
              <w:rPr>
                <w:rFonts w:ascii="Verdana" w:hAnsi="Verdana"/>
                <w:b/>
                <w:bCs/>
                <w:sz w:val="20"/>
              </w:rPr>
              <w:t>-</w:t>
            </w:r>
            <w:r>
              <w:rPr>
                <w:rFonts w:ascii="Verdana" w:hAnsi="Verdana"/>
                <w:b/>
                <w:bCs/>
                <w:sz w:val="20"/>
              </w:rPr>
              <w:t xml:space="preserve">17 avril </w:t>
            </w:r>
            <w:r w:rsidRPr="002D238A">
              <w:rPr>
                <w:rFonts w:ascii="Verdana" w:hAnsi="Verdana"/>
                <w:b/>
                <w:bCs/>
                <w:sz w:val="20"/>
              </w:rPr>
              <w:t>20</w:t>
            </w:r>
            <w:r>
              <w:rPr>
                <w:rFonts w:ascii="Verdana" w:hAnsi="Verdana"/>
                <w:b/>
                <w:bCs/>
                <w:sz w:val="20"/>
              </w:rPr>
              <w:t>19</w:t>
            </w:r>
          </w:p>
        </w:tc>
        <w:tc>
          <w:tcPr>
            <w:tcW w:w="3118" w:type="dxa"/>
          </w:tcPr>
          <w:p w:rsidR="002A3680" w:rsidRDefault="002A3680" w:rsidP="00112C3C">
            <w:pPr>
              <w:shd w:val="solid" w:color="FFFFFF" w:fill="FFFFFF"/>
              <w:spacing w:before="0" w:line="240" w:lineRule="atLeast"/>
              <w:jc w:val="right"/>
            </w:pPr>
            <w:r w:rsidRPr="007E1BB2">
              <w:rPr>
                <w:rFonts w:cstheme="minorHAnsi"/>
                <w:b/>
                <w:bCs/>
                <w:noProof/>
                <w:lang w:eastAsia="zh-CN"/>
              </w:rPr>
              <w:drawing>
                <wp:inline distT="0" distB="0" distL="0" distR="0" wp14:anchorId="4EEB99D7" wp14:editId="3F79A8E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A3680" w:rsidRPr="0051782D" w:rsidTr="00112C3C">
        <w:trPr>
          <w:cantSplit/>
        </w:trPr>
        <w:tc>
          <w:tcPr>
            <w:tcW w:w="6771" w:type="dxa"/>
            <w:tcBorders>
              <w:bottom w:val="single" w:sz="12" w:space="0" w:color="auto"/>
            </w:tcBorders>
          </w:tcPr>
          <w:p w:rsidR="002A3680" w:rsidRPr="0051782D" w:rsidRDefault="002A3680" w:rsidP="00112C3C">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A3680" w:rsidRPr="0051782D" w:rsidRDefault="002A3680" w:rsidP="00112C3C">
            <w:pPr>
              <w:shd w:val="solid" w:color="FFFFFF" w:fill="FFFFFF"/>
              <w:spacing w:before="0" w:after="48" w:line="240" w:lineRule="atLeast"/>
              <w:rPr>
                <w:sz w:val="22"/>
                <w:szCs w:val="22"/>
                <w:lang w:val="en-US"/>
              </w:rPr>
            </w:pPr>
          </w:p>
        </w:tc>
      </w:tr>
      <w:tr w:rsidR="002A3680" w:rsidRPr="00710D66" w:rsidTr="00112C3C">
        <w:trPr>
          <w:cantSplit/>
        </w:trPr>
        <w:tc>
          <w:tcPr>
            <w:tcW w:w="6771" w:type="dxa"/>
            <w:tcBorders>
              <w:top w:val="single" w:sz="12" w:space="0" w:color="auto"/>
            </w:tcBorders>
          </w:tcPr>
          <w:p w:rsidR="002A3680" w:rsidRPr="0051782D" w:rsidRDefault="002A3680" w:rsidP="00112C3C">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A3680" w:rsidRPr="002D238A" w:rsidRDefault="002A3680" w:rsidP="00112C3C">
            <w:pPr>
              <w:shd w:val="solid" w:color="FFFFFF" w:fill="FFFFFF"/>
              <w:spacing w:before="0" w:after="48" w:line="240" w:lineRule="atLeast"/>
              <w:rPr>
                <w:rFonts w:ascii="Verdana" w:hAnsi="Verdana"/>
                <w:sz w:val="22"/>
                <w:szCs w:val="22"/>
                <w:lang w:val="en-US"/>
              </w:rPr>
            </w:pPr>
          </w:p>
        </w:tc>
      </w:tr>
      <w:tr w:rsidR="002A3680" w:rsidRPr="002A127E" w:rsidTr="00112C3C">
        <w:trPr>
          <w:cantSplit/>
        </w:trPr>
        <w:tc>
          <w:tcPr>
            <w:tcW w:w="6771" w:type="dxa"/>
            <w:vMerge w:val="restart"/>
          </w:tcPr>
          <w:p w:rsidR="002A3680" w:rsidRPr="005031C8" w:rsidRDefault="002A3680" w:rsidP="00112C3C">
            <w:pPr>
              <w:shd w:val="solid" w:color="FFFFFF" w:fill="FFFFFF"/>
              <w:spacing w:before="0" w:line="240" w:lineRule="atLeast"/>
              <w:rPr>
                <w:rFonts w:ascii="Verdana" w:hAnsi="Verdana"/>
                <w:sz w:val="20"/>
              </w:rPr>
            </w:pPr>
            <w:bookmarkStart w:id="0" w:name="dnum" w:colFirst="1" w:colLast="1"/>
          </w:p>
        </w:tc>
        <w:tc>
          <w:tcPr>
            <w:tcW w:w="3118" w:type="dxa"/>
          </w:tcPr>
          <w:p w:rsidR="002A3680" w:rsidRPr="00954B23" w:rsidRDefault="002A3680" w:rsidP="00112C3C">
            <w:pPr>
              <w:shd w:val="solid" w:color="FFFFFF" w:fill="FFFFFF"/>
              <w:spacing w:before="0" w:line="240" w:lineRule="atLeast"/>
              <w:rPr>
                <w:rFonts w:ascii="Verdana" w:hAnsi="Verdana"/>
                <w:sz w:val="20"/>
              </w:rPr>
            </w:pPr>
            <w:r>
              <w:rPr>
                <w:rFonts w:ascii="Verdana" w:hAnsi="Verdana"/>
                <w:b/>
                <w:sz w:val="20"/>
              </w:rPr>
              <w:t>Document RAG19/20-F</w:t>
            </w:r>
          </w:p>
        </w:tc>
      </w:tr>
      <w:tr w:rsidR="002A3680" w:rsidRPr="002A127E" w:rsidTr="00112C3C">
        <w:trPr>
          <w:cantSplit/>
        </w:trPr>
        <w:tc>
          <w:tcPr>
            <w:tcW w:w="6771" w:type="dxa"/>
            <w:vMerge/>
          </w:tcPr>
          <w:p w:rsidR="002A3680" w:rsidRDefault="002A3680" w:rsidP="00112C3C">
            <w:pPr>
              <w:spacing w:before="60"/>
              <w:jc w:val="center"/>
              <w:rPr>
                <w:b/>
                <w:smallCaps/>
                <w:sz w:val="32"/>
              </w:rPr>
            </w:pPr>
            <w:bookmarkStart w:id="1" w:name="ddate" w:colFirst="1" w:colLast="1"/>
            <w:bookmarkEnd w:id="0"/>
          </w:p>
        </w:tc>
        <w:tc>
          <w:tcPr>
            <w:tcW w:w="3118" w:type="dxa"/>
          </w:tcPr>
          <w:p w:rsidR="002A3680" w:rsidRPr="00954B23" w:rsidRDefault="002A3680" w:rsidP="00112C3C">
            <w:pPr>
              <w:shd w:val="solid" w:color="FFFFFF" w:fill="FFFFFF"/>
              <w:spacing w:before="0" w:line="240" w:lineRule="atLeast"/>
              <w:rPr>
                <w:rFonts w:ascii="Verdana" w:hAnsi="Verdana"/>
                <w:sz w:val="20"/>
              </w:rPr>
            </w:pPr>
            <w:r>
              <w:rPr>
                <w:rFonts w:ascii="Verdana" w:hAnsi="Verdana"/>
                <w:b/>
                <w:sz w:val="20"/>
              </w:rPr>
              <w:t>9 avril 2019</w:t>
            </w:r>
          </w:p>
        </w:tc>
      </w:tr>
      <w:tr w:rsidR="002A3680" w:rsidRPr="002A127E" w:rsidTr="00112C3C">
        <w:trPr>
          <w:cantSplit/>
        </w:trPr>
        <w:tc>
          <w:tcPr>
            <w:tcW w:w="6771" w:type="dxa"/>
            <w:vMerge/>
          </w:tcPr>
          <w:p w:rsidR="002A3680" w:rsidRDefault="002A3680" w:rsidP="00112C3C">
            <w:pPr>
              <w:spacing w:before="60"/>
              <w:jc w:val="center"/>
              <w:rPr>
                <w:b/>
                <w:smallCaps/>
                <w:sz w:val="32"/>
              </w:rPr>
            </w:pPr>
            <w:bookmarkStart w:id="2" w:name="dorlang" w:colFirst="1" w:colLast="1"/>
            <w:bookmarkEnd w:id="1"/>
          </w:p>
        </w:tc>
        <w:tc>
          <w:tcPr>
            <w:tcW w:w="3118" w:type="dxa"/>
          </w:tcPr>
          <w:p w:rsidR="002A3680" w:rsidRPr="00954B23" w:rsidRDefault="002A3680" w:rsidP="00112C3C">
            <w:pPr>
              <w:shd w:val="solid" w:color="FFFFFF" w:fill="FFFFFF"/>
              <w:spacing w:before="0" w:after="120" w:line="240" w:lineRule="atLeast"/>
              <w:rPr>
                <w:rFonts w:ascii="Verdana" w:hAnsi="Verdana"/>
                <w:sz w:val="20"/>
              </w:rPr>
            </w:pPr>
            <w:r>
              <w:rPr>
                <w:rFonts w:ascii="Verdana" w:hAnsi="Verdana"/>
                <w:b/>
                <w:sz w:val="20"/>
              </w:rPr>
              <w:t>Original: anglais</w:t>
            </w:r>
          </w:p>
        </w:tc>
      </w:tr>
      <w:tr w:rsidR="002A3680" w:rsidTr="00112C3C">
        <w:trPr>
          <w:cantSplit/>
        </w:trPr>
        <w:tc>
          <w:tcPr>
            <w:tcW w:w="9889" w:type="dxa"/>
            <w:gridSpan w:val="2"/>
          </w:tcPr>
          <w:p w:rsidR="002A3680" w:rsidRPr="000250C3" w:rsidRDefault="002A3680" w:rsidP="00112C3C">
            <w:pPr>
              <w:pStyle w:val="Source"/>
              <w:rPr>
                <w:rFonts w:asciiTheme="majorBidi" w:hAnsiTheme="majorBidi" w:cstheme="majorBidi"/>
              </w:rPr>
            </w:pPr>
            <w:bookmarkStart w:id="3" w:name="dsource" w:colFirst="0" w:colLast="0"/>
            <w:bookmarkEnd w:id="2"/>
            <w:r w:rsidRPr="000250C3">
              <w:rPr>
                <w:rFonts w:asciiTheme="majorBidi" w:hAnsiTheme="majorBidi" w:cstheme="majorBidi"/>
              </w:rPr>
              <w:t>Secrétaire général</w:t>
            </w:r>
          </w:p>
        </w:tc>
      </w:tr>
      <w:tr w:rsidR="002A3680" w:rsidTr="00112C3C">
        <w:trPr>
          <w:cantSplit/>
        </w:trPr>
        <w:tc>
          <w:tcPr>
            <w:tcW w:w="9889" w:type="dxa"/>
            <w:gridSpan w:val="2"/>
          </w:tcPr>
          <w:p w:rsidR="002A3680" w:rsidRPr="000250C3" w:rsidRDefault="002A3680" w:rsidP="00112C3C">
            <w:pPr>
              <w:pStyle w:val="Title1"/>
              <w:rPr>
                <w:rFonts w:asciiTheme="majorBidi" w:hAnsiTheme="majorBidi" w:cstheme="majorBidi"/>
              </w:rPr>
            </w:pPr>
            <w:bookmarkStart w:id="4" w:name="dtitle1" w:colFirst="0" w:colLast="0"/>
            <w:bookmarkEnd w:id="3"/>
            <w:r w:rsidRPr="000250C3">
              <w:rPr>
                <w:rFonts w:asciiTheme="majorBidi" w:hAnsiTheme="majorBidi" w:cstheme="majorBidi"/>
              </w:rPr>
              <w:t xml:space="preserve">PROJET DE PLAN OPÉRATIONNEL DU SECRÉTARIAT GÉNÉRAL </w:t>
            </w:r>
            <w:r w:rsidRPr="000250C3">
              <w:rPr>
                <w:rFonts w:asciiTheme="majorBidi" w:hAnsiTheme="majorBidi" w:cstheme="majorBidi"/>
              </w:rPr>
              <w:br/>
              <w:t>POUR LA PÉRIODE 2020-2023</w:t>
            </w:r>
          </w:p>
        </w:tc>
      </w:tr>
      <w:bookmarkEnd w:id="4"/>
    </w:tbl>
    <w:p w:rsidR="002A3680" w:rsidRDefault="002A3680" w:rsidP="002A3680"/>
    <w:tbl>
      <w:tblPr>
        <w:tblStyle w:val="SpecialFooter"/>
        <w:tblW w:w="9892" w:type="dxa"/>
        <w:tblLook w:val="04A0" w:firstRow="1" w:lastRow="0" w:firstColumn="1" w:lastColumn="0" w:noHBand="0" w:noVBand="1"/>
      </w:tblPr>
      <w:tblGrid>
        <w:gridCol w:w="9892"/>
      </w:tblGrid>
      <w:tr w:rsidR="002A3680" w:rsidTr="000250C3">
        <w:tc>
          <w:tcPr>
            <w:tcW w:w="9892" w:type="dxa"/>
            <w:tcBorders>
              <w:top w:val="single" w:sz="4" w:space="0" w:color="auto"/>
              <w:left w:val="single" w:sz="4" w:space="0" w:color="auto"/>
              <w:bottom w:val="single" w:sz="4" w:space="0" w:color="auto"/>
              <w:right w:val="single" w:sz="4" w:space="0" w:color="auto"/>
            </w:tcBorders>
          </w:tcPr>
          <w:p w:rsidR="002A3680" w:rsidRPr="00893897" w:rsidRDefault="002A3680" w:rsidP="00112C3C">
            <w:pPr>
              <w:rPr>
                <w:rFonts w:asciiTheme="majorBidi" w:hAnsiTheme="majorBidi" w:cstheme="majorBidi"/>
                <w:b/>
                <w:bCs/>
                <w:szCs w:val="24"/>
              </w:rPr>
            </w:pPr>
            <w:r w:rsidRPr="00893897">
              <w:rPr>
                <w:rFonts w:asciiTheme="majorBidi" w:hAnsiTheme="majorBidi" w:cstheme="majorBidi"/>
                <w:b/>
                <w:bCs/>
                <w:szCs w:val="24"/>
              </w:rPr>
              <w:t>Résumé:</w:t>
            </w:r>
          </w:p>
          <w:p w:rsidR="002A3680" w:rsidRPr="00893897" w:rsidRDefault="002A3680" w:rsidP="000250C3">
            <w:pPr>
              <w:jc w:val="left"/>
              <w:rPr>
                <w:rFonts w:asciiTheme="majorBidi" w:hAnsiTheme="majorBidi" w:cstheme="majorBidi"/>
                <w:szCs w:val="24"/>
              </w:rPr>
            </w:pPr>
            <w:r w:rsidRPr="00893897">
              <w:rPr>
                <w:rFonts w:asciiTheme="majorBidi" w:hAnsiTheme="majorBidi" w:cstheme="majorBidi"/>
              </w:rPr>
              <w:t>On trouvera ci-après un avant-projet de Plan opérationnel du Secrétari</w:t>
            </w:r>
            <w:r w:rsidR="000250C3">
              <w:rPr>
                <w:rFonts w:asciiTheme="majorBidi" w:hAnsiTheme="majorBidi" w:cstheme="majorBidi"/>
              </w:rPr>
              <w:t>at général pour la période 2020</w:t>
            </w:r>
            <w:r w:rsidR="000250C3">
              <w:rPr>
                <w:rFonts w:asciiTheme="majorBidi" w:hAnsiTheme="majorBidi" w:cstheme="majorBidi"/>
              </w:rPr>
              <w:noBreakHyphen/>
            </w:r>
            <w:r w:rsidRPr="00893897">
              <w:rPr>
                <w:rFonts w:asciiTheme="majorBidi" w:hAnsiTheme="majorBidi" w:cstheme="majorBidi"/>
              </w:rPr>
              <w:t>2023, qu</w:t>
            </w:r>
            <w:r>
              <w:rPr>
                <w:rFonts w:asciiTheme="majorBidi" w:hAnsiTheme="majorBidi" w:cstheme="majorBidi"/>
              </w:rPr>
              <w:t>i sera présenté au Conseil de l'</w:t>
            </w:r>
            <w:r w:rsidRPr="00893897">
              <w:rPr>
                <w:rFonts w:asciiTheme="majorBidi" w:hAnsiTheme="majorBidi" w:cstheme="majorBidi"/>
              </w:rPr>
              <w:t>UIT à sa session de juin 2019, en vue de son adoption. Des travaux sont en cours pour achever de mesurer les indicateurs de résultats et évaluer les risques ainsi que les mesures d'atténuation.</w:t>
            </w:r>
          </w:p>
          <w:p w:rsidR="002A3680" w:rsidRPr="00893897" w:rsidRDefault="002A3680" w:rsidP="00112C3C">
            <w:pPr>
              <w:rPr>
                <w:rFonts w:asciiTheme="majorBidi" w:hAnsiTheme="majorBidi" w:cstheme="majorBidi"/>
                <w:b/>
                <w:bCs/>
                <w:szCs w:val="24"/>
              </w:rPr>
            </w:pPr>
            <w:r w:rsidRPr="00893897">
              <w:rPr>
                <w:rFonts w:asciiTheme="majorBidi" w:hAnsiTheme="majorBidi" w:cstheme="majorBidi"/>
                <w:b/>
                <w:bCs/>
                <w:szCs w:val="24"/>
              </w:rPr>
              <w:t>Suite à donner:</w:t>
            </w:r>
          </w:p>
          <w:p w:rsidR="002A3680" w:rsidRPr="00893897" w:rsidRDefault="002A3680" w:rsidP="00112C3C">
            <w:pPr>
              <w:rPr>
                <w:rFonts w:asciiTheme="majorBidi" w:hAnsiTheme="majorBidi" w:cstheme="majorBidi"/>
                <w:szCs w:val="24"/>
              </w:rPr>
            </w:pPr>
            <w:r w:rsidRPr="00893897">
              <w:rPr>
                <w:rFonts w:asciiTheme="majorBidi" w:hAnsiTheme="majorBidi" w:cstheme="majorBidi"/>
                <w:szCs w:val="24"/>
              </w:rPr>
              <w:t xml:space="preserve">Conformément au numéro 223A (article 18) de la Convention de l’UIT, le GCR est invité à </w:t>
            </w:r>
            <w:r w:rsidRPr="00893897">
              <w:rPr>
                <w:rFonts w:asciiTheme="majorBidi" w:hAnsiTheme="majorBidi" w:cstheme="majorBidi"/>
                <w:b/>
                <w:bCs/>
                <w:szCs w:val="24"/>
              </w:rPr>
              <w:t>examiner</w:t>
            </w:r>
            <w:r w:rsidRPr="00893897">
              <w:rPr>
                <w:rFonts w:asciiTheme="majorBidi" w:hAnsiTheme="majorBidi" w:cstheme="majorBidi"/>
                <w:szCs w:val="24"/>
              </w:rPr>
              <w:t xml:space="preserve"> le présent document.</w:t>
            </w:r>
          </w:p>
          <w:p w:rsidR="002A3680" w:rsidRPr="00893897" w:rsidRDefault="002A3680" w:rsidP="00112C3C">
            <w:pPr>
              <w:rPr>
                <w:rFonts w:asciiTheme="majorBidi" w:hAnsiTheme="majorBidi" w:cstheme="majorBidi"/>
                <w:b/>
                <w:bCs/>
                <w:szCs w:val="24"/>
              </w:rPr>
            </w:pPr>
            <w:proofErr w:type="gramStart"/>
            <w:r w:rsidRPr="00893897">
              <w:rPr>
                <w:rFonts w:asciiTheme="majorBidi" w:hAnsiTheme="majorBidi" w:cstheme="majorBidi"/>
                <w:b/>
                <w:bCs/>
                <w:szCs w:val="24"/>
              </w:rPr>
              <w:t>Références</w:t>
            </w:r>
            <w:proofErr w:type="gramEnd"/>
            <w:r w:rsidRPr="00893897">
              <w:rPr>
                <w:rFonts w:asciiTheme="majorBidi" w:hAnsiTheme="majorBidi" w:cstheme="majorBidi"/>
                <w:b/>
                <w:bCs/>
                <w:szCs w:val="24"/>
              </w:rPr>
              <w:t>:</w:t>
            </w:r>
          </w:p>
          <w:p w:rsidR="002A3680" w:rsidRDefault="002A3680" w:rsidP="00112C3C">
            <w:pPr>
              <w:spacing w:after="120"/>
            </w:pPr>
            <w:r w:rsidRPr="00893897">
              <w:rPr>
                <w:rFonts w:asciiTheme="majorBidi" w:hAnsiTheme="majorBidi" w:cstheme="majorBidi"/>
              </w:rPr>
              <w:t>Sans objet.</w:t>
            </w:r>
          </w:p>
        </w:tc>
      </w:tr>
    </w:tbl>
    <w:p w:rsidR="002A3680" w:rsidRPr="0082461D" w:rsidRDefault="002A3680" w:rsidP="002A3680">
      <w:pPr>
        <w:tabs>
          <w:tab w:val="clear" w:pos="794"/>
          <w:tab w:val="clear" w:pos="1191"/>
          <w:tab w:val="clear" w:pos="1588"/>
          <w:tab w:val="clear" w:pos="1985"/>
        </w:tabs>
        <w:overflowPunct/>
        <w:autoSpaceDE/>
        <w:autoSpaceDN/>
        <w:adjustRightInd/>
        <w:spacing w:before="0"/>
        <w:textAlignment w:val="auto"/>
        <w:sectPr w:rsidR="002A3680" w:rsidRPr="0082461D" w:rsidSect="00893897">
          <w:headerReference w:type="default" r:id="rId9"/>
          <w:footerReference w:type="default" r:id="rId10"/>
          <w:footerReference w:type="first" r:id="rId11"/>
          <w:pgSz w:w="11907" w:h="16834" w:code="9"/>
          <w:pgMar w:top="1418" w:right="1134" w:bottom="1418" w:left="1134" w:header="720" w:footer="720" w:gutter="0"/>
          <w:paperSrc w:first="7" w:other="7"/>
          <w:cols w:space="720"/>
          <w:titlePg/>
          <w:docGrid w:linePitch="326"/>
        </w:sectPr>
      </w:pPr>
    </w:p>
    <w:p w:rsidR="00536D31" w:rsidRPr="0082461D" w:rsidRDefault="00536D31" w:rsidP="001D547C">
      <w:pPr>
        <w:pStyle w:val="Heading1"/>
      </w:pPr>
      <w:r w:rsidRPr="0082461D">
        <w:lastRenderedPageBreak/>
        <w:t>1</w:t>
      </w:r>
      <w:r w:rsidRPr="0082461D">
        <w:tab/>
        <w:t>Introduction</w:t>
      </w:r>
    </w:p>
    <w:p w:rsidR="00536D31" w:rsidRPr="0082461D" w:rsidRDefault="00536D31" w:rsidP="001D547C">
      <w:pPr>
        <w:tabs>
          <w:tab w:val="clear" w:pos="794"/>
          <w:tab w:val="clear" w:pos="1191"/>
          <w:tab w:val="clear" w:pos="1588"/>
          <w:tab w:val="clear" w:pos="1985"/>
          <w:tab w:val="left" w:pos="567"/>
          <w:tab w:val="left" w:pos="1134"/>
          <w:tab w:val="left" w:pos="1701"/>
          <w:tab w:val="left" w:pos="2268"/>
          <w:tab w:val="left" w:pos="2835"/>
        </w:tabs>
        <w:spacing w:after="120"/>
      </w:pPr>
      <w:r w:rsidRPr="0082461D">
        <w:t xml:space="preserve">Le Plan opérationnel quadriennal glissant </w:t>
      </w:r>
      <w:r w:rsidR="000B4B12" w:rsidRPr="0082461D">
        <w:t>du Secrétariat général pour la période 2020-2023 est le premier de</w:t>
      </w:r>
      <w:r w:rsidR="0042545C" w:rsidRPr="0082461D">
        <w:t xml:space="preserve"> ce type </w:t>
      </w:r>
      <w:r w:rsidR="000B4B12" w:rsidRPr="0082461D">
        <w:t>à être établi d</w:t>
      </w:r>
      <w:r w:rsidRPr="0082461D">
        <w:t xml:space="preserve">ans le strict respect du </w:t>
      </w:r>
      <w:r w:rsidR="000B4B12" w:rsidRPr="0082461D">
        <w:t xml:space="preserve">nouveau </w:t>
      </w:r>
      <w:r w:rsidRPr="0082461D">
        <w:t xml:space="preserve">Plan stratégique de l'UIT pour la période </w:t>
      </w:r>
      <w:r w:rsidRPr="0082461D">
        <w:rPr>
          <w:rFonts w:eastAsia="Calibri" w:cs="Arial"/>
          <w:szCs w:val="24"/>
        </w:rPr>
        <w:t>2020-2023</w:t>
      </w:r>
      <w:r w:rsidR="000B4B12" w:rsidRPr="0082461D">
        <w:rPr>
          <w:rFonts w:eastAsia="Calibri" w:cs="Arial"/>
          <w:szCs w:val="24"/>
        </w:rPr>
        <w:t>, adopté par la Conférence de plénipotentiaires de 2018 (PP-18) (Annexe 1 de la Résolution 71),</w:t>
      </w:r>
      <w:r w:rsidRPr="0082461D">
        <w:t xml:space="preserve"> dans les limites fixées dans le Plan financier pour la période </w:t>
      </w:r>
      <w:r w:rsidR="000B4B12" w:rsidRPr="0082461D">
        <w:t>2020-2023 adopté par la PP-18 (Décision 5) et dans le budget biennal pour 2020-</w:t>
      </w:r>
      <w:r w:rsidR="001D547C" w:rsidRPr="0082461D">
        <w:t>20</w:t>
      </w:r>
      <w:r w:rsidR="000B4B12" w:rsidRPr="0082461D">
        <w:t xml:space="preserve">21 (soumis pour adoption par le Conseil à sa session de 2019). </w:t>
      </w:r>
      <w:r w:rsidRPr="0082461D">
        <w:t>La structure du Plan est conforme au cadre de prése</w:t>
      </w:r>
      <w:r w:rsidR="000B4B12" w:rsidRPr="0082461D">
        <w:t>ntation des résultats de l'UIT</w:t>
      </w:r>
      <w:r w:rsidRPr="0082461D">
        <w:t xml:space="preserve">, qui consiste à </w:t>
      </w:r>
      <w:r w:rsidR="00DF6841" w:rsidRPr="0082461D">
        <w:t>décrire les objectifs des Secteurs et les objectifs intersectoriels</w:t>
      </w:r>
      <w:r w:rsidRPr="0082461D">
        <w:t xml:space="preserve">, les résultats associés et les indicateurs servant à mesurer les progrès accomplis en vue d'obtenir ces résultats, ainsi que les produits (produits et services) résultant des activités </w:t>
      </w:r>
      <w:r w:rsidR="00DF6841" w:rsidRPr="0082461D">
        <w:t>et des services d'appui du Secrétariat général</w:t>
      </w:r>
      <w:r w:rsidRPr="0082461D">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8748"/>
      </w:tblGrid>
      <w:tr w:rsidR="00837FA8" w:rsidRPr="0082461D" w:rsidTr="00837FA8">
        <w:trPr>
          <w:trHeight w:val="4984"/>
        </w:trPr>
        <w:tc>
          <w:tcPr>
            <w:tcW w:w="5240" w:type="dxa"/>
            <w:vAlign w:val="center"/>
          </w:tcPr>
          <w:p w:rsidR="00837FA8" w:rsidRPr="0082461D" w:rsidRDefault="00837FA8" w:rsidP="001D547C">
            <w:pPr>
              <w:jc w:val="center"/>
            </w:pPr>
            <w:r w:rsidRPr="0082461D">
              <w:rPr>
                <w:noProof/>
                <w:lang w:eastAsia="zh-CN"/>
              </w:rPr>
              <mc:AlternateContent>
                <mc:Choice Requires="wps">
                  <w:drawing>
                    <wp:anchor distT="45720" distB="45720" distL="114300" distR="114300" simplePos="0" relativeHeight="251660288" behindDoc="0" locked="0" layoutInCell="1" allowOverlap="1" wp14:anchorId="4E7BB8C6" wp14:editId="7B6C523A">
                      <wp:simplePos x="0" y="0"/>
                      <wp:positionH relativeFrom="column">
                        <wp:posOffset>212090</wp:posOffset>
                      </wp:positionH>
                      <wp:positionV relativeFrom="paragraph">
                        <wp:posOffset>1847850</wp:posOffset>
                      </wp:positionV>
                      <wp:extent cx="915670" cy="248285"/>
                      <wp:effectExtent l="0" t="9208" r="8573" b="8572"/>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15670" cy="248285"/>
                              </a:xfrm>
                              <a:prstGeom prst="rect">
                                <a:avLst/>
                              </a:prstGeom>
                              <a:solidFill>
                                <a:srgbClr val="FFFFFF"/>
                              </a:solidFill>
                              <a:ln w="9525">
                                <a:noFill/>
                                <a:miter lim="800000"/>
                                <a:headEnd/>
                                <a:tailEnd/>
                              </a:ln>
                            </wps:spPr>
                            <wps:txbx>
                              <w:txbxContent>
                                <w:p w:rsidR="00633ACB" w:rsidRPr="00A04471" w:rsidRDefault="00633ACB" w:rsidP="00837FA8">
                                  <w:pPr>
                                    <w:spacing w:before="0"/>
                                    <w:rPr>
                                      <w:rFonts w:cstheme="minorHAnsi"/>
                                      <w:b/>
                                      <w:bCs/>
                                      <w:color w:val="002060"/>
                                      <w:lang w:val="en-GB"/>
                                    </w:rPr>
                                  </w:pPr>
                                  <w:r w:rsidRPr="00A04471">
                                    <w:rPr>
                                      <w:rFonts w:cstheme="minorHAnsi"/>
                                      <w:b/>
                                      <w:bCs/>
                                      <w:color w:val="002060"/>
                                    </w:rPr>
                                    <w:t>Effi</w:t>
                                  </w:r>
                                  <w:r>
                                    <w:rPr>
                                      <w:rFonts w:cstheme="minorHAnsi"/>
                                      <w:b/>
                                      <w:bCs/>
                                      <w:color w:val="002060"/>
                                    </w:rPr>
                                    <w:t>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7BB8C6" id="_x0000_t202" coordsize="21600,21600" o:spt="202" path="m,l,21600r21600,l21600,xe">
                      <v:stroke joinstyle="miter"/>
                      <v:path gradientshapeok="t" o:connecttype="rect"/>
                    </v:shapetype>
                    <v:shape id="Text Box 2" o:spid="_x0000_s1026" type="#_x0000_t202" style="position:absolute;left:0;text-align:left;margin-left:16.7pt;margin-top:145.5pt;width:72.1pt;height:19.55pt;rotation:-90;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" stroked="f">
                      <v:textbox>
                        <w:txbxContent>
                          <w:p w:rsidR="00633ACB" w:rsidRPr="00A04471" w:rsidRDefault="00633ACB" w:rsidP="00837FA8">
                            <w:pPr>
                              <w:spacing w:before="0"/>
                              <w:rPr>
                                <w:rFonts w:cstheme="minorHAnsi"/>
                                <w:b/>
                                <w:bCs/>
                                <w:color w:val="002060"/>
                                <w:lang w:val="en-GB"/>
                              </w:rPr>
                            </w:pPr>
                            <w:r w:rsidRPr="00A04471">
                              <w:rPr>
                                <w:rFonts w:cstheme="minorHAnsi"/>
                                <w:b/>
                                <w:bCs/>
                                <w:color w:val="002060"/>
                              </w:rPr>
                              <w:t>Effi</w:t>
                            </w:r>
                            <w:r>
                              <w:rPr>
                                <w:rFonts w:cstheme="minorHAnsi"/>
                                <w:b/>
                                <w:bCs/>
                                <w:color w:val="002060"/>
                              </w:rPr>
                              <w:t>cience</w:t>
                            </w:r>
                          </w:p>
                        </w:txbxContent>
                      </v:textbox>
                    </v:shape>
                  </w:pict>
                </mc:Fallback>
              </mc:AlternateContent>
            </w:r>
            <w:r w:rsidRPr="0082461D">
              <w:rPr>
                <w:noProof/>
                <w:lang w:eastAsia="zh-CN"/>
              </w:rPr>
              <mc:AlternateContent>
                <mc:Choice Requires="wps">
                  <w:drawing>
                    <wp:anchor distT="45720" distB="45720" distL="114300" distR="114300" simplePos="0" relativeHeight="251659264" behindDoc="0" locked="0" layoutInCell="1" allowOverlap="1" wp14:anchorId="059B7429" wp14:editId="37C3EA63">
                      <wp:simplePos x="0" y="0"/>
                      <wp:positionH relativeFrom="column">
                        <wp:posOffset>184150</wp:posOffset>
                      </wp:positionH>
                      <wp:positionV relativeFrom="paragraph">
                        <wp:posOffset>922020</wp:posOffset>
                      </wp:positionV>
                      <wp:extent cx="915670" cy="248285"/>
                      <wp:effectExtent l="0" t="9208" r="8573" b="8572"/>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15670" cy="248285"/>
                              </a:xfrm>
                              <a:prstGeom prst="rect">
                                <a:avLst/>
                              </a:prstGeom>
                              <a:solidFill>
                                <a:srgbClr val="FFFFFF"/>
                              </a:solidFill>
                              <a:ln w="9525">
                                <a:noFill/>
                                <a:miter lim="800000"/>
                                <a:headEnd/>
                                <a:tailEnd/>
                              </a:ln>
                            </wps:spPr>
                            <wps:txbx>
                              <w:txbxContent>
                                <w:p w:rsidR="00633ACB" w:rsidRPr="00A04471" w:rsidRDefault="00633ACB" w:rsidP="00837FA8">
                                  <w:pPr>
                                    <w:spacing w:before="0"/>
                                    <w:rPr>
                                      <w:rFonts w:cstheme="minorHAnsi"/>
                                      <w:b/>
                                      <w:bCs/>
                                      <w:color w:val="002060"/>
                                      <w:lang w:val="en-GB"/>
                                    </w:rPr>
                                  </w:pPr>
                                  <w:r w:rsidRPr="00A04471">
                                    <w:rPr>
                                      <w:rFonts w:cstheme="minorHAnsi"/>
                                      <w:b/>
                                      <w:bCs/>
                                      <w:color w:val="002060"/>
                                    </w:rPr>
                                    <w:t>Efficacité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B7429" id="_x0000_s1027" type="#_x0000_t202" style="position:absolute;left:0;text-align:left;margin-left:14.5pt;margin-top:72.6pt;width:72.1pt;height:19.55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" stroked="f">
                      <v:textbox>
                        <w:txbxContent>
                          <w:p w:rsidR="00633ACB" w:rsidRPr="00A04471" w:rsidRDefault="00633ACB" w:rsidP="00837FA8">
                            <w:pPr>
                              <w:spacing w:before="0"/>
                              <w:rPr>
                                <w:rFonts w:cstheme="minorHAnsi"/>
                                <w:b/>
                                <w:bCs/>
                                <w:color w:val="002060"/>
                                <w:lang w:val="en-GB"/>
                              </w:rPr>
                            </w:pPr>
                            <w:r w:rsidRPr="00A04471">
                              <w:rPr>
                                <w:rFonts w:cstheme="minorHAnsi"/>
                                <w:b/>
                                <w:bCs/>
                                <w:color w:val="002060"/>
                              </w:rPr>
                              <w:t>Efficacité</w:t>
                            </w:r>
                          </w:p>
                        </w:txbxContent>
                      </v:textbox>
                    </v:shape>
                  </w:pict>
                </mc:Fallback>
              </mc:AlternateContent>
            </w:r>
            <w:r w:rsidRPr="0082461D">
              <w:rPr>
                <w:noProof/>
                <w:lang w:eastAsia="zh-CN"/>
              </w:rPr>
              <w:drawing>
                <wp:inline distT="0" distB="0" distL="0" distR="0" wp14:anchorId="7203B938" wp14:editId="13E590B5">
                  <wp:extent cx="2040873" cy="2528515"/>
                  <wp:effectExtent l="0" t="0" r="0"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40873" cy="2528515"/>
                          </a:xfrm>
                          <a:prstGeom prst="rect">
                            <a:avLst/>
                          </a:prstGeom>
                        </pic:spPr>
                      </pic:pic>
                    </a:graphicData>
                  </a:graphic>
                </wp:inline>
              </w:drawing>
            </w:r>
          </w:p>
        </w:tc>
        <w:tc>
          <w:tcPr>
            <w:tcW w:w="8748" w:type="dxa"/>
          </w:tcPr>
          <w:p w:rsidR="00837FA8" w:rsidRPr="0082461D" w:rsidRDefault="00E41C2E" w:rsidP="001D547C">
            <w:r w:rsidRPr="0082461D">
              <w:object w:dxaOrig="8788" w:dyaOrig="4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4pt;height:243.4pt" o:ole="">
                  <v:imagedata r:id="rId13" o:title=""/>
                </v:shape>
                <o:OLEObject Type="Embed" ProgID="PowerPoint.Slide.12" ShapeID="_x0000_i1025" DrawAspect="Content" ObjectID="_1616412247" r:id="rId14"/>
              </w:object>
            </w:r>
          </w:p>
        </w:tc>
      </w:tr>
    </w:tbl>
    <w:p w:rsidR="00984929" w:rsidRPr="0082461D" w:rsidRDefault="00236265" w:rsidP="001D547C">
      <w:pPr>
        <w:pStyle w:val="Heading1"/>
      </w:pPr>
      <w:r w:rsidRPr="0082461D">
        <w:lastRenderedPageBreak/>
        <w:t>2</w:t>
      </w:r>
      <w:r w:rsidRPr="0082461D">
        <w:tab/>
        <w:t>Priorités esse</w:t>
      </w:r>
      <w:bookmarkStart w:id="5" w:name="_GoBack"/>
      <w:bookmarkEnd w:id="5"/>
      <w:r w:rsidRPr="0082461D">
        <w:t>ntielles</w:t>
      </w:r>
    </w:p>
    <w:p w:rsidR="00D040F7" w:rsidRPr="0082461D" w:rsidRDefault="00236265" w:rsidP="001D547C">
      <w:r w:rsidRPr="0082461D">
        <w:t xml:space="preserve">Les priorités essentielles </w:t>
      </w:r>
      <w:r w:rsidR="0042545C" w:rsidRPr="0082461D">
        <w:t>du</w:t>
      </w:r>
      <w:r w:rsidRPr="0082461D">
        <w:t xml:space="preserve"> Secrétariat général sont conformes au Plan stratégique pour la période </w:t>
      </w:r>
      <w:r w:rsidR="00D60166" w:rsidRPr="0082461D">
        <w:t>2020-2023</w:t>
      </w:r>
      <w:r w:rsidRPr="0082461D">
        <w:t xml:space="preserve"> et découlent du rôle du Secrétariat général</w:t>
      </w:r>
      <w:r w:rsidR="001D547C" w:rsidRPr="0082461D">
        <w:t>,</w:t>
      </w:r>
      <w:r w:rsidRPr="0082461D">
        <w:t xml:space="preserve"> qui consiste à appuyer et permettre la réalisation des activités sectorielles et intersectorielles en vue d'atteindre les objectifs et les buts stratégiques de l'Union.</w:t>
      </w:r>
    </w:p>
    <w:p w:rsidR="00236265" w:rsidRPr="0082461D" w:rsidRDefault="00DF6841" w:rsidP="001D547C">
      <w:r w:rsidRPr="0082461D">
        <w:t xml:space="preserve">Le Plan stratégique pour </w:t>
      </w:r>
      <w:r w:rsidR="001D547C" w:rsidRPr="0082461D">
        <w:t xml:space="preserve">la période </w:t>
      </w:r>
      <w:r w:rsidRPr="0082461D">
        <w:t xml:space="preserve">2020-2023 comporte un nouvel ensemble d'objectifs intersectoriels (ainsi que les résultats et produits correspondants) </w:t>
      </w:r>
      <w:r w:rsidR="0042545C" w:rsidRPr="0082461D">
        <w:t>appelant</w:t>
      </w:r>
      <w:r w:rsidRPr="0082461D">
        <w:t xml:space="preserve"> un renforcement de l'appui fou</w:t>
      </w:r>
      <w:r w:rsidR="00477A8E" w:rsidRPr="0082461D">
        <w:t>rni par le Secrétariat général</w:t>
      </w:r>
      <w:r w:rsidR="00236265" w:rsidRPr="0082461D">
        <w:t xml:space="preserve">. </w:t>
      </w:r>
      <w:r w:rsidRPr="0082461D">
        <w:t xml:space="preserve">L'objectif </w:t>
      </w:r>
      <w:r w:rsidR="00832223" w:rsidRPr="0082461D">
        <w:t>I.6</w:t>
      </w:r>
      <w:r w:rsidRPr="0082461D">
        <w:t xml:space="preserve">, par exemple, est un objectif ambitieux qui vise à mettre en </w:t>
      </w:r>
      <w:r w:rsidR="0042545C" w:rsidRPr="0082461D">
        <w:t>œuvre</w:t>
      </w:r>
      <w:r w:rsidRPr="0082461D">
        <w:t xml:space="preserve"> des processus et des méthodes de travail </w:t>
      </w:r>
      <w:r w:rsidR="001D547C" w:rsidRPr="0082461D">
        <w:t>destinées</w:t>
      </w:r>
      <w:r w:rsidRPr="0082461D">
        <w:t xml:space="preserve"> à </w:t>
      </w:r>
      <w:r w:rsidR="00477A8E" w:rsidRPr="0082461D">
        <w:t>rédu</w:t>
      </w:r>
      <w:r w:rsidR="00832223" w:rsidRPr="0082461D">
        <w:t>ire les</w:t>
      </w:r>
      <w:r w:rsidR="0042545C" w:rsidRPr="0082461D">
        <w:t xml:space="preserve"> cas de</w:t>
      </w:r>
      <w:r w:rsidR="00832223" w:rsidRPr="0082461D">
        <w:t xml:space="preserve"> chevauchement</w:t>
      </w:r>
      <w:r w:rsidR="0042545C" w:rsidRPr="0082461D">
        <w:t xml:space="preserve"> et </w:t>
      </w:r>
      <w:r w:rsidR="005125B1" w:rsidRPr="0082461D">
        <w:t>de</w:t>
      </w:r>
      <w:r w:rsidR="0042545C" w:rsidRPr="0082461D">
        <w:t xml:space="preserve"> double</w:t>
      </w:r>
      <w:r w:rsidR="00846FE3" w:rsidRPr="0082461D">
        <w:t xml:space="preserve"> </w:t>
      </w:r>
      <w:r w:rsidR="00832223" w:rsidRPr="0082461D">
        <w:t xml:space="preserve">emploi et </w:t>
      </w:r>
      <w:r w:rsidR="0042545C" w:rsidRPr="0082461D">
        <w:t xml:space="preserve">à </w:t>
      </w:r>
      <w:r w:rsidR="00832223" w:rsidRPr="0082461D">
        <w:t>favoriser une coordination plus étroite et transparente entre le Secrétariat général et les Secteurs de l'UIT, compte tenu des crédits budgétaires de l'Union ainsi que des compétences spécialisées et du mandat de chaque Secteur</w:t>
      </w:r>
      <w:r w:rsidR="00477A8E" w:rsidRPr="0082461D">
        <w:t xml:space="preserve">. Les autres objectifs sectoriels visent: à promouvoir une collaboration plus étroite entre toutes les parties prenantes; à améliorer l'identification, la prise en compte et l'analyse de la transformation numérique et des nouvelles tendances; à </w:t>
      </w:r>
      <w:r w:rsidR="001D547C" w:rsidRPr="0082461D">
        <w:t>renforcer</w:t>
      </w:r>
      <w:r w:rsidR="00477A8E" w:rsidRPr="0082461D">
        <w:t xml:space="preserve"> l'accessibilité des télécommunications/TIC pour les personnes handicapées et les personnes ayant </w:t>
      </w:r>
      <w:r w:rsidR="001D547C" w:rsidRPr="0082461D">
        <w:t>des besoins particuliers; à promouvoir</w:t>
      </w:r>
      <w:r w:rsidR="00477A8E" w:rsidRPr="0082461D">
        <w:t xml:space="preserve"> l'utilisation des télécommunications/TIC au service de l'égalité hommes/femmes </w:t>
      </w:r>
      <w:r w:rsidR="0042545C" w:rsidRPr="0082461D">
        <w:t xml:space="preserve">et de l'inclusion </w:t>
      </w:r>
      <w:r w:rsidR="00477A8E" w:rsidRPr="0082461D">
        <w:t>ainsi que de l'autonomisation des femmes et des jeunes filles</w:t>
      </w:r>
      <w:r w:rsidR="001D547C" w:rsidRPr="0082461D">
        <w:t>;</w:t>
      </w:r>
      <w:r w:rsidR="00477A8E" w:rsidRPr="0082461D">
        <w:t xml:space="preserve"> et</w:t>
      </w:r>
      <w:r w:rsidR="001D547C" w:rsidRPr="0082461D">
        <w:t>,</w:t>
      </w:r>
      <w:r w:rsidR="00477A8E" w:rsidRPr="0082461D">
        <w:t xml:space="preserve"> enfin et surtout, à mettre à profit les télécommunications/TIC pour réduire l'empreinte environnementale</w:t>
      </w:r>
      <w:r w:rsidR="00236265" w:rsidRPr="0082461D">
        <w:t>.</w:t>
      </w:r>
    </w:p>
    <w:p w:rsidR="00236265" w:rsidRPr="0082461D" w:rsidRDefault="00D60166" w:rsidP="001D547C">
      <w:r w:rsidRPr="0082461D">
        <w:t xml:space="preserve">Par ailleurs, il faudra gagner en efficacité pour mettre en </w:t>
      </w:r>
      <w:r w:rsidR="00C63117">
        <w:t>œ</w:t>
      </w:r>
      <w:r w:rsidRPr="0082461D">
        <w:t xml:space="preserve">uvre toutes les activités prévues tout en fournissant aux membres des services de très grande qualité. Pour mettre en </w:t>
      </w:r>
      <w:r w:rsidR="00C63117">
        <w:t>œ</w:t>
      </w:r>
      <w:r w:rsidRPr="0082461D">
        <w:t>uvre le Plan opérationnel, les grands axes du Secrétariat général seront les suivants:</w:t>
      </w:r>
    </w:p>
    <w:p w:rsidR="00D60166" w:rsidRPr="0082461D" w:rsidRDefault="00D60166" w:rsidP="004E22A1">
      <w:pPr>
        <w:pStyle w:val="enumlev1"/>
      </w:pPr>
      <w:r w:rsidRPr="0082461D">
        <w:t>•</w:t>
      </w:r>
      <w:r w:rsidRPr="0082461D">
        <w:tab/>
      </w:r>
      <w:r w:rsidR="004E22A1" w:rsidRPr="0082461D">
        <w:t>R</w:t>
      </w:r>
      <w:r w:rsidRPr="0082461D">
        <w:t>ationaliser pleinement la planification et le contrôle des activités ainsi que l'établissement de rapports concernant ces activités</w:t>
      </w:r>
      <w:r w:rsidR="004E22A1">
        <w:t>.</w:t>
      </w:r>
    </w:p>
    <w:p w:rsidR="00D60166" w:rsidRPr="0082461D" w:rsidRDefault="00D60166" w:rsidP="004E22A1">
      <w:pPr>
        <w:pStyle w:val="enumlev1"/>
      </w:pPr>
      <w:r w:rsidRPr="0082461D">
        <w:t>•</w:t>
      </w:r>
      <w:r w:rsidRPr="0082461D">
        <w:tab/>
      </w:r>
      <w:r w:rsidR="004E22A1" w:rsidRPr="0082461D">
        <w:t>S</w:t>
      </w:r>
      <w:r w:rsidRPr="0082461D">
        <w:t xml:space="preserve">uivre l'évolution de la mise en </w:t>
      </w:r>
      <w:r w:rsidR="00C63117">
        <w:t>œ</w:t>
      </w:r>
      <w:r w:rsidRPr="0082461D">
        <w:t>uvre du plan stratégique</w:t>
      </w:r>
      <w:r w:rsidR="004E22A1">
        <w:t>.</w:t>
      </w:r>
    </w:p>
    <w:p w:rsidR="00D60166" w:rsidRPr="0082461D" w:rsidRDefault="00D60166" w:rsidP="004E22A1">
      <w:pPr>
        <w:pStyle w:val="enumlev1"/>
      </w:pPr>
      <w:r w:rsidRPr="0082461D">
        <w:t>•</w:t>
      </w:r>
      <w:r w:rsidRPr="0082461D">
        <w:tab/>
      </w:r>
      <w:r w:rsidR="004E22A1" w:rsidRPr="0082461D">
        <w:t>C</w:t>
      </w:r>
      <w:r w:rsidRPr="0082461D">
        <w:t>ontinuer d'améliorer les politiques de mobilisation des ressources</w:t>
      </w:r>
      <w:r w:rsidR="004E22A1">
        <w:t>.</w:t>
      </w:r>
    </w:p>
    <w:p w:rsidR="00D60166" w:rsidRPr="0082461D" w:rsidRDefault="00D60166" w:rsidP="004E22A1">
      <w:pPr>
        <w:pStyle w:val="enumlev1"/>
      </w:pPr>
      <w:r w:rsidRPr="0082461D">
        <w:t>•</w:t>
      </w:r>
      <w:r w:rsidRPr="0082461D">
        <w:tab/>
      </w:r>
      <w:r w:rsidR="004E22A1" w:rsidRPr="0082461D">
        <w:t>M</w:t>
      </w:r>
      <w:r w:rsidRPr="0082461D">
        <w:t>aintenir et continuer d'améliorer les services liés aux conférences et aux publications qui sont fournis aux membres</w:t>
      </w:r>
      <w:r w:rsidR="004E22A1">
        <w:t>.</w:t>
      </w:r>
    </w:p>
    <w:p w:rsidR="00D60166" w:rsidRPr="0082461D" w:rsidRDefault="00D60166" w:rsidP="004E22A1">
      <w:pPr>
        <w:pStyle w:val="enumlev1"/>
      </w:pPr>
      <w:r w:rsidRPr="0082461D">
        <w:t>•</w:t>
      </w:r>
      <w:r w:rsidRPr="0082461D">
        <w:tab/>
      </w:r>
      <w:r w:rsidR="004E22A1" w:rsidRPr="0082461D">
        <w:t>O</w:t>
      </w:r>
      <w:r w:rsidRPr="0082461D">
        <w:t>ptimiser l'intérêt des informations de l'UIT pour les membres et la communauté mondiale des TIC</w:t>
      </w:r>
      <w:r w:rsidR="004E22A1">
        <w:t>.</w:t>
      </w:r>
    </w:p>
    <w:p w:rsidR="00D60166" w:rsidRPr="0082461D" w:rsidRDefault="00D60166" w:rsidP="004E22A1">
      <w:pPr>
        <w:pStyle w:val="enumlev1"/>
      </w:pPr>
      <w:r w:rsidRPr="0082461D">
        <w:t>•</w:t>
      </w:r>
      <w:r w:rsidRPr="0082461D">
        <w:tab/>
      </w:r>
      <w:r w:rsidR="004E22A1" w:rsidRPr="0082461D">
        <w:t>F</w:t>
      </w:r>
      <w:r w:rsidRPr="0082461D">
        <w:t>aire mieux comprendre le rôle que joue l'UIT et promouvoir les activités et la mission de l'Union auprès des principales parties prenantes</w:t>
      </w:r>
      <w:r w:rsidR="004E22A1">
        <w:t>.</w:t>
      </w:r>
    </w:p>
    <w:p w:rsidR="00D60166" w:rsidRPr="0082461D" w:rsidRDefault="00D60166" w:rsidP="004E22A1">
      <w:pPr>
        <w:pStyle w:val="enumlev1"/>
      </w:pPr>
      <w:r w:rsidRPr="0082461D">
        <w:t>•</w:t>
      </w:r>
      <w:r w:rsidRPr="0082461D">
        <w:tab/>
      </w:r>
      <w:r w:rsidR="004E22A1" w:rsidRPr="0082461D">
        <w:t>A</w:t>
      </w:r>
      <w:r w:rsidRPr="0082461D">
        <w:t>méliorer la disponibilité et la fonctionnalité des infrastructures et des services TIC</w:t>
      </w:r>
      <w:r w:rsidR="004E22A1">
        <w:t>.</w:t>
      </w:r>
    </w:p>
    <w:p w:rsidR="00D60166" w:rsidRPr="0082461D" w:rsidRDefault="00D60166" w:rsidP="004E22A1">
      <w:pPr>
        <w:pStyle w:val="enumlev1"/>
      </w:pPr>
      <w:r w:rsidRPr="0082461D">
        <w:t>•</w:t>
      </w:r>
      <w:r w:rsidRPr="0082461D">
        <w:tab/>
      </w:r>
      <w:r w:rsidR="004E22A1" w:rsidRPr="0082461D">
        <w:t>F</w:t>
      </w:r>
      <w:r w:rsidRPr="0082461D">
        <w:t>aire en sorte que les activités sectorielles apportent une valeur ajoutée</w:t>
      </w:r>
      <w:r w:rsidR="004E22A1">
        <w:t>.</w:t>
      </w:r>
    </w:p>
    <w:p w:rsidR="00D60166" w:rsidRPr="0082461D" w:rsidRDefault="00D60166" w:rsidP="001D547C">
      <w:pPr>
        <w:pStyle w:val="enumlev1"/>
      </w:pPr>
      <w:r w:rsidRPr="0082461D">
        <w:t>•</w:t>
      </w:r>
      <w:r w:rsidRPr="0082461D">
        <w:tab/>
      </w:r>
      <w:r w:rsidR="004E22A1" w:rsidRPr="0082461D">
        <w:t>E</w:t>
      </w:r>
      <w:r w:rsidRPr="0082461D">
        <w:t xml:space="preserve">ncourager l'innovation </w:t>
      </w:r>
      <w:r w:rsidR="001D547C" w:rsidRPr="0082461D">
        <w:t>en appuyant les</w:t>
      </w:r>
      <w:r w:rsidRPr="0082461D">
        <w:t xml:space="preserve"> efforts déployés par les Secteurs pour promouvoir un écosystème suffisamment propice à l'innovation et s'adapter à l'évolution de l'environnement des télécommunications/TIC.</w:t>
      </w:r>
    </w:p>
    <w:p w:rsidR="009B7B13" w:rsidRPr="0082461D" w:rsidRDefault="009B7B13" w:rsidP="001D547C">
      <w:r w:rsidRPr="0082461D">
        <w:lastRenderedPageBreak/>
        <w:t>Les efforts visant à moderniser les pratiques de gestion se poursuivront pendant cette période dans l'ensemble du Secrétariat général, parallèlement à l'amélioration de l'organisation axée sur les résultats, y compris l'harmonisation des processus de planification opérationnelle, financière/budgétaire et stratégique.</w:t>
      </w:r>
    </w:p>
    <w:p w:rsidR="00236265" w:rsidRPr="0082461D" w:rsidRDefault="009B7B13" w:rsidP="001D547C">
      <w:r w:rsidRPr="0082461D">
        <w:t xml:space="preserve">Il convient de faire mention séparément d'un grand projet stratégique pendant cette période, à savoir la </w:t>
      </w:r>
      <w:r w:rsidR="0042545C" w:rsidRPr="0082461D">
        <w:t xml:space="preserve">démolition du bâtiment </w:t>
      </w:r>
      <w:proofErr w:type="spellStart"/>
      <w:r w:rsidR="0042545C" w:rsidRPr="0082461D">
        <w:t>Varembé</w:t>
      </w:r>
      <w:proofErr w:type="spellEnd"/>
      <w:r w:rsidR="0042545C" w:rsidRPr="0082461D">
        <w:t xml:space="preserve"> et </w:t>
      </w:r>
      <w:r w:rsidRPr="0082461D">
        <w:t>son remp</w:t>
      </w:r>
      <w:r w:rsidR="0042545C" w:rsidRPr="0082461D">
        <w:t>lacement par un seul bâtiment</w:t>
      </w:r>
      <w:r w:rsidRPr="0082461D">
        <w:t xml:space="preserve"> pouvant également accueillir également les installations conservées de la Tour de l'UIT et la plupart des installations du bâtiment </w:t>
      </w:r>
      <w:proofErr w:type="spellStart"/>
      <w:r w:rsidRPr="0082461D">
        <w:t>Montbrillant</w:t>
      </w:r>
      <w:proofErr w:type="spellEnd"/>
      <w:r w:rsidRPr="0082461D">
        <w:t>.</w:t>
      </w:r>
    </w:p>
    <w:p w:rsidR="0097213C" w:rsidRPr="0082461D" w:rsidRDefault="0097213C" w:rsidP="001D547C">
      <w:pPr>
        <w:pStyle w:val="Heading1"/>
        <w:spacing w:before="120"/>
      </w:pPr>
      <w:r w:rsidRPr="0082461D">
        <w:t>3</w:t>
      </w:r>
      <w:r w:rsidRPr="0082461D">
        <w:tab/>
        <w:t>Objectifs, résultats et produits</w:t>
      </w:r>
    </w:p>
    <w:p w:rsidR="0097213C" w:rsidRPr="0082461D" w:rsidRDefault="0097213C" w:rsidP="001D547C">
      <w:pPr>
        <w:pStyle w:val="Heading2"/>
        <w:spacing w:after="120"/>
      </w:pPr>
      <w:r w:rsidRPr="0082461D">
        <w:t>3.1</w:t>
      </w:r>
      <w:r w:rsidRPr="0082461D">
        <w:tab/>
        <w:t>Ventilation des coûts du Secrétariat général pour 20</w:t>
      </w:r>
      <w:r w:rsidR="0042545C" w:rsidRPr="0082461D">
        <w:t>20-</w:t>
      </w:r>
      <w:r w:rsidR="001D547C" w:rsidRPr="0082461D">
        <w:t>20</w:t>
      </w:r>
      <w:r w:rsidRPr="0082461D">
        <w:t>21</w:t>
      </w:r>
    </w:p>
    <w:tbl>
      <w:tblPr>
        <w:tblStyle w:val="GridTable4-Accent114"/>
        <w:tblW w:w="8784" w:type="dxa"/>
        <w:tblLook w:val="0620" w:firstRow="1" w:lastRow="0" w:firstColumn="0" w:lastColumn="0" w:noHBand="1" w:noVBand="1"/>
      </w:tblPr>
      <w:tblGrid>
        <w:gridCol w:w="5098"/>
        <w:gridCol w:w="3686"/>
      </w:tblGrid>
      <w:tr w:rsidR="0097213C" w:rsidRPr="0082461D" w:rsidTr="00832223">
        <w:trPr>
          <w:cnfStyle w:val="100000000000" w:firstRow="1" w:lastRow="0" w:firstColumn="0" w:lastColumn="0" w:oddVBand="0" w:evenVBand="0" w:oddHBand="0" w:evenHBand="0" w:firstRowFirstColumn="0" w:firstRowLastColumn="0" w:lastRowFirstColumn="0" w:lastRowLastColumn="0"/>
          <w:trHeight w:val="300"/>
        </w:trPr>
        <w:tc>
          <w:tcPr>
            <w:tcW w:w="5098" w:type="dxa"/>
            <w:hideMark/>
          </w:tcPr>
          <w:p w:rsidR="0097213C" w:rsidRPr="0082461D" w:rsidRDefault="0097213C" w:rsidP="001D547C">
            <w:pPr>
              <w:pStyle w:val="Tablehead"/>
              <w:rPr>
                <w:b/>
                <w:bCs w:val="0"/>
              </w:rPr>
            </w:pPr>
            <w:r w:rsidRPr="0082461D">
              <w:rPr>
                <w:b/>
                <w:bCs w:val="0"/>
              </w:rPr>
              <w:t>Ressources totales du Secrétariat général</w:t>
            </w:r>
          </w:p>
        </w:tc>
        <w:tc>
          <w:tcPr>
            <w:tcW w:w="3686" w:type="dxa"/>
          </w:tcPr>
          <w:p w:rsidR="0097213C" w:rsidRPr="0082461D" w:rsidRDefault="0097213C" w:rsidP="001D547C">
            <w:pPr>
              <w:pStyle w:val="Tablehead"/>
              <w:rPr>
                <w:b/>
                <w:bCs w:val="0"/>
              </w:rPr>
            </w:pPr>
            <w:r w:rsidRPr="0082461D">
              <w:rPr>
                <w:b/>
                <w:bCs w:val="0"/>
              </w:rPr>
              <w:t>%</w:t>
            </w:r>
          </w:p>
        </w:tc>
      </w:tr>
      <w:tr w:rsidR="0097213C" w:rsidRPr="0082461D" w:rsidTr="00832223">
        <w:trPr>
          <w:trHeight w:val="300"/>
        </w:trPr>
        <w:tc>
          <w:tcPr>
            <w:tcW w:w="5098" w:type="dxa"/>
            <w:hideMark/>
          </w:tcPr>
          <w:p w:rsidR="0097213C" w:rsidRPr="0082461D" w:rsidRDefault="0097213C" w:rsidP="001D547C">
            <w:pPr>
              <w:pStyle w:val="Tabletext"/>
            </w:pPr>
            <w:r w:rsidRPr="0082461D">
              <w:t xml:space="preserve">Ressources attribuées </w:t>
            </w:r>
            <w:r w:rsidRPr="004E22A1">
              <w:t xml:space="preserve">aux objectifs </w:t>
            </w:r>
            <w:r w:rsidR="001D547C" w:rsidRPr="004E22A1">
              <w:t>sectoriels</w:t>
            </w:r>
            <w:r w:rsidRPr="004E22A1">
              <w:t>*</w:t>
            </w:r>
          </w:p>
        </w:tc>
        <w:tc>
          <w:tcPr>
            <w:tcW w:w="3686" w:type="dxa"/>
          </w:tcPr>
          <w:p w:rsidR="0097213C" w:rsidRPr="004E22A1" w:rsidRDefault="0097213C" w:rsidP="001D547C">
            <w:pPr>
              <w:pStyle w:val="Tabletext"/>
              <w:jc w:val="center"/>
            </w:pPr>
            <w:r w:rsidRPr="004E22A1">
              <w:t>84%</w:t>
            </w:r>
          </w:p>
        </w:tc>
      </w:tr>
      <w:tr w:rsidR="0097213C" w:rsidRPr="0082461D" w:rsidTr="00832223">
        <w:trPr>
          <w:trHeight w:val="161"/>
        </w:trPr>
        <w:tc>
          <w:tcPr>
            <w:tcW w:w="5098" w:type="dxa"/>
            <w:hideMark/>
          </w:tcPr>
          <w:p w:rsidR="0097213C" w:rsidRPr="0082461D" w:rsidRDefault="0097213C" w:rsidP="001D547C">
            <w:pPr>
              <w:pStyle w:val="Tabletext"/>
            </w:pPr>
            <w:r w:rsidRPr="0082461D">
              <w:t xml:space="preserve">Ressources attribuées </w:t>
            </w:r>
            <w:r w:rsidRPr="004E22A1">
              <w:t>aux objectifs intersectoriels**</w:t>
            </w:r>
          </w:p>
        </w:tc>
        <w:tc>
          <w:tcPr>
            <w:tcW w:w="3686" w:type="dxa"/>
          </w:tcPr>
          <w:p w:rsidR="0097213C" w:rsidRPr="004E22A1" w:rsidRDefault="0097213C" w:rsidP="001D547C">
            <w:pPr>
              <w:pStyle w:val="Tabletext"/>
              <w:jc w:val="center"/>
            </w:pPr>
            <w:r w:rsidRPr="004E22A1">
              <w:t>16%</w:t>
            </w:r>
          </w:p>
        </w:tc>
      </w:tr>
      <w:tr w:rsidR="0097213C" w:rsidRPr="0082461D" w:rsidTr="00832223">
        <w:trPr>
          <w:trHeight w:val="81"/>
        </w:trPr>
        <w:tc>
          <w:tcPr>
            <w:tcW w:w="5098" w:type="dxa"/>
            <w:hideMark/>
          </w:tcPr>
          <w:p w:rsidR="0097213C" w:rsidRPr="0082461D" w:rsidRDefault="0097213C" w:rsidP="001D547C">
            <w:pPr>
              <w:pStyle w:val="Tabletext"/>
            </w:pPr>
            <w:r w:rsidRPr="0082461D">
              <w:t>Total</w:t>
            </w:r>
          </w:p>
        </w:tc>
        <w:tc>
          <w:tcPr>
            <w:tcW w:w="3686" w:type="dxa"/>
          </w:tcPr>
          <w:p w:rsidR="0097213C" w:rsidRPr="004E22A1" w:rsidRDefault="0097213C" w:rsidP="001D547C">
            <w:pPr>
              <w:pStyle w:val="Tabletext"/>
              <w:jc w:val="center"/>
            </w:pPr>
            <w:r w:rsidRPr="004E22A1">
              <w:t>100%</w:t>
            </w:r>
          </w:p>
        </w:tc>
      </w:tr>
    </w:tbl>
    <w:p w:rsidR="0097213C" w:rsidRPr="0082461D" w:rsidRDefault="0097213C" w:rsidP="001D547C">
      <w:pPr>
        <w:rPr>
          <w:color w:val="000000"/>
          <w:sz w:val="20"/>
        </w:rPr>
      </w:pPr>
      <w:r w:rsidRPr="0082461D">
        <w:rPr>
          <w:color w:val="000000"/>
          <w:sz w:val="20"/>
        </w:rPr>
        <w:t>*</w:t>
      </w:r>
      <w:r w:rsidRPr="0082461D">
        <w:rPr>
          <w:color w:val="000000"/>
          <w:sz w:val="20"/>
        </w:rPr>
        <w:tab/>
      </w:r>
      <w:r w:rsidR="00477A8E" w:rsidRPr="0082461D">
        <w:rPr>
          <w:color w:val="000000"/>
          <w:sz w:val="20"/>
        </w:rPr>
        <w:t xml:space="preserve">comprend les catalyseurs, les </w:t>
      </w:r>
      <w:r w:rsidRPr="0082461D">
        <w:rPr>
          <w:color w:val="000000"/>
          <w:sz w:val="20"/>
        </w:rPr>
        <w:t>services d'appui et la documentation</w:t>
      </w:r>
      <w:r w:rsidRPr="0082461D">
        <w:rPr>
          <w:color w:val="000000"/>
          <w:sz w:val="20"/>
        </w:rPr>
        <w:br/>
        <w:t>**</w:t>
      </w:r>
      <w:r w:rsidRPr="0082461D">
        <w:rPr>
          <w:color w:val="000000"/>
          <w:sz w:val="20"/>
        </w:rPr>
        <w:tab/>
        <w:t>comprend les coûts directs des produits intersectoriels</w:t>
      </w:r>
    </w:p>
    <w:p w:rsidR="0097213C" w:rsidRPr="0082461D" w:rsidRDefault="0097213C" w:rsidP="001D547C">
      <w:pPr>
        <w:tabs>
          <w:tab w:val="clear" w:pos="794"/>
          <w:tab w:val="clear" w:pos="1191"/>
          <w:tab w:val="clear" w:pos="1588"/>
          <w:tab w:val="clear" w:pos="1985"/>
        </w:tabs>
        <w:overflowPunct/>
        <w:autoSpaceDE/>
        <w:autoSpaceDN/>
        <w:adjustRightInd/>
        <w:spacing w:before="0"/>
        <w:textAlignment w:val="auto"/>
      </w:pPr>
      <w:r w:rsidRPr="0082461D">
        <w:br w:type="page"/>
      </w:r>
    </w:p>
    <w:p w:rsidR="0097213C" w:rsidRPr="0082461D" w:rsidRDefault="0097213C" w:rsidP="001D547C">
      <w:pPr>
        <w:pStyle w:val="Heading2"/>
        <w:spacing w:after="120"/>
      </w:pPr>
      <w:r w:rsidRPr="0082461D">
        <w:lastRenderedPageBreak/>
        <w:t>3.2</w:t>
      </w:r>
      <w:r w:rsidRPr="0082461D">
        <w:tab/>
        <w:t xml:space="preserve">Ventilation des ressources du Secrétariat général entre les objectifs et les produits </w:t>
      </w:r>
      <w:r w:rsidR="0042545C" w:rsidRPr="0082461D">
        <w:t xml:space="preserve">intersectoriels </w:t>
      </w:r>
      <w:r w:rsidRPr="0082461D">
        <w:t>pour la période 2020-</w:t>
      </w:r>
      <w:r w:rsidR="0012375F" w:rsidRPr="0082461D">
        <w:t>20</w:t>
      </w:r>
      <w:r w:rsidRPr="0082461D">
        <w:t>21</w:t>
      </w:r>
    </w:p>
    <w:tbl>
      <w:tblPr>
        <w:tblStyle w:val="TableGrid"/>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1234"/>
        <w:gridCol w:w="5435"/>
        <w:gridCol w:w="959"/>
        <w:gridCol w:w="872"/>
      </w:tblGrid>
      <w:tr w:rsidR="0015116A" w:rsidRPr="0082461D" w:rsidTr="00CD1567">
        <w:tc>
          <w:tcPr>
            <w:tcW w:w="7471" w:type="dxa"/>
            <w:gridSpan w:val="2"/>
            <w:vMerge w:val="restart"/>
          </w:tcPr>
          <w:p w:rsidR="0015116A" w:rsidRPr="0082461D" w:rsidRDefault="0015116A" w:rsidP="001D547C">
            <w:pPr>
              <w:pStyle w:val="Tabletext"/>
            </w:pPr>
            <w:r w:rsidRPr="0082461D">
              <w:rPr>
                <w:noProof/>
                <w:lang w:eastAsia="zh-CN"/>
              </w:rPr>
              <w:drawing>
                <wp:inline distT="0" distB="0" distL="0" distR="0" wp14:anchorId="1453A625" wp14:editId="6819A38B">
                  <wp:extent cx="3575050" cy="255778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5435" w:type="dxa"/>
          </w:tcPr>
          <w:p w:rsidR="0015116A" w:rsidRPr="0082461D" w:rsidRDefault="0015116A" w:rsidP="001D547C">
            <w:pPr>
              <w:pStyle w:val="Tabletext"/>
            </w:pPr>
            <w:r w:rsidRPr="0082461D">
              <w:rPr>
                <w:noProof/>
                <w:color w:val="4F81BD" w:themeColor="accent1"/>
                <w:szCs w:val="24"/>
                <w:lang w:eastAsia="zh-CN"/>
              </w:rPr>
              <w:t>Ventilation prévisionnelle des ressources par poduit</w:t>
            </w:r>
          </w:p>
        </w:tc>
        <w:tc>
          <w:tcPr>
            <w:tcW w:w="959" w:type="dxa"/>
          </w:tcPr>
          <w:p w:rsidR="0015116A" w:rsidRPr="0082461D" w:rsidRDefault="0015116A" w:rsidP="001D547C">
            <w:pPr>
              <w:pStyle w:val="Tabletext"/>
              <w:jc w:val="center"/>
            </w:pPr>
            <w:r w:rsidRPr="0082461D">
              <w:rPr>
                <w:rFonts w:eastAsia="Calibri" w:cs="Arial"/>
                <w:b/>
                <w:bCs/>
                <w:color w:val="4F81BD" w:themeColor="accent1"/>
                <w:sz w:val="18"/>
                <w:szCs w:val="18"/>
              </w:rPr>
              <w:t>% du total</w:t>
            </w:r>
          </w:p>
        </w:tc>
        <w:tc>
          <w:tcPr>
            <w:tcW w:w="872" w:type="dxa"/>
          </w:tcPr>
          <w:p w:rsidR="0015116A" w:rsidRPr="0082461D" w:rsidRDefault="0015116A" w:rsidP="001D547C">
            <w:pPr>
              <w:pStyle w:val="Tabletext"/>
              <w:jc w:val="center"/>
            </w:pPr>
            <w:r w:rsidRPr="0082461D">
              <w:rPr>
                <w:rFonts w:eastAsia="Calibri" w:cs="Arial"/>
                <w:b/>
                <w:bCs/>
                <w:color w:val="4F81BD" w:themeColor="accent1"/>
                <w:sz w:val="18"/>
                <w:szCs w:val="18"/>
              </w:rPr>
              <w:t>% de l'objectif</w:t>
            </w:r>
          </w:p>
        </w:tc>
      </w:tr>
      <w:tr w:rsidR="0015116A" w:rsidRPr="0082461D" w:rsidTr="00CD1567">
        <w:tc>
          <w:tcPr>
            <w:tcW w:w="7471" w:type="dxa"/>
            <w:gridSpan w:val="2"/>
            <w:vMerge/>
          </w:tcPr>
          <w:p w:rsidR="0015116A" w:rsidRPr="0082461D" w:rsidRDefault="0015116A" w:rsidP="001D547C">
            <w:pPr>
              <w:pStyle w:val="Tabletext"/>
            </w:pPr>
          </w:p>
        </w:tc>
        <w:tc>
          <w:tcPr>
            <w:tcW w:w="5435" w:type="dxa"/>
          </w:tcPr>
          <w:p w:rsidR="0015116A" w:rsidRPr="0082461D" w:rsidRDefault="0015116A" w:rsidP="001D547C">
            <w:pPr>
              <w:pStyle w:val="Tabletext"/>
            </w:pPr>
            <w:r w:rsidRPr="0082461D">
              <w:rPr>
                <w:b/>
                <w:bCs/>
                <w:noProof/>
                <w:color w:val="4F81BD" w:themeColor="accent1"/>
                <w:sz w:val="18"/>
                <w:szCs w:val="18"/>
                <w:lang w:eastAsia="zh-CN"/>
              </w:rPr>
              <w:t>I.1-1</w:t>
            </w:r>
            <w:r w:rsidRPr="0082461D">
              <w:rPr>
                <w:b/>
                <w:bCs/>
                <w:noProof/>
                <w:color w:val="4F81BD" w:themeColor="accent1"/>
                <w:sz w:val="18"/>
                <w:szCs w:val="18"/>
                <w:lang w:eastAsia="zh-CN"/>
              </w:rPr>
              <w:tab/>
            </w:r>
            <w:r w:rsidRPr="0082461D">
              <w:rPr>
                <w:noProof/>
                <w:sz w:val="18"/>
                <w:szCs w:val="18"/>
                <w:lang w:eastAsia="zh-CN"/>
              </w:rPr>
              <w:t>Conférences, forums, manifestations et réunions intersectoriels au niveau mondial offrant un cadre de discussion de haut niveau</w:t>
            </w:r>
          </w:p>
        </w:tc>
        <w:tc>
          <w:tcPr>
            <w:tcW w:w="959" w:type="dxa"/>
          </w:tcPr>
          <w:p w:rsidR="0015116A" w:rsidRPr="0082461D" w:rsidRDefault="005E21E5" w:rsidP="001D547C">
            <w:pPr>
              <w:pStyle w:val="Tabletext"/>
              <w:jc w:val="center"/>
              <w:rPr>
                <w:sz w:val="18"/>
                <w:szCs w:val="18"/>
              </w:rPr>
            </w:pPr>
            <w:r w:rsidRPr="0082461D">
              <w:rPr>
                <w:sz w:val="18"/>
                <w:szCs w:val="18"/>
              </w:rPr>
              <w:t>37,2%</w:t>
            </w:r>
          </w:p>
        </w:tc>
        <w:tc>
          <w:tcPr>
            <w:tcW w:w="872" w:type="dxa"/>
          </w:tcPr>
          <w:p w:rsidR="0015116A" w:rsidRPr="0082461D" w:rsidRDefault="005E21E5" w:rsidP="001D547C">
            <w:pPr>
              <w:pStyle w:val="Tabletext"/>
              <w:jc w:val="center"/>
              <w:rPr>
                <w:sz w:val="18"/>
                <w:szCs w:val="18"/>
              </w:rPr>
            </w:pPr>
            <w:r w:rsidRPr="0082461D">
              <w:rPr>
                <w:sz w:val="18"/>
                <w:szCs w:val="18"/>
              </w:rPr>
              <w:t>59,2%</w:t>
            </w:r>
          </w:p>
        </w:tc>
      </w:tr>
      <w:tr w:rsidR="0015116A" w:rsidRPr="0082461D" w:rsidTr="00CD1567">
        <w:tc>
          <w:tcPr>
            <w:tcW w:w="7471" w:type="dxa"/>
            <w:gridSpan w:val="2"/>
            <w:vMerge/>
          </w:tcPr>
          <w:p w:rsidR="0015116A" w:rsidRPr="0082461D" w:rsidRDefault="0015116A" w:rsidP="001D547C">
            <w:pPr>
              <w:pStyle w:val="Tabletext"/>
            </w:pPr>
          </w:p>
        </w:tc>
        <w:tc>
          <w:tcPr>
            <w:tcW w:w="5435" w:type="dxa"/>
          </w:tcPr>
          <w:p w:rsidR="0015116A" w:rsidRPr="0082461D" w:rsidRDefault="0015116A" w:rsidP="001D547C">
            <w:pPr>
              <w:pStyle w:val="Tabletext"/>
            </w:pPr>
            <w:r w:rsidRPr="0082461D">
              <w:rPr>
                <w:b/>
                <w:bCs/>
                <w:noProof/>
                <w:color w:val="4F81BD" w:themeColor="accent1"/>
                <w:sz w:val="18"/>
                <w:szCs w:val="18"/>
                <w:lang w:eastAsia="zh-CN"/>
              </w:rPr>
              <w:t>I.1-2</w:t>
            </w:r>
            <w:r w:rsidRPr="0082461D">
              <w:rPr>
                <w:b/>
                <w:bCs/>
                <w:noProof/>
                <w:color w:val="4F81BD" w:themeColor="accent1"/>
                <w:sz w:val="18"/>
                <w:szCs w:val="18"/>
                <w:lang w:eastAsia="zh-CN"/>
              </w:rPr>
              <w:tab/>
            </w:r>
            <w:r w:rsidRPr="0082461D">
              <w:rPr>
                <w:noProof/>
                <w:sz w:val="18"/>
                <w:szCs w:val="18"/>
                <w:lang w:eastAsia="zh-CN"/>
              </w:rPr>
              <w:t>Echange de connaissances, création de réseaux de relations et partenariats</w:t>
            </w:r>
          </w:p>
        </w:tc>
        <w:tc>
          <w:tcPr>
            <w:tcW w:w="959" w:type="dxa"/>
          </w:tcPr>
          <w:p w:rsidR="0015116A" w:rsidRPr="0082461D" w:rsidRDefault="005E21E5" w:rsidP="001D547C">
            <w:pPr>
              <w:pStyle w:val="Tabletext"/>
              <w:jc w:val="center"/>
              <w:rPr>
                <w:sz w:val="18"/>
                <w:szCs w:val="18"/>
              </w:rPr>
            </w:pPr>
            <w:r w:rsidRPr="0082461D">
              <w:rPr>
                <w:sz w:val="18"/>
                <w:szCs w:val="18"/>
              </w:rPr>
              <w:t>17,6%</w:t>
            </w:r>
          </w:p>
        </w:tc>
        <w:tc>
          <w:tcPr>
            <w:tcW w:w="872" w:type="dxa"/>
          </w:tcPr>
          <w:p w:rsidR="0015116A" w:rsidRPr="0082461D" w:rsidRDefault="005E21E5" w:rsidP="001D547C">
            <w:pPr>
              <w:pStyle w:val="Tabletext"/>
              <w:jc w:val="center"/>
              <w:rPr>
                <w:sz w:val="18"/>
                <w:szCs w:val="18"/>
              </w:rPr>
            </w:pPr>
            <w:r w:rsidRPr="0082461D">
              <w:rPr>
                <w:sz w:val="18"/>
                <w:szCs w:val="18"/>
              </w:rPr>
              <w:t>28,2</w:t>
            </w:r>
            <w:r w:rsidR="00CD1567" w:rsidRPr="0082461D">
              <w:rPr>
                <w:sz w:val="18"/>
                <w:szCs w:val="18"/>
              </w:rPr>
              <w:t>%</w:t>
            </w:r>
          </w:p>
        </w:tc>
      </w:tr>
      <w:tr w:rsidR="0015116A" w:rsidRPr="0082461D" w:rsidTr="00CD1567">
        <w:tc>
          <w:tcPr>
            <w:tcW w:w="7471" w:type="dxa"/>
            <w:gridSpan w:val="2"/>
            <w:vMerge/>
          </w:tcPr>
          <w:p w:rsidR="0015116A" w:rsidRPr="0082461D" w:rsidRDefault="0015116A" w:rsidP="001D547C">
            <w:pPr>
              <w:pStyle w:val="Tabletext"/>
            </w:pPr>
          </w:p>
        </w:tc>
        <w:tc>
          <w:tcPr>
            <w:tcW w:w="5435" w:type="dxa"/>
          </w:tcPr>
          <w:p w:rsidR="0015116A" w:rsidRPr="0082461D" w:rsidRDefault="0015116A" w:rsidP="001D547C">
            <w:pPr>
              <w:pStyle w:val="Tabletext"/>
            </w:pPr>
            <w:r w:rsidRPr="0082461D">
              <w:rPr>
                <w:b/>
                <w:bCs/>
                <w:noProof/>
                <w:color w:val="4F81BD" w:themeColor="accent1"/>
                <w:sz w:val="18"/>
                <w:szCs w:val="18"/>
                <w:lang w:eastAsia="zh-CN"/>
              </w:rPr>
              <w:t>I.1-3</w:t>
            </w:r>
            <w:r w:rsidRPr="0082461D">
              <w:rPr>
                <w:b/>
                <w:bCs/>
                <w:noProof/>
                <w:color w:val="4F81BD" w:themeColor="accent1"/>
                <w:sz w:val="18"/>
                <w:szCs w:val="18"/>
                <w:lang w:eastAsia="zh-CN"/>
              </w:rPr>
              <w:tab/>
            </w:r>
            <w:r w:rsidRPr="0082461D">
              <w:rPr>
                <w:noProof/>
                <w:sz w:val="18"/>
                <w:szCs w:val="18"/>
                <w:lang w:eastAsia="zh-CN"/>
              </w:rPr>
              <w:t>Mémorandums d'accord</w:t>
            </w:r>
          </w:p>
        </w:tc>
        <w:tc>
          <w:tcPr>
            <w:tcW w:w="959" w:type="dxa"/>
          </w:tcPr>
          <w:p w:rsidR="0015116A" w:rsidRPr="0082461D" w:rsidRDefault="005E21E5" w:rsidP="001D547C">
            <w:pPr>
              <w:pStyle w:val="Tabletext"/>
              <w:jc w:val="center"/>
              <w:rPr>
                <w:sz w:val="18"/>
                <w:szCs w:val="18"/>
              </w:rPr>
            </w:pPr>
            <w:r w:rsidRPr="0082461D">
              <w:rPr>
                <w:sz w:val="18"/>
                <w:szCs w:val="18"/>
              </w:rPr>
              <w:t>0,1</w:t>
            </w:r>
            <w:r w:rsidR="00CD1567" w:rsidRPr="0082461D">
              <w:rPr>
                <w:sz w:val="18"/>
                <w:szCs w:val="18"/>
              </w:rPr>
              <w:t>%</w:t>
            </w:r>
          </w:p>
        </w:tc>
        <w:tc>
          <w:tcPr>
            <w:tcW w:w="872" w:type="dxa"/>
          </w:tcPr>
          <w:p w:rsidR="0015116A" w:rsidRPr="0082461D" w:rsidRDefault="005E21E5" w:rsidP="001D547C">
            <w:pPr>
              <w:pStyle w:val="Tabletext"/>
              <w:jc w:val="center"/>
              <w:rPr>
                <w:sz w:val="18"/>
                <w:szCs w:val="18"/>
              </w:rPr>
            </w:pPr>
            <w:r w:rsidRPr="0082461D">
              <w:rPr>
                <w:sz w:val="18"/>
                <w:szCs w:val="18"/>
              </w:rPr>
              <w:t>0,2</w:t>
            </w:r>
            <w:r w:rsidR="00CD1567" w:rsidRPr="0082461D">
              <w:rPr>
                <w:sz w:val="18"/>
                <w:szCs w:val="18"/>
              </w:rPr>
              <w:t>%</w:t>
            </w:r>
          </w:p>
        </w:tc>
      </w:tr>
      <w:tr w:rsidR="0015116A" w:rsidRPr="0082461D" w:rsidTr="00CD1567">
        <w:tc>
          <w:tcPr>
            <w:tcW w:w="7471" w:type="dxa"/>
            <w:gridSpan w:val="2"/>
            <w:vMerge/>
          </w:tcPr>
          <w:p w:rsidR="0015116A" w:rsidRPr="0082461D" w:rsidRDefault="0015116A" w:rsidP="001D547C">
            <w:pPr>
              <w:pStyle w:val="Tabletext"/>
            </w:pPr>
          </w:p>
        </w:tc>
        <w:tc>
          <w:tcPr>
            <w:tcW w:w="5435" w:type="dxa"/>
          </w:tcPr>
          <w:p w:rsidR="0015116A" w:rsidRPr="0082461D" w:rsidRDefault="0015116A" w:rsidP="001D547C">
            <w:pPr>
              <w:pStyle w:val="Tabletext"/>
            </w:pPr>
            <w:r w:rsidRPr="0082461D">
              <w:rPr>
                <w:b/>
                <w:bCs/>
                <w:noProof/>
                <w:color w:val="4F81BD" w:themeColor="accent1"/>
                <w:sz w:val="18"/>
                <w:szCs w:val="18"/>
                <w:lang w:eastAsia="zh-CN"/>
              </w:rPr>
              <w:t>I.1-4</w:t>
            </w:r>
            <w:r w:rsidRPr="0082461D">
              <w:rPr>
                <w:b/>
                <w:bCs/>
                <w:noProof/>
                <w:color w:val="4F81BD" w:themeColor="accent1"/>
                <w:sz w:val="18"/>
                <w:szCs w:val="18"/>
                <w:lang w:eastAsia="zh-CN"/>
              </w:rPr>
              <w:tab/>
            </w:r>
            <w:r w:rsidRPr="0082461D">
              <w:rPr>
                <w:noProof/>
                <w:sz w:val="18"/>
                <w:szCs w:val="18"/>
                <w:lang w:eastAsia="zh-CN"/>
              </w:rPr>
              <w:t>Rapports et autres contributions aux processus interinstitutions des Nations Unies, multilatéraux et intergouvernementaux</w:t>
            </w:r>
          </w:p>
        </w:tc>
        <w:tc>
          <w:tcPr>
            <w:tcW w:w="959" w:type="dxa"/>
          </w:tcPr>
          <w:p w:rsidR="0015116A" w:rsidRPr="0082461D" w:rsidRDefault="005E21E5" w:rsidP="001D547C">
            <w:pPr>
              <w:pStyle w:val="Tabletext"/>
              <w:jc w:val="center"/>
              <w:rPr>
                <w:sz w:val="18"/>
                <w:szCs w:val="18"/>
              </w:rPr>
            </w:pPr>
            <w:r w:rsidRPr="0082461D">
              <w:rPr>
                <w:sz w:val="18"/>
                <w:szCs w:val="18"/>
              </w:rPr>
              <w:t>4,1</w:t>
            </w:r>
            <w:r w:rsidR="00CD1567" w:rsidRPr="0082461D">
              <w:rPr>
                <w:sz w:val="18"/>
                <w:szCs w:val="18"/>
              </w:rPr>
              <w:t>%</w:t>
            </w:r>
          </w:p>
        </w:tc>
        <w:tc>
          <w:tcPr>
            <w:tcW w:w="872" w:type="dxa"/>
          </w:tcPr>
          <w:p w:rsidR="0015116A" w:rsidRPr="0082461D" w:rsidRDefault="005E21E5" w:rsidP="001D547C">
            <w:pPr>
              <w:pStyle w:val="Tabletext"/>
              <w:jc w:val="center"/>
              <w:rPr>
                <w:sz w:val="18"/>
                <w:szCs w:val="18"/>
              </w:rPr>
            </w:pPr>
            <w:r w:rsidRPr="0082461D">
              <w:rPr>
                <w:sz w:val="18"/>
                <w:szCs w:val="18"/>
              </w:rPr>
              <w:t>6,5</w:t>
            </w:r>
            <w:r w:rsidR="00CD1567" w:rsidRPr="0082461D">
              <w:rPr>
                <w:sz w:val="18"/>
                <w:szCs w:val="18"/>
              </w:rPr>
              <w:t>%</w:t>
            </w:r>
          </w:p>
        </w:tc>
      </w:tr>
      <w:tr w:rsidR="0015116A" w:rsidRPr="0082461D" w:rsidTr="00CD1567">
        <w:tc>
          <w:tcPr>
            <w:tcW w:w="7471" w:type="dxa"/>
            <w:gridSpan w:val="2"/>
            <w:vMerge/>
          </w:tcPr>
          <w:p w:rsidR="0015116A" w:rsidRPr="0082461D" w:rsidRDefault="0015116A" w:rsidP="001D547C">
            <w:pPr>
              <w:pStyle w:val="Tabletext"/>
            </w:pPr>
          </w:p>
        </w:tc>
        <w:tc>
          <w:tcPr>
            <w:tcW w:w="5435" w:type="dxa"/>
            <w:tcBorders>
              <w:bottom w:val="single" w:sz="4" w:space="0" w:color="auto"/>
            </w:tcBorders>
          </w:tcPr>
          <w:p w:rsidR="0015116A" w:rsidRPr="0082461D" w:rsidRDefault="0015116A" w:rsidP="001D547C">
            <w:pPr>
              <w:pStyle w:val="Tabletext"/>
            </w:pPr>
            <w:r w:rsidRPr="0082461D">
              <w:rPr>
                <w:b/>
                <w:bCs/>
                <w:noProof/>
                <w:color w:val="4F81BD" w:themeColor="accent1"/>
                <w:sz w:val="18"/>
                <w:szCs w:val="18"/>
                <w:lang w:eastAsia="zh-CN"/>
              </w:rPr>
              <w:t>I.1-5</w:t>
            </w:r>
            <w:r w:rsidRPr="0082461D">
              <w:rPr>
                <w:b/>
                <w:bCs/>
                <w:noProof/>
                <w:color w:val="4F81BD" w:themeColor="accent1"/>
                <w:sz w:val="18"/>
                <w:szCs w:val="18"/>
                <w:lang w:eastAsia="zh-CN"/>
              </w:rPr>
              <w:tab/>
            </w:r>
            <w:r w:rsidR="00832223" w:rsidRPr="0082461D">
              <w:rPr>
                <w:noProof/>
                <w:sz w:val="18"/>
                <w:szCs w:val="18"/>
                <w:lang w:eastAsia="zh-CN"/>
              </w:rPr>
              <w:t>Création de services d'appui pour les membres de l'UIT dans les activités et les manifestations de l'UIT</w:t>
            </w:r>
          </w:p>
        </w:tc>
        <w:tc>
          <w:tcPr>
            <w:tcW w:w="959" w:type="dxa"/>
            <w:tcBorders>
              <w:bottom w:val="single" w:sz="4" w:space="0" w:color="auto"/>
            </w:tcBorders>
          </w:tcPr>
          <w:p w:rsidR="0015116A" w:rsidRPr="0082461D" w:rsidRDefault="005E21E5" w:rsidP="001D547C">
            <w:pPr>
              <w:pStyle w:val="Tabletext"/>
              <w:jc w:val="center"/>
              <w:rPr>
                <w:sz w:val="18"/>
                <w:szCs w:val="18"/>
              </w:rPr>
            </w:pPr>
            <w:r w:rsidRPr="0082461D">
              <w:rPr>
                <w:sz w:val="18"/>
                <w:szCs w:val="18"/>
              </w:rPr>
              <w:t>3,5</w:t>
            </w:r>
            <w:r w:rsidR="00CD1567" w:rsidRPr="0082461D">
              <w:rPr>
                <w:sz w:val="18"/>
                <w:szCs w:val="18"/>
              </w:rPr>
              <w:t>%</w:t>
            </w:r>
          </w:p>
        </w:tc>
        <w:tc>
          <w:tcPr>
            <w:tcW w:w="872" w:type="dxa"/>
            <w:tcBorders>
              <w:bottom w:val="single" w:sz="4" w:space="0" w:color="auto"/>
            </w:tcBorders>
          </w:tcPr>
          <w:p w:rsidR="0015116A" w:rsidRPr="0082461D" w:rsidRDefault="005E21E5" w:rsidP="001D547C">
            <w:pPr>
              <w:pStyle w:val="Tabletext"/>
              <w:jc w:val="center"/>
              <w:rPr>
                <w:sz w:val="18"/>
                <w:szCs w:val="18"/>
              </w:rPr>
            </w:pPr>
            <w:r w:rsidRPr="0082461D">
              <w:rPr>
                <w:sz w:val="18"/>
                <w:szCs w:val="18"/>
              </w:rPr>
              <w:t>5,6</w:t>
            </w:r>
            <w:r w:rsidR="00CD1567" w:rsidRPr="0082461D">
              <w:rPr>
                <w:sz w:val="18"/>
                <w:szCs w:val="18"/>
              </w:rPr>
              <w:t>%</w:t>
            </w:r>
          </w:p>
        </w:tc>
      </w:tr>
      <w:tr w:rsidR="0015116A" w:rsidRPr="0082461D" w:rsidTr="00CD1567">
        <w:tc>
          <w:tcPr>
            <w:tcW w:w="7471" w:type="dxa"/>
            <w:gridSpan w:val="2"/>
            <w:vMerge/>
          </w:tcPr>
          <w:p w:rsidR="0015116A" w:rsidRPr="0082461D" w:rsidRDefault="0015116A" w:rsidP="001D547C">
            <w:pPr>
              <w:pStyle w:val="Tabletext"/>
            </w:pPr>
          </w:p>
        </w:tc>
        <w:tc>
          <w:tcPr>
            <w:tcW w:w="5435" w:type="dxa"/>
            <w:tcBorders>
              <w:top w:val="single" w:sz="4" w:space="0" w:color="auto"/>
            </w:tcBorders>
          </w:tcPr>
          <w:p w:rsidR="0015116A" w:rsidRPr="0082461D" w:rsidRDefault="0015116A" w:rsidP="001D547C">
            <w:pPr>
              <w:pStyle w:val="Tabletext"/>
            </w:pPr>
            <w:r w:rsidRPr="0082461D">
              <w:rPr>
                <w:b/>
                <w:bCs/>
                <w:noProof/>
                <w:color w:val="4F81BD" w:themeColor="accent1"/>
                <w:sz w:val="18"/>
                <w:szCs w:val="18"/>
                <w:lang w:eastAsia="zh-CN"/>
              </w:rPr>
              <w:t>I.2-1</w:t>
            </w:r>
            <w:r w:rsidRPr="0082461D">
              <w:rPr>
                <w:b/>
                <w:bCs/>
                <w:noProof/>
                <w:color w:val="4F81BD" w:themeColor="accent1"/>
                <w:sz w:val="18"/>
                <w:szCs w:val="18"/>
                <w:lang w:eastAsia="zh-CN"/>
              </w:rPr>
              <w:tab/>
            </w:r>
            <w:r w:rsidRPr="0082461D">
              <w:rPr>
                <w:noProof/>
                <w:sz w:val="18"/>
                <w:szCs w:val="18"/>
                <w:lang w:eastAsia="zh-CN"/>
              </w:rPr>
              <w:t>Initiatives et rapports intersectoriels sur les nouvelles tendances</w:t>
            </w:r>
            <w:r w:rsidR="0042545C" w:rsidRPr="0082461D">
              <w:rPr>
                <w:noProof/>
                <w:sz w:val="18"/>
                <w:szCs w:val="18"/>
                <w:lang w:eastAsia="zh-CN"/>
              </w:rPr>
              <w:t xml:space="preserve"> pertinentes</w:t>
            </w:r>
            <w:r w:rsidRPr="0082461D">
              <w:rPr>
                <w:noProof/>
                <w:sz w:val="18"/>
                <w:szCs w:val="18"/>
                <w:lang w:eastAsia="zh-CN"/>
              </w:rPr>
              <w:t xml:space="preserve"> dans le secteur des télécommunications/TIC et autres initiatives analogues</w:t>
            </w:r>
          </w:p>
        </w:tc>
        <w:tc>
          <w:tcPr>
            <w:tcW w:w="959" w:type="dxa"/>
            <w:tcBorders>
              <w:top w:val="single" w:sz="4" w:space="0" w:color="auto"/>
            </w:tcBorders>
          </w:tcPr>
          <w:p w:rsidR="0015116A" w:rsidRPr="0082461D" w:rsidRDefault="005E21E5" w:rsidP="001D547C">
            <w:pPr>
              <w:pStyle w:val="Tabletext"/>
              <w:jc w:val="center"/>
              <w:rPr>
                <w:sz w:val="18"/>
                <w:szCs w:val="18"/>
              </w:rPr>
            </w:pPr>
            <w:r w:rsidRPr="0082461D">
              <w:rPr>
                <w:sz w:val="18"/>
                <w:szCs w:val="18"/>
              </w:rPr>
              <w:t>4,0</w:t>
            </w:r>
            <w:r w:rsidR="00CD1567" w:rsidRPr="0082461D">
              <w:rPr>
                <w:sz w:val="18"/>
                <w:szCs w:val="18"/>
              </w:rPr>
              <w:t>%</w:t>
            </w:r>
          </w:p>
        </w:tc>
        <w:tc>
          <w:tcPr>
            <w:tcW w:w="872" w:type="dxa"/>
            <w:tcBorders>
              <w:top w:val="single" w:sz="4" w:space="0" w:color="auto"/>
            </w:tcBorders>
          </w:tcPr>
          <w:p w:rsidR="0015116A" w:rsidRPr="0082461D" w:rsidRDefault="005E21E5" w:rsidP="001D547C">
            <w:pPr>
              <w:pStyle w:val="Tabletext"/>
              <w:jc w:val="center"/>
              <w:rPr>
                <w:sz w:val="18"/>
                <w:szCs w:val="18"/>
              </w:rPr>
            </w:pPr>
            <w:r w:rsidRPr="0082461D">
              <w:rPr>
                <w:sz w:val="18"/>
                <w:szCs w:val="18"/>
              </w:rPr>
              <w:t>21,5</w:t>
            </w:r>
            <w:r w:rsidR="00CD1567" w:rsidRPr="0082461D">
              <w:rPr>
                <w:sz w:val="18"/>
                <w:szCs w:val="18"/>
              </w:rPr>
              <w:t>%</w:t>
            </w:r>
          </w:p>
        </w:tc>
      </w:tr>
      <w:tr w:rsidR="0015116A" w:rsidRPr="0082461D" w:rsidTr="00CD1567">
        <w:tc>
          <w:tcPr>
            <w:tcW w:w="7471" w:type="dxa"/>
            <w:gridSpan w:val="2"/>
            <w:vMerge/>
          </w:tcPr>
          <w:p w:rsidR="0015116A" w:rsidRPr="0082461D" w:rsidRDefault="0015116A" w:rsidP="001D547C">
            <w:pPr>
              <w:pStyle w:val="Tabletext"/>
            </w:pPr>
          </w:p>
        </w:tc>
        <w:tc>
          <w:tcPr>
            <w:tcW w:w="5435" w:type="dxa"/>
          </w:tcPr>
          <w:p w:rsidR="0015116A" w:rsidRPr="0082461D" w:rsidRDefault="0015116A" w:rsidP="001D547C">
            <w:pPr>
              <w:pStyle w:val="Tabletext"/>
            </w:pPr>
            <w:r w:rsidRPr="0082461D">
              <w:rPr>
                <w:b/>
                <w:bCs/>
                <w:noProof/>
                <w:color w:val="4F81BD" w:themeColor="accent1"/>
                <w:sz w:val="18"/>
                <w:szCs w:val="18"/>
                <w:lang w:eastAsia="zh-CN"/>
              </w:rPr>
              <w:t>I.2-2</w:t>
            </w:r>
            <w:r w:rsidRPr="0082461D">
              <w:rPr>
                <w:b/>
                <w:bCs/>
                <w:noProof/>
                <w:color w:val="4F81BD" w:themeColor="accent1"/>
                <w:sz w:val="18"/>
                <w:szCs w:val="18"/>
                <w:lang w:eastAsia="zh-CN"/>
              </w:rPr>
              <w:tab/>
            </w:r>
            <w:r w:rsidR="00832223" w:rsidRPr="0082461D">
              <w:rPr>
                <w:noProof/>
                <w:sz w:val="18"/>
                <w:szCs w:val="18"/>
                <w:lang w:eastAsia="zh-CN"/>
              </w:rPr>
              <w:t>Nouvelles de l'UIT en version numérique</w:t>
            </w:r>
          </w:p>
        </w:tc>
        <w:tc>
          <w:tcPr>
            <w:tcW w:w="959" w:type="dxa"/>
          </w:tcPr>
          <w:p w:rsidR="0015116A" w:rsidRPr="0082461D" w:rsidRDefault="005E21E5" w:rsidP="001D547C">
            <w:pPr>
              <w:pStyle w:val="Tabletext"/>
              <w:jc w:val="center"/>
              <w:rPr>
                <w:sz w:val="18"/>
                <w:szCs w:val="18"/>
              </w:rPr>
            </w:pPr>
            <w:r w:rsidRPr="0082461D">
              <w:rPr>
                <w:sz w:val="18"/>
                <w:szCs w:val="18"/>
              </w:rPr>
              <w:t>6,7</w:t>
            </w:r>
            <w:r w:rsidR="00CD1567" w:rsidRPr="0082461D">
              <w:rPr>
                <w:sz w:val="18"/>
                <w:szCs w:val="18"/>
              </w:rPr>
              <w:t>%</w:t>
            </w:r>
          </w:p>
        </w:tc>
        <w:tc>
          <w:tcPr>
            <w:tcW w:w="872" w:type="dxa"/>
          </w:tcPr>
          <w:p w:rsidR="0015116A" w:rsidRPr="0082461D" w:rsidRDefault="005E21E5" w:rsidP="001D547C">
            <w:pPr>
              <w:pStyle w:val="Tabletext"/>
              <w:jc w:val="center"/>
              <w:rPr>
                <w:sz w:val="18"/>
                <w:szCs w:val="18"/>
              </w:rPr>
            </w:pPr>
            <w:r w:rsidRPr="0082461D">
              <w:rPr>
                <w:sz w:val="18"/>
                <w:szCs w:val="18"/>
              </w:rPr>
              <w:t>36,2</w:t>
            </w:r>
            <w:r w:rsidR="00CD1567" w:rsidRPr="0082461D">
              <w:rPr>
                <w:sz w:val="18"/>
                <w:szCs w:val="18"/>
              </w:rPr>
              <w:t>%</w:t>
            </w:r>
          </w:p>
        </w:tc>
      </w:tr>
      <w:tr w:rsidR="0015116A" w:rsidRPr="0082461D" w:rsidTr="00CD1567">
        <w:tc>
          <w:tcPr>
            <w:tcW w:w="7471" w:type="dxa"/>
            <w:gridSpan w:val="2"/>
            <w:vMerge/>
          </w:tcPr>
          <w:p w:rsidR="0015116A" w:rsidRPr="0082461D" w:rsidRDefault="0015116A" w:rsidP="001D547C">
            <w:pPr>
              <w:pStyle w:val="Tabletext"/>
            </w:pPr>
          </w:p>
        </w:tc>
        <w:tc>
          <w:tcPr>
            <w:tcW w:w="5435" w:type="dxa"/>
            <w:tcBorders>
              <w:bottom w:val="single" w:sz="4" w:space="0" w:color="auto"/>
            </w:tcBorders>
          </w:tcPr>
          <w:p w:rsidR="0015116A" w:rsidRPr="0082461D" w:rsidRDefault="0015116A"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I.2-3</w:t>
            </w:r>
            <w:r w:rsidRPr="0082461D">
              <w:rPr>
                <w:b/>
                <w:bCs/>
                <w:noProof/>
                <w:color w:val="4F81BD" w:themeColor="accent1"/>
                <w:sz w:val="18"/>
                <w:szCs w:val="18"/>
                <w:lang w:eastAsia="zh-CN"/>
              </w:rPr>
              <w:tab/>
            </w:r>
            <w:r w:rsidR="00832223" w:rsidRPr="0082461D">
              <w:rPr>
                <w:noProof/>
                <w:sz w:val="18"/>
                <w:szCs w:val="18"/>
                <w:lang w:eastAsia="zh-CN"/>
              </w:rPr>
              <w:t>Plates-formes d'échange d'informations concernant les nouvelles tendances</w:t>
            </w:r>
          </w:p>
        </w:tc>
        <w:tc>
          <w:tcPr>
            <w:tcW w:w="959" w:type="dxa"/>
            <w:tcBorders>
              <w:bottom w:val="single" w:sz="4" w:space="0" w:color="auto"/>
            </w:tcBorders>
          </w:tcPr>
          <w:p w:rsidR="0015116A" w:rsidRPr="0082461D" w:rsidRDefault="005E21E5" w:rsidP="001D547C">
            <w:pPr>
              <w:pStyle w:val="Tabletext"/>
              <w:jc w:val="center"/>
              <w:rPr>
                <w:sz w:val="18"/>
                <w:szCs w:val="18"/>
              </w:rPr>
            </w:pPr>
            <w:r w:rsidRPr="0082461D">
              <w:rPr>
                <w:sz w:val="18"/>
                <w:szCs w:val="18"/>
              </w:rPr>
              <w:t>7,8</w:t>
            </w:r>
            <w:r w:rsidR="00CD1567" w:rsidRPr="0082461D">
              <w:rPr>
                <w:sz w:val="18"/>
                <w:szCs w:val="18"/>
              </w:rPr>
              <w:t>%</w:t>
            </w:r>
          </w:p>
        </w:tc>
        <w:tc>
          <w:tcPr>
            <w:tcW w:w="872" w:type="dxa"/>
            <w:tcBorders>
              <w:bottom w:val="single" w:sz="4" w:space="0" w:color="auto"/>
            </w:tcBorders>
          </w:tcPr>
          <w:p w:rsidR="0015116A" w:rsidRPr="0082461D" w:rsidRDefault="005E21E5" w:rsidP="001D547C">
            <w:pPr>
              <w:pStyle w:val="Tabletext"/>
              <w:jc w:val="center"/>
              <w:rPr>
                <w:sz w:val="18"/>
                <w:szCs w:val="18"/>
              </w:rPr>
            </w:pPr>
            <w:r w:rsidRPr="0082461D">
              <w:rPr>
                <w:sz w:val="18"/>
                <w:szCs w:val="18"/>
              </w:rPr>
              <w:t>42,2</w:t>
            </w:r>
            <w:r w:rsidR="00CD1567" w:rsidRPr="0082461D">
              <w:rPr>
                <w:sz w:val="18"/>
                <w:szCs w:val="18"/>
              </w:rPr>
              <w:t>%</w:t>
            </w:r>
          </w:p>
        </w:tc>
      </w:tr>
      <w:tr w:rsidR="0015116A" w:rsidRPr="0082461D" w:rsidTr="00CD1567">
        <w:tc>
          <w:tcPr>
            <w:tcW w:w="6237" w:type="dxa"/>
            <w:vMerge w:val="restart"/>
          </w:tcPr>
          <w:p w:rsidR="0015116A" w:rsidRPr="0082461D" w:rsidRDefault="0015116A" w:rsidP="001D54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82461D">
              <w:rPr>
                <w:noProof/>
                <w:color w:val="4F81BD" w:themeColor="accent1"/>
                <w:sz w:val="20"/>
                <w:lang w:eastAsia="zh-CN"/>
              </w:rPr>
              <w:t>I.1</w:t>
            </w:r>
            <w:r w:rsidRPr="0082461D">
              <w:rPr>
                <w:noProof/>
                <w:color w:val="4F81BD" w:themeColor="accent1"/>
                <w:sz w:val="20"/>
                <w:lang w:eastAsia="zh-CN"/>
              </w:rPr>
              <w:tab/>
            </w:r>
            <w:r w:rsidRPr="0082461D">
              <w:rPr>
                <w:sz w:val="18"/>
                <w:szCs w:val="18"/>
              </w:rPr>
              <w:t>Collaboration</w:t>
            </w:r>
          </w:p>
          <w:p w:rsidR="0015116A" w:rsidRPr="0082461D" w:rsidRDefault="0015116A" w:rsidP="001D54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82461D">
              <w:rPr>
                <w:noProof/>
                <w:color w:val="4F81BD" w:themeColor="accent1"/>
                <w:sz w:val="18"/>
                <w:szCs w:val="18"/>
                <w:lang w:eastAsia="zh-CN"/>
              </w:rPr>
              <w:t>I.2</w:t>
            </w:r>
            <w:r w:rsidRPr="0082461D">
              <w:rPr>
                <w:sz w:val="18"/>
                <w:szCs w:val="18"/>
              </w:rPr>
              <w:tab/>
              <w:t>Nouvelles tendances en matière de télécommunications/TIC</w:t>
            </w:r>
          </w:p>
          <w:p w:rsidR="0015116A" w:rsidRPr="0082461D" w:rsidRDefault="0015116A" w:rsidP="001D54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82461D">
              <w:rPr>
                <w:noProof/>
                <w:color w:val="4F81BD" w:themeColor="accent1"/>
                <w:sz w:val="18"/>
                <w:szCs w:val="18"/>
                <w:lang w:eastAsia="zh-CN"/>
              </w:rPr>
              <w:t>I.3</w:t>
            </w:r>
            <w:r w:rsidRPr="0082461D">
              <w:rPr>
                <w:noProof/>
                <w:color w:val="4F81BD" w:themeColor="accent1"/>
                <w:sz w:val="18"/>
                <w:szCs w:val="18"/>
                <w:lang w:eastAsia="zh-CN"/>
              </w:rPr>
              <w:tab/>
            </w:r>
            <w:r w:rsidRPr="0082461D">
              <w:rPr>
                <w:sz w:val="18"/>
                <w:szCs w:val="18"/>
              </w:rPr>
              <w:t>Accessibilité des télécommunications/TIC</w:t>
            </w:r>
          </w:p>
          <w:p w:rsidR="0015116A" w:rsidRPr="0082461D" w:rsidRDefault="0015116A" w:rsidP="001D54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82461D">
              <w:rPr>
                <w:noProof/>
                <w:color w:val="4F81BD" w:themeColor="accent1"/>
                <w:sz w:val="18"/>
                <w:szCs w:val="18"/>
                <w:lang w:eastAsia="zh-CN"/>
              </w:rPr>
              <w:t>I.4</w:t>
            </w:r>
            <w:r w:rsidRPr="0082461D">
              <w:rPr>
                <w:sz w:val="18"/>
                <w:szCs w:val="18"/>
              </w:rPr>
              <w:tab/>
            </w:r>
            <w:r w:rsidR="0082461D" w:rsidRPr="0082461D">
              <w:rPr>
                <w:sz w:val="18"/>
                <w:szCs w:val="18"/>
              </w:rPr>
              <w:t>Égalité</w:t>
            </w:r>
            <w:r w:rsidRPr="0082461D">
              <w:rPr>
                <w:sz w:val="18"/>
                <w:szCs w:val="18"/>
              </w:rPr>
              <w:t xml:space="preserve"> hommes/femmes et inclusion</w:t>
            </w:r>
          </w:p>
          <w:p w:rsidR="0015116A" w:rsidRPr="0082461D" w:rsidRDefault="0015116A" w:rsidP="001D54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82461D">
              <w:rPr>
                <w:noProof/>
                <w:color w:val="4F81BD" w:themeColor="accent1"/>
                <w:sz w:val="18"/>
                <w:szCs w:val="18"/>
                <w:lang w:eastAsia="zh-CN"/>
              </w:rPr>
              <w:t>I.5</w:t>
            </w:r>
            <w:r w:rsidRPr="0082461D">
              <w:rPr>
                <w:sz w:val="18"/>
                <w:szCs w:val="18"/>
              </w:rPr>
              <w:tab/>
              <w:t>Environnement durable</w:t>
            </w:r>
          </w:p>
          <w:p w:rsidR="00CD1567" w:rsidRPr="0082461D" w:rsidRDefault="0015116A" w:rsidP="001D547C">
            <w:pPr>
              <w:pStyle w:val="Tabletext"/>
              <w:rPr>
                <w:sz w:val="18"/>
                <w:szCs w:val="18"/>
              </w:rPr>
            </w:pPr>
            <w:r w:rsidRPr="0082461D">
              <w:rPr>
                <w:noProof/>
                <w:color w:val="4F81BD" w:themeColor="accent1"/>
                <w:sz w:val="18"/>
                <w:szCs w:val="18"/>
                <w:lang w:eastAsia="zh-CN"/>
              </w:rPr>
              <w:t>I.6</w:t>
            </w:r>
            <w:r w:rsidRPr="0082461D">
              <w:rPr>
                <w:sz w:val="18"/>
                <w:szCs w:val="18"/>
              </w:rPr>
              <w:tab/>
              <w:t>Réduction des chevauchements et des doubles emplois</w:t>
            </w:r>
          </w:p>
        </w:tc>
        <w:tc>
          <w:tcPr>
            <w:tcW w:w="1234" w:type="dxa"/>
            <w:vMerge w:val="restart"/>
          </w:tcPr>
          <w:p w:rsidR="0015116A" w:rsidRPr="0082461D" w:rsidRDefault="005E21E5" w:rsidP="001D547C">
            <w:pPr>
              <w:pStyle w:val="Tabletext"/>
              <w:jc w:val="right"/>
              <w:rPr>
                <w:b/>
                <w:bCs/>
                <w:sz w:val="18"/>
                <w:szCs w:val="18"/>
              </w:rPr>
            </w:pPr>
            <w:r w:rsidRPr="0082461D">
              <w:rPr>
                <w:b/>
                <w:bCs/>
                <w:sz w:val="18"/>
                <w:szCs w:val="18"/>
              </w:rPr>
              <w:t>62,55%</w:t>
            </w:r>
          </w:p>
          <w:p w:rsidR="005E21E5" w:rsidRPr="0082461D" w:rsidRDefault="005E21E5" w:rsidP="001D547C">
            <w:pPr>
              <w:pStyle w:val="Tabletext"/>
              <w:jc w:val="right"/>
              <w:rPr>
                <w:b/>
                <w:bCs/>
                <w:sz w:val="18"/>
                <w:szCs w:val="18"/>
              </w:rPr>
            </w:pPr>
            <w:r w:rsidRPr="0082461D">
              <w:rPr>
                <w:b/>
                <w:bCs/>
                <w:sz w:val="18"/>
                <w:szCs w:val="18"/>
              </w:rPr>
              <w:t>18,36%</w:t>
            </w:r>
          </w:p>
          <w:p w:rsidR="005E21E5" w:rsidRPr="0082461D" w:rsidRDefault="005E21E5" w:rsidP="001D547C">
            <w:pPr>
              <w:pStyle w:val="Tabletext"/>
              <w:jc w:val="right"/>
              <w:rPr>
                <w:b/>
                <w:bCs/>
                <w:sz w:val="18"/>
                <w:szCs w:val="18"/>
              </w:rPr>
            </w:pPr>
            <w:r w:rsidRPr="0082461D">
              <w:rPr>
                <w:b/>
                <w:bCs/>
                <w:sz w:val="18"/>
                <w:szCs w:val="18"/>
              </w:rPr>
              <w:t>1,89%</w:t>
            </w:r>
          </w:p>
          <w:p w:rsidR="005E21E5" w:rsidRPr="0082461D" w:rsidRDefault="005E21E5" w:rsidP="001D547C">
            <w:pPr>
              <w:pStyle w:val="Tabletext"/>
              <w:jc w:val="right"/>
              <w:rPr>
                <w:b/>
                <w:bCs/>
                <w:sz w:val="18"/>
                <w:szCs w:val="18"/>
              </w:rPr>
            </w:pPr>
            <w:r w:rsidRPr="0082461D">
              <w:rPr>
                <w:b/>
                <w:bCs/>
                <w:sz w:val="18"/>
                <w:szCs w:val="18"/>
              </w:rPr>
              <w:t>7,46%</w:t>
            </w:r>
          </w:p>
          <w:p w:rsidR="005E21E5" w:rsidRPr="0082461D" w:rsidRDefault="005E21E5" w:rsidP="001D547C">
            <w:pPr>
              <w:pStyle w:val="Tabletext"/>
              <w:jc w:val="right"/>
              <w:rPr>
                <w:b/>
                <w:bCs/>
                <w:sz w:val="18"/>
                <w:szCs w:val="18"/>
              </w:rPr>
            </w:pPr>
            <w:r w:rsidRPr="0082461D">
              <w:rPr>
                <w:b/>
                <w:bCs/>
                <w:sz w:val="18"/>
                <w:szCs w:val="18"/>
              </w:rPr>
              <w:t>2,32%</w:t>
            </w:r>
          </w:p>
          <w:p w:rsidR="005E21E5" w:rsidRPr="0082461D" w:rsidRDefault="005E21E5" w:rsidP="001D547C">
            <w:pPr>
              <w:pStyle w:val="Tabletext"/>
              <w:jc w:val="right"/>
            </w:pPr>
            <w:r w:rsidRPr="0082461D">
              <w:rPr>
                <w:b/>
                <w:bCs/>
                <w:sz w:val="18"/>
                <w:szCs w:val="18"/>
              </w:rPr>
              <w:t>7,42%</w:t>
            </w:r>
          </w:p>
        </w:tc>
        <w:tc>
          <w:tcPr>
            <w:tcW w:w="5435" w:type="dxa"/>
            <w:tcBorders>
              <w:top w:val="single" w:sz="4" w:space="0" w:color="auto"/>
            </w:tcBorders>
          </w:tcPr>
          <w:p w:rsidR="0015116A" w:rsidRPr="0082461D" w:rsidRDefault="0015116A"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w:t>
            </w:r>
            <w:r w:rsidR="00CD1567" w:rsidRPr="0082461D">
              <w:rPr>
                <w:b/>
                <w:bCs/>
                <w:noProof/>
                <w:color w:val="4F81BD" w:themeColor="accent1"/>
                <w:sz w:val="18"/>
                <w:szCs w:val="18"/>
                <w:lang w:eastAsia="zh-CN"/>
              </w:rPr>
              <w:t>.</w:t>
            </w:r>
            <w:r w:rsidRPr="0082461D">
              <w:rPr>
                <w:b/>
                <w:bCs/>
                <w:noProof/>
                <w:color w:val="4F81BD" w:themeColor="accent1"/>
                <w:sz w:val="18"/>
                <w:szCs w:val="18"/>
                <w:lang w:eastAsia="zh-CN"/>
              </w:rPr>
              <w:t>3-1</w:t>
            </w:r>
            <w:r w:rsidRPr="0082461D">
              <w:rPr>
                <w:b/>
                <w:bCs/>
                <w:noProof/>
                <w:color w:val="4F81BD" w:themeColor="accent1"/>
                <w:sz w:val="18"/>
                <w:szCs w:val="18"/>
                <w:lang w:eastAsia="zh-CN"/>
              </w:rPr>
              <w:tab/>
            </w:r>
            <w:r w:rsidRPr="0082461D">
              <w:rPr>
                <w:noProof/>
                <w:sz w:val="18"/>
                <w:szCs w:val="18"/>
                <w:lang w:eastAsia="zh-CN"/>
              </w:rPr>
              <w:t>Rapports, lignes directrices</w:t>
            </w:r>
            <w:r w:rsidR="0042545C" w:rsidRPr="0082461D">
              <w:rPr>
                <w:noProof/>
                <w:sz w:val="18"/>
                <w:szCs w:val="18"/>
                <w:lang w:eastAsia="zh-CN"/>
              </w:rPr>
              <w:t>, normes</w:t>
            </w:r>
            <w:r w:rsidRPr="0082461D">
              <w:rPr>
                <w:noProof/>
                <w:sz w:val="18"/>
                <w:szCs w:val="18"/>
                <w:lang w:eastAsia="zh-CN"/>
              </w:rPr>
              <w:t xml:space="preserve"> et récapitulatifs concernant l'accessibilité des télécommunications/TIC</w:t>
            </w:r>
          </w:p>
        </w:tc>
        <w:tc>
          <w:tcPr>
            <w:tcW w:w="959" w:type="dxa"/>
            <w:tcBorders>
              <w:top w:val="single" w:sz="4" w:space="0" w:color="auto"/>
            </w:tcBorders>
          </w:tcPr>
          <w:p w:rsidR="0015116A" w:rsidRPr="0082461D" w:rsidRDefault="005E21E5" w:rsidP="001D547C">
            <w:pPr>
              <w:pStyle w:val="Tabletext"/>
              <w:jc w:val="center"/>
              <w:rPr>
                <w:sz w:val="18"/>
                <w:szCs w:val="18"/>
              </w:rPr>
            </w:pPr>
            <w:r w:rsidRPr="0082461D">
              <w:rPr>
                <w:sz w:val="18"/>
                <w:szCs w:val="18"/>
              </w:rPr>
              <w:t>1,3</w:t>
            </w:r>
            <w:r w:rsidR="00CD1567" w:rsidRPr="0082461D">
              <w:rPr>
                <w:sz w:val="18"/>
                <w:szCs w:val="18"/>
              </w:rPr>
              <w:t>%</w:t>
            </w:r>
          </w:p>
        </w:tc>
        <w:tc>
          <w:tcPr>
            <w:tcW w:w="872" w:type="dxa"/>
            <w:tcBorders>
              <w:top w:val="single" w:sz="4" w:space="0" w:color="auto"/>
            </w:tcBorders>
          </w:tcPr>
          <w:p w:rsidR="0015116A" w:rsidRPr="0082461D" w:rsidRDefault="005E21E5" w:rsidP="001D547C">
            <w:pPr>
              <w:pStyle w:val="Tabletext"/>
              <w:jc w:val="center"/>
              <w:rPr>
                <w:sz w:val="18"/>
                <w:szCs w:val="18"/>
              </w:rPr>
            </w:pPr>
            <w:r w:rsidRPr="0082461D">
              <w:rPr>
                <w:sz w:val="18"/>
                <w:szCs w:val="18"/>
              </w:rPr>
              <w:t>69,7</w:t>
            </w:r>
            <w:r w:rsidR="00CD1567" w:rsidRPr="0082461D">
              <w:rPr>
                <w:sz w:val="18"/>
                <w:szCs w:val="18"/>
              </w:rPr>
              <w:t>%</w:t>
            </w:r>
          </w:p>
        </w:tc>
      </w:tr>
      <w:tr w:rsidR="0015116A" w:rsidRPr="0082461D" w:rsidTr="00CD1567">
        <w:tc>
          <w:tcPr>
            <w:tcW w:w="6237" w:type="dxa"/>
            <w:vMerge/>
          </w:tcPr>
          <w:p w:rsidR="0015116A" w:rsidRPr="0082461D" w:rsidRDefault="0015116A" w:rsidP="001D547C">
            <w:pPr>
              <w:pStyle w:val="Tabletext"/>
            </w:pPr>
          </w:p>
        </w:tc>
        <w:tc>
          <w:tcPr>
            <w:tcW w:w="1234" w:type="dxa"/>
            <w:vMerge/>
          </w:tcPr>
          <w:p w:rsidR="0015116A" w:rsidRPr="0082461D" w:rsidRDefault="0015116A" w:rsidP="001D547C">
            <w:pPr>
              <w:pStyle w:val="Tabletext"/>
            </w:pPr>
          </w:p>
        </w:tc>
        <w:tc>
          <w:tcPr>
            <w:tcW w:w="5435" w:type="dxa"/>
          </w:tcPr>
          <w:p w:rsidR="0015116A" w:rsidRPr="0082461D" w:rsidRDefault="0015116A"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w:t>
            </w:r>
            <w:r w:rsidR="00CD1567" w:rsidRPr="0082461D">
              <w:rPr>
                <w:b/>
                <w:bCs/>
                <w:noProof/>
                <w:color w:val="4F81BD" w:themeColor="accent1"/>
                <w:sz w:val="18"/>
                <w:szCs w:val="18"/>
                <w:lang w:eastAsia="zh-CN"/>
              </w:rPr>
              <w:t>.</w:t>
            </w:r>
            <w:r w:rsidRPr="0082461D">
              <w:rPr>
                <w:b/>
                <w:bCs/>
                <w:noProof/>
                <w:color w:val="4F81BD" w:themeColor="accent1"/>
                <w:sz w:val="18"/>
                <w:szCs w:val="18"/>
                <w:lang w:eastAsia="zh-CN"/>
              </w:rPr>
              <w:t>3-2</w:t>
            </w:r>
            <w:r w:rsidRPr="0082461D">
              <w:rPr>
                <w:b/>
                <w:bCs/>
                <w:noProof/>
                <w:color w:val="4F81BD" w:themeColor="accent1"/>
                <w:sz w:val="18"/>
                <w:szCs w:val="18"/>
                <w:lang w:eastAsia="zh-CN"/>
              </w:rPr>
              <w:tab/>
            </w:r>
            <w:r w:rsidRPr="0082461D">
              <w:rPr>
                <w:noProof/>
                <w:sz w:val="18"/>
                <w:szCs w:val="18"/>
                <w:lang w:eastAsia="zh-CN"/>
              </w:rPr>
              <w:t>Mobilisation de ressources et de compétences techniques, par exemple, en encourageant une participation accrue des personnes handicapées et des personnes ayant des besoins particuliers aux réunions internationales et régionales</w:t>
            </w:r>
          </w:p>
        </w:tc>
        <w:tc>
          <w:tcPr>
            <w:tcW w:w="959" w:type="dxa"/>
          </w:tcPr>
          <w:p w:rsidR="0015116A" w:rsidRPr="0082461D" w:rsidRDefault="005E21E5" w:rsidP="001D547C">
            <w:pPr>
              <w:pStyle w:val="Tabletext"/>
              <w:jc w:val="center"/>
              <w:rPr>
                <w:sz w:val="18"/>
                <w:szCs w:val="18"/>
              </w:rPr>
            </w:pPr>
            <w:r w:rsidRPr="0082461D">
              <w:rPr>
                <w:sz w:val="18"/>
                <w:szCs w:val="18"/>
              </w:rPr>
              <w:t>0,1</w:t>
            </w:r>
            <w:r w:rsidR="00CD1567" w:rsidRPr="0082461D">
              <w:rPr>
                <w:sz w:val="18"/>
                <w:szCs w:val="18"/>
              </w:rPr>
              <w:t>%</w:t>
            </w:r>
          </w:p>
        </w:tc>
        <w:tc>
          <w:tcPr>
            <w:tcW w:w="872" w:type="dxa"/>
          </w:tcPr>
          <w:p w:rsidR="0015116A" w:rsidRPr="0082461D" w:rsidRDefault="005E21E5" w:rsidP="001D547C">
            <w:pPr>
              <w:pStyle w:val="Tabletext"/>
              <w:jc w:val="center"/>
              <w:rPr>
                <w:sz w:val="18"/>
                <w:szCs w:val="18"/>
              </w:rPr>
            </w:pPr>
            <w:r w:rsidRPr="0082461D">
              <w:rPr>
                <w:sz w:val="18"/>
                <w:szCs w:val="18"/>
              </w:rPr>
              <w:t>5,9</w:t>
            </w:r>
            <w:r w:rsidR="00CD1567" w:rsidRPr="0082461D">
              <w:rPr>
                <w:sz w:val="18"/>
                <w:szCs w:val="18"/>
              </w:rPr>
              <w:t>%</w:t>
            </w:r>
          </w:p>
        </w:tc>
      </w:tr>
      <w:tr w:rsidR="0015116A" w:rsidRPr="0082461D" w:rsidTr="00CD1567">
        <w:tc>
          <w:tcPr>
            <w:tcW w:w="6237" w:type="dxa"/>
            <w:vMerge/>
          </w:tcPr>
          <w:p w:rsidR="0015116A" w:rsidRPr="0082461D" w:rsidRDefault="0015116A" w:rsidP="001D547C">
            <w:pPr>
              <w:pStyle w:val="Tabletext"/>
            </w:pPr>
          </w:p>
        </w:tc>
        <w:tc>
          <w:tcPr>
            <w:tcW w:w="1234" w:type="dxa"/>
            <w:vMerge/>
          </w:tcPr>
          <w:p w:rsidR="0015116A" w:rsidRPr="0082461D" w:rsidRDefault="0015116A" w:rsidP="001D547C">
            <w:pPr>
              <w:pStyle w:val="Tabletext"/>
            </w:pPr>
          </w:p>
        </w:tc>
        <w:tc>
          <w:tcPr>
            <w:tcW w:w="5435" w:type="dxa"/>
          </w:tcPr>
          <w:p w:rsidR="0015116A" w:rsidRPr="0082461D" w:rsidRDefault="0015116A"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w:t>
            </w:r>
            <w:r w:rsidR="00CD1567" w:rsidRPr="0082461D">
              <w:rPr>
                <w:b/>
                <w:bCs/>
                <w:noProof/>
                <w:color w:val="4F81BD" w:themeColor="accent1"/>
                <w:sz w:val="18"/>
                <w:szCs w:val="18"/>
                <w:lang w:eastAsia="zh-CN"/>
              </w:rPr>
              <w:t>.</w:t>
            </w:r>
            <w:r w:rsidRPr="0082461D">
              <w:rPr>
                <w:b/>
                <w:bCs/>
                <w:noProof/>
                <w:color w:val="4F81BD" w:themeColor="accent1"/>
                <w:sz w:val="18"/>
                <w:szCs w:val="18"/>
                <w:lang w:eastAsia="zh-CN"/>
              </w:rPr>
              <w:t>3-3</w:t>
            </w:r>
            <w:r w:rsidRPr="0082461D">
              <w:rPr>
                <w:b/>
                <w:bCs/>
                <w:noProof/>
                <w:color w:val="4F81BD" w:themeColor="accent1"/>
                <w:sz w:val="18"/>
                <w:szCs w:val="18"/>
                <w:lang w:eastAsia="zh-CN"/>
              </w:rPr>
              <w:tab/>
            </w:r>
            <w:r w:rsidRPr="0082461D">
              <w:rPr>
                <w:noProof/>
                <w:sz w:val="18"/>
                <w:szCs w:val="18"/>
                <w:lang w:eastAsia="zh-CN"/>
              </w:rPr>
              <w:t xml:space="preserve">Poursuite de l'amélioration et de la mise en </w:t>
            </w:r>
            <w:r w:rsidR="00C63117">
              <w:rPr>
                <w:noProof/>
                <w:sz w:val="18"/>
                <w:szCs w:val="18"/>
                <w:lang w:eastAsia="zh-CN"/>
              </w:rPr>
              <w:t>œ</w:t>
            </w:r>
            <w:r w:rsidRPr="0082461D">
              <w:rPr>
                <w:noProof/>
                <w:sz w:val="18"/>
                <w:szCs w:val="18"/>
                <w:lang w:eastAsia="zh-CN"/>
              </w:rPr>
              <w:t>uvre de la politique de l'UIT en matière d'accessibilité et des plans connexes</w:t>
            </w:r>
          </w:p>
        </w:tc>
        <w:tc>
          <w:tcPr>
            <w:tcW w:w="959" w:type="dxa"/>
          </w:tcPr>
          <w:p w:rsidR="0015116A" w:rsidRPr="0082461D" w:rsidRDefault="005E21E5" w:rsidP="001D547C">
            <w:pPr>
              <w:pStyle w:val="Tabletext"/>
              <w:jc w:val="center"/>
              <w:rPr>
                <w:sz w:val="18"/>
                <w:szCs w:val="18"/>
              </w:rPr>
            </w:pPr>
            <w:r w:rsidRPr="0082461D">
              <w:rPr>
                <w:sz w:val="18"/>
                <w:szCs w:val="18"/>
              </w:rPr>
              <w:t>0,2</w:t>
            </w:r>
            <w:r w:rsidR="00CD1567" w:rsidRPr="0082461D">
              <w:rPr>
                <w:sz w:val="18"/>
                <w:szCs w:val="18"/>
              </w:rPr>
              <w:t>%</w:t>
            </w:r>
          </w:p>
        </w:tc>
        <w:tc>
          <w:tcPr>
            <w:tcW w:w="872" w:type="dxa"/>
          </w:tcPr>
          <w:p w:rsidR="0015116A" w:rsidRPr="0082461D" w:rsidRDefault="005E21E5" w:rsidP="001D547C">
            <w:pPr>
              <w:pStyle w:val="Tabletext"/>
              <w:jc w:val="center"/>
              <w:rPr>
                <w:sz w:val="18"/>
                <w:szCs w:val="18"/>
              </w:rPr>
            </w:pPr>
            <w:r w:rsidRPr="0082461D">
              <w:rPr>
                <w:sz w:val="18"/>
                <w:szCs w:val="18"/>
              </w:rPr>
              <w:t>10,7</w:t>
            </w:r>
            <w:r w:rsidR="00CD1567" w:rsidRPr="0082461D">
              <w:rPr>
                <w:sz w:val="18"/>
                <w:szCs w:val="18"/>
              </w:rPr>
              <w:t>%</w:t>
            </w:r>
          </w:p>
        </w:tc>
      </w:tr>
      <w:tr w:rsidR="0015116A" w:rsidRPr="0082461D" w:rsidTr="00CD1567">
        <w:trPr>
          <w:trHeight w:val="70"/>
        </w:trPr>
        <w:tc>
          <w:tcPr>
            <w:tcW w:w="6237" w:type="dxa"/>
            <w:vMerge/>
          </w:tcPr>
          <w:p w:rsidR="0015116A" w:rsidRPr="0082461D" w:rsidRDefault="0015116A" w:rsidP="001D547C">
            <w:pPr>
              <w:pStyle w:val="Tabletext"/>
            </w:pPr>
          </w:p>
        </w:tc>
        <w:tc>
          <w:tcPr>
            <w:tcW w:w="1234" w:type="dxa"/>
            <w:vMerge/>
          </w:tcPr>
          <w:p w:rsidR="0015116A" w:rsidRPr="0082461D" w:rsidRDefault="0015116A" w:rsidP="001D547C">
            <w:pPr>
              <w:pStyle w:val="Tabletext"/>
            </w:pPr>
          </w:p>
        </w:tc>
        <w:tc>
          <w:tcPr>
            <w:tcW w:w="5435" w:type="dxa"/>
            <w:tcBorders>
              <w:bottom w:val="single" w:sz="4" w:space="0" w:color="auto"/>
            </w:tcBorders>
          </w:tcPr>
          <w:p w:rsidR="0015116A" w:rsidRPr="0082461D" w:rsidRDefault="0015116A"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w:t>
            </w:r>
            <w:r w:rsidR="00CD1567" w:rsidRPr="0082461D">
              <w:rPr>
                <w:b/>
                <w:bCs/>
                <w:noProof/>
                <w:color w:val="4F81BD" w:themeColor="accent1"/>
                <w:sz w:val="18"/>
                <w:szCs w:val="18"/>
                <w:lang w:eastAsia="zh-CN"/>
              </w:rPr>
              <w:t>.</w:t>
            </w:r>
            <w:r w:rsidRPr="0082461D">
              <w:rPr>
                <w:b/>
                <w:bCs/>
                <w:noProof/>
                <w:color w:val="4F81BD" w:themeColor="accent1"/>
                <w:sz w:val="18"/>
                <w:szCs w:val="18"/>
                <w:lang w:eastAsia="zh-CN"/>
              </w:rPr>
              <w:t>3-4</w:t>
            </w:r>
            <w:r w:rsidRPr="0082461D">
              <w:rPr>
                <w:b/>
                <w:bCs/>
                <w:noProof/>
                <w:color w:val="4F81BD" w:themeColor="accent1"/>
                <w:sz w:val="18"/>
                <w:szCs w:val="18"/>
                <w:lang w:eastAsia="zh-CN"/>
              </w:rPr>
              <w:tab/>
            </w:r>
            <w:r w:rsidRPr="0082461D">
              <w:rPr>
                <w:noProof/>
                <w:sz w:val="18"/>
                <w:szCs w:val="18"/>
                <w:lang w:eastAsia="zh-CN"/>
              </w:rPr>
              <w:t>Campagnes de sensibilisation, tant au niveau des Nations Unies qu'aux niveaux régional et national</w:t>
            </w:r>
          </w:p>
        </w:tc>
        <w:tc>
          <w:tcPr>
            <w:tcW w:w="959" w:type="dxa"/>
            <w:tcBorders>
              <w:bottom w:val="single" w:sz="4" w:space="0" w:color="auto"/>
            </w:tcBorders>
          </w:tcPr>
          <w:p w:rsidR="0015116A" w:rsidRPr="0082461D" w:rsidRDefault="005E21E5" w:rsidP="001D547C">
            <w:pPr>
              <w:pStyle w:val="Tabletext"/>
              <w:jc w:val="center"/>
              <w:rPr>
                <w:sz w:val="18"/>
                <w:szCs w:val="18"/>
              </w:rPr>
            </w:pPr>
            <w:r w:rsidRPr="0082461D">
              <w:rPr>
                <w:sz w:val="18"/>
                <w:szCs w:val="18"/>
              </w:rPr>
              <w:t>0,3</w:t>
            </w:r>
            <w:r w:rsidR="00CD1567" w:rsidRPr="0082461D">
              <w:rPr>
                <w:sz w:val="18"/>
                <w:szCs w:val="18"/>
              </w:rPr>
              <w:t>%</w:t>
            </w:r>
          </w:p>
        </w:tc>
        <w:tc>
          <w:tcPr>
            <w:tcW w:w="872" w:type="dxa"/>
            <w:tcBorders>
              <w:bottom w:val="single" w:sz="4" w:space="0" w:color="auto"/>
            </w:tcBorders>
          </w:tcPr>
          <w:p w:rsidR="0015116A" w:rsidRPr="0082461D" w:rsidRDefault="005E21E5" w:rsidP="001D547C">
            <w:pPr>
              <w:pStyle w:val="Tabletext"/>
              <w:jc w:val="center"/>
              <w:rPr>
                <w:sz w:val="18"/>
                <w:szCs w:val="18"/>
              </w:rPr>
            </w:pPr>
            <w:r w:rsidRPr="0082461D">
              <w:rPr>
                <w:sz w:val="18"/>
                <w:szCs w:val="18"/>
              </w:rPr>
              <w:t>13,6</w:t>
            </w:r>
            <w:r w:rsidR="00CD1567" w:rsidRPr="0082461D">
              <w:rPr>
                <w:sz w:val="18"/>
                <w:szCs w:val="18"/>
              </w:rPr>
              <w:t>%</w:t>
            </w:r>
          </w:p>
        </w:tc>
      </w:tr>
    </w:tbl>
    <w:p w:rsidR="00CD1567" w:rsidRPr="0082461D" w:rsidRDefault="00CD1567" w:rsidP="001D547C">
      <w:pPr>
        <w:tabs>
          <w:tab w:val="clear" w:pos="794"/>
          <w:tab w:val="clear" w:pos="1191"/>
          <w:tab w:val="clear" w:pos="1588"/>
          <w:tab w:val="clear" w:pos="1985"/>
        </w:tabs>
        <w:overflowPunct/>
        <w:autoSpaceDE/>
        <w:autoSpaceDN/>
        <w:adjustRightInd/>
        <w:spacing w:before="0"/>
        <w:textAlignment w:val="auto"/>
      </w:pPr>
      <w:r w:rsidRPr="0082461D">
        <w:br w:type="page"/>
      </w:r>
    </w:p>
    <w:tbl>
      <w:tblPr>
        <w:tblStyle w:val="TableGrid"/>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1"/>
        <w:gridCol w:w="5435"/>
        <w:gridCol w:w="959"/>
        <w:gridCol w:w="872"/>
      </w:tblGrid>
      <w:tr w:rsidR="00A95985" w:rsidRPr="0082461D" w:rsidTr="005C1F4B">
        <w:trPr>
          <w:trHeight w:val="411"/>
        </w:trPr>
        <w:tc>
          <w:tcPr>
            <w:tcW w:w="7471" w:type="dxa"/>
            <w:vMerge w:val="restart"/>
          </w:tcPr>
          <w:p w:rsidR="00A95985" w:rsidRPr="0082461D" w:rsidRDefault="00A95985" w:rsidP="001D547C">
            <w:pPr>
              <w:pStyle w:val="Tabletext"/>
            </w:pPr>
          </w:p>
        </w:tc>
        <w:tc>
          <w:tcPr>
            <w:tcW w:w="5435" w:type="dxa"/>
            <w:tcBorders>
              <w:top w:val="single" w:sz="4" w:space="0" w:color="auto"/>
            </w:tcBorders>
          </w:tcPr>
          <w:p w:rsidR="00A95985" w:rsidRPr="0082461D" w:rsidRDefault="00A95985"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I.4-1</w:t>
            </w:r>
            <w:r w:rsidRPr="0082461D">
              <w:rPr>
                <w:b/>
                <w:bCs/>
                <w:noProof/>
                <w:color w:val="4F81BD" w:themeColor="accent1"/>
                <w:sz w:val="18"/>
                <w:szCs w:val="18"/>
                <w:lang w:eastAsia="zh-CN"/>
              </w:rPr>
              <w:tab/>
            </w:r>
            <w:r w:rsidRPr="0082461D">
              <w:rPr>
                <w:noProof/>
                <w:sz w:val="18"/>
                <w:szCs w:val="18"/>
                <w:lang w:eastAsia="zh-CN"/>
              </w:rPr>
              <w:t xml:space="preserve">Kits pratiques, outils d'évaluation et lignes directrices pour l'élaboration de politiques et le développement des compétences et autres pratiques de mise en </w:t>
            </w:r>
            <w:r w:rsidR="00C63117">
              <w:rPr>
                <w:noProof/>
                <w:sz w:val="18"/>
                <w:szCs w:val="18"/>
                <w:lang w:eastAsia="zh-CN"/>
              </w:rPr>
              <w:t>œ</w:t>
            </w:r>
            <w:r w:rsidRPr="0082461D">
              <w:rPr>
                <w:noProof/>
                <w:sz w:val="18"/>
                <w:szCs w:val="18"/>
                <w:lang w:eastAsia="zh-CN"/>
              </w:rPr>
              <w:t>uvre</w:t>
            </w:r>
          </w:p>
        </w:tc>
        <w:tc>
          <w:tcPr>
            <w:tcW w:w="959" w:type="dxa"/>
            <w:tcBorders>
              <w:top w:val="single" w:sz="4" w:space="0" w:color="auto"/>
            </w:tcBorders>
          </w:tcPr>
          <w:p w:rsidR="00A95985" w:rsidRPr="0082461D" w:rsidRDefault="00A95985" w:rsidP="001D547C">
            <w:pPr>
              <w:pStyle w:val="Tabletext"/>
              <w:jc w:val="center"/>
              <w:rPr>
                <w:sz w:val="18"/>
                <w:szCs w:val="18"/>
              </w:rPr>
            </w:pPr>
            <w:r w:rsidRPr="0082461D">
              <w:rPr>
                <w:sz w:val="18"/>
                <w:szCs w:val="18"/>
              </w:rPr>
              <w:t>1,7%</w:t>
            </w:r>
          </w:p>
        </w:tc>
        <w:tc>
          <w:tcPr>
            <w:tcW w:w="872" w:type="dxa"/>
            <w:tcBorders>
              <w:top w:val="single" w:sz="4" w:space="0" w:color="auto"/>
            </w:tcBorders>
          </w:tcPr>
          <w:p w:rsidR="00A95985" w:rsidRPr="0082461D" w:rsidRDefault="00A95985" w:rsidP="001D547C">
            <w:pPr>
              <w:pStyle w:val="Tabletext"/>
              <w:jc w:val="center"/>
              <w:rPr>
                <w:sz w:val="18"/>
                <w:szCs w:val="18"/>
              </w:rPr>
            </w:pPr>
            <w:r w:rsidRPr="0082461D">
              <w:rPr>
                <w:sz w:val="18"/>
                <w:szCs w:val="18"/>
              </w:rPr>
              <w:t>23,1%</w:t>
            </w:r>
          </w:p>
        </w:tc>
      </w:tr>
      <w:tr w:rsidR="00A95985" w:rsidRPr="0082461D" w:rsidTr="005C1F4B">
        <w:tc>
          <w:tcPr>
            <w:tcW w:w="7471" w:type="dxa"/>
            <w:vMerge/>
          </w:tcPr>
          <w:p w:rsidR="00A95985" w:rsidRPr="0082461D" w:rsidRDefault="00A95985" w:rsidP="001D547C">
            <w:pPr>
              <w:pStyle w:val="Tabletext"/>
            </w:pPr>
          </w:p>
        </w:tc>
        <w:tc>
          <w:tcPr>
            <w:tcW w:w="5435" w:type="dxa"/>
          </w:tcPr>
          <w:p w:rsidR="00A95985" w:rsidRPr="0082461D" w:rsidRDefault="00A95985"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I.4-2</w:t>
            </w:r>
            <w:r w:rsidRPr="0082461D">
              <w:rPr>
                <w:b/>
                <w:bCs/>
                <w:noProof/>
                <w:color w:val="4F81BD" w:themeColor="accent1"/>
                <w:sz w:val="18"/>
                <w:szCs w:val="18"/>
                <w:lang w:eastAsia="zh-CN"/>
              </w:rPr>
              <w:tab/>
            </w:r>
            <w:r w:rsidRPr="0082461D">
              <w:rPr>
                <w:noProof/>
                <w:sz w:val="18"/>
                <w:szCs w:val="18"/>
                <w:lang w:eastAsia="zh-CN"/>
              </w:rPr>
              <w:t>Réseaux, collaboration, initiatives et partenariats</w:t>
            </w:r>
          </w:p>
        </w:tc>
        <w:tc>
          <w:tcPr>
            <w:tcW w:w="959" w:type="dxa"/>
          </w:tcPr>
          <w:p w:rsidR="00A95985" w:rsidRPr="0082461D" w:rsidRDefault="00A95985" w:rsidP="001D547C">
            <w:pPr>
              <w:pStyle w:val="Tabletext"/>
              <w:jc w:val="center"/>
              <w:rPr>
                <w:sz w:val="18"/>
                <w:szCs w:val="18"/>
              </w:rPr>
            </w:pPr>
            <w:r w:rsidRPr="0082461D">
              <w:rPr>
                <w:sz w:val="18"/>
                <w:szCs w:val="18"/>
              </w:rPr>
              <w:t>2,7%</w:t>
            </w:r>
          </w:p>
        </w:tc>
        <w:tc>
          <w:tcPr>
            <w:tcW w:w="872" w:type="dxa"/>
          </w:tcPr>
          <w:p w:rsidR="00A95985" w:rsidRPr="0082461D" w:rsidRDefault="00A95985" w:rsidP="001D547C">
            <w:pPr>
              <w:pStyle w:val="Tabletext"/>
              <w:jc w:val="center"/>
              <w:rPr>
                <w:sz w:val="18"/>
                <w:szCs w:val="18"/>
              </w:rPr>
            </w:pPr>
            <w:r w:rsidRPr="0082461D">
              <w:rPr>
                <w:sz w:val="18"/>
                <w:szCs w:val="18"/>
              </w:rPr>
              <w:t>36,8%</w:t>
            </w:r>
          </w:p>
        </w:tc>
      </w:tr>
      <w:tr w:rsidR="00A95985" w:rsidRPr="0082461D" w:rsidTr="005C1F4B">
        <w:tc>
          <w:tcPr>
            <w:tcW w:w="7471" w:type="dxa"/>
            <w:vMerge/>
          </w:tcPr>
          <w:p w:rsidR="00A95985" w:rsidRPr="0082461D" w:rsidRDefault="00A95985" w:rsidP="001D547C">
            <w:pPr>
              <w:pStyle w:val="Tabletext"/>
            </w:pPr>
          </w:p>
        </w:tc>
        <w:tc>
          <w:tcPr>
            <w:tcW w:w="5435" w:type="dxa"/>
          </w:tcPr>
          <w:p w:rsidR="00A95985" w:rsidRPr="0082461D" w:rsidRDefault="00A95985"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I.4-3</w:t>
            </w:r>
            <w:r w:rsidRPr="0082461D">
              <w:rPr>
                <w:b/>
                <w:bCs/>
                <w:noProof/>
                <w:color w:val="4F81BD" w:themeColor="accent1"/>
                <w:sz w:val="18"/>
                <w:szCs w:val="18"/>
                <w:lang w:eastAsia="zh-CN"/>
              </w:rPr>
              <w:tab/>
            </w:r>
            <w:r w:rsidRPr="0082461D">
              <w:rPr>
                <w:noProof/>
                <w:sz w:val="18"/>
                <w:szCs w:val="18"/>
                <w:lang w:eastAsia="zh-CN"/>
              </w:rPr>
              <w:t>Campagnes de sensibilisation, tant au niveau des Nations Unies qu'aux niveaux régional et national</w:t>
            </w:r>
          </w:p>
        </w:tc>
        <w:tc>
          <w:tcPr>
            <w:tcW w:w="959" w:type="dxa"/>
          </w:tcPr>
          <w:p w:rsidR="00A95985" w:rsidRPr="0082461D" w:rsidRDefault="00A95985" w:rsidP="001D547C">
            <w:pPr>
              <w:pStyle w:val="Tabletext"/>
              <w:jc w:val="center"/>
              <w:rPr>
                <w:sz w:val="18"/>
                <w:szCs w:val="18"/>
              </w:rPr>
            </w:pPr>
            <w:r w:rsidRPr="0082461D">
              <w:rPr>
                <w:sz w:val="18"/>
                <w:szCs w:val="18"/>
              </w:rPr>
              <w:t>2,0%</w:t>
            </w:r>
          </w:p>
        </w:tc>
        <w:tc>
          <w:tcPr>
            <w:tcW w:w="872" w:type="dxa"/>
          </w:tcPr>
          <w:p w:rsidR="00A95985" w:rsidRPr="0082461D" w:rsidRDefault="00A95985" w:rsidP="001D547C">
            <w:pPr>
              <w:pStyle w:val="Tabletext"/>
              <w:jc w:val="center"/>
              <w:rPr>
                <w:sz w:val="18"/>
                <w:szCs w:val="18"/>
              </w:rPr>
            </w:pPr>
            <w:r w:rsidRPr="0082461D">
              <w:rPr>
                <w:sz w:val="18"/>
                <w:szCs w:val="18"/>
              </w:rPr>
              <w:t>26,8%</w:t>
            </w:r>
          </w:p>
        </w:tc>
      </w:tr>
      <w:tr w:rsidR="00A95985" w:rsidRPr="0082461D" w:rsidTr="005C1F4B">
        <w:tc>
          <w:tcPr>
            <w:tcW w:w="7471" w:type="dxa"/>
            <w:vMerge/>
          </w:tcPr>
          <w:p w:rsidR="00A95985" w:rsidRPr="0082461D" w:rsidRDefault="00A95985" w:rsidP="001D547C">
            <w:pPr>
              <w:pStyle w:val="Tabletext"/>
            </w:pPr>
          </w:p>
        </w:tc>
        <w:tc>
          <w:tcPr>
            <w:tcW w:w="5435" w:type="dxa"/>
            <w:tcBorders>
              <w:bottom w:val="single" w:sz="4" w:space="0" w:color="auto"/>
            </w:tcBorders>
          </w:tcPr>
          <w:p w:rsidR="00A95985" w:rsidRPr="0082461D" w:rsidRDefault="00A95985"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I.4-4</w:t>
            </w:r>
            <w:r w:rsidRPr="0082461D">
              <w:rPr>
                <w:b/>
                <w:bCs/>
                <w:noProof/>
                <w:color w:val="4F81BD" w:themeColor="accent1"/>
                <w:sz w:val="18"/>
                <w:szCs w:val="18"/>
                <w:lang w:eastAsia="zh-CN"/>
              </w:rPr>
              <w:tab/>
            </w:r>
            <w:r w:rsidRPr="0082461D">
              <w:rPr>
                <w:noProof/>
                <w:sz w:val="18"/>
                <w:szCs w:val="18"/>
                <w:lang w:eastAsia="zh-CN"/>
              </w:rPr>
              <w:t>Appui au partenariat Equals</w:t>
            </w:r>
          </w:p>
        </w:tc>
        <w:tc>
          <w:tcPr>
            <w:tcW w:w="959" w:type="dxa"/>
            <w:tcBorders>
              <w:bottom w:val="single" w:sz="4" w:space="0" w:color="auto"/>
            </w:tcBorders>
          </w:tcPr>
          <w:p w:rsidR="00A95985" w:rsidRPr="0082461D" w:rsidRDefault="00A95985" w:rsidP="001D547C">
            <w:pPr>
              <w:pStyle w:val="Tabletext"/>
              <w:jc w:val="center"/>
              <w:rPr>
                <w:sz w:val="18"/>
                <w:szCs w:val="18"/>
              </w:rPr>
            </w:pPr>
            <w:r w:rsidRPr="0082461D">
              <w:rPr>
                <w:sz w:val="18"/>
                <w:szCs w:val="18"/>
              </w:rPr>
              <w:t>1,0%</w:t>
            </w:r>
          </w:p>
        </w:tc>
        <w:tc>
          <w:tcPr>
            <w:tcW w:w="872" w:type="dxa"/>
            <w:tcBorders>
              <w:bottom w:val="single" w:sz="4" w:space="0" w:color="auto"/>
            </w:tcBorders>
          </w:tcPr>
          <w:p w:rsidR="00A95985" w:rsidRPr="0082461D" w:rsidRDefault="00A95985" w:rsidP="001D547C">
            <w:pPr>
              <w:pStyle w:val="Tabletext"/>
              <w:jc w:val="center"/>
              <w:rPr>
                <w:sz w:val="18"/>
                <w:szCs w:val="18"/>
              </w:rPr>
            </w:pPr>
            <w:r w:rsidRPr="0082461D">
              <w:rPr>
                <w:sz w:val="18"/>
                <w:szCs w:val="18"/>
              </w:rPr>
              <w:t>13,2%</w:t>
            </w:r>
          </w:p>
        </w:tc>
      </w:tr>
      <w:tr w:rsidR="00A95985" w:rsidRPr="0082461D" w:rsidTr="005C1F4B">
        <w:tc>
          <w:tcPr>
            <w:tcW w:w="7471" w:type="dxa"/>
            <w:vMerge/>
          </w:tcPr>
          <w:p w:rsidR="00A95985" w:rsidRPr="0082461D" w:rsidRDefault="00A95985" w:rsidP="001D547C">
            <w:pPr>
              <w:pStyle w:val="Tabletext"/>
            </w:pPr>
          </w:p>
        </w:tc>
        <w:tc>
          <w:tcPr>
            <w:tcW w:w="5435" w:type="dxa"/>
            <w:tcBorders>
              <w:top w:val="single" w:sz="4" w:space="0" w:color="auto"/>
            </w:tcBorders>
          </w:tcPr>
          <w:p w:rsidR="00A95985" w:rsidRPr="0082461D" w:rsidRDefault="00A95985"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I.5-1</w:t>
            </w:r>
            <w:r w:rsidRPr="0082461D">
              <w:rPr>
                <w:b/>
                <w:bCs/>
                <w:noProof/>
                <w:color w:val="4F81BD" w:themeColor="accent1"/>
                <w:sz w:val="18"/>
                <w:szCs w:val="18"/>
                <w:lang w:eastAsia="zh-CN"/>
              </w:rPr>
              <w:tab/>
            </w:r>
            <w:r w:rsidRPr="0082461D">
              <w:rPr>
                <w:noProof/>
                <w:sz w:val="18"/>
                <w:szCs w:val="18"/>
                <w:lang w:eastAsia="zh-CN"/>
              </w:rPr>
              <w:t>Politiques et normes en matière d'efficacité énergétique</w:t>
            </w:r>
          </w:p>
        </w:tc>
        <w:tc>
          <w:tcPr>
            <w:tcW w:w="959" w:type="dxa"/>
            <w:tcBorders>
              <w:top w:val="single" w:sz="4" w:space="0" w:color="auto"/>
            </w:tcBorders>
          </w:tcPr>
          <w:p w:rsidR="00A95985" w:rsidRPr="0082461D" w:rsidRDefault="00A95985" w:rsidP="001D547C">
            <w:pPr>
              <w:pStyle w:val="Tabletext"/>
              <w:jc w:val="center"/>
              <w:rPr>
                <w:sz w:val="18"/>
                <w:szCs w:val="18"/>
              </w:rPr>
            </w:pPr>
            <w:r w:rsidRPr="0082461D">
              <w:rPr>
                <w:sz w:val="18"/>
                <w:szCs w:val="18"/>
              </w:rPr>
              <w:t>0,8%</w:t>
            </w:r>
          </w:p>
        </w:tc>
        <w:tc>
          <w:tcPr>
            <w:tcW w:w="872" w:type="dxa"/>
            <w:tcBorders>
              <w:top w:val="single" w:sz="4" w:space="0" w:color="auto"/>
            </w:tcBorders>
          </w:tcPr>
          <w:p w:rsidR="00A95985" w:rsidRPr="0082461D" w:rsidRDefault="00A95985" w:rsidP="001D547C">
            <w:pPr>
              <w:pStyle w:val="Tabletext"/>
              <w:jc w:val="center"/>
              <w:rPr>
                <w:sz w:val="18"/>
                <w:szCs w:val="18"/>
              </w:rPr>
            </w:pPr>
            <w:r w:rsidRPr="0082461D">
              <w:rPr>
                <w:sz w:val="18"/>
                <w:szCs w:val="18"/>
              </w:rPr>
              <w:t>33,3%</w:t>
            </w:r>
          </w:p>
        </w:tc>
      </w:tr>
      <w:tr w:rsidR="00A95985" w:rsidRPr="0082461D" w:rsidTr="005C1F4B">
        <w:tc>
          <w:tcPr>
            <w:tcW w:w="7471" w:type="dxa"/>
            <w:vMerge/>
          </w:tcPr>
          <w:p w:rsidR="00A95985" w:rsidRPr="0082461D" w:rsidRDefault="00A95985" w:rsidP="001D547C">
            <w:pPr>
              <w:pStyle w:val="Tabletext"/>
            </w:pPr>
          </w:p>
        </w:tc>
        <w:tc>
          <w:tcPr>
            <w:tcW w:w="5435" w:type="dxa"/>
          </w:tcPr>
          <w:p w:rsidR="00A95985" w:rsidRPr="0082461D" w:rsidRDefault="00A95985"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I.5-2</w:t>
            </w:r>
            <w:r w:rsidRPr="0082461D">
              <w:rPr>
                <w:b/>
                <w:bCs/>
                <w:noProof/>
                <w:color w:val="4F81BD" w:themeColor="accent1"/>
                <w:sz w:val="18"/>
                <w:szCs w:val="18"/>
                <w:lang w:eastAsia="zh-CN"/>
              </w:rPr>
              <w:tab/>
            </w:r>
            <w:r w:rsidRPr="0082461D">
              <w:rPr>
                <w:noProof/>
                <w:sz w:val="18"/>
                <w:szCs w:val="18"/>
                <w:lang w:eastAsia="zh-CN"/>
              </w:rPr>
              <w:t>Sécurité et performance environnementale des équipements et des installations TIC (gestion des déchets d'équipements électriques et électroniques)</w:t>
            </w:r>
          </w:p>
        </w:tc>
        <w:tc>
          <w:tcPr>
            <w:tcW w:w="959" w:type="dxa"/>
          </w:tcPr>
          <w:p w:rsidR="00A95985" w:rsidRPr="0082461D" w:rsidRDefault="00A95985" w:rsidP="001D547C">
            <w:pPr>
              <w:pStyle w:val="Tabletext"/>
              <w:jc w:val="center"/>
              <w:rPr>
                <w:sz w:val="18"/>
                <w:szCs w:val="18"/>
              </w:rPr>
            </w:pPr>
            <w:r w:rsidRPr="0082461D">
              <w:rPr>
                <w:sz w:val="18"/>
                <w:szCs w:val="18"/>
              </w:rPr>
              <w:t>0,8%</w:t>
            </w:r>
          </w:p>
        </w:tc>
        <w:tc>
          <w:tcPr>
            <w:tcW w:w="872" w:type="dxa"/>
          </w:tcPr>
          <w:p w:rsidR="00A95985" w:rsidRPr="0082461D" w:rsidRDefault="00A95985" w:rsidP="001D547C">
            <w:pPr>
              <w:pStyle w:val="Tabletext"/>
              <w:jc w:val="center"/>
              <w:rPr>
                <w:sz w:val="18"/>
                <w:szCs w:val="18"/>
              </w:rPr>
            </w:pPr>
            <w:r w:rsidRPr="0082461D">
              <w:rPr>
                <w:sz w:val="18"/>
                <w:szCs w:val="18"/>
              </w:rPr>
              <w:t>33,3%</w:t>
            </w:r>
          </w:p>
        </w:tc>
      </w:tr>
      <w:tr w:rsidR="00A95985" w:rsidRPr="0082461D" w:rsidTr="005C1F4B">
        <w:tc>
          <w:tcPr>
            <w:tcW w:w="7471" w:type="dxa"/>
            <w:vMerge/>
          </w:tcPr>
          <w:p w:rsidR="00A95985" w:rsidRPr="0082461D" w:rsidRDefault="00A95985" w:rsidP="001D547C">
            <w:pPr>
              <w:pStyle w:val="Tabletext"/>
            </w:pPr>
          </w:p>
        </w:tc>
        <w:tc>
          <w:tcPr>
            <w:tcW w:w="5435" w:type="dxa"/>
            <w:tcBorders>
              <w:bottom w:val="single" w:sz="4" w:space="0" w:color="auto"/>
            </w:tcBorders>
          </w:tcPr>
          <w:p w:rsidR="00A95985" w:rsidRPr="0082461D" w:rsidRDefault="00A95985"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I.5-3</w:t>
            </w:r>
            <w:r w:rsidRPr="0082461D">
              <w:rPr>
                <w:b/>
                <w:bCs/>
                <w:noProof/>
                <w:color w:val="4F81BD" w:themeColor="accent1"/>
                <w:sz w:val="18"/>
                <w:szCs w:val="18"/>
                <w:lang w:eastAsia="zh-CN"/>
              </w:rPr>
              <w:tab/>
            </w:r>
            <w:r w:rsidRPr="0082461D">
              <w:rPr>
                <w:noProof/>
                <w:sz w:val="18"/>
                <w:szCs w:val="18"/>
                <w:lang w:eastAsia="zh-CN"/>
              </w:rPr>
              <w:t>Plate-forme mondiale pour les villes intelligentes et durables, y compris élaboration d'indicateurs fondamentaux de performance</w:t>
            </w:r>
            <w:r w:rsidR="0012375F" w:rsidRPr="0082461D">
              <w:rPr>
                <w:noProof/>
                <w:sz w:val="18"/>
                <w:szCs w:val="18"/>
                <w:lang w:eastAsia="zh-CN"/>
              </w:rPr>
              <w:t xml:space="preserve"> (IFP)</w:t>
            </w:r>
          </w:p>
        </w:tc>
        <w:tc>
          <w:tcPr>
            <w:tcW w:w="959" w:type="dxa"/>
            <w:tcBorders>
              <w:bottom w:val="single" w:sz="4" w:space="0" w:color="auto"/>
            </w:tcBorders>
          </w:tcPr>
          <w:p w:rsidR="00A95985" w:rsidRPr="0082461D" w:rsidRDefault="00A95985" w:rsidP="001D547C">
            <w:pPr>
              <w:pStyle w:val="Tabletext"/>
              <w:jc w:val="center"/>
              <w:rPr>
                <w:sz w:val="18"/>
                <w:szCs w:val="18"/>
              </w:rPr>
            </w:pPr>
            <w:r w:rsidRPr="0082461D">
              <w:rPr>
                <w:sz w:val="18"/>
                <w:szCs w:val="18"/>
              </w:rPr>
              <w:t>0,8%</w:t>
            </w:r>
          </w:p>
        </w:tc>
        <w:tc>
          <w:tcPr>
            <w:tcW w:w="872" w:type="dxa"/>
            <w:tcBorders>
              <w:bottom w:val="single" w:sz="4" w:space="0" w:color="auto"/>
            </w:tcBorders>
          </w:tcPr>
          <w:p w:rsidR="00A95985" w:rsidRPr="0082461D" w:rsidRDefault="00A95985" w:rsidP="001D547C">
            <w:pPr>
              <w:pStyle w:val="Tabletext"/>
              <w:jc w:val="center"/>
              <w:rPr>
                <w:sz w:val="18"/>
                <w:szCs w:val="18"/>
              </w:rPr>
            </w:pPr>
            <w:r w:rsidRPr="0082461D">
              <w:rPr>
                <w:sz w:val="18"/>
                <w:szCs w:val="18"/>
              </w:rPr>
              <w:t>33,3%</w:t>
            </w:r>
          </w:p>
        </w:tc>
      </w:tr>
      <w:tr w:rsidR="00A95985" w:rsidRPr="0082461D" w:rsidTr="0012375F">
        <w:tc>
          <w:tcPr>
            <w:tcW w:w="7471" w:type="dxa"/>
            <w:vMerge/>
          </w:tcPr>
          <w:p w:rsidR="00A95985" w:rsidRPr="0082461D" w:rsidRDefault="00A95985" w:rsidP="001D547C">
            <w:pPr>
              <w:pStyle w:val="Tabletext"/>
            </w:pPr>
          </w:p>
        </w:tc>
        <w:tc>
          <w:tcPr>
            <w:tcW w:w="5435" w:type="dxa"/>
            <w:tcBorders>
              <w:top w:val="single" w:sz="4" w:space="0" w:color="auto"/>
            </w:tcBorders>
          </w:tcPr>
          <w:p w:rsidR="00A95985" w:rsidRPr="0082461D" w:rsidRDefault="00A95985"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I.6-1</w:t>
            </w:r>
            <w:r w:rsidRPr="0082461D">
              <w:rPr>
                <w:b/>
                <w:bCs/>
                <w:noProof/>
                <w:color w:val="4F81BD" w:themeColor="accent1"/>
                <w:sz w:val="18"/>
                <w:szCs w:val="18"/>
                <w:lang w:eastAsia="zh-CN"/>
              </w:rPr>
              <w:tab/>
            </w:r>
            <w:r w:rsidRPr="0082461D">
              <w:rPr>
                <w:noProof/>
                <w:sz w:val="18"/>
                <w:szCs w:val="18"/>
                <w:lang w:eastAsia="zh-CN"/>
              </w:rPr>
              <w:t>Mettre en évidence et supprimer tous les types et tous les cas de recoupement des fonctions et de chevauchement des activités entre tous les organes structurels de l'UIT</w:t>
            </w:r>
            <w:r w:rsidR="0042545C" w:rsidRPr="0082461D">
              <w:rPr>
                <w:noProof/>
                <w:sz w:val="18"/>
                <w:szCs w:val="18"/>
                <w:lang w:eastAsia="zh-CN"/>
              </w:rPr>
              <w:t xml:space="preserve"> [...]</w:t>
            </w:r>
          </w:p>
        </w:tc>
        <w:tc>
          <w:tcPr>
            <w:tcW w:w="959" w:type="dxa"/>
            <w:tcBorders>
              <w:top w:val="single" w:sz="4" w:space="0" w:color="auto"/>
            </w:tcBorders>
          </w:tcPr>
          <w:p w:rsidR="00A95985" w:rsidRPr="0082461D" w:rsidRDefault="00A95985" w:rsidP="001D547C">
            <w:pPr>
              <w:pStyle w:val="Tabletext"/>
              <w:jc w:val="center"/>
              <w:rPr>
                <w:sz w:val="18"/>
                <w:szCs w:val="18"/>
              </w:rPr>
            </w:pPr>
            <w:r w:rsidRPr="0082461D">
              <w:rPr>
                <w:sz w:val="18"/>
                <w:szCs w:val="18"/>
              </w:rPr>
              <w:t>3,3%</w:t>
            </w:r>
          </w:p>
        </w:tc>
        <w:tc>
          <w:tcPr>
            <w:tcW w:w="872" w:type="dxa"/>
            <w:tcBorders>
              <w:top w:val="single" w:sz="4" w:space="0" w:color="auto"/>
            </w:tcBorders>
          </w:tcPr>
          <w:p w:rsidR="00A95985" w:rsidRPr="0082461D" w:rsidRDefault="00A95985" w:rsidP="001D547C">
            <w:pPr>
              <w:pStyle w:val="Tabletext"/>
              <w:jc w:val="center"/>
              <w:rPr>
                <w:sz w:val="18"/>
                <w:szCs w:val="18"/>
              </w:rPr>
            </w:pPr>
            <w:r w:rsidRPr="0082461D">
              <w:rPr>
                <w:sz w:val="18"/>
                <w:szCs w:val="18"/>
              </w:rPr>
              <w:t>43,8%</w:t>
            </w:r>
          </w:p>
        </w:tc>
      </w:tr>
      <w:tr w:rsidR="00A95985" w:rsidRPr="0082461D" w:rsidTr="0012375F">
        <w:tc>
          <w:tcPr>
            <w:tcW w:w="7471" w:type="dxa"/>
            <w:vMerge/>
          </w:tcPr>
          <w:p w:rsidR="00A95985" w:rsidRPr="0082461D" w:rsidRDefault="00A95985" w:rsidP="001D547C">
            <w:pPr>
              <w:pStyle w:val="Tabletext"/>
            </w:pPr>
          </w:p>
        </w:tc>
        <w:tc>
          <w:tcPr>
            <w:tcW w:w="5435" w:type="dxa"/>
            <w:tcBorders>
              <w:bottom w:val="single" w:sz="4" w:space="0" w:color="auto"/>
            </w:tcBorders>
          </w:tcPr>
          <w:p w:rsidR="00A95985" w:rsidRPr="0082461D" w:rsidRDefault="00A95985" w:rsidP="0012375F">
            <w:pPr>
              <w:pStyle w:val="Tabletext"/>
              <w:rPr>
                <w:b/>
                <w:bCs/>
                <w:noProof/>
                <w:color w:val="4F81BD" w:themeColor="accent1"/>
                <w:sz w:val="18"/>
                <w:szCs w:val="18"/>
                <w:lang w:eastAsia="zh-CN"/>
              </w:rPr>
            </w:pPr>
            <w:r w:rsidRPr="0082461D">
              <w:rPr>
                <w:b/>
                <w:bCs/>
                <w:noProof/>
                <w:color w:val="4F81BD" w:themeColor="accent1"/>
                <w:sz w:val="18"/>
                <w:szCs w:val="18"/>
                <w:lang w:eastAsia="zh-CN"/>
              </w:rPr>
              <w:t>I.6-2</w:t>
            </w:r>
            <w:r w:rsidRPr="0082461D">
              <w:rPr>
                <w:b/>
                <w:bCs/>
                <w:noProof/>
                <w:color w:val="4F81BD" w:themeColor="accent1"/>
                <w:sz w:val="18"/>
                <w:szCs w:val="18"/>
                <w:lang w:eastAsia="zh-CN"/>
              </w:rPr>
              <w:tab/>
            </w:r>
            <w:r w:rsidRPr="0082461D">
              <w:rPr>
                <w:noProof/>
                <w:sz w:val="18"/>
                <w:szCs w:val="18"/>
                <w:lang w:eastAsia="zh-CN"/>
              </w:rPr>
              <w:t xml:space="preserve">Mettre en </w:t>
            </w:r>
            <w:r w:rsidR="00C63117">
              <w:rPr>
                <w:noProof/>
                <w:sz w:val="18"/>
                <w:szCs w:val="18"/>
                <w:lang w:eastAsia="zh-CN"/>
              </w:rPr>
              <w:t>œ</w:t>
            </w:r>
            <w:r w:rsidRPr="0082461D">
              <w:rPr>
                <w:noProof/>
                <w:sz w:val="18"/>
                <w:szCs w:val="18"/>
                <w:lang w:eastAsia="zh-CN"/>
              </w:rPr>
              <w:t>uvre le concept d'</w:t>
            </w:r>
            <w:r w:rsidR="0042545C" w:rsidRPr="0082461D">
              <w:rPr>
                <w:noProof/>
                <w:sz w:val="18"/>
                <w:szCs w:val="18"/>
                <w:lang w:eastAsia="zh-CN"/>
              </w:rPr>
              <w:t xml:space="preserve">"une </w:t>
            </w:r>
            <w:r w:rsidRPr="0082461D">
              <w:rPr>
                <w:noProof/>
                <w:sz w:val="18"/>
                <w:szCs w:val="18"/>
                <w:lang w:eastAsia="zh-CN"/>
              </w:rPr>
              <w:t xml:space="preserve">UIT </w:t>
            </w:r>
            <w:r w:rsidR="0042545C" w:rsidRPr="0082461D">
              <w:rPr>
                <w:noProof/>
                <w:sz w:val="18"/>
                <w:szCs w:val="18"/>
                <w:lang w:eastAsia="zh-CN"/>
              </w:rPr>
              <w:t>unie dans l'action</w:t>
            </w:r>
            <w:r w:rsidR="0012375F" w:rsidRPr="0082461D">
              <w:rPr>
                <w:noProof/>
                <w:sz w:val="18"/>
                <w:szCs w:val="18"/>
                <w:lang w:eastAsia="zh-CN"/>
              </w:rPr>
              <w:t>"</w:t>
            </w:r>
            <w:r w:rsidRPr="0082461D">
              <w:rPr>
                <w:noProof/>
                <w:sz w:val="18"/>
                <w:szCs w:val="18"/>
                <w:lang w:eastAsia="zh-CN"/>
              </w:rPr>
              <w:t>, en harmonisan</w:t>
            </w:r>
            <w:r w:rsidR="0012375F" w:rsidRPr="0082461D">
              <w:rPr>
                <w:noProof/>
                <w:sz w:val="18"/>
                <w:szCs w:val="18"/>
                <w:lang w:eastAsia="zh-CN"/>
              </w:rPr>
              <w:t>t, dans la mesure du possible, les procédures appliquées dans l'ensemble</w:t>
            </w:r>
            <w:r w:rsidRPr="0082461D">
              <w:rPr>
                <w:noProof/>
                <w:sz w:val="18"/>
                <w:szCs w:val="18"/>
                <w:lang w:eastAsia="zh-CN"/>
              </w:rPr>
              <w:t xml:space="preserve"> des Secteurs et des bureaux régionaux/</w:t>
            </w:r>
            <w:r w:rsidR="005C756B" w:rsidRPr="0082461D">
              <w:rPr>
                <w:noProof/>
                <w:sz w:val="18"/>
                <w:szCs w:val="18"/>
                <w:lang w:eastAsia="zh-CN"/>
              </w:rPr>
              <w:t xml:space="preserve">dans le cadre </w:t>
            </w:r>
            <w:r w:rsidRPr="0082461D">
              <w:rPr>
                <w:noProof/>
                <w:sz w:val="18"/>
                <w:szCs w:val="18"/>
                <w:lang w:eastAsia="zh-CN"/>
              </w:rPr>
              <w:t>de la présence régionale</w:t>
            </w:r>
            <w:r w:rsidR="0042545C" w:rsidRPr="0082461D">
              <w:rPr>
                <w:noProof/>
                <w:sz w:val="18"/>
                <w:szCs w:val="18"/>
                <w:lang w:eastAsia="zh-CN"/>
              </w:rPr>
              <w:t xml:space="preserve"> [...]</w:t>
            </w:r>
          </w:p>
        </w:tc>
        <w:tc>
          <w:tcPr>
            <w:tcW w:w="959" w:type="dxa"/>
            <w:tcBorders>
              <w:bottom w:val="single" w:sz="4" w:space="0" w:color="auto"/>
            </w:tcBorders>
          </w:tcPr>
          <w:p w:rsidR="00A95985" w:rsidRPr="0082461D" w:rsidRDefault="00A95985" w:rsidP="001D547C">
            <w:pPr>
              <w:pStyle w:val="Tabletext"/>
              <w:jc w:val="center"/>
              <w:rPr>
                <w:sz w:val="18"/>
                <w:szCs w:val="18"/>
              </w:rPr>
            </w:pPr>
            <w:r w:rsidRPr="0082461D">
              <w:rPr>
                <w:sz w:val="18"/>
                <w:szCs w:val="18"/>
              </w:rPr>
              <w:t>4,2%</w:t>
            </w:r>
          </w:p>
        </w:tc>
        <w:tc>
          <w:tcPr>
            <w:tcW w:w="872" w:type="dxa"/>
            <w:tcBorders>
              <w:bottom w:val="single" w:sz="4" w:space="0" w:color="auto"/>
            </w:tcBorders>
          </w:tcPr>
          <w:p w:rsidR="00A95985" w:rsidRPr="0082461D" w:rsidRDefault="00A95985" w:rsidP="001D547C">
            <w:pPr>
              <w:pStyle w:val="Tabletext"/>
              <w:jc w:val="center"/>
              <w:rPr>
                <w:sz w:val="18"/>
                <w:szCs w:val="18"/>
              </w:rPr>
            </w:pPr>
            <w:r w:rsidRPr="0082461D">
              <w:rPr>
                <w:sz w:val="18"/>
                <w:szCs w:val="18"/>
              </w:rPr>
              <w:t>53,2%</w:t>
            </w:r>
          </w:p>
        </w:tc>
      </w:tr>
    </w:tbl>
    <w:p w:rsidR="0000338C" w:rsidRPr="0082461D" w:rsidRDefault="00D55C4A" w:rsidP="005C756B">
      <w:pPr>
        <w:rPr>
          <w:sz w:val="20"/>
        </w:rPr>
      </w:pPr>
      <w:r w:rsidRPr="0082461D">
        <w:rPr>
          <w:sz w:val="20"/>
        </w:rPr>
        <w:t>(</w:t>
      </w:r>
      <w:r w:rsidR="005125B1" w:rsidRPr="0082461D">
        <w:rPr>
          <w:sz w:val="20"/>
        </w:rPr>
        <w:t xml:space="preserve">Les coûts </w:t>
      </w:r>
      <w:r w:rsidR="005C756B" w:rsidRPr="0082461D">
        <w:rPr>
          <w:sz w:val="20"/>
        </w:rPr>
        <w:t>des</w:t>
      </w:r>
      <w:r w:rsidR="00061B25" w:rsidRPr="0082461D">
        <w:rPr>
          <w:sz w:val="20"/>
        </w:rPr>
        <w:t xml:space="preserve"> produits liés à la PP/au Conseil sont </w:t>
      </w:r>
      <w:r w:rsidR="005C756B" w:rsidRPr="0082461D">
        <w:rPr>
          <w:sz w:val="20"/>
        </w:rPr>
        <w:t>imputés à</w:t>
      </w:r>
      <w:r w:rsidR="00061B25" w:rsidRPr="0082461D">
        <w:rPr>
          <w:sz w:val="20"/>
        </w:rPr>
        <w:t xml:space="preserve"> tous les objectifs de l'Union</w:t>
      </w:r>
      <w:r w:rsidR="004E22A1">
        <w:rPr>
          <w:sz w:val="20"/>
        </w:rPr>
        <w:t>.</w:t>
      </w:r>
      <w:r w:rsidRPr="0082461D">
        <w:rPr>
          <w:sz w:val="20"/>
        </w:rPr>
        <w:t>)</w:t>
      </w:r>
    </w:p>
    <w:p w:rsidR="00AB047E" w:rsidRPr="0082461D" w:rsidRDefault="00AB047E" w:rsidP="001D547C">
      <w:pPr>
        <w:tabs>
          <w:tab w:val="clear" w:pos="794"/>
          <w:tab w:val="clear" w:pos="1191"/>
          <w:tab w:val="clear" w:pos="1588"/>
          <w:tab w:val="clear" w:pos="1985"/>
        </w:tabs>
        <w:overflowPunct/>
        <w:autoSpaceDE/>
        <w:autoSpaceDN/>
        <w:adjustRightInd/>
        <w:spacing w:before="0"/>
        <w:textAlignment w:val="auto"/>
      </w:pPr>
      <w:r w:rsidRPr="0082461D">
        <w:br w:type="page"/>
      </w:r>
    </w:p>
    <w:p w:rsidR="0000338C" w:rsidRPr="0082461D" w:rsidRDefault="002A3680" w:rsidP="005C756B">
      <w:pPr>
        <w:pStyle w:val="Heading2"/>
        <w:spacing w:after="120"/>
      </w:pPr>
      <w:r>
        <w:lastRenderedPageBreak/>
        <w:t>3.3</w:t>
      </w:r>
      <w:r w:rsidR="00D55C4A" w:rsidRPr="0082461D">
        <w:tab/>
      </w:r>
      <w:r w:rsidR="00F80E3B" w:rsidRPr="0082461D">
        <w:t xml:space="preserve">Ventilation des ressources </w:t>
      </w:r>
      <w:r w:rsidR="0042545C" w:rsidRPr="0082461D">
        <w:t>du Secrétariat général entre</w:t>
      </w:r>
      <w:r w:rsidR="00F80E3B" w:rsidRPr="0082461D">
        <w:t xml:space="preserve"> les services d'appui </w:t>
      </w:r>
      <w:r w:rsidR="005C756B" w:rsidRPr="0082461D">
        <w:t xml:space="preserve">pour </w:t>
      </w:r>
      <w:r w:rsidR="0042545C" w:rsidRPr="0082461D">
        <w:t>atteindre</w:t>
      </w:r>
      <w:r w:rsidR="00F80E3B" w:rsidRPr="0082461D">
        <w:t xml:space="preserve"> les objectifs </w:t>
      </w:r>
      <w:r w:rsidR="005C756B" w:rsidRPr="0082461D">
        <w:t>sectoriels</w:t>
      </w:r>
      <w:r w:rsidR="0042545C" w:rsidRPr="0082461D">
        <w:t xml:space="preserve"> et </w:t>
      </w:r>
      <w:r w:rsidR="002D4B48" w:rsidRPr="0082461D">
        <w:t>inter</w:t>
      </w:r>
      <w:r w:rsidR="0042545C" w:rsidRPr="0082461D">
        <w:t xml:space="preserve">sectoriels </w:t>
      </w:r>
      <w:r w:rsidR="00F80E3B" w:rsidRPr="0082461D">
        <w:t>pour la période 2020-</w:t>
      </w:r>
      <w:r w:rsidR="0012375F" w:rsidRPr="0082461D">
        <w:t>20</w:t>
      </w:r>
      <w:r w:rsidR="00F80E3B" w:rsidRPr="0082461D">
        <w:t>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1482"/>
        <w:gridCol w:w="1240"/>
      </w:tblGrid>
      <w:tr w:rsidR="0022728B" w:rsidRPr="0082461D" w:rsidTr="0022728B">
        <w:tc>
          <w:tcPr>
            <w:tcW w:w="1276" w:type="dxa"/>
          </w:tcPr>
          <w:p w:rsidR="0022728B" w:rsidRPr="0082461D" w:rsidRDefault="0022728B" w:rsidP="001D547C">
            <w:pPr>
              <w:pStyle w:val="Tabletext"/>
            </w:pPr>
          </w:p>
        </w:tc>
        <w:tc>
          <w:tcPr>
            <w:tcW w:w="11482" w:type="dxa"/>
          </w:tcPr>
          <w:p w:rsidR="0022728B" w:rsidRPr="0082461D" w:rsidRDefault="00061B25" w:rsidP="005C756B">
            <w:pPr>
              <w:pStyle w:val="Tabletext"/>
              <w:rPr>
                <w:b/>
                <w:bCs/>
                <w:noProof/>
                <w:color w:val="4F81BD" w:themeColor="accent1"/>
                <w:szCs w:val="22"/>
                <w:lang w:eastAsia="zh-CN"/>
              </w:rPr>
            </w:pPr>
            <w:r w:rsidRPr="0082461D">
              <w:rPr>
                <w:b/>
                <w:bCs/>
                <w:noProof/>
                <w:color w:val="4F81BD" w:themeColor="accent1"/>
                <w:szCs w:val="22"/>
                <w:lang w:eastAsia="zh-CN"/>
              </w:rPr>
              <w:t xml:space="preserve">Ventilation </w:t>
            </w:r>
            <w:r w:rsidR="005C756B" w:rsidRPr="0082461D">
              <w:rPr>
                <w:b/>
                <w:bCs/>
                <w:noProof/>
                <w:color w:val="4F81BD" w:themeColor="accent1"/>
                <w:szCs w:val="22"/>
                <w:lang w:eastAsia="zh-CN"/>
              </w:rPr>
              <w:t>prévisionnelle</w:t>
            </w:r>
            <w:r w:rsidRPr="0082461D">
              <w:rPr>
                <w:b/>
                <w:bCs/>
                <w:noProof/>
                <w:color w:val="4F81BD" w:themeColor="accent1"/>
                <w:szCs w:val="22"/>
                <w:lang w:eastAsia="zh-CN"/>
              </w:rPr>
              <w:t xml:space="preserve"> des ressources </w:t>
            </w:r>
            <w:r w:rsidR="005C756B" w:rsidRPr="0082461D">
              <w:rPr>
                <w:b/>
                <w:bCs/>
                <w:noProof/>
                <w:color w:val="4F81BD" w:themeColor="accent1"/>
                <w:szCs w:val="22"/>
                <w:lang w:eastAsia="zh-CN"/>
              </w:rPr>
              <w:t>par</w:t>
            </w:r>
            <w:r w:rsidRPr="0082461D">
              <w:rPr>
                <w:b/>
                <w:bCs/>
                <w:noProof/>
                <w:color w:val="4F81BD" w:themeColor="accent1"/>
                <w:szCs w:val="22"/>
                <w:lang w:eastAsia="zh-CN"/>
              </w:rPr>
              <w:t xml:space="preserve"> service d'appui</w:t>
            </w:r>
          </w:p>
        </w:tc>
        <w:tc>
          <w:tcPr>
            <w:tcW w:w="1240" w:type="dxa"/>
          </w:tcPr>
          <w:p w:rsidR="0022728B" w:rsidRPr="0082461D" w:rsidRDefault="0022728B" w:rsidP="001D547C">
            <w:pPr>
              <w:pStyle w:val="Tabletext"/>
              <w:jc w:val="center"/>
              <w:rPr>
                <w:b/>
                <w:bCs/>
                <w:noProof/>
                <w:color w:val="4F81BD" w:themeColor="accent1"/>
                <w:szCs w:val="22"/>
                <w:lang w:eastAsia="zh-CN"/>
              </w:rPr>
            </w:pPr>
            <w:r w:rsidRPr="0082461D">
              <w:rPr>
                <w:b/>
                <w:bCs/>
                <w:noProof/>
                <w:color w:val="4F81BD" w:themeColor="accent1"/>
                <w:szCs w:val="22"/>
                <w:lang w:eastAsia="zh-CN"/>
              </w:rPr>
              <w:t>%</w:t>
            </w:r>
          </w:p>
        </w:tc>
      </w:tr>
      <w:tr w:rsidR="0022728B" w:rsidRPr="0082461D" w:rsidTr="0022728B">
        <w:tc>
          <w:tcPr>
            <w:tcW w:w="1276" w:type="dxa"/>
          </w:tcPr>
          <w:p w:rsidR="0022728B" w:rsidRPr="0082461D" w:rsidRDefault="0022728B" w:rsidP="001D547C">
            <w:pPr>
              <w:pStyle w:val="Tabletext"/>
              <w:rPr>
                <w:szCs w:val="22"/>
              </w:rPr>
            </w:pPr>
            <w:r w:rsidRPr="0082461D">
              <w:rPr>
                <w:b/>
                <w:bCs/>
                <w:noProof/>
                <w:color w:val="4F81BD" w:themeColor="accent1"/>
                <w:szCs w:val="22"/>
                <w:lang w:eastAsia="zh-CN"/>
              </w:rPr>
              <w:t>S.1</w:t>
            </w:r>
          </w:p>
        </w:tc>
        <w:tc>
          <w:tcPr>
            <w:tcW w:w="11482" w:type="dxa"/>
          </w:tcPr>
          <w:p w:rsidR="0022728B" w:rsidRPr="0082461D" w:rsidRDefault="0022728B" w:rsidP="001D547C">
            <w:pPr>
              <w:pStyle w:val="Tabletext"/>
            </w:pPr>
            <w:r w:rsidRPr="0082461D">
              <w:t>Direction de l'Union</w:t>
            </w:r>
          </w:p>
        </w:tc>
        <w:tc>
          <w:tcPr>
            <w:tcW w:w="1240" w:type="dxa"/>
          </w:tcPr>
          <w:p w:rsidR="0022728B" w:rsidRPr="0082461D" w:rsidRDefault="0022728B" w:rsidP="001D547C">
            <w:pPr>
              <w:pStyle w:val="Tabletext"/>
              <w:jc w:val="center"/>
            </w:pPr>
            <w:r w:rsidRPr="0082461D">
              <w:t>3,1%</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S.2 &amp; S.3</w:t>
            </w:r>
          </w:p>
        </w:tc>
        <w:tc>
          <w:tcPr>
            <w:tcW w:w="11482" w:type="dxa"/>
          </w:tcPr>
          <w:p w:rsidR="0022728B" w:rsidRPr="0082461D" w:rsidRDefault="0022728B" w:rsidP="001D547C">
            <w:pPr>
              <w:pStyle w:val="Tabletext"/>
            </w:pPr>
            <w:r w:rsidRPr="0082461D">
              <w:t xml:space="preserve">Services de gestion des manifestations (traduction et interprétation comprises) </w:t>
            </w:r>
            <w:r w:rsidR="0042545C" w:rsidRPr="0082461D">
              <w:t>et services</w:t>
            </w:r>
            <w:r w:rsidRPr="0082461D">
              <w:t xml:space="preserve"> de publication</w:t>
            </w:r>
          </w:p>
        </w:tc>
        <w:tc>
          <w:tcPr>
            <w:tcW w:w="1240" w:type="dxa"/>
          </w:tcPr>
          <w:p w:rsidR="0022728B" w:rsidRPr="0082461D" w:rsidRDefault="0022728B" w:rsidP="001D547C">
            <w:pPr>
              <w:pStyle w:val="Tabletext"/>
              <w:jc w:val="center"/>
            </w:pPr>
            <w:r w:rsidRPr="0082461D">
              <w:t>31,8%</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S.4</w:t>
            </w:r>
          </w:p>
        </w:tc>
        <w:tc>
          <w:tcPr>
            <w:tcW w:w="11482" w:type="dxa"/>
          </w:tcPr>
          <w:p w:rsidR="0022728B" w:rsidRPr="0082461D" w:rsidRDefault="0022728B" w:rsidP="001D547C">
            <w:pPr>
              <w:pStyle w:val="Tabletext"/>
            </w:pPr>
            <w:r w:rsidRPr="0082461D">
              <w:t>Services TIC</w:t>
            </w:r>
          </w:p>
        </w:tc>
        <w:tc>
          <w:tcPr>
            <w:tcW w:w="1240" w:type="dxa"/>
          </w:tcPr>
          <w:p w:rsidR="0022728B" w:rsidRPr="0082461D" w:rsidRDefault="0022728B" w:rsidP="001D547C">
            <w:pPr>
              <w:pStyle w:val="Tabletext"/>
              <w:jc w:val="center"/>
            </w:pPr>
            <w:r w:rsidRPr="0082461D">
              <w:t>22,9%</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S.5</w:t>
            </w:r>
          </w:p>
        </w:tc>
        <w:tc>
          <w:tcPr>
            <w:tcW w:w="11482" w:type="dxa"/>
          </w:tcPr>
          <w:p w:rsidR="0022728B" w:rsidRPr="0082461D" w:rsidRDefault="0022728B" w:rsidP="001D547C">
            <w:pPr>
              <w:pStyle w:val="Tabletext"/>
            </w:pPr>
            <w:r w:rsidRPr="0082461D">
              <w:t>Services de sûreté et de sécurité</w:t>
            </w:r>
          </w:p>
        </w:tc>
        <w:tc>
          <w:tcPr>
            <w:tcW w:w="1240" w:type="dxa"/>
          </w:tcPr>
          <w:p w:rsidR="0022728B" w:rsidRPr="0082461D" w:rsidRDefault="0022728B" w:rsidP="001D547C">
            <w:pPr>
              <w:pStyle w:val="Tabletext"/>
              <w:jc w:val="center"/>
            </w:pPr>
            <w:r w:rsidRPr="0082461D">
              <w:t>3,5%</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S.6</w:t>
            </w:r>
          </w:p>
        </w:tc>
        <w:tc>
          <w:tcPr>
            <w:tcW w:w="11482" w:type="dxa"/>
          </w:tcPr>
          <w:p w:rsidR="0022728B" w:rsidRPr="0082461D" w:rsidRDefault="0022728B" w:rsidP="005C756B">
            <w:pPr>
              <w:pStyle w:val="Tabletext"/>
            </w:pPr>
            <w:r w:rsidRPr="0082461D">
              <w:t xml:space="preserve">Services de gestion des ressources humaines (salaires, </w:t>
            </w:r>
            <w:r w:rsidR="003D7188" w:rsidRPr="0082461D">
              <w:t xml:space="preserve">administration du personnel, </w:t>
            </w:r>
            <w:r w:rsidRPr="0082461D">
              <w:t xml:space="preserve">bien-être du personnel, </w:t>
            </w:r>
            <w:r w:rsidR="003D7188" w:rsidRPr="0082461D">
              <w:t>structure</w:t>
            </w:r>
            <w:r w:rsidRPr="0082461D">
              <w:t xml:space="preserve"> organisationnel</w:t>
            </w:r>
            <w:r w:rsidR="003D7188" w:rsidRPr="0082461D">
              <w:t>le</w:t>
            </w:r>
            <w:r w:rsidRPr="0082461D">
              <w:t xml:space="preserve"> et recrutement, planification et développement</w:t>
            </w:r>
            <w:r w:rsidR="005C756B" w:rsidRPr="0082461D">
              <w:t xml:space="preserve"> compris</w:t>
            </w:r>
            <w:r w:rsidRPr="0082461D">
              <w:t>)</w:t>
            </w:r>
          </w:p>
        </w:tc>
        <w:tc>
          <w:tcPr>
            <w:tcW w:w="1240" w:type="dxa"/>
          </w:tcPr>
          <w:p w:rsidR="0022728B" w:rsidRPr="0082461D" w:rsidRDefault="0022728B" w:rsidP="001D547C">
            <w:pPr>
              <w:pStyle w:val="Tabletext"/>
              <w:jc w:val="center"/>
            </w:pPr>
            <w:r w:rsidRPr="0082461D">
              <w:t>7,4%</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S.7</w:t>
            </w:r>
          </w:p>
        </w:tc>
        <w:tc>
          <w:tcPr>
            <w:tcW w:w="11482" w:type="dxa"/>
          </w:tcPr>
          <w:p w:rsidR="0022728B" w:rsidRPr="0082461D" w:rsidRDefault="0022728B" w:rsidP="005C756B">
            <w:pPr>
              <w:pStyle w:val="Tabletext"/>
            </w:pPr>
            <w:r w:rsidRPr="0082461D">
              <w:t>Services de gestion des ressources financières (budget et analyse f</w:t>
            </w:r>
            <w:r w:rsidR="005C756B" w:rsidRPr="0082461D">
              <w:t>inancière, comptabilité, achats et</w:t>
            </w:r>
            <w:r w:rsidRPr="0082461D">
              <w:t xml:space="preserve"> voyages</w:t>
            </w:r>
            <w:r w:rsidR="005C756B" w:rsidRPr="0082461D">
              <w:t xml:space="preserve"> compris</w:t>
            </w:r>
            <w:r w:rsidRPr="0082461D">
              <w:t>)</w:t>
            </w:r>
          </w:p>
        </w:tc>
        <w:tc>
          <w:tcPr>
            <w:tcW w:w="1240" w:type="dxa"/>
          </w:tcPr>
          <w:p w:rsidR="0022728B" w:rsidRPr="0082461D" w:rsidRDefault="0022728B" w:rsidP="001D547C">
            <w:pPr>
              <w:pStyle w:val="Tabletext"/>
              <w:jc w:val="center"/>
            </w:pPr>
            <w:r w:rsidRPr="0082461D">
              <w:t>12,1%</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S.8</w:t>
            </w:r>
          </w:p>
        </w:tc>
        <w:tc>
          <w:tcPr>
            <w:tcW w:w="11482" w:type="dxa"/>
          </w:tcPr>
          <w:p w:rsidR="0022728B" w:rsidRPr="0082461D" w:rsidRDefault="0022728B" w:rsidP="001D547C">
            <w:pPr>
              <w:pStyle w:val="Tabletext"/>
            </w:pPr>
            <w:r w:rsidRPr="0082461D">
              <w:t>Services juridiques</w:t>
            </w:r>
          </w:p>
        </w:tc>
        <w:tc>
          <w:tcPr>
            <w:tcW w:w="1240" w:type="dxa"/>
          </w:tcPr>
          <w:p w:rsidR="0022728B" w:rsidRPr="0082461D" w:rsidRDefault="0022728B" w:rsidP="001D547C">
            <w:pPr>
              <w:pStyle w:val="Tabletext"/>
              <w:jc w:val="center"/>
            </w:pPr>
            <w:r w:rsidRPr="0082461D">
              <w:t>1,5%</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S.9</w:t>
            </w:r>
          </w:p>
        </w:tc>
        <w:tc>
          <w:tcPr>
            <w:tcW w:w="11482" w:type="dxa"/>
          </w:tcPr>
          <w:p w:rsidR="0022728B" w:rsidRPr="0082461D" w:rsidRDefault="0022728B" w:rsidP="001D547C">
            <w:pPr>
              <w:pStyle w:val="Tabletext"/>
            </w:pPr>
            <w:r w:rsidRPr="0082461D">
              <w:t>Audit interne</w:t>
            </w:r>
          </w:p>
        </w:tc>
        <w:tc>
          <w:tcPr>
            <w:tcW w:w="1240" w:type="dxa"/>
          </w:tcPr>
          <w:p w:rsidR="0022728B" w:rsidRPr="0082461D" w:rsidRDefault="0022728B" w:rsidP="001D547C">
            <w:pPr>
              <w:pStyle w:val="Tabletext"/>
              <w:jc w:val="center"/>
            </w:pPr>
            <w:r w:rsidRPr="0082461D">
              <w:t>0,9%</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S.10</w:t>
            </w:r>
          </w:p>
        </w:tc>
        <w:tc>
          <w:tcPr>
            <w:tcW w:w="11482" w:type="dxa"/>
          </w:tcPr>
          <w:p w:rsidR="0022728B" w:rsidRPr="0082461D" w:rsidRDefault="0022728B" w:rsidP="001D547C">
            <w:pPr>
              <w:pStyle w:val="Tabletext"/>
            </w:pPr>
            <w:r w:rsidRPr="0082461D">
              <w:t>Bureau d'éthique</w:t>
            </w:r>
          </w:p>
        </w:tc>
        <w:tc>
          <w:tcPr>
            <w:tcW w:w="1240" w:type="dxa"/>
          </w:tcPr>
          <w:p w:rsidR="0022728B" w:rsidRPr="0082461D" w:rsidRDefault="0022728B" w:rsidP="001D547C">
            <w:pPr>
              <w:pStyle w:val="Tabletext"/>
              <w:jc w:val="center"/>
            </w:pPr>
            <w:r w:rsidRPr="0082461D">
              <w:t>0,5%</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S.11</w:t>
            </w:r>
          </w:p>
        </w:tc>
        <w:tc>
          <w:tcPr>
            <w:tcW w:w="11482" w:type="dxa"/>
          </w:tcPr>
          <w:p w:rsidR="0022728B" w:rsidRPr="0082461D" w:rsidRDefault="0022728B" w:rsidP="001D547C">
            <w:pPr>
              <w:pStyle w:val="Tabletext"/>
            </w:pPr>
            <w:r w:rsidRPr="0082461D">
              <w:t xml:space="preserve">Collaboration avec les membres/services d'appui aux membres </w:t>
            </w:r>
          </w:p>
        </w:tc>
        <w:tc>
          <w:tcPr>
            <w:tcW w:w="1240" w:type="dxa"/>
          </w:tcPr>
          <w:p w:rsidR="0022728B" w:rsidRPr="0082461D" w:rsidRDefault="0022728B" w:rsidP="001D547C">
            <w:pPr>
              <w:pStyle w:val="Tabletext"/>
              <w:jc w:val="center"/>
            </w:pPr>
            <w:r w:rsidRPr="0082461D">
              <w:t>2,3%</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S.12</w:t>
            </w:r>
          </w:p>
        </w:tc>
        <w:tc>
          <w:tcPr>
            <w:tcW w:w="11482" w:type="dxa"/>
          </w:tcPr>
          <w:p w:rsidR="0022728B" w:rsidRPr="0082461D" w:rsidRDefault="0022728B" w:rsidP="001D547C">
            <w:pPr>
              <w:pStyle w:val="Tabletext"/>
            </w:pPr>
            <w:r w:rsidRPr="0082461D">
              <w:t>Services de communication</w:t>
            </w:r>
          </w:p>
        </w:tc>
        <w:tc>
          <w:tcPr>
            <w:tcW w:w="1240" w:type="dxa"/>
          </w:tcPr>
          <w:p w:rsidR="0022728B" w:rsidRPr="0082461D" w:rsidRDefault="0022728B" w:rsidP="001D547C">
            <w:pPr>
              <w:pStyle w:val="Tabletext"/>
              <w:jc w:val="center"/>
            </w:pPr>
            <w:r w:rsidRPr="0082461D">
              <w:t>2,7%</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S.13</w:t>
            </w:r>
          </w:p>
        </w:tc>
        <w:tc>
          <w:tcPr>
            <w:tcW w:w="11482" w:type="dxa"/>
          </w:tcPr>
          <w:p w:rsidR="0022728B" w:rsidRPr="0082461D" w:rsidRDefault="0022728B" w:rsidP="001D547C">
            <w:pPr>
              <w:pStyle w:val="Tabletext"/>
            </w:pPr>
            <w:r w:rsidRPr="0082461D">
              <w:t>Services du protocole</w:t>
            </w:r>
          </w:p>
        </w:tc>
        <w:tc>
          <w:tcPr>
            <w:tcW w:w="1240" w:type="dxa"/>
          </w:tcPr>
          <w:p w:rsidR="0022728B" w:rsidRPr="0082461D" w:rsidRDefault="0022728B" w:rsidP="001D547C">
            <w:pPr>
              <w:pStyle w:val="Tabletext"/>
              <w:jc w:val="center"/>
            </w:pPr>
            <w:r w:rsidRPr="0082461D">
              <w:t>0,5%</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S.14</w:t>
            </w:r>
          </w:p>
        </w:tc>
        <w:tc>
          <w:tcPr>
            <w:tcW w:w="11482" w:type="dxa"/>
          </w:tcPr>
          <w:p w:rsidR="0022728B" w:rsidRPr="0082461D" w:rsidRDefault="0022728B" w:rsidP="001D547C">
            <w:pPr>
              <w:pStyle w:val="Tabletext"/>
            </w:pPr>
            <w:r w:rsidRPr="0082461D">
              <w:t>Facilitation des travaux des organes directeurs (PP, Conseil, GTC)</w:t>
            </w:r>
          </w:p>
        </w:tc>
        <w:tc>
          <w:tcPr>
            <w:tcW w:w="1240" w:type="dxa"/>
          </w:tcPr>
          <w:p w:rsidR="0022728B" w:rsidRPr="0082461D" w:rsidRDefault="0022728B" w:rsidP="001D547C">
            <w:pPr>
              <w:pStyle w:val="Tabletext"/>
              <w:jc w:val="center"/>
            </w:pPr>
            <w:r w:rsidRPr="0082461D">
              <w:t>0,9%</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S.15</w:t>
            </w:r>
          </w:p>
        </w:tc>
        <w:tc>
          <w:tcPr>
            <w:tcW w:w="11482" w:type="dxa"/>
          </w:tcPr>
          <w:p w:rsidR="0022728B" w:rsidRPr="0082461D" w:rsidRDefault="0022728B" w:rsidP="001D547C">
            <w:pPr>
              <w:pStyle w:val="Tabletext"/>
            </w:pPr>
            <w:r w:rsidRPr="0082461D">
              <w:t>Services de gestion des installations</w:t>
            </w:r>
          </w:p>
        </w:tc>
        <w:tc>
          <w:tcPr>
            <w:tcW w:w="1240" w:type="dxa"/>
          </w:tcPr>
          <w:p w:rsidR="0022728B" w:rsidRPr="0082461D" w:rsidRDefault="0022728B" w:rsidP="001D547C">
            <w:pPr>
              <w:pStyle w:val="Tabletext"/>
              <w:jc w:val="center"/>
            </w:pPr>
            <w:r w:rsidRPr="0082461D">
              <w:t>7,5%</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S.16</w:t>
            </w:r>
          </w:p>
        </w:tc>
        <w:tc>
          <w:tcPr>
            <w:tcW w:w="11482" w:type="dxa"/>
          </w:tcPr>
          <w:p w:rsidR="0022728B" w:rsidRPr="0082461D" w:rsidRDefault="0022728B" w:rsidP="001D547C">
            <w:pPr>
              <w:pStyle w:val="Tabletext"/>
            </w:pPr>
            <w:r w:rsidRPr="0082461D">
              <w:t>Services d'élaboration et de gestion des contenus/Gestion et planification de la stratégie institutionnelle</w:t>
            </w:r>
          </w:p>
        </w:tc>
        <w:tc>
          <w:tcPr>
            <w:tcW w:w="1240" w:type="dxa"/>
          </w:tcPr>
          <w:p w:rsidR="0022728B" w:rsidRPr="0082461D" w:rsidRDefault="0022728B" w:rsidP="001D547C">
            <w:pPr>
              <w:pStyle w:val="Tabletext"/>
              <w:jc w:val="center"/>
            </w:pPr>
            <w:r w:rsidRPr="0082461D">
              <w:t>2,5%</w:t>
            </w:r>
          </w:p>
        </w:tc>
      </w:tr>
    </w:tbl>
    <w:p w:rsidR="00AB047E" w:rsidRPr="0082461D" w:rsidRDefault="00AB047E" w:rsidP="001D547C">
      <w:pPr>
        <w:tabs>
          <w:tab w:val="clear" w:pos="794"/>
          <w:tab w:val="clear" w:pos="1191"/>
          <w:tab w:val="clear" w:pos="1588"/>
          <w:tab w:val="clear" w:pos="1985"/>
        </w:tabs>
        <w:overflowPunct/>
        <w:autoSpaceDE/>
        <w:autoSpaceDN/>
        <w:adjustRightInd/>
        <w:spacing w:before="0"/>
        <w:textAlignment w:val="auto"/>
      </w:pPr>
      <w:r w:rsidRPr="0082461D">
        <w:br w:type="page"/>
      </w:r>
    </w:p>
    <w:p w:rsidR="005C25A2" w:rsidRPr="0082461D" w:rsidRDefault="005C25A2" w:rsidP="001D547C">
      <w:pPr>
        <w:pStyle w:val="Heading1"/>
        <w:spacing w:before="20" w:after="20"/>
      </w:pPr>
      <w:r w:rsidRPr="0082461D">
        <w:lastRenderedPageBreak/>
        <w:t>4</w:t>
      </w:r>
      <w:r w:rsidRPr="0082461D">
        <w:tab/>
        <w:t>Analyse des risques</w:t>
      </w:r>
    </w:p>
    <w:p w:rsidR="005C25A2" w:rsidRPr="0082461D" w:rsidRDefault="005C25A2" w:rsidP="00753E56">
      <w:pPr>
        <w:spacing w:after="120"/>
      </w:pPr>
      <w:r w:rsidRPr="0082461D">
        <w:t xml:space="preserve">Dans l'optique du passage de la stratégie à la mise en </w:t>
      </w:r>
      <w:r w:rsidR="00C63117">
        <w:t>œ</w:t>
      </w:r>
      <w:r w:rsidRPr="0082461D">
        <w:t>uvre, les</w:t>
      </w:r>
      <w:r w:rsidR="00753E56">
        <w:t xml:space="preserve"> principaux</w:t>
      </w:r>
      <w:r w:rsidRPr="0082461D">
        <w:t xml:space="preserve"> risques </w:t>
      </w:r>
      <w:r w:rsidR="00061B25" w:rsidRPr="0082461D">
        <w:t xml:space="preserve">à l'échelle de l'UIT sont </w:t>
      </w:r>
      <w:r w:rsidR="00B94289">
        <w:t>présentés dans le tableau ci</w:t>
      </w:r>
      <w:r w:rsidR="00B94289">
        <w:noBreakHyphen/>
      </w:r>
      <w:r w:rsidR="003D7188" w:rsidRPr="0082461D">
        <w:t>dessous</w:t>
      </w:r>
      <w:r w:rsidRPr="0082461D">
        <w:t xml:space="preserve">. </w:t>
      </w:r>
      <w:r w:rsidR="00061B25" w:rsidRPr="0082461D">
        <w:t>Les mesures d'atténuation sont présentées dans un tableau distinct</w:t>
      </w:r>
      <w:r w:rsidR="008F005D" w:rsidRPr="0082461D">
        <w:t>.</w:t>
      </w:r>
      <w:r w:rsidR="00712829" w:rsidRPr="0082461D">
        <w:t xml:space="preserve"> </w:t>
      </w:r>
    </w:p>
    <w:tbl>
      <w:tblPr>
        <w:tblStyle w:val="GridTable4-Accent115"/>
        <w:tblW w:w="14590" w:type="dxa"/>
        <w:jc w:val="center"/>
        <w:tblLayout w:type="fixed"/>
        <w:tblLook w:val="06A0" w:firstRow="1" w:lastRow="0" w:firstColumn="1" w:lastColumn="0" w:noHBand="1" w:noVBand="1"/>
      </w:tblPr>
      <w:tblGrid>
        <w:gridCol w:w="2120"/>
        <w:gridCol w:w="6900"/>
        <w:gridCol w:w="1378"/>
        <w:gridCol w:w="2020"/>
        <w:gridCol w:w="2172"/>
      </w:tblGrid>
      <w:tr w:rsidR="005C25A2" w:rsidRPr="0082461D" w:rsidTr="008C4B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0" w:type="dxa"/>
            <w:vAlign w:val="center"/>
          </w:tcPr>
          <w:p w:rsidR="005C25A2" w:rsidRPr="0082461D" w:rsidRDefault="005C25A2" w:rsidP="008C4BA0">
            <w:pPr>
              <w:pStyle w:val="Tablehead"/>
              <w:spacing w:before="20" w:after="20"/>
              <w:rPr>
                <w:b/>
                <w:bCs w:val="0"/>
                <w:sz w:val="20"/>
                <w:szCs w:val="20"/>
              </w:rPr>
            </w:pPr>
            <w:r w:rsidRPr="0082461D">
              <w:rPr>
                <w:b/>
                <w:bCs w:val="0"/>
                <w:sz w:val="20"/>
                <w:szCs w:val="20"/>
              </w:rPr>
              <w:t>Perspective</w:t>
            </w:r>
          </w:p>
        </w:tc>
        <w:tc>
          <w:tcPr>
            <w:tcW w:w="6900" w:type="dxa"/>
            <w:vAlign w:val="center"/>
          </w:tcPr>
          <w:p w:rsidR="005C25A2" w:rsidRPr="0082461D" w:rsidRDefault="005C25A2" w:rsidP="008C4BA0">
            <w:pPr>
              <w:pStyle w:val="Tablehead"/>
              <w:spacing w:before="20" w:after="20"/>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Description des risques</w:t>
            </w:r>
          </w:p>
        </w:tc>
        <w:tc>
          <w:tcPr>
            <w:tcW w:w="1378" w:type="dxa"/>
            <w:vAlign w:val="center"/>
          </w:tcPr>
          <w:p w:rsidR="005C25A2" w:rsidRPr="0082461D" w:rsidRDefault="005C25A2" w:rsidP="008C4BA0">
            <w:pPr>
              <w:pStyle w:val="Tablehead"/>
              <w:spacing w:before="20" w:after="20"/>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Probabilité</w:t>
            </w:r>
          </w:p>
        </w:tc>
        <w:tc>
          <w:tcPr>
            <w:tcW w:w="2020" w:type="dxa"/>
            <w:vAlign w:val="center"/>
          </w:tcPr>
          <w:p w:rsidR="005C25A2" w:rsidRPr="0082461D" w:rsidRDefault="005C25A2" w:rsidP="008C4BA0">
            <w:pPr>
              <w:pStyle w:val="Tablehead"/>
              <w:spacing w:before="20" w:after="20"/>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Niveau d'incidence</w:t>
            </w:r>
          </w:p>
        </w:tc>
        <w:tc>
          <w:tcPr>
            <w:tcW w:w="2172" w:type="dxa"/>
            <w:vAlign w:val="center"/>
          </w:tcPr>
          <w:p w:rsidR="005C25A2" w:rsidRPr="0082461D" w:rsidRDefault="005C25A2" w:rsidP="008C4BA0">
            <w:pPr>
              <w:pStyle w:val="Tablehead"/>
              <w:spacing w:before="20" w:after="20"/>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Mesures d'atténuation</w:t>
            </w:r>
          </w:p>
        </w:tc>
      </w:tr>
      <w:tr w:rsidR="005C25A2" w:rsidRPr="0082461D" w:rsidTr="008C4BA0">
        <w:trPr>
          <w:jc w:val="center"/>
        </w:trPr>
        <w:tc>
          <w:tcPr>
            <w:cnfStyle w:val="001000000000" w:firstRow="0" w:lastRow="0" w:firstColumn="1" w:lastColumn="0" w:oddVBand="0" w:evenVBand="0" w:oddHBand="0" w:evenHBand="0" w:firstRowFirstColumn="0" w:firstRowLastColumn="0" w:lastRowFirstColumn="0" w:lastRowLastColumn="0"/>
            <w:tcW w:w="2120" w:type="dxa"/>
            <w:vMerge w:val="restart"/>
          </w:tcPr>
          <w:p w:rsidR="005C25A2" w:rsidRPr="0082461D" w:rsidRDefault="005C25A2" w:rsidP="008C4BA0">
            <w:pPr>
              <w:pStyle w:val="Tabletext"/>
              <w:spacing w:before="20" w:after="20"/>
              <w:rPr>
                <w:sz w:val="20"/>
                <w:szCs w:val="20"/>
              </w:rPr>
            </w:pPr>
            <w:r w:rsidRPr="0082461D">
              <w:rPr>
                <w:sz w:val="20"/>
                <w:szCs w:val="20"/>
              </w:rPr>
              <w:t>Risques organisationnels</w:t>
            </w:r>
          </w:p>
        </w:tc>
        <w:tc>
          <w:tcPr>
            <w:tcW w:w="6900" w:type="dxa"/>
          </w:tcPr>
          <w:p w:rsidR="005C25A2" w:rsidRPr="0082461D" w:rsidRDefault="005C25A2"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 xml:space="preserve">Risque concernant la sûreté et la sécurité du personnel de l'UIT ainsi que des locaux et des biens de l'organisation dans le monde entier </w:t>
            </w:r>
          </w:p>
        </w:tc>
        <w:tc>
          <w:tcPr>
            <w:tcW w:w="1378" w:type="dxa"/>
          </w:tcPr>
          <w:p w:rsidR="005C25A2" w:rsidRPr="0082461D" w:rsidRDefault="005C25A2"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Faible</w:t>
            </w:r>
          </w:p>
        </w:tc>
        <w:tc>
          <w:tcPr>
            <w:tcW w:w="2020" w:type="dxa"/>
          </w:tcPr>
          <w:p w:rsidR="005C25A2" w:rsidRPr="0082461D" w:rsidRDefault="00712829"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É</w:t>
            </w:r>
            <w:r w:rsidR="005C25A2" w:rsidRPr="0082461D">
              <w:rPr>
                <w:sz w:val="20"/>
                <w:szCs w:val="20"/>
              </w:rPr>
              <w:t>levé</w:t>
            </w:r>
          </w:p>
        </w:tc>
        <w:tc>
          <w:tcPr>
            <w:tcW w:w="2172" w:type="dxa"/>
          </w:tcPr>
          <w:p w:rsidR="005C25A2"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4, 5</w:t>
            </w:r>
          </w:p>
        </w:tc>
      </w:tr>
      <w:tr w:rsidR="005C25A2" w:rsidRPr="0082461D" w:rsidTr="008C4BA0">
        <w:trPr>
          <w:jc w:val="center"/>
        </w:trPr>
        <w:tc>
          <w:tcPr>
            <w:cnfStyle w:val="001000000000" w:firstRow="0" w:lastRow="0" w:firstColumn="1" w:lastColumn="0" w:oddVBand="0" w:evenVBand="0" w:oddHBand="0" w:evenHBand="0" w:firstRowFirstColumn="0" w:firstRowLastColumn="0" w:lastRowFirstColumn="0" w:lastRowLastColumn="0"/>
            <w:tcW w:w="2120" w:type="dxa"/>
            <w:vMerge/>
          </w:tcPr>
          <w:p w:rsidR="005C25A2" w:rsidRPr="0082461D" w:rsidRDefault="005C25A2" w:rsidP="008C4BA0">
            <w:pPr>
              <w:pStyle w:val="Tabletext"/>
              <w:spacing w:before="20" w:after="20"/>
              <w:rPr>
                <w:sz w:val="20"/>
                <w:szCs w:val="20"/>
              </w:rPr>
            </w:pPr>
          </w:p>
        </w:tc>
        <w:tc>
          <w:tcPr>
            <w:tcW w:w="6900" w:type="dxa"/>
          </w:tcPr>
          <w:p w:rsidR="005C25A2" w:rsidRPr="0082461D" w:rsidRDefault="005C25A2"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Impossibilité physique d'utiliser les locaux du siège</w:t>
            </w:r>
          </w:p>
        </w:tc>
        <w:tc>
          <w:tcPr>
            <w:tcW w:w="1378" w:type="dxa"/>
          </w:tcPr>
          <w:p w:rsidR="005C25A2" w:rsidRPr="0082461D" w:rsidRDefault="005C25A2"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Faible</w:t>
            </w:r>
          </w:p>
        </w:tc>
        <w:tc>
          <w:tcPr>
            <w:tcW w:w="2020" w:type="dxa"/>
          </w:tcPr>
          <w:p w:rsidR="005C25A2" w:rsidRPr="0082461D" w:rsidRDefault="00712829"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Élevé</w:t>
            </w:r>
          </w:p>
        </w:tc>
        <w:tc>
          <w:tcPr>
            <w:tcW w:w="2172" w:type="dxa"/>
            <w:vMerge w:val="restart"/>
          </w:tcPr>
          <w:p w:rsidR="005C25A2" w:rsidRPr="0082461D" w:rsidRDefault="005C25A2"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p>
        </w:tc>
      </w:tr>
      <w:tr w:rsidR="005C25A2" w:rsidRPr="0082461D" w:rsidTr="008C4BA0">
        <w:trPr>
          <w:jc w:val="center"/>
        </w:trPr>
        <w:tc>
          <w:tcPr>
            <w:cnfStyle w:val="001000000000" w:firstRow="0" w:lastRow="0" w:firstColumn="1" w:lastColumn="0" w:oddVBand="0" w:evenVBand="0" w:oddHBand="0" w:evenHBand="0" w:firstRowFirstColumn="0" w:firstRowLastColumn="0" w:lastRowFirstColumn="0" w:lastRowLastColumn="0"/>
            <w:tcW w:w="2120" w:type="dxa"/>
            <w:vMerge/>
          </w:tcPr>
          <w:p w:rsidR="005C25A2" w:rsidRPr="0082461D" w:rsidRDefault="005C25A2" w:rsidP="008C4BA0">
            <w:pPr>
              <w:pStyle w:val="Tabletext"/>
              <w:spacing w:before="20" w:after="20"/>
              <w:rPr>
                <w:sz w:val="20"/>
                <w:szCs w:val="20"/>
              </w:rPr>
            </w:pPr>
          </w:p>
        </w:tc>
        <w:tc>
          <w:tcPr>
            <w:tcW w:w="6900" w:type="dxa"/>
          </w:tcPr>
          <w:p w:rsidR="005C25A2" w:rsidRPr="0082461D" w:rsidRDefault="005C25A2"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 xml:space="preserve">Impossibilité physique d'organiser de </w:t>
            </w:r>
            <w:r w:rsidR="00712829" w:rsidRPr="0082461D">
              <w:rPr>
                <w:sz w:val="20"/>
                <w:szCs w:val="20"/>
              </w:rPr>
              <w:t xml:space="preserve">grandes manifestations </w:t>
            </w:r>
            <w:r w:rsidRPr="0082461D">
              <w:rPr>
                <w:sz w:val="20"/>
                <w:szCs w:val="20"/>
              </w:rPr>
              <w:t xml:space="preserve">à l'étranger ou à Genève (par exemple, </w:t>
            </w:r>
            <w:r w:rsidR="00712829" w:rsidRPr="0082461D">
              <w:rPr>
                <w:sz w:val="20"/>
                <w:szCs w:val="20"/>
              </w:rPr>
              <w:t>changement</w:t>
            </w:r>
            <w:r w:rsidRPr="0082461D">
              <w:rPr>
                <w:sz w:val="20"/>
                <w:szCs w:val="20"/>
              </w:rPr>
              <w:t xml:space="preserve"> à la dernière minute </w:t>
            </w:r>
            <w:r w:rsidR="00712829" w:rsidRPr="0082461D">
              <w:rPr>
                <w:sz w:val="20"/>
                <w:szCs w:val="20"/>
              </w:rPr>
              <w:t>du lieu d'u</w:t>
            </w:r>
            <w:r w:rsidRPr="0082461D">
              <w:rPr>
                <w:sz w:val="20"/>
                <w:szCs w:val="20"/>
              </w:rPr>
              <w:t xml:space="preserve">ne manifestation </w:t>
            </w:r>
            <w:r w:rsidR="00712829" w:rsidRPr="0082461D">
              <w:rPr>
                <w:sz w:val="20"/>
                <w:szCs w:val="20"/>
              </w:rPr>
              <w:t>pour des</w:t>
            </w:r>
            <w:r w:rsidRPr="0082461D">
              <w:rPr>
                <w:sz w:val="20"/>
                <w:szCs w:val="20"/>
              </w:rPr>
              <w:t xml:space="preserve"> raison</w:t>
            </w:r>
            <w:r w:rsidR="00712829" w:rsidRPr="0082461D">
              <w:rPr>
                <w:sz w:val="20"/>
                <w:szCs w:val="20"/>
              </w:rPr>
              <w:t>s d</w:t>
            </w:r>
            <w:r w:rsidRPr="0082461D">
              <w:rPr>
                <w:sz w:val="20"/>
                <w:szCs w:val="20"/>
              </w:rPr>
              <w:t xml:space="preserve">'instabilité politique ou </w:t>
            </w:r>
            <w:r w:rsidR="00712829" w:rsidRPr="0082461D">
              <w:rPr>
                <w:sz w:val="20"/>
                <w:szCs w:val="20"/>
              </w:rPr>
              <w:t xml:space="preserve">à la suite </w:t>
            </w:r>
            <w:r w:rsidRPr="0082461D">
              <w:rPr>
                <w:sz w:val="20"/>
                <w:szCs w:val="20"/>
              </w:rPr>
              <w:t xml:space="preserve">d'une crise majeure, </w:t>
            </w:r>
            <w:r w:rsidR="00231343" w:rsidRPr="0082461D">
              <w:rPr>
                <w:sz w:val="20"/>
                <w:szCs w:val="20"/>
              </w:rPr>
              <w:t>comme</w:t>
            </w:r>
            <w:r w:rsidRPr="0082461D">
              <w:rPr>
                <w:sz w:val="20"/>
                <w:szCs w:val="20"/>
              </w:rPr>
              <w:t xml:space="preserve"> une pandémie ou des problèmes de sécurité publique)</w:t>
            </w:r>
          </w:p>
        </w:tc>
        <w:tc>
          <w:tcPr>
            <w:tcW w:w="1378" w:type="dxa"/>
          </w:tcPr>
          <w:p w:rsidR="005C25A2" w:rsidRPr="0082461D" w:rsidRDefault="005C25A2"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Faible</w:t>
            </w:r>
          </w:p>
        </w:tc>
        <w:tc>
          <w:tcPr>
            <w:tcW w:w="2020" w:type="dxa"/>
          </w:tcPr>
          <w:p w:rsidR="005C25A2" w:rsidRPr="0082461D" w:rsidRDefault="00712829"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Élevé</w:t>
            </w:r>
          </w:p>
        </w:tc>
        <w:tc>
          <w:tcPr>
            <w:tcW w:w="2172" w:type="dxa"/>
            <w:vMerge/>
          </w:tcPr>
          <w:p w:rsidR="005C25A2" w:rsidRPr="0082461D" w:rsidRDefault="005C25A2"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p>
        </w:tc>
      </w:tr>
      <w:tr w:rsidR="005C25A2" w:rsidRPr="0082461D" w:rsidTr="008C4BA0">
        <w:trPr>
          <w:jc w:val="center"/>
        </w:trPr>
        <w:tc>
          <w:tcPr>
            <w:cnfStyle w:val="001000000000" w:firstRow="0" w:lastRow="0" w:firstColumn="1" w:lastColumn="0" w:oddVBand="0" w:evenVBand="0" w:oddHBand="0" w:evenHBand="0" w:firstRowFirstColumn="0" w:firstRowLastColumn="0" w:lastRowFirstColumn="0" w:lastRowLastColumn="0"/>
            <w:tcW w:w="2120" w:type="dxa"/>
          </w:tcPr>
          <w:p w:rsidR="005C25A2" w:rsidRPr="0082461D" w:rsidRDefault="005C25A2" w:rsidP="008C4BA0">
            <w:pPr>
              <w:pStyle w:val="Tabletext"/>
              <w:spacing w:before="20" w:after="20"/>
              <w:rPr>
                <w:sz w:val="20"/>
                <w:szCs w:val="20"/>
              </w:rPr>
            </w:pPr>
            <w:r w:rsidRPr="0082461D">
              <w:rPr>
                <w:sz w:val="20"/>
                <w:szCs w:val="20"/>
              </w:rPr>
              <w:t>Risques liés à l'infrastructure</w:t>
            </w:r>
          </w:p>
        </w:tc>
        <w:tc>
          <w:tcPr>
            <w:tcW w:w="6900" w:type="dxa"/>
          </w:tcPr>
          <w:p w:rsidR="005C25A2" w:rsidRPr="0082461D" w:rsidRDefault="005C25A2"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Dysfonctionnement des services TIC</w:t>
            </w:r>
          </w:p>
        </w:tc>
        <w:tc>
          <w:tcPr>
            <w:tcW w:w="1378" w:type="dxa"/>
          </w:tcPr>
          <w:p w:rsidR="005C25A2" w:rsidRPr="0082461D" w:rsidRDefault="005C25A2"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Faible</w:t>
            </w:r>
          </w:p>
        </w:tc>
        <w:tc>
          <w:tcPr>
            <w:tcW w:w="2020" w:type="dxa"/>
          </w:tcPr>
          <w:p w:rsidR="005C25A2" w:rsidRPr="0082461D" w:rsidRDefault="00712829"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Élevé</w:t>
            </w:r>
          </w:p>
        </w:tc>
        <w:tc>
          <w:tcPr>
            <w:tcW w:w="2172" w:type="dxa"/>
          </w:tcPr>
          <w:p w:rsidR="005C25A2"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82461D">
              <w:rPr>
                <w:rFonts w:eastAsia="Calibri" w:cs="Arial"/>
                <w:sz w:val="20"/>
                <w:szCs w:val="20"/>
              </w:rPr>
              <w:t>5, 6</w:t>
            </w:r>
          </w:p>
        </w:tc>
      </w:tr>
      <w:tr w:rsidR="00123126" w:rsidRPr="0082461D" w:rsidTr="008C4BA0">
        <w:trPr>
          <w:jc w:val="center"/>
        </w:trPr>
        <w:tc>
          <w:tcPr>
            <w:cnfStyle w:val="001000000000" w:firstRow="0" w:lastRow="0" w:firstColumn="1" w:lastColumn="0" w:oddVBand="0" w:evenVBand="0" w:oddHBand="0" w:evenHBand="0" w:firstRowFirstColumn="0" w:firstRowLastColumn="0" w:lastRowFirstColumn="0" w:lastRowLastColumn="0"/>
            <w:tcW w:w="2120" w:type="dxa"/>
          </w:tcPr>
          <w:p w:rsidR="00123126" w:rsidRPr="0082461D" w:rsidRDefault="00123126" w:rsidP="008C4BA0">
            <w:pPr>
              <w:pStyle w:val="Tabletext"/>
              <w:spacing w:before="20" w:after="20"/>
              <w:rPr>
                <w:sz w:val="20"/>
                <w:szCs w:val="20"/>
              </w:rPr>
            </w:pPr>
            <w:r w:rsidRPr="0082461D">
              <w:rPr>
                <w:sz w:val="20"/>
                <w:szCs w:val="20"/>
              </w:rPr>
              <w:t>R</w:t>
            </w:r>
            <w:r w:rsidR="003D7188" w:rsidRPr="0082461D">
              <w:rPr>
                <w:sz w:val="20"/>
                <w:szCs w:val="20"/>
              </w:rPr>
              <w:t>isques liés à la réputation</w:t>
            </w:r>
          </w:p>
        </w:tc>
        <w:tc>
          <w:tcPr>
            <w:tcW w:w="6900" w:type="dxa"/>
          </w:tcPr>
          <w:p w:rsidR="00123126" w:rsidRPr="0082461D" w:rsidRDefault="00712829"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Atteinte à l</w:t>
            </w:r>
            <w:r w:rsidR="00231343" w:rsidRPr="0082461D">
              <w:rPr>
                <w:sz w:val="20"/>
                <w:szCs w:val="20"/>
              </w:rPr>
              <w:t>a réputation de l'UIT par la diffusion d'informations mensongères ou inexactes</w:t>
            </w:r>
          </w:p>
        </w:tc>
        <w:tc>
          <w:tcPr>
            <w:tcW w:w="1378" w:type="dxa"/>
          </w:tcPr>
          <w:p w:rsidR="00123126" w:rsidRPr="0082461D" w:rsidRDefault="003D7188"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É</w:t>
            </w:r>
            <w:r w:rsidR="00123126" w:rsidRPr="0082461D">
              <w:rPr>
                <w:sz w:val="20"/>
                <w:szCs w:val="20"/>
              </w:rPr>
              <w:t>levée</w:t>
            </w:r>
          </w:p>
        </w:tc>
        <w:tc>
          <w:tcPr>
            <w:tcW w:w="2020"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w:t>
            </w:r>
          </w:p>
        </w:tc>
        <w:tc>
          <w:tcPr>
            <w:tcW w:w="2172"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82461D">
              <w:rPr>
                <w:rFonts w:eastAsia="Calibri" w:cs="Arial"/>
                <w:sz w:val="20"/>
                <w:szCs w:val="20"/>
              </w:rPr>
              <w:t>11, 12</w:t>
            </w:r>
          </w:p>
        </w:tc>
      </w:tr>
      <w:tr w:rsidR="00123126" w:rsidRPr="0082461D" w:rsidTr="008C4BA0">
        <w:trPr>
          <w:trHeight w:val="352"/>
          <w:jc w:val="center"/>
        </w:trPr>
        <w:tc>
          <w:tcPr>
            <w:cnfStyle w:val="001000000000" w:firstRow="0" w:lastRow="0" w:firstColumn="1" w:lastColumn="0" w:oddVBand="0" w:evenVBand="0" w:oddHBand="0" w:evenHBand="0" w:firstRowFirstColumn="0" w:firstRowLastColumn="0" w:lastRowFirstColumn="0" w:lastRowLastColumn="0"/>
            <w:tcW w:w="2120" w:type="dxa"/>
            <w:vMerge w:val="restart"/>
          </w:tcPr>
          <w:p w:rsidR="00123126" w:rsidRPr="0082461D" w:rsidRDefault="00123126" w:rsidP="008C4BA0">
            <w:pPr>
              <w:pStyle w:val="Tabletext"/>
              <w:spacing w:before="20" w:after="20"/>
              <w:rPr>
                <w:sz w:val="20"/>
                <w:szCs w:val="20"/>
              </w:rPr>
            </w:pPr>
            <w:r w:rsidRPr="0082461D">
              <w:rPr>
                <w:sz w:val="20"/>
                <w:szCs w:val="20"/>
              </w:rPr>
              <w:t>Risques liés aux parties prenantes/</w:t>
            </w:r>
            <w:r w:rsidRPr="0082461D">
              <w:rPr>
                <w:sz w:val="20"/>
                <w:szCs w:val="20"/>
              </w:rPr>
              <w:br/>
              <w:t xml:space="preserve">partenaires </w:t>
            </w:r>
          </w:p>
        </w:tc>
        <w:tc>
          <w:tcPr>
            <w:tcW w:w="6900" w:type="dxa"/>
          </w:tcPr>
          <w:p w:rsidR="00123126" w:rsidRPr="0082461D" w:rsidRDefault="003D7188"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Lenteur des processus décisionnels</w:t>
            </w:r>
          </w:p>
        </w:tc>
        <w:tc>
          <w:tcPr>
            <w:tcW w:w="1378"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Moyenne</w:t>
            </w:r>
          </w:p>
        </w:tc>
        <w:tc>
          <w:tcPr>
            <w:tcW w:w="2020"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w:t>
            </w:r>
          </w:p>
        </w:tc>
        <w:tc>
          <w:tcPr>
            <w:tcW w:w="2172"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1, 3, 10</w:t>
            </w:r>
          </w:p>
        </w:tc>
      </w:tr>
      <w:tr w:rsidR="00123126" w:rsidRPr="0082461D" w:rsidTr="008C4BA0">
        <w:trPr>
          <w:trHeight w:val="526"/>
          <w:jc w:val="center"/>
        </w:trPr>
        <w:tc>
          <w:tcPr>
            <w:cnfStyle w:val="001000000000" w:firstRow="0" w:lastRow="0" w:firstColumn="1" w:lastColumn="0" w:oddVBand="0" w:evenVBand="0" w:oddHBand="0" w:evenHBand="0" w:firstRowFirstColumn="0" w:firstRowLastColumn="0" w:lastRowFirstColumn="0" w:lastRowLastColumn="0"/>
            <w:tcW w:w="2120" w:type="dxa"/>
            <w:vMerge/>
          </w:tcPr>
          <w:p w:rsidR="00123126" w:rsidRPr="0082461D" w:rsidRDefault="00123126" w:rsidP="008C4BA0">
            <w:pPr>
              <w:pStyle w:val="Tabletext"/>
              <w:spacing w:before="20" w:after="20"/>
              <w:rPr>
                <w:sz w:val="20"/>
                <w:szCs w:val="20"/>
              </w:rPr>
            </w:pPr>
          </w:p>
        </w:tc>
        <w:tc>
          <w:tcPr>
            <w:tcW w:w="6900" w:type="dxa"/>
          </w:tcPr>
          <w:p w:rsidR="00123126" w:rsidRPr="0082461D" w:rsidRDefault="00231343"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 xml:space="preserve">Difficulté croissante de nouer un dialogue avec le public </w:t>
            </w:r>
            <w:r w:rsidR="00123126" w:rsidRPr="0082461D">
              <w:rPr>
                <w:sz w:val="20"/>
                <w:szCs w:val="20"/>
              </w:rPr>
              <w:t>(</w:t>
            </w:r>
            <w:r w:rsidRPr="0082461D">
              <w:rPr>
                <w:sz w:val="20"/>
                <w:szCs w:val="20"/>
              </w:rPr>
              <w:t xml:space="preserve">nouveaux acteurs, nombreuses organisations </w:t>
            </w:r>
            <w:r w:rsidR="003D7188" w:rsidRPr="0082461D">
              <w:rPr>
                <w:sz w:val="20"/>
                <w:szCs w:val="20"/>
              </w:rPr>
              <w:t>concurrentes cherchant à attirer l'attention du public</w:t>
            </w:r>
            <w:r w:rsidR="00123126" w:rsidRPr="0082461D">
              <w:rPr>
                <w:sz w:val="20"/>
                <w:szCs w:val="20"/>
              </w:rPr>
              <w:t>)</w:t>
            </w:r>
          </w:p>
        </w:tc>
        <w:tc>
          <w:tcPr>
            <w:tcW w:w="1378"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Moyenne</w:t>
            </w:r>
          </w:p>
        </w:tc>
        <w:tc>
          <w:tcPr>
            <w:tcW w:w="2020"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w:t>
            </w:r>
          </w:p>
        </w:tc>
        <w:tc>
          <w:tcPr>
            <w:tcW w:w="2172"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82461D">
              <w:rPr>
                <w:rFonts w:eastAsia="Calibri" w:cs="Arial"/>
                <w:sz w:val="20"/>
                <w:szCs w:val="20"/>
              </w:rPr>
              <w:t>12</w:t>
            </w:r>
          </w:p>
        </w:tc>
      </w:tr>
      <w:tr w:rsidR="005C25A2" w:rsidRPr="0082461D" w:rsidTr="008C4BA0">
        <w:trPr>
          <w:jc w:val="center"/>
        </w:trPr>
        <w:tc>
          <w:tcPr>
            <w:cnfStyle w:val="001000000000" w:firstRow="0" w:lastRow="0" w:firstColumn="1" w:lastColumn="0" w:oddVBand="0" w:evenVBand="0" w:oddHBand="0" w:evenHBand="0" w:firstRowFirstColumn="0" w:firstRowLastColumn="0" w:lastRowFirstColumn="0" w:lastRowLastColumn="0"/>
            <w:tcW w:w="2120" w:type="dxa"/>
          </w:tcPr>
          <w:p w:rsidR="005C25A2" w:rsidRPr="0082461D" w:rsidRDefault="005C25A2" w:rsidP="008C4BA0">
            <w:pPr>
              <w:pStyle w:val="Tabletext"/>
              <w:spacing w:before="20" w:after="20"/>
              <w:rPr>
                <w:sz w:val="20"/>
                <w:szCs w:val="20"/>
              </w:rPr>
            </w:pPr>
            <w:r w:rsidRPr="0082461D">
              <w:rPr>
                <w:sz w:val="20"/>
                <w:szCs w:val="20"/>
              </w:rPr>
              <w:t>Risques liés aux ressources humaines</w:t>
            </w:r>
          </w:p>
        </w:tc>
        <w:tc>
          <w:tcPr>
            <w:tcW w:w="6900" w:type="dxa"/>
          </w:tcPr>
          <w:p w:rsidR="005C25A2" w:rsidRPr="0082461D" w:rsidRDefault="005C25A2"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Manque de polyvalence, de souplesse et de préparation du personnel pour s'adapter à l'évolution des besoins</w:t>
            </w:r>
          </w:p>
        </w:tc>
        <w:tc>
          <w:tcPr>
            <w:tcW w:w="1378" w:type="dxa"/>
          </w:tcPr>
          <w:p w:rsidR="005C25A2" w:rsidRPr="0082461D" w:rsidRDefault="005C25A2"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Faible</w:t>
            </w:r>
          </w:p>
        </w:tc>
        <w:tc>
          <w:tcPr>
            <w:tcW w:w="2020" w:type="dxa"/>
          </w:tcPr>
          <w:p w:rsidR="005C25A2" w:rsidRPr="0082461D" w:rsidRDefault="00712829"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Élevé</w:t>
            </w:r>
          </w:p>
        </w:tc>
        <w:tc>
          <w:tcPr>
            <w:tcW w:w="2172" w:type="dxa"/>
          </w:tcPr>
          <w:p w:rsidR="005C25A2"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82461D">
              <w:rPr>
                <w:rFonts w:eastAsia="Calibri" w:cs="Arial"/>
                <w:sz w:val="20"/>
                <w:szCs w:val="20"/>
              </w:rPr>
              <w:t>2, 3, 8</w:t>
            </w:r>
          </w:p>
        </w:tc>
      </w:tr>
      <w:tr w:rsidR="00123126" w:rsidRPr="0082461D" w:rsidTr="008C4BA0">
        <w:trPr>
          <w:trHeight w:val="395"/>
          <w:jc w:val="center"/>
        </w:trPr>
        <w:tc>
          <w:tcPr>
            <w:cnfStyle w:val="001000000000" w:firstRow="0" w:lastRow="0" w:firstColumn="1" w:lastColumn="0" w:oddVBand="0" w:evenVBand="0" w:oddHBand="0" w:evenHBand="0" w:firstRowFirstColumn="0" w:firstRowLastColumn="0" w:lastRowFirstColumn="0" w:lastRowLastColumn="0"/>
            <w:tcW w:w="2120" w:type="dxa"/>
            <w:vMerge w:val="restart"/>
          </w:tcPr>
          <w:p w:rsidR="00123126" w:rsidRPr="0082461D" w:rsidRDefault="00123126" w:rsidP="008C4BA0">
            <w:pPr>
              <w:pStyle w:val="Tabletext"/>
              <w:spacing w:before="20" w:after="20"/>
              <w:rPr>
                <w:sz w:val="20"/>
                <w:szCs w:val="20"/>
              </w:rPr>
            </w:pPr>
            <w:r w:rsidRPr="0082461D">
              <w:rPr>
                <w:sz w:val="20"/>
                <w:szCs w:val="20"/>
              </w:rPr>
              <w:t>Risques opérationnels</w:t>
            </w:r>
          </w:p>
        </w:tc>
        <w:tc>
          <w:tcPr>
            <w:tcW w:w="6900" w:type="dxa"/>
          </w:tcPr>
          <w:p w:rsidR="00123126" w:rsidRPr="0082461D" w:rsidRDefault="003D7188"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Affaiblissement</w:t>
            </w:r>
            <w:r w:rsidR="00231343" w:rsidRPr="0082461D">
              <w:rPr>
                <w:sz w:val="20"/>
                <w:szCs w:val="20"/>
              </w:rPr>
              <w:t xml:space="preserve"> de la coordination intersectorielle</w:t>
            </w:r>
          </w:p>
        </w:tc>
        <w:tc>
          <w:tcPr>
            <w:tcW w:w="1378"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Moyenne</w:t>
            </w:r>
          </w:p>
        </w:tc>
        <w:tc>
          <w:tcPr>
            <w:tcW w:w="2020"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w:t>
            </w:r>
          </w:p>
        </w:tc>
        <w:tc>
          <w:tcPr>
            <w:tcW w:w="2172"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w:t>
            </w:r>
          </w:p>
        </w:tc>
      </w:tr>
      <w:tr w:rsidR="00123126" w:rsidRPr="0082461D" w:rsidTr="008C4BA0">
        <w:trPr>
          <w:trHeight w:val="364"/>
          <w:jc w:val="center"/>
        </w:trPr>
        <w:tc>
          <w:tcPr>
            <w:cnfStyle w:val="001000000000" w:firstRow="0" w:lastRow="0" w:firstColumn="1" w:lastColumn="0" w:oddVBand="0" w:evenVBand="0" w:oddHBand="0" w:evenHBand="0" w:firstRowFirstColumn="0" w:firstRowLastColumn="0" w:lastRowFirstColumn="0" w:lastRowLastColumn="0"/>
            <w:tcW w:w="2120" w:type="dxa"/>
            <w:vMerge/>
          </w:tcPr>
          <w:p w:rsidR="00123126" w:rsidRPr="0082461D" w:rsidRDefault="00123126" w:rsidP="008C4BA0">
            <w:pPr>
              <w:pStyle w:val="Tabletext"/>
              <w:spacing w:before="20" w:after="20"/>
              <w:rPr>
                <w:sz w:val="20"/>
                <w:szCs w:val="20"/>
              </w:rPr>
            </w:pPr>
          </w:p>
        </w:tc>
        <w:tc>
          <w:tcPr>
            <w:tcW w:w="6900" w:type="dxa"/>
          </w:tcPr>
          <w:p w:rsidR="002016E6" w:rsidRPr="0082461D" w:rsidRDefault="00231343"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 xml:space="preserve">Lancement de nouvelles activités </w:t>
            </w:r>
            <w:r w:rsidR="002016E6" w:rsidRPr="0082461D">
              <w:rPr>
                <w:sz w:val="20"/>
                <w:szCs w:val="20"/>
              </w:rPr>
              <w:t>entraînant des doubles emplois (aux niveaux interne et externe)</w:t>
            </w:r>
          </w:p>
        </w:tc>
        <w:tc>
          <w:tcPr>
            <w:tcW w:w="1378"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Moyenne</w:t>
            </w:r>
          </w:p>
        </w:tc>
        <w:tc>
          <w:tcPr>
            <w:tcW w:w="2020"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w:t>
            </w:r>
          </w:p>
        </w:tc>
        <w:tc>
          <w:tcPr>
            <w:tcW w:w="2172"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1, 2, 10</w:t>
            </w:r>
          </w:p>
        </w:tc>
      </w:tr>
      <w:tr w:rsidR="00123126" w:rsidRPr="0082461D" w:rsidTr="008C4BA0">
        <w:trPr>
          <w:trHeight w:val="567"/>
          <w:jc w:val="center"/>
        </w:trPr>
        <w:tc>
          <w:tcPr>
            <w:cnfStyle w:val="001000000000" w:firstRow="0" w:lastRow="0" w:firstColumn="1" w:lastColumn="0" w:oddVBand="0" w:evenVBand="0" w:oddHBand="0" w:evenHBand="0" w:firstRowFirstColumn="0" w:firstRowLastColumn="0" w:lastRowFirstColumn="0" w:lastRowLastColumn="0"/>
            <w:tcW w:w="2120" w:type="dxa"/>
            <w:vMerge/>
          </w:tcPr>
          <w:p w:rsidR="00123126" w:rsidRPr="0082461D" w:rsidRDefault="00123126" w:rsidP="008C4BA0">
            <w:pPr>
              <w:pStyle w:val="Tabletext"/>
              <w:spacing w:before="20" w:after="20"/>
              <w:rPr>
                <w:sz w:val="20"/>
                <w:szCs w:val="20"/>
              </w:rPr>
            </w:pPr>
          </w:p>
        </w:tc>
        <w:tc>
          <w:tcPr>
            <w:tcW w:w="6900" w:type="dxa"/>
          </w:tcPr>
          <w:p w:rsidR="00123126" w:rsidRPr="0082461D" w:rsidRDefault="002016E6"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 xml:space="preserve">Mise en </w:t>
            </w:r>
            <w:r w:rsidR="002D4B48" w:rsidRPr="0082461D">
              <w:rPr>
                <w:sz w:val="20"/>
                <w:szCs w:val="20"/>
              </w:rPr>
              <w:t>œuvre</w:t>
            </w:r>
            <w:r w:rsidRPr="0082461D">
              <w:rPr>
                <w:sz w:val="20"/>
                <w:szCs w:val="20"/>
              </w:rPr>
              <w:t xml:space="preserve"> d'activités/d'initiatives non conformes aux objectifs de l'organisation</w:t>
            </w:r>
          </w:p>
        </w:tc>
        <w:tc>
          <w:tcPr>
            <w:tcW w:w="1378"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Moyenne</w:t>
            </w:r>
          </w:p>
        </w:tc>
        <w:tc>
          <w:tcPr>
            <w:tcW w:w="2020"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w:t>
            </w:r>
          </w:p>
        </w:tc>
        <w:tc>
          <w:tcPr>
            <w:tcW w:w="2172"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1, 2, 3, 10</w:t>
            </w:r>
          </w:p>
        </w:tc>
      </w:tr>
      <w:tr w:rsidR="00123126" w:rsidRPr="0082461D" w:rsidTr="008C4BA0">
        <w:trPr>
          <w:trHeight w:val="567"/>
          <w:jc w:val="center"/>
        </w:trPr>
        <w:tc>
          <w:tcPr>
            <w:cnfStyle w:val="001000000000" w:firstRow="0" w:lastRow="0" w:firstColumn="1" w:lastColumn="0" w:oddVBand="0" w:evenVBand="0" w:oddHBand="0" w:evenHBand="0" w:firstRowFirstColumn="0" w:firstRowLastColumn="0" w:lastRowFirstColumn="0" w:lastRowLastColumn="0"/>
            <w:tcW w:w="2120" w:type="dxa"/>
            <w:vMerge/>
          </w:tcPr>
          <w:p w:rsidR="00123126" w:rsidRPr="0082461D" w:rsidRDefault="00123126" w:rsidP="008C4BA0">
            <w:pPr>
              <w:pStyle w:val="Tabletext"/>
              <w:spacing w:before="20" w:after="20"/>
              <w:rPr>
                <w:sz w:val="20"/>
                <w:szCs w:val="20"/>
              </w:rPr>
            </w:pPr>
          </w:p>
        </w:tc>
        <w:tc>
          <w:tcPr>
            <w:tcW w:w="6900" w:type="dxa"/>
          </w:tcPr>
          <w:p w:rsidR="00123126" w:rsidRPr="0082461D" w:rsidRDefault="00123126"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Gestion inefficace des ressources humaines (absence de contrôle, fautes, erreurs humaines)</w:t>
            </w:r>
          </w:p>
        </w:tc>
        <w:tc>
          <w:tcPr>
            <w:tcW w:w="1378"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Faible</w:t>
            </w:r>
          </w:p>
        </w:tc>
        <w:tc>
          <w:tcPr>
            <w:tcW w:w="2020"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w:t>
            </w:r>
          </w:p>
        </w:tc>
        <w:tc>
          <w:tcPr>
            <w:tcW w:w="2172"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82461D">
              <w:rPr>
                <w:rFonts w:eastAsia="Calibri" w:cs="Arial"/>
                <w:sz w:val="20"/>
                <w:szCs w:val="20"/>
              </w:rPr>
              <w:t>2, 3, 9</w:t>
            </w:r>
          </w:p>
        </w:tc>
      </w:tr>
      <w:tr w:rsidR="00123126" w:rsidRPr="0082461D" w:rsidTr="008C4BA0">
        <w:trPr>
          <w:trHeight w:val="283"/>
          <w:jc w:val="center"/>
        </w:trPr>
        <w:tc>
          <w:tcPr>
            <w:cnfStyle w:val="001000000000" w:firstRow="0" w:lastRow="0" w:firstColumn="1" w:lastColumn="0" w:oddVBand="0" w:evenVBand="0" w:oddHBand="0" w:evenHBand="0" w:firstRowFirstColumn="0" w:firstRowLastColumn="0" w:lastRowFirstColumn="0" w:lastRowLastColumn="0"/>
            <w:tcW w:w="2120" w:type="dxa"/>
            <w:vMerge/>
          </w:tcPr>
          <w:p w:rsidR="00123126" w:rsidRPr="0082461D" w:rsidRDefault="00123126" w:rsidP="008C4BA0">
            <w:pPr>
              <w:pStyle w:val="Tabletext"/>
              <w:spacing w:before="20" w:after="20"/>
              <w:rPr>
                <w:sz w:val="20"/>
                <w:szCs w:val="20"/>
              </w:rPr>
            </w:pPr>
          </w:p>
        </w:tc>
        <w:tc>
          <w:tcPr>
            <w:tcW w:w="6900" w:type="dxa"/>
          </w:tcPr>
          <w:p w:rsidR="00123126" w:rsidRPr="0082461D" w:rsidRDefault="002016E6"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Appui fourni dans le cadre d'activités contradictoires</w:t>
            </w:r>
            <w:r w:rsidR="00123126" w:rsidRPr="0082461D">
              <w:rPr>
                <w:sz w:val="20"/>
                <w:szCs w:val="20"/>
              </w:rPr>
              <w:t xml:space="preserve"> </w:t>
            </w:r>
          </w:p>
        </w:tc>
        <w:tc>
          <w:tcPr>
            <w:tcW w:w="1378"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Moyenne</w:t>
            </w:r>
          </w:p>
        </w:tc>
        <w:tc>
          <w:tcPr>
            <w:tcW w:w="2020"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w:t>
            </w:r>
          </w:p>
        </w:tc>
        <w:tc>
          <w:tcPr>
            <w:tcW w:w="2172"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1, 3, 7, 10</w:t>
            </w:r>
          </w:p>
        </w:tc>
      </w:tr>
      <w:tr w:rsidR="00123126" w:rsidRPr="0082461D" w:rsidTr="008C4BA0">
        <w:trPr>
          <w:trHeight w:val="208"/>
          <w:jc w:val="center"/>
        </w:trPr>
        <w:tc>
          <w:tcPr>
            <w:cnfStyle w:val="001000000000" w:firstRow="0" w:lastRow="0" w:firstColumn="1" w:lastColumn="0" w:oddVBand="0" w:evenVBand="0" w:oddHBand="0" w:evenHBand="0" w:firstRowFirstColumn="0" w:firstRowLastColumn="0" w:lastRowFirstColumn="0" w:lastRowLastColumn="0"/>
            <w:tcW w:w="2120" w:type="dxa"/>
            <w:vMerge/>
          </w:tcPr>
          <w:p w:rsidR="00123126" w:rsidRPr="0082461D" w:rsidRDefault="00123126" w:rsidP="008C4BA0">
            <w:pPr>
              <w:pStyle w:val="Tabletext"/>
              <w:spacing w:before="20" w:after="20"/>
              <w:rPr>
                <w:sz w:val="20"/>
                <w:szCs w:val="20"/>
              </w:rPr>
            </w:pPr>
          </w:p>
        </w:tc>
        <w:tc>
          <w:tcPr>
            <w:tcW w:w="6900" w:type="dxa"/>
          </w:tcPr>
          <w:p w:rsidR="00123126" w:rsidRPr="0082461D" w:rsidRDefault="002016E6"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Cadre institutionnel obsolète</w:t>
            </w:r>
          </w:p>
        </w:tc>
        <w:tc>
          <w:tcPr>
            <w:tcW w:w="1378"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Moyenne</w:t>
            </w:r>
          </w:p>
        </w:tc>
        <w:tc>
          <w:tcPr>
            <w:tcW w:w="2020"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w:t>
            </w:r>
          </w:p>
        </w:tc>
        <w:tc>
          <w:tcPr>
            <w:tcW w:w="2172"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1, 3</w:t>
            </w:r>
          </w:p>
        </w:tc>
      </w:tr>
      <w:tr w:rsidR="00123126" w:rsidRPr="0082461D" w:rsidTr="008C4BA0">
        <w:trPr>
          <w:trHeight w:val="208"/>
          <w:jc w:val="center"/>
        </w:trPr>
        <w:tc>
          <w:tcPr>
            <w:cnfStyle w:val="001000000000" w:firstRow="0" w:lastRow="0" w:firstColumn="1" w:lastColumn="0" w:oddVBand="0" w:evenVBand="0" w:oddHBand="0" w:evenHBand="0" w:firstRowFirstColumn="0" w:firstRowLastColumn="0" w:lastRowFirstColumn="0" w:lastRowLastColumn="0"/>
            <w:tcW w:w="2120" w:type="dxa"/>
            <w:vMerge/>
          </w:tcPr>
          <w:p w:rsidR="00123126" w:rsidRPr="0082461D" w:rsidRDefault="00123126" w:rsidP="008C4BA0">
            <w:pPr>
              <w:pStyle w:val="Tabletext"/>
              <w:spacing w:before="20" w:after="20"/>
              <w:rPr>
                <w:sz w:val="20"/>
                <w:szCs w:val="20"/>
              </w:rPr>
            </w:pPr>
          </w:p>
        </w:tc>
        <w:tc>
          <w:tcPr>
            <w:tcW w:w="6900" w:type="dxa"/>
          </w:tcPr>
          <w:p w:rsidR="00123126" w:rsidRPr="0082461D" w:rsidRDefault="002016E6"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 xml:space="preserve">Absence de mécanismes de contrôle </w:t>
            </w:r>
            <w:r w:rsidR="003D7188" w:rsidRPr="0082461D">
              <w:rPr>
                <w:sz w:val="20"/>
                <w:szCs w:val="20"/>
              </w:rPr>
              <w:t>appropriés</w:t>
            </w:r>
          </w:p>
        </w:tc>
        <w:tc>
          <w:tcPr>
            <w:tcW w:w="1378"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Moyenne</w:t>
            </w:r>
          </w:p>
        </w:tc>
        <w:tc>
          <w:tcPr>
            <w:tcW w:w="2020"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w:t>
            </w:r>
          </w:p>
        </w:tc>
        <w:tc>
          <w:tcPr>
            <w:tcW w:w="2172"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2, 9</w:t>
            </w:r>
          </w:p>
        </w:tc>
      </w:tr>
      <w:tr w:rsidR="009A4633" w:rsidRPr="0082461D" w:rsidTr="008C4BA0">
        <w:trPr>
          <w:trHeight w:val="482"/>
          <w:jc w:val="center"/>
        </w:trPr>
        <w:tc>
          <w:tcPr>
            <w:cnfStyle w:val="001000000000" w:firstRow="0" w:lastRow="0" w:firstColumn="1" w:lastColumn="0" w:oddVBand="0" w:evenVBand="0" w:oddHBand="0" w:evenHBand="0" w:firstRowFirstColumn="0" w:firstRowLastColumn="0" w:lastRowFirstColumn="0" w:lastRowLastColumn="0"/>
            <w:tcW w:w="2120" w:type="dxa"/>
          </w:tcPr>
          <w:p w:rsidR="009A4633" w:rsidRPr="0082461D" w:rsidRDefault="009A4633" w:rsidP="008C4BA0">
            <w:pPr>
              <w:pStyle w:val="Tabletext"/>
              <w:spacing w:before="20" w:after="20"/>
              <w:rPr>
                <w:sz w:val="20"/>
              </w:rPr>
            </w:pPr>
            <w:r w:rsidRPr="0082461D">
              <w:rPr>
                <w:sz w:val="20"/>
                <w:szCs w:val="20"/>
              </w:rPr>
              <w:t>Risques financiers</w:t>
            </w:r>
          </w:p>
        </w:tc>
        <w:tc>
          <w:tcPr>
            <w:tcW w:w="6900" w:type="dxa"/>
          </w:tcPr>
          <w:p w:rsidR="009A4633" w:rsidRPr="0082461D" w:rsidRDefault="009A4633"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Non-paiement ou réduction des contributions, taxes/ou diminution des recettes</w:t>
            </w:r>
          </w:p>
        </w:tc>
        <w:tc>
          <w:tcPr>
            <w:tcW w:w="1378" w:type="dxa"/>
          </w:tcPr>
          <w:p w:rsidR="009A4633" w:rsidRPr="0082461D" w:rsidRDefault="009A4633"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Faible</w:t>
            </w:r>
          </w:p>
        </w:tc>
        <w:tc>
          <w:tcPr>
            <w:tcW w:w="2020" w:type="dxa"/>
          </w:tcPr>
          <w:p w:rsidR="009A4633" w:rsidRPr="0082461D" w:rsidRDefault="009A4633"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w:t>
            </w:r>
          </w:p>
        </w:tc>
        <w:tc>
          <w:tcPr>
            <w:tcW w:w="2172" w:type="dxa"/>
          </w:tcPr>
          <w:p w:rsidR="009A4633" w:rsidRPr="0082461D" w:rsidRDefault="009A4633"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7, 10</w:t>
            </w:r>
          </w:p>
        </w:tc>
      </w:tr>
    </w:tbl>
    <w:p w:rsidR="008C4BA0" w:rsidRPr="008C4BA0" w:rsidRDefault="008C4BA0">
      <w:pPr>
        <w:rPr>
          <w:sz w:val="2"/>
          <w:szCs w:val="2"/>
        </w:rPr>
      </w:pPr>
    </w:p>
    <w:tbl>
      <w:tblPr>
        <w:tblStyle w:val="GridTable4-Accent115"/>
        <w:tblW w:w="14165" w:type="dxa"/>
        <w:tblLayout w:type="fixed"/>
        <w:tblLook w:val="06A0" w:firstRow="1" w:lastRow="0" w:firstColumn="1" w:lastColumn="0" w:noHBand="1" w:noVBand="1"/>
      </w:tblPr>
      <w:tblGrid>
        <w:gridCol w:w="9020"/>
        <w:gridCol w:w="2737"/>
        <w:gridCol w:w="2408"/>
      </w:tblGrid>
      <w:tr w:rsidR="005E2CA0" w:rsidRPr="0082461D" w:rsidTr="008C4B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20" w:type="dxa"/>
            <w:vAlign w:val="center"/>
          </w:tcPr>
          <w:p w:rsidR="005E2CA0" w:rsidRPr="0082461D" w:rsidRDefault="003D7188" w:rsidP="001D547C">
            <w:pPr>
              <w:pStyle w:val="Tablehead"/>
              <w:rPr>
                <w:b/>
                <w:bCs w:val="0"/>
                <w:sz w:val="20"/>
                <w:szCs w:val="20"/>
              </w:rPr>
            </w:pPr>
            <w:r w:rsidRPr="0082461D">
              <w:rPr>
                <w:b/>
                <w:bCs w:val="0"/>
                <w:sz w:val="20"/>
                <w:szCs w:val="20"/>
              </w:rPr>
              <w:lastRenderedPageBreak/>
              <w:t>Principales mesures d'atténuation</w:t>
            </w:r>
          </w:p>
        </w:tc>
        <w:tc>
          <w:tcPr>
            <w:tcW w:w="2737" w:type="dxa"/>
            <w:vAlign w:val="center"/>
          </w:tcPr>
          <w:p w:rsidR="005E2CA0" w:rsidRPr="0082461D" w:rsidRDefault="004431CC"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Entité responsable</w:t>
            </w:r>
          </w:p>
        </w:tc>
        <w:tc>
          <w:tcPr>
            <w:tcW w:w="2408" w:type="dxa"/>
            <w:vAlign w:val="center"/>
          </w:tcPr>
          <w:p w:rsidR="005E2CA0" w:rsidRPr="0082461D" w:rsidRDefault="00C10B3D"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Statut</w:t>
            </w:r>
          </w:p>
        </w:tc>
      </w:tr>
      <w:tr w:rsidR="006F4793" w:rsidRPr="0082461D" w:rsidTr="008C4BA0">
        <w:trPr>
          <w:trHeight w:val="567"/>
        </w:trPr>
        <w:tc>
          <w:tcPr>
            <w:cnfStyle w:val="001000000000" w:firstRow="0" w:lastRow="0" w:firstColumn="1" w:lastColumn="0" w:oddVBand="0" w:evenVBand="0" w:oddHBand="0" w:evenHBand="0" w:firstRowFirstColumn="0" w:firstRowLastColumn="0" w:lastRowFirstColumn="0" w:lastRowLastColumn="0"/>
            <w:tcW w:w="9020" w:type="dxa"/>
          </w:tcPr>
          <w:p w:rsidR="006F4793" w:rsidRPr="0082461D" w:rsidRDefault="006F4793" w:rsidP="00C27A01">
            <w:pPr>
              <w:pStyle w:val="Tabletext"/>
              <w:rPr>
                <w:b w:val="0"/>
                <w:bCs w:val="0"/>
                <w:sz w:val="20"/>
                <w:szCs w:val="20"/>
              </w:rPr>
            </w:pPr>
            <w:r w:rsidRPr="00422FE2">
              <w:rPr>
                <w:sz w:val="20"/>
                <w:szCs w:val="20"/>
              </w:rPr>
              <w:t>1</w:t>
            </w:r>
            <w:r w:rsidRPr="0082461D">
              <w:rPr>
                <w:b w:val="0"/>
                <w:bCs w:val="0"/>
                <w:sz w:val="20"/>
                <w:szCs w:val="20"/>
              </w:rPr>
              <w:tab/>
            </w:r>
            <w:r w:rsidR="004431CC" w:rsidRPr="0082461D">
              <w:rPr>
                <w:b w:val="0"/>
                <w:bCs w:val="0"/>
                <w:sz w:val="20"/>
                <w:szCs w:val="20"/>
              </w:rPr>
              <w:t>Stratégie de coordination intersectorielle visant à améliorer les processus décisionnels, à garantir une meilleure planification, un</w:t>
            </w:r>
            <w:r w:rsidR="00C27A01" w:rsidRPr="0082461D">
              <w:rPr>
                <w:b w:val="0"/>
                <w:bCs w:val="0"/>
                <w:sz w:val="20"/>
                <w:szCs w:val="20"/>
              </w:rPr>
              <w:t>e</w:t>
            </w:r>
            <w:r w:rsidR="004431CC" w:rsidRPr="0082461D">
              <w:rPr>
                <w:b w:val="0"/>
                <w:bCs w:val="0"/>
                <w:sz w:val="20"/>
                <w:szCs w:val="20"/>
              </w:rPr>
              <w:t xml:space="preserve"> meilleur</w:t>
            </w:r>
            <w:r w:rsidR="00C27A01" w:rsidRPr="0082461D">
              <w:rPr>
                <w:b w:val="0"/>
                <w:bCs w:val="0"/>
                <w:sz w:val="20"/>
                <w:szCs w:val="20"/>
              </w:rPr>
              <w:t>e</w:t>
            </w:r>
            <w:r w:rsidR="004431CC" w:rsidRPr="0082461D">
              <w:rPr>
                <w:b w:val="0"/>
                <w:bCs w:val="0"/>
                <w:sz w:val="20"/>
                <w:szCs w:val="20"/>
              </w:rPr>
              <w:t xml:space="preserve"> </w:t>
            </w:r>
            <w:r w:rsidR="00C27A01" w:rsidRPr="0082461D">
              <w:rPr>
                <w:b w:val="0"/>
                <w:bCs w:val="0"/>
                <w:sz w:val="20"/>
                <w:szCs w:val="20"/>
              </w:rPr>
              <w:t>harmonisation</w:t>
            </w:r>
            <w:r w:rsidR="004431CC" w:rsidRPr="0082461D">
              <w:rPr>
                <w:b w:val="0"/>
                <w:bCs w:val="0"/>
                <w:sz w:val="20"/>
                <w:szCs w:val="20"/>
              </w:rPr>
              <w:t xml:space="preserve"> et une meilleure coordination des activités et à limiter la concurrence et les doubles emplois en interne</w:t>
            </w:r>
          </w:p>
        </w:tc>
        <w:tc>
          <w:tcPr>
            <w:tcW w:w="2737" w:type="dxa"/>
          </w:tcPr>
          <w:p w:rsidR="006F4793" w:rsidRPr="0082461D" w:rsidRDefault="003D7188"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Groupe de coordination intersectorielle (ISC-TF)</w:t>
            </w:r>
          </w:p>
        </w:tc>
        <w:tc>
          <w:tcPr>
            <w:tcW w:w="2408" w:type="dxa"/>
          </w:tcPr>
          <w:p w:rsidR="006F4793" w:rsidRPr="0082461D" w:rsidRDefault="004431CC"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En cours</w:t>
            </w:r>
          </w:p>
        </w:tc>
      </w:tr>
      <w:tr w:rsidR="006F4793" w:rsidRPr="0082461D" w:rsidTr="008C4BA0">
        <w:trPr>
          <w:trHeight w:val="567"/>
        </w:trPr>
        <w:tc>
          <w:tcPr>
            <w:cnfStyle w:val="001000000000" w:firstRow="0" w:lastRow="0" w:firstColumn="1" w:lastColumn="0" w:oddVBand="0" w:evenVBand="0" w:oddHBand="0" w:evenHBand="0" w:firstRowFirstColumn="0" w:firstRowLastColumn="0" w:lastRowFirstColumn="0" w:lastRowLastColumn="0"/>
            <w:tcW w:w="9020" w:type="dxa"/>
          </w:tcPr>
          <w:p w:rsidR="006F4793" w:rsidRPr="0082461D" w:rsidRDefault="006F4793" w:rsidP="001D547C">
            <w:pPr>
              <w:pStyle w:val="Tabletext"/>
              <w:rPr>
                <w:b w:val="0"/>
                <w:bCs w:val="0"/>
                <w:sz w:val="20"/>
                <w:szCs w:val="20"/>
              </w:rPr>
            </w:pPr>
            <w:r w:rsidRPr="00422FE2">
              <w:rPr>
                <w:sz w:val="20"/>
                <w:szCs w:val="20"/>
              </w:rPr>
              <w:t>2</w:t>
            </w:r>
            <w:r w:rsidRPr="0082461D">
              <w:rPr>
                <w:b w:val="0"/>
                <w:bCs w:val="0"/>
                <w:sz w:val="20"/>
                <w:szCs w:val="20"/>
              </w:rPr>
              <w:tab/>
            </w:r>
            <w:r w:rsidR="003D7188" w:rsidRPr="0082461D">
              <w:rPr>
                <w:b w:val="0"/>
                <w:bCs w:val="0"/>
                <w:sz w:val="20"/>
                <w:szCs w:val="20"/>
              </w:rPr>
              <w:t>Renforcement</w:t>
            </w:r>
            <w:r w:rsidR="004431CC" w:rsidRPr="0082461D">
              <w:rPr>
                <w:b w:val="0"/>
                <w:bCs w:val="0"/>
                <w:sz w:val="20"/>
                <w:szCs w:val="20"/>
              </w:rPr>
              <w:t xml:space="preserve"> </w:t>
            </w:r>
            <w:r w:rsidR="002D4B48" w:rsidRPr="0082461D">
              <w:rPr>
                <w:b w:val="0"/>
                <w:bCs w:val="0"/>
                <w:sz w:val="20"/>
                <w:szCs w:val="20"/>
              </w:rPr>
              <w:t>d</w:t>
            </w:r>
            <w:r w:rsidR="004431CC" w:rsidRPr="0082461D">
              <w:rPr>
                <w:b w:val="0"/>
                <w:bCs w:val="0"/>
                <w:sz w:val="20"/>
                <w:szCs w:val="20"/>
              </w:rPr>
              <w:t>es mécanismes de suivi et d'évaluation</w:t>
            </w:r>
          </w:p>
        </w:tc>
        <w:tc>
          <w:tcPr>
            <w:tcW w:w="2737" w:type="dxa"/>
          </w:tcPr>
          <w:p w:rsidR="006F4793" w:rsidRPr="0082461D" w:rsidRDefault="008C4BA0"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Bureau du</w:t>
            </w:r>
            <w:r w:rsidR="004431CC" w:rsidRPr="0082461D">
              <w:rPr>
                <w:sz w:val="20"/>
                <w:szCs w:val="20"/>
              </w:rPr>
              <w:t xml:space="preserve"> Secrétaire général</w:t>
            </w:r>
          </w:p>
        </w:tc>
        <w:tc>
          <w:tcPr>
            <w:tcW w:w="2408" w:type="dxa"/>
          </w:tcPr>
          <w:p w:rsidR="006F4793" w:rsidRPr="0082461D" w:rsidRDefault="004431CC"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En cours</w:t>
            </w:r>
          </w:p>
        </w:tc>
      </w:tr>
      <w:tr w:rsidR="006F4793" w:rsidRPr="0082461D" w:rsidTr="008C4BA0">
        <w:trPr>
          <w:trHeight w:val="567"/>
        </w:trPr>
        <w:tc>
          <w:tcPr>
            <w:cnfStyle w:val="001000000000" w:firstRow="0" w:lastRow="0" w:firstColumn="1" w:lastColumn="0" w:oddVBand="0" w:evenVBand="0" w:oddHBand="0" w:evenHBand="0" w:firstRowFirstColumn="0" w:firstRowLastColumn="0" w:lastRowFirstColumn="0" w:lastRowLastColumn="0"/>
            <w:tcW w:w="9020" w:type="dxa"/>
          </w:tcPr>
          <w:p w:rsidR="006F4793" w:rsidRPr="0082461D" w:rsidRDefault="004431CC" w:rsidP="00B94289">
            <w:pPr>
              <w:pStyle w:val="Tabletext"/>
              <w:rPr>
                <w:b w:val="0"/>
                <w:bCs w:val="0"/>
                <w:sz w:val="20"/>
                <w:szCs w:val="20"/>
              </w:rPr>
            </w:pPr>
            <w:r w:rsidRPr="00422FE2">
              <w:rPr>
                <w:sz w:val="20"/>
                <w:szCs w:val="20"/>
              </w:rPr>
              <w:t>3</w:t>
            </w:r>
            <w:r w:rsidRPr="0082461D">
              <w:rPr>
                <w:b w:val="0"/>
                <w:bCs w:val="0"/>
                <w:sz w:val="20"/>
                <w:szCs w:val="20"/>
              </w:rPr>
              <w:tab/>
            </w:r>
            <w:r w:rsidR="00C27A01" w:rsidRPr="0082461D">
              <w:rPr>
                <w:b w:val="0"/>
                <w:bCs w:val="0"/>
                <w:sz w:val="20"/>
                <w:szCs w:val="20"/>
              </w:rPr>
              <w:t>É</w:t>
            </w:r>
            <w:r w:rsidRPr="0082461D">
              <w:rPr>
                <w:b w:val="0"/>
                <w:bCs w:val="0"/>
                <w:sz w:val="20"/>
                <w:szCs w:val="20"/>
              </w:rPr>
              <w:t xml:space="preserve">valuation </w:t>
            </w:r>
            <w:r w:rsidR="003D7188" w:rsidRPr="0082461D">
              <w:rPr>
                <w:b w:val="0"/>
                <w:bCs w:val="0"/>
                <w:sz w:val="20"/>
                <w:szCs w:val="20"/>
              </w:rPr>
              <w:t>au sein de l'organisation</w:t>
            </w:r>
            <w:r w:rsidRPr="0082461D">
              <w:rPr>
                <w:b w:val="0"/>
                <w:bCs w:val="0"/>
                <w:sz w:val="20"/>
                <w:szCs w:val="20"/>
              </w:rPr>
              <w:t xml:space="preserve"> pour analyser la culture et les </w:t>
            </w:r>
            <w:r w:rsidR="00C27A01" w:rsidRPr="0082461D">
              <w:rPr>
                <w:b w:val="0"/>
                <w:bCs w:val="0"/>
                <w:sz w:val="20"/>
                <w:szCs w:val="20"/>
              </w:rPr>
              <w:t>compétences de l'organisation</w:t>
            </w:r>
            <w:r w:rsidRPr="0082461D">
              <w:rPr>
                <w:b w:val="0"/>
                <w:bCs w:val="0"/>
                <w:sz w:val="20"/>
                <w:szCs w:val="20"/>
              </w:rPr>
              <w:t xml:space="preserve"> et mener des consultations</w:t>
            </w:r>
            <w:r w:rsidR="003D7188" w:rsidRPr="0082461D">
              <w:rPr>
                <w:b w:val="0"/>
                <w:bCs w:val="0"/>
                <w:sz w:val="20"/>
                <w:szCs w:val="20"/>
              </w:rPr>
              <w:t xml:space="preserve"> à ce</w:t>
            </w:r>
            <w:r w:rsidR="00C27A01" w:rsidRPr="0082461D">
              <w:rPr>
                <w:b w:val="0"/>
                <w:bCs w:val="0"/>
                <w:sz w:val="20"/>
                <w:szCs w:val="20"/>
              </w:rPr>
              <w:t>t égard</w:t>
            </w:r>
            <w:r w:rsidRPr="0082461D">
              <w:rPr>
                <w:b w:val="0"/>
                <w:bCs w:val="0"/>
                <w:sz w:val="20"/>
                <w:szCs w:val="20"/>
              </w:rPr>
              <w:t xml:space="preserve">; </w:t>
            </w:r>
            <w:r w:rsidR="003D7188" w:rsidRPr="0082461D">
              <w:rPr>
                <w:b w:val="0"/>
                <w:bCs w:val="0"/>
                <w:sz w:val="20"/>
                <w:szCs w:val="20"/>
              </w:rPr>
              <w:t>définir d</w:t>
            </w:r>
            <w:r w:rsidRPr="0082461D">
              <w:rPr>
                <w:b w:val="0"/>
                <w:bCs w:val="0"/>
                <w:sz w:val="20"/>
                <w:szCs w:val="20"/>
              </w:rPr>
              <w:t xml:space="preserve">es objectifs </w:t>
            </w:r>
            <w:r w:rsidR="00C27A01" w:rsidRPr="0082461D">
              <w:rPr>
                <w:b w:val="0"/>
                <w:bCs w:val="0"/>
                <w:sz w:val="20"/>
                <w:szCs w:val="20"/>
              </w:rPr>
              <w:t>en matière</w:t>
            </w:r>
            <w:r w:rsidRPr="0082461D">
              <w:rPr>
                <w:b w:val="0"/>
                <w:bCs w:val="0"/>
                <w:sz w:val="20"/>
                <w:szCs w:val="20"/>
              </w:rPr>
              <w:t xml:space="preserve"> de gestion afin de répondre aux besoins des membres de l'UIT et de l'écosystème des TIC </w:t>
            </w:r>
            <w:r w:rsidR="00C27A01" w:rsidRPr="0082461D">
              <w:rPr>
                <w:b w:val="0"/>
                <w:bCs w:val="0"/>
                <w:sz w:val="20"/>
                <w:szCs w:val="20"/>
              </w:rPr>
              <w:t>et de surmonter les</w:t>
            </w:r>
            <w:r w:rsidRPr="0082461D">
              <w:rPr>
                <w:b w:val="0"/>
                <w:bCs w:val="0"/>
                <w:sz w:val="20"/>
                <w:szCs w:val="20"/>
              </w:rPr>
              <w:t xml:space="preserve"> problèmes </w:t>
            </w:r>
            <w:r w:rsidR="00C27A01" w:rsidRPr="0082461D">
              <w:rPr>
                <w:b w:val="0"/>
                <w:bCs w:val="0"/>
                <w:sz w:val="20"/>
                <w:szCs w:val="20"/>
              </w:rPr>
              <w:t xml:space="preserve">qu'ils </w:t>
            </w:r>
            <w:r w:rsidRPr="0082461D">
              <w:rPr>
                <w:b w:val="0"/>
                <w:bCs w:val="0"/>
                <w:sz w:val="20"/>
                <w:szCs w:val="20"/>
              </w:rPr>
              <w:t>rencontr</w:t>
            </w:r>
            <w:r w:rsidR="00C27A01" w:rsidRPr="0082461D">
              <w:rPr>
                <w:b w:val="0"/>
                <w:bCs w:val="0"/>
                <w:sz w:val="20"/>
                <w:szCs w:val="20"/>
              </w:rPr>
              <w:t>ent</w:t>
            </w:r>
            <w:r w:rsidRPr="0082461D">
              <w:rPr>
                <w:b w:val="0"/>
                <w:bCs w:val="0"/>
                <w:sz w:val="20"/>
                <w:szCs w:val="20"/>
              </w:rPr>
              <w:t xml:space="preserve">; étudier les lacunes sur le plan des compétences/des ressources humaines, des technologies et des outils; et définir un Plan d'action </w:t>
            </w:r>
            <w:r w:rsidR="003D7188" w:rsidRPr="0082461D">
              <w:rPr>
                <w:b w:val="0"/>
                <w:bCs w:val="0"/>
                <w:sz w:val="20"/>
                <w:szCs w:val="20"/>
              </w:rPr>
              <w:t>visant à</w:t>
            </w:r>
            <w:r w:rsidRPr="0082461D">
              <w:rPr>
                <w:b w:val="0"/>
                <w:bCs w:val="0"/>
                <w:sz w:val="20"/>
                <w:szCs w:val="20"/>
              </w:rPr>
              <w:t xml:space="preserve"> instaurer la culture institutionnelle souhaitée et</w:t>
            </w:r>
            <w:r w:rsidR="003D7188" w:rsidRPr="0082461D">
              <w:rPr>
                <w:b w:val="0"/>
                <w:bCs w:val="0"/>
                <w:sz w:val="20"/>
                <w:szCs w:val="20"/>
              </w:rPr>
              <w:t xml:space="preserve"> à</w:t>
            </w:r>
            <w:r w:rsidRPr="0082461D">
              <w:rPr>
                <w:b w:val="0"/>
                <w:bCs w:val="0"/>
                <w:sz w:val="20"/>
                <w:szCs w:val="20"/>
              </w:rPr>
              <w:t xml:space="preserve"> développer les compétences nécessaires pour que l'UIT conserve toute sa pertinence et sa compétitivité</w:t>
            </w:r>
          </w:p>
        </w:tc>
        <w:tc>
          <w:tcPr>
            <w:tcW w:w="2737" w:type="dxa"/>
          </w:tcPr>
          <w:p w:rsidR="006F4793" w:rsidRPr="0082461D" w:rsidRDefault="004431CC"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B</w:t>
            </w:r>
            <w:r w:rsidR="008C4BA0">
              <w:rPr>
                <w:sz w:val="20"/>
                <w:szCs w:val="20"/>
              </w:rPr>
              <w:t>ureau du</w:t>
            </w:r>
            <w:r w:rsidRPr="0082461D">
              <w:rPr>
                <w:sz w:val="20"/>
                <w:szCs w:val="20"/>
              </w:rPr>
              <w:t xml:space="preserve"> Secrétaire général</w:t>
            </w:r>
          </w:p>
        </w:tc>
        <w:tc>
          <w:tcPr>
            <w:tcW w:w="2408" w:type="dxa"/>
          </w:tcPr>
          <w:p w:rsidR="006F4793" w:rsidRPr="0082461D" w:rsidRDefault="008A1B06"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Planifié</w:t>
            </w:r>
          </w:p>
        </w:tc>
      </w:tr>
      <w:tr w:rsidR="006F4793" w:rsidRPr="0082461D" w:rsidTr="008C4BA0">
        <w:trPr>
          <w:trHeight w:val="567"/>
        </w:trPr>
        <w:tc>
          <w:tcPr>
            <w:cnfStyle w:val="001000000000" w:firstRow="0" w:lastRow="0" w:firstColumn="1" w:lastColumn="0" w:oddVBand="0" w:evenVBand="0" w:oddHBand="0" w:evenHBand="0" w:firstRowFirstColumn="0" w:firstRowLastColumn="0" w:lastRowFirstColumn="0" w:lastRowLastColumn="0"/>
            <w:tcW w:w="9020" w:type="dxa"/>
          </w:tcPr>
          <w:p w:rsidR="006F4793" w:rsidRPr="0082461D" w:rsidRDefault="006F4793" w:rsidP="001D547C">
            <w:pPr>
              <w:pStyle w:val="Tabletext"/>
              <w:rPr>
                <w:b w:val="0"/>
                <w:bCs w:val="0"/>
                <w:sz w:val="20"/>
                <w:szCs w:val="20"/>
              </w:rPr>
            </w:pPr>
            <w:r w:rsidRPr="00422FE2">
              <w:rPr>
                <w:sz w:val="20"/>
                <w:szCs w:val="20"/>
              </w:rPr>
              <w:t>4</w:t>
            </w:r>
            <w:r w:rsidRPr="0082461D">
              <w:rPr>
                <w:b w:val="0"/>
                <w:bCs w:val="0"/>
                <w:sz w:val="20"/>
                <w:szCs w:val="20"/>
              </w:rPr>
              <w:tab/>
              <w:t xml:space="preserve">Veiller à ce que les objectifs de conception stratégiques du système de gestion de la sécurité des Nations Unies soient atteints: a) Amélioration du dispositif de sécurité physique au siège; b) Poursuite des audits d'évaluation de la sécurité dans les bureaux régionaux et les bureaux de zone; c) Mise en </w:t>
            </w:r>
            <w:r w:rsidR="00C63117">
              <w:rPr>
                <w:b w:val="0"/>
                <w:bCs w:val="0"/>
                <w:sz w:val="20"/>
                <w:szCs w:val="20"/>
              </w:rPr>
              <w:t>œ</w:t>
            </w:r>
            <w:r w:rsidRPr="0082461D">
              <w:rPr>
                <w:b w:val="0"/>
                <w:bCs w:val="0"/>
                <w:sz w:val="20"/>
                <w:szCs w:val="20"/>
              </w:rPr>
              <w:t>uvre d</w:t>
            </w:r>
            <w:r w:rsidR="003D7188" w:rsidRPr="0082461D">
              <w:rPr>
                <w:b w:val="0"/>
                <w:bCs w:val="0"/>
                <w:sz w:val="20"/>
                <w:szCs w:val="20"/>
              </w:rPr>
              <w:t>'un système de gestion de la résilience des organisations (ORMS)</w:t>
            </w:r>
            <w:r w:rsidRPr="0082461D">
              <w:rPr>
                <w:b w:val="0"/>
                <w:bCs w:val="0"/>
                <w:sz w:val="20"/>
                <w:szCs w:val="20"/>
              </w:rPr>
              <w:t xml:space="preserve"> (siège et bureaux hors siège); d) Protection des locaux (</w:t>
            </w:r>
            <w:r w:rsidR="008A1B06" w:rsidRPr="0082461D">
              <w:rPr>
                <w:b w:val="0"/>
                <w:bCs w:val="0"/>
                <w:sz w:val="20"/>
                <w:szCs w:val="20"/>
              </w:rPr>
              <w:t xml:space="preserve">installation de </w:t>
            </w:r>
            <w:r w:rsidRPr="0082461D">
              <w:rPr>
                <w:b w:val="0"/>
                <w:bCs w:val="0"/>
                <w:sz w:val="20"/>
                <w:szCs w:val="20"/>
              </w:rPr>
              <w:t xml:space="preserve">films </w:t>
            </w:r>
            <w:proofErr w:type="spellStart"/>
            <w:r w:rsidRPr="0082461D">
              <w:rPr>
                <w:b w:val="0"/>
                <w:bCs w:val="0"/>
                <w:sz w:val="20"/>
                <w:szCs w:val="20"/>
              </w:rPr>
              <w:t>anti</w:t>
            </w:r>
            <w:r w:rsidR="003D7188" w:rsidRPr="0082461D">
              <w:rPr>
                <w:b w:val="0"/>
                <w:bCs w:val="0"/>
                <w:sz w:val="20"/>
                <w:szCs w:val="20"/>
              </w:rPr>
              <w:t>-</w:t>
            </w:r>
            <w:r w:rsidRPr="0082461D">
              <w:rPr>
                <w:b w:val="0"/>
                <w:bCs w:val="0"/>
                <w:sz w:val="20"/>
                <w:szCs w:val="20"/>
              </w:rPr>
              <w:t>bris</w:t>
            </w:r>
            <w:proofErr w:type="spellEnd"/>
            <w:r w:rsidRPr="0082461D">
              <w:rPr>
                <w:b w:val="0"/>
                <w:bCs w:val="0"/>
                <w:sz w:val="20"/>
                <w:szCs w:val="20"/>
              </w:rPr>
              <w:t xml:space="preserve"> de glace); e) Discussion a</w:t>
            </w:r>
            <w:r w:rsidR="008A1B06" w:rsidRPr="0082461D">
              <w:rPr>
                <w:b w:val="0"/>
                <w:bCs w:val="0"/>
                <w:sz w:val="20"/>
                <w:szCs w:val="20"/>
              </w:rPr>
              <w:t xml:space="preserve">vec le pays hôte </w:t>
            </w:r>
            <w:r w:rsidR="003D7188" w:rsidRPr="0082461D">
              <w:rPr>
                <w:b w:val="0"/>
                <w:bCs w:val="0"/>
                <w:sz w:val="20"/>
                <w:szCs w:val="20"/>
              </w:rPr>
              <w:t>au sujet d'</w:t>
            </w:r>
            <w:r w:rsidR="008A1B06" w:rsidRPr="0082461D">
              <w:rPr>
                <w:b w:val="0"/>
                <w:bCs w:val="0"/>
                <w:sz w:val="20"/>
                <w:szCs w:val="20"/>
              </w:rPr>
              <w:t>un périmètre de protection fermé</w:t>
            </w:r>
            <w:r w:rsidRPr="0082461D">
              <w:rPr>
                <w:b w:val="0"/>
                <w:bCs w:val="0"/>
                <w:sz w:val="20"/>
                <w:szCs w:val="20"/>
              </w:rPr>
              <w:t xml:space="preserve"> aux piétons</w:t>
            </w:r>
            <w:r w:rsidR="008A1B06" w:rsidRPr="0082461D">
              <w:rPr>
                <w:b w:val="0"/>
                <w:bCs w:val="0"/>
                <w:sz w:val="20"/>
                <w:szCs w:val="20"/>
              </w:rPr>
              <w:t xml:space="preserve"> et aux véhicules pour le nouveau bâtiment de l'UIT</w:t>
            </w:r>
          </w:p>
        </w:tc>
        <w:tc>
          <w:tcPr>
            <w:tcW w:w="2737" w:type="dxa"/>
          </w:tcPr>
          <w:p w:rsidR="006F4793" w:rsidRPr="0082461D" w:rsidRDefault="004032B5" w:rsidP="00C27A01">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Département des services informatiques (ISD)</w:t>
            </w:r>
            <w:r w:rsidR="003D7188" w:rsidRPr="0082461D">
              <w:rPr>
                <w:sz w:val="20"/>
                <w:szCs w:val="20"/>
              </w:rPr>
              <w:t xml:space="preserve"> (</w:t>
            </w:r>
            <w:r w:rsidR="00C27A01" w:rsidRPr="0082461D">
              <w:rPr>
                <w:sz w:val="20"/>
                <w:szCs w:val="20"/>
              </w:rPr>
              <w:t>représentant du Secrétaire général de l'UIT</w:t>
            </w:r>
            <w:r w:rsidR="003D7188" w:rsidRPr="0082461D">
              <w:rPr>
                <w:sz w:val="20"/>
                <w:szCs w:val="20"/>
              </w:rPr>
              <w:t>)</w:t>
            </w:r>
          </w:p>
        </w:tc>
        <w:tc>
          <w:tcPr>
            <w:tcW w:w="2408" w:type="dxa"/>
          </w:tcPr>
          <w:p w:rsidR="006F4793" w:rsidRPr="0082461D" w:rsidRDefault="004431CC"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En cours (processus continu</w:t>
            </w:r>
            <w:r w:rsidR="006F4793" w:rsidRPr="0082461D">
              <w:rPr>
                <w:sz w:val="20"/>
                <w:szCs w:val="20"/>
              </w:rPr>
              <w:t>)</w:t>
            </w:r>
          </w:p>
        </w:tc>
      </w:tr>
      <w:tr w:rsidR="006F4793" w:rsidRPr="0082461D" w:rsidTr="008C4BA0">
        <w:trPr>
          <w:trHeight w:val="567"/>
        </w:trPr>
        <w:tc>
          <w:tcPr>
            <w:cnfStyle w:val="001000000000" w:firstRow="0" w:lastRow="0" w:firstColumn="1" w:lastColumn="0" w:oddVBand="0" w:evenVBand="0" w:oddHBand="0" w:evenHBand="0" w:firstRowFirstColumn="0" w:firstRowLastColumn="0" w:lastRowFirstColumn="0" w:lastRowLastColumn="0"/>
            <w:tcW w:w="9020" w:type="dxa"/>
          </w:tcPr>
          <w:p w:rsidR="006F4793" w:rsidRPr="0082461D" w:rsidRDefault="006F4793" w:rsidP="001D547C">
            <w:pPr>
              <w:pStyle w:val="Tabletext"/>
              <w:rPr>
                <w:b w:val="0"/>
                <w:bCs w:val="0"/>
                <w:sz w:val="20"/>
                <w:szCs w:val="20"/>
              </w:rPr>
            </w:pPr>
            <w:r w:rsidRPr="00422FE2">
              <w:rPr>
                <w:sz w:val="20"/>
                <w:szCs w:val="20"/>
              </w:rPr>
              <w:t>5</w:t>
            </w:r>
            <w:r w:rsidRPr="0082461D">
              <w:rPr>
                <w:b w:val="0"/>
                <w:bCs w:val="0"/>
                <w:sz w:val="20"/>
                <w:szCs w:val="20"/>
              </w:rPr>
              <w:tab/>
              <w:t>Cadre global de continuité des activités à l'échelle de l'UIT (</w:t>
            </w:r>
            <w:r w:rsidR="008A1B06" w:rsidRPr="0082461D">
              <w:rPr>
                <w:b w:val="0"/>
                <w:bCs w:val="0"/>
                <w:sz w:val="20"/>
                <w:szCs w:val="20"/>
              </w:rPr>
              <w:t>dans le cadre du systè</w:t>
            </w:r>
            <w:r w:rsidR="002D4B48" w:rsidRPr="0082461D">
              <w:rPr>
                <w:b w:val="0"/>
                <w:bCs w:val="0"/>
                <w:sz w:val="20"/>
                <w:szCs w:val="20"/>
              </w:rPr>
              <w:t>me O</w:t>
            </w:r>
            <w:r w:rsidR="008A1B06" w:rsidRPr="0082461D">
              <w:rPr>
                <w:b w:val="0"/>
                <w:bCs w:val="0"/>
                <w:sz w:val="20"/>
                <w:szCs w:val="20"/>
              </w:rPr>
              <w:t>R</w:t>
            </w:r>
            <w:r w:rsidR="002D4B48" w:rsidRPr="0082461D">
              <w:rPr>
                <w:b w:val="0"/>
                <w:bCs w:val="0"/>
                <w:sz w:val="20"/>
                <w:szCs w:val="20"/>
              </w:rPr>
              <w:t>M</w:t>
            </w:r>
            <w:r w:rsidR="008A1B06" w:rsidRPr="0082461D">
              <w:rPr>
                <w:b w:val="0"/>
                <w:bCs w:val="0"/>
                <w:sz w:val="20"/>
                <w:szCs w:val="20"/>
              </w:rPr>
              <w:t>S), y compris</w:t>
            </w:r>
            <w:r w:rsidRPr="0082461D">
              <w:rPr>
                <w:b w:val="0"/>
                <w:bCs w:val="0"/>
                <w:sz w:val="20"/>
                <w:szCs w:val="20"/>
              </w:rPr>
              <w:t xml:space="preserve"> </w:t>
            </w:r>
            <w:r w:rsidR="00C27A01" w:rsidRPr="0082461D">
              <w:rPr>
                <w:b w:val="0"/>
                <w:bCs w:val="0"/>
                <w:sz w:val="20"/>
                <w:szCs w:val="20"/>
              </w:rPr>
              <w:t xml:space="preserve">le </w:t>
            </w:r>
            <w:r w:rsidRPr="0082461D">
              <w:rPr>
                <w:b w:val="0"/>
                <w:bCs w:val="0"/>
                <w:sz w:val="20"/>
                <w:szCs w:val="20"/>
              </w:rPr>
              <w:t>renforcement des moyens de participation à distance</w:t>
            </w:r>
          </w:p>
        </w:tc>
        <w:tc>
          <w:tcPr>
            <w:tcW w:w="2737" w:type="dxa"/>
          </w:tcPr>
          <w:p w:rsidR="006F4793" w:rsidRPr="0082461D" w:rsidRDefault="003D7188"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 xml:space="preserve">ISD </w:t>
            </w:r>
          </w:p>
        </w:tc>
        <w:tc>
          <w:tcPr>
            <w:tcW w:w="2408" w:type="dxa"/>
          </w:tcPr>
          <w:p w:rsidR="006F4793" w:rsidRPr="0082461D" w:rsidRDefault="008A1B06" w:rsidP="00C63117">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 xml:space="preserve">En cours de mise en </w:t>
            </w:r>
            <w:r w:rsidR="00C63117">
              <w:rPr>
                <w:sz w:val="20"/>
                <w:szCs w:val="20"/>
              </w:rPr>
              <w:t>œ</w:t>
            </w:r>
            <w:r w:rsidRPr="0082461D">
              <w:rPr>
                <w:sz w:val="20"/>
                <w:szCs w:val="20"/>
              </w:rPr>
              <w:t>uvre</w:t>
            </w:r>
          </w:p>
        </w:tc>
      </w:tr>
      <w:tr w:rsidR="006F4793" w:rsidRPr="0082461D" w:rsidTr="008C4BA0">
        <w:trPr>
          <w:trHeight w:val="567"/>
        </w:trPr>
        <w:tc>
          <w:tcPr>
            <w:cnfStyle w:val="001000000000" w:firstRow="0" w:lastRow="0" w:firstColumn="1" w:lastColumn="0" w:oddVBand="0" w:evenVBand="0" w:oddHBand="0" w:evenHBand="0" w:firstRowFirstColumn="0" w:firstRowLastColumn="0" w:lastRowFirstColumn="0" w:lastRowLastColumn="0"/>
            <w:tcW w:w="9020" w:type="dxa"/>
          </w:tcPr>
          <w:p w:rsidR="006F4793" w:rsidRPr="0082461D" w:rsidRDefault="00C27A01" w:rsidP="001D547C">
            <w:pPr>
              <w:pStyle w:val="Tabletext"/>
              <w:rPr>
                <w:b w:val="0"/>
                <w:bCs w:val="0"/>
                <w:sz w:val="20"/>
                <w:szCs w:val="20"/>
              </w:rPr>
            </w:pPr>
            <w:r w:rsidRPr="00422FE2">
              <w:rPr>
                <w:sz w:val="20"/>
                <w:szCs w:val="20"/>
              </w:rPr>
              <w:t>6</w:t>
            </w:r>
            <w:r w:rsidRPr="0082461D">
              <w:rPr>
                <w:b w:val="0"/>
                <w:bCs w:val="0"/>
                <w:sz w:val="20"/>
                <w:szCs w:val="20"/>
              </w:rPr>
              <w:tab/>
              <w:t>Plan-</w:t>
            </w:r>
            <w:r w:rsidR="006F4793" w:rsidRPr="0082461D">
              <w:rPr>
                <w:b w:val="0"/>
                <w:bCs w:val="0"/>
                <w:sz w:val="20"/>
                <w:szCs w:val="20"/>
              </w:rPr>
              <w:t>cadre de rétablissement et de continuité des activités en cas de catastrophe touchant l'infrastructure TIC</w:t>
            </w:r>
          </w:p>
        </w:tc>
        <w:tc>
          <w:tcPr>
            <w:tcW w:w="2737" w:type="dxa"/>
          </w:tcPr>
          <w:p w:rsidR="006F4793" w:rsidRPr="0082461D" w:rsidRDefault="004032B5"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ISD</w:t>
            </w:r>
          </w:p>
        </w:tc>
        <w:tc>
          <w:tcPr>
            <w:tcW w:w="2408" w:type="dxa"/>
          </w:tcPr>
          <w:p w:rsidR="006F4793" w:rsidRPr="0082461D" w:rsidRDefault="008A1B06"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 xml:space="preserve">En cours de mise en </w:t>
            </w:r>
            <w:r w:rsidR="00C63117">
              <w:rPr>
                <w:sz w:val="20"/>
                <w:szCs w:val="20"/>
              </w:rPr>
              <w:t>œ</w:t>
            </w:r>
            <w:r w:rsidRPr="0082461D">
              <w:rPr>
                <w:sz w:val="20"/>
                <w:szCs w:val="20"/>
              </w:rPr>
              <w:t>uvre</w:t>
            </w:r>
          </w:p>
        </w:tc>
      </w:tr>
      <w:tr w:rsidR="006F4793" w:rsidRPr="0082461D" w:rsidTr="008C4BA0">
        <w:trPr>
          <w:trHeight w:val="567"/>
        </w:trPr>
        <w:tc>
          <w:tcPr>
            <w:cnfStyle w:val="001000000000" w:firstRow="0" w:lastRow="0" w:firstColumn="1" w:lastColumn="0" w:oddVBand="0" w:evenVBand="0" w:oddHBand="0" w:evenHBand="0" w:firstRowFirstColumn="0" w:firstRowLastColumn="0" w:lastRowFirstColumn="0" w:lastRowLastColumn="0"/>
            <w:tcW w:w="9020" w:type="dxa"/>
          </w:tcPr>
          <w:p w:rsidR="006F4793" w:rsidRPr="0082461D" w:rsidRDefault="006F4793" w:rsidP="00C27A01">
            <w:pPr>
              <w:pStyle w:val="Tabletext"/>
              <w:rPr>
                <w:b w:val="0"/>
                <w:bCs w:val="0"/>
                <w:sz w:val="20"/>
                <w:szCs w:val="20"/>
              </w:rPr>
            </w:pPr>
            <w:r w:rsidRPr="00422FE2">
              <w:rPr>
                <w:sz w:val="20"/>
                <w:szCs w:val="20"/>
              </w:rPr>
              <w:t>7</w:t>
            </w:r>
            <w:r w:rsidRPr="0082461D">
              <w:rPr>
                <w:b w:val="0"/>
                <w:bCs w:val="0"/>
                <w:sz w:val="20"/>
                <w:szCs w:val="20"/>
              </w:rPr>
              <w:tab/>
              <w:t xml:space="preserve">Collaboration </w:t>
            </w:r>
            <w:r w:rsidR="00C27A01" w:rsidRPr="0082461D">
              <w:rPr>
                <w:b w:val="0"/>
                <w:bCs w:val="0"/>
                <w:sz w:val="20"/>
                <w:szCs w:val="20"/>
              </w:rPr>
              <w:t>à un stade précoce</w:t>
            </w:r>
            <w:r w:rsidRPr="0082461D">
              <w:rPr>
                <w:b w:val="0"/>
                <w:bCs w:val="0"/>
                <w:sz w:val="20"/>
                <w:szCs w:val="20"/>
              </w:rPr>
              <w:t xml:space="preserve"> avec les membres (depuis le siège et conjointement avec les bureaux régionaux)</w:t>
            </w:r>
          </w:p>
        </w:tc>
        <w:tc>
          <w:tcPr>
            <w:tcW w:w="2737" w:type="dxa"/>
          </w:tcPr>
          <w:p w:rsidR="006F4793" w:rsidRPr="0082461D" w:rsidRDefault="003D7188"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Département de la gestion des ressources financières (FRMD)</w:t>
            </w:r>
            <w:r w:rsidR="006F4793" w:rsidRPr="0082461D">
              <w:rPr>
                <w:sz w:val="20"/>
                <w:szCs w:val="20"/>
              </w:rPr>
              <w:t xml:space="preserve">, </w:t>
            </w:r>
            <w:r w:rsidRPr="0082461D">
              <w:rPr>
                <w:sz w:val="20"/>
                <w:szCs w:val="20"/>
              </w:rPr>
              <w:t>Département de la planification stratég</w:t>
            </w:r>
            <w:r w:rsidR="00C27A01" w:rsidRPr="0082461D">
              <w:rPr>
                <w:sz w:val="20"/>
                <w:szCs w:val="20"/>
              </w:rPr>
              <w:t>ique et des relations avec les m</w:t>
            </w:r>
            <w:r w:rsidRPr="0082461D">
              <w:rPr>
                <w:sz w:val="20"/>
                <w:szCs w:val="20"/>
              </w:rPr>
              <w:t>embres (</w:t>
            </w:r>
            <w:r w:rsidR="006F4793" w:rsidRPr="0082461D">
              <w:rPr>
                <w:sz w:val="20"/>
                <w:szCs w:val="20"/>
              </w:rPr>
              <w:t>SPM</w:t>
            </w:r>
            <w:r w:rsidRPr="0082461D">
              <w:rPr>
                <w:sz w:val="20"/>
                <w:szCs w:val="20"/>
              </w:rPr>
              <w:t>)</w:t>
            </w:r>
            <w:r w:rsidR="006F4793" w:rsidRPr="0082461D">
              <w:rPr>
                <w:sz w:val="20"/>
                <w:szCs w:val="20"/>
              </w:rPr>
              <w:t xml:space="preserve"> </w:t>
            </w:r>
            <w:r w:rsidR="008A1B06" w:rsidRPr="0082461D">
              <w:rPr>
                <w:sz w:val="20"/>
                <w:szCs w:val="20"/>
              </w:rPr>
              <w:t>et Secteu</w:t>
            </w:r>
            <w:r w:rsidR="006F4793" w:rsidRPr="0082461D">
              <w:rPr>
                <w:sz w:val="20"/>
                <w:szCs w:val="20"/>
              </w:rPr>
              <w:t>rs</w:t>
            </w:r>
          </w:p>
        </w:tc>
        <w:tc>
          <w:tcPr>
            <w:tcW w:w="2408" w:type="dxa"/>
          </w:tcPr>
          <w:p w:rsidR="006F4793" w:rsidRPr="0082461D" w:rsidRDefault="008A1B06"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En cours</w:t>
            </w:r>
            <w:r w:rsidR="006F4793" w:rsidRPr="0082461D">
              <w:rPr>
                <w:sz w:val="20"/>
                <w:szCs w:val="20"/>
              </w:rPr>
              <w:t xml:space="preserve"> (</w:t>
            </w:r>
            <w:r w:rsidRPr="0082461D">
              <w:rPr>
                <w:sz w:val="20"/>
                <w:szCs w:val="20"/>
              </w:rPr>
              <w:t>processus continu</w:t>
            </w:r>
            <w:r w:rsidR="006F4793" w:rsidRPr="0082461D">
              <w:rPr>
                <w:sz w:val="20"/>
                <w:szCs w:val="20"/>
              </w:rPr>
              <w:t>)</w:t>
            </w:r>
          </w:p>
        </w:tc>
      </w:tr>
      <w:tr w:rsidR="006F4793" w:rsidRPr="0082461D" w:rsidTr="008C4BA0">
        <w:trPr>
          <w:trHeight w:val="567"/>
        </w:trPr>
        <w:tc>
          <w:tcPr>
            <w:cnfStyle w:val="001000000000" w:firstRow="0" w:lastRow="0" w:firstColumn="1" w:lastColumn="0" w:oddVBand="0" w:evenVBand="0" w:oddHBand="0" w:evenHBand="0" w:firstRowFirstColumn="0" w:firstRowLastColumn="0" w:lastRowFirstColumn="0" w:lastRowLastColumn="0"/>
            <w:tcW w:w="9020" w:type="dxa"/>
          </w:tcPr>
          <w:p w:rsidR="006F4793" w:rsidRPr="0082461D" w:rsidRDefault="006F4793" w:rsidP="001D547C">
            <w:pPr>
              <w:pStyle w:val="Tabletext"/>
              <w:rPr>
                <w:b w:val="0"/>
                <w:bCs w:val="0"/>
                <w:sz w:val="20"/>
                <w:szCs w:val="20"/>
              </w:rPr>
            </w:pPr>
            <w:r w:rsidRPr="00422FE2">
              <w:rPr>
                <w:sz w:val="20"/>
                <w:szCs w:val="20"/>
              </w:rPr>
              <w:t>8</w:t>
            </w:r>
            <w:r w:rsidRPr="0082461D">
              <w:rPr>
                <w:b w:val="0"/>
                <w:bCs w:val="0"/>
                <w:sz w:val="20"/>
                <w:szCs w:val="20"/>
              </w:rPr>
              <w:tab/>
              <w:t xml:space="preserve">Mise en </w:t>
            </w:r>
            <w:r w:rsidR="00C63117">
              <w:rPr>
                <w:b w:val="0"/>
                <w:bCs w:val="0"/>
                <w:sz w:val="20"/>
                <w:szCs w:val="20"/>
              </w:rPr>
              <w:t>œ</w:t>
            </w:r>
            <w:r w:rsidRPr="0082461D">
              <w:rPr>
                <w:b w:val="0"/>
                <w:bCs w:val="0"/>
                <w:sz w:val="20"/>
                <w:szCs w:val="20"/>
              </w:rPr>
              <w:t>uvre du plan stratégique pour les ressources humaines définissant les besoins en personnel et les besoins de l'organisation par la planification des ressources humaines, analysant les lacunes par la gestion des performances et répondant aux besoins de compétences par la formation et le perfectionnement. Veiller à ce que les procédures et les processus de gestion des ressources humaines préservent la polyvalence, la souplesse et l'adaptabilité du personnel conformément aux Statut et Règlement du personnel et au cadre général des politiques du système des Nations Unies</w:t>
            </w:r>
          </w:p>
        </w:tc>
        <w:tc>
          <w:tcPr>
            <w:tcW w:w="2737" w:type="dxa"/>
          </w:tcPr>
          <w:p w:rsidR="006F4793" w:rsidRPr="0082461D" w:rsidRDefault="003D7188"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Département de la gestion des ressources humaines (HRMD)</w:t>
            </w:r>
          </w:p>
        </w:tc>
        <w:tc>
          <w:tcPr>
            <w:tcW w:w="2408" w:type="dxa"/>
          </w:tcPr>
          <w:p w:rsidR="006F4793" w:rsidRPr="0082461D" w:rsidRDefault="008A1B06"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 xml:space="preserve">En cours de mise en </w:t>
            </w:r>
            <w:r w:rsidR="00C63117">
              <w:rPr>
                <w:sz w:val="20"/>
                <w:szCs w:val="20"/>
              </w:rPr>
              <w:t>œ</w:t>
            </w:r>
            <w:r w:rsidRPr="0082461D">
              <w:rPr>
                <w:sz w:val="20"/>
                <w:szCs w:val="20"/>
              </w:rPr>
              <w:t>uvre</w:t>
            </w:r>
          </w:p>
        </w:tc>
      </w:tr>
      <w:tr w:rsidR="006F4793" w:rsidRPr="0082461D" w:rsidTr="008C4BA0">
        <w:trPr>
          <w:trHeight w:val="567"/>
        </w:trPr>
        <w:tc>
          <w:tcPr>
            <w:cnfStyle w:val="001000000000" w:firstRow="0" w:lastRow="0" w:firstColumn="1" w:lastColumn="0" w:oddVBand="0" w:evenVBand="0" w:oddHBand="0" w:evenHBand="0" w:firstRowFirstColumn="0" w:firstRowLastColumn="0" w:lastRowFirstColumn="0" w:lastRowLastColumn="0"/>
            <w:tcW w:w="9020" w:type="dxa"/>
          </w:tcPr>
          <w:p w:rsidR="006F4793" w:rsidRPr="0082461D" w:rsidRDefault="006F4793" w:rsidP="001D547C">
            <w:pPr>
              <w:pStyle w:val="Tabletext"/>
              <w:rPr>
                <w:b w:val="0"/>
                <w:bCs w:val="0"/>
                <w:sz w:val="20"/>
                <w:szCs w:val="20"/>
              </w:rPr>
            </w:pPr>
            <w:r w:rsidRPr="00422FE2">
              <w:rPr>
                <w:sz w:val="20"/>
                <w:szCs w:val="20"/>
              </w:rPr>
              <w:lastRenderedPageBreak/>
              <w:t>9</w:t>
            </w:r>
            <w:r w:rsidRPr="0082461D">
              <w:rPr>
                <w:b w:val="0"/>
                <w:bCs w:val="0"/>
                <w:sz w:val="20"/>
                <w:szCs w:val="20"/>
              </w:rPr>
              <w:tab/>
            </w:r>
            <w:r w:rsidR="008A1B06" w:rsidRPr="0082461D">
              <w:rPr>
                <w:b w:val="0"/>
                <w:bCs w:val="0"/>
                <w:sz w:val="20"/>
                <w:szCs w:val="20"/>
              </w:rPr>
              <w:t>Renforcement du système/des mécanismes de contrôle interne</w:t>
            </w:r>
          </w:p>
        </w:tc>
        <w:tc>
          <w:tcPr>
            <w:tcW w:w="2737" w:type="dxa"/>
          </w:tcPr>
          <w:p w:rsidR="006F4793" w:rsidRPr="0082461D" w:rsidRDefault="008C4BA0"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Bureau du</w:t>
            </w:r>
            <w:r w:rsidR="004431CC" w:rsidRPr="0082461D">
              <w:rPr>
                <w:sz w:val="20"/>
                <w:szCs w:val="20"/>
              </w:rPr>
              <w:t xml:space="preserve"> Secrétaire général</w:t>
            </w:r>
          </w:p>
        </w:tc>
        <w:tc>
          <w:tcPr>
            <w:tcW w:w="2408" w:type="dxa"/>
          </w:tcPr>
          <w:p w:rsidR="006F4793" w:rsidRPr="0082461D" w:rsidRDefault="004431CC"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En cours</w:t>
            </w:r>
          </w:p>
        </w:tc>
      </w:tr>
      <w:tr w:rsidR="006F4793" w:rsidRPr="0082461D" w:rsidTr="008C4BA0">
        <w:trPr>
          <w:trHeight w:val="567"/>
        </w:trPr>
        <w:tc>
          <w:tcPr>
            <w:cnfStyle w:val="001000000000" w:firstRow="0" w:lastRow="0" w:firstColumn="1" w:lastColumn="0" w:oddVBand="0" w:evenVBand="0" w:oddHBand="0" w:evenHBand="0" w:firstRowFirstColumn="0" w:firstRowLastColumn="0" w:lastRowFirstColumn="0" w:lastRowLastColumn="0"/>
            <w:tcW w:w="9020" w:type="dxa"/>
          </w:tcPr>
          <w:p w:rsidR="006F4793" w:rsidRPr="0082461D" w:rsidRDefault="006F4793" w:rsidP="00C27A01">
            <w:pPr>
              <w:pStyle w:val="Tabletext"/>
              <w:rPr>
                <w:b w:val="0"/>
                <w:bCs w:val="0"/>
                <w:sz w:val="20"/>
                <w:szCs w:val="20"/>
              </w:rPr>
            </w:pPr>
            <w:r w:rsidRPr="00422FE2">
              <w:rPr>
                <w:sz w:val="20"/>
                <w:szCs w:val="20"/>
              </w:rPr>
              <w:t>10</w:t>
            </w:r>
            <w:r w:rsidRPr="0082461D">
              <w:rPr>
                <w:b w:val="0"/>
                <w:bCs w:val="0"/>
                <w:sz w:val="20"/>
                <w:szCs w:val="20"/>
              </w:rPr>
              <w:tab/>
            </w:r>
            <w:r w:rsidR="00C27A01" w:rsidRPr="0082461D">
              <w:rPr>
                <w:b w:val="0"/>
                <w:bCs w:val="0"/>
                <w:sz w:val="20"/>
                <w:szCs w:val="20"/>
              </w:rPr>
              <w:t>Suivi constant</w:t>
            </w:r>
            <w:r w:rsidRPr="0082461D">
              <w:rPr>
                <w:b w:val="0"/>
                <w:bCs w:val="0"/>
                <w:sz w:val="20"/>
                <w:szCs w:val="20"/>
              </w:rPr>
              <w:t xml:space="preserve"> et collaboration </w:t>
            </w:r>
            <w:r w:rsidR="00C27A01" w:rsidRPr="0082461D">
              <w:rPr>
                <w:b w:val="0"/>
                <w:bCs w:val="0"/>
                <w:sz w:val="20"/>
                <w:szCs w:val="20"/>
              </w:rPr>
              <w:t>à un stade précoce</w:t>
            </w:r>
            <w:r w:rsidRPr="0082461D">
              <w:rPr>
                <w:b w:val="0"/>
                <w:bCs w:val="0"/>
                <w:sz w:val="20"/>
                <w:szCs w:val="20"/>
              </w:rPr>
              <w:t xml:space="preserve"> avec les membres (depuis le siège et conjointement avec les bureaux régionaux); </w:t>
            </w:r>
            <w:r w:rsidR="00C27A01" w:rsidRPr="0082461D">
              <w:rPr>
                <w:b w:val="0"/>
                <w:bCs w:val="0"/>
                <w:sz w:val="20"/>
                <w:szCs w:val="20"/>
              </w:rPr>
              <w:t>suivi</w:t>
            </w:r>
            <w:r w:rsidRPr="0082461D">
              <w:rPr>
                <w:b w:val="0"/>
                <w:bCs w:val="0"/>
                <w:sz w:val="20"/>
                <w:szCs w:val="20"/>
              </w:rPr>
              <w:t xml:space="preserve"> des recettes et collaboration </w:t>
            </w:r>
            <w:r w:rsidR="00C27A01" w:rsidRPr="0082461D">
              <w:rPr>
                <w:b w:val="0"/>
                <w:bCs w:val="0"/>
                <w:sz w:val="20"/>
                <w:szCs w:val="20"/>
              </w:rPr>
              <w:t xml:space="preserve">à un stade précoce </w:t>
            </w:r>
            <w:r w:rsidRPr="0082461D">
              <w:rPr>
                <w:b w:val="0"/>
                <w:bCs w:val="0"/>
                <w:sz w:val="20"/>
                <w:szCs w:val="20"/>
              </w:rPr>
              <w:t>avec la direction</w:t>
            </w:r>
          </w:p>
        </w:tc>
        <w:tc>
          <w:tcPr>
            <w:tcW w:w="2737" w:type="dxa"/>
          </w:tcPr>
          <w:p w:rsidR="006F4793" w:rsidRPr="0082461D" w:rsidRDefault="006F4793"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 xml:space="preserve">FRMD, SPM </w:t>
            </w:r>
            <w:r w:rsidR="008A1B06" w:rsidRPr="0082461D">
              <w:rPr>
                <w:sz w:val="20"/>
                <w:szCs w:val="20"/>
              </w:rPr>
              <w:t>et Secteurs</w:t>
            </w:r>
          </w:p>
        </w:tc>
        <w:tc>
          <w:tcPr>
            <w:tcW w:w="2408" w:type="dxa"/>
          </w:tcPr>
          <w:p w:rsidR="006F4793" w:rsidRPr="0082461D" w:rsidRDefault="004431CC"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 xml:space="preserve">En cours </w:t>
            </w:r>
            <w:r w:rsidR="006F4793" w:rsidRPr="0082461D">
              <w:rPr>
                <w:sz w:val="20"/>
                <w:szCs w:val="20"/>
              </w:rPr>
              <w:t>(</w:t>
            </w:r>
            <w:r w:rsidRPr="0082461D">
              <w:rPr>
                <w:sz w:val="20"/>
                <w:szCs w:val="20"/>
              </w:rPr>
              <w:t>processus continu</w:t>
            </w:r>
            <w:r w:rsidR="006F4793" w:rsidRPr="0082461D">
              <w:rPr>
                <w:sz w:val="20"/>
                <w:szCs w:val="20"/>
              </w:rPr>
              <w:t>)</w:t>
            </w:r>
          </w:p>
        </w:tc>
      </w:tr>
      <w:tr w:rsidR="006F4793" w:rsidRPr="0082461D" w:rsidTr="008C4BA0">
        <w:trPr>
          <w:trHeight w:val="567"/>
        </w:trPr>
        <w:tc>
          <w:tcPr>
            <w:cnfStyle w:val="001000000000" w:firstRow="0" w:lastRow="0" w:firstColumn="1" w:lastColumn="0" w:oddVBand="0" w:evenVBand="0" w:oddHBand="0" w:evenHBand="0" w:firstRowFirstColumn="0" w:firstRowLastColumn="0" w:lastRowFirstColumn="0" w:lastRowLastColumn="0"/>
            <w:tcW w:w="9020" w:type="dxa"/>
          </w:tcPr>
          <w:p w:rsidR="006F4793" w:rsidRPr="0082461D" w:rsidRDefault="006F4793" w:rsidP="009662D3">
            <w:pPr>
              <w:pStyle w:val="Tabletext"/>
              <w:rPr>
                <w:b w:val="0"/>
                <w:bCs w:val="0"/>
                <w:sz w:val="20"/>
                <w:szCs w:val="20"/>
              </w:rPr>
            </w:pPr>
            <w:r w:rsidRPr="00422FE2">
              <w:rPr>
                <w:sz w:val="20"/>
                <w:szCs w:val="20"/>
              </w:rPr>
              <w:t>11</w:t>
            </w:r>
            <w:r w:rsidRPr="0082461D">
              <w:rPr>
                <w:b w:val="0"/>
                <w:bCs w:val="0"/>
                <w:sz w:val="20"/>
                <w:szCs w:val="20"/>
              </w:rPr>
              <w:tab/>
            </w:r>
            <w:r w:rsidR="000C3863" w:rsidRPr="0082461D">
              <w:rPr>
                <w:b w:val="0"/>
                <w:bCs w:val="0"/>
                <w:sz w:val="20"/>
                <w:szCs w:val="20"/>
              </w:rPr>
              <w:t xml:space="preserve">Mise en </w:t>
            </w:r>
            <w:r w:rsidR="00C63117">
              <w:rPr>
                <w:b w:val="0"/>
                <w:bCs w:val="0"/>
                <w:sz w:val="20"/>
                <w:szCs w:val="20"/>
              </w:rPr>
              <w:t>œ</w:t>
            </w:r>
            <w:r w:rsidR="000C3863" w:rsidRPr="0082461D">
              <w:rPr>
                <w:b w:val="0"/>
                <w:bCs w:val="0"/>
                <w:sz w:val="20"/>
                <w:szCs w:val="20"/>
              </w:rPr>
              <w:t>uvre</w:t>
            </w:r>
            <w:r w:rsidR="003D7188" w:rsidRPr="0082461D">
              <w:rPr>
                <w:b w:val="0"/>
                <w:bCs w:val="0"/>
                <w:sz w:val="20"/>
                <w:szCs w:val="20"/>
              </w:rPr>
              <w:t>, à l'échelle de l'UIT,</w:t>
            </w:r>
            <w:r w:rsidR="000C3863" w:rsidRPr="0082461D">
              <w:rPr>
                <w:b w:val="0"/>
                <w:bCs w:val="0"/>
                <w:sz w:val="20"/>
                <w:szCs w:val="20"/>
              </w:rPr>
              <w:t xml:space="preserve"> d</w:t>
            </w:r>
            <w:r w:rsidR="003D7188" w:rsidRPr="0082461D">
              <w:rPr>
                <w:b w:val="0"/>
                <w:bCs w:val="0"/>
                <w:sz w:val="20"/>
                <w:szCs w:val="20"/>
              </w:rPr>
              <w:t>'</w:t>
            </w:r>
            <w:r w:rsidR="000C3863" w:rsidRPr="0082461D">
              <w:rPr>
                <w:b w:val="0"/>
                <w:bCs w:val="0"/>
                <w:sz w:val="20"/>
                <w:szCs w:val="20"/>
              </w:rPr>
              <w:t>u</w:t>
            </w:r>
            <w:r w:rsidR="003D7188" w:rsidRPr="0082461D">
              <w:rPr>
                <w:b w:val="0"/>
                <w:bCs w:val="0"/>
                <w:sz w:val="20"/>
                <w:szCs w:val="20"/>
              </w:rPr>
              <w:t>n</w:t>
            </w:r>
            <w:r w:rsidR="000C3863" w:rsidRPr="0082461D">
              <w:rPr>
                <w:b w:val="0"/>
                <w:bCs w:val="0"/>
                <w:sz w:val="20"/>
                <w:szCs w:val="20"/>
              </w:rPr>
              <w:t xml:space="preserve"> système</w:t>
            </w:r>
            <w:r w:rsidRPr="0082461D">
              <w:rPr>
                <w:b w:val="0"/>
                <w:bCs w:val="0"/>
                <w:sz w:val="20"/>
                <w:szCs w:val="20"/>
              </w:rPr>
              <w:t xml:space="preserve"> ORMS</w:t>
            </w:r>
            <w:r w:rsidR="003D7188" w:rsidRPr="0082461D">
              <w:rPr>
                <w:b w:val="0"/>
                <w:bCs w:val="0"/>
                <w:sz w:val="20"/>
                <w:szCs w:val="20"/>
              </w:rPr>
              <w:t>,</w:t>
            </w:r>
            <w:r w:rsidR="000C3863" w:rsidRPr="0082461D">
              <w:rPr>
                <w:b w:val="0"/>
                <w:bCs w:val="0"/>
                <w:sz w:val="20"/>
                <w:szCs w:val="20"/>
              </w:rPr>
              <w:t xml:space="preserve"> y compris de politiques et procédures de gestion de crise</w:t>
            </w:r>
            <w:r w:rsidR="009662D3" w:rsidRPr="0082461D">
              <w:rPr>
                <w:b w:val="0"/>
                <w:bCs w:val="0"/>
                <w:sz w:val="20"/>
                <w:szCs w:val="20"/>
              </w:rPr>
              <w:t xml:space="preserve"> (CM)</w:t>
            </w:r>
            <w:r w:rsidR="000C3863" w:rsidRPr="0082461D">
              <w:rPr>
                <w:b w:val="0"/>
                <w:bCs w:val="0"/>
                <w:sz w:val="20"/>
                <w:szCs w:val="20"/>
              </w:rPr>
              <w:t>, d'un cadre de</w:t>
            </w:r>
            <w:r w:rsidR="003D7188" w:rsidRPr="0082461D">
              <w:rPr>
                <w:b w:val="0"/>
                <w:bCs w:val="0"/>
                <w:sz w:val="20"/>
                <w:szCs w:val="20"/>
              </w:rPr>
              <w:t xml:space="preserve"> gestion pour la</w:t>
            </w:r>
            <w:r w:rsidR="000C3863" w:rsidRPr="0082461D">
              <w:rPr>
                <w:b w:val="0"/>
                <w:bCs w:val="0"/>
                <w:sz w:val="20"/>
                <w:szCs w:val="20"/>
              </w:rPr>
              <w:t xml:space="preserve"> continuité des activités </w:t>
            </w:r>
            <w:r w:rsidR="009662D3" w:rsidRPr="0082461D">
              <w:rPr>
                <w:b w:val="0"/>
                <w:bCs w:val="0"/>
                <w:sz w:val="20"/>
                <w:szCs w:val="20"/>
              </w:rPr>
              <w:t xml:space="preserve">(BC) </w:t>
            </w:r>
            <w:r w:rsidR="000C3863" w:rsidRPr="0082461D">
              <w:rPr>
                <w:b w:val="0"/>
                <w:bCs w:val="0"/>
                <w:sz w:val="20"/>
                <w:szCs w:val="20"/>
              </w:rPr>
              <w:t xml:space="preserve">et d'un mécanisme pour la gestion efficace des communications en </w:t>
            </w:r>
            <w:r w:rsidR="009662D3" w:rsidRPr="0082461D">
              <w:rPr>
                <w:b w:val="0"/>
                <w:bCs w:val="0"/>
                <w:sz w:val="20"/>
                <w:szCs w:val="20"/>
              </w:rPr>
              <w:t>cas</w:t>
            </w:r>
            <w:r w:rsidR="000C3863" w:rsidRPr="0082461D">
              <w:rPr>
                <w:b w:val="0"/>
                <w:bCs w:val="0"/>
                <w:sz w:val="20"/>
                <w:szCs w:val="20"/>
              </w:rPr>
              <w:t xml:space="preserve"> de crise </w:t>
            </w:r>
            <w:r w:rsidR="009662D3" w:rsidRPr="0082461D">
              <w:rPr>
                <w:b w:val="0"/>
                <w:bCs w:val="0"/>
                <w:sz w:val="20"/>
                <w:szCs w:val="20"/>
              </w:rPr>
              <w:t>(CC)</w:t>
            </w:r>
          </w:p>
        </w:tc>
        <w:tc>
          <w:tcPr>
            <w:tcW w:w="2737" w:type="dxa"/>
          </w:tcPr>
          <w:p w:rsidR="006F4793" w:rsidRPr="0082461D" w:rsidRDefault="004431CC" w:rsidP="008C4BA0">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Bureau d</w:t>
            </w:r>
            <w:r w:rsidR="008C4BA0">
              <w:rPr>
                <w:sz w:val="20"/>
                <w:szCs w:val="20"/>
              </w:rPr>
              <w:t>u</w:t>
            </w:r>
            <w:r w:rsidRPr="0082461D">
              <w:rPr>
                <w:sz w:val="20"/>
                <w:szCs w:val="20"/>
              </w:rPr>
              <w:t xml:space="preserve"> Secrétaire général</w:t>
            </w:r>
          </w:p>
        </w:tc>
        <w:tc>
          <w:tcPr>
            <w:tcW w:w="2408" w:type="dxa"/>
          </w:tcPr>
          <w:p w:rsidR="006F4793" w:rsidRPr="0082461D" w:rsidRDefault="004431CC"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En cours</w:t>
            </w:r>
          </w:p>
        </w:tc>
      </w:tr>
      <w:tr w:rsidR="006F4793" w:rsidRPr="0082461D" w:rsidTr="008C4BA0">
        <w:trPr>
          <w:trHeight w:val="567"/>
        </w:trPr>
        <w:tc>
          <w:tcPr>
            <w:cnfStyle w:val="001000000000" w:firstRow="0" w:lastRow="0" w:firstColumn="1" w:lastColumn="0" w:oddVBand="0" w:evenVBand="0" w:oddHBand="0" w:evenHBand="0" w:firstRowFirstColumn="0" w:firstRowLastColumn="0" w:lastRowFirstColumn="0" w:lastRowLastColumn="0"/>
            <w:tcW w:w="9020" w:type="dxa"/>
          </w:tcPr>
          <w:p w:rsidR="006F4793" w:rsidRPr="0082461D" w:rsidRDefault="006F4793" w:rsidP="009662D3">
            <w:pPr>
              <w:pStyle w:val="Tabletext"/>
              <w:rPr>
                <w:b w:val="0"/>
                <w:bCs w:val="0"/>
                <w:sz w:val="20"/>
                <w:szCs w:val="20"/>
              </w:rPr>
            </w:pPr>
            <w:r w:rsidRPr="00422FE2">
              <w:rPr>
                <w:sz w:val="20"/>
                <w:szCs w:val="20"/>
              </w:rPr>
              <w:t>12</w:t>
            </w:r>
            <w:r w:rsidRPr="0082461D">
              <w:rPr>
                <w:b w:val="0"/>
                <w:bCs w:val="0"/>
                <w:sz w:val="20"/>
                <w:szCs w:val="20"/>
              </w:rPr>
              <w:tab/>
            </w:r>
            <w:r w:rsidR="000C3863" w:rsidRPr="0082461D">
              <w:rPr>
                <w:b w:val="0"/>
                <w:bCs w:val="0"/>
                <w:sz w:val="20"/>
                <w:szCs w:val="20"/>
              </w:rPr>
              <w:t xml:space="preserve">Stratégie de communication numérique consistant essentiellement </w:t>
            </w:r>
            <w:r w:rsidR="009662D3" w:rsidRPr="0082461D">
              <w:rPr>
                <w:b w:val="0"/>
                <w:bCs w:val="0"/>
                <w:sz w:val="20"/>
                <w:szCs w:val="20"/>
              </w:rPr>
              <w:t>à effectuer</w:t>
            </w:r>
            <w:r w:rsidR="000C3863" w:rsidRPr="0082461D">
              <w:rPr>
                <w:b w:val="0"/>
                <w:bCs w:val="0"/>
                <w:sz w:val="20"/>
                <w:szCs w:val="20"/>
              </w:rPr>
              <w:t xml:space="preserve"> une veille quotidienne sur les réseaux sociaux et les médias (</w:t>
            </w:r>
            <w:r w:rsidR="00925439" w:rsidRPr="0082461D">
              <w:rPr>
                <w:b w:val="0"/>
                <w:bCs w:val="0"/>
                <w:sz w:val="20"/>
                <w:szCs w:val="20"/>
              </w:rPr>
              <w:t xml:space="preserve">ainsi que sur les </w:t>
            </w:r>
            <w:proofErr w:type="spellStart"/>
            <w:r w:rsidR="00422FE2">
              <w:rPr>
                <w:b w:val="0"/>
                <w:bCs w:val="0"/>
                <w:sz w:val="20"/>
                <w:szCs w:val="20"/>
              </w:rPr>
              <w:t>macro</w:t>
            </w:r>
            <w:r w:rsidR="009662D3" w:rsidRPr="0082461D">
              <w:rPr>
                <w:b w:val="0"/>
                <w:bCs w:val="0"/>
                <w:sz w:val="20"/>
                <w:szCs w:val="20"/>
              </w:rPr>
              <w:t>tendances</w:t>
            </w:r>
            <w:proofErr w:type="spellEnd"/>
            <w:r w:rsidR="00925439" w:rsidRPr="0082461D">
              <w:rPr>
                <w:b w:val="0"/>
                <w:bCs w:val="0"/>
                <w:sz w:val="20"/>
                <w:szCs w:val="20"/>
              </w:rPr>
              <w:t xml:space="preserve">); </w:t>
            </w:r>
            <w:r w:rsidR="00AE4774" w:rsidRPr="0082461D">
              <w:rPr>
                <w:b w:val="0"/>
                <w:bCs w:val="0"/>
                <w:sz w:val="20"/>
                <w:szCs w:val="20"/>
              </w:rPr>
              <w:t>cartographie des (micro) influenceurs et relations avec ceux-ci; gestion de crise et gestion de la réputation de l'organisation; marketing de contenu</w:t>
            </w:r>
            <w:r w:rsidR="009662D3" w:rsidRPr="0082461D">
              <w:rPr>
                <w:b w:val="0"/>
                <w:bCs w:val="0"/>
                <w:sz w:val="20"/>
                <w:szCs w:val="20"/>
              </w:rPr>
              <w:t>,</w:t>
            </w:r>
            <w:r w:rsidR="00AE4774" w:rsidRPr="0082461D">
              <w:rPr>
                <w:b w:val="0"/>
                <w:bCs w:val="0"/>
                <w:sz w:val="20"/>
                <w:szCs w:val="20"/>
              </w:rPr>
              <w:t xml:space="preserve"> </w:t>
            </w:r>
            <w:r w:rsidR="009662D3" w:rsidRPr="0082461D">
              <w:rPr>
                <w:b w:val="0"/>
                <w:bCs w:val="0"/>
                <w:sz w:val="20"/>
                <w:szCs w:val="20"/>
              </w:rPr>
              <w:t>y compris la</w:t>
            </w:r>
            <w:r w:rsidR="00AE4774" w:rsidRPr="0082461D">
              <w:rPr>
                <w:b w:val="0"/>
                <w:bCs w:val="0"/>
                <w:sz w:val="20"/>
                <w:szCs w:val="20"/>
              </w:rPr>
              <w:t xml:space="preserve"> publicité sur les réseaux sociaux; </w:t>
            </w:r>
            <w:r w:rsidR="002E7770" w:rsidRPr="0082461D">
              <w:rPr>
                <w:b w:val="0"/>
                <w:bCs w:val="0"/>
                <w:sz w:val="20"/>
                <w:szCs w:val="20"/>
              </w:rPr>
              <w:t>promotion de l'image de marque</w:t>
            </w:r>
            <w:r w:rsidR="002D4B48" w:rsidRPr="0082461D">
              <w:rPr>
                <w:b w:val="0"/>
                <w:bCs w:val="0"/>
                <w:sz w:val="20"/>
                <w:szCs w:val="20"/>
              </w:rPr>
              <w:t xml:space="preserve"> en interne</w:t>
            </w:r>
            <w:r w:rsidR="002E7770" w:rsidRPr="0082461D">
              <w:rPr>
                <w:b w:val="0"/>
                <w:bCs w:val="0"/>
                <w:sz w:val="20"/>
                <w:szCs w:val="20"/>
              </w:rPr>
              <w:t xml:space="preserve">, y compris </w:t>
            </w:r>
            <w:r w:rsidR="009662D3" w:rsidRPr="0082461D">
              <w:rPr>
                <w:b w:val="0"/>
                <w:bCs w:val="0"/>
                <w:sz w:val="20"/>
                <w:szCs w:val="20"/>
              </w:rPr>
              <w:t xml:space="preserve">les </w:t>
            </w:r>
            <w:r w:rsidR="002E7770" w:rsidRPr="0082461D">
              <w:rPr>
                <w:b w:val="0"/>
                <w:bCs w:val="0"/>
                <w:sz w:val="20"/>
                <w:szCs w:val="20"/>
              </w:rPr>
              <w:t xml:space="preserve">communications internes; </w:t>
            </w:r>
            <w:r w:rsidR="00FD2727" w:rsidRPr="0082461D">
              <w:rPr>
                <w:b w:val="0"/>
                <w:bCs w:val="0"/>
                <w:sz w:val="20"/>
                <w:szCs w:val="20"/>
              </w:rPr>
              <w:t xml:space="preserve">exploitation d'une plate-forme </w:t>
            </w:r>
            <w:r w:rsidR="00401280" w:rsidRPr="0082461D">
              <w:rPr>
                <w:b w:val="0"/>
                <w:bCs w:val="0"/>
                <w:sz w:val="20"/>
                <w:szCs w:val="20"/>
              </w:rPr>
              <w:t xml:space="preserve">neutre fournissant </w:t>
            </w:r>
            <w:r w:rsidR="009662D3" w:rsidRPr="0082461D">
              <w:rPr>
                <w:b w:val="0"/>
                <w:bCs w:val="0"/>
                <w:sz w:val="20"/>
                <w:szCs w:val="20"/>
              </w:rPr>
              <w:t>en temps voulu des</w:t>
            </w:r>
            <w:r w:rsidR="00401280" w:rsidRPr="0082461D">
              <w:rPr>
                <w:b w:val="0"/>
                <w:bCs w:val="0"/>
                <w:sz w:val="20"/>
                <w:szCs w:val="20"/>
              </w:rPr>
              <w:t xml:space="preserve"> contenu</w:t>
            </w:r>
            <w:r w:rsidR="009662D3" w:rsidRPr="0082461D">
              <w:rPr>
                <w:b w:val="0"/>
                <w:bCs w:val="0"/>
                <w:sz w:val="20"/>
                <w:szCs w:val="20"/>
              </w:rPr>
              <w:t>s</w:t>
            </w:r>
            <w:r w:rsidR="00401280" w:rsidRPr="0082461D">
              <w:rPr>
                <w:b w:val="0"/>
                <w:bCs w:val="0"/>
                <w:sz w:val="20"/>
                <w:szCs w:val="20"/>
              </w:rPr>
              <w:t xml:space="preserve"> audiovisuel</w:t>
            </w:r>
            <w:r w:rsidR="009662D3" w:rsidRPr="0082461D">
              <w:rPr>
                <w:b w:val="0"/>
                <w:bCs w:val="0"/>
                <w:sz w:val="20"/>
                <w:szCs w:val="20"/>
              </w:rPr>
              <w:t>s</w:t>
            </w:r>
            <w:r w:rsidR="00401280" w:rsidRPr="0082461D">
              <w:rPr>
                <w:b w:val="0"/>
                <w:bCs w:val="0"/>
                <w:sz w:val="20"/>
                <w:szCs w:val="20"/>
              </w:rPr>
              <w:t xml:space="preserve"> et textuel</w:t>
            </w:r>
            <w:r w:rsidR="009662D3" w:rsidRPr="0082461D">
              <w:rPr>
                <w:b w:val="0"/>
                <w:bCs w:val="0"/>
                <w:sz w:val="20"/>
                <w:szCs w:val="20"/>
              </w:rPr>
              <w:t>s</w:t>
            </w:r>
            <w:r w:rsidR="00401280" w:rsidRPr="0082461D">
              <w:rPr>
                <w:b w:val="0"/>
                <w:bCs w:val="0"/>
                <w:sz w:val="20"/>
                <w:szCs w:val="20"/>
              </w:rPr>
              <w:t xml:space="preserve"> </w:t>
            </w:r>
            <w:r w:rsidR="00FD2727" w:rsidRPr="0082461D">
              <w:rPr>
                <w:b w:val="0"/>
                <w:bCs w:val="0"/>
                <w:sz w:val="20"/>
                <w:szCs w:val="20"/>
              </w:rPr>
              <w:t>émanant de l'UIT et des dirigeants infl</w:t>
            </w:r>
            <w:r w:rsidR="009662D3" w:rsidRPr="0082461D">
              <w:rPr>
                <w:b w:val="0"/>
                <w:bCs w:val="0"/>
                <w:sz w:val="20"/>
                <w:szCs w:val="20"/>
              </w:rPr>
              <w:t>uents au niveau externe qui soient</w:t>
            </w:r>
            <w:r w:rsidR="00401280" w:rsidRPr="0082461D">
              <w:rPr>
                <w:b w:val="0"/>
                <w:bCs w:val="0"/>
                <w:sz w:val="20"/>
                <w:szCs w:val="20"/>
              </w:rPr>
              <w:t xml:space="preserve"> accessible</w:t>
            </w:r>
            <w:r w:rsidR="009662D3" w:rsidRPr="0082461D">
              <w:rPr>
                <w:b w:val="0"/>
                <w:bCs w:val="0"/>
                <w:sz w:val="20"/>
                <w:szCs w:val="20"/>
              </w:rPr>
              <w:t>s</w:t>
            </w:r>
            <w:r w:rsidR="00401280" w:rsidRPr="0082461D">
              <w:rPr>
                <w:b w:val="0"/>
                <w:bCs w:val="0"/>
                <w:sz w:val="20"/>
                <w:szCs w:val="20"/>
              </w:rPr>
              <w:t>, exploitable</w:t>
            </w:r>
            <w:r w:rsidR="009662D3" w:rsidRPr="0082461D">
              <w:rPr>
                <w:b w:val="0"/>
                <w:bCs w:val="0"/>
                <w:sz w:val="20"/>
                <w:szCs w:val="20"/>
              </w:rPr>
              <w:t>s</w:t>
            </w:r>
            <w:r w:rsidR="00401280" w:rsidRPr="0082461D">
              <w:rPr>
                <w:b w:val="0"/>
                <w:bCs w:val="0"/>
                <w:sz w:val="20"/>
                <w:szCs w:val="20"/>
              </w:rPr>
              <w:t>, crédible</w:t>
            </w:r>
            <w:r w:rsidR="009662D3" w:rsidRPr="0082461D">
              <w:rPr>
                <w:b w:val="0"/>
                <w:bCs w:val="0"/>
                <w:sz w:val="20"/>
                <w:szCs w:val="20"/>
              </w:rPr>
              <w:t>s</w:t>
            </w:r>
            <w:r w:rsidR="00401280" w:rsidRPr="0082461D">
              <w:rPr>
                <w:b w:val="0"/>
                <w:bCs w:val="0"/>
                <w:sz w:val="20"/>
                <w:szCs w:val="20"/>
              </w:rPr>
              <w:t xml:space="preserve"> et digne</w:t>
            </w:r>
            <w:r w:rsidR="009662D3" w:rsidRPr="0082461D">
              <w:rPr>
                <w:b w:val="0"/>
                <w:bCs w:val="0"/>
                <w:sz w:val="20"/>
                <w:szCs w:val="20"/>
              </w:rPr>
              <w:t>s</w:t>
            </w:r>
            <w:r w:rsidR="00401280" w:rsidRPr="0082461D">
              <w:rPr>
                <w:b w:val="0"/>
                <w:bCs w:val="0"/>
                <w:sz w:val="20"/>
                <w:szCs w:val="20"/>
              </w:rPr>
              <w:t xml:space="preserve"> de confiance, pertinent</w:t>
            </w:r>
            <w:r w:rsidR="009662D3" w:rsidRPr="0082461D">
              <w:rPr>
                <w:b w:val="0"/>
                <w:bCs w:val="0"/>
                <w:sz w:val="20"/>
                <w:szCs w:val="20"/>
              </w:rPr>
              <w:t>s</w:t>
            </w:r>
            <w:r w:rsidR="00401280" w:rsidRPr="0082461D">
              <w:rPr>
                <w:b w:val="0"/>
                <w:bCs w:val="0"/>
                <w:sz w:val="20"/>
                <w:szCs w:val="20"/>
              </w:rPr>
              <w:t xml:space="preserve"> et compréhensible</w:t>
            </w:r>
            <w:r w:rsidR="009662D3" w:rsidRPr="0082461D">
              <w:rPr>
                <w:b w:val="0"/>
                <w:bCs w:val="0"/>
                <w:sz w:val="20"/>
                <w:szCs w:val="20"/>
              </w:rPr>
              <w:t>s</w:t>
            </w:r>
          </w:p>
        </w:tc>
        <w:tc>
          <w:tcPr>
            <w:tcW w:w="2737" w:type="dxa"/>
          </w:tcPr>
          <w:p w:rsidR="006F4793" w:rsidRPr="0082461D" w:rsidRDefault="003D7188"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SPM</w:t>
            </w:r>
          </w:p>
        </w:tc>
        <w:tc>
          <w:tcPr>
            <w:tcW w:w="2408" w:type="dxa"/>
          </w:tcPr>
          <w:p w:rsidR="006F4793" w:rsidRPr="0082461D" w:rsidRDefault="004431CC"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En cours</w:t>
            </w:r>
          </w:p>
        </w:tc>
      </w:tr>
    </w:tbl>
    <w:p w:rsidR="00F132DB" w:rsidRDefault="00F132DB" w:rsidP="001D547C">
      <w:pPr>
        <w:pStyle w:val="Heading1"/>
      </w:pPr>
      <w:r>
        <w:br w:type="page"/>
      </w:r>
    </w:p>
    <w:p w:rsidR="005C1F4B" w:rsidRPr="0082461D" w:rsidRDefault="005C1F4B" w:rsidP="001D547C">
      <w:pPr>
        <w:pStyle w:val="Heading1"/>
      </w:pPr>
      <w:r w:rsidRPr="0082461D">
        <w:lastRenderedPageBreak/>
        <w:t>5</w:t>
      </w:r>
      <w:r w:rsidRPr="0082461D">
        <w:tab/>
        <w:t>Objectifs, résultats et produits pour la période 2020-2023</w:t>
      </w:r>
    </w:p>
    <w:p w:rsidR="005C1F4B" w:rsidRPr="0082461D" w:rsidRDefault="005C1F4B" w:rsidP="00031587">
      <w:pPr>
        <w:tabs>
          <w:tab w:val="clear" w:pos="794"/>
          <w:tab w:val="clear" w:pos="1191"/>
          <w:tab w:val="clear" w:pos="1588"/>
          <w:tab w:val="clear" w:pos="1985"/>
          <w:tab w:val="left" w:pos="567"/>
          <w:tab w:val="left" w:pos="1134"/>
          <w:tab w:val="left" w:pos="1701"/>
          <w:tab w:val="left" w:pos="2268"/>
          <w:tab w:val="left" w:pos="2835"/>
        </w:tabs>
        <w:spacing w:before="100"/>
      </w:pPr>
      <w:r w:rsidRPr="0082461D">
        <w:t xml:space="preserve">Les objectifs seront atteints </w:t>
      </w:r>
      <w:r w:rsidR="00FD2727" w:rsidRPr="0082461D">
        <w:t>grâce à l'obtention d</w:t>
      </w:r>
      <w:r w:rsidRPr="0082461D">
        <w:t xml:space="preserve">es résultats correspondants, dans le cadre de la mise en </w:t>
      </w:r>
      <w:r w:rsidR="00C63117">
        <w:t>œ</w:t>
      </w:r>
      <w:r w:rsidRPr="0082461D">
        <w:t xml:space="preserve">uvre des produits. </w:t>
      </w:r>
      <w:r w:rsidR="000C2EAB" w:rsidRPr="0082461D">
        <w:t xml:space="preserve">Les objectifs </w:t>
      </w:r>
      <w:r w:rsidR="00031587" w:rsidRPr="0082461D">
        <w:t xml:space="preserve">sectoriels </w:t>
      </w:r>
      <w:r w:rsidR="000C2EAB" w:rsidRPr="0082461D">
        <w:t>et intersectoriels contribueront, dans le cadre des attributions de chaque Secteur et du Secrétariat général, à la réalisation des buts fondamentaux de l'Union.</w:t>
      </w:r>
      <w:r w:rsidRPr="0082461D">
        <w:t xml:space="preserve"> </w:t>
      </w:r>
      <w:r w:rsidR="000C2EAB" w:rsidRPr="0082461D">
        <w:t>Les budgets pour 2022</w:t>
      </w:r>
      <w:r w:rsidR="00FD2727" w:rsidRPr="0082461D">
        <w:t>-</w:t>
      </w:r>
      <w:r w:rsidR="00031587" w:rsidRPr="0082461D">
        <w:t>20</w:t>
      </w:r>
      <w:r w:rsidR="00FD2727" w:rsidRPr="0082461D">
        <w:t>23 constituent une estimation; l'affectation</w:t>
      </w:r>
      <w:r w:rsidR="000C2EAB" w:rsidRPr="0082461D">
        <w:t xml:space="preserve"> définitive des ressources pourra être modifiée en fonction des décisions prises par </w:t>
      </w:r>
      <w:r w:rsidR="00846FE3" w:rsidRPr="0082461D">
        <w:t>la haute direction</w:t>
      </w:r>
      <w:r w:rsidR="000C2EAB" w:rsidRPr="0082461D">
        <w:t>.</w:t>
      </w:r>
    </w:p>
    <w:p w:rsidR="00236265" w:rsidRPr="0082461D" w:rsidRDefault="008224D7" w:rsidP="001D547C">
      <w:pPr>
        <w:pStyle w:val="Heading2"/>
      </w:pPr>
      <w:r w:rsidRPr="0082461D">
        <w:t>5.1</w:t>
      </w:r>
      <w:r w:rsidRPr="0082461D">
        <w:tab/>
        <w:t>Objectifs, résultats et produits intersectoriels</w:t>
      </w:r>
    </w:p>
    <w:p w:rsidR="00236265" w:rsidRPr="0082461D" w:rsidRDefault="00AD4A71" w:rsidP="001D547C">
      <w:pPr>
        <w:spacing w:after="120"/>
      </w:pPr>
      <w:r w:rsidRPr="0082461D">
        <w:t>I.1</w:t>
      </w:r>
      <w:r w:rsidR="008224D7" w:rsidRPr="0082461D">
        <w:tab/>
        <w:t>Encourager une collaboration plus étroite entre toutes les parties prenantes de l'écosystème des télécommunications/TIC</w:t>
      </w:r>
    </w:p>
    <w:tbl>
      <w:tblPr>
        <w:tblStyle w:val="GridTable4-Accent115"/>
        <w:tblW w:w="14170" w:type="dxa"/>
        <w:tblLayout w:type="fixed"/>
        <w:tblLook w:val="06A0" w:firstRow="1" w:lastRow="0" w:firstColumn="1" w:lastColumn="0" w:noHBand="1" w:noVBand="1"/>
      </w:tblPr>
      <w:tblGrid>
        <w:gridCol w:w="2830"/>
        <w:gridCol w:w="8647"/>
        <w:gridCol w:w="2693"/>
      </w:tblGrid>
      <w:tr w:rsidR="008224D7" w:rsidRPr="0082461D" w:rsidTr="000431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rsidR="008224D7" w:rsidRPr="0082461D" w:rsidRDefault="00255A4C" w:rsidP="001D547C">
            <w:pPr>
              <w:pStyle w:val="Tablehead"/>
              <w:rPr>
                <w:b/>
                <w:bCs w:val="0"/>
                <w:sz w:val="20"/>
                <w:szCs w:val="20"/>
              </w:rPr>
            </w:pPr>
            <w:r w:rsidRPr="0082461D">
              <w:rPr>
                <w:b/>
                <w:bCs w:val="0"/>
                <w:sz w:val="20"/>
                <w:szCs w:val="20"/>
              </w:rPr>
              <w:t>Résultat</w:t>
            </w:r>
          </w:p>
        </w:tc>
        <w:tc>
          <w:tcPr>
            <w:tcW w:w="8647" w:type="dxa"/>
            <w:vAlign w:val="center"/>
          </w:tcPr>
          <w:p w:rsidR="008224D7" w:rsidRPr="0082461D" w:rsidRDefault="00255A4C"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Indicateur de résultat</w:t>
            </w:r>
          </w:p>
        </w:tc>
        <w:tc>
          <w:tcPr>
            <w:tcW w:w="2693" w:type="dxa"/>
            <w:vAlign w:val="center"/>
          </w:tcPr>
          <w:p w:rsidR="008224D7" w:rsidRPr="0082461D" w:rsidRDefault="00255A4C"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Mesures d'atténuation</w:t>
            </w:r>
          </w:p>
        </w:tc>
      </w:tr>
      <w:tr w:rsidR="008224D7" w:rsidRPr="0082461D" w:rsidTr="0004319A">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8224D7" w:rsidRPr="0082461D" w:rsidRDefault="000E09B4" w:rsidP="001D547C">
            <w:pPr>
              <w:pStyle w:val="Tabletext"/>
              <w:rPr>
                <w:b w:val="0"/>
                <w:bCs w:val="0"/>
                <w:sz w:val="20"/>
                <w:szCs w:val="20"/>
              </w:rPr>
            </w:pPr>
            <w:r w:rsidRPr="0082461D">
              <w:rPr>
                <w:rFonts w:eastAsia="Times New Roman" w:cs="Times New Roman"/>
                <w:noProof/>
                <w:color w:val="4F81BD" w:themeColor="accent1"/>
                <w:sz w:val="20"/>
                <w:szCs w:val="20"/>
                <w:lang w:eastAsia="zh-CN"/>
              </w:rPr>
              <w:t>I.1-a</w:t>
            </w:r>
            <w:r w:rsidRPr="0082461D">
              <w:rPr>
                <w:b w:val="0"/>
                <w:bCs w:val="0"/>
                <w:sz w:val="20"/>
                <w:szCs w:val="20"/>
              </w:rPr>
              <w:t>: Renforcement de la collaboration entre l</w:t>
            </w:r>
            <w:r w:rsidR="000C2EAB" w:rsidRPr="0082461D">
              <w:rPr>
                <w:b w:val="0"/>
                <w:bCs w:val="0"/>
                <w:sz w:val="20"/>
                <w:szCs w:val="20"/>
              </w:rPr>
              <w:t xml:space="preserve">es parties prenantes concernées </w:t>
            </w:r>
            <w:r w:rsidR="00FD2727" w:rsidRPr="0082461D">
              <w:rPr>
                <w:b w:val="0"/>
                <w:bCs w:val="0"/>
                <w:sz w:val="20"/>
                <w:szCs w:val="20"/>
              </w:rPr>
              <w:t>afin d'</w:t>
            </w:r>
            <w:r w:rsidR="000C2EAB" w:rsidRPr="0082461D">
              <w:rPr>
                <w:b w:val="0"/>
                <w:bCs w:val="0"/>
                <w:sz w:val="20"/>
                <w:szCs w:val="20"/>
              </w:rPr>
              <w:t>améliorer l'efficacité de l'environnement des télécommunications/TIC</w:t>
            </w:r>
            <w:r w:rsidRPr="0082461D">
              <w:rPr>
                <w:b w:val="0"/>
                <w:bCs w:val="0"/>
                <w:sz w:val="20"/>
                <w:szCs w:val="20"/>
              </w:rPr>
              <w:t xml:space="preserve"> </w:t>
            </w:r>
          </w:p>
        </w:tc>
        <w:tc>
          <w:tcPr>
            <w:tcW w:w="8647" w:type="dxa"/>
          </w:tcPr>
          <w:p w:rsidR="0004319A" w:rsidRPr="0082461D" w:rsidRDefault="00FD2727" w:rsidP="001D547C">
            <w:pPr>
              <w:pStyle w:val="Tabletext"/>
              <w:cnfStyle w:val="000000000000" w:firstRow="0" w:lastRow="0" w:firstColumn="0" w:lastColumn="0" w:oddVBand="0" w:evenVBand="0" w:oddHBand="0" w:evenHBand="0" w:firstRowFirstColumn="0" w:firstRowLastColumn="0" w:lastRowFirstColumn="0" w:lastRowLastColumn="0"/>
              <w:rPr>
                <w:i/>
                <w:iCs/>
                <w:sz w:val="20"/>
                <w:szCs w:val="20"/>
              </w:rPr>
            </w:pPr>
            <w:r w:rsidRPr="0082461D">
              <w:rPr>
                <w:i/>
                <w:iCs/>
                <w:sz w:val="20"/>
                <w:szCs w:val="20"/>
              </w:rPr>
              <w:t>Nombre de pays participant</w:t>
            </w:r>
            <w:r w:rsidR="000C2EAB" w:rsidRPr="0082461D">
              <w:rPr>
                <w:i/>
                <w:iCs/>
                <w:sz w:val="20"/>
                <w:szCs w:val="20"/>
              </w:rPr>
              <w:t xml:space="preserve"> aux réunions liées au SMSI/à T</w:t>
            </w:r>
            <w:r w:rsidR="00031587" w:rsidRPr="0082461D">
              <w:rPr>
                <w:i/>
                <w:iCs/>
                <w:sz w:val="20"/>
                <w:szCs w:val="20"/>
              </w:rPr>
              <w:t>ELECOM</w:t>
            </w:r>
            <w:r w:rsidR="0004319A" w:rsidRPr="0082461D">
              <w:rPr>
                <w:i/>
                <w:iCs/>
                <w:sz w:val="20"/>
                <w:szCs w:val="20"/>
              </w:rPr>
              <w:t>:</w:t>
            </w:r>
          </w:p>
          <w:p w:rsidR="0004319A" w:rsidRPr="0082461D" w:rsidRDefault="00FD2727" w:rsidP="001D547C">
            <w:pPr>
              <w:pStyle w:val="Tabletext"/>
              <w:cnfStyle w:val="000000000000" w:firstRow="0" w:lastRow="0" w:firstColumn="0" w:lastColumn="0" w:oddVBand="0" w:evenVBand="0" w:oddHBand="0" w:evenHBand="0" w:firstRowFirstColumn="0" w:firstRowLastColumn="0" w:lastRowFirstColumn="0" w:lastRowLastColumn="0"/>
              <w:rPr>
                <w:i/>
                <w:iCs/>
                <w:sz w:val="20"/>
                <w:szCs w:val="20"/>
              </w:rPr>
            </w:pPr>
            <w:r w:rsidRPr="0082461D">
              <w:rPr>
                <w:i/>
                <w:iCs/>
                <w:sz w:val="20"/>
                <w:szCs w:val="20"/>
              </w:rPr>
              <w:t>N</w:t>
            </w:r>
            <w:r w:rsidR="000C2EAB" w:rsidRPr="0082461D">
              <w:rPr>
                <w:i/>
                <w:iCs/>
                <w:sz w:val="20"/>
                <w:szCs w:val="20"/>
              </w:rPr>
              <w:t xml:space="preserve">ombre de participants au SMSI/à </w:t>
            </w:r>
            <w:r w:rsidR="00031587" w:rsidRPr="0082461D">
              <w:rPr>
                <w:i/>
                <w:iCs/>
                <w:sz w:val="20"/>
                <w:szCs w:val="20"/>
              </w:rPr>
              <w:t>TELECOM</w:t>
            </w:r>
          </w:p>
          <w:p w:rsidR="0004319A" w:rsidRPr="0082461D" w:rsidRDefault="00FD2727" w:rsidP="001D547C">
            <w:pPr>
              <w:pStyle w:val="Tabletext"/>
              <w:cnfStyle w:val="000000000000" w:firstRow="0" w:lastRow="0" w:firstColumn="0" w:lastColumn="0" w:oddVBand="0" w:evenVBand="0" w:oddHBand="0" w:evenHBand="0" w:firstRowFirstColumn="0" w:firstRowLastColumn="0" w:lastRowFirstColumn="0" w:lastRowLastColumn="0"/>
              <w:rPr>
                <w:i/>
                <w:iCs/>
                <w:sz w:val="20"/>
                <w:szCs w:val="20"/>
              </w:rPr>
            </w:pPr>
            <w:r w:rsidRPr="0082461D">
              <w:rPr>
                <w:i/>
                <w:iCs/>
                <w:sz w:val="20"/>
                <w:szCs w:val="20"/>
              </w:rPr>
              <w:t>N</w:t>
            </w:r>
            <w:r w:rsidR="000C2EAB" w:rsidRPr="0082461D">
              <w:rPr>
                <w:i/>
                <w:iCs/>
                <w:sz w:val="20"/>
                <w:szCs w:val="20"/>
              </w:rPr>
              <w:t xml:space="preserve">ombre de participants de haut rang au SMSI/à </w:t>
            </w:r>
            <w:r w:rsidR="00031587" w:rsidRPr="0082461D">
              <w:rPr>
                <w:i/>
                <w:iCs/>
                <w:sz w:val="20"/>
                <w:szCs w:val="20"/>
              </w:rPr>
              <w:t>TELECOM</w:t>
            </w:r>
          </w:p>
          <w:p w:rsidR="008224D7" w:rsidRPr="0082461D" w:rsidRDefault="00FD2727" w:rsidP="001D547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i/>
                <w:iCs/>
                <w:sz w:val="20"/>
                <w:szCs w:val="20"/>
              </w:rPr>
              <w:t>N</w:t>
            </w:r>
            <w:r w:rsidR="000C2EAB" w:rsidRPr="0082461D">
              <w:rPr>
                <w:i/>
                <w:iCs/>
                <w:sz w:val="20"/>
                <w:szCs w:val="20"/>
              </w:rPr>
              <w:t xml:space="preserve">ombre d'entités exposantes à </w:t>
            </w:r>
            <w:r w:rsidR="00031587" w:rsidRPr="0082461D">
              <w:rPr>
                <w:i/>
                <w:iCs/>
                <w:sz w:val="20"/>
                <w:szCs w:val="20"/>
              </w:rPr>
              <w:t>TELECOM</w:t>
            </w:r>
          </w:p>
        </w:tc>
        <w:tc>
          <w:tcPr>
            <w:tcW w:w="2693" w:type="dxa"/>
          </w:tcPr>
          <w:p w:rsidR="008224D7" w:rsidRPr="008C4BA0" w:rsidRDefault="005B2735"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C4BA0">
              <w:rPr>
                <w:sz w:val="20"/>
                <w:szCs w:val="20"/>
              </w:rPr>
              <w:t>D</w:t>
            </w:r>
            <w:r w:rsidR="00031587" w:rsidRPr="008C4BA0">
              <w:rPr>
                <w:sz w:val="20"/>
                <w:szCs w:val="20"/>
              </w:rPr>
              <w:t>onnées relatives au SMSI/</w:t>
            </w:r>
            <w:r w:rsidR="00031587" w:rsidRPr="008C4BA0">
              <w:rPr>
                <w:sz w:val="20"/>
                <w:szCs w:val="20"/>
              </w:rPr>
              <w:br/>
            </w:r>
            <w:r w:rsidR="000C2EAB" w:rsidRPr="008C4BA0">
              <w:rPr>
                <w:sz w:val="20"/>
                <w:szCs w:val="20"/>
              </w:rPr>
              <w:t xml:space="preserve">à </w:t>
            </w:r>
            <w:r w:rsidR="00031587" w:rsidRPr="008C4BA0">
              <w:rPr>
                <w:sz w:val="20"/>
                <w:szCs w:val="20"/>
              </w:rPr>
              <w:t>TELECOM</w:t>
            </w:r>
          </w:p>
        </w:tc>
      </w:tr>
      <w:tr w:rsidR="0004319A" w:rsidRPr="0082461D" w:rsidTr="0004319A">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04319A" w:rsidRPr="0082461D" w:rsidRDefault="0004319A" w:rsidP="001D547C">
            <w:pPr>
              <w:pStyle w:val="Tabletext"/>
              <w:rPr>
                <w:b w:val="0"/>
                <w:bCs w:val="0"/>
                <w:sz w:val="20"/>
                <w:szCs w:val="20"/>
              </w:rPr>
            </w:pPr>
            <w:r w:rsidRPr="0082461D">
              <w:rPr>
                <w:rFonts w:eastAsia="Times New Roman" w:cs="Times New Roman"/>
                <w:noProof/>
                <w:color w:val="4F81BD" w:themeColor="accent1"/>
                <w:sz w:val="20"/>
                <w:szCs w:val="20"/>
                <w:lang w:eastAsia="zh-CN"/>
              </w:rPr>
              <w:t>I.1-b</w:t>
            </w:r>
            <w:r w:rsidRPr="0082461D">
              <w:rPr>
                <w:b w:val="0"/>
                <w:bCs w:val="0"/>
                <w:sz w:val="20"/>
                <w:szCs w:val="20"/>
              </w:rPr>
              <w:t>: Renforcement des synergies nées des partenariats concernant les télécommunications/TIC</w:t>
            </w:r>
          </w:p>
        </w:tc>
        <w:tc>
          <w:tcPr>
            <w:tcW w:w="8647" w:type="dxa"/>
          </w:tcPr>
          <w:p w:rsidR="0004319A" w:rsidRPr="0082461D" w:rsidRDefault="000C2EAB" w:rsidP="001D547C">
            <w:pPr>
              <w:pStyle w:val="Tabletext"/>
              <w:cnfStyle w:val="000000000000" w:firstRow="0" w:lastRow="0" w:firstColumn="0" w:lastColumn="0" w:oddVBand="0" w:evenVBand="0" w:oddHBand="0" w:evenHBand="0" w:firstRowFirstColumn="0" w:firstRowLastColumn="0" w:lastRowFirstColumn="0" w:lastRowLastColumn="0"/>
              <w:rPr>
                <w:i/>
                <w:iCs/>
                <w:sz w:val="20"/>
                <w:szCs w:val="20"/>
              </w:rPr>
            </w:pPr>
            <w:r w:rsidRPr="0082461D">
              <w:rPr>
                <w:rFonts w:eastAsia="Times New Roman" w:cs="Times New Roman"/>
                <w:i/>
                <w:iCs/>
                <w:noProof/>
                <w:color w:val="4F81BD" w:themeColor="accent1"/>
                <w:sz w:val="20"/>
                <w:szCs w:val="20"/>
                <w:lang w:eastAsia="zh-CN"/>
              </w:rPr>
              <w:t xml:space="preserve">Nouveau </w:t>
            </w:r>
            <w:r w:rsidR="00FD2727" w:rsidRPr="0082461D">
              <w:rPr>
                <w:rFonts w:eastAsia="Times New Roman" w:cs="Times New Roman"/>
                <w:i/>
                <w:iCs/>
                <w:noProof/>
                <w:color w:val="4F81BD" w:themeColor="accent1"/>
                <w:sz w:val="20"/>
                <w:szCs w:val="20"/>
                <w:lang w:eastAsia="zh-CN"/>
              </w:rPr>
              <w:t>r</w:t>
            </w:r>
            <w:r w:rsidRPr="0082461D">
              <w:rPr>
                <w:rFonts w:eastAsia="Times New Roman" w:cs="Times New Roman"/>
                <w:i/>
                <w:iCs/>
                <w:noProof/>
                <w:color w:val="4F81BD" w:themeColor="accent1"/>
                <w:sz w:val="20"/>
                <w:szCs w:val="20"/>
                <w:lang w:eastAsia="zh-CN"/>
              </w:rPr>
              <w:t>ésultat (Plan stratégique pour</w:t>
            </w:r>
            <w:r w:rsidR="0004319A" w:rsidRPr="0082461D">
              <w:rPr>
                <w:rFonts w:eastAsia="Times New Roman" w:cs="Times New Roman"/>
                <w:i/>
                <w:iCs/>
                <w:noProof/>
                <w:color w:val="4F81BD" w:themeColor="accent1"/>
                <w:sz w:val="20"/>
                <w:szCs w:val="20"/>
                <w:lang w:eastAsia="zh-CN"/>
              </w:rPr>
              <w:t xml:space="preserve"> </w:t>
            </w:r>
            <w:r w:rsidR="00031587" w:rsidRPr="0082461D">
              <w:rPr>
                <w:rFonts w:eastAsia="Times New Roman" w:cs="Times New Roman"/>
                <w:i/>
                <w:iCs/>
                <w:noProof/>
                <w:color w:val="4F81BD" w:themeColor="accent1"/>
                <w:sz w:val="20"/>
                <w:szCs w:val="20"/>
                <w:lang w:eastAsia="zh-CN"/>
              </w:rPr>
              <w:t xml:space="preserve">la période </w:t>
            </w:r>
            <w:r w:rsidR="0004319A" w:rsidRPr="0082461D">
              <w:rPr>
                <w:rFonts w:eastAsia="Times New Roman" w:cs="Times New Roman"/>
                <w:i/>
                <w:iCs/>
                <w:noProof/>
                <w:color w:val="4F81BD" w:themeColor="accent1"/>
                <w:sz w:val="20"/>
                <w:szCs w:val="20"/>
                <w:lang w:eastAsia="zh-CN"/>
              </w:rPr>
              <w:t>2020-2023)</w:t>
            </w:r>
          </w:p>
          <w:p w:rsidR="0004319A" w:rsidRPr="0082461D" w:rsidRDefault="00031587" w:rsidP="0003158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Pourcentage de m</w:t>
            </w:r>
            <w:r w:rsidR="000C2EAB" w:rsidRPr="0082461D">
              <w:rPr>
                <w:sz w:val="20"/>
                <w:szCs w:val="20"/>
              </w:rPr>
              <w:t xml:space="preserve">embres </w:t>
            </w:r>
            <w:r w:rsidR="00CF6862" w:rsidRPr="0082461D">
              <w:rPr>
                <w:sz w:val="20"/>
                <w:szCs w:val="20"/>
              </w:rPr>
              <w:t>ind</w:t>
            </w:r>
            <w:r w:rsidRPr="0082461D">
              <w:rPr>
                <w:sz w:val="20"/>
                <w:szCs w:val="20"/>
              </w:rPr>
              <w:t>iquant que les Recommandations/n</w:t>
            </w:r>
            <w:r w:rsidR="00CF6862" w:rsidRPr="0082461D">
              <w:rPr>
                <w:sz w:val="20"/>
                <w:szCs w:val="20"/>
              </w:rPr>
              <w:t xml:space="preserve">ormes/bonnes pratiques de l'UIT sont utilisées </w:t>
            </w:r>
            <w:r w:rsidR="00FD2727" w:rsidRPr="0082461D">
              <w:rPr>
                <w:sz w:val="20"/>
                <w:szCs w:val="20"/>
              </w:rPr>
              <w:t xml:space="preserve">en vue </w:t>
            </w:r>
            <w:r w:rsidRPr="0082461D">
              <w:rPr>
                <w:sz w:val="20"/>
                <w:szCs w:val="20"/>
              </w:rPr>
              <w:t>de faciliter</w:t>
            </w:r>
            <w:r w:rsidR="00FD2727" w:rsidRPr="0082461D">
              <w:rPr>
                <w:sz w:val="20"/>
                <w:szCs w:val="20"/>
              </w:rPr>
              <w:t xml:space="preserve"> la conclusion de</w:t>
            </w:r>
            <w:r w:rsidR="00CF6862" w:rsidRPr="0082461D">
              <w:rPr>
                <w:sz w:val="20"/>
                <w:szCs w:val="20"/>
              </w:rPr>
              <w:t xml:space="preserve"> partenariats</w:t>
            </w:r>
          </w:p>
          <w:p w:rsidR="0004319A" w:rsidRPr="0082461D" w:rsidRDefault="00FD2727" w:rsidP="001D547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P</w:t>
            </w:r>
            <w:r w:rsidR="00CF6862" w:rsidRPr="0082461D">
              <w:rPr>
                <w:sz w:val="20"/>
                <w:szCs w:val="20"/>
              </w:rPr>
              <w:t xml:space="preserve">erception par les acteurs concernés de l'augmentation/la diminution des synergies </w:t>
            </w:r>
            <w:r w:rsidRPr="0082461D">
              <w:rPr>
                <w:sz w:val="20"/>
                <w:szCs w:val="20"/>
              </w:rPr>
              <w:t>nées</w:t>
            </w:r>
            <w:r w:rsidR="00CF6862" w:rsidRPr="0082461D">
              <w:rPr>
                <w:sz w:val="20"/>
                <w:szCs w:val="20"/>
              </w:rPr>
              <w:t xml:space="preserve"> des partenariats </w:t>
            </w:r>
            <w:r w:rsidRPr="0082461D">
              <w:rPr>
                <w:sz w:val="20"/>
                <w:szCs w:val="20"/>
              </w:rPr>
              <w:t>concernant les</w:t>
            </w:r>
            <w:r w:rsidR="00CF6862" w:rsidRPr="0082461D">
              <w:rPr>
                <w:sz w:val="20"/>
                <w:szCs w:val="20"/>
              </w:rPr>
              <w:t xml:space="preserve"> télécommunications/TIC</w:t>
            </w:r>
          </w:p>
        </w:tc>
        <w:tc>
          <w:tcPr>
            <w:tcW w:w="2693" w:type="dxa"/>
            <w:vMerge w:val="restart"/>
          </w:tcPr>
          <w:p w:rsidR="00113CC3" w:rsidRPr="0082461D" w:rsidRDefault="000C2EAB"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Enquête annuelle menée auprès des membres</w:t>
            </w:r>
            <w:r w:rsidR="00113CC3" w:rsidRPr="0082461D">
              <w:rPr>
                <w:sz w:val="20"/>
                <w:szCs w:val="20"/>
              </w:rPr>
              <w:t>.</w:t>
            </w:r>
          </w:p>
          <w:p w:rsidR="0004319A" w:rsidRPr="0082461D" w:rsidRDefault="00113CC3"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R</w:t>
            </w:r>
            <w:r w:rsidR="000C2EAB" w:rsidRPr="0082461D">
              <w:rPr>
                <w:sz w:val="20"/>
                <w:szCs w:val="20"/>
              </w:rPr>
              <w:t>ap</w:t>
            </w:r>
            <w:r w:rsidRPr="0082461D">
              <w:rPr>
                <w:sz w:val="20"/>
                <w:szCs w:val="20"/>
              </w:rPr>
              <w:t xml:space="preserve">ports, </w:t>
            </w:r>
            <w:r w:rsidR="000C2EAB" w:rsidRPr="0082461D">
              <w:rPr>
                <w:sz w:val="20"/>
                <w:szCs w:val="20"/>
              </w:rPr>
              <w:t>actualités</w:t>
            </w:r>
          </w:p>
        </w:tc>
      </w:tr>
      <w:tr w:rsidR="0004319A" w:rsidRPr="0082461D" w:rsidTr="0004319A">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04319A" w:rsidRPr="0082461D" w:rsidRDefault="0004319A" w:rsidP="00031587">
            <w:pPr>
              <w:pStyle w:val="Tabletext"/>
              <w:rPr>
                <w:b w:val="0"/>
                <w:bCs w:val="0"/>
                <w:sz w:val="20"/>
                <w:szCs w:val="20"/>
              </w:rPr>
            </w:pPr>
            <w:r w:rsidRPr="0082461D">
              <w:rPr>
                <w:rFonts w:eastAsia="Times New Roman" w:cs="Times New Roman"/>
                <w:noProof/>
                <w:color w:val="4F81BD" w:themeColor="accent1"/>
                <w:sz w:val="20"/>
                <w:szCs w:val="20"/>
                <w:lang w:eastAsia="zh-CN"/>
              </w:rPr>
              <w:t>I.1-c</w:t>
            </w:r>
            <w:r w:rsidRPr="0082461D">
              <w:rPr>
                <w:b w:val="0"/>
                <w:bCs w:val="0"/>
                <w:sz w:val="20"/>
                <w:szCs w:val="20"/>
              </w:rPr>
              <w:t xml:space="preserve">: Meilleure reconnaissance des télécommunications/TIC, en tant que catalyseur intersectoriel pour la mise en </w:t>
            </w:r>
            <w:r w:rsidR="00C63117">
              <w:rPr>
                <w:b w:val="0"/>
                <w:bCs w:val="0"/>
                <w:sz w:val="20"/>
                <w:szCs w:val="20"/>
              </w:rPr>
              <w:t>œ</w:t>
            </w:r>
            <w:r w:rsidRPr="0082461D">
              <w:rPr>
                <w:b w:val="0"/>
                <w:bCs w:val="0"/>
                <w:sz w:val="20"/>
                <w:szCs w:val="20"/>
              </w:rPr>
              <w:t>uvre des grandes orientations du SMSI et du Programme de développement durable à l'horizon 2030</w:t>
            </w:r>
          </w:p>
        </w:tc>
        <w:tc>
          <w:tcPr>
            <w:tcW w:w="8647" w:type="dxa"/>
          </w:tcPr>
          <w:p w:rsidR="0004319A" w:rsidRPr="0082461D" w:rsidRDefault="00FD2727" w:rsidP="001D547C">
            <w:pPr>
              <w:pStyle w:val="Tabletext"/>
              <w:cnfStyle w:val="000000000000" w:firstRow="0" w:lastRow="0" w:firstColumn="0" w:lastColumn="0" w:oddVBand="0" w:evenVBand="0" w:oddHBand="0" w:evenHBand="0" w:firstRowFirstColumn="0" w:firstRowLastColumn="0" w:lastRowFirstColumn="0" w:lastRowLastColumn="0"/>
              <w:rPr>
                <w:i/>
                <w:iCs/>
                <w:sz w:val="20"/>
                <w:szCs w:val="20"/>
              </w:rPr>
            </w:pPr>
            <w:r w:rsidRPr="0082461D">
              <w:rPr>
                <w:rFonts w:eastAsia="Times New Roman" w:cs="Times New Roman"/>
                <w:i/>
                <w:iCs/>
                <w:noProof/>
                <w:color w:val="4F81BD" w:themeColor="accent1"/>
                <w:sz w:val="20"/>
                <w:szCs w:val="20"/>
                <w:lang w:eastAsia="zh-CN"/>
              </w:rPr>
              <w:t>Nouveau r</w:t>
            </w:r>
            <w:r w:rsidR="000C2EAB" w:rsidRPr="0082461D">
              <w:rPr>
                <w:rFonts w:eastAsia="Times New Roman" w:cs="Times New Roman"/>
                <w:i/>
                <w:iCs/>
                <w:noProof/>
                <w:color w:val="4F81BD" w:themeColor="accent1"/>
                <w:sz w:val="20"/>
                <w:szCs w:val="20"/>
                <w:lang w:eastAsia="zh-CN"/>
              </w:rPr>
              <w:t xml:space="preserve">ésultat (Plan stratégique pour </w:t>
            </w:r>
            <w:r w:rsidR="00031587" w:rsidRPr="0082461D">
              <w:rPr>
                <w:rFonts w:eastAsia="Times New Roman" w:cs="Times New Roman"/>
                <w:i/>
                <w:iCs/>
                <w:noProof/>
                <w:color w:val="4F81BD" w:themeColor="accent1"/>
                <w:sz w:val="20"/>
                <w:szCs w:val="20"/>
                <w:lang w:eastAsia="zh-CN"/>
              </w:rPr>
              <w:t xml:space="preserve">la période </w:t>
            </w:r>
            <w:r w:rsidR="0004319A" w:rsidRPr="0082461D">
              <w:rPr>
                <w:rFonts w:eastAsia="Times New Roman" w:cs="Times New Roman"/>
                <w:i/>
                <w:iCs/>
                <w:noProof/>
                <w:color w:val="4F81BD" w:themeColor="accent1"/>
                <w:sz w:val="20"/>
                <w:szCs w:val="20"/>
                <w:lang w:eastAsia="zh-CN"/>
              </w:rPr>
              <w:t>2020-2023)</w:t>
            </w:r>
          </w:p>
          <w:p w:rsidR="0004319A" w:rsidRPr="0082461D" w:rsidRDefault="00031587" w:rsidP="00422FE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Pourcentage de m</w:t>
            </w:r>
            <w:r w:rsidR="00CF6862" w:rsidRPr="0082461D">
              <w:rPr>
                <w:sz w:val="20"/>
                <w:szCs w:val="20"/>
              </w:rPr>
              <w:t>embres qui estiment que les télécommunications/TIC contribuent à la réalisation des</w:t>
            </w:r>
            <w:r w:rsidR="00422FE2">
              <w:rPr>
                <w:sz w:val="20"/>
                <w:szCs w:val="20"/>
              </w:rPr>
              <w:t> </w:t>
            </w:r>
            <w:r w:rsidR="00CF6862" w:rsidRPr="0082461D">
              <w:rPr>
                <w:sz w:val="20"/>
                <w:szCs w:val="20"/>
              </w:rPr>
              <w:t xml:space="preserve">ODD et du Programme 2030 </w:t>
            </w:r>
            <w:r w:rsidRPr="0082461D">
              <w:rPr>
                <w:sz w:val="20"/>
                <w:szCs w:val="20"/>
              </w:rPr>
              <w:t>des</w:t>
            </w:r>
            <w:r w:rsidR="00CF6862" w:rsidRPr="0082461D">
              <w:rPr>
                <w:sz w:val="20"/>
                <w:szCs w:val="20"/>
              </w:rPr>
              <w:t xml:space="preserve"> Nations Unies</w:t>
            </w:r>
          </w:p>
          <w:p w:rsidR="0004319A" w:rsidRPr="0082461D" w:rsidRDefault="00CF6862" w:rsidP="0003158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Citations de source</w:t>
            </w:r>
            <w:r w:rsidR="00FD2727" w:rsidRPr="0082461D">
              <w:rPr>
                <w:sz w:val="20"/>
                <w:szCs w:val="20"/>
              </w:rPr>
              <w:t xml:space="preserve">s de haut niveau </w:t>
            </w:r>
            <w:r w:rsidR="00031587" w:rsidRPr="0082461D">
              <w:rPr>
                <w:sz w:val="20"/>
                <w:szCs w:val="20"/>
              </w:rPr>
              <w:t>sur l'intérêt</w:t>
            </w:r>
            <w:r w:rsidR="00FD2727" w:rsidRPr="0082461D">
              <w:rPr>
                <w:sz w:val="20"/>
                <w:szCs w:val="20"/>
              </w:rPr>
              <w:t xml:space="preserve"> </w:t>
            </w:r>
            <w:r w:rsidRPr="0082461D">
              <w:rPr>
                <w:sz w:val="20"/>
                <w:szCs w:val="20"/>
              </w:rPr>
              <w:t>des TIC dans le cadre du Programme 2030</w:t>
            </w:r>
          </w:p>
        </w:tc>
        <w:tc>
          <w:tcPr>
            <w:tcW w:w="2693" w:type="dxa"/>
            <w:vMerge/>
          </w:tcPr>
          <w:p w:rsidR="0004319A" w:rsidRPr="0082461D" w:rsidRDefault="0004319A"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4319A" w:rsidRPr="0082461D" w:rsidTr="0004319A">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04319A" w:rsidRPr="0082461D" w:rsidRDefault="0004319A" w:rsidP="001D547C">
            <w:pPr>
              <w:pStyle w:val="Tabletext"/>
              <w:rPr>
                <w:b w:val="0"/>
                <w:bCs w:val="0"/>
                <w:sz w:val="20"/>
                <w:szCs w:val="20"/>
              </w:rPr>
            </w:pPr>
            <w:r w:rsidRPr="0082461D">
              <w:rPr>
                <w:rFonts w:eastAsia="Times New Roman" w:cs="Times New Roman"/>
                <w:noProof/>
                <w:color w:val="4F81BD" w:themeColor="accent1"/>
                <w:sz w:val="20"/>
                <w:szCs w:val="20"/>
                <w:lang w:eastAsia="zh-CN"/>
              </w:rPr>
              <w:t>I.1-d</w:t>
            </w:r>
            <w:r w:rsidRPr="0082461D">
              <w:rPr>
                <w:b w:val="0"/>
                <w:bCs w:val="0"/>
                <w:sz w:val="20"/>
                <w:szCs w:val="20"/>
              </w:rPr>
              <w:t>: Appui accru aux membres de l'UIT dans l'élaboration et la fourniture de produits et de services TIC</w:t>
            </w:r>
          </w:p>
        </w:tc>
        <w:tc>
          <w:tcPr>
            <w:tcW w:w="8647" w:type="dxa"/>
          </w:tcPr>
          <w:p w:rsidR="0004319A" w:rsidRPr="0082461D" w:rsidRDefault="000C2EAB" w:rsidP="001D547C">
            <w:pPr>
              <w:pStyle w:val="Tabletext"/>
              <w:cnfStyle w:val="000000000000" w:firstRow="0" w:lastRow="0" w:firstColumn="0" w:lastColumn="0" w:oddVBand="0" w:evenVBand="0" w:oddHBand="0" w:evenHBand="0" w:firstRowFirstColumn="0" w:firstRowLastColumn="0" w:lastRowFirstColumn="0" w:lastRowLastColumn="0"/>
              <w:rPr>
                <w:i/>
                <w:iCs/>
                <w:sz w:val="20"/>
                <w:szCs w:val="20"/>
              </w:rPr>
            </w:pPr>
            <w:r w:rsidRPr="0082461D">
              <w:rPr>
                <w:rFonts w:eastAsia="Times New Roman" w:cs="Times New Roman"/>
                <w:i/>
                <w:iCs/>
                <w:noProof/>
                <w:color w:val="4F81BD" w:themeColor="accent1"/>
                <w:sz w:val="20"/>
                <w:szCs w:val="20"/>
                <w:lang w:eastAsia="zh-CN"/>
              </w:rPr>
              <w:t xml:space="preserve">Nouveau </w:t>
            </w:r>
            <w:r w:rsidR="00FD2727" w:rsidRPr="0082461D">
              <w:rPr>
                <w:rFonts w:eastAsia="Times New Roman" w:cs="Times New Roman"/>
                <w:i/>
                <w:iCs/>
                <w:noProof/>
                <w:color w:val="4F81BD" w:themeColor="accent1"/>
                <w:sz w:val="20"/>
                <w:szCs w:val="20"/>
                <w:lang w:eastAsia="zh-CN"/>
              </w:rPr>
              <w:t>r</w:t>
            </w:r>
            <w:r w:rsidRPr="0082461D">
              <w:rPr>
                <w:rFonts w:eastAsia="Times New Roman" w:cs="Times New Roman"/>
                <w:i/>
                <w:iCs/>
                <w:noProof/>
                <w:color w:val="4F81BD" w:themeColor="accent1"/>
                <w:sz w:val="20"/>
                <w:szCs w:val="20"/>
                <w:lang w:eastAsia="zh-CN"/>
              </w:rPr>
              <w:t xml:space="preserve">ésultat (Plan stratégique pour </w:t>
            </w:r>
            <w:r w:rsidR="00031587" w:rsidRPr="0082461D">
              <w:rPr>
                <w:rFonts w:eastAsia="Times New Roman" w:cs="Times New Roman"/>
                <w:i/>
                <w:iCs/>
                <w:noProof/>
                <w:color w:val="4F81BD" w:themeColor="accent1"/>
                <w:sz w:val="20"/>
                <w:szCs w:val="20"/>
                <w:lang w:eastAsia="zh-CN"/>
              </w:rPr>
              <w:t xml:space="preserve">la période </w:t>
            </w:r>
            <w:r w:rsidR="0004319A" w:rsidRPr="0082461D">
              <w:rPr>
                <w:rFonts w:eastAsia="Times New Roman" w:cs="Times New Roman"/>
                <w:i/>
                <w:iCs/>
                <w:noProof/>
                <w:color w:val="4F81BD" w:themeColor="accent1"/>
                <w:sz w:val="20"/>
                <w:szCs w:val="20"/>
                <w:lang w:eastAsia="zh-CN"/>
              </w:rPr>
              <w:t>2020-2023)</w:t>
            </w:r>
          </w:p>
          <w:p w:rsidR="0004319A" w:rsidRPr="0082461D" w:rsidRDefault="00FD2727" w:rsidP="001D547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P</w:t>
            </w:r>
            <w:r w:rsidR="00CF6862" w:rsidRPr="0082461D">
              <w:rPr>
                <w:sz w:val="20"/>
                <w:szCs w:val="20"/>
              </w:rPr>
              <w:t>ourcentage de membres ind</w:t>
            </w:r>
            <w:r w:rsidR="00031587" w:rsidRPr="0082461D">
              <w:rPr>
                <w:sz w:val="20"/>
                <w:szCs w:val="20"/>
              </w:rPr>
              <w:t>iquant que les Recommandations/n</w:t>
            </w:r>
            <w:r w:rsidR="00CF6862" w:rsidRPr="0082461D">
              <w:rPr>
                <w:sz w:val="20"/>
                <w:szCs w:val="20"/>
              </w:rPr>
              <w:t>ormes/bonnes pratiques de l'UIT sont utilisées pour concevoir de nouveaux réseaux et produits de télécommunication</w:t>
            </w:r>
          </w:p>
          <w:p w:rsidR="00CF6862" w:rsidRPr="0082461D" w:rsidRDefault="00FD2727" w:rsidP="001D547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P</w:t>
            </w:r>
            <w:r w:rsidR="00CF6862" w:rsidRPr="0082461D">
              <w:rPr>
                <w:sz w:val="20"/>
                <w:szCs w:val="20"/>
              </w:rPr>
              <w:t>ourcentage de membres satisfaits du service à la clientèle de l'UIT</w:t>
            </w:r>
          </w:p>
        </w:tc>
        <w:tc>
          <w:tcPr>
            <w:tcW w:w="2693" w:type="dxa"/>
            <w:vMerge/>
          </w:tcPr>
          <w:p w:rsidR="0004319A" w:rsidRPr="0082461D" w:rsidRDefault="0004319A"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rsidR="00F132DB" w:rsidRPr="00F132DB" w:rsidRDefault="00F132DB">
      <w:pPr>
        <w:rPr>
          <w:sz w:val="2"/>
          <w:szCs w:val="2"/>
        </w:rPr>
      </w:pPr>
    </w:p>
    <w:tbl>
      <w:tblPr>
        <w:tblStyle w:val="GridTable4-Accent115"/>
        <w:tblW w:w="14170" w:type="dxa"/>
        <w:tblLayout w:type="fixed"/>
        <w:tblLook w:val="06A0" w:firstRow="1" w:lastRow="0" w:firstColumn="1" w:lastColumn="0" w:noHBand="1" w:noVBand="1"/>
      </w:tblPr>
      <w:tblGrid>
        <w:gridCol w:w="5807"/>
        <w:gridCol w:w="1985"/>
        <w:gridCol w:w="2126"/>
        <w:gridCol w:w="2126"/>
        <w:gridCol w:w="2126"/>
      </w:tblGrid>
      <w:tr w:rsidR="004A0419" w:rsidRPr="0082461D" w:rsidTr="007D23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vAlign w:val="center"/>
          </w:tcPr>
          <w:p w:rsidR="004A0419" w:rsidRPr="0082461D" w:rsidRDefault="004A0419" w:rsidP="001D547C">
            <w:pPr>
              <w:pStyle w:val="Tablehead"/>
              <w:rPr>
                <w:b/>
                <w:bCs w:val="0"/>
                <w:sz w:val="20"/>
                <w:szCs w:val="20"/>
              </w:rPr>
            </w:pPr>
            <w:r w:rsidRPr="0082461D">
              <w:rPr>
                <w:b/>
                <w:bCs w:val="0"/>
                <w:sz w:val="20"/>
                <w:szCs w:val="20"/>
              </w:rPr>
              <w:lastRenderedPageBreak/>
              <w:t>Produit</w:t>
            </w:r>
          </w:p>
        </w:tc>
        <w:tc>
          <w:tcPr>
            <w:tcW w:w="8363" w:type="dxa"/>
            <w:gridSpan w:val="4"/>
            <w:vAlign w:val="center"/>
          </w:tcPr>
          <w:p w:rsidR="004A0419" w:rsidRPr="00F132DB" w:rsidRDefault="004A0419" w:rsidP="001D547C">
            <w:pPr>
              <w:pStyle w:val="Tablehead"/>
              <w:cnfStyle w:val="100000000000" w:firstRow="1" w:lastRow="0" w:firstColumn="0" w:lastColumn="0" w:oddVBand="0" w:evenVBand="0" w:oddHBand="0" w:evenHBand="0" w:firstRowFirstColumn="0" w:firstRowLastColumn="0" w:lastRowFirstColumn="0" w:lastRowLastColumn="0"/>
              <w:rPr>
                <w:b/>
                <w:bCs w:val="0"/>
                <w:sz w:val="20"/>
              </w:rPr>
            </w:pPr>
            <w:r w:rsidRPr="00F132DB">
              <w:rPr>
                <w:b/>
                <w:bCs w:val="0"/>
                <w:sz w:val="20"/>
                <w:szCs w:val="20"/>
              </w:rPr>
              <w:t>Ressources financières (en CHF)</w:t>
            </w:r>
          </w:p>
        </w:tc>
      </w:tr>
      <w:tr w:rsidR="004A0419" w:rsidRPr="0082461D" w:rsidTr="004A0419">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4A0419" w:rsidRPr="0082461D" w:rsidRDefault="004A0419" w:rsidP="001D547C">
            <w:pPr>
              <w:pStyle w:val="Tabletext"/>
              <w:rPr>
                <w:noProof/>
                <w:color w:val="4F81BD" w:themeColor="accent1"/>
                <w:sz w:val="20"/>
                <w:lang w:eastAsia="zh-CN"/>
              </w:rPr>
            </w:pPr>
          </w:p>
        </w:tc>
        <w:tc>
          <w:tcPr>
            <w:tcW w:w="1985" w:type="dxa"/>
          </w:tcPr>
          <w:p w:rsidR="004A0419" w:rsidRPr="0082461D" w:rsidRDefault="004A0419"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2020</w:t>
            </w:r>
          </w:p>
        </w:tc>
        <w:tc>
          <w:tcPr>
            <w:tcW w:w="2126" w:type="dxa"/>
          </w:tcPr>
          <w:p w:rsidR="004A0419" w:rsidRPr="0082461D" w:rsidRDefault="004A0419"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2021</w:t>
            </w:r>
          </w:p>
        </w:tc>
        <w:tc>
          <w:tcPr>
            <w:tcW w:w="2126" w:type="dxa"/>
          </w:tcPr>
          <w:p w:rsidR="004A0419" w:rsidRPr="0082461D" w:rsidRDefault="004A0419"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2022</w:t>
            </w:r>
          </w:p>
        </w:tc>
        <w:tc>
          <w:tcPr>
            <w:tcW w:w="2126" w:type="dxa"/>
          </w:tcPr>
          <w:p w:rsidR="004A0419" w:rsidRPr="0082461D" w:rsidRDefault="004A0419"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2023</w:t>
            </w:r>
          </w:p>
        </w:tc>
      </w:tr>
      <w:tr w:rsidR="00D62BA0" w:rsidRPr="0082461D" w:rsidTr="004A0419">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D62BA0" w:rsidRPr="0082461D" w:rsidRDefault="00D62BA0" w:rsidP="001D547C">
            <w:pPr>
              <w:pStyle w:val="Tabletext"/>
              <w:rPr>
                <w:b w:val="0"/>
                <w:bCs w:val="0"/>
                <w:sz w:val="20"/>
                <w:szCs w:val="20"/>
              </w:rPr>
            </w:pPr>
            <w:r w:rsidRPr="0082461D">
              <w:rPr>
                <w:rFonts w:eastAsia="Times New Roman" w:cs="Times New Roman"/>
                <w:noProof/>
                <w:color w:val="4F81BD" w:themeColor="accent1"/>
                <w:sz w:val="20"/>
                <w:szCs w:val="20"/>
                <w:lang w:eastAsia="zh-CN"/>
              </w:rPr>
              <w:t>I.1-1</w:t>
            </w:r>
            <w:r w:rsidRPr="0082461D">
              <w:rPr>
                <w:b w:val="0"/>
                <w:bCs w:val="0"/>
                <w:sz w:val="20"/>
                <w:szCs w:val="20"/>
              </w:rPr>
              <w:t xml:space="preserve">: </w:t>
            </w:r>
            <w:r w:rsidR="00AD4A71" w:rsidRPr="0082461D">
              <w:rPr>
                <w:b w:val="0"/>
                <w:bCs w:val="0"/>
                <w:sz w:val="20"/>
                <w:szCs w:val="20"/>
              </w:rPr>
              <w:t>Conférences, forums, manifestations et réunions intersectoriels au niveau mondial offrant un cadre de discussion de haut niveau</w:t>
            </w:r>
          </w:p>
        </w:tc>
        <w:tc>
          <w:tcPr>
            <w:tcW w:w="1985"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5 228 418</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5 939 751</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9 411 902</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5 012 333</w:t>
            </w:r>
          </w:p>
        </w:tc>
      </w:tr>
      <w:tr w:rsidR="00D62BA0" w:rsidRPr="0082461D" w:rsidTr="004A0419">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D62BA0" w:rsidRPr="0082461D" w:rsidRDefault="00D62BA0" w:rsidP="001D547C">
            <w:pPr>
              <w:pStyle w:val="Tabletext"/>
              <w:rPr>
                <w:b w:val="0"/>
                <w:bCs w:val="0"/>
                <w:sz w:val="20"/>
                <w:szCs w:val="20"/>
              </w:rPr>
            </w:pPr>
            <w:r w:rsidRPr="0082461D">
              <w:rPr>
                <w:rFonts w:eastAsia="Times New Roman" w:cs="Times New Roman"/>
                <w:noProof/>
                <w:color w:val="4F81BD" w:themeColor="accent1"/>
                <w:sz w:val="20"/>
                <w:szCs w:val="20"/>
                <w:lang w:eastAsia="zh-CN"/>
              </w:rPr>
              <w:t>I.1-2</w:t>
            </w:r>
            <w:r w:rsidRPr="0082461D">
              <w:rPr>
                <w:b w:val="0"/>
                <w:bCs w:val="0"/>
                <w:sz w:val="20"/>
                <w:szCs w:val="20"/>
              </w:rPr>
              <w:t xml:space="preserve">: </w:t>
            </w:r>
            <w:r w:rsidR="0082461D" w:rsidRPr="0082461D">
              <w:rPr>
                <w:b w:val="0"/>
                <w:bCs w:val="0"/>
                <w:sz w:val="20"/>
                <w:szCs w:val="20"/>
              </w:rPr>
              <w:t>Échange</w:t>
            </w:r>
            <w:r w:rsidR="00AD4A71" w:rsidRPr="0082461D">
              <w:rPr>
                <w:b w:val="0"/>
                <w:bCs w:val="0"/>
                <w:sz w:val="20"/>
                <w:szCs w:val="20"/>
              </w:rPr>
              <w:t xml:space="preserve"> de connaissances, création de réseaux de relations et partenariats</w:t>
            </w:r>
          </w:p>
        </w:tc>
        <w:tc>
          <w:tcPr>
            <w:tcW w:w="1985"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3 169 431</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3 081 994</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2 735 717</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3 133 389</w:t>
            </w:r>
          </w:p>
        </w:tc>
      </w:tr>
      <w:tr w:rsidR="00D62BA0" w:rsidRPr="0082461D" w:rsidTr="004A0419">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D62BA0" w:rsidRPr="0082461D" w:rsidRDefault="00D62BA0" w:rsidP="001D547C">
            <w:pPr>
              <w:pStyle w:val="Tabletext"/>
              <w:rPr>
                <w:b w:val="0"/>
                <w:bCs w:val="0"/>
                <w:sz w:val="20"/>
                <w:szCs w:val="20"/>
              </w:rPr>
            </w:pPr>
            <w:r w:rsidRPr="0082461D">
              <w:rPr>
                <w:rFonts w:eastAsia="Times New Roman" w:cs="Times New Roman"/>
                <w:noProof/>
                <w:color w:val="4F81BD" w:themeColor="accent1"/>
                <w:sz w:val="20"/>
                <w:szCs w:val="20"/>
                <w:lang w:eastAsia="zh-CN"/>
              </w:rPr>
              <w:t>I.1-3</w:t>
            </w:r>
            <w:r w:rsidRPr="0082461D">
              <w:rPr>
                <w:b w:val="0"/>
                <w:bCs w:val="0"/>
                <w:sz w:val="20"/>
                <w:szCs w:val="20"/>
              </w:rPr>
              <w:t xml:space="preserve">: </w:t>
            </w:r>
            <w:r w:rsidR="00AD4A71" w:rsidRPr="0082461D">
              <w:rPr>
                <w:b w:val="0"/>
                <w:bCs w:val="0"/>
                <w:sz w:val="20"/>
                <w:szCs w:val="20"/>
              </w:rPr>
              <w:t>Mémorandums d'accord</w:t>
            </w:r>
          </w:p>
        </w:tc>
        <w:tc>
          <w:tcPr>
            <w:tcW w:w="1985"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22 138</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22 138</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22 059</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21 882</w:t>
            </w:r>
          </w:p>
        </w:tc>
      </w:tr>
      <w:tr w:rsidR="00D62BA0" w:rsidRPr="0082461D" w:rsidTr="004A0419">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D62BA0" w:rsidRPr="0082461D" w:rsidRDefault="00D62BA0" w:rsidP="001D547C">
            <w:pPr>
              <w:pStyle w:val="Tabletext"/>
              <w:rPr>
                <w:b w:val="0"/>
                <w:bCs w:val="0"/>
                <w:sz w:val="20"/>
                <w:szCs w:val="20"/>
              </w:rPr>
            </w:pPr>
            <w:r w:rsidRPr="0082461D">
              <w:rPr>
                <w:rFonts w:eastAsia="Times New Roman" w:cs="Times New Roman"/>
                <w:noProof/>
                <w:color w:val="4F81BD" w:themeColor="accent1"/>
                <w:sz w:val="20"/>
                <w:szCs w:val="20"/>
                <w:lang w:eastAsia="zh-CN"/>
              </w:rPr>
              <w:t>I.1-4</w:t>
            </w:r>
            <w:r w:rsidRPr="0082461D">
              <w:rPr>
                <w:b w:val="0"/>
                <w:bCs w:val="0"/>
                <w:sz w:val="20"/>
                <w:szCs w:val="20"/>
              </w:rPr>
              <w:t xml:space="preserve">: </w:t>
            </w:r>
            <w:r w:rsidR="00AD4A71" w:rsidRPr="0082461D">
              <w:rPr>
                <w:b w:val="0"/>
                <w:bCs w:val="0"/>
                <w:sz w:val="20"/>
                <w:szCs w:val="20"/>
              </w:rPr>
              <w:t xml:space="preserve">Rapports et autres contributions aux processus </w:t>
            </w:r>
            <w:proofErr w:type="spellStart"/>
            <w:r w:rsidR="00AD4A71" w:rsidRPr="0082461D">
              <w:rPr>
                <w:b w:val="0"/>
                <w:bCs w:val="0"/>
                <w:sz w:val="20"/>
                <w:szCs w:val="20"/>
              </w:rPr>
              <w:t>interinstitutions</w:t>
            </w:r>
            <w:proofErr w:type="spellEnd"/>
            <w:r w:rsidR="00AD4A71" w:rsidRPr="0082461D">
              <w:rPr>
                <w:b w:val="0"/>
                <w:bCs w:val="0"/>
                <w:sz w:val="20"/>
                <w:szCs w:val="20"/>
              </w:rPr>
              <w:t xml:space="preserve"> des Nations Unies, multilatéraux et intergouvernementaux</w:t>
            </w:r>
          </w:p>
        </w:tc>
        <w:tc>
          <w:tcPr>
            <w:tcW w:w="1985"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718 085</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718 074</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657 835</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709 788</w:t>
            </w:r>
          </w:p>
        </w:tc>
      </w:tr>
      <w:tr w:rsidR="00D62BA0" w:rsidRPr="0082461D" w:rsidTr="004A0419">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D62BA0" w:rsidRPr="0082461D" w:rsidRDefault="00D62BA0" w:rsidP="001D547C">
            <w:pPr>
              <w:pStyle w:val="Tabletext"/>
              <w:rPr>
                <w:noProof/>
                <w:color w:val="4F81BD" w:themeColor="accent1"/>
                <w:sz w:val="20"/>
                <w:lang w:eastAsia="zh-CN"/>
              </w:rPr>
            </w:pPr>
            <w:r w:rsidRPr="0082461D">
              <w:rPr>
                <w:rFonts w:eastAsia="Times New Roman" w:cs="Times New Roman"/>
                <w:noProof/>
                <w:color w:val="4F81BD" w:themeColor="accent1"/>
                <w:sz w:val="20"/>
                <w:szCs w:val="20"/>
                <w:lang w:eastAsia="zh-CN"/>
              </w:rPr>
              <w:t>I.1-5</w:t>
            </w:r>
            <w:r w:rsidRPr="0082461D">
              <w:rPr>
                <w:b w:val="0"/>
                <w:bCs w:val="0"/>
                <w:sz w:val="20"/>
                <w:szCs w:val="20"/>
              </w:rPr>
              <w:t>:</w:t>
            </w:r>
            <w:r w:rsidR="00AD4A71" w:rsidRPr="0082461D">
              <w:rPr>
                <w:b w:val="0"/>
                <w:bCs w:val="0"/>
                <w:sz w:val="20"/>
                <w:szCs w:val="20"/>
              </w:rPr>
              <w:t xml:space="preserve"> Création de services d'appui pour les membres de l'UIT dans les activités et les manifestations de l'UIT</w:t>
            </w:r>
          </w:p>
        </w:tc>
        <w:tc>
          <w:tcPr>
            <w:tcW w:w="1985"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604 798</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604 789</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583 418</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597 811</w:t>
            </w:r>
          </w:p>
        </w:tc>
      </w:tr>
      <w:tr w:rsidR="00D62BA0" w:rsidRPr="0082461D" w:rsidTr="004A0419">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D62BA0" w:rsidRPr="0082461D" w:rsidRDefault="00D62BA0" w:rsidP="001D547C">
            <w:pPr>
              <w:pStyle w:val="Tabletext"/>
              <w:rPr>
                <w:noProof/>
                <w:color w:val="4F81BD" w:themeColor="accent1"/>
                <w:sz w:val="20"/>
                <w:lang w:eastAsia="zh-CN"/>
              </w:rPr>
            </w:pPr>
            <w:r w:rsidRPr="0082461D">
              <w:rPr>
                <w:noProof/>
                <w:color w:val="4F81BD" w:themeColor="accent1"/>
                <w:sz w:val="20"/>
                <w:lang w:eastAsia="zh-CN"/>
              </w:rPr>
              <w:t>Total pou</w:t>
            </w:r>
            <w:r w:rsidR="00CF6862" w:rsidRPr="0082461D">
              <w:rPr>
                <w:noProof/>
                <w:color w:val="4F81BD" w:themeColor="accent1"/>
                <w:sz w:val="20"/>
                <w:lang w:eastAsia="zh-CN"/>
              </w:rPr>
              <w:t>r</w:t>
            </w:r>
            <w:r w:rsidRPr="0082461D">
              <w:rPr>
                <w:noProof/>
                <w:color w:val="4F81BD" w:themeColor="accent1"/>
                <w:sz w:val="20"/>
                <w:lang w:eastAsia="zh-CN"/>
              </w:rPr>
              <w:t xml:space="preserve"> l'Objectif I.1</w:t>
            </w:r>
          </w:p>
        </w:tc>
        <w:tc>
          <w:tcPr>
            <w:tcW w:w="1985"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9 742 870</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10 366 746</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13 410 931</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9 475 203</w:t>
            </w:r>
          </w:p>
        </w:tc>
      </w:tr>
    </w:tbl>
    <w:p w:rsidR="00AD4A71" w:rsidRPr="0082461D" w:rsidRDefault="00AD4A71" w:rsidP="001D547C"/>
    <w:p w:rsidR="00AD4A71" w:rsidRPr="0082461D" w:rsidRDefault="00AD4A71" w:rsidP="001D547C">
      <w:pPr>
        <w:tabs>
          <w:tab w:val="clear" w:pos="794"/>
          <w:tab w:val="clear" w:pos="1191"/>
          <w:tab w:val="clear" w:pos="1588"/>
          <w:tab w:val="clear" w:pos="1985"/>
        </w:tabs>
        <w:overflowPunct/>
        <w:autoSpaceDE/>
        <w:autoSpaceDN/>
        <w:adjustRightInd/>
        <w:spacing w:before="0"/>
        <w:textAlignment w:val="auto"/>
      </w:pPr>
      <w:r w:rsidRPr="0082461D">
        <w:br w:type="page"/>
      </w:r>
    </w:p>
    <w:p w:rsidR="00236265" w:rsidRPr="0082461D" w:rsidRDefault="00AD4A71" w:rsidP="001D547C">
      <w:pPr>
        <w:spacing w:after="120"/>
      </w:pPr>
      <w:r w:rsidRPr="0082461D">
        <w:lastRenderedPageBreak/>
        <w:t>I.2</w:t>
      </w:r>
      <w:r w:rsidRPr="0082461D">
        <w:tab/>
        <w:t>Améliorer l'identification, la prise en compte et l'analyse de la transformation numérique et des nouvelles tendances dans l'environnement des télécommunications/TIC</w:t>
      </w:r>
    </w:p>
    <w:tbl>
      <w:tblPr>
        <w:tblStyle w:val="GridTable4-Accent115"/>
        <w:tblW w:w="14170" w:type="dxa"/>
        <w:tblLayout w:type="fixed"/>
        <w:tblLook w:val="06A0" w:firstRow="1" w:lastRow="0" w:firstColumn="1" w:lastColumn="0" w:noHBand="1" w:noVBand="1"/>
      </w:tblPr>
      <w:tblGrid>
        <w:gridCol w:w="2830"/>
        <w:gridCol w:w="8647"/>
        <w:gridCol w:w="2693"/>
      </w:tblGrid>
      <w:tr w:rsidR="00AD4A71" w:rsidRPr="0082461D" w:rsidTr="007D23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D4A71" w:rsidRPr="0082461D" w:rsidRDefault="00AD4A71" w:rsidP="001D547C">
            <w:pPr>
              <w:pStyle w:val="Tablehead"/>
              <w:rPr>
                <w:b/>
                <w:bCs w:val="0"/>
                <w:sz w:val="20"/>
                <w:szCs w:val="20"/>
              </w:rPr>
            </w:pPr>
            <w:r w:rsidRPr="0082461D">
              <w:rPr>
                <w:b/>
                <w:bCs w:val="0"/>
                <w:sz w:val="20"/>
                <w:szCs w:val="20"/>
              </w:rPr>
              <w:t>Résultats</w:t>
            </w:r>
          </w:p>
        </w:tc>
        <w:tc>
          <w:tcPr>
            <w:tcW w:w="8647" w:type="dxa"/>
            <w:vAlign w:val="center"/>
          </w:tcPr>
          <w:p w:rsidR="00AD4A71" w:rsidRPr="0082461D" w:rsidRDefault="00AD4A71"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Indicateur de résultat</w:t>
            </w:r>
          </w:p>
        </w:tc>
        <w:tc>
          <w:tcPr>
            <w:tcW w:w="2693" w:type="dxa"/>
            <w:vAlign w:val="center"/>
          </w:tcPr>
          <w:p w:rsidR="00AD4A71" w:rsidRPr="0082461D" w:rsidRDefault="00AD4A71"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Mesures d'atténuation</w:t>
            </w:r>
          </w:p>
        </w:tc>
      </w:tr>
      <w:tr w:rsidR="00AD4A71"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AD4A71" w:rsidRPr="0082461D" w:rsidRDefault="00AD4A71" w:rsidP="001D547C">
            <w:pPr>
              <w:pStyle w:val="Tabletext"/>
              <w:rPr>
                <w:b w:val="0"/>
                <w:bCs w:val="0"/>
                <w:sz w:val="20"/>
                <w:szCs w:val="20"/>
              </w:rPr>
            </w:pPr>
            <w:r w:rsidRPr="0082461D">
              <w:rPr>
                <w:rFonts w:eastAsia="Times New Roman" w:cs="Times New Roman"/>
                <w:noProof/>
                <w:color w:val="4F81BD" w:themeColor="accent1"/>
                <w:sz w:val="20"/>
                <w:szCs w:val="20"/>
                <w:lang w:eastAsia="zh-CN"/>
              </w:rPr>
              <w:t>I.2-a</w:t>
            </w:r>
            <w:r w:rsidRPr="0082461D">
              <w:rPr>
                <w:b w:val="0"/>
                <w:bCs w:val="0"/>
                <w:sz w:val="20"/>
                <w:szCs w:val="20"/>
              </w:rPr>
              <w:t>: Identification, prise en compte et analyse de la transformation numérique et des nouvelles tendances des télécommunications/TIC</w:t>
            </w:r>
          </w:p>
        </w:tc>
        <w:tc>
          <w:tcPr>
            <w:tcW w:w="8647" w:type="dxa"/>
          </w:tcPr>
          <w:p w:rsidR="00AD4A71" w:rsidRPr="0082461D" w:rsidRDefault="00CF6862" w:rsidP="001D547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Nouveaux groupes spécialisés</w:t>
            </w:r>
          </w:p>
          <w:p w:rsidR="00AD4A71" w:rsidRPr="0082461D" w:rsidRDefault="00CF6862" w:rsidP="001D547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Nouveaux rapports/nouvelles publications sur les tendances/technologies qui se font jour</w:t>
            </w:r>
          </w:p>
          <w:p w:rsidR="00AD4A71" w:rsidRPr="0082461D" w:rsidRDefault="00CF6862" w:rsidP="001D547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Nombre de manifestations présentant de nouvelles technologies</w:t>
            </w:r>
          </w:p>
          <w:p w:rsidR="00AD4A71" w:rsidRPr="0082461D" w:rsidRDefault="00CF6862" w:rsidP="001D547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Nouveaux sujets ajoutés aux travaux de l'UIT à la suite de l'analyse des nouvelles tendances</w:t>
            </w:r>
          </w:p>
        </w:tc>
        <w:tc>
          <w:tcPr>
            <w:tcW w:w="2693" w:type="dxa"/>
          </w:tcPr>
          <w:p w:rsidR="00AD4A71" w:rsidRPr="0082461D" w:rsidRDefault="00CF6862"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Données intersectorielles</w:t>
            </w:r>
          </w:p>
        </w:tc>
      </w:tr>
    </w:tbl>
    <w:p w:rsidR="00255A4C" w:rsidRPr="0082461D" w:rsidRDefault="00255A4C" w:rsidP="001D547C"/>
    <w:tbl>
      <w:tblPr>
        <w:tblStyle w:val="GridTable4-Accent115"/>
        <w:tblW w:w="14170" w:type="dxa"/>
        <w:tblLayout w:type="fixed"/>
        <w:tblLook w:val="06A0" w:firstRow="1" w:lastRow="0" w:firstColumn="1" w:lastColumn="0" w:noHBand="1" w:noVBand="1"/>
      </w:tblPr>
      <w:tblGrid>
        <w:gridCol w:w="5807"/>
        <w:gridCol w:w="1985"/>
        <w:gridCol w:w="2126"/>
        <w:gridCol w:w="2126"/>
        <w:gridCol w:w="2126"/>
      </w:tblGrid>
      <w:tr w:rsidR="00AD4A71" w:rsidRPr="0082461D" w:rsidTr="007D23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vAlign w:val="center"/>
          </w:tcPr>
          <w:p w:rsidR="00AD4A71" w:rsidRPr="0082461D" w:rsidRDefault="00AD4A71" w:rsidP="001D547C">
            <w:pPr>
              <w:pStyle w:val="Tablehead"/>
              <w:rPr>
                <w:b/>
                <w:bCs w:val="0"/>
                <w:sz w:val="20"/>
                <w:szCs w:val="20"/>
              </w:rPr>
            </w:pPr>
            <w:r w:rsidRPr="0082461D">
              <w:rPr>
                <w:b/>
                <w:bCs w:val="0"/>
                <w:sz w:val="20"/>
                <w:szCs w:val="20"/>
              </w:rPr>
              <w:t>Produit</w:t>
            </w:r>
          </w:p>
        </w:tc>
        <w:tc>
          <w:tcPr>
            <w:tcW w:w="8363" w:type="dxa"/>
            <w:gridSpan w:val="4"/>
            <w:vAlign w:val="center"/>
          </w:tcPr>
          <w:p w:rsidR="00AD4A71" w:rsidRPr="0082461D" w:rsidRDefault="00AD4A71" w:rsidP="001D547C">
            <w:pPr>
              <w:pStyle w:val="Tablehead"/>
              <w:cnfStyle w:val="100000000000" w:firstRow="1" w:lastRow="0" w:firstColumn="0" w:lastColumn="0" w:oddVBand="0" w:evenVBand="0" w:oddHBand="0" w:evenHBand="0" w:firstRowFirstColumn="0" w:firstRowLastColumn="0" w:lastRowFirstColumn="0" w:lastRowLastColumn="0"/>
              <w:rPr>
                <w:b/>
                <w:bCs w:val="0"/>
                <w:sz w:val="20"/>
              </w:rPr>
            </w:pPr>
            <w:r w:rsidRPr="0082461D">
              <w:rPr>
                <w:b/>
                <w:bCs w:val="0"/>
                <w:sz w:val="20"/>
                <w:szCs w:val="20"/>
              </w:rPr>
              <w:t>Ressources financières (en CHF)</w:t>
            </w:r>
          </w:p>
        </w:tc>
      </w:tr>
      <w:tr w:rsidR="00AD4A71"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AD4A71" w:rsidRPr="0082461D" w:rsidRDefault="00AD4A71" w:rsidP="001D547C">
            <w:pPr>
              <w:pStyle w:val="Tabletext"/>
              <w:rPr>
                <w:noProof/>
                <w:color w:val="4F81BD" w:themeColor="accent1"/>
                <w:sz w:val="20"/>
                <w:lang w:eastAsia="zh-CN"/>
              </w:rPr>
            </w:pPr>
          </w:p>
        </w:tc>
        <w:tc>
          <w:tcPr>
            <w:tcW w:w="1985" w:type="dxa"/>
          </w:tcPr>
          <w:p w:rsidR="00AD4A71" w:rsidRPr="0082461D" w:rsidRDefault="00AD4A71"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2020</w:t>
            </w:r>
          </w:p>
        </w:tc>
        <w:tc>
          <w:tcPr>
            <w:tcW w:w="2126" w:type="dxa"/>
          </w:tcPr>
          <w:p w:rsidR="00AD4A71" w:rsidRPr="0082461D" w:rsidRDefault="00AD4A71"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2021</w:t>
            </w:r>
          </w:p>
        </w:tc>
        <w:tc>
          <w:tcPr>
            <w:tcW w:w="2126" w:type="dxa"/>
          </w:tcPr>
          <w:p w:rsidR="00AD4A71" w:rsidRPr="0082461D" w:rsidRDefault="00AD4A71"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2022</w:t>
            </w:r>
          </w:p>
        </w:tc>
        <w:tc>
          <w:tcPr>
            <w:tcW w:w="2126" w:type="dxa"/>
          </w:tcPr>
          <w:p w:rsidR="00AD4A71" w:rsidRPr="0082461D" w:rsidRDefault="00AD4A71"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2023</w:t>
            </w:r>
          </w:p>
        </w:tc>
      </w:tr>
      <w:tr w:rsidR="00AD4A71"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AD4A71" w:rsidRPr="0082461D" w:rsidRDefault="00AD4A71" w:rsidP="001D547C">
            <w:pPr>
              <w:pStyle w:val="Tabletext"/>
              <w:rPr>
                <w:b w:val="0"/>
                <w:bCs w:val="0"/>
                <w:sz w:val="20"/>
                <w:szCs w:val="20"/>
              </w:rPr>
            </w:pPr>
            <w:r w:rsidRPr="0082461D">
              <w:rPr>
                <w:rFonts w:eastAsia="Times New Roman" w:cs="Times New Roman"/>
                <w:noProof/>
                <w:color w:val="4F81BD" w:themeColor="accent1"/>
                <w:sz w:val="20"/>
                <w:szCs w:val="20"/>
                <w:lang w:eastAsia="zh-CN"/>
              </w:rPr>
              <w:t>I.2-1</w:t>
            </w:r>
            <w:r w:rsidRPr="0082461D">
              <w:rPr>
                <w:b w:val="0"/>
                <w:bCs w:val="0"/>
                <w:sz w:val="20"/>
                <w:szCs w:val="20"/>
              </w:rPr>
              <w:t>: Initiatives et rapports intersectoriels sur les nouvelles tendances pertinentes dans le secteur des télécommunications/TIC et autres initiatives analogues</w:t>
            </w:r>
          </w:p>
        </w:tc>
        <w:tc>
          <w:tcPr>
            <w:tcW w:w="1985"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673 857</w:t>
            </w:r>
          </w:p>
        </w:tc>
        <w:tc>
          <w:tcPr>
            <w:tcW w:w="2126"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636 459</w:t>
            </w:r>
          </w:p>
        </w:tc>
        <w:tc>
          <w:tcPr>
            <w:tcW w:w="2126"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688 732</w:t>
            </w:r>
          </w:p>
        </w:tc>
        <w:tc>
          <w:tcPr>
            <w:tcW w:w="2126"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716 938</w:t>
            </w:r>
          </w:p>
        </w:tc>
      </w:tr>
      <w:tr w:rsidR="00AD4A71"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AD4A71" w:rsidRPr="0082461D" w:rsidRDefault="00AD4A71" w:rsidP="001D547C">
            <w:pPr>
              <w:pStyle w:val="Tabletext"/>
              <w:rPr>
                <w:b w:val="0"/>
                <w:bCs w:val="0"/>
                <w:sz w:val="20"/>
                <w:szCs w:val="20"/>
              </w:rPr>
            </w:pPr>
            <w:r w:rsidRPr="0082461D">
              <w:rPr>
                <w:rFonts w:eastAsia="Times New Roman" w:cs="Times New Roman"/>
                <w:noProof/>
                <w:color w:val="4F81BD" w:themeColor="accent1"/>
                <w:sz w:val="20"/>
                <w:szCs w:val="20"/>
                <w:lang w:eastAsia="zh-CN"/>
              </w:rPr>
              <w:t>I.2-2</w:t>
            </w:r>
            <w:r w:rsidRPr="0082461D">
              <w:rPr>
                <w:b w:val="0"/>
                <w:bCs w:val="0"/>
                <w:sz w:val="20"/>
                <w:szCs w:val="20"/>
              </w:rPr>
              <w:t>: Nouvelles de l'UIT en version numérique</w:t>
            </w:r>
          </w:p>
        </w:tc>
        <w:tc>
          <w:tcPr>
            <w:tcW w:w="1985"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1 098 982</w:t>
            </w:r>
          </w:p>
        </w:tc>
        <w:tc>
          <w:tcPr>
            <w:tcW w:w="2126"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1 103 925</w:t>
            </w:r>
          </w:p>
        </w:tc>
        <w:tc>
          <w:tcPr>
            <w:tcW w:w="2126"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1 217 930</w:t>
            </w:r>
          </w:p>
        </w:tc>
        <w:tc>
          <w:tcPr>
            <w:tcW w:w="2126"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1 152 437</w:t>
            </w:r>
          </w:p>
        </w:tc>
      </w:tr>
      <w:tr w:rsidR="00AD4A71"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AD4A71" w:rsidRPr="0082461D" w:rsidRDefault="00AD4A71" w:rsidP="001D547C">
            <w:pPr>
              <w:pStyle w:val="Tabletext"/>
              <w:rPr>
                <w:b w:val="0"/>
                <w:bCs w:val="0"/>
                <w:sz w:val="20"/>
                <w:szCs w:val="20"/>
              </w:rPr>
            </w:pPr>
            <w:r w:rsidRPr="0082461D">
              <w:rPr>
                <w:rFonts w:eastAsia="Times New Roman" w:cs="Times New Roman"/>
                <w:noProof/>
                <w:color w:val="4F81BD" w:themeColor="accent1"/>
                <w:sz w:val="20"/>
                <w:szCs w:val="20"/>
                <w:lang w:eastAsia="zh-CN"/>
              </w:rPr>
              <w:t>I.2-3</w:t>
            </w:r>
            <w:r w:rsidRPr="0082461D">
              <w:rPr>
                <w:b w:val="0"/>
                <w:bCs w:val="0"/>
                <w:sz w:val="20"/>
                <w:szCs w:val="20"/>
              </w:rPr>
              <w:t>: Plates-formes d'échange d'informations concernant les nouvelles tendances</w:t>
            </w:r>
          </w:p>
        </w:tc>
        <w:tc>
          <w:tcPr>
            <w:tcW w:w="1985"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1 327 209</w:t>
            </w:r>
          </w:p>
        </w:tc>
        <w:tc>
          <w:tcPr>
            <w:tcW w:w="2126"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1 333 161</w:t>
            </w:r>
          </w:p>
        </w:tc>
        <w:tc>
          <w:tcPr>
            <w:tcW w:w="2126"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1 352 269</w:t>
            </w:r>
          </w:p>
        </w:tc>
        <w:tc>
          <w:tcPr>
            <w:tcW w:w="2126"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1 319 680</w:t>
            </w:r>
          </w:p>
        </w:tc>
      </w:tr>
      <w:tr w:rsidR="00AD4A71"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AD4A71" w:rsidRPr="0082461D" w:rsidRDefault="00AD4A71" w:rsidP="001D547C">
            <w:pPr>
              <w:pStyle w:val="Tabletext"/>
              <w:rPr>
                <w:noProof/>
                <w:color w:val="4F81BD" w:themeColor="accent1"/>
                <w:sz w:val="20"/>
                <w:lang w:eastAsia="zh-CN"/>
              </w:rPr>
            </w:pPr>
            <w:r w:rsidRPr="0082461D">
              <w:rPr>
                <w:noProof/>
                <w:color w:val="4F81BD" w:themeColor="accent1"/>
                <w:sz w:val="20"/>
                <w:lang w:eastAsia="zh-CN"/>
              </w:rPr>
              <w:t>Total pou</w:t>
            </w:r>
            <w:r w:rsidR="003556C2" w:rsidRPr="0082461D">
              <w:rPr>
                <w:noProof/>
                <w:color w:val="4F81BD" w:themeColor="accent1"/>
                <w:sz w:val="20"/>
                <w:lang w:eastAsia="zh-CN"/>
              </w:rPr>
              <w:t>r</w:t>
            </w:r>
            <w:r w:rsidRPr="0082461D">
              <w:rPr>
                <w:noProof/>
                <w:color w:val="4F81BD" w:themeColor="accent1"/>
                <w:sz w:val="20"/>
                <w:lang w:eastAsia="zh-CN"/>
              </w:rPr>
              <w:t xml:space="preserve"> l'Objectif I.2</w:t>
            </w:r>
          </w:p>
        </w:tc>
        <w:tc>
          <w:tcPr>
            <w:tcW w:w="1985"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3 100 048</w:t>
            </w:r>
          </w:p>
        </w:tc>
        <w:tc>
          <w:tcPr>
            <w:tcW w:w="2126"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3 073 545</w:t>
            </w:r>
          </w:p>
        </w:tc>
        <w:tc>
          <w:tcPr>
            <w:tcW w:w="2126"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3 258 931</w:t>
            </w:r>
          </w:p>
        </w:tc>
        <w:tc>
          <w:tcPr>
            <w:tcW w:w="2126"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3 189 054</w:t>
            </w:r>
          </w:p>
        </w:tc>
      </w:tr>
    </w:tbl>
    <w:p w:rsidR="00482BB1" w:rsidRPr="0082461D" w:rsidRDefault="00482BB1" w:rsidP="001D547C"/>
    <w:p w:rsidR="00482BB1" w:rsidRPr="0082461D" w:rsidRDefault="00482BB1" w:rsidP="001D547C">
      <w:pPr>
        <w:tabs>
          <w:tab w:val="clear" w:pos="794"/>
          <w:tab w:val="clear" w:pos="1191"/>
          <w:tab w:val="clear" w:pos="1588"/>
          <w:tab w:val="clear" w:pos="1985"/>
        </w:tabs>
        <w:overflowPunct/>
        <w:autoSpaceDE/>
        <w:autoSpaceDN/>
        <w:adjustRightInd/>
        <w:spacing w:before="0"/>
        <w:textAlignment w:val="auto"/>
      </w:pPr>
    </w:p>
    <w:p w:rsidR="00482BB1" w:rsidRPr="0082461D" w:rsidRDefault="00482BB1" w:rsidP="001D547C">
      <w:pPr>
        <w:tabs>
          <w:tab w:val="clear" w:pos="794"/>
          <w:tab w:val="clear" w:pos="1191"/>
          <w:tab w:val="clear" w:pos="1588"/>
          <w:tab w:val="clear" w:pos="1985"/>
        </w:tabs>
        <w:overflowPunct/>
        <w:autoSpaceDE/>
        <w:autoSpaceDN/>
        <w:adjustRightInd/>
        <w:spacing w:before="0"/>
        <w:textAlignment w:val="auto"/>
      </w:pPr>
      <w:r w:rsidRPr="0082461D">
        <w:br w:type="page"/>
      </w:r>
    </w:p>
    <w:p w:rsidR="00482BB1" w:rsidRPr="0082461D" w:rsidRDefault="00482BB1" w:rsidP="001D547C">
      <w:pPr>
        <w:spacing w:after="120"/>
      </w:pPr>
      <w:r w:rsidRPr="0082461D">
        <w:lastRenderedPageBreak/>
        <w:t>I.3</w:t>
      </w:r>
      <w:r w:rsidRPr="0082461D">
        <w:tab/>
        <w:t>Améliorer l'accessibilité des télécommunications/TIC pour les personnes handicapées et les personnes ayant des besoins particuliers</w:t>
      </w:r>
    </w:p>
    <w:tbl>
      <w:tblPr>
        <w:tblStyle w:val="GridTable4-Accent115"/>
        <w:tblW w:w="14170" w:type="dxa"/>
        <w:tblLayout w:type="fixed"/>
        <w:tblLook w:val="06A0" w:firstRow="1" w:lastRow="0" w:firstColumn="1" w:lastColumn="0" w:noHBand="1" w:noVBand="1"/>
      </w:tblPr>
      <w:tblGrid>
        <w:gridCol w:w="4106"/>
        <w:gridCol w:w="7513"/>
        <w:gridCol w:w="2551"/>
      </w:tblGrid>
      <w:tr w:rsidR="00482BB1" w:rsidRPr="0082461D" w:rsidTr="00F132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rsidR="00482BB1" w:rsidRPr="0082461D" w:rsidRDefault="00482BB1" w:rsidP="001D547C">
            <w:pPr>
              <w:pStyle w:val="Tablehead"/>
              <w:rPr>
                <w:b/>
                <w:bCs w:val="0"/>
                <w:sz w:val="20"/>
                <w:szCs w:val="20"/>
              </w:rPr>
            </w:pPr>
            <w:r w:rsidRPr="0082461D">
              <w:rPr>
                <w:b/>
                <w:bCs w:val="0"/>
                <w:sz w:val="20"/>
                <w:szCs w:val="20"/>
              </w:rPr>
              <w:t>Résultats</w:t>
            </w:r>
          </w:p>
        </w:tc>
        <w:tc>
          <w:tcPr>
            <w:tcW w:w="7513" w:type="dxa"/>
            <w:vAlign w:val="center"/>
          </w:tcPr>
          <w:p w:rsidR="00482BB1" w:rsidRPr="0082461D" w:rsidRDefault="00482BB1"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Indicateur de résultat</w:t>
            </w:r>
          </w:p>
        </w:tc>
        <w:tc>
          <w:tcPr>
            <w:tcW w:w="2551" w:type="dxa"/>
            <w:vAlign w:val="center"/>
          </w:tcPr>
          <w:p w:rsidR="00482BB1" w:rsidRPr="0082461D" w:rsidRDefault="00482BB1"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Mesures d'atténuation</w:t>
            </w:r>
          </w:p>
        </w:tc>
      </w:tr>
      <w:tr w:rsidR="00482BB1" w:rsidRPr="0082461D" w:rsidTr="00F132DB">
        <w:trPr>
          <w:trHeight w:val="567"/>
        </w:trPr>
        <w:tc>
          <w:tcPr>
            <w:cnfStyle w:val="001000000000" w:firstRow="0" w:lastRow="0" w:firstColumn="1" w:lastColumn="0" w:oddVBand="0" w:evenVBand="0" w:oddHBand="0" w:evenHBand="0" w:firstRowFirstColumn="0" w:firstRowLastColumn="0" w:lastRowFirstColumn="0" w:lastRowLastColumn="0"/>
            <w:tcW w:w="4106" w:type="dxa"/>
          </w:tcPr>
          <w:p w:rsidR="00482BB1" w:rsidRPr="0082461D" w:rsidRDefault="00482BB1" w:rsidP="001D547C">
            <w:pPr>
              <w:pStyle w:val="Tabletext"/>
              <w:rPr>
                <w:b w:val="0"/>
                <w:bCs w:val="0"/>
                <w:sz w:val="20"/>
                <w:szCs w:val="20"/>
              </w:rPr>
            </w:pPr>
            <w:r w:rsidRPr="0082461D">
              <w:rPr>
                <w:rFonts w:eastAsia="Times New Roman" w:cs="Times New Roman"/>
                <w:noProof/>
                <w:color w:val="4F81BD" w:themeColor="accent1"/>
                <w:sz w:val="20"/>
                <w:szCs w:val="20"/>
                <w:lang w:eastAsia="zh-CN"/>
              </w:rPr>
              <w:t>I.3-a</w:t>
            </w:r>
            <w:r w:rsidR="00F132DB" w:rsidRPr="0082461D">
              <w:rPr>
                <w:noProof/>
                <w:color w:val="4F81BD" w:themeColor="accent1"/>
                <w:sz w:val="20"/>
                <w:lang w:eastAsia="zh-CN"/>
              </w:rPr>
              <w:t>:</w:t>
            </w:r>
            <w:r w:rsidRPr="0082461D">
              <w:rPr>
                <w:b w:val="0"/>
                <w:bCs w:val="0"/>
                <w:sz w:val="20"/>
                <w:szCs w:val="20"/>
              </w:rPr>
              <w:t xml:space="preserve"> Disponibilité accrue d'équipements, de services et d'applications de télécommunication/TIC conformes aux principes de conception universelle</w:t>
            </w:r>
          </w:p>
        </w:tc>
        <w:tc>
          <w:tcPr>
            <w:tcW w:w="7513" w:type="dxa"/>
          </w:tcPr>
          <w:p w:rsidR="00482BB1" w:rsidRPr="0082461D" w:rsidRDefault="003556C2" w:rsidP="0003158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Nombre d</w:t>
            </w:r>
            <w:r w:rsidR="00AB308D">
              <w:rPr>
                <w:sz w:val="20"/>
                <w:szCs w:val="20"/>
              </w:rPr>
              <w:t>e publications techniques dans l</w:t>
            </w:r>
            <w:r w:rsidRPr="0082461D">
              <w:rPr>
                <w:sz w:val="20"/>
                <w:szCs w:val="20"/>
              </w:rPr>
              <w:t xml:space="preserve">esquelles figurent des éléments </w:t>
            </w:r>
            <w:r w:rsidR="00031587" w:rsidRPr="0082461D">
              <w:rPr>
                <w:sz w:val="20"/>
                <w:szCs w:val="20"/>
              </w:rPr>
              <w:t xml:space="preserve">essentiels </w:t>
            </w:r>
            <w:r w:rsidRPr="0082461D">
              <w:rPr>
                <w:sz w:val="20"/>
                <w:szCs w:val="20"/>
              </w:rPr>
              <w:t>pour l'accessibilité des TIC</w:t>
            </w:r>
          </w:p>
          <w:p w:rsidR="00FD2727" w:rsidRPr="0082461D" w:rsidRDefault="00FD2727" w:rsidP="001D547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Nombre d'équipements, de services et d'applications TIC conformes aux principes de conception universelle</w:t>
            </w:r>
          </w:p>
        </w:tc>
        <w:tc>
          <w:tcPr>
            <w:tcW w:w="2551" w:type="dxa"/>
            <w:vMerge w:val="restart"/>
          </w:tcPr>
          <w:p w:rsidR="00482BB1" w:rsidRPr="0082461D" w:rsidRDefault="003556C2" w:rsidP="00031587">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Données de l'UIT</w:t>
            </w:r>
          </w:p>
        </w:tc>
      </w:tr>
      <w:tr w:rsidR="00FD2727" w:rsidRPr="0082461D" w:rsidTr="00F132DB">
        <w:trPr>
          <w:trHeight w:val="567"/>
        </w:trPr>
        <w:tc>
          <w:tcPr>
            <w:cnfStyle w:val="001000000000" w:firstRow="0" w:lastRow="0" w:firstColumn="1" w:lastColumn="0" w:oddVBand="0" w:evenVBand="0" w:oddHBand="0" w:evenHBand="0" w:firstRowFirstColumn="0" w:firstRowLastColumn="0" w:lastRowFirstColumn="0" w:lastRowLastColumn="0"/>
            <w:tcW w:w="4106" w:type="dxa"/>
          </w:tcPr>
          <w:p w:rsidR="00FD2727" w:rsidRPr="0082461D" w:rsidRDefault="00FD2727" w:rsidP="001D547C">
            <w:pPr>
              <w:pStyle w:val="Tabletext"/>
              <w:rPr>
                <w:noProof/>
                <w:color w:val="4F81BD" w:themeColor="accent1"/>
                <w:sz w:val="20"/>
                <w:lang w:eastAsia="zh-CN"/>
              </w:rPr>
            </w:pPr>
            <w:r w:rsidRPr="0082461D">
              <w:rPr>
                <w:rFonts w:eastAsia="Times New Roman" w:cs="Times New Roman"/>
                <w:noProof/>
                <w:color w:val="4F81BD" w:themeColor="accent1"/>
                <w:sz w:val="20"/>
                <w:szCs w:val="20"/>
                <w:lang w:eastAsia="zh-CN"/>
              </w:rPr>
              <w:t>I.3-b</w:t>
            </w:r>
            <w:r w:rsidRPr="0082461D">
              <w:rPr>
                <w:noProof/>
                <w:color w:val="4F81BD" w:themeColor="accent1"/>
                <w:sz w:val="20"/>
                <w:lang w:eastAsia="zh-CN"/>
              </w:rPr>
              <w:t>:</w:t>
            </w:r>
            <w:r w:rsidRPr="0082461D">
              <w:rPr>
                <w:noProof/>
                <w:color w:val="4F81BD" w:themeColor="accent1"/>
                <w:sz w:val="20"/>
                <w:lang w:eastAsia="zh-CN"/>
              </w:rPr>
              <w:tab/>
            </w:r>
            <w:r w:rsidRPr="0082461D">
              <w:rPr>
                <w:b w:val="0"/>
                <w:bCs w:val="0"/>
                <w:noProof/>
                <w:sz w:val="20"/>
                <w:lang w:eastAsia="zh-CN"/>
              </w:rPr>
              <w:t>Renforcement de la participation des organisations de personnes handicapées et de personnes ayant des besoins particuliers aux travaux de l'Union</w:t>
            </w:r>
          </w:p>
        </w:tc>
        <w:tc>
          <w:tcPr>
            <w:tcW w:w="7513" w:type="dxa"/>
          </w:tcPr>
          <w:p w:rsidR="00FD2727" w:rsidRPr="0082461D" w:rsidRDefault="00FD2727" w:rsidP="001D547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Nombre de réunions offrant des services d'interprétation en langue des signes, de sous-titrage, etc.</w:t>
            </w:r>
          </w:p>
        </w:tc>
        <w:tc>
          <w:tcPr>
            <w:tcW w:w="2551" w:type="dxa"/>
            <w:vMerge/>
          </w:tcPr>
          <w:p w:rsidR="00FD2727" w:rsidRPr="0082461D" w:rsidRDefault="00FD2727" w:rsidP="00031587">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D2727" w:rsidRPr="0082461D" w:rsidTr="00F132DB">
        <w:trPr>
          <w:trHeight w:val="567"/>
        </w:trPr>
        <w:tc>
          <w:tcPr>
            <w:cnfStyle w:val="001000000000" w:firstRow="0" w:lastRow="0" w:firstColumn="1" w:lastColumn="0" w:oddVBand="0" w:evenVBand="0" w:oddHBand="0" w:evenHBand="0" w:firstRowFirstColumn="0" w:firstRowLastColumn="0" w:lastRowFirstColumn="0" w:lastRowLastColumn="0"/>
            <w:tcW w:w="4106" w:type="dxa"/>
          </w:tcPr>
          <w:p w:rsidR="00FD2727" w:rsidRPr="0082461D" w:rsidRDefault="00FD2727" w:rsidP="001D547C">
            <w:pPr>
              <w:pStyle w:val="Tabletext"/>
              <w:rPr>
                <w:noProof/>
                <w:color w:val="4F81BD" w:themeColor="accent1"/>
                <w:sz w:val="20"/>
                <w:lang w:eastAsia="zh-CN"/>
              </w:rPr>
            </w:pPr>
            <w:r w:rsidRPr="0082461D">
              <w:rPr>
                <w:rFonts w:eastAsia="Times New Roman" w:cs="Times New Roman"/>
                <w:noProof/>
                <w:color w:val="4F81BD" w:themeColor="accent1"/>
                <w:sz w:val="20"/>
                <w:szCs w:val="20"/>
                <w:lang w:eastAsia="zh-CN"/>
              </w:rPr>
              <w:t>I.3-c:</w:t>
            </w:r>
            <w:r w:rsidRPr="0082461D">
              <w:rPr>
                <w:rFonts w:eastAsia="Times New Roman" w:cs="Times New Roman"/>
                <w:noProof/>
                <w:color w:val="4F81BD" w:themeColor="accent1"/>
                <w:sz w:val="20"/>
                <w:szCs w:val="20"/>
                <w:lang w:eastAsia="zh-CN"/>
              </w:rPr>
              <w:tab/>
            </w:r>
            <w:r w:rsidRPr="0082461D">
              <w:rPr>
                <w:rFonts w:eastAsia="Times New Roman" w:cs="Times New Roman"/>
                <w:b w:val="0"/>
                <w:bCs w:val="0"/>
                <w:noProof/>
                <w:sz w:val="20"/>
                <w:szCs w:val="20"/>
                <w:lang w:eastAsia="zh-CN"/>
              </w:rPr>
              <w:t>Sensibilisation accrue, y compris par une reconnaissance multilatérale et intergouvernementale, à la nécessité d'améliorer l'accès aux télécommunications/TIC pour les personnes handicapées et pour les personnes ayant des besoins particuliers</w:t>
            </w:r>
          </w:p>
        </w:tc>
        <w:tc>
          <w:tcPr>
            <w:tcW w:w="7513" w:type="dxa"/>
          </w:tcPr>
          <w:p w:rsidR="00FD2727" w:rsidRPr="0082461D" w:rsidRDefault="00FD2727" w:rsidP="001D547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Nombre de pays dotés de politiques en matière d'accessibilité</w:t>
            </w:r>
          </w:p>
        </w:tc>
        <w:tc>
          <w:tcPr>
            <w:tcW w:w="2551" w:type="dxa"/>
          </w:tcPr>
          <w:p w:rsidR="00FD2727" w:rsidRPr="0082461D" w:rsidRDefault="00FD2727" w:rsidP="00031587">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Enquête de l'UIT sur la réglementation</w:t>
            </w:r>
          </w:p>
        </w:tc>
      </w:tr>
    </w:tbl>
    <w:p w:rsidR="00482BB1" w:rsidRPr="0082461D" w:rsidRDefault="00482BB1" w:rsidP="001D547C"/>
    <w:tbl>
      <w:tblPr>
        <w:tblStyle w:val="GridTable4-Accent115"/>
        <w:tblW w:w="14170" w:type="dxa"/>
        <w:tblLayout w:type="fixed"/>
        <w:tblLook w:val="06A0" w:firstRow="1" w:lastRow="0" w:firstColumn="1" w:lastColumn="0" w:noHBand="1" w:noVBand="1"/>
      </w:tblPr>
      <w:tblGrid>
        <w:gridCol w:w="5807"/>
        <w:gridCol w:w="1985"/>
        <w:gridCol w:w="2126"/>
        <w:gridCol w:w="2126"/>
        <w:gridCol w:w="2126"/>
      </w:tblGrid>
      <w:tr w:rsidR="00482BB1" w:rsidRPr="0082461D" w:rsidTr="007D23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vAlign w:val="center"/>
          </w:tcPr>
          <w:p w:rsidR="00482BB1" w:rsidRPr="0082461D" w:rsidRDefault="00482BB1" w:rsidP="001D547C">
            <w:pPr>
              <w:pStyle w:val="Tablehead"/>
              <w:rPr>
                <w:b/>
                <w:bCs w:val="0"/>
                <w:sz w:val="20"/>
                <w:szCs w:val="20"/>
              </w:rPr>
            </w:pPr>
            <w:r w:rsidRPr="0082461D">
              <w:rPr>
                <w:b/>
                <w:bCs w:val="0"/>
                <w:sz w:val="20"/>
                <w:szCs w:val="20"/>
              </w:rPr>
              <w:t>Produit</w:t>
            </w:r>
          </w:p>
        </w:tc>
        <w:tc>
          <w:tcPr>
            <w:tcW w:w="8363" w:type="dxa"/>
            <w:gridSpan w:val="4"/>
            <w:vAlign w:val="center"/>
          </w:tcPr>
          <w:p w:rsidR="00482BB1" w:rsidRPr="0082461D" w:rsidRDefault="00482BB1" w:rsidP="001D547C">
            <w:pPr>
              <w:pStyle w:val="Tablehead"/>
              <w:cnfStyle w:val="100000000000" w:firstRow="1" w:lastRow="0" w:firstColumn="0" w:lastColumn="0" w:oddVBand="0" w:evenVBand="0" w:oddHBand="0" w:evenHBand="0" w:firstRowFirstColumn="0" w:firstRowLastColumn="0" w:lastRowFirstColumn="0" w:lastRowLastColumn="0"/>
              <w:rPr>
                <w:b/>
                <w:bCs w:val="0"/>
                <w:sz w:val="20"/>
              </w:rPr>
            </w:pPr>
            <w:r w:rsidRPr="0082461D">
              <w:rPr>
                <w:b/>
                <w:bCs w:val="0"/>
                <w:sz w:val="20"/>
                <w:szCs w:val="20"/>
              </w:rPr>
              <w:t>Ressources financières (en CHF)</w:t>
            </w:r>
          </w:p>
        </w:tc>
      </w:tr>
      <w:tr w:rsidR="00482BB1"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482BB1" w:rsidRPr="0082461D" w:rsidRDefault="00482BB1" w:rsidP="001D547C">
            <w:pPr>
              <w:pStyle w:val="Tabletext"/>
              <w:rPr>
                <w:noProof/>
                <w:color w:val="4F81BD" w:themeColor="accent1"/>
                <w:sz w:val="20"/>
                <w:lang w:eastAsia="zh-CN"/>
              </w:rPr>
            </w:pPr>
          </w:p>
        </w:tc>
        <w:tc>
          <w:tcPr>
            <w:tcW w:w="1985" w:type="dxa"/>
          </w:tcPr>
          <w:p w:rsidR="00482BB1" w:rsidRPr="0082461D" w:rsidRDefault="00482BB1"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2020</w:t>
            </w:r>
          </w:p>
        </w:tc>
        <w:tc>
          <w:tcPr>
            <w:tcW w:w="2126" w:type="dxa"/>
          </w:tcPr>
          <w:p w:rsidR="00482BB1" w:rsidRPr="0082461D" w:rsidRDefault="00482BB1"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2021</w:t>
            </w:r>
          </w:p>
        </w:tc>
        <w:tc>
          <w:tcPr>
            <w:tcW w:w="2126" w:type="dxa"/>
          </w:tcPr>
          <w:p w:rsidR="00482BB1" w:rsidRPr="0082461D" w:rsidRDefault="00482BB1"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2022</w:t>
            </w:r>
          </w:p>
        </w:tc>
        <w:tc>
          <w:tcPr>
            <w:tcW w:w="2126" w:type="dxa"/>
          </w:tcPr>
          <w:p w:rsidR="00482BB1" w:rsidRPr="0082461D" w:rsidRDefault="00482BB1"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2023</w:t>
            </w:r>
          </w:p>
        </w:tc>
      </w:tr>
      <w:tr w:rsidR="00031F44"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031F44" w:rsidRPr="0082461D" w:rsidRDefault="00031F44" w:rsidP="001D547C">
            <w:pPr>
              <w:pStyle w:val="Tabletext"/>
              <w:rPr>
                <w:b w:val="0"/>
                <w:bCs w:val="0"/>
                <w:sz w:val="20"/>
                <w:szCs w:val="20"/>
              </w:rPr>
            </w:pPr>
            <w:r w:rsidRPr="0082461D">
              <w:rPr>
                <w:rFonts w:eastAsia="Times New Roman" w:cs="Times New Roman"/>
                <w:noProof/>
                <w:color w:val="4F81BD" w:themeColor="accent1"/>
                <w:sz w:val="20"/>
                <w:szCs w:val="20"/>
                <w:lang w:eastAsia="zh-CN"/>
              </w:rPr>
              <w:t>I.3-1</w:t>
            </w:r>
            <w:r w:rsidRPr="0082461D">
              <w:rPr>
                <w:b w:val="0"/>
                <w:bCs w:val="0"/>
                <w:sz w:val="20"/>
                <w:szCs w:val="20"/>
              </w:rPr>
              <w:t>: Rapports, lignes directrices, normes et récapitulatifs concernant l'accessibilité des télécommunications/TIC</w:t>
            </w:r>
          </w:p>
        </w:tc>
        <w:tc>
          <w:tcPr>
            <w:tcW w:w="1985"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226 455</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226 456</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227 249</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225 329</w:t>
            </w:r>
          </w:p>
        </w:tc>
      </w:tr>
      <w:tr w:rsidR="00031F44"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031F44" w:rsidRPr="0082461D" w:rsidRDefault="00031F44" w:rsidP="001D547C">
            <w:pPr>
              <w:pStyle w:val="Tabletext"/>
              <w:rPr>
                <w:b w:val="0"/>
                <w:bCs w:val="0"/>
                <w:sz w:val="20"/>
                <w:szCs w:val="20"/>
              </w:rPr>
            </w:pPr>
            <w:r w:rsidRPr="0082461D">
              <w:rPr>
                <w:rFonts w:eastAsia="Times New Roman" w:cs="Times New Roman"/>
                <w:noProof/>
                <w:color w:val="4F81BD" w:themeColor="accent1"/>
                <w:sz w:val="20"/>
                <w:szCs w:val="20"/>
                <w:lang w:eastAsia="zh-CN"/>
              </w:rPr>
              <w:t>I.3-2</w:t>
            </w:r>
            <w:r w:rsidRPr="0082461D">
              <w:rPr>
                <w:b w:val="0"/>
                <w:bCs w:val="0"/>
                <w:sz w:val="20"/>
                <w:szCs w:val="20"/>
              </w:rPr>
              <w:t>: Mobilisation de ressources et de compétences techniques, par exemple, en encourageant une participation accrue des personnes handicapées et des personnes ayant des besoins particuliers aux réunions internationales et régionales</w:t>
            </w:r>
          </w:p>
        </w:tc>
        <w:tc>
          <w:tcPr>
            <w:tcW w:w="1985"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19 302</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19 302</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19 234</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19 079</w:t>
            </w:r>
          </w:p>
        </w:tc>
      </w:tr>
      <w:tr w:rsidR="00031F44"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031F44" w:rsidRPr="0082461D" w:rsidRDefault="00031F44" w:rsidP="001D547C">
            <w:pPr>
              <w:pStyle w:val="Tabletext"/>
              <w:rPr>
                <w:b w:val="0"/>
                <w:bCs w:val="0"/>
                <w:sz w:val="20"/>
                <w:szCs w:val="20"/>
              </w:rPr>
            </w:pPr>
            <w:r w:rsidRPr="0082461D">
              <w:rPr>
                <w:rFonts w:eastAsia="Times New Roman" w:cs="Times New Roman"/>
                <w:noProof/>
                <w:color w:val="4F81BD" w:themeColor="accent1"/>
                <w:sz w:val="20"/>
                <w:szCs w:val="20"/>
                <w:lang w:eastAsia="zh-CN"/>
              </w:rPr>
              <w:t>I.3-3</w:t>
            </w:r>
            <w:r w:rsidRPr="0082461D">
              <w:rPr>
                <w:b w:val="0"/>
                <w:bCs w:val="0"/>
                <w:sz w:val="20"/>
                <w:szCs w:val="20"/>
              </w:rPr>
              <w:t xml:space="preserve">: Poursuite de l'amélioration et de la mise en </w:t>
            </w:r>
            <w:r w:rsidR="00C63117">
              <w:rPr>
                <w:b w:val="0"/>
                <w:bCs w:val="0"/>
                <w:sz w:val="20"/>
                <w:szCs w:val="20"/>
              </w:rPr>
              <w:t>œ</w:t>
            </w:r>
            <w:r w:rsidRPr="0082461D">
              <w:rPr>
                <w:b w:val="0"/>
                <w:bCs w:val="0"/>
                <w:sz w:val="20"/>
                <w:szCs w:val="20"/>
              </w:rPr>
              <w:t>uvre de la politique de l'UIT en matière d'accessibilité et des plans connexes</w:t>
            </w:r>
          </w:p>
        </w:tc>
        <w:tc>
          <w:tcPr>
            <w:tcW w:w="1985"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19 302</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19 302</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50 791</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49 999</w:t>
            </w:r>
          </w:p>
        </w:tc>
      </w:tr>
      <w:tr w:rsidR="00031F44"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031F44" w:rsidRPr="0082461D" w:rsidRDefault="00031F44" w:rsidP="001D547C">
            <w:pPr>
              <w:pStyle w:val="Tabletext"/>
              <w:rPr>
                <w:noProof/>
                <w:color w:val="4F81BD" w:themeColor="accent1"/>
                <w:sz w:val="20"/>
                <w:lang w:eastAsia="zh-CN"/>
              </w:rPr>
            </w:pPr>
            <w:r w:rsidRPr="0082461D">
              <w:rPr>
                <w:rFonts w:eastAsia="Times New Roman" w:cs="Times New Roman"/>
                <w:noProof/>
                <w:color w:val="4F81BD" w:themeColor="accent1"/>
                <w:sz w:val="20"/>
                <w:szCs w:val="20"/>
                <w:lang w:eastAsia="zh-CN"/>
              </w:rPr>
              <w:t>I.3-4</w:t>
            </w:r>
            <w:r w:rsidRPr="0082461D">
              <w:rPr>
                <w:b w:val="0"/>
                <w:bCs w:val="0"/>
                <w:sz w:val="20"/>
                <w:szCs w:val="20"/>
              </w:rPr>
              <w:t>: Campagnes de sensibilisation, tant au niveau des Nations Unies qu'aux niveaux régional et national</w:t>
            </w:r>
          </w:p>
        </w:tc>
        <w:tc>
          <w:tcPr>
            <w:tcW w:w="1985"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44 302</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44 302</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44 234</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44 079</w:t>
            </w:r>
          </w:p>
        </w:tc>
      </w:tr>
      <w:tr w:rsidR="00031F44"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031F44" w:rsidRPr="0082461D" w:rsidRDefault="00031F44" w:rsidP="001D547C">
            <w:pPr>
              <w:pStyle w:val="Tabletext"/>
              <w:rPr>
                <w:noProof/>
                <w:color w:val="4F81BD" w:themeColor="accent1"/>
                <w:sz w:val="20"/>
                <w:lang w:eastAsia="zh-CN"/>
              </w:rPr>
            </w:pPr>
            <w:r w:rsidRPr="0082461D">
              <w:rPr>
                <w:noProof/>
                <w:color w:val="4F81BD" w:themeColor="accent1"/>
                <w:sz w:val="20"/>
                <w:lang w:eastAsia="zh-CN"/>
              </w:rPr>
              <w:t>Total pou</w:t>
            </w:r>
            <w:r w:rsidR="003556C2" w:rsidRPr="0082461D">
              <w:rPr>
                <w:noProof/>
                <w:color w:val="4F81BD" w:themeColor="accent1"/>
                <w:sz w:val="20"/>
                <w:lang w:eastAsia="zh-CN"/>
              </w:rPr>
              <w:t>r</w:t>
            </w:r>
            <w:r w:rsidRPr="0082461D">
              <w:rPr>
                <w:noProof/>
                <w:color w:val="4F81BD" w:themeColor="accent1"/>
                <w:sz w:val="20"/>
                <w:lang w:eastAsia="zh-CN"/>
              </w:rPr>
              <w:t xml:space="preserve"> l'Objectif I.3</w:t>
            </w:r>
          </w:p>
        </w:tc>
        <w:tc>
          <w:tcPr>
            <w:tcW w:w="1985"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309 363</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309 362</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341 508</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338 486</w:t>
            </w:r>
          </w:p>
        </w:tc>
      </w:tr>
    </w:tbl>
    <w:p w:rsidR="0074228F" w:rsidRPr="0082461D" w:rsidRDefault="0074228F" w:rsidP="001D547C">
      <w:pPr>
        <w:spacing w:after="120"/>
      </w:pPr>
      <w:r w:rsidRPr="0082461D">
        <w:lastRenderedPageBreak/>
        <w:t>I.4</w:t>
      </w:r>
      <w:r w:rsidRPr="0082461D">
        <w:tab/>
        <w:t>Renforcer l'utilisation des télécommunications/TIC au service de l'égalité hommes/femmes et de l'inclusion ainsi que de l'autonomisation des femmes et des jeunes filles</w:t>
      </w:r>
    </w:p>
    <w:tbl>
      <w:tblPr>
        <w:tblStyle w:val="GridTable4-Accent115"/>
        <w:tblW w:w="14170" w:type="dxa"/>
        <w:tblLayout w:type="fixed"/>
        <w:tblLook w:val="06A0" w:firstRow="1" w:lastRow="0" w:firstColumn="1" w:lastColumn="0" w:noHBand="1" w:noVBand="1"/>
      </w:tblPr>
      <w:tblGrid>
        <w:gridCol w:w="2830"/>
        <w:gridCol w:w="8647"/>
        <w:gridCol w:w="2693"/>
      </w:tblGrid>
      <w:tr w:rsidR="0074228F" w:rsidRPr="0082461D" w:rsidTr="007D23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rsidR="0074228F" w:rsidRPr="0082461D" w:rsidRDefault="0074228F" w:rsidP="001D547C">
            <w:pPr>
              <w:pStyle w:val="Tablehead"/>
              <w:rPr>
                <w:b/>
                <w:bCs w:val="0"/>
                <w:sz w:val="20"/>
                <w:szCs w:val="20"/>
              </w:rPr>
            </w:pPr>
            <w:r w:rsidRPr="0082461D">
              <w:rPr>
                <w:b/>
                <w:bCs w:val="0"/>
                <w:sz w:val="20"/>
                <w:szCs w:val="20"/>
              </w:rPr>
              <w:t>Résultat</w:t>
            </w:r>
          </w:p>
        </w:tc>
        <w:tc>
          <w:tcPr>
            <w:tcW w:w="8647" w:type="dxa"/>
            <w:vAlign w:val="center"/>
          </w:tcPr>
          <w:p w:rsidR="0074228F" w:rsidRPr="0082461D" w:rsidRDefault="0074228F"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Indicateur de résultat</w:t>
            </w:r>
          </w:p>
        </w:tc>
        <w:tc>
          <w:tcPr>
            <w:tcW w:w="2693" w:type="dxa"/>
            <w:vAlign w:val="center"/>
          </w:tcPr>
          <w:p w:rsidR="0074228F" w:rsidRPr="0082461D" w:rsidRDefault="0074228F"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Mesures d'atténuation</w:t>
            </w:r>
          </w:p>
        </w:tc>
      </w:tr>
      <w:tr w:rsidR="00532810"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532810" w:rsidRPr="0082461D" w:rsidRDefault="00532810" w:rsidP="001D547C">
            <w:pPr>
              <w:pStyle w:val="Tabletext"/>
              <w:rPr>
                <w:b w:val="0"/>
                <w:bCs w:val="0"/>
                <w:sz w:val="20"/>
                <w:szCs w:val="20"/>
              </w:rPr>
            </w:pPr>
            <w:r w:rsidRPr="0082461D">
              <w:rPr>
                <w:rFonts w:eastAsia="Times New Roman" w:cs="Times New Roman"/>
                <w:noProof/>
                <w:color w:val="4F81BD" w:themeColor="accent1"/>
                <w:sz w:val="20"/>
                <w:szCs w:val="20"/>
                <w:lang w:eastAsia="zh-CN"/>
              </w:rPr>
              <w:t>I.4-a</w:t>
            </w:r>
            <w:r w:rsidR="00F132DB" w:rsidRPr="0082461D">
              <w:rPr>
                <w:noProof/>
                <w:color w:val="4F81BD" w:themeColor="accent1"/>
                <w:sz w:val="20"/>
                <w:lang w:eastAsia="zh-CN"/>
              </w:rPr>
              <w:t>:</w:t>
            </w:r>
            <w:r w:rsidRPr="0082461D">
              <w:rPr>
                <w:b w:val="0"/>
                <w:bCs w:val="0"/>
                <w:sz w:val="20"/>
                <w:szCs w:val="20"/>
              </w:rPr>
              <w:t xml:space="preserve"> Renforcement de l'accès aux télécommunications/TIC et de leur utilisation pour promouvoir l'autonomisation des femmes</w:t>
            </w:r>
          </w:p>
        </w:tc>
        <w:tc>
          <w:tcPr>
            <w:tcW w:w="8647" w:type="dxa"/>
          </w:tcPr>
          <w:p w:rsidR="00532810" w:rsidRPr="0082461D" w:rsidRDefault="003556C2" w:rsidP="001D547C">
            <w:pPr>
              <w:pStyle w:val="TabletextAsianBodyCalibri"/>
              <w:cnfStyle w:val="000000000000" w:firstRow="0" w:lastRow="0" w:firstColumn="0" w:lastColumn="0" w:oddVBand="0" w:evenVBand="0" w:oddHBand="0" w:evenHBand="0" w:firstRowFirstColumn="0" w:firstRowLastColumn="0" w:lastRowFirstColumn="0" w:lastRowLastColumn="0"/>
              <w:rPr>
                <w:i/>
                <w:iCs/>
                <w:szCs w:val="20"/>
                <w:lang w:val="fr-CH"/>
              </w:rPr>
            </w:pPr>
            <w:r w:rsidRPr="0082461D">
              <w:rPr>
                <w:rFonts w:eastAsia="Times New Roman" w:cs="Times New Roman"/>
                <w:i/>
                <w:iCs/>
                <w:noProof/>
                <w:color w:val="4F81BD" w:themeColor="accent1"/>
                <w:szCs w:val="20"/>
                <w:lang w:val="fr-CH" w:eastAsia="zh-CN"/>
              </w:rPr>
              <w:t xml:space="preserve">Nouveau </w:t>
            </w:r>
            <w:r w:rsidR="00FD2727" w:rsidRPr="0082461D">
              <w:rPr>
                <w:rFonts w:eastAsia="Times New Roman" w:cs="Times New Roman"/>
                <w:i/>
                <w:iCs/>
                <w:noProof/>
                <w:color w:val="4F81BD" w:themeColor="accent1"/>
                <w:szCs w:val="20"/>
                <w:lang w:val="fr-CH" w:eastAsia="zh-CN"/>
              </w:rPr>
              <w:t>r</w:t>
            </w:r>
            <w:r w:rsidRPr="0082461D">
              <w:rPr>
                <w:rFonts w:eastAsia="Times New Roman" w:cs="Times New Roman"/>
                <w:i/>
                <w:iCs/>
                <w:noProof/>
                <w:color w:val="4F81BD" w:themeColor="accent1"/>
                <w:szCs w:val="20"/>
                <w:lang w:val="fr-CH" w:eastAsia="zh-CN"/>
              </w:rPr>
              <w:t>ésultat (Plan stratégique</w:t>
            </w:r>
            <w:r w:rsidR="00532810" w:rsidRPr="0082461D">
              <w:rPr>
                <w:rFonts w:eastAsia="Times New Roman" w:cs="Times New Roman"/>
                <w:i/>
                <w:iCs/>
                <w:noProof/>
                <w:color w:val="4F81BD" w:themeColor="accent1"/>
                <w:szCs w:val="20"/>
                <w:lang w:val="fr-CH" w:eastAsia="zh-CN"/>
              </w:rPr>
              <w:t xml:space="preserve"> </w:t>
            </w:r>
            <w:r w:rsidR="00031587" w:rsidRPr="0082461D">
              <w:rPr>
                <w:rFonts w:eastAsia="Times New Roman" w:cs="Times New Roman"/>
                <w:i/>
                <w:iCs/>
                <w:noProof/>
                <w:color w:val="4F81BD" w:themeColor="accent1"/>
                <w:szCs w:val="20"/>
                <w:lang w:val="fr-CH" w:eastAsia="zh-CN"/>
              </w:rPr>
              <w:t xml:space="preserve">pour la période </w:t>
            </w:r>
            <w:r w:rsidR="00532810" w:rsidRPr="0082461D">
              <w:rPr>
                <w:rFonts w:eastAsia="Times New Roman" w:cs="Times New Roman"/>
                <w:i/>
                <w:iCs/>
                <w:noProof/>
                <w:color w:val="4F81BD" w:themeColor="accent1"/>
                <w:szCs w:val="20"/>
                <w:lang w:val="fr-CH" w:eastAsia="zh-CN"/>
              </w:rPr>
              <w:t>2020-2023)</w:t>
            </w:r>
          </w:p>
          <w:p w:rsidR="00532810" w:rsidRPr="0082461D" w:rsidRDefault="003556C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Différence entre la proportion d'hommes et de femmes utilisant l'Internet</w:t>
            </w:r>
            <w:r w:rsidR="00532810" w:rsidRPr="0082461D">
              <w:rPr>
                <w:szCs w:val="20"/>
                <w:lang w:val="fr-CH"/>
              </w:rPr>
              <w:t xml:space="preserve"> </w:t>
            </w:r>
          </w:p>
          <w:p w:rsidR="00532810" w:rsidRPr="0082461D" w:rsidRDefault="003556C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Différence entre la proportion d'hommes et de femmes possédant un téléphone mobile</w:t>
            </w:r>
          </w:p>
        </w:tc>
        <w:tc>
          <w:tcPr>
            <w:tcW w:w="2693" w:type="dxa"/>
          </w:tcPr>
          <w:p w:rsidR="00532810" w:rsidRPr="0082461D" w:rsidRDefault="00532810" w:rsidP="001D547C">
            <w:pPr>
              <w:pStyle w:val="TabletextAsianBodyCalibri"/>
              <w:jc w:val="center"/>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BDT/</w:t>
            </w:r>
            <w:r w:rsidR="00FD2727" w:rsidRPr="0082461D">
              <w:rPr>
                <w:szCs w:val="20"/>
                <w:lang w:val="fr-CH"/>
              </w:rPr>
              <w:t>statistiques</w:t>
            </w:r>
          </w:p>
        </w:tc>
      </w:tr>
      <w:tr w:rsidR="00532810"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532810" w:rsidRPr="0082461D" w:rsidRDefault="00532810" w:rsidP="0082461D">
            <w:pPr>
              <w:pStyle w:val="Tabletext"/>
              <w:rPr>
                <w:noProof/>
                <w:color w:val="4F81BD" w:themeColor="accent1"/>
                <w:sz w:val="20"/>
                <w:lang w:eastAsia="zh-CN"/>
              </w:rPr>
            </w:pPr>
            <w:r w:rsidRPr="0082461D">
              <w:rPr>
                <w:rFonts w:eastAsia="Times New Roman" w:cs="Times New Roman"/>
                <w:noProof/>
                <w:color w:val="4F81BD" w:themeColor="accent1"/>
                <w:sz w:val="20"/>
                <w:szCs w:val="20"/>
                <w:lang w:eastAsia="zh-CN"/>
              </w:rPr>
              <w:t>I.4-b</w:t>
            </w:r>
            <w:r w:rsidRPr="0082461D">
              <w:rPr>
                <w:noProof/>
                <w:color w:val="4F81BD" w:themeColor="accent1"/>
                <w:sz w:val="20"/>
                <w:lang w:eastAsia="zh-CN"/>
              </w:rPr>
              <w:t>:</w:t>
            </w:r>
            <w:r w:rsidRPr="0082461D">
              <w:rPr>
                <w:noProof/>
                <w:color w:val="4F81BD" w:themeColor="accent1"/>
                <w:sz w:val="20"/>
                <w:lang w:eastAsia="zh-CN"/>
              </w:rPr>
              <w:tab/>
            </w:r>
            <w:r w:rsidRPr="0082461D">
              <w:rPr>
                <w:b w:val="0"/>
                <w:bCs w:val="0"/>
                <w:noProof/>
                <w:sz w:val="20"/>
                <w:lang w:eastAsia="zh-CN"/>
              </w:rPr>
              <w:t>Participation accrue des femmes à tous les niveaux du processus décisionnel dans le cadre des travaux de l'Union et du secteur des télécommunications/TIC</w:t>
            </w:r>
          </w:p>
        </w:tc>
        <w:tc>
          <w:tcPr>
            <w:tcW w:w="8647" w:type="dxa"/>
          </w:tcPr>
          <w:p w:rsidR="00532810" w:rsidRPr="0082461D" w:rsidRDefault="003556C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rFonts w:eastAsia="Times New Roman" w:cs="Times New Roman"/>
                <w:i/>
                <w:iCs/>
                <w:noProof/>
                <w:color w:val="4F81BD" w:themeColor="accent1"/>
                <w:szCs w:val="20"/>
                <w:lang w:val="fr-CH" w:eastAsia="zh-CN"/>
              </w:rPr>
              <w:t xml:space="preserve">Nouveau </w:t>
            </w:r>
            <w:r w:rsidR="00FD2727" w:rsidRPr="0082461D">
              <w:rPr>
                <w:rFonts w:eastAsia="Times New Roman" w:cs="Times New Roman"/>
                <w:i/>
                <w:iCs/>
                <w:noProof/>
                <w:color w:val="4F81BD" w:themeColor="accent1"/>
                <w:szCs w:val="20"/>
                <w:lang w:val="fr-CH" w:eastAsia="zh-CN"/>
              </w:rPr>
              <w:t>r</w:t>
            </w:r>
            <w:r w:rsidRPr="0082461D">
              <w:rPr>
                <w:rFonts w:eastAsia="Times New Roman" w:cs="Times New Roman"/>
                <w:i/>
                <w:iCs/>
                <w:noProof/>
                <w:color w:val="4F81BD" w:themeColor="accent1"/>
                <w:szCs w:val="20"/>
                <w:lang w:val="fr-CH" w:eastAsia="zh-CN"/>
              </w:rPr>
              <w:t>ésultat (Plan stratégique</w:t>
            </w:r>
            <w:r w:rsidR="00532810" w:rsidRPr="0082461D">
              <w:rPr>
                <w:rFonts w:eastAsia="Times New Roman" w:cs="Times New Roman"/>
                <w:i/>
                <w:iCs/>
                <w:noProof/>
                <w:color w:val="4F81BD" w:themeColor="accent1"/>
                <w:szCs w:val="20"/>
                <w:lang w:val="fr-CH" w:eastAsia="zh-CN"/>
              </w:rPr>
              <w:t xml:space="preserve"> </w:t>
            </w:r>
            <w:r w:rsidR="00031587" w:rsidRPr="0082461D">
              <w:rPr>
                <w:rFonts w:eastAsia="Times New Roman" w:cs="Times New Roman"/>
                <w:i/>
                <w:iCs/>
                <w:noProof/>
                <w:color w:val="4F81BD" w:themeColor="accent1"/>
                <w:szCs w:val="20"/>
                <w:lang w:val="fr-CH" w:eastAsia="zh-CN"/>
              </w:rPr>
              <w:t xml:space="preserve">pour la période </w:t>
            </w:r>
            <w:r w:rsidR="00532810" w:rsidRPr="0082461D">
              <w:rPr>
                <w:rFonts w:eastAsia="Times New Roman" w:cs="Times New Roman"/>
                <w:i/>
                <w:iCs/>
                <w:noProof/>
                <w:color w:val="4F81BD" w:themeColor="accent1"/>
                <w:szCs w:val="20"/>
                <w:lang w:val="fr-CH" w:eastAsia="zh-CN"/>
              </w:rPr>
              <w:t>2020-2023)</w:t>
            </w:r>
          </w:p>
          <w:p w:rsidR="00532810" w:rsidRPr="0082461D" w:rsidRDefault="003556C2" w:rsidP="00031587">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 xml:space="preserve">Nombre de femmes </w:t>
            </w:r>
            <w:r w:rsidR="00031587" w:rsidRPr="0082461D">
              <w:rPr>
                <w:szCs w:val="20"/>
                <w:lang w:val="fr-CH"/>
              </w:rPr>
              <w:t>participant aux</w:t>
            </w:r>
            <w:r w:rsidRPr="0082461D">
              <w:rPr>
                <w:szCs w:val="20"/>
                <w:lang w:val="fr-CH"/>
              </w:rPr>
              <w:t xml:space="preserve"> réunions de l'UIT</w:t>
            </w:r>
            <w:r w:rsidR="00A55FD2" w:rsidRPr="0082461D">
              <w:rPr>
                <w:szCs w:val="20"/>
                <w:lang w:val="fr-CH"/>
              </w:rPr>
              <w:t xml:space="preserve"> (</w:t>
            </w:r>
            <w:r w:rsidRPr="0082461D">
              <w:rPr>
                <w:szCs w:val="20"/>
                <w:lang w:val="fr-CH"/>
              </w:rPr>
              <w:t>total, présidentes, vice-présidentes</w:t>
            </w:r>
            <w:r w:rsidR="00A55FD2" w:rsidRPr="0082461D">
              <w:rPr>
                <w:szCs w:val="20"/>
                <w:lang w:val="fr-CH"/>
              </w:rPr>
              <w:t>)</w:t>
            </w:r>
            <w:r w:rsidRPr="0082461D">
              <w:rPr>
                <w:szCs w:val="20"/>
                <w:lang w:val="fr-CH"/>
              </w:rPr>
              <w:t xml:space="preserve">; </w:t>
            </w:r>
            <w:r w:rsidR="00031587" w:rsidRPr="0082461D">
              <w:rPr>
                <w:szCs w:val="20"/>
                <w:lang w:val="fr-CH"/>
              </w:rPr>
              <w:t>aux</w:t>
            </w:r>
            <w:r w:rsidR="00A220BA" w:rsidRPr="0082461D">
              <w:rPr>
                <w:szCs w:val="20"/>
                <w:lang w:val="fr-CH"/>
              </w:rPr>
              <w:t xml:space="preserve"> </w:t>
            </w:r>
            <w:r w:rsidRPr="0082461D">
              <w:rPr>
                <w:szCs w:val="20"/>
                <w:lang w:val="fr-CH"/>
              </w:rPr>
              <w:t xml:space="preserve">comités statutaires; </w:t>
            </w:r>
            <w:r w:rsidR="00031587" w:rsidRPr="0082461D">
              <w:rPr>
                <w:szCs w:val="20"/>
                <w:lang w:val="fr-CH"/>
              </w:rPr>
              <w:t>aux</w:t>
            </w:r>
            <w:r w:rsidR="00A220BA" w:rsidRPr="0082461D">
              <w:rPr>
                <w:szCs w:val="20"/>
                <w:lang w:val="fr-CH"/>
              </w:rPr>
              <w:t xml:space="preserve"> </w:t>
            </w:r>
            <w:r w:rsidRPr="0082461D">
              <w:rPr>
                <w:szCs w:val="20"/>
                <w:lang w:val="fr-CH"/>
              </w:rPr>
              <w:t xml:space="preserve">grandes manifestations; </w:t>
            </w:r>
            <w:r w:rsidR="00031587" w:rsidRPr="0082461D">
              <w:rPr>
                <w:szCs w:val="20"/>
                <w:lang w:val="fr-CH"/>
              </w:rPr>
              <w:t>à</w:t>
            </w:r>
            <w:r w:rsidR="00A220BA" w:rsidRPr="0082461D">
              <w:rPr>
                <w:szCs w:val="20"/>
                <w:lang w:val="fr-CH"/>
              </w:rPr>
              <w:t xml:space="preserve"> la </w:t>
            </w:r>
            <w:r w:rsidRPr="0082461D">
              <w:rPr>
                <w:szCs w:val="20"/>
                <w:lang w:val="fr-CH"/>
              </w:rPr>
              <w:t xml:space="preserve">PP et </w:t>
            </w:r>
            <w:r w:rsidR="00031587" w:rsidRPr="0082461D">
              <w:rPr>
                <w:szCs w:val="20"/>
                <w:lang w:val="fr-CH"/>
              </w:rPr>
              <w:t>a</w:t>
            </w:r>
            <w:r w:rsidR="00A220BA" w:rsidRPr="0082461D">
              <w:rPr>
                <w:szCs w:val="20"/>
                <w:lang w:val="fr-CH"/>
              </w:rPr>
              <w:t xml:space="preserve">u Conseil; et </w:t>
            </w:r>
            <w:r w:rsidR="00031587" w:rsidRPr="0082461D">
              <w:rPr>
                <w:szCs w:val="20"/>
                <w:lang w:val="fr-CH"/>
              </w:rPr>
              <w:t>présentes dans les</w:t>
            </w:r>
            <w:r w:rsidRPr="0082461D">
              <w:rPr>
                <w:szCs w:val="20"/>
                <w:lang w:val="fr-CH"/>
              </w:rPr>
              <w:t xml:space="preserve"> secteur</w:t>
            </w:r>
            <w:r w:rsidR="00031587" w:rsidRPr="0082461D">
              <w:rPr>
                <w:szCs w:val="20"/>
                <w:lang w:val="fr-CH"/>
              </w:rPr>
              <w:t>s</w:t>
            </w:r>
            <w:r w:rsidRPr="0082461D">
              <w:rPr>
                <w:szCs w:val="20"/>
                <w:lang w:val="fr-CH"/>
              </w:rPr>
              <w:t xml:space="preserve"> des TIC et de la connectivité</w:t>
            </w:r>
          </w:p>
        </w:tc>
        <w:tc>
          <w:tcPr>
            <w:tcW w:w="2693" w:type="dxa"/>
          </w:tcPr>
          <w:p w:rsidR="00532810" w:rsidRPr="0082461D" w:rsidRDefault="00A220BA" w:rsidP="001D547C">
            <w:pPr>
              <w:pStyle w:val="TabletextAsianBodyCalibri"/>
              <w:jc w:val="center"/>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SPM/</w:t>
            </w:r>
            <w:r w:rsidR="003556C2" w:rsidRPr="0082461D">
              <w:rPr>
                <w:szCs w:val="20"/>
                <w:lang w:val="fr-CH"/>
              </w:rPr>
              <w:t>données</w:t>
            </w:r>
          </w:p>
        </w:tc>
      </w:tr>
      <w:tr w:rsidR="00532810"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532810" w:rsidRPr="0082461D" w:rsidRDefault="00532810" w:rsidP="001D547C">
            <w:pPr>
              <w:pStyle w:val="Tabletext"/>
              <w:rPr>
                <w:noProof/>
                <w:color w:val="4F81BD" w:themeColor="accent1"/>
                <w:sz w:val="20"/>
                <w:lang w:eastAsia="zh-CN"/>
              </w:rPr>
            </w:pPr>
            <w:r w:rsidRPr="0082461D">
              <w:rPr>
                <w:rFonts w:eastAsia="Times New Roman" w:cs="Times New Roman"/>
                <w:noProof/>
                <w:color w:val="4F81BD" w:themeColor="accent1"/>
                <w:sz w:val="20"/>
                <w:szCs w:val="20"/>
                <w:lang w:eastAsia="zh-CN"/>
              </w:rPr>
              <w:t>I.4-c:</w:t>
            </w:r>
            <w:r w:rsidRPr="0082461D">
              <w:rPr>
                <w:rFonts w:eastAsia="Times New Roman" w:cs="Times New Roman"/>
                <w:noProof/>
                <w:color w:val="4F81BD" w:themeColor="accent1"/>
                <w:sz w:val="20"/>
                <w:szCs w:val="20"/>
                <w:lang w:eastAsia="zh-CN"/>
              </w:rPr>
              <w:tab/>
            </w:r>
            <w:r w:rsidRPr="0082461D">
              <w:rPr>
                <w:rFonts w:eastAsia="Times New Roman" w:cs="Times New Roman"/>
                <w:b w:val="0"/>
                <w:bCs w:val="0"/>
                <w:noProof/>
                <w:sz w:val="20"/>
                <w:szCs w:val="20"/>
                <w:lang w:eastAsia="zh-CN"/>
              </w:rPr>
              <w:t>Engagement accru auprès d'autres organisations du système des Nations Unies et parties prenantes s'occupant de l'utilisation des télécommunications/TIC pour promouvoir l'autonomisation des femmes</w:t>
            </w:r>
          </w:p>
        </w:tc>
        <w:tc>
          <w:tcPr>
            <w:tcW w:w="8647" w:type="dxa"/>
          </w:tcPr>
          <w:p w:rsidR="00532810" w:rsidRPr="0082461D" w:rsidRDefault="003556C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rFonts w:eastAsia="Times New Roman" w:cs="Times New Roman"/>
                <w:i/>
                <w:iCs/>
                <w:noProof/>
                <w:color w:val="4F81BD" w:themeColor="accent1"/>
                <w:szCs w:val="20"/>
                <w:lang w:val="fr-CH" w:eastAsia="zh-CN"/>
              </w:rPr>
              <w:t xml:space="preserve">Nouveau </w:t>
            </w:r>
            <w:r w:rsidR="00FD2727" w:rsidRPr="0082461D">
              <w:rPr>
                <w:rFonts w:eastAsia="Times New Roman" w:cs="Times New Roman"/>
                <w:i/>
                <w:iCs/>
                <w:noProof/>
                <w:color w:val="4F81BD" w:themeColor="accent1"/>
                <w:szCs w:val="20"/>
                <w:lang w:val="fr-CH" w:eastAsia="zh-CN"/>
              </w:rPr>
              <w:t>r</w:t>
            </w:r>
            <w:r w:rsidRPr="0082461D">
              <w:rPr>
                <w:rFonts w:eastAsia="Times New Roman" w:cs="Times New Roman"/>
                <w:i/>
                <w:iCs/>
                <w:noProof/>
                <w:color w:val="4F81BD" w:themeColor="accent1"/>
                <w:szCs w:val="20"/>
                <w:lang w:val="fr-CH" w:eastAsia="zh-CN"/>
              </w:rPr>
              <w:t xml:space="preserve">ésultat (Plan stratégique </w:t>
            </w:r>
            <w:r w:rsidR="00031587" w:rsidRPr="0082461D">
              <w:rPr>
                <w:rFonts w:eastAsia="Times New Roman" w:cs="Times New Roman"/>
                <w:i/>
                <w:iCs/>
                <w:noProof/>
                <w:color w:val="4F81BD" w:themeColor="accent1"/>
                <w:szCs w:val="20"/>
                <w:lang w:val="fr-CH" w:eastAsia="zh-CN"/>
              </w:rPr>
              <w:t xml:space="preserve">pour la période </w:t>
            </w:r>
            <w:r w:rsidR="00532810" w:rsidRPr="0082461D">
              <w:rPr>
                <w:rFonts w:eastAsia="Times New Roman" w:cs="Times New Roman"/>
                <w:i/>
                <w:iCs/>
                <w:noProof/>
                <w:color w:val="4F81BD" w:themeColor="accent1"/>
                <w:szCs w:val="20"/>
                <w:lang w:val="fr-CH" w:eastAsia="zh-CN"/>
              </w:rPr>
              <w:t>2020-2023)</w:t>
            </w:r>
          </w:p>
          <w:p w:rsidR="00532810" w:rsidRPr="0082461D" w:rsidRDefault="00A55FD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Nombre de partenariats, manifestations, publications</w:t>
            </w:r>
            <w:r w:rsidR="00532810" w:rsidRPr="0082461D">
              <w:rPr>
                <w:szCs w:val="20"/>
                <w:lang w:val="fr-CH"/>
              </w:rPr>
              <w:t xml:space="preserve"> (</w:t>
            </w:r>
            <w:r w:rsidRPr="0082461D">
              <w:rPr>
                <w:szCs w:val="20"/>
                <w:lang w:val="fr-CH"/>
              </w:rPr>
              <w:t xml:space="preserve">par exemple dans le cadre </w:t>
            </w:r>
            <w:r w:rsidR="00A220BA" w:rsidRPr="0082461D">
              <w:rPr>
                <w:szCs w:val="20"/>
                <w:lang w:val="fr-CH"/>
              </w:rPr>
              <w:t>du partenariat</w:t>
            </w:r>
            <w:r w:rsidRPr="0082461D">
              <w:rPr>
                <w:szCs w:val="20"/>
                <w:lang w:val="fr-CH"/>
              </w:rPr>
              <w:t xml:space="preserve"> EQUALS; de la Commission sur le large bande</w:t>
            </w:r>
            <w:r w:rsidR="00532810" w:rsidRPr="0082461D">
              <w:rPr>
                <w:szCs w:val="20"/>
                <w:lang w:val="fr-CH"/>
              </w:rPr>
              <w:t>)</w:t>
            </w:r>
          </w:p>
        </w:tc>
        <w:tc>
          <w:tcPr>
            <w:tcW w:w="2693" w:type="dxa"/>
          </w:tcPr>
          <w:p w:rsidR="00532810" w:rsidRPr="0082461D" w:rsidRDefault="00A55FD2" w:rsidP="001D547C">
            <w:pPr>
              <w:pStyle w:val="TabletextAsianBodyCalibri"/>
              <w:jc w:val="center"/>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Données concernant le</w:t>
            </w:r>
            <w:r w:rsidR="00A220BA" w:rsidRPr="0082461D">
              <w:rPr>
                <w:szCs w:val="20"/>
                <w:lang w:val="fr-CH"/>
              </w:rPr>
              <w:t xml:space="preserve"> partenariat</w:t>
            </w:r>
            <w:r w:rsidRPr="0082461D">
              <w:rPr>
                <w:szCs w:val="20"/>
                <w:lang w:val="fr-CH"/>
              </w:rPr>
              <w:t xml:space="preserve"> </w:t>
            </w:r>
            <w:r w:rsidR="00532810" w:rsidRPr="0082461D">
              <w:rPr>
                <w:szCs w:val="20"/>
                <w:lang w:val="fr-CH"/>
              </w:rPr>
              <w:t xml:space="preserve">EQUALS </w:t>
            </w:r>
            <w:r w:rsidRPr="0082461D">
              <w:rPr>
                <w:szCs w:val="20"/>
                <w:lang w:val="fr-CH"/>
              </w:rPr>
              <w:t>et</w:t>
            </w:r>
            <w:r w:rsidR="00532810" w:rsidRPr="0082461D">
              <w:rPr>
                <w:szCs w:val="20"/>
                <w:lang w:val="fr-CH"/>
              </w:rPr>
              <w:t xml:space="preserve"> </w:t>
            </w:r>
            <w:r w:rsidR="00304C80">
              <w:rPr>
                <w:szCs w:val="20"/>
                <w:lang w:val="fr-CH"/>
              </w:rPr>
              <w:t>la </w:t>
            </w:r>
            <w:r w:rsidRPr="0082461D">
              <w:rPr>
                <w:szCs w:val="20"/>
                <w:lang w:val="fr-CH"/>
              </w:rPr>
              <w:t xml:space="preserve">Commission sur </w:t>
            </w:r>
            <w:r w:rsidR="00304C80">
              <w:rPr>
                <w:szCs w:val="20"/>
                <w:lang w:val="fr-CH"/>
              </w:rPr>
              <w:br/>
            </w:r>
            <w:r w:rsidRPr="0082461D">
              <w:rPr>
                <w:szCs w:val="20"/>
                <w:lang w:val="fr-CH"/>
              </w:rPr>
              <w:t>le large bande</w:t>
            </w:r>
          </w:p>
        </w:tc>
      </w:tr>
      <w:tr w:rsidR="00532810"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532810" w:rsidRPr="0082461D" w:rsidRDefault="00532810" w:rsidP="001D547C">
            <w:pPr>
              <w:pStyle w:val="Tabletext"/>
              <w:keepNext/>
              <w:keepLines/>
              <w:rPr>
                <w:noProof/>
                <w:color w:val="4F81BD" w:themeColor="accent1"/>
                <w:sz w:val="20"/>
                <w:lang w:eastAsia="zh-CN"/>
              </w:rPr>
            </w:pPr>
            <w:r w:rsidRPr="0082461D">
              <w:rPr>
                <w:rFonts w:eastAsia="Times New Roman" w:cs="Times New Roman"/>
                <w:noProof/>
                <w:color w:val="4F81BD" w:themeColor="accent1"/>
                <w:sz w:val="20"/>
                <w:szCs w:val="20"/>
                <w:lang w:eastAsia="zh-CN"/>
              </w:rPr>
              <w:t>I.4-d:</w:t>
            </w:r>
            <w:r w:rsidRPr="0082461D">
              <w:rPr>
                <w:rFonts w:eastAsia="Times New Roman" w:cs="Times New Roman"/>
                <w:noProof/>
                <w:color w:val="4F81BD" w:themeColor="accent1"/>
                <w:sz w:val="20"/>
                <w:szCs w:val="20"/>
                <w:lang w:eastAsia="zh-CN"/>
              </w:rPr>
              <w:tab/>
            </w:r>
            <w:r w:rsidRPr="0082461D">
              <w:rPr>
                <w:rFonts w:eastAsia="Times New Roman" w:cs="Times New Roman"/>
                <w:b w:val="0"/>
                <w:bCs w:val="0"/>
                <w:noProof/>
                <w:sz w:val="20"/>
                <w:szCs w:val="20"/>
                <w:lang w:eastAsia="zh-CN"/>
              </w:rPr>
              <w:t>Mise en œuvre complète, dans le cadre des attributions de l'UIT, de la stratégie sur la parité hommes/femmes applicable à l'ensemble du système des Nations Unies</w:t>
            </w:r>
          </w:p>
        </w:tc>
        <w:tc>
          <w:tcPr>
            <w:tcW w:w="8647" w:type="dxa"/>
          </w:tcPr>
          <w:p w:rsidR="00532810" w:rsidRPr="0082461D" w:rsidRDefault="00A55FD2" w:rsidP="001D547C">
            <w:pPr>
              <w:pStyle w:val="TabletextAsianBodyCalibri"/>
              <w:keepNext/>
              <w:keepLines/>
              <w:cnfStyle w:val="000000000000" w:firstRow="0" w:lastRow="0" w:firstColumn="0" w:lastColumn="0" w:oddVBand="0" w:evenVBand="0" w:oddHBand="0" w:evenHBand="0" w:firstRowFirstColumn="0" w:firstRowLastColumn="0" w:lastRowFirstColumn="0" w:lastRowLastColumn="0"/>
              <w:rPr>
                <w:szCs w:val="20"/>
                <w:lang w:val="fr-CH"/>
              </w:rPr>
            </w:pPr>
            <w:r w:rsidRPr="0082461D">
              <w:rPr>
                <w:rFonts w:eastAsia="Times New Roman" w:cs="Times New Roman"/>
                <w:i/>
                <w:iCs/>
                <w:noProof/>
                <w:color w:val="4F81BD" w:themeColor="accent1"/>
                <w:szCs w:val="20"/>
                <w:lang w:val="fr-CH" w:eastAsia="zh-CN"/>
              </w:rPr>
              <w:t xml:space="preserve">Nouveau </w:t>
            </w:r>
            <w:r w:rsidR="00FD2727" w:rsidRPr="0082461D">
              <w:rPr>
                <w:rFonts w:eastAsia="Times New Roman" w:cs="Times New Roman"/>
                <w:i/>
                <w:iCs/>
                <w:noProof/>
                <w:color w:val="4F81BD" w:themeColor="accent1"/>
                <w:szCs w:val="20"/>
                <w:lang w:val="fr-CH" w:eastAsia="zh-CN"/>
              </w:rPr>
              <w:t>r</w:t>
            </w:r>
            <w:r w:rsidRPr="0082461D">
              <w:rPr>
                <w:rFonts w:eastAsia="Times New Roman" w:cs="Times New Roman"/>
                <w:i/>
                <w:iCs/>
                <w:noProof/>
                <w:color w:val="4F81BD" w:themeColor="accent1"/>
                <w:szCs w:val="20"/>
                <w:lang w:val="fr-CH" w:eastAsia="zh-CN"/>
              </w:rPr>
              <w:t>ésultat (Plan stratégique</w:t>
            </w:r>
            <w:r w:rsidR="00532810" w:rsidRPr="0082461D">
              <w:rPr>
                <w:rFonts w:eastAsia="Times New Roman" w:cs="Times New Roman"/>
                <w:i/>
                <w:iCs/>
                <w:noProof/>
                <w:color w:val="4F81BD" w:themeColor="accent1"/>
                <w:szCs w:val="20"/>
                <w:lang w:val="fr-CH" w:eastAsia="zh-CN"/>
              </w:rPr>
              <w:t xml:space="preserve"> </w:t>
            </w:r>
            <w:r w:rsidR="00031587" w:rsidRPr="0082461D">
              <w:rPr>
                <w:rFonts w:eastAsia="Times New Roman" w:cs="Times New Roman"/>
                <w:i/>
                <w:iCs/>
                <w:noProof/>
                <w:color w:val="4F81BD" w:themeColor="accent1"/>
                <w:szCs w:val="20"/>
                <w:lang w:val="fr-CH" w:eastAsia="zh-CN"/>
              </w:rPr>
              <w:t xml:space="preserve">pour la période </w:t>
            </w:r>
            <w:r w:rsidR="00532810" w:rsidRPr="0082461D">
              <w:rPr>
                <w:rFonts w:eastAsia="Times New Roman" w:cs="Times New Roman"/>
                <w:i/>
                <w:iCs/>
                <w:noProof/>
                <w:color w:val="4F81BD" w:themeColor="accent1"/>
                <w:szCs w:val="20"/>
                <w:lang w:val="fr-CH" w:eastAsia="zh-CN"/>
              </w:rPr>
              <w:t>2020-2023)</w:t>
            </w:r>
          </w:p>
          <w:p w:rsidR="00532810" w:rsidRPr="0082461D" w:rsidRDefault="00A55FD2" w:rsidP="00031587">
            <w:pPr>
              <w:pStyle w:val="TabletextAsianBodyCalibri"/>
              <w:keepNext/>
              <w:keepLines/>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Résultats de l'UIT au regard des indicateurs de performance d'ONU-SWAP</w:t>
            </w:r>
            <w:r w:rsidR="00532810" w:rsidRPr="0082461D">
              <w:rPr>
                <w:szCs w:val="20"/>
                <w:lang w:val="fr-CH"/>
              </w:rPr>
              <w:t xml:space="preserve">. </w:t>
            </w:r>
            <w:r w:rsidRPr="0082461D">
              <w:rPr>
                <w:szCs w:val="20"/>
                <w:lang w:val="fr-CH"/>
              </w:rPr>
              <w:t xml:space="preserve">Nombre d'indicateurs de performance qui: a) se rapprochent des exigences; b) répondent aux exigences; c) dépassent les exigences </w:t>
            </w:r>
          </w:p>
        </w:tc>
        <w:tc>
          <w:tcPr>
            <w:tcW w:w="2693" w:type="dxa"/>
          </w:tcPr>
          <w:p w:rsidR="00532810" w:rsidRPr="0082461D" w:rsidRDefault="00A55FD2" w:rsidP="001D547C">
            <w:pPr>
              <w:pStyle w:val="TabletextAsianBodyCalibri"/>
              <w:keepNext/>
              <w:keepLines/>
              <w:jc w:val="center"/>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 xml:space="preserve">Données fournies par </w:t>
            </w:r>
            <w:r w:rsidR="00A220BA" w:rsidRPr="0082461D">
              <w:rPr>
                <w:szCs w:val="20"/>
                <w:lang w:val="fr-CH"/>
              </w:rPr>
              <w:t>le Département SPM</w:t>
            </w:r>
          </w:p>
        </w:tc>
      </w:tr>
    </w:tbl>
    <w:p w:rsidR="00F132DB" w:rsidRDefault="00F132DB" w:rsidP="001D547C">
      <w:r>
        <w:br w:type="page"/>
      </w:r>
    </w:p>
    <w:p w:rsidR="0074228F" w:rsidRPr="00F132DB" w:rsidRDefault="0074228F" w:rsidP="001D547C">
      <w:pPr>
        <w:rPr>
          <w:sz w:val="2"/>
          <w:szCs w:val="2"/>
        </w:rPr>
      </w:pPr>
    </w:p>
    <w:tbl>
      <w:tblPr>
        <w:tblStyle w:val="GridTable4-Accent115"/>
        <w:tblW w:w="14170" w:type="dxa"/>
        <w:tblLayout w:type="fixed"/>
        <w:tblLook w:val="06A0" w:firstRow="1" w:lastRow="0" w:firstColumn="1" w:lastColumn="0" w:noHBand="1" w:noVBand="1"/>
      </w:tblPr>
      <w:tblGrid>
        <w:gridCol w:w="5807"/>
        <w:gridCol w:w="1985"/>
        <w:gridCol w:w="2126"/>
        <w:gridCol w:w="2126"/>
        <w:gridCol w:w="2126"/>
      </w:tblGrid>
      <w:tr w:rsidR="0074228F" w:rsidRPr="0082461D" w:rsidTr="007D23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vAlign w:val="center"/>
          </w:tcPr>
          <w:p w:rsidR="0074228F" w:rsidRPr="0082461D" w:rsidRDefault="0074228F" w:rsidP="001D547C">
            <w:pPr>
              <w:pStyle w:val="Tablehead"/>
              <w:rPr>
                <w:b/>
                <w:bCs w:val="0"/>
                <w:sz w:val="20"/>
                <w:szCs w:val="20"/>
              </w:rPr>
            </w:pPr>
            <w:r w:rsidRPr="0082461D">
              <w:rPr>
                <w:b/>
                <w:bCs w:val="0"/>
                <w:sz w:val="20"/>
                <w:szCs w:val="20"/>
              </w:rPr>
              <w:t>Produit</w:t>
            </w:r>
          </w:p>
        </w:tc>
        <w:tc>
          <w:tcPr>
            <w:tcW w:w="8363" w:type="dxa"/>
            <w:gridSpan w:val="4"/>
            <w:vAlign w:val="center"/>
          </w:tcPr>
          <w:p w:rsidR="0074228F" w:rsidRPr="0082461D" w:rsidRDefault="0074228F" w:rsidP="001D547C">
            <w:pPr>
              <w:pStyle w:val="Tablehead"/>
              <w:cnfStyle w:val="100000000000" w:firstRow="1" w:lastRow="0" w:firstColumn="0" w:lastColumn="0" w:oddVBand="0" w:evenVBand="0" w:oddHBand="0" w:evenHBand="0" w:firstRowFirstColumn="0" w:firstRowLastColumn="0" w:lastRowFirstColumn="0" w:lastRowLastColumn="0"/>
              <w:rPr>
                <w:b/>
                <w:bCs w:val="0"/>
                <w:sz w:val="20"/>
              </w:rPr>
            </w:pPr>
            <w:r w:rsidRPr="0082461D">
              <w:rPr>
                <w:b/>
                <w:bCs w:val="0"/>
                <w:sz w:val="20"/>
                <w:szCs w:val="20"/>
              </w:rPr>
              <w:t>Ressources financières (en CHF)</w:t>
            </w:r>
          </w:p>
        </w:tc>
      </w:tr>
      <w:tr w:rsidR="0074228F"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74228F" w:rsidRPr="0082461D" w:rsidRDefault="0074228F" w:rsidP="001D547C">
            <w:pPr>
              <w:pStyle w:val="Tabletext"/>
              <w:rPr>
                <w:noProof/>
                <w:color w:val="4F81BD" w:themeColor="accent1"/>
                <w:sz w:val="20"/>
                <w:lang w:eastAsia="zh-CN"/>
              </w:rPr>
            </w:pPr>
          </w:p>
        </w:tc>
        <w:tc>
          <w:tcPr>
            <w:tcW w:w="1985" w:type="dxa"/>
          </w:tcPr>
          <w:p w:rsidR="0074228F" w:rsidRPr="0082461D" w:rsidRDefault="0074228F"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2020</w:t>
            </w:r>
          </w:p>
        </w:tc>
        <w:tc>
          <w:tcPr>
            <w:tcW w:w="2126" w:type="dxa"/>
          </w:tcPr>
          <w:p w:rsidR="0074228F" w:rsidRPr="0082461D" w:rsidRDefault="0074228F"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2021</w:t>
            </w:r>
          </w:p>
        </w:tc>
        <w:tc>
          <w:tcPr>
            <w:tcW w:w="2126" w:type="dxa"/>
          </w:tcPr>
          <w:p w:rsidR="0074228F" w:rsidRPr="0082461D" w:rsidRDefault="0074228F"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2022</w:t>
            </w:r>
          </w:p>
        </w:tc>
        <w:tc>
          <w:tcPr>
            <w:tcW w:w="2126" w:type="dxa"/>
          </w:tcPr>
          <w:p w:rsidR="0074228F" w:rsidRPr="0082461D" w:rsidRDefault="0074228F"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2023</w:t>
            </w:r>
          </w:p>
        </w:tc>
      </w:tr>
      <w:tr w:rsidR="00B266D6"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B266D6" w:rsidRPr="0082461D" w:rsidRDefault="00B266D6" w:rsidP="001D547C">
            <w:pPr>
              <w:pStyle w:val="Tabletext"/>
              <w:rPr>
                <w:b w:val="0"/>
                <w:bCs w:val="0"/>
                <w:sz w:val="20"/>
                <w:szCs w:val="20"/>
              </w:rPr>
            </w:pPr>
            <w:r w:rsidRPr="0082461D">
              <w:rPr>
                <w:rFonts w:eastAsia="Times New Roman" w:cs="Times New Roman"/>
                <w:noProof/>
                <w:color w:val="4F81BD" w:themeColor="accent1"/>
                <w:sz w:val="20"/>
                <w:szCs w:val="20"/>
                <w:lang w:eastAsia="zh-CN"/>
              </w:rPr>
              <w:t>I.4-1</w:t>
            </w:r>
            <w:r w:rsidR="00F132DB" w:rsidRPr="0082461D">
              <w:rPr>
                <w:noProof/>
                <w:color w:val="4F81BD" w:themeColor="accent1"/>
                <w:sz w:val="20"/>
                <w:lang w:eastAsia="zh-CN"/>
              </w:rPr>
              <w:t>:</w:t>
            </w:r>
            <w:r w:rsidRPr="0082461D">
              <w:rPr>
                <w:b w:val="0"/>
                <w:bCs w:val="0"/>
                <w:sz w:val="20"/>
                <w:szCs w:val="20"/>
              </w:rPr>
              <w:t xml:space="preserve"> Kits pratiques, outils d'évaluation et lignes directrices pour l'élaboration de politiques et le développement des compétences et autres pratiques de mise en </w:t>
            </w:r>
            <w:r w:rsidR="00C63117">
              <w:rPr>
                <w:b w:val="0"/>
                <w:bCs w:val="0"/>
                <w:sz w:val="20"/>
                <w:szCs w:val="20"/>
              </w:rPr>
              <w:t>œ</w:t>
            </w:r>
            <w:r w:rsidRPr="0082461D">
              <w:rPr>
                <w:b w:val="0"/>
                <w:bCs w:val="0"/>
                <w:sz w:val="20"/>
                <w:szCs w:val="20"/>
              </w:rPr>
              <w:t>uvre</w:t>
            </w:r>
          </w:p>
        </w:tc>
        <w:tc>
          <w:tcPr>
            <w:tcW w:w="1985"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297 403</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297 398</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296 347</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293 966</w:t>
            </w:r>
          </w:p>
        </w:tc>
      </w:tr>
      <w:tr w:rsidR="00B266D6"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B266D6" w:rsidRPr="0082461D" w:rsidRDefault="00B266D6" w:rsidP="001D547C">
            <w:pPr>
              <w:pStyle w:val="Tabletext"/>
              <w:rPr>
                <w:b w:val="0"/>
                <w:bCs w:val="0"/>
                <w:sz w:val="20"/>
                <w:szCs w:val="20"/>
              </w:rPr>
            </w:pPr>
            <w:r w:rsidRPr="0082461D">
              <w:rPr>
                <w:rFonts w:eastAsia="Times New Roman" w:cs="Times New Roman"/>
                <w:noProof/>
                <w:color w:val="4F81BD" w:themeColor="accent1"/>
                <w:sz w:val="20"/>
                <w:szCs w:val="20"/>
                <w:lang w:eastAsia="zh-CN"/>
              </w:rPr>
              <w:t>I.4-2</w:t>
            </w:r>
            <w:r w:rsidR="00F132DB" w:rsidRPr="0082461D">
              <w:rPr>
                <w:noProof/>
                <w:color w:val="4F81BD" w:themeColor="accent1"/>
                <w:sz w:val="20"/>
                <w:lang w:eastAsia="zh-CN"/>
              </w:rPr>
              <w:t>:</w:t>
            </w:r>
            <w:r w:rsidRPr="0082461D">
              <w:rPr>
                <w:b w:val="0"/>
                <w:bCs w:val="0"/>
                <w:sz w:val="20"/>
                <w:szCs w:val="20"/>
              </w:rPr>
              <w:t xml:space="preserve"> Réseaux, collaboration, initiatives et partenariats</w:t>
            </w:r>
          </w:p>
        </w:tc>
        <w:tc>
          <w:tcPr>
            <w:tcW w:w="1985"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474 292</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474 285</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472 610</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468 812</w:t>
            </w:r>
          </w:p>
        </w:tc>
      </w:tr>
      <w:tr w:rsidR="00B266D6"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B266D6" w:rsidRPr="0082461D" w:rsidRDefault="00B266D6" w:rsidP="001D547C">
            <w:pPr>
              <w:pStyle w:val="Tabletext"/>
              <w:rPr>
                <w:b w:val="0"/>
                <w:bCs w:val="0"/>
                <w:sz w:val="20"/>
                <w:szCs w:val="20"/>
              </w:rPr>
            </w:pPr>
            <w:r w:rsidRPr="0082461D">
              <w:rPr>
                <w:rFonts w:eastAsia="Times New Roman" w:cs="Times New Roman"/>
                <w:noProof/>
                <w:color w:val="4F81BD" w:themeColor="accent1"/>
                <w:sz w:val="20"/>
                <w:szCs w:val="20"/>
                <w:lang w:eastAsia="zh-CN"/>
              </w:rPr>
              <w:t>I.4-3</w:t>
            </w:r>
            <w:r w:rsidR="00F132DB" w:rsidRPr="0082461D">
              <w:rPr>
                <w:noProof/>
                <w:color w:val="4F81BD" w:themeColor="accent1"/>
                <w:sz w:val="20"/>
                <w:lang w:eastAsia="zh-CN"/>
              </w:rPr>
              <w:t>:</w:t>
            </w:r>
            <w:r w:rsidRPr="0082461D">
              <w:rPr>
                <w:b w:val="0"/>
                <w:bCs w:val="0"/>
                <w:sz w:val="20"/>
                <w:szCs w:val="20"/>
              </w:rPr>
              <w:t xml:space="preserve"> Campagnes de sensibilisation, tant au niveau des Nations Unies qu'aux niveaux régional et national</w:t>
            </w:r>
          </w:p>
        </w:tc>
        <w:tc>
          <w:tcPr>
            <w:tcW w:w="1985"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345 249</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345 244</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344 024</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341 260</w:t>
            </w:r>
          </w:p>
        </w:tc>
      </w:tr>
      <w:tr w:rsidR="00B266D6"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B266D6" w:rsidRPr="0082461D" w:rsidRDefault="00B266D6" w:rsidP="001D547C">
            <w:pPr>
              <w:pStyle w:val="Tabletext"/>
              <w:rPr>
                <w:noProof/>
                <w:color w:val="4F81BD" w:themeColor="accent1"/>
                <w:sz w:val="20"/>
                <w:lang w:eastAsia="zh-CN"/>
              </w:rPr>
            </w:pPr>
            <w:r w:rsidRPr="0082461D">
              <w:rPr>
                <w:rFonts w:eastAsia="Times New Roman" w:cs="Times New Roman"/>
                <w:noProof/>
                <w:color w:val="4F81BD" w:themeColor="accent1"/>
                <w:sz w:val="20"/>
                <w:szCs w:val="20"/>
                <w:lang w:eastAsia="zh-CN"/>
              </w:rPr>
              <w:t>I.4-4</w:t>
            </w:r>
            <w:r w:rsidR="00F132DB" w:rsidRPr="0082461D">
              <w:rPr>
                <w:noProof/>
                <w:color w:val="4F81BD" w:themeColor="accent1"/>
                <w:sz w:val="20"/>
                <w:lang w:eastAsia="zh-CN"/>
              </w:rPr>
              <w:t>:</w:t>
            </w:r>
            <w:r w:rsidRPr="0082461D">
              <w:rPr>
                <w:b w:val="0"/>
                <w:bCs w:val="0"/>
                <w:sz w:val="20"/>
                <w:szCs w:val="20"/>
              </w:rPr>
              <w:t xml:space="preserve"> Appui au partenariat </w:t>
            </w:r>
            <w:proofErr w:type="spellStart"/>
            <w:r w:rsidRPr="0082461D">
              <w:rPr>
                <w:b w:val="0"/>
                <w:bCs w:val="0"/>
                <w:sz w:val="20"/>
                <w:szCs w:val="20"/>
              </w:rPr>
              <w:t>Equals</w:t>
            </w:r>
            <w:proofErr w:type="spellEnd"/>
          </w:p>
        </w:tc>
        <w:tc>
          <w:tcPr>
            <w:tcW w:w="1985"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170 580</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170 577</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169 975</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168 609</w:t>
            </w:r>
          </w:p>
        </w:tc>
      </w:tr>
      <w:tr w:rsidR="00B266D6"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B266D6" w:rsidRPr="0082461D" w:rsidRDefault="00B266D6" w:rsidP="001D547C">
            <w:pPr>
              <w:pStyle w:val="Tabletext"/>
              <w:rPr>
                <w:noProof/>
                <w:color w:val="4F81BD" w:themeColor="accent1"/>
                <w:sz w:val="20"/>
                <w:lang w:eastAsia="zh-CN"/>
              </w:rPr>
            </w:pPr>
            <w:r w:rsidRPr="0082461D">
              <w:rPr>
                <w:noProof/>
                <w:color w:val="4F81BD" w:themeColor="accent1"/>
                <w:sz w:val="20"/>
                <w:lang w:eastAsia="zh-CN"/>
              </w:rPr>
              <w:t>Total pou</w:t>
            </w:r>
            <w:r w:rsidR="00A55FD2" w:rsidRPr="0082461D">
              <w:rPr>
                <w:noProof/>
                <w:color w:val="4F81BD" w:themeColor="accent1"/>
                <w:sz w:val="20"/>
                <w:lang w:eastAsia="zh-CN"/>
              </w:rPr>
              <w:t>r</w:t>
            </w:r>
            <w:r w:rsidRPr="0082461D">
              <w:rPr>
                <w:noProof/>
                <w:color w:val="4F81BD" w:themeColor="accent1"/>
                <w:sz w:val="20"/>
                <w:lang w:eastAsia="zh-CN"/>
              </w:rPr>
              <w:t xml:space="preserve"> l'Objectif I.4</w:t>
            </w:r>
          </w:p>
        </w:tc>
        <w:tc>
          <w:tcPr>
            <w:tcW w:w="1985"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1 287 524</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1 287 504</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1 282 955</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1 272 648</w:t>
            </w:r>
          </w:p>
        </w:tc>
      </w:tr>
    </w:tbl>
    <w:p w:rsidR="00255A4C" w:rsidRPr="0082461D" w:rsidRDefault="00255A4C" w:rsidP="001D547C"/>
    <w:p w:rsidR="001F3858" w:rsidRPr="0082461D" w:rsidRDefault="001F3858" w:rsidP="001D547C">
      <w:pPr>
        <w:tabs>
          <w:tab w:val="clear" w:pos="794"/>
          <w:tab w:val="clear" w:pos="1191"/>
          <w:tab w:val="clear" w:pos="1588"/>
          <w:tab w:val="clear" w:pos="1985"/>
        </w:tabs>
        <w:overflowPunct/>
        <w:autoSpaceDE/>
        <w:autoSpaceDN/>
        <w:adjustRightInd/>
        <w:spacing w:before="0"/>
        <w:textAlignment w:val="auto"/>
      </w:pPr>
      <w:r w:rsidRPr="0082461D">
        <w:br w:type="page"/>
      </w:r>
    </w:p>
    <w:p w:rsidR="001F3858" w:rsidRPr="0082461D" w:rsidRDefault="001F3858" w:rsidP="001D547C">
      <w:pPr>
        <w:spacing w:after="120"/>
      </w:pPr>
      <w:r w:rsidRPr="0082461D">
        <w:lastRenderedPageBreak/>
        <w:t>I.5</w:t>
      </w:r>
      <w:r w:rsidRPr="0082461D">
        <w:tab/>
        <w:t>Mettre à profit les télécommunications/TIC pour réduire l'empreinte environnementale</w:t>
      </w:r>
    </w:p>
    <w:tbl>
      <w:tblPr>
        <w:tblStyle w:val="GridTable4-Accent115"/>
        <w:tblW w:w="14170" w:type="dxa"/>
        <w:tblLayout w:type="fixed"/>
        <w:tblLook w:val="06A0" w:firstRow="1" w:lastRow="0" w:firstColumn="1" w:lastColumn="0" w:noHBand="1" w:noVBand="1"/>
      </w:tblPr>
      <w:tblGrid>
        <w:gridCol w:w="2830"/>
        <w:gridCol w:w="8647"/>
        <w:gridCol w:w="2693"/>
      </w:tblGrid>
      <w:tr w:rsidR="001F3858" w:rsidRPr="0082461D" w:rsidTr="007D23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rsidR="001F3858" w:rsidRPr="0082461D" w:rsidRDefault="001F3858" w:rsidP="001D547C">
            <w:pPr>
              <w:pStyle w:val="Tablehead"/>
              <w:rPr>
                <w:b/>
                <w:bCs w:val="0"/>
                <w:sz w:val="20"/>
                <w:szCs w:val="20"/>
              </w:rPr>
            </w:pPr>
            <w:r w:rsidRPr="0082461D">
              <w:rPr>
                <w:b/>
                <w:bCs w:val="0"/>
                <w:sz w:val="20"/>
                <w:szCs w:val="20"/>
              </w:rPr>
              <w:t>Résultat</w:t>
            </w:r>
          </w:p>
        </w:tc>
        <w:tc>
          <w:tcPr>
            <w:tcW w:w="8647" w:type="dxa"/>
            <w:vAlign w:val="center"/>
          </w:tcPr>
          <w:p w:rsidR="001F3858" w:rsidRPr="0082461D" w:rsidRDefault="001F3858"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Indicateur de résultat</w:t>
            </w:r>
          </w:p>
        </w:tc>
        <w:tc>
          <w:tcPr>
            <w:tcW w:w="2693" w:type="dxa"/>
            <w:vAlign w:val="center"/>
          </w:tcPr>
          <w:p w:rsidR="001F3858" w:rsidRPr="0082461D" w:rsidRDefault="001F3858"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Mesures d'atténuation</w:t>
            </w:r>
          </w:p>
        </w:tc>
      </w:tr>
      <w:tr w:rsidR="001F3858"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1F3858" w:rsidRPr="0082461D" w:rsidRDefault="001F3858" w:rsidP="001D547C">
            <w:pPr>
              <w:pStyle w:val="Tabletext"/>
              <w:rPr>
                <w:b w:val="0"/>
                <w:bCs w:val="0"/>
                <w:sz w:val="20"/>
                <w:szCs w:val="20"/>
              </w:rPr>
            </w:pPr>
            <w:r w:rsidRPr="0082461D">
              <w:rPr>
                <w:rFonts w:eastAsia="Times New Roman" w:cs="Times New Roman"/>
                <w:noProof/>
                <w:color w:val="4F81BD" w:themeColor="accent1"/>
                <w:sz w:val="20"/>
                <w:szCs w:val="20"/>
                <w:lang w:eastAsia="zh-CN"/>
              </w:rPr>
              <w:t>I.5-a</w:t>
            </w:r>
            <w:r w:rsidR="00F132DB" w:rsidRPr="0082461D">
              <w:rPr>
                <w:noProof/>
                <w:color w:val="4F81BD" w:themeColor="accent1"/>
                <w:sz w:val="20"/>
                <w:lang w:eastAsia="zh-CN"/>
              </w:rPr>
              <w:t>:</w:t>
            </w:r>
            <w:r w:rsidRPr="0082461D">
              <w:rPr>
                <w:b w:val="0"/>
                <w:bCs w:val="0"/>
                <w:sz w:val="20"/>
                <w:szCs w:val="20"/>
              </w:rPr>
              <w:t xml:space="preserve"> Efficacité accrue des politiques et normes relatives à l'environnement</w:t>
            </w:r>
          </w:p>
        </w:tc>
        <w:tc>
          <w:tcPr>
            <w:tcW w:w="8647" w:type="dxa"/>
          </w:tcPr>
          <w:p w:rsidR="00A55FD2" w:rsidRPr="0082461D" w:rsidRDefault="00A55FD2" w:rsidP="001D547C">
            <w:pPr>
              <w:pStyle w:val="TabletextAsianBodyCalibri"/>
              <w:keepNext/>
              <w:keepLines/>
              <w:cnfStyle w:val="000000000000" w:firstRow="0" w:lastRow="0" w:firstColumn="0" w:lastColumn="0" w:oddVBand="0" w:evenVBand="0" w:oddHBand="0" w:evenHBand="0" w:firstRowFirstColumn="0" w:firstRowLastColumn="0" w:lastRowFirstColumn="0" w:lastRowLastColumn="0"/>
              <w:rPr>
                <w:szCs w:val="20"/>
                <w:lang w:val="fr-CH"/>
              </w:rPr>
            </w:pPr>
            <w:r w:rsidRPr="0082461D">
              <w:rPr>
                <w:rFonts w:eastAsia="Times New Roman" w:cs="Times New Roman"/>
                <w:i/>
                <w:iCs/>
                <w:noProof/>
                <w:color w:val="4F81BD" w:themeColor="accent1"/>
                <w:szCs w:val="20"/>
                <w:lang w:val="fr-CH" w:eastAsia="zh-CN"/>
              </w:rPr>
              <w:t xml:space="preserve">Nouveau </w:t>
            </w:r>
            <w:r w:rsidR="00A220BA" w:rsidRPr="0082461D">
              <w:rPr>
                <w:rFonts w:eastAsia="Times New Roman" w:cs="Times New Roman"/>
                <w:i/>
                <w:iCs/>
                <w:noProof/>
                <w:color w:val="4F81BD" w:themeColor="accent1"/>
                <w:szCs w:val="20"/>
                <w:lang w:val="fr-CH" w:eastAsia="zh-CN"/>
              </w:rPr>
              <w:t>r</w:t>
            </w:r>
            <w:r w:rsidRPr="0082461D">
              <w:rPr>
                <w:rFonts w:eastAsia="Times New Roman" w:cs="Times New Roman"/>
                <w:i/>
                <w:iCs/>
                <w:noProof/>
                <w:color w:val="4F81BD" w:themeColor="accent1"/>
                <w:szCs w:val="20"/>
                <w:lang w:val="fr-CH" w:eastAsia="zh-CN"/>
              </w:rPr>
              <w:t xml:space="preserve">ésultat (Plan stratégique </w:t>
            </w:r>
            <w:r w:rsidR="00031587" w:rsidRPr="0082461D">
              <w:rPr>
                <w:rFonts w:eastAsia="Times New Roman" w:cs="Times New Roman"/>
                <w:i/>
                <w:iCs/>
                <w:noProof/>
                <w:color w:val="4F81BD" w:themeColor="accent1"/>
                <w:szCs w:val="20"/>
                <w:lang w:val="fr-CH" w:eastAsia="zh-CN"/>
              </w:rPr>
              <w:t xml:space="preserve">pour la période </w:t>
            </w:r>
            <w:r w:rsidRPr="0082461D">
              <w:rPr>
                <w:rFonts w:eastAsia="Times New Roman" w:cs="Times New Roman"/>
                <w:i/>
                <w:iCs/>
                <w:noProof/>
                <w:color w:val="4F81BD" w:themeColor="accent1"/>
                <w:szCs w:val="20"/>
                <w:lang w:val="fr-CH" w:eastAsia="zh-CN"/>
              </w:rPr>
              <w:t>2020-2023)</w:t>
            </w:r>
          </w:p>
          <w:p w:rsidR="001F3858" w:rsidRPr="0082461D" w:rsidRDefault="00A55FD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Pourcentage de pays dotés d'une législation relative aux déchets d'équipements électriques et électroniques</w:t>
            </w:r>
          </w:p>
        </w:tc>
        <w:tc>
          <w:tcPr>
            <w:tcW w:w="2693" w:type="dxa"/>
          </w:tcPr>
          <w:p w:rsidR="001F3858" w:rsidRPr="0082461D" w:rsidRDefault="00A55FD2"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UIT (BDT) et</w:t>
            </w:r>
            <w:r w:rsidR="001F3858" w:rsidRPr="0082461D">
              <w:rPr>
                <w:sz w:val="20"/>
                <w:szCs w:val="20"/>
              </w:rPr>
              <w:t xml:space="preserve"> U</w:t>
            </w:r>
            <w:r w:rsidRPr="0082461D">
              <w:rPr>
                <w:sz w:val="20"/>
                <w:szCs w:val="20"/>
              </w:rPr>
              <w:t>niversi</w:t>
            </w:r>
            <w:r w:rsidR="00304C80">
              <w:rPr>
                <w:sz w:val="20"/>
                <w:szCs w:val="20"/>
              </w:rPr>
              <w:t>té des </w:t>
            </w:r>
            <w:r w:rsidRPr="0082461D">
              <w:rPr>
                <w:sz w:val="20"/>
                <w:szCs w:val="20"/>
              </w:rPr>
              <w:t>Nations Unies</w:t>
            </w:r>
            <w:r w:rsidR="001F3858" w:rsidRPr="0082461D">
              <w:rPr>
                <w:sz w:val="20"/>
                <w:szCs w:val="20"/>
              </w:rPr>
              <w:t xml:space="preserve"> </w:t>
            </w:r>
          </w:p>
        </w:tc>
      </w:tr>
      <w:tr w:rsidR="001F3858"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1F3858" w:rsidRPr="0082461D" w:rsidRDefault="001F3858" w:rsidP="0082461D">
            <w:pPr>
              <w:pStyle w:val="Tabletext"/>
              <w:rPr>
                <w:noProof/>
                <w:color w:val="4F81BD" w:themeColor="accent1"/>
                <w:sz w:val="20"/>
                <w:lang w:eastAsia="zh-CN"/>
              </w:rPr>
            </w:pPr>
            <w:r w:rsidRPr="0082461D">
              <w:rPr>
                <w:rFonts w:eastAsia="Times New Roman" w:cs="Times New Roman"/>
                <w:noProof/>
                <w:color w:val="4F81BD" w:themeColor="accent1"/>
                <w:sz w:val="20"/>
                <w:szCs w:val="20"/>
                <w:lang w:eastAsia="zh-CN"/>
              </w:rPr>
              <w:t>I.5-b</w:t>
            </w:r>
            <w:r w:rsidRPr="0082461D">
              <w:rPr>
                <w:noProof/>
                <w:color w:val="4F81BD" w:themeColor="accent1"/>
                <w:sz w:val="20"/>
                <w:lang w:eastAsia="zh-CN"/>
              </w:rPr>
              <w:t>:</w:t>
            </w:r>
            <w:r w:rsidR="00F132DB">
              <w:rPr>
                <w:noProof/>
                <w:color w:val="4F81BD" w:themeColor="accent1"/>
                <w:sz w:val="20"/>
                <w:lang w:eastAsia="zh-CN"/>
              </w:rPr>
              <w:t xml:space="preserve"> </w:t>
            </w:r>
            <w:r w:rsidRPr="0082461D">
              <w:rPr>
                <w:b w:val="0"/>
                <w:bCs w:val="0"/>
                <w:noProof/>
                <w:sz w:val="20"/>
                <w:lang w:eastAsia="zh-CN"/>
              </w:rPr>
              <w:t>Réduction de la consommation d'énergie des applications de télécommunication/TIC</w:t>
            </w:r>
          </w:p>
        </w:tc>
        <w:tc>
          <w:tcPr>
            <w:tcW w:w="8647" w:type="dxa"/>
          </w:tcPr>
          <w:p w:rsidR="00A55FD2" w:rsidRPr="0082461D" w:rsidRDefault="00A55FD2" w:rsidP="001D547C">
            <w:pPr>
              <w:pStyle w:val="TabletextAsianBodyCalibri"/>
              <w:keepNext/>
              <w:keepLines/>
              <w:cnfStyle w:val="000000000000" w:firstRow="0" w:lastRow="0" w:firstColumn="0" w:lastColumn="0" w:oddVBand="0" w:evenVBand="0" w:oddHBand="0" w:evenHBand="0" w:firstRowFirstColumn="0" w:firstRowLastColumn="0" w:lastRowFirstColumn="0" w:lastRowLastColumn="0"/>
              <w:rPr>
                <w:szCs w:val="20"/>
                <w:lang w:val="fr-CH"/>
              </w:rPr>
            </w:pPr>
            <w:r w:rsidRPr="0082461D">
              <w:rPr>
                <w:rFonts w:eastAsia="Times New Roman" w:cs="Times New Roman"/>
                <w:i/>
                <w:iCs/>
                <w:noProof/>
                <w:color w:val="4F81BD" w:themeColor="accent1"/>
                <w:szCs w:val="20"/>
                <w:lang w:val="fr-CH" w:eastAsia="zh-CN"/>
              </w:rPr>
              <w:t xml:space="preserve">Nouveau </w:t>
            </w:r>
            <w:r w:rsidR="00A220BA" w:rsidRPr="0082461D">
              <w:rPr>
                <w:rFonts w:eastAsia="Times New Roman" w:cs="Times New Roman"/>
                <w:i/>
                <w:iCs/>
                <w:noProof/>
                <w:color w:val="4F81BD" w:themeColor="accent1"/>
                <w:szCs w:val="20"/>
                <w:lang w:val="fr-CH" w:eastAsia="zh-CN"/>
              </w:rPr>
              <w:t>r</w:t>
            </w:r>
            <w:r w:rsidRPr="0082461D">
              <w:rPr>
                <w:rFonts w:eastAsia="Times New Roman" w:cs="Times New Roman"/>
                <w:i/>
                <w:iCs/>
                <w:noProof/>
                <w:color w:val="4F81BD" w:themeColor="accent1"/>
                <w:szCs w:val="20"/>
                <w:lang w:val="fr-CH" w:eastAsia="zh-CN"/>
              </w:rPr>
              <w:t xml:space="preserve">ésultat (Plan stratégique </w:t>
            </w:r>
            <w:r w:rsidR="00031587" w:rsidRPr="0082461D">
              <w:rPr>
                <w:rFonts w:eastAsia="Times New Roman" w:cs="Times New Roman"/>
                <w:i/>
                <w:iCs/>
                <w:noProof/>
                <w:color w:val="4F81BD" w:themeColor="accent1"/>
                <w:szCs w:val="20"/>
                <w:lang w:val="fr-CH" w:eastAsia="zh-CN"/>
              </w:rPr>
              <w:t xml:space="preserve">pour la période </w:t>
            </w:r>
            <w:r w:rsidRPr="0082461D">
              <w:rPr>
                <w:rFonts w:eastAsia="Times New Roman" w:cs="Times New Roman"/>
                <w:i/>
                <w:iCs/>
                <w:noProof/>
                <w:color w:val="4F81BD" w:themeColor="accent1"/>
                <w:szCs w:val="20"/>
                <w:lang w:val="fr-CH" w:eastAsia="zh-CN"/>
              </w:rPr>
              <w:t>2020-2023)</w:t>
            </w:r>
          </w:p>
          <w:p w:rsidR="001F3858" w:rsidRPr="0082461D" w:rsidRDefault="00A55FD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Part nette de la réduction des émissions de gaz à effet de serre grâce aux télécommunications/TIC</w:t>
            </w:r>
          </w:p>
        </w:tc>
        <w:tc>
          <w:tcPr>
            <w:tcW w:w="2693" w:type="dxa"/>
          </w:tcPr>
          <w:p w:rsidR="001F3858" w:rsidRPr="0082461D" w:rsidRDefault="00A55FD2"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UIT</w:t>
            </w:r>
            <w:r w:rsidR="001F3858" w:rsidRPr="0082461D">
              <w:rPr>
                <w:sz w:val="20"/>
                <w:szCs w:val="20"/>
              </w:rPr>
              <w:t xml:space="preserve"> </w:t>
            </w:r>
            <w:r w:rsidRPr="0082461D">
              <w:rPr>
                <w:sz w:val="20"/>
                <w:szCs w:val="20"/>
              </w:rPr>
              <w:t>(BDT) et Groupe d'experts intergouvernemental sur l'évolution du climat (GIEC)</w:t>
            </w:r>
            <w:r w:rsidR="001F3858" w:rsidRPr="0082461D">
              <w:rPr>
                <w:sz w:val="20"/>
                <w:szCs w:val="20"/>
              </w:rPr>
              <w:t xml:space="preserve"> </w:t>
            </w:r>
          </w:p>
        </w:tc>
      </w:tr>
      <w:tr w:rsidR="001F3858"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1F3858" w:rsidRPr="0082461D" w:rsidRDefault="001F3858" w:rsidP="001D547C">
            <w:pPr>
              <w:pStyle w:val="Tabletext"/>
              <w:rPr>
                <w:noProof/>
                <w:color w:val="4F81BD" w:themeColor="accent1"/>
                <w:sz w:val="20"/>
                <w:lang w:eastAsia="zh-CN"/>
              </w:rPr>
            </w:pPr>
            <w:r w:rsidRPr="0082461D">
              <w:rPr>
                <w:rFonts w:eastAsia="Times New Roman" w:cs="Times New Roman"/>
                <w:noProof/>
                <w:color w:val="4F81BD" w:themeColor="accent1"/>
                <w:sz w:val="20"/>
                <w:szCs w:val="20"/>
                <w:lang w:eastAsia="zh-CN"/>
              </w:rPr>
              <w:t>I.5-c:</w:t>
            </w:r>
            <w:r w:rsidR="00F132DB">
              <w:rPr>
                <w:rFonts w:eastAsia="Times New Roman" w:cs="Times New Roman"/>
                <w:noProof/>
                <w:color w:val="4F81BD" w:themeColor="accent1"/>
                <w:sz w:val="20"/>
                <w:szCs w:val="20"/>
                <w:lang w:eastAsia="zh-CN"/>
              </w:rPr>
              <w:t xml:space="preserve"> </w:t>
            </w:r>
            <w:r w:rsidRPr="0082461D">
              <w:rPr>
                <w:rFonts w:eastAsia="Times New Roman" w:cs="Times New Roman"/>
                <w:b w:val="0"/>
                <w:bCs w:val="0"/>
                <w:noProof/>
                <w:sz w:val="20"/>
                <w:szCs w:val="20"/>
                <w:lang w:eastAsia="zh-CN"/>
              </w:rPr>
              <w:t>Augmentation du volume de déchets d'équipements électriques et électroniques recyclés</w:t>
            </w:r>
          </w:p>
        </w:tc>
        <w:tc>
          <w:tcPr>
            <w:tcW w:w="8647" w:type="dxa"/>
          </w:tcPr>
          <w:p w:rsidR="001F3858" w:rsidRPr="0082461D" w:rsidRDefault="00A55FD2" w:rsidP="001D547C">
            <w:pPr>
              <w:pStyle w:val="TabletextAsianBodyCalibri"/>
              <w:keepNext/>
              <w:keepLines/>
              <w:cnfStyle w:val="000000000000" w:firstRow="0" w:lastRow="0" w:firstColumn="0" w:lastColumn="0" w:oddVBand="0" w:evenVBand="0" w:oddHBand="0" w:evenHBand="0" w:firstRowFirstColumn="0" w:firstRowLastColumn="0" w:lastRowFirstColumn="0" w:lastRowLastColumn="0"/>
              <w:rPr>
                <w:szCs w:val="20"/>
                <w:lang w:val="fr-CH"/>
              </w:rPr>
            </w:pPr>
            <w:r w:rsidRPr="0082461D">
              <w:rPr>
                <w:rFonts w:eastAsia="Times New Roman" w:cs="Times New Roman"/>
                <w:i/>
                <w:iCs/>
                <w:noProof/>
                <w:color w:val="4F81BD" w:themeColor="accent1"/>
                <w:szCs w:val="20"/>
                <w:lang w:val="fr-CH" w:eastAsia="zh-CN"/>
              </w:rPr>
              <w:t xml:space="preserve">Nouveau </w:t>
            </w:r>
            <w:r w:rsidR="00A220BA" w:rsidRPr="0082461D">
              <w:rPr>
                <w:rFonts w:eastAsia="Times New Roman" w:cs="Times New Roman"/>
                <w:i/>
                <w:iCs/>
                <w:noProof/>
                <w:color w:val="4F81BD" w:themeColor="accent1"/>
                <w:szCs w:val="20"/>
                <w:lang w:val="fr-CH" w:eastAsia="zh-CN"/>
              </w:rPr>
              <w:t>r</w:t>
            </w:r>
            <w:r w:rsidRPr="0082461D">
              <w:rPr>
                <w:rFonts w:eastAsia="Times New Roman" w:cs="Times New Roman"/>
                <w:i/>
                <w:iCs/>
                <w:noProof/>
                <w:color w:val="4F81BD" w:themeColor="accent1"/>
                <w:szCs w:val="20"/>
                <w:lang w:val="fr-CH" w:eastAsia="zh-CN"/>
              </w:rPr>
              <w:t xml:space="preserve">ésultat (Plan stratégique </w:t>
            </w:r>
            <w:r w:rsidR="00031587" w:rsidRPr="0082461D">
              <w:rPr>
                <w:rFonts w:eastAsia="Times New Roman" w:cs="Times New Roman"/>
                <w:i/>
                <w:iCs/>
                <w:noProof/>
                <w:color w:val="4F81BD" w:themeColor="accent1"/>
                <w:szCs w:val="20"/>
                <w:lang w:val="fr-CH" w:eastAsia="zh-CN"/>
              </w:rPr>
              <w:t xml:space="preserve">pour la période </w:t>
            </w:r>
            <w:r w:rsidRPr="0082461D">
              <w:rPr>
                <w:rFonts w:eastAsia="Times New Roman" w:cs="Times New Roman"/>
                <w:i/>
                <w:iCs/>
                <w:noProof/>
                <w:color w:val="4F81BD" w:themeColor="accent1"/>
                <w:szCs w:val="20"/>
                <w:lang w:val="fr-CH" w:eastAsia="zh-CN"/>
              </w:rPr>
              <w:t>2020-2023)</w:t>
            </w:r>
          </w:p>
          <w:p w:rsidR="001F3858" w:rsidRPr="0082461D" w:rsidRDefault="00A55FD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Taux de recyclage des déchets d'équipements électriques et électroniques dans le monde</w:t>
            </w:r>
          </w:p>
        </w:tc>
        <w:tc>
          <w:tcPr>
            <w:tcW w:w="2693" w:type="dxa"/>
          </w:tcPr>
          <w:p w:rsidR="001F3858" w:rsidRPr="0082461D" w:rsidRDefault="00F132DB"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UIT (BDT) et Université des </w:t>
            </w:r>
            <w:r w:rsidR="00A55FD2" w:rsidRPr="0082461D">
              <w:rPr>
                <w:sz w:val="20"/>
                <w:szCs w:val="20"/>
              </w:rPr>
              <w:t>Nations Unies</w:t>
            </w:r>
          </w:p>
        </w:tc>
      </w:tr>
      <w:tr w:rsidR="001F3858"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1F3858" w:rsidRPr="0082461D" w:rsidRDefault="001F3858" w:rsidP="001D547C">
            <w:pPr>
              <w:pStyle w:val="Tabletext"/>
              <w:keepNext/>
              <w:keepLines/>
              <w:rPr>
                <w:noProof/>
                <w:color w:val="4F81BD" w:themeColor="accent1"/>
                <w:sz w:val="20"/>
                <w:lang w:eastAsia="zh-CN"/>
              </w:rPr>
            </w:pPr>
            <w:r w:rsidRPr="0082461D">
              <w:rPr>
                <w:rFonts w:eastAsia="Times New Roman" w:cs="Times New Roman"/>
                <w:noProof/>
                <w:color w:val="4F81BD" w:themeColor="accent1"/>
                <w:sz w:val="20"/>
                <w:szCs w:val="20"/>
                <w:lang w:eastAsia="zh-CN"/>
              </w:rPr>
              <w:t>I.5-d:</w:t>
            </w:r>
            <w:r w:rsidR="00F132DB">
              <w:rPr>
                <w:rFonts w:eastAsia="Times New Roman" w:cs="Times New Roman"/>
                <w:noProof/>
                <w:color w:val="4F81BD" w:themeColor="accent1"/>
                <w:sz w:val="20"/>
                <w:szCs w:val="20"/>
                <w:lang w:eastAsia="zh-CN"/>
              </w:rPr>
              <w:t xml:space="preserve"> </w:t>
            </w:r>
            <w:r w:rsidRPr="0082461D">
              <w:rPr>
                <w:rFonts w:eastAsia="Times New Roman" w:cs="Times New Roman"/>
                <w:b w:val="0"/>
                <w:bCs w:val="0"/>
                <w:noProof/>
                <w:sz w:val="20"/>
                <w:szCs w:val="20"/>
                <w:lang w:eastAsia="zh-CN"/>
              </w:rPr>
              <w:t>Amélioration des solutions pour les villes intelligentes et durables</w:t>
            </w:r>
          </w:p>
        </w:tc>
        <w:tc>
          <w:tcPr>
            <w:tcW w:w="8647" w:type="dxa"/>
          </w:tcPr>
          <w:p w:rsidR="00A55FD2" w:rsidRPr="0082461D" w:rsidRDefault="00A220BA" w:rsidP="001D547C">
            <w:pPr>
              <w:pStyle w:val="TabletextAsianBodyCalibri"/>
              <w:keepNext/>
              <w:keepLines/>
              <w:cnfStyle w:val="000000000000" w:firstRow="0" w:lastRow="0" w:firstColumn="0" w:lastColumn="0" w:oddVBand="0" w:evenVBand="0" w:oddHBand="0" w:evenHBand="0" w:firstRowFirstColumn="0" w:firstRowLastColumn="0" w:lastRowFirstColumn="0" w:lastRowLastColumn="0"/>
              <w:rPr>
                <w:szCs w:val="20"/>
                <w:lang w:val="fr-CH"/>
              </w:rPr>
            </w:pPr>
            <w:r w:rsidRPr="0082461D">
              <w:rPr>
                <w:rFonts w:eastAsia="Times New Roman" w:cs="Times New Roman"/>
                <w:i/>
                <w:iCs/>
                <w:noProof/>
                <w:color w:val="4F81BD" w:themeColor="accent1"/>
                <w:szCs w:val="20"/>
                <w:lang w:val="fr-CH" w:eastAsia="zh-CN"/>
              </w:rPr>
              <w:t>Nouveau r</w:t>
            </w:r>
            <w:r w:rsidR="00A55FD2" w:rsidRPr="0082461D">
              <w:rPr>
                <w:rFonts w:eastAsia="Times New Roman" w:cs="Times New Roman"/>
                <w:i/>
                <w:iCs/>
                <w:noProof/>
                <w:color w:val="4F81BD" w:themeColor="accent1"/>
                <w:szCs w:val="20"/>
                <w:lang w:val="fr-CH" w:eastAsia="zh-CN"/>
              </w:rPr>
              <w:t xml:space="preserve">ésultat (Plan stratégique </w:t>
            </w:r>
            <w:r w:rsidR="00031587" w:rsidRPr="0082461D">
              <w:rPr>
                <w:rFonts w:eastAsia="Times New Roman" w:cs="Times New Roman"/>
                <w:i/>
                <w:iCs/>
                <w:noProof/>
                <w:color w:val="4F81BD" w:themeColor="accent1"/>
                <w:szCs w:val="20"/>
                <w:lang w:val="fr-CH" w:eastAsia="zh-CN"/>
              </w:rPr>
              <w:t xml:space="preserve">pour la période </w:t>
            </w:r>
            <w:r w:rsidR="00A55FD2" w:rsidRPr="0082461D">
              <w:rPr>
                <w:rFonts w:eastAsia="Times New Roman" w:cs="Times New Roman"/>
                <w:i/>
                <w:iCs/>
                <w:noProof/>
                <w:color w:val="4F81BD" w:themeColor="accent1"/>
                <w:szCs w:val="20"/>
                <w:lang w:val="fr-CH" w:eastAsia="zh-CN"/>
              </w:rPr>
              <w:t>2020-2023)</w:t>
            </w:r>
          </w:p>
          <w:p w:rsidR="001F3858" w:rsidRPr="0082461D" w:rsidRDefault="00A55FD2" w:rsidP="001D547C">
            <w:pPr>
              <w:pStyle w:val="TabletextAsianBodyCalibri"/>
              <w:keepNext/>
              <w:keepLines/>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 xml:space="preserve">Indicateur </w:t>
            </w:r>
            <w:r w:rsidR="00A220BA" w:rsidRPr="0082461D">
              <w:rPr>
                <w:szCs w:val="20"/>
                <w:lang w:val="fr-CH"/>
              </w:rPr>
              <w:t>concernant</w:t>
            </w:r>
            <w:r w:rsidRPr="0082461D">
              <w:rPr>
                <w:szCs w:val="20"/>
                <w:lang w:val="fr-CH"/>
              </w:rPr>
              <w:t xml:space="preserve"> l'amélioration des solutions </w:t>
            </w:r>
            <w:r w:rsidR="00A220BA" w:rsidRPr="0082461D">
              <w:rPr>
                <w:szCs w:val="20"/>
                <w:lang w:val="fr-CH"/>
              </w:rPr>
              <w:t>pour</w:t>
            </w:r>
            <w:r w:rsidRPr="0082461D">
              <w:rPr>
                <w:szCs w:val="20"/>
                <w:lang w:val="fr-CH"/>
              </w:rPr>
              <w:t xml:space="preserve"> les villes intelligentes et durables</w:t>
            </w:r>
          </w:p>
        </w:tc>
        <w:tc>
          <w:tcPr>
            <w:tcW w:w="2693" w:type="dxa"/>
          </w:tcPr>
          <w:p w:rsidR="001F3858" w:rsidRPr="0082461D" w:rsidRDefault="001F3858"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TSB</w:t>
            </w:r>
          </w:p>
        </w:tc>
      </w:tr>
    </w:tbl>
    <w:p w:rsidR="001F3858" w:rsidRPr="0082461D" w:rsidRDefault="001F3858" w:rsidP="001D547C"/>
    <w:tbl>
      <w:tblPr>
        <w:tblStyle w:val="GridTable4-Accent115"/>
        <w:tblW w:w="14170" w:type="dxa"/>
        <w:tblLayout w:type="fixed"/>
        <w:tblLook w:val="06A0" w:firstRow="1" w:lastRow="0" w:firstColumn="1" w:lastColumn="0" w:noHBand="1" w:noVBand="1"/>
      </w:tblPr>
      <w:tblGrid>
        <w:gridCol w:w="5807"/>
        <w:gridCol w:w="1985"/>
        <w:gridCol w:w="2126"/>
        <w:gridCol w:w="2126"/>
        <w:gridCol w:w="2126"/>
      </w:tblGrid>
      <w:tr w:rsidR="001F3858" w:rsidRPr="0082461D" w:rsidTr="007D23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vAlign w:val="center"/>
          </w:tcPr>
          <w:p w:rsidR="001F3858" w:rsidRPr="0082461D" w:rsidRDefault="001F3858" w:rsidP="001D547C">
            <w:pPr>
              <w:pStyle w:val="Tablehead"/>
              <w:rPr>
                <w:b/>
                <w:bCs w:val="0"/>
                <w:sz w:val="20"/>
                <w:szCs w:val="20"/>
              </w:rPr>
            </w:pPr>
            <w:r w:rsidRPr="0082461D">
              <w:rPr>
                <w:b/>
                <w:bCs w:val="0"/>
                <w:sz w:val="20"/>
                <w:szCs w:val="20"/>
              </w:rPr>
              <w:t>Produit</w:t>
            </w:r>
          </w:p>
        </w:tc>
        <w:tc>
          <w:tcPr>
            <w:tcW w:w="8363" w:type="dxa"/>
            <w:gridSpan w:val="4"/>
            <w:vAlign w:val="center"/>
          </w:tcPr>
          <w:p w:rsidR="001F3858" w:rsidRPr="0082461D" w:rsidRDefault="001F3858" w:rsidP="001D547C">
            <w:pPr>
              <w:pStyle w:val="Tablehead"/>
              <w:cnfStyle w:val="100000000000" w:firstRow="1" w:lastRow="0" w:firstColumn="0" w:lastColumn="0" w:oddVBand="0" w:evenVBand="0" w:oddHBand="0" w:evenHBand="0" w:firstRowFirstColumn="0" w:firstRowLastColumn="0" w:lastRowFirstColumn="0" w:lastRowLastColumn="0"/>
              <w:rPr>
                <w:b/>
                <w:bCs w:val="0"/>
                <w:sz w:val="20"/>
              </w:rPr>
            </w:pPr>
            <w:r w:rsidRPr="0082461D">
              <w:rPr>
                <w:b/>
                <w:bCs w:val="0"/>
                <w:sz w:val="20"/>
                <w:szCs w:val="20"/>
              </w:rPr>
              <w:t>Ressources financières (en CHF)</w:t>
            </w:r>
          </w:p>
        </w:tc>
      </w:tr>
      <w:tr w:rsidR="001F3858"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1F3858" w:rsidRPr="0082461D" w:rsidRDefault="001F3858" w:rsidP="001D547C">
            <w:pPr>
              <w:pStyle w:val="Tabletext"/>
              <w:rPr>
                <w:noProof/>
                <w:color w:val="4F81BD" w:themeColor="accent1"/>
                <w:sz w:val="20"/>
                <w:lang w:eastAsia="zh-CN"/>
              </w:rPr>
            </w:pPr>
          </w:p>
        </w:tc>
        <w:tc>
          <w:tcPr>
            <w:tcW w:w="1985" w:type="dxa"/>
          </w:tcPr>
          <w:p w:rsidR="001F3858" w:rsidRPr="0082461D" w:rsidRDefault="001F3858"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2020</w:t>
            </w:r>
          </w:p>
        </w:tc>
        <w:tc>
          <w:tcPr>
            <w:tcW w:w="2126" w:type="dxa"/>
          </w:tcPr>
          <w:p w:rsidR="001F3858" w:rsidRPr="0082461D" w:rsidRDefault="001F3858"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2021</w:t>
            </w:r>
          </w:p>
        </w:tc>
        <w:tc>
          <w:tcPr>
            <w:tcW w:w="2126" w:type="dxa"/>
          </w:tcPr>
          <w:p w:rsidR="001F3858" w:rsidRPr="0082461D" w:rsidRDefault="001F3858"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2022</w:t>
            </w:r>
          </w:p>
        </w:tc>
        <w:tc>
          <w:tcPr>
            <w:tcW w:w="2126" w:type="dxa"/>
          </w:tcPr>
          <w:p w:rsidR="001F3858" w:rsidRPr="0082461D" w:rsidRDefault="001F3858"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2023</w:t>
            </w:r>
          </w:p>
        </w:tc>
      </w:tr>
      <w:tr w:rsidR="0061544C"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61544C" w:rsidRPr="0082461D" w:rsidRDefault="0061544C" w:rsidP="001D547C">
            <w:pPr>
              <w:pStyle w:val="Tabletext"/>
              <w:rPr>
                <w:b w:val="0"/>
                <w:bCs w:val="0"/>
                <w:sz w:val="20"/>
                <w:szCs w:val="20"/>
              </w:rPr>
            </w:pPr>
            <w:r w:rsidRPr="0082461D">
              <w:rPr>
                <w:rFonts w:eastAsia="Times New Roman" w:cs="Times New Roman"/>
                <w:noProof/>
                <w:color w:val="4F81BD" w:themeColor="accent1"/>
                <w:sz w:val="20"/>
                <w:szCs w:val="20"/>
                <w:lang w:eastAsia="zh-CN"/>
              </w:rPr>
              <w:t>I.5-1</w:t>
            </w:r>
            <w:r w:rsidRPr="0082461D">
              <w:rPr>
                <w:b w:val="0"/>
                <w:bCs w:val="0"/>
                <w:sz w:val="20"/>
                <w:szCs w:val="20"/>
              </w:rPr>
              <w:t>: Politiques et normes en matière d'efficacité énergétique</w:t>
            </w:r>
          </w:p>
        </w:tc>
        <w:tc>
          <w:tcPr>
            <w:tcW w:w="1985"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132 738</w:t>
            </w:r>
          </w:p>
        </w:tc>
        <w:tc>
          <w:tcPr>
            <w:tcW w:w="2126"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132 739</w:t>
            </w:r>
          </w:p>
        </w:tc>
        <w:tc>
          <w:tcPr>
            <w:tcW w:w="2126"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133 291</w:t>
            </w:r>
          </w:p>
        </w:tc>
        <w:tc>
          <w:tcPr>
            <w:tcW w:w="2126"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132 159</w:t>
            </w:r>
          </w:p>
        </w:tc>
      </w:tr>
      <w:tr w:rsidR="0061544C"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61544C" w:rsidRPr="0082461D" w:rsidRDefault="0061544C" w:rsidP="001D547C">
            <w:pPr>
              <w:pStyle w:val="Tabletext"/>
              <w:rPr>
                <w:b w:val="0"/>
                <w:bCs w:val="0"/>
                <w:sz w:val="20"/>
                <w:szCs w:val="20"/>
              </w:rPr>
            </w:pPr>
            <w:r w:rsidRPr="0082461D">
              <w:rPr>
                <w:rFonts w:eastAsia="Times New Roman" w:cs="Times New Roman"/>
                <w:noProof/>
                <w:color w:val="4F81BD" w:themeColor="accent1"/>
                <w:sz w:val="20"/>
                <w:szCs w:val="20"/>
                <w:lang w:eastAsia="zh-CN"/>
              </w:rPr>
              <w:t>I.5-2</w:t>
            </w:r>
            <w:r w:rsidRPr="0082461D">
              <w:rPr>
                <w:b w:val="0"/>
                <w:bCs w:val="0"/>
                <w:sz w:val="20"/>
                <w:szCs w:val="20"/>
              </w:rPr>
              <w:t>: Sécurité et performance environnementale des équipements et des installations TIC (gestion des déchets d'équipements électriques et électroniques)</w:t>
            </w:r>
          </w:p>
        </w:tc>
        <w:tc>
          <w:tcPr>
            <w:tcW w:w="1985"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132 738</w:t>
            </w:r>
          </w:p>
        </w:tc>
        <w:tc>
          <w:tcPr>
            <w:tcW w:w="2126"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132 739</w:t>
            </w:r>
          </w:p>
        </w:tc>
        <w:tc>
          <w:tcPr>
            <w:tcW w:w="2126"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133 291</w:t>
            </w:r>
          </w:p>
        </w:tc>
        <w:tc>
          <w:tcPr>
            <w:tcW w:w="2126"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132 159</w:t>
            </w:r>
          </w:p>
        </w:tc>
      </w:tr>
      <w:tr w:rsidR="0061544C"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61544C" w:rsidRPr="0082461D" w:rsidRDefault="0061544C" w:rsidP="00AB308D">
            <w:pPr>
              <w:pStyle w:val="Tabletext"/>
              <w:rPr>
                <w:b w:val="0"/>
                <w:bCs w:val="0"/>
                <w:sz w:val="20"/>
                <w:szCs w:val="20"/>
              </w:rPr>
            </w:pPr>
            <w:r w:rsidRPr="0082461D">
              <w:rPr>
                <w:rFonts w:eastAsia="Times New Roman" w:cs="Times New Roman"/>
                <w:noProof/>
                <w:color w:val="4F81BD" w:themeColor="accent1"/>
                <w:sz w:val="20"/>
                <w:szCs w:val="20"/>
                <w:lang w:eastAsia="zh-CN"/>
              </w:rPr>
              <w:t>I.5-3</w:t>
            </w:r>
            <w:r w:rsidRPr="0082461D">
              <w:rPr>
                <w:b w:val="0"/>
                <w:bCs w:val="0"/>
                <w:sz w:val="20"/>
                <w:szCs w:val="20"/>
              </w:rPr>
              <w:t>: Plate-forme mondiale pour les villes intelligentes et durables, y</w:t>
            </w:r>
            <w:r w:rsidR="00AB308D">
              <w:rPr>
                <w:b w:val="0"/>
                <w:bCs w:val="0"/>
                <w:sz w:val="20"/>
                <w:szCs w:val="20"/>
              </w:rPr>
              <w:t> </w:t>
            </w:r>
            <w:r w:rsidRPr="0082461D">
              <w:rPr>
                <w:b w:val="0"/>
                <w:bCs w:val="0"/>
                <w:sz w:val="20"/>
                <w:szCs w:val="20"/>
              </w:rPr>
              <w:t>compris élaboration d'indicateurs fondamentaux de performance</w:t>
            </w:r>
          </w:p>
        </w:tc>
        <w:tc>
          <w:tcPr>
            <w:tcW w:w="1985"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132 738</w:t>
            </w:r>
          </w:p>
        </w:tc>
        <w:tc>
          <w:tcPr>
            <w:tcW w:w="2126"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132 739</w:t>
            </w:r>
          </w:p>
        </w:tc>
        <w:tc>
          <w:tcPr>
            <w:tcW w:w="2126"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133 291</w:t>
            </w:r>
          </w:p>
        </w:tc>
        <w:tc>
          <w:tcPr>
            <w:tcW w:w="2126"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132 159</w:t>
            </w:r>
          </w:p>
        </w:tc>
      </w:tr>
      <w:tr w:rsidR="0061544C"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61544C" w:rsidRPr="0082461D" w:rsidRDefault="0061544C" w:rsidP="001D547C">
            <w:pPr>
              <w:pStyle w:val="Tabletext"/>
              <w:rPr>
                <w:noProof/>
                <w:color w:val="4F81BD" w:themeColor="accent1"/>
                <w:sz w:val="20"/>
                <w:lang w:eastAsia="zh-CN"/>
              </w:rPr>
            </w:pPr>
            <w:r w:rsidRPr="0082461D">
              <w:rPr>
                <w:noProof/>
                <w:color w:val="4F81BD" w:themeColor="accent1"/>
                <w:sz w:val="20"/>
                <w:lang w:eastAsia="zh-CN"/>
              </w:rPr>
              <w:t>Total pou</w:t>
            </w:r>
            <w:r w:rsidR="00A55FD2" w:rsidRPr="0082461D">
              <w:rPr>
                <w:noProof/>
                <w:color w:val="4F81BD" w:themeColor="accent1"/>
                <w:sz w:val="20"/>
                <w:lang w:eastAsia="zh-CN"/>
              </w:rPr>
              <w:t>r</w:t>
            </w:r>
            <w:r w:rsidRPr="0082461D">
              <w:rPr>
                <w:noProof/>
                <w:color w:val="4F81BD" w:themeColor="accent1"/>
                <w:sz w:val="20"/>
                <w:lang w:eastAsia="zh-CN"/>
              </w:rPr>
              <w:t xml:space="preserve"> l'Objectif I.5</w:t>
            </w:r>
          </w:p>
        </w:tc>
        <w:tc>
          <w:tcPr>
            <w:tcW w:w="1985"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398 214</w:t>
            </w:r>
          </w:p>
        </w:tc>
        <w:tc>
          <w:tcPr>
            <w:tcW w:w="2126"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398 216</w:t>
            </w:r>
          </w:p>
        </w:tc>
        <w:tc>
          <w:tcPr>
            <w:tcW w:w="2126"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399 872</w:t>
            </w:r>
          </w:p>
        </w:tc>
        <w:tc>
          <w:tcPr>
            <w:tcW w:w="2126"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396 478</w:t>
            </w:r>
          </w:p>
        </w:tc>
      </w:tr>
    </w:tbl>
    <w:p w:rsidR="00255A4C" w:rsidRPr="0082461D" w:rsidRDefault="00255A4C" w:rsidP="001D547C"/>
    <w:p w:rsidR="0061544C" w:rsidRPr="0082461D" w:rsidRDefault="0061544C" w:rsidP="001D547C">
      <w:pPr>
        <w:tabs>
          <w:tab w:val="clear" w:pos="794"/>
          <w:tab w:val="clear" w:pos="1191"/>
          <w:tab w:val="clear" w:pos="1588"/>
          <w:tab w:val="clear" w:pos="1985"/>
        </w:tabs>
        <w:overflowPunct/>
        <w:autoSpaceDE/>
        <w:autoSpaceDN/>
        <w:adjustRightInd/>
        <w:spacing w:before="0"/>
        <w:textAlignment w:val="auto"/>
      </w:pPr>
      <w:r w:rsidRPr="0082461D">
        <w:br w:type="page"/>
      </w:r>
    </w:p>
    <w:p w:rsidR="00E25884" w:rsidRPr="0082461D" w:rsidRDefault="00E25884" w:rsidP="001D547C">
      <w:pPr>
        <w:spacing w:after="120"/>
      </w:pPr>
      <w:r w:rsidRPr="0082461D">
        <w:lastRenderedPageBreak/>
        <w:t>I.6</w:t>
      </w:r>
      <w:r w:rsidRPr="0082461D">
        <w:tab/>
        <w:t>Réduire les chevauchements et les doubles emplois et favoriser une coordination plus étroite et transparente entre le Secrétariat général et les Secteurs de l'UIT, compte tenu des crédits budgétaires de l'Union ainsi que des compétences spécialisées et du mandat de chaque Secteur</w:t>
      </w:r>
    </w:p>
    <w:tbl>
      <w:tblPr>
        <w:tblStyle w:val="GridTable4-Accent115"/>
        <w:tblW w:w="14170" w:type="dxa"/>
        <w:tblLayout w:type="fixed"/>
        <w:tblLook w:val="06A0" w:firstRow="1" w:lastRow="0" w:firstColumn="1" w:lastColumn="0" w:noHBand="1" w:noVBand="1"/>
      </w:tblPr>
      <w:tblGrid>
        <w:gridCol w:w="2830"/>
        <w:gridCol w:w="8647"/>
        <w:gridCol w:w="2693"/>
      </w:tblGrid>
      <w:tr w:rsidR="00E25884" w:rsidRPr="0082461D" w:rsidTr="007D23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rsidR="00E25884" w:rsidRPr="0082461D" w:rsidRDefault="00E25884" w:rsidP="001D547C">
            <w:pPr>
              <w:pStyle w:val="Tablehead"/>
              <w:rPr>
                <w:b/>
                <w:bCs w:val="0"/>
                <w:sz w:val="20"/>
                <w:szCs w:val="20"/>
              </w:rPr>
            </w:pPr>
            <w:r w:rsidRPr="0082461D">
              <w:rPr>
                <w:b/>
                <w:bCs w:val="0"/>
                <w:sz w:val="20"/>
                <w:szCs w:val="20"/>
              </w:rPr>
              <w:t>Résultats</w:t>
            </w:r>
          </w:p>
        </w:tc>
        <w:tc>
          <w:tcPr>
            <w:tcW w:w="8647" w:type="dxa"/>
            <w:vAlign w:val="center"/>
          </w:tcPr>
          <w:p w:rsidR="00E25884" w:rsidRPr="0082461D" w:rsidRDefault="00E25884"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Indicateur de résultat</w:t>
            </w:r>
          </w:p>
        </w:tc>
        <w:tc>
          <w:tcPr>
            <w:tcW w:w="2693" w:type="dxa"/>
            <w:vAlign w:val="center"/>
          </w:tcPr>
          <w:p w:rsidR="00E25884" w:rsidRPr="0082461D" w:rsidRDefault="00E25884"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Mesures d'atténuation</w:t>
            </w:r>
          </w:p>
        </w:tc>
      </w:tr>
      <w:tr w:rsidR="00E25884"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E25884" w:rsidRPr="0082461D" w:rsidRDefault="00E25884" w:rsidP="001D547C">
            <w:pPr>
              <w:pStyle w:val="Tabletext"/>
              <w:rPr>
                <w:b w:val="0"/>
                <w:bCs w:val="0"/>
                <w:sz w:val="20"/>
                <w:szCs w:val="20"/>
              </w:rPr>
            </w:pPr>
            <w:r w:rsidRPr="0082461D">
              <w:rPr>
                <w:rFonts w:eastAsia="Times New Roman" w:cs="Times New Roman"/>
                <w:noProof/>
                <w:color w:val="4F81BD" w:themeColor="accent1"/>
                <w:sz w:val="20"/>
                <w:szCs w:val="20"/>
                <w:lang w:eastAsia="zh-CN"/>
              </w:rPr>
              <w:t>I.6-a</w:t>
            </w:r>
            <w:r w:rsidR="00F132DB" w:rsidRPr="0082461D">
              <w:rPr>
                <w:noProof/>
                <w:color w:val="4F81BD" w:themeColor="accent1"/>
                <w:sz w:val="20"/>
                <w:lang w:eastAsia="zh-CN"/>
              </w:rPr>
              <w:t>:</w:t>
            </w:r>
            <w:r w:rsidRPr="0082461D">
              <w:rPr>
                <w:b w:val="0"/>
                <w:bCs w:val="0"/>
                <w:sz w:val="20"/>
                <w:szCs w:val="20"/>
              </w:rPr>
              <w:t xml:space="preserve"> Collaboration plus étroite et transparente entre les Secteurs de l'UIT, le Secrétariat général et les trois Bureaux</w:t>
            </w:r>
          </w:p>
        </w:tc>
        <w:tc>
          <w:tcPr>
            <w:tcW w:w="8647" w:type="dxa"/>
          </w:tcPr>
          <w:p w:rsidR="00E25884" w:rsidRPr="0082461D" w:rsidRDefault="00A55FD2" w:rsidP="001D547C">
            <w:pPr>
              <w:pStyle w:val="TabletextAsianBodyCalibri"/>
              <w:cnfStyle w:val="000000000000" w:firstRow="0" w:lastRow="0" w:firstColumn="0" w:lastColumn="0" w:oddVBand="0" w:evenVBand="0" w:oddHBand="0" w:evenHBand="0" w:firstRowFirstColumn="0" w:firstRowLastColumn="0" w:lastRowFirstColumn="0" w:lastRowLastColumn="0"/>
              <w:rPr>
                <w:i/>
                <w:iCs/>
                <w:szCs w:val="20"/>
                <w:lang w:val="fr-CH"/>
              </w:rPr>
            </w:pPr>
            <w:r w:rsidRPr="0082461D">
              <w:rPr>
                <w:rFonts w:eastAsia="Times New Roman" w:cs="Times New Roman"/>
                <w:i/>
                <w:iCs/>
                <w:noProof/>
                <w:color w:val="4F81BD" w:themeColor="accent1"/>
                <w:szCs w:val="20"/>
                <w:lang w:val="fr-CH" w:eastAsia="zh-CN"/>
              </w:rPr>
              <w:t xml:space="preserve">Nouveau </w:t>
            </w:r>
            <w:r w:rsidR="00A220BA" w:rsidRPr="0082461D">
              <w:rPr>
                <w:rFonts w:eastAsia="Times New Roman" w:cs="Times New Roman"/>
                <w:i/>
                <w:iCs/>
                <w:noProof/>
                <w:color w:val="4F81BD" w:themeColor="accent1"/>
                <w:szCs w:val="20"/>
                <w:lang w:val="fr-CH" w:eastAsia="zh-CN"/>
              </w:rPr>
              <w:t>r</w:t>
            </w:r>
            <w:r w:rsidRPr="0082461D">
              <w:rPr>
                <w:rFonts w:eastAsia="Times New Roman" w:cs="Times New Roman"/>
                <w:i/>
                <w:iCs/>
                <w:noProof/>
                <w:color w:val="4F81BD" w:themeColor="accent1"/>
                <w:szCs w:val="20"/>
                <w:lang w:val="fr-CH" w:eastAsia="zh-CN"/>
              </w:rPr>
              <w:t xml:space="preserve">ésultat (Plan stratégique </w:t>
            </w:r>
            <w:r w:rsidR="00031587" w:rsidRPr="0082461D">
              <w:rPr>
                <w:rFonts w:eastAsia="Times New Roman" w:cs="Times New Roman"/>
                <w:i/>
                <w:iCs/>
                <w:noProof/>
                <w:color w:val="4F81BD" w:themeColor="accent1"/>
                <w:szCs w:val="20"/>
                <w:lang w:val="fr-CH" w:eastAsia="zh-CN"/>
              </w:rPr>
              <w:t xml:space="preserve">pour la période </w:t>
            </w:r>
            <w:r w:rsidR="00E25884" w:rsidRPr="0082461D">
              <w:rPr>
                <w:rFonts w:eastAsia="Times New Roman" w:cs="Times New Roman"/>
                <w:i/>
                <w:iCs/>
                <w:noProof/>
                <w:color w:val="4F81BD" w:themeColor="accent1"/>
                <w:szCs w:val="20"/>
                <w:lang w:val="fr-CH" w:eastAsia="zh-CN"/>
              </w:rPr>
              <w:t>2020-2023)</w:t>
            </w:r>
          </w:p>
          <w:p w:rsidR="00E25884" w:rsidRPr="0082461D" w:rsidRDefault="00E25884"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N</w:t>
            </w:r>
            <w:r w:rsidR="00A55FD2" w:rsidRPr="0082461D">
              <w:rPr>
                <w:szCs w:val="20"/>
                <w:lang w:val="fr-CH"/>
              </w:rPr>
              <w:t xml:space="preserve">ombre de manifestations </w:t>
            </w:r>
            <w:proofErr w:type="spellStart"/>
            <w:r w:rsidR="00A55FD2" w:rsidRPr="0082461D">
              <w:rPr>
                <w:szCs w:val="20"/>
                <w:lang w:val="fr-CH"/>
              </w:rPr>
              <w:t>co</w:t>
            </w:r>
            <w:proofErr w:type="spellEnd"/>
            <w:r w:rsidR="00A55FD2" w:rsidRPr="0082461D">
              <w:rPr>
                <w:szCs w:val="20"/>
                <w:lang w:val="fr-CH"/>
              </w:rPr>
              <w:t>-organisées par au moins 2 Secteurs</w:t>
            </w:r>
          </w:p>
          <w:p w:rsidR="00E25884" w:rsidRPr="0082461D" w:rsidRDefault="00A55FD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 xml:space="preserve">Stratégie de coordination intersectorielle en </w:t>
            </w:r>
            <w:r w:rsidR="00A220BA" w:rsidRPr="0082461D">
              <w:rPr>
                <w:szCs w:val="20"/>
                <w:lang w:val="fr-CH"/>
              </w:rPr>
              <w:t>place</w:t>
            </w:r>
          </w:p>
        </w:tc>
        <w:tc>
          <w:tcPr>
            <w:tcW w:w="2693" w:type="dxa"/>
          </w:tcPr>
          <w:p w:rsidR="00E25884" w:rsidRPr="0082461D" w:rsidRDefault="00E2588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Bureaux</w:t>
            </w:r>
          </w:p>
          <w:p w:rsidR="00E25884" w:rsidRPr="0082461D" w:rsidRDefault="00A55FD2"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Secrétariat du Groupe</w:t>
            </w:r>
            <w:r w:rsidR="00A220BA" w:rsidRPr="0082461D">
              <w:rPr>
                <w:sz w:val="20"/>
                <w:szCs w:val="20"/>
              </w:rPr>
              <w:t xml:space="preserve"> </w:t>
            </w:r>
            <w:r w:rsidRPr="0082461D">
              <w:rPr>
                <w:sz w:val="20"/>
                <w:szCs w:val="20"/>
              </w:rPr>
              <w:t>ISC-TF</w:t>
            </w:r>
          </w:p>
        </w:tc>
      </w:tr>
      <w:tr w:rsidR="00E25884"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E25884" w:rsidRPr="0082461D" w:rsidRDefault="00E25884" w:rsidP="0082461D">
            <w:pPr>
              <w:pStyle w:val="Tabletext"/>
              <w:rPr>
                <w:noProof/>
                <w:color w:val="4F81BD" w:themeColor="accent1"/>
                <w:sz w:val="20"/>
                <w:lang w:eastAsia="zh-CN"/>
              </w:rPr>
            </w:pPr>
            <w:r w:rsidRPr="0082461D">
              <w:rPr>
                <w:rFonts w:eastAsia="Times New Roman" w:cs="Times New Roman"/>
                <w:noProof/>
                <w:color w:val="4F81BD" w:themeColor="accent1"/>
                <w:sz w:val="20"/>
                <w:szCs w:val="20"/>
                <w:lang w:eastAsia="zh-CN"/>
              </w:rPr>
              <w:t>I.6-b</w:t>
            </w:r>
            <w:r w:rsidRPr="0082461D">
              <w:rPr>
                <w:noProof/>
                <w:color w:val="4F81BD" w:themeColor="accent1"/>
                <w:sz w:val="20"/>
                <w:lang w:eastAsia="zh-CN"/>
              </w:rPr>
              <w:t>:</w:t>
            </w:r>
            <w:r w:rsidR="00F132DB">
              <w:rPr>
                <w:noProof/>
                <w:color w:val="4F81BD" w:themeColor="accent1"/>
                <w:sz w:val="20"/>
                <w:lang w:eastAsia="zh-CN"/>
              </w:rPr>
              <w:t xml:space="preserve"> </w:t>
            </w:r>
            <w:r w:rsidRPr="0082461D">
              <w:rPr>
                <w:b w:val="0"/>
                <w:bCs w:val="0"/>
                <w:noProof/>
                <w:sz w:val="20"/>
                <w:lang w:eastAsia="zh-CN"/>
              </w:rPr>
              <w:t>Réduction des chevauchements et des doubles emplois entre les Secteurs de l'UIT et les travaux du Secrétariat général et des trois Bureaux</w:t>
            </w:r>
          </w:p>
        </w:tc>
        <w:tc>
          <w:tcPr>
            <w:tcW w:w="8647" w:type="dxa"/>
          </w:tcPr>
          <w:p w:rsidR="00E25884" w:rsidRPr="0082461D" w:rsidRDefault="00A55FD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rFonts w:eastAsia="Times New Roman" w:cs="Times New Roman"/>
                <w:i/>
                <w:iCs/>
                <w:noProof/>
                <w:color w:val="4F81BD" w:themeColor="accent1"/>
                <w:szCs w:val="20"/>
                <w:lang w:val="fr-CH" w:eastAsia="zh-CN"/>
              </w:rPr>
              <w:t xml:space="preserve">Nouveau </w:t>
            </w:r>
            <w:r w:rsidR="00A220BA" w:rsidRPr="0082461D">
              <w:rPr>
                <w:rFonts w:eastAsia="Times New Roman" w:cs="Times New Roman"/>
                <w:i/>
                <w:iCs/>
                <w:noProof/>
                <w:color w:val="4F81BD" w:themeColor="accent1"/>
                <w:szCs w:val="20"/>
                <w:lang w:val="fr-CH" w:eastAsia="zh-CN"/>
              </w:rPr>
              <w:t>r</w:t>
            </w:r>
            <w:r w:rsidRPr="0082461D">
              <w:rPr>
                <w:rFonts w:eastAsia="Times New Roman" w:cs="Times New Roman"/>
                <w:i/>
                <w:iCs/>
                <w:noProof/>
                <w:color w:val="4F81BD" w:themeColor="accent1"/>
                <w:szCs w:val="20"/>
                <w:lang w:val="fr-CH" w:eastAsia="zh-CN"/>
              </w:rPr>
              <w:t xml:space="preserve">ésultat (Plan stratégique </w:t>
            </w:r>
            <w:r w:rsidR="00031587" w:rsidRPr="0082461D">
              <w:rPr>
                <w:rFonts w:eastAsia="Times New Roman" w:cs="Times New Roman"/>
                <w:i/>
                <w:iCs/>
                <w:noProof/>
                <w:color w:val="4F81BD" w:themeColor="accent1"/>
                <w:szCs w:val="20"/>
                <w:lang w:val="fr-CH" w:eastAsia="zh-CN"/>
              </w:rPr>
              <w:t xml:space="preserve">pour la période </w:t>
            </w:r>
            <w:r w:rsidR="00E25884" w:rsidRPr="0082461D">
              <w:rPr>
                <w:rFonts w:eastAsia="Times New Roman" w:cs="Times New Roman"/>
                <w:i/>
                <w:iCs/>
                <w:noProof/>
                <w:color w:val="4F81BD" w:themeColor="accent1"/>
                <w:szCs w:val="20"/>
                <w:lang w:val="fr-CH" w:eastAsia="zh-CN"/>
              </w:rPr>
              <w:t>2020-2023)</w:t>
            </w:r>
          </w:p>
          <w:p w:rsidR="00E25884" w:rsidRPr="0082461D" w:rsidRDefault="00A55FD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Application des métho</w:t>
            </w:r>
            <w:r w:rsidR="007E224D">
              <w:rPr>
                <w:szCs w:val="20"/>
                <w:lang w:val="fr-CH"/>
              </w:rPr>
              <w:t>des de travail du Groupe ISC-TF</w:t>
            </w:r>
          </w:p>
          <w:p w:rsidR="00E25884" w:rsidRPr="0082461D" w:rsidRDefault="00A55FD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Nombre de chevauchements recensés et éliminés</w:t>
            </w:r>
          </w:p>
        </w:tc>
        <w:tc>
          <w:tcPr>
            <w:tcW w:w="2693" w:type="dxa"/>
          </w:tcPr>
          <w:p w:rsidR="00E25884" w:rsidRPr="0082461D" w:rsidRDefault="00A55FD2"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Secrétariat du Groupe ISC-TF</w:t>
            </w:r>
          </w:p>
        </w:tc>
      </w:tr>
      <w:tr w:rsidR="00E25884"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E25884" w:rsidRPr="0082461D" w:rsidRDefault="00E25884" w:rsidP="001D547C">
            <w:pPr>
              <w:pStyle w:val="Tabletext"/>
              <w:rPr>
                <w:noProof/>
                <w:color w:val="4F81BD" w:themeColor="accent1"/>
                <w:sz w:val="20"/>
                <w:lang w:eastAsia="zh-CN"/>
              </w:rPr>
            </w:pPr>
            <w:r w:rsidRPr="0082461D">
              <w:rPr>
                <w:rFonts w:eastAsia="Times New Roman" w:cs="Times New Roman"/>
                <w:noProof/>
                <w:color w:val="4F81BD" w:themeColor="accent1"/>
                <w:sz w:val="20"/>
                <w:szCs w:val="20"/>
                <w:lang w:eastAsia="zh-CN"/>
              </w:rPr>
              <w:t>I.6-c:</w:t>
            </w:r>
            <w:r w:rsidR="00F132DB">
              <w:rPr>
                <w:rFonts w:eastAsia="Times New Roman" w:cs="Times New Roman"/>
                <w:noProof/>
                <w:color w:val="4F81BD" w:themeColor="accent1"/>
                <w:sz w:val="20"/>
                <w:szCs w:val="20"/>
                <w:lang w:eastAsia="zh-CN"/>
              </w:rPr>
              <w:t xml:space="preserve"> </w:t>
            </w:r>
            <w:r w:rsidRPr="0082461D">
              <w:rPr>
                <w:rFonts w:eastAsia="Times New Roman" w:cs="Times New Roman"/>
                <w:b w:val="0"/>
                <w:bCs w:val="0"/>
                <w:noProof/>
                <w:sz w:val="20"/>
                <w:szCs w:val="20"/>
                <w:lang w:eastAsia="zh-CN"/>
              </w:rPr>
              <w:t>Réalisation d'économies en évitant les chevauchements</w:t>
            </w:r>
          </w:p>
        </w:tc>
        <w:tc>
          <w:tcPr>
            <w:tcW w:w="8647" w:type="dxa"/>
          </w:tcPr>
          <w:p w:rsidR="00E25884" w:rsidRPr="0082461D" w:rsidRDefault="00A55FD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rFonts w:eastAsia="Times New Roman" w:cs="Times New Roman"/>
                <w:i/>
                <w:iCs/>
                <w:noProof/>
                <w:color w:val="4F81BD" w:themeColor="accent1"/>
                <w:szCs w:val="20"/>
                <w:lang w:val="fr-CH" w:eastAsia="zh-CN"/>
              </w:rPr>
              <w:t xml:space="preserve">Nouveau </w:t>
            </w:r>
            <w:r w:rsidR="00A220BA" w:rsidRPr="0082461D">
              <w:rPr>
                <w:rFonts w:eastAsia="Times New Roman" w:cs="Times New Roman"/>
                <w:i/>
                <w:iCs/>
                <w:noProof/>
                <w:color w:val="4F81BD" w:themeColor="accent1"/>
                <w:szCs w:val="20"/>
                <w:lang w:val="fr-CH" w:eastAsia="zh-CN"/>
              </w:rPr>
              <w:t>ré</w:t>
            </w:r>
            <w:r w:rsidRPr="0082461D">
              <w:rPr>
                <w:rFonts w:eastAsia="Times New Roman" w:cs="Times New Roman"/>
                <w:i/>
                <w:iCs/>
                <w:noProof/>
                <w:color w:val="4F81BD" w:themeColor="accent1"/>
                <w:szCs w:val="20"/>
                <w:lang w:val="fr-CH" w:eastAsia="zh-CN"/>
              </w:rPr>
              <w:t xml:space="preserve">sultat (Plan stratégique </w:t>
            </w:r>
            <w:r w:rsidR="00031587" w:rsidRPr="0082461D">
              <w:rPr>
                <w:rFonts w:eastAsia="Times New Roman" w:cs="Times New Roman"/>
                <w:i/>
                <w:iCs/>
                <w:noProof/>
                <w:color w:val="4F81BD" w:themeColor="accent1"/>
                <w:szCs w:val="20"/>
                <w:lang w:val="fr-CH" w:eastAsia="zh-CN"/>
              </w:rPr>
              <w:t xml:space="preserve">pour la période </w:t>
            </w:r>
            <w:r w:rsidR="00E25884" w:rsidRPr="0082461D">
              <w:rPr>
                <w:rFonts w:eastAsia="Times New Roman" w:cs="Times New Roman"/>
                <w:i/>
                <w:iCs/>
                <w:noProof/>
                <w:color w:val="4F81BD" w:themeColor="accent1"/>
                <w:szCs w:val="20"/>
                <w:lang w:val="fr-CH" w:eastAsia="zh-CN"/>
              </w:rPr>
              <w:t>2020-2023)</w:t>
            </w:r>
          </w:p>
          <w:p w:rsidR="00E25884" w:rsidRPr="0082461D" w:rsidRDefault="00A55FD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Réduction de</w:t>
            </w:r>
            <w:r w:rsidR="00A220BA" w:rsidRPr="0082461D">
              <w:rPr>
                <w:szCs w:val="20"/>
                <w:lang w:val="fr-CH"/>
              </w:rPr>
              <w:t>s</w:t>
            </w:r>
            <w:r w:rsidRPr="0082461D">
              <w:rPr>
                <w:szCs w:val="20"/>
                <w:lang w:val="fr-CH"/>
              </w:rPr>
              <w:t xml:space="preserve"> coûts grâce aux mesures</w:t>
            </w:r>
            <w:r w:rsidR="00B85DCA" w:rsidRPr="0082461D">
              <w:rPr>
                <w:szCs w:val="20"/>
                <w:lang w:val="fr-CH"/>
              </w:rPr>
              <w:t xml:space="preserve"> d'efficacité visant à </w:t>
            </w:r>
            <w:r w:rsidR="00A220BA" w:rsidRPr="0082461D">
              <w:rPr>
                <w:szCs w:val="20"/>
                <w:lang w:val="fr-CH"/>
              </w:rPr>
              <w:t>mettre en évidence et à supprimer</w:t>
            </w:r>
            <w:r w:rsidR="00B85DCA" w:rsidRPr="0082461D">
              <w:rPr>
                <w:szCs w:val="20"/>
                <w:lang w:val="fr-CH"/>
              </w:rPr>
              <w:t xml:space="preserve"> tous les types et tous les cas de double</w:t>
            </w:r>
            <w:r w:rsidR="00846FE3" w:rsidRPr="0082461D">
              <w:rPr>
                <w:szCs w:val="20"/>
                <w:lang w:val="fr-CH"/>
              </w:rPr>
              <w:t xml:space="preserve"> </w:t>
            </w:r>
            <w:r w:rsidR="00B85DCA" w:rsidRPr="0082461D">
              <w:rPr>
                <w:szCs w:val="20"/>
                <w:lang w:val="fr-CH"/>
              </w:rPr>
              <w:t>emploi</w:t>
            </w:r>
          </w:p>
        </w:tc>
        <w:tc>
          <w:tcPr>
            <w:tcW w:w="2693" w:type="dxa"/>
          </w:tcPr>
          <w:p w:rsidR="00E25884" w:rsidRPr="0082461D" w:rsidRDefault="00E2588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FRMD</w:t>
            </w:r>
          </w:p>
        </w:tc>
      </w:tr>
    </w:tbl>
    <w:p w:rsidR="00E25884" w:rsidRPr="0082461D" w:rsidRDefault="00E25884" w:rsidP="001D547C"/>
    <w:tbl>
      <w:tblPr>
        <w:tblStyle w:val="GridTable4-Accent115"/>
        <w:tblW w:w="14170" w:type="dxa"/>
        <w:tblLayout w:type="fixed"/>
        <w:tblLook w:val="06A0" w:firstRow="1" w:lastRow="0" w:firstColumn="1" w:lastColumn="0" w:noHBand="1" w:noVBand="1"/>
      </w:tblPr>
      <w:tblGrid>
        <w:gridCol w:w="6516"/>
        <w:gridCol w:w="1843"/>
        <w:gridCol w:w="1984"/>
        <w:gridCol w:w="1985"/>
        <w:gridCol w:w="1842"/>
      </w:tblGrid>
      <w:tr w:rsidR="00E25884" w:rsidRPr="0082461D" w:rsidTr="00F132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16" w:type="dxa"/>
            <w:vAlign w:val="center"/>
          </w:tcPr>
          <w:p w:rsidR="00E25884" w:rsidRPr="0082461D" w:rsidRDefault="00E25884" w:rsidP="001D547C">
            <w:pPr>
              <w:pStyle w:val="Tablehead"/>
              <w:rPr>
                <w:b/>
                <w:bCs w:val="0"/>
                <w:sz w:val="20"/>
                <w:szCs w:val="20"/>
              </w:rPr>
            </w:pPr>
            <w:r w:rsidRPr="0082461D">
              <w:rPr>
                <w:b/>
                <w:bCs w:val="0"/>
                <w:sz w:val="20"/>
                <w:szCs w:val="20"/>
              </w:rPr>
              <w:t>Produit</w:t>
            </w:r>
          </w:p>
        </w:tc>
        <w:tc>
          <w:tcPr>
            <w:tcW w:w="7654" w:type="dxa"/>
            <w:gridSpan w:val="4"/>
            <w:vAlign w:val="center"/>
          </w:tcPr>
          <w:p w:rsidR="00E25884" w:rsidRPr="0082461D" w:rsidRDefault="00E25884" w:rsidP="001D547C">
            <w:pPr>
              <w:pStyle w:val="Tablehead"/>
              <w:cnfStyle w:val="100000000000" w:firstRow="1" w:lastRow="0" w:firstColumn="0" w:lastColumn="0" w:oddVBand="0" w:evenVBand="0" w:oddHBand="0" w:evenHBand="0" w:firstRowFirstColumn="0" w:firstRowLastColumn="0" w:lastRowFirstColumn="0" w:lastRowLastColumn="0"/>
              <w:rPr>
                <w:b/>
                <w:bCs w:val="0"/>
                <w:sz w:val="20"/>
              </w:rPr>
            </w:pPr>
            <w:r w:rsidRPr="0082461D">
              <w:rPr>
                <w:b/>
                <w:bCs w:val="0"/>
                <w:sz w:val="20"/>
                <w:szCs w:val="20"/>
              </w:rPr>
              <w:t>Ressources financières (en CHF)</w:t>
            </w:r>
          </w:p>
        </w:tc>
      </w:tr>
      <w:tr w:rsidR="00E25884" w:rsidRPr="0082461D" w:rsidTr="00F132DB">
        <w:trPr>
          <w:trHeight w:val="567"/>
        </w:trPr>
        <w:tc>
          <w:tcPr>
            <w:cnfStyle w:val="001000000000" w:firstRow="0" w:lastRow="0" w:firstColumn="1" w:lastColumn="0" w:oddVBand="0" w:evenVBand="0" w:oddHBand="0" w:evenHBand="0" w:firstRowFirstColumn="0" w:firstRowLastColumn="0" w:lastRowFirstColumn="0" w:lastRowLastColumn="0"/>
            <w:tcW w:w="6516" w:type="dxa"/>
          </w:tcPr>
          <w:p w:rsidR="00E25884" w:rsidRPr="0082461D" w:rsidRDefault="00E25884" w:rsidP="001D547C">
            <w:pPr>
              <w:pStyle w:val="Tabletext"/>
              <w:rPr>
                <w:noProof/>
                <w:color w:val="4F81BD" w:themeColor="accent1"/>
                <w:sz w:val="20"/>
                <w:lang w:eastAsia="zh-CN"/>
              </w:rPr>
            </w:pPr>
          </w:p>
        </w:tc>
        <w:tc>
          <w:tcPr>
            <w:tcW w:w="1843" w:type="dxa"/>
          </w:tcPr>
          <w:p w:rsidR="00E25884" w:rsidRPr="0082461D" w:rsidRDefault="00E25884"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2020</w:t>
            </w:r>
          </w:p>
        </w:tc>
        <w:tc>
          <w:tcPr>
            <w:tcW w:w="1984" w:type="dxa"/>
          </w:tcPr>
          <w:p w:rsidR="00E25884" w:rsidRPr="0082461D" w:rsidRDefault="00E25884"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2021</w:t>
            </w:r>
          </w:p>
        </w:tc>
        <w:tc>
          <w:tcPr>
            <w:tcW w:w="1985" w:type="dxa"/>
          </w:tcPr>
          <w:p w:rsidR="00E25884" w:rsidRPr="0082461D" w:rsidRDefault="00E25884"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2022</w:t>
            </w:r>
          </w:p>
        </w:tc>
        <w:tc>
          <w:tcPr>
            <w:tcW w:w="1842" w:type="dxa"/>
          </w:tcPr>
          <w:p w:rsidR="00E25884" w:rsidRPr="0082461D" w:rsidRDefault="00E25884"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2023</w:t>
            </w:r>
          </w:p>
        </w:tc>
      </w:tr>
      <w:tr w:rsidR="006704A9" w:rsidRPr="0082461D" w:rsidTr="00F132DB">
        <w:trPr>
          <w:trHeight w:val="567"/>
        </w:trPr>
        <w:tc>
          <w:tcPr>
            <w:cnfStyle w:val="001000000000" w:firstRow="0" w:lastRow="0" w:firstColumn="1" w:lastColumn="0" w:oddVBand="0" w:evenVBand="0" w:oddHBand="0" w:evenHBand="0" w:firstRowFirstColumn="0" w:firstRowLastColumn="0" w:lastRowFirstColumn="0" w:lastRowLastColumn="0"/>
            <w:tcW w:w="6516" w:type="dxa"/>
          </w:tcPr>
          <w:p w:rsidR="006704A9" w:rsidRPr="0082461D" w:rsidRDefault="006704A9" w:rsidP="001D547C">
            <w:pPr>
              <w:pStyle w:val="Tabletext"/>
              <w:rPr>
                <w:b w:val="0"/>
                <w:bCs w:val="0"/>
                <w:sz w:val="20"/>
                <w:szCs w:val="20"/>
              </w:rPr>
            </w:pPr>
            <w:r w:rsidRPr="0082461D">
              <w:rPr>
                <w:rFonts w:eastAsia="Times New Roman" w:cs="Times New Roman"/>
                <w:noProof/>
                <w:color w:val="4F81BD" w:themeColor="accent1"/>
                <w:sz w:val="20"/>
                <w:szCs w:val="20"/>
                <w:lang w:eastAsia="zh-CN"/>
              </w:rPr>
              <w:t>I.6-1</w:t>
            </w:r>
            <w:r w:rsidRPr="0082461D">
              <w:rPr>
                <w:b w:val="0"/>
                <w:bCs w:val="0"/>
                <w:sz w:val="20"/>
                <w:szCs w:val="20"/>
              </w:rPr>
              <w:t>: Mettre en évidence et supprimer tous les types et tous les cas de recoupement des fonctions et de chevauchement des activités entre tous les organes structurels de l'UIT, en optimisant, notamment, les méthodes de gestion, la logistique, la coordination et l'appui fourni par le secrétariat.</w:t>
            </w:r>
          </w:p>
        </w:tc>
        <w:tc>
          <w:tcPr>
            <w:tcW w:w="1843" w:type="dxa"/>
          </w:tcPr>
          <w:p w:rsidR="006704A9" w:rsidRPr="0082461D" w:rsidRDefault="006704A9"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569 397</w:t>
            </w:r>
          </w:p>
        </w:tc>
        <w:tc>
          <w:tcPr>
            <w:tcW w:w="1984" w:type="dxa"/>
          </w:tcPr>
          <w:p w:rsidR="006704A9" w:rsidRPr="0082461D" w:rsidRDefault="006704A9"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569 388</w:t>
            </w:r>
          </w:p>
        </w:tc>
        <w:tc>
          <w:tcPr>
            <w:tcW w:w="1985" w:type="dxa"/>
          </w:tcPr>
          <w:p w:rsidR="006704A9" w:rsidRPr="0082461D" w:rsidRDefault="006704A9"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534 377</w:t>
            </w:r>
          </w:p>
        </w:tc>
        <w:tc>
          <w:tcPr>
            <w:tcW w:w="1842" w:type="dxa"/>
          </w:tcPr>
          <w:p w:rsidR="006704A9" w:rsidRPr="0082461D" w:rsidRDefault="006704A9"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562 818</w:t>
            </w:r>
          </w:p>
        </w:tc>
      </w:tr>
      <w:tr w:rsidR="006704A9" w:rsidRPr="0082461D" w:rsidTr="00F132DB">
        <w:trPr>
          <w:trHeight w:val="567"/>
        </w:trPr>
        <w:tc>
          <w:tcPr>
            <w:cnfStyle w:val="001000000000" w:firstRow="0" w:lastRow="0" w:firstColumn="1" w:lastColumn="0" w:oddVBand="0" w:evenVBand="0" w:oddHBand="0" w:evenHBand="0" w:firstRowFirstColumn="0" w:firstRowLastColumn="0" w:lastRowFirstColumn="0" w:lastRowLastColumn="0"/>
            <w:tcW w:w="6516" w:type="dxa"/>
          </w:tcPr>
          <w:p w:rsidR="006704A9" w:rsidRPr="0082461D" w:rsidRDefault="006704A9" w:rsidP="00031587">
            <w:pPr>
              <w:pStyle w:val="Tabletext"/>
              <w:rPr>
                <w:b w:val="0"/>
                <w:bCs w:val="0"/>
                <w:sz w:val="20"/>
                <w:szCs w:val="20"/>
              </w:rPr>
            </w:pPr>
            <w:r w:rsidRPr="0082461D">
              <w:rPr>
                <w:rFonts w:eastAsia="Times New Roman" w:cs="Times New Roman"/>
                <w:noProof/>
                <w:color w:val="4F81BD" w:themeColor="accent1"/>
                <w:sz w:val="20"/>
                <w:szCs w:val="20"/>
                <w:lang w:eastAsia="zh-CN"/>
              </w:rPr>
              <w:t>I.6-2</w:t>
            </w:r>
            <w:r w:rsidRPr="0082461D">
              <w:rPr>
                <w:b w:val="0"/>
                <w:bCs w:val="0"/>
                <w:sz w:val="20"/>
                <w:szCs w:val="20"/>
              </w:rPr>
              <w:t xml:space="preserve">: Mettre en </w:t>
            </w:r>
            <w:r w:rsidR="00C63117">
              <w:rPr>
                <w:b w:val="0"/>
                <w:bCs w:val="0"/>
                <w:sz w:val="20"/>
                <w:szCs w:val="20"/>
              </w:rPr>
              <w:t>œ</w:t>
            </w:r>
            <w:r w:rsidRPr="0082461D">
              <w:rPr>
                <w:b w:val="0"/>
                <w:bCs w:val="0"/>
                <w:sz w:val="20"/>
                <w:szCs w:val="20"/>
              </w:rPr>
              <w:t xml:space="preserve">uvre le concept d'"une UIT unie dans l'action", en harmonisant, dans la mesure du possible, </w:t>
            </w:r>
            <w:r w:rsidR="00031587" w:rsidRPr="0082461D">
              <w:rPr>
                <w:b w:val="0"/>
                <w:bCs w:val="0"/>
                <w:sz w:val="20"/>
                <w:szCs w:val="20"/>
              </w:rPr>
              <w:t>les procédures appliquées dans l'ensemble</w:t>
            </w:r>
            <w:r w:rsidRPr="0082461D">
              <w:rPr>
                <w:b w:val="0"/>
                <w:bCs w:val="0"/>
                <w:sz w:val="20"/>
                <w:szCs w:val="20"/>
              </w:rPr>
              <w:t xml:space="preserve"> des Secteurs et des bureaux régionaux</w:t>
            </w:r>
            <w:r w:rsidR="00031587" w:rsidRPr="0082461D">
              <w:rPr>
                <w:b w:val="0"/>
                <w:bCs w:val="0"/>
                <w:sz w:val="20"/>
                <w:szCs w:val="20"/>
              </w:rPr>
              <w:t xml:space="preserve">/dans le cadre </w:t>
            </w:r>
            <w:r w:rsidRPr="0082461D">
              <w:rPr>
                <w:b w:val="0"/>
                <w:bCs w:val="0"/>
                <w:sz w:val="20"/>
                <w:szCs w:val="20"/>
              </w:rPr>
              <w:t>de la présence régionale dans la réalisation des buts et objectifs de l'UIT et des Secteurs</w:t>
            </w:r>
          </w:p>
        </w:tc>
        <w:tc>
          <w:tcPr>
            <w:tcW w:w="1843" w:type="dxa"/>
          </w:tcPr>
          <w:p w:rsidR="006704A9" w:rsidRPr="0082461D" w:rsidRDefault="006704A9"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764 292</w:t>
            </w:r>
          </w:p>
        </w:tc>
        <w:tc>
          <w:tcPr>
            <w:tcW w:w="1984" w:type="dxa"/>
          </w:tcPr>
          <w:p w:rsidR="006704A9" w:rsidRPr="0082461D" w:rsidRDefault="006704A9"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714 281</w:t>
            </w:r>
          </w:p>
        </w:tc>
        <w:tc>
          <w:tcPr>
            <w:tcW w:w="1985" w:type="dxa"/>
          </w:tcPr>
          <w:p w:rsidR="006704A9" w:rsidRPr="0082461D" w:rsidRDefault="006704A9"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678 935</w:t>
            </w:r>
          </w:p>
        </w:tc>
        <w:tc>
          <w:tcPr>
            <w:tcW w:w="1842" w:type="dxa"/>
          </w:tcPr>
          <w:p w:rsidR="006704A9" w:rsidRPr="0082461D" w:rsidRDefault="006704A9"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706 616</w:t>
            </w:r>
          </w:p>
        </w:tc>
      </w:tr>
      <w:tr w:rsidR="006704A9" w:rsidRPr="0082461D" w:rsidTr="00F132DB">
        <w:trPr>
          <w:trHeight w:val="567"/>
        </w:trPr>
        <w:tc>
          <w:tcPr>
            <w:cnfStyle w:val="001000000000" w:firstRow="0" w:lastRow="0" w:firstColumn="1" w:lastColumn="0" w:oddVBand="0" w:evenVBand="0" w:oddHBand="0" w:evenHBand="0" w:firstRowFirstColumn="0" w:firstRowLastColumn="0" w:lastRowFirstColumn="0" w:lastRowLastColumn="0"/>
            <w:tcW w:w="6516" w:type="dxa"/>
          </w:tcPr>
          <w:p w:rsidR="006704A9" w:rsidRPr="0082461D" w:rsidRDefault="006704A9" w:rsidP="001D547C">
            <w:pPr>
              <w:pStyle w:val="Tabletext"/>
              <w:rPr>
                <w:noProof/>
                <w:color w:val="4F81BD" w:themeColor="accent1"/>
                <w:sz w:val="20"/>
                <w:lang w:eastAsia="zh-CN"/>
              </w:rPr>
            </w:pPr>
            <w:r w:rsidRPr="0082461D">
              <w:rPr>
                <w:noProof/>
                <w:color w:val="4F81BD" w:themeColor="accent1"/>
                <w:sz w:val="20"/>
                <w:lang w:eastAsia="zh-CN"/>
              </w:rPr>
              <w:t>Total pou</w:t>
            </w:r>
            <w:r w:rsidR="00A55FD2" w:rsidRPr="0082461D">
              <w:rPr>
                <w:noProof/>
                <w:color w:val="4F81BD" w:themeColor="accent1"/>
                <w:sz w:val="20"/>
                <w:lang w:eastAsia="zh-CN"/>
              </w:rPr>
              <w:t>r</w:t>
            </w:r>
            <w:r w:rsidRPr="0082461D">
              <w:rPr>
                <w:noProof/>
                <w:color w:val="4F81BD" w:themeColor="accent1"/>
                <w:sz w:val="20"/>
                <w:lang w:eastAsia="zh-CN"/>
              </w:rPr>
              <w:t xml:space="preserve"> l'Objectif I.6</w:t>
            </w:r>
          </w:p>
        </w:tc>
        <w:tc>
          <w:tcPr>
            <w:tcW w:w="1843" w:type="dxa"/>
          </w:tcPr>
          <w:p w:rsidR="006704A9" w:rsidRPr="0082461D" w:rsidRDefault="006704A9"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1 333 689</w:t>
            </w:r>
          </w:p>
        </w:tc>
        <w:tc>
          <w:tcPr>
            <w:tcW w:w="1984" w:type="dxa"/>
          </w:tcPr>
          <w:p w:rsidR="006704A9" w:rsidRPr="0082461D" w:rsidRDefault="006704A9"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1 283 670</w:t>
            </w:r>
          </w:p>
        </w:tc>
        <w:tc>
          <w:tcPr>
            <w:tcW w:w="1985" w:type="dxa"/>
          </w:tcPr>
          <w:p w:rsidR="006704A9" w:rsidRPr="0082461D" w:rsidRDefault="006704A9"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1 213 311</w:t>
            </w:r>
          </w:p>
        </w:tc>
        <w:tc>
          <w:tcPr>
            <w:tcW w:w="1842" w:type="dxa"/>
          </w:tcPr>
          <w:p w:rsidR="006704A9" w:rsidRPr="0082461D" w:rsidRDefault="006704A9"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1 269 435</w:t>
            </w:r>
          </w:p>
        </w:tc>
      </w:tr>
    </w:tbl>
    <w:p w:rsidR="007D2377" w:rsidRPr="0082461D" w:rsidRDefault="007D2377" w:rsidP="001D547C">
      <w:pPr>
        <w:pStyle w:val="Heading1"/>
      </w:pPr>
      <w:r w:rsidRPr="0082461D">
        <w:lastRenderedPageBreak/>
        <w:t>6</w:t>
      </w:r>
      <w:r w:rsidRPr="0082461D">
        <w:tab/>
        <w:t xml:space="preserve">Mise en </w:t>
      </w:r>
      <w:r w:rsidR="00C63117">
        <w:t>œ</w:t>
      </w:r>
      <w:r w:rsidRPr="0082461D">
        <w:t>uvre du Plan opérationnel</w:t>
      </w:r>
    </w:p>
    <w:p w:rsidR="007D2377" w:rsidRDefault="007D2377" w:rsidP="00031587">
      <w:pPr>
        <w:tabs>
          <w:tab w:val="clear" w:pos="794"/>
          <w:tab w:val="clear" w:pos="1191"/>
          <w:tab w:val="clear" w:pos="1588"/>
          <w:tab w:val="clear" w:pos="1985"/>
          <w:tab w:val="left" w:pos="567"/>
          <w:tab w:val="left" w:pos="1134"/>
          <w:tab w:val="left" w:pos="1701"/>
          <w:tab w:val="left" w:pos="2268"/>
          <w:tab w:val="left" w:pos="2835"/>
        </w:tabs>
      </w:pPr>
      <w:r w:rsidRPr="0082461D">
        <w:t>Les produits définis dans le présent Plan opérationnel seront coordonnés par le</w:t>
      </w:r>
      <w:r w:rsidR="00B85DCA" w:rsidRPr="0082461D">
        <w:t xml:space="preserve"> Secrétariat général</w:t>
      </w:r>
      <w:r w:rsidRPr="0082461D">
        <w:t xml:space="preserve">, dans le cadre de la mise en </w:t>
      </w:r>
      <w:r w:rsidR="00C63117">
        <w:t>œ</w:t>
      </w:r>
      <w:r w:rsidRPr="0082461D">
        <w:t xml:space="preserve">uvre des activités </w:t>
      </w:r>
      <w:r w:rsidR="00A220BA" w:rsidRPr="0082461D">
        <w:t>prévues dans les</w:t>
      </w:r>
      <w:r w:rsidRPr="0082461D">
        <w:t xml:space="preserve"> programmes de travail </w:t>
      </w:r>
      <w:r w:rsidR="00B85DCA" w:rsidRPr="0082461D">
        <w:t>internes de chaque Département.</w:t>
      </w:r>
      <w:r w:rsidRPr="0082461D">
        <w:t xml:space="preserve"> Les services d'appui ad</w:t>
      </w:r>
      <w:r w:rsidR="00B85DCA" w:rsidRPr="0082461D">
        <w:t xml:space="preserve">ministratif sont essentiellement fournis par le </w:t>
      </w:r>
      <w:r w:rsidRPr="0082461D">
        <w:t>Secrétariat général, selon des accords de niveau de service</w:t>
      </w:r>
      <w:r w:rsidR="00A220BA" w:rsidRPr="0082461D">
        <w:t xml:space="preserve"> annuels</w:t>
      </w:r>
      <w:r w:rsidRPr="0082461D">
        <w:t xml:space="preserve"> (pour la fourniture de services internes) préalablement définis et conve</w:t>
      </w:r>
      <w:r w:rsidR="00B85DCA" w:rsidRPr="0082461D">
        <w:t xml:space="preserve">nus entre les deux parties. </w:t>
      </w:r>
      <w:r w:rsidRPr="0082461D">
        <w:t>La fourniture des produits et des services d'appui est planifiée, suivie et évaluée par la direction de l'UIT</w:t>
      </w:r>
      <w:r w:rsidR="00031587" w:rsidRPr="0082461D">
        <w:t>,</w:t>
      </w:r>
      <w:r w:rsidRPr="0082461D">
        <w:t xml:space="preserve"> compte tenu des objectifs de l'UIT figurant dans le Plan stratégique. Le rapport annuel sur la mise en </w:t>
      </w:r>
      <w:r w:rsidR="00C63117">
        <w:t>œ</w:t>
      </w:r>
      <w:r w:rsidRPr="0082461D">
        <w:t xml:space="preserve">uvre du Plan stratégique rendra compte des progrès accomplis en vue d'atteindre ces objectifs ainsi que les buts généraux. En ce qui concerne la gestion des risques, outre l'analyse des risques </w:t>
      </w:r>
      <w:r w:rsidR="00031587" w:rsidRPr="0082461D">
        <w:t>décrite</w:t>
      </w:r>
      <w:r w:rsidRPr="0082461D">
        <w:t xml:space="preserve"> dans le présent Plan opérationnel </w:t>
      </w:r>
      <w:r w:rsidR="00031587" w:rsidRPr="0082461D">
        <w:t>qui doit</w:t>
      </w:r>
      <w:r w:rsidRPr="0082461D">
        <w:t xml:space="preserve"> donner lieu à un examen périodique par la haute direction, chaque Département continuera d'assurer de façon systématique l'identification, l'évaluation et la gestion des risques liés à la fourniture de ses produits et services d'appui, dans le cadre d'une approche de gestion des risques multiniveaux.</w:t>
      </w:r>
    </w:p>
    <w:p w:rsidR="00F132DB" w:rsidRPr="0082461D" w:rsidRDefault="00F132DB" w:rsidP="00031587">
      <w:pPr>
        <w:tabs>
          <w:tab w:val="clear" w:pos="794"/>
          <w:tab w:val="clear" w:pos="1191"/>
          <w:tab w:val="clear" w:pos="1588"/>
          <w:tab w:val="clear" w:pos="1985"/>
          <w:tab w:val="left" w:pos="567"/>
          <w:tab w:val="left" w:pos="1134"/>
          <w:tab w:val="left" w:pos="1701"/>
          <w:tab w:val="left" w:pos="2268"/>
          <w:tab w:val="left" w:pos="2835"/>
        </w:tabs>
      </w:pPr>
    </w:p>
    <w:p w:rsidR="002B0E56" w:rsidRDefault="002B0E56">
      <w:pPr>
        <w:tabs>
          <w:tab w:val="clear" w:pos="794"/>
          <w:tab w:val="clear" w:pos="1191"/>
          <w:tab w:val="clear" w:pos="1588"/>
          <w:tab w:val="clear" w:pos="1985"/>
        </w:tabs>
        <w:overflowPunct/>
        <w:autoSpaceDE/>
        <w:autoSpaceDN/>
        <w:adjustRightInd/>
        <w:spacing w:before="0"/>
        <w:textAlignment w:val="auto"/>
        <w:sectPr w:rsidR="002B0E56" w:rsidSect="00236265">
          <w:headerReference w:type="default" r:id="rId16"/>
          <w:footerReference w:type="default" r:id="rId17"/>
          <w:footerReference w:type="first" r:id="rId18"/>
          <w:pgSz w:w="16834" w:h="11907" w:orient="landscape" w:code="9"/>
          <w:pgMar w:top="1134" w:right="1418" w:bottom="1134" w:left="1418" w:header="720" w:footer="720" w:gutter="0"/>
          <w:paperSrc w:first="7" w:other="7"/>
          <w:cols w:space="720"/>
          <w:docGrid w:linePitch="326"/>
        </w:sectPr>
      </w:pPr>
    </w:p>
    <w:p w:rsidR="000B05E3" w:rsidRPr="00F64363" w:rsidRDefault="000B05E3" w:rsidP="001D547C">
      <w:pPr>
        <w:pStyle w:val="Heading1"/>
        <w:overflowPunct/>
        <w:autoSpaceDE/>
        <w:autoSpaceDN/>
        <w:adjustRightInd/>
        <w:spacing w:before="60"/>
        <w:ind w:left="431" w:hanging="431"/>
        <w:textAlignment w:val="auto"/>
        <w:rPr>
          <w:rFonts w:ascii="Calibri Light" w:eastAsiaTheme="majorEastAsia" w:hAnsi="Calibri Light" w:cstheme="majorBidi"/>
          <w:b w:val="0"/>
          <w:color w:val="2E74B5"/>
          <w:sz w:val="32"/>
          <w:szCs w:val="32"/>
          <w:lang w:val="en-US"/>
        </w:rPr>
      </w:pPr>
      <w:r w:rsidRPr="00F64363">
        <w:rPr>
          <w:rFonts w:ascii="Calibri Light" w:eastAsiaTheme="majorEastAsia" w:hAnsi="Calibri Light" w:cstheme="majorBidi"/>
          <w:b w:val="0"/>
          <w:color w:val="2E74B5"/>
          <w:sz w:val="32"/>
          <w:szCs w:val="32"/>
          <w:lang w:val="en-US"/>
        </w:rPr>
        <w:lastRenderedPageBreak/>
        <w:t xml:space="preserve">Annex 1: Allocation of resources to </w:t>
      </w:r>
      <w:proofErr w:type="spellStart"/>
      <w:r w:rsidRPr="00F64363">
        <w:rPr>
          <w:rFonts w:ascii="Calibri Light" w:eastAsiaTheme="majorEastAsia" w:hAnsi="Calibri Light" w:cstheme="majorBidi"/>
          <w:b w:val="0"/>
          <w:color w:val="2E74B5"/>
          <w:sz w:val="32"/>
          <w:szCs w:val="32"/>
          <w:lang w:val="en-US"/>
        </w:rPr>
        <w:t>intersectoral</w:t>
      </w:r>
      <w:proofErr w:type="spellEnd"/>
      <w:r w:rsidRPr="00F64363">
        <w:rPr>
          <w:rFonts w:ascii="Calibri Light" w:eastAsiaTheme="majorEastAsia" w:hAnsi="Calibri Light" w:cstheme="majorBidi"/>
          <w:b w:val="0"/>
          <w:color w:val="2E74B5"/>
          <w:sz w:val="32"/>
          <w:szCs w:val="32"/>
          <w:lang w:val="en-US"/>
        </w:rPr>
        <w:t xml:space="preserve"> objectives and ITU Strategic Goals</w:t>
      </w:r>
    </w:p>
    <w:p w:rsidR="000B05E3" w:rsidRPr="0082461D" w:rsidRDefault="000B05E3" w:rsidP="001D547C">
      <w:pPr>
        <w:rPr>
          <w:sz w:val="22"/>
          <w:szCs w:val="18"/>
        </w:rPr>
      </w:pPr>
      <w:r w:rsidRPr="0082461D">
        <w:rPr>
          <w:rFonts w:eastAsiaTheme="majorEastAsia"/>
          <w:bCs/>
          <w:szCs w:val="18"/>
        </w:rPr>
        <w:t>2020:</w:t>
      </w:r>
    </w:p>
    <w:p w:rsidR="000B05E3" w:rsidRPr="0082461D" w:rsidRDefault="000B05E3" w:rsidP="002B0E56">
      <w:pPr>
        <w:rPr>
          <w:highlight w:val="yellow"/>
        </w:rPr>
      </w:pPr>
      <w:r w:rsidRPr="0082461D">
        <w:rPr>
          <w:noProof/>
          <w:lang w:eastAsia="zh-CN"/>
        </w:rPr>
        <w:drawing>
          <wp:inline distT="0" distB="0" distL="0" distR="0" wp14:anchorId="3B8DC5D7" wp14:editId="48EB9DA0">
            <wp:extent cx="9775190" cy="1652713"/>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5190" cy="1652713"/>
                    </a:xfrm>
                    <a:prstGeom prst="rect">
                      <a:avLst/>
                    </a:prstGeom>
                    <a:noFill/>
                    <a:ln>
                      <a:noFill/>
                    </a:ln>
                  </pic:spPr>
                </pic:pic>
              </a:graphicData>
            </a:graphic>
          </wp:inline>
        </w:drawing>
      </w:r>
    </w:p>
    <w:p w:rsidR="000B05E3" w:rsidRPr="00F64363" w:rsidRDefault="000B05E3" w:rsidP="001D547C">
      <w:pPr>
        <w:pStyle w:val="Heading1"/>
        <w:overflowPunct/>
        <w:autoSpaceDE/>
        <w:autoSpaceDN/>
        <w:adjustRightInd/>
        <w:spacing w:before="60"/>
        <w:ind w:left="431" w:hanging="431"/>
        <w:textAlignment w:val="auto"/>
        <w:rPr>
          <w:rFonts w:ascii="Calibri Light" w:eastAsiaTheme="majorEastAsia" w:hAnsi="Calibri Light" w:cstheme="majorBidi"/>
          <w:b w:val="0"/>
          <w:color w:val="2E74B5"/>
          <w:sz w:val="32"/>
          <w:szCs w:val="32"/>
          <w:lang w:val="en-US"/>
        </w:rPr>
      </w:pPr>
      <w:r w:rsidRPr="00F64363">
        <w:rPr>
          <w:rFonts w:ascii="Calibri Light" w:eastAsiaTheme="majorEastAsia" w:hAnsi="Calibri Light" w:cstheme="majorBidi"/>
          <w:b w:val="0"/>
          <w:color w:val="2E74B5"/>
          <w:sz w:val="32"/>
          <w:szCs w:val="32"/>
          <w:lang w:val="en-US"/>
        </w:rPr>
        <w:t>Annex 2: Resource allocation of General Secretariat support services to objectives and ITU strategic</w:t>
      </w:r>
      <w:r w:rsidRPr="00F64363">
        <w:rPr>
          <w:lang w:val="en-US"/>
        </w:rPr>
        <w:t xml:space="preserve"> </w:t>
      </w:r>
      <w:r w:rsidRPr="00F64363">
        <w:rPr>
          <w:rFonts w:ascii="Calibri Light" w:eastAsiaTheme="majorEastAsia" w:hAnsi="Calibri Light" w:cstheme="majorBidi"/>
          <w:b w:val="0"/>
          <w:color w:val="2E74B5"/>
          <w:sz w:val="32"/>
          <w:szCs w:val="32"/>
          <w:lang w:val="en-US"/>
        </w:rPr>
        <w:t>goals</w:t>
      </w:r>
    </w:p>
    <w:p w:rsidR="000B05E3" w:rsidRPr="0082461D" w:rsidRDefault="000B05E3" w:rsidP="001D547C">
      <w:pPr>
        <w:keepNext/>
        <w:keepLines/>
        <w:spacing w:after="60"/>
        <w:rPr>
          <w:sz w:val="20"/>
        </w:rPr>
      </w:pPr>
      <w:r w:rsidRPr="0082461D">
        <w:rPr>
          <w:sz w:val="20"/>
        </w:rPr>
        <w:t>2020:</w:t>
      </w:r>
    </w:p>
    <w:p w:rsidR="000B05E3" w:rsidRPr="0082461D" w:rsidRDefault="000B05E3" w:rsidP="001D547C">
      <w:pPr>
        <w:rPr>
          <w:sz w:val="20"/>
        </w:rPr>
      </w:pPr>
      <w:r w:rsidRPr="0082461D">
        <w:rPr>
          <w:noProof/>
          <w:lang w:eastAsia="zh-CN"/>
        </w:rPr>
        <w:drawing>
          <wp:inline distT="0" distB="0" distL="0" distR="0" wp14:anchorId="120AD8C5" wp14:editId="452AC8A5">
            <wp:extent cx="9775190" cy="1008677"/>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75190" cy="1008677"/>
                    </a:xfrm>
                    <a:prstGeom prst="rect">
                      <a:avLst/>
                    </a:prstGeom>
                    <a:noFill/>
                    <a:ln>
                      <a:noFill/>
                    </a:ln>
                  </pic:spPr>
                </pic:pic>
              </a:graphicData>
            </a:graphic>
          </wp:inline>
        </w:drawing>
      </w:r>
    </w:p>
    <w:p w:rsidR="000B05E3" w:rsidRPr="0082461D" w:rsidRDefault="000B05E3" w:rsidP="001D547C">
      <w:pPr>
        <w:rPr>
          <w:sz w:val="20"/>
        </w:rPr>
      </w:pPr>
      <w:r w:rsidRPr="0082461D">
        <w:rPr>
          <w:noProof/>
          <w:lang w:eastAsia="zh-CN"/>
        </w:rPr>
        <w:drawing>
          <wp:inline distT="0" distB="0" distL="0" distR="0" wp14:anchorId="15603BEF" wp14:editId="27E7F912">
            <wp:extent cx="4914900" cy="14180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3818" cy="1437929"/>
                    </a:xfrm>
                    <a:prstGeom prst="rect">
                      <a:avLst/>
                    </a:prstGeom>
                    <a:noFill/>
                    <a:ln>
                      <a:noFill/>
                    </a:ln>
                  </pic:spPr>
                </pic:pic>
              </a:graphicData>
            </a:graphic>
          </wp:inline>
        </w:drawing>
      </w:r>
    </w:p>
    <w:p w:rsidR="000B05E3" w:rsidRPr="0082461D" w:rsidRDefault="000B05E3" w:rsidP="001D547C">
      <w:pPr>
        <w:contextualSpacing/>
      </w:pPr>
    </w:p>
    <w:p w:rsidR="000B05E3" w:rsidRPr="00F64363" w:rsidRDefault="000B05E3" w:rsidP="001D547C">
      <w:pPr>
        <w:contextualSpacing/>
        <w:rPr>
          <w:lang w:val="en-US"/>
        </w:rPr>
      </w:pPr>
      <w:r w:rsidRPr="00F64363">
        <w:rPr>
          <w:lang w:val="en-US"/>
        </w:rPr>
        <w:lastRenderedPageBreak/>
        <w:t>In this short version of resources allocated from the General Secretariat: Documentation costs include translation, typing pool, and reprography from C&amp;P; Administrative services costs include SGO, Legal Unit, AUDIT, IMAC, Ethics, Security, part of HRMD, FRMD, IS except Conference division, ASHI, 50% of Building costs and 50% of ICT costs;</w:t>
      </w:r>
    </w:p>
    <w:p w:rsidR="000B05E3" w:rsidRPr="00F64363" w:rsidRDefault="000B05E3" w:rsidP="001D547C">
      <w:pPr>
        <w:snapToGrid w:val="0"/>
        <w:spacing w:before="60" w:after="60"/>
        <w:rPr>
          <w:lang w:val="en-US"/>
        </w:rPr>
      </w:pPr>
      <w:r w:rsidRPr="00F64363">
        <w:rPr>
          <w:lang w:val="en-US"/>
        </w:rPr>
        <w:t xml:space="preserve">Support services include C&amp;P, part of HRMD, IS support for conferences, 50% of Building costs and 50% of ICT costs; </w:t>
      </w:r>
      <w:proofErr w:type="spellStart"/>
      <w:r w:rsidRPr="00F64363">
        <w:rPr>
          <w:lang w:val="en-US"/>
        </w:rPr>
        <w:t>Intersectoral</w:t>
      </w:r>
      <w:proofErr w:type="spellEnd"/>
      <w:r w:rsidRPr="00F64363">
        <w:rPr>
          <w:lang w:val="en-US"/>
        </w:rPr>
        <w:t xml:space="preserve"> includes SPM costs.</w:t>
      </w:r>
    </w:p>
    <w:p w:rsidR="00255A4C" w:rsidRPr="00F64363" w:rsidRDefault="00255A4C" w:rsidP="001D547C">
      <w:pPr>
        <w:rPr>
          <w:lang w:val="en-US"/>
        </w:rPr>
      </w:pPr>
    </w:p>
    <w:p w:rsidR="008A1B06" w:rsidRPr="0082461D" w:rsidRDefault="003C58BF" w:rsidP="00AB308D">
      <w:pPr>
        <w:tabs>
          <w:tab w:val="clear" w:pos="794"/>
          <w:tab w:val="clear" w:pos="1191"/>
          <w:tab w:val="clear" w:pos="1588"/>
          <w:tab w:val="clear" w:pos="1985"/>
        </w:tabs>
        <w:spacing w:after="120"/>
        <w:jc w:val="center"/>
      </w:pPr>
      <w:r w:rsidRPr="0082461D">
        <w:t>_____________</w:t>
      </w:r>
      <w:r w:rsidR="004122C5" w:rsidRPr="0082461D">
        <w:t>_</w:t>
      </w:r>
      <w:r w:rsidR="00922EC1" w:rsidRPr="0082461D">
        <w:t>_</w:t>
      </w:r>
    </w:p>
    <w:sectPr w:rsidR="008A1B06" w:rsidRPr="0082461D" w:rsidSect="002B0E56">
      <w:pgSz w:w="16834" w:h="11907" w:orient="landscape" w:code="9"/>
      <w:pgMar w:top="1134" w:right="1134" w:bottom="1134"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ACB" w:rsidRDefault="00633ACB">
      <w:r>
        <w:separator/>
      </w:r>
    </w:p>
  </w:endnote>
  <w:endnote w:type="continuationSeparator" w:id="0">
    <w:p w:rsidR="00633ACB" w:rsidRDefault="0063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80" w:rsidRPr="00AB308D" w:rsidRDefault="002A3680" w:rsidP="00893897">
    <w:pPr>
      <w:pStyle w:val="Footer"/>
      <w:rPr>
        <w:caps w:val="0"/>
        <w:szCs w:val="16"/>
        <w:lang w:val="es-ES"/>
      </w:rPr>
    </w:pPr>
    <w:r w:rsidRPr="00AB308D">
      <w:rPr>
        <w:caps w:val="0"/>
        <w:szCs w:val="16"/>
      </w:rPr>
      <w:fldChar w:fldCharType="begin"/>
    </w:r>
    <w:r w:rsidRPr="00AB308D">
      <w:rPr>
        <w:caps w:val="0"/>
        <w:szCs w:val="16"/>
        <w:lang w:val="es-ES"/>
      </w:rPr>
      <w:instrText xml:space="preserve"> FILENAME \p \* MERGEFORMAT </w:instrText>
    </w:r>
    <w:r w:rsidRPr="00AB308D">
      <w:rPr>
        <w:caps w:val="0"/>
        <w:szCs w:val="16"/>
      </w:rPr>
      <w:fldChar w:fldCharType="separate"/>
    </w:r>
    <w:r>
      <w:rPr>
        <w:caps w:val="0"/>
        <w:szCs w:val="16"/>
        <w:lang w:val="es-ES"/>
      </w:rPr>
      <w:t>P:\FRA\ITU-D\CONF-D\TDAG19\000\025F.docx</w:t>
    </w:r>
    <w:r w:rsidRPr="00AB308D">
      <w:rPr>
        <w:caps w:val="0"/>
        <w:szCs w:val="16"/>
        <w:lang w:val="en-US"/>
      </w:rPr>
      <w:fldChar w:fldCharType="end"/>
    </w:r>
    <w:r w:rsidRPr="00AB308D">
      <w:rPr>
        <w:caps w:val="0"/>
        <w:szCs w:val="16"/>
        <w:lang w:val="es-ES"/>
      </w:rPr>
      <w:t xml:space="preserve"> (449232)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80" w:rsidRPr="008802F9" w:rsidRDefault="002A3680" w:rsidP="00893897">
    <w:pPr>
      <w:pStyle w:val="Footer"/>
      <w:jc w:val="center"/>
    </w:pPr>
    <w:hyperlink r:id="rId1" w:history="1">
      <w:r>
        <w:rPr>
          <w:rStyle w:val="Hyperlink"/>
          <w:caps w:val="0"/>
          <w:noProof w:val="0"/>
          <w:sz w:val="18"/>
          <w:szCs w:val="18"/>
          <w:lang w:val="fr-CH"/>
        </w:rPr>
        <w:t>GCDT</w:t>
      </w:r>
    </w:hyperlink>
    <w:hyperlink r:id="rId2" w:history="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ACB" w:rsidRPr="000250C3" w:rsidRDefault="00633ACB" w:rsidP="00553AA3">
    <w:pPr>
      <w:pStyle w:val="Footer"/>
      <w:rPr>
        <w:rFonts w:asciiTheme="majorBidi" w:hAnsiTheme="majorBidi" w:cstheme="majorBidi"/>
        <w:caps w:val="0"/>
        <w:szCs w:val="16"/>
        <w:lang w:val="es-ES"/>
      </w:rPr>
    </w:pPr>
    <w:r w:rsidRPr="000250C3">
      <w:rPr>
        <w:rFonts w:asciiTheme="majorBidi" w:hAnsiTheme="majorBidi" w:cstheme="majorBidi"/>
        <w:caps w:val="0"/>
        <w:szCs w:val="16"/>
      </w:rPr>
      <w:fldChar w:fldCharType="begin"/>
    </w:r>
    <w:r w:rsidRPr="000250C3">
      <w:rPr>
        <w:rFonts w:asciiTheme="majorBidi" w:hAnsiTheme="majorBidi" w:cstheme="majorBidi"/>
        <w:caps w:val="0"/>
        <w:szCs w:val="16"/>
        <w:lang w:val="es-ES"/>
      </w:rPr>
      <w:instrText xml:space="preserve"> FILENAME \p \* MERGEFORMAT </w:instrText>
    </w:r>
    <w:r w:rsidRPr="000250C3">
      <w:rPr>
        <w:rFonts w:asciiTheme="majorBidi" w:hAnsiTheme="majorBidi" w:cstheme="majorBidi"/>
        <w:caps w:val="0"/>
        <w:szCs w:val="16"/>
      </w:rPr>
      <w:fldChar w:fldCharType="separate"/>
    </w:r>
    <w:r w:rsidR="000250C3">
      <w:rPr>
        <w:rFonts w:asciiTheme="majorBidi" w:hAnsiTheme="majorBidi" w:cstheme="majorBidi"/>
        <w:caps w:val="0"/>
        <w:szCs w:val="16"/>
        <w:lang w:val="es-ES"/>
      </w:rPr>
      <w:t>P:\FRA\ITU-R\AG\RAG\RAG19\000\020F.DOCX</w:t>
    </w:r>
    <w:r w:rsidRPr="000250C3">
      <w:rPr>
        <w:rFonts w:asciiTheme="majorBidi" w:hAnsiTheme="majorBidi" w:cstheme="majorBidi"/>
        <w:caps w:val="0"/>
        <w:szCs w:val="16"/>
        <w:lang w:val="en-US"/>
      </w:rPr>
      <w:fldChar w:fldCharType="end"/>
    </w:r>
    <w:r w:rsidR="000250C3">
      <w:rPr>
        <w:rFonts w:asciiTheme="majorBidi" w:hAnsiTheme="majorBidi" w:cstheme="majorBidi"/>
        <w:caps w:val="0"/>
        <w:szCs w:val="16"/>
        <w:lang w:val="es-ES"/>
      </w:rPr>
      <w:t xml:space="preserve"> (453372</w:t>
    </w:r>
    <w:r w:rsidRPr="000250C3">
      <w:rPr>
        <w:rFonts w:asciiTheme="majorBidi" w:hAnsiTheme="majorBidi" w:cstheme="majorBidi"/>
        <w:caps w:val="0"/>
        <w:szCs w:val="16"/>
        <w:lang w:val="es-ES"/>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ACB" w:rsidRPr="008802F9" w:rsidRDefault="000250C3" w:rsidP="00B80157">
    <w:pPr>
      <w:pStyle w:val="Footer"/>
      <w:jc w:val="center"/>
    </w:pPr>
    <w:hyperlink r:id="rId1" w:history="1">
      <w:r w:rsidR="00633ACB">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ACB" w:rsidRDefault="00633ACB">
      <w:r>
        <w:t>____________________</w:t>
      </w:r>
    </w:p>
  </w:footnote>
  <w:footnote w:type="continuationSeparator" w:id="0">
    <w:p w:rsidR="00633ACB" w:rsidRDefault="00633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80" w:rsidRPr="00112C3C" w:rsidRDefault="002A3680" w:rsidP="00893897">
    <w:pPr>
      <w:tabs>
        <w:tab w:val="clear" w:pos="794"/>
        <w:tab w:val="clear" w:pos="1191"/>
        <w:tab w:val="clear" w:pos="1588"/>
        <w:tab w:val="clear" w:pos="1985"/>
        <w:tab w:val="center" w:pos="7088"/>
        <w:tab w:val="right" w:pos="13997"/>
      </w:tabs>
      <w:ind w:right="1"/>
      <w:rPr>
        <w:smallCaps/>
        <w:spacing w:val="24"/>
        <w:sz w:val="22"/>
        <w:szCs w:val="22"/>
      </w:rPr>
    </w:pPr>
    <w:r w:rsidRPr="00972BCD">
      <w:rPr>
        <w:sz w:val="22"/>
        <w:szCs w:val="22"/>
      </w:rPr>
      <w:tab/>
    </w:r>
    <w:r w:rsidRPr="00112C3C">
      <w:rPr>
        <w:sz w:val="22"/>
        <w:szCs w:val="22"/>
      </w:rPr>
      <w:t>ITU-D/TDAG-19/25-F</w:t>
    </w:r>
    <w:r w:rsidRPr="00112C3C">
      <w:rPr>
        <w:sz w:val="22"/>
        <w:szCs w:val="22"/>
      </w:rPr>
      <w:tab/>
      <w:t xml:space="preserve">Page </w:t>
    </w:r>
    <w:r w:rsidRPr="00972BCD">
      <w:rPr>
        <w:sz w:val="22"/>
        <w:szCs w:val="22"/>
      </w:rPr>
      <w:fldChar w:fldCharType="begin"/>
    </w:r>
    <w:r w:rsidRPr="00112C3C">
      <w:rPr>
        <w:sz w:val="22"/>
        <w:szCs w:val="22"/>
      </w:rPr>
      <w:instrText xml:space="preserve"> PAGE </w:instrText>
    </w:r>
    <w:r w:rsidRPr="00972BCD">
      <w:rPr>
        <w:sz w:val="22"/>
        <w:szCs w:val="22"/>
      </w:rPr>
      <w:fldChar w:fldCharType="separate"/>
    </w:r>
    <w:r>
      <w:rPr>
        <w:noProof/>
        <w:sz w:val="22"/>
        <w:szCs w:val="22"/>
      </w:rPr>
      <w:t>2</w:t>
    </w:r>
    <w:r w:rsidRPr="00972BCD">
      <w:rPr>
        <w:sz w:val="22"/>
        <w:szCs w:val="22"/>
      </w:rPr>
      <w:fldChar w:fldCharType="end"/>
    </w:r>
  </w:p>
  <w:p w:rsidR="002A3680" w:rsidRPr="00A525CC" w:rsidRDefault="002A3680" w:rsidP="00893897">
    <w:pPr>
      <w:pStyle w:val="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ACB" w:rsidRPr="000250C3" w:rsidRDefault="000250C3" w:rsidP="000250C3">
    <w:pPr>
      <w:pStyle w:val="Header"/>
      <w:rPr>
        <w:rStyle w:val="PageNumber"/>
        <w:rFonts w:asciiTheme="majorBidi" w:hAnsiTheme="majorBidi" w:cstheme="majorBidi"/>
      </w:rPr>
    </w:pPr>
    <w:r w:rsidRPr="000250C3">
      <w:rPr>
        <w:rFonts w:asciiTheme="majorBidi" w:hAnsiTheme="majorBidi" w:cstheme="majorBidi"/>
      </w:rPr>
      <w:fldChar w:fldCharType="begin"/>
    </w:r>
    <w:r w:rsidRPr="000250C3">
      <w:rPr>
        <w:rFonts w:asciiTheme="majorBidi" w:hAnsiTheme="majorBidi" w:cstheme="majorBidi"/>
      </w:rPr>
      <w:instrText>PAGE</w:instrText>
    </w:r>
    <w:r w:rsidRPr="000250C3">
      <w:rPr>
        <w:rFonts w:asciiTheme="majorBidi" w:hAnsiTheme="majorBidi" w:cstheme="majorBidi"/>
      </w:rPr>
      <w:fldChar w:fldCharType="separate"/>
    </w:r>
    <w:r>
      <w:rPr>
        <w:rFonts w:asciiTheme="majorBidi" w:hAnsiTheme="majorBidi" w:cstheme="majorBidi"/>
        <w:noProof/>
      </w:rPr>
      <w:t>3</w:t>
    </w:r>
    <w:r w:rsidRPr="000250C3">
      <w:rPr>
        <w:rFonts w:asciiTheme="majorBidi" w:hAnsiTheme="majorBidi" w:cstheme="majorBidi"/>
        <w:noProof/>
      </w:rPr>
      <w:fldChar w:fldCharType="end"/>
    </w:r>
    <w:r w:rsidRPr="000250C3">
      <w:rPr>
        <w:rFonts w:asciiTheme="majorBidi" w:hAnsiTheme="majorBidi" w:cstheme="majorBidi"/>
        <w:noProof/>
      </w:rPr>
      <w:br/>
      <w:t>RAG19/20</w:t>
    </w:r>
    <w:r w:rsidRPr="000250C3">
      <w:rPr>
        <w:rFonts w:asciiTheme="majorBidi" w:hAnsiTheme="majorBidi" w:cstheme="majorBidi"/>
        <w:noProof/>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A1"/>
    <w:rsid w:val="00002716"/>
    <w:rsid w:val="0000338C"/>
    <w:rsid w:val="0000361E"/>
    <w:rsid w:val="00005791"/>
    <w:rsid w:val="00010827"/>
    <w:rsid w:val="00015089"/>
    <w:rsid w:val="000250C3"/>
    <w:rsid w:val="0002520B"/>
    <w:rsid w:val="00031587"/>
    <w:rsid w:val="00031F44"/>
    <w:rsid w:val="00037A9E"/>
    <w:rsid w:val="00037F91"/>
    <w:rsid w:val="0004319A"/>
    <w:rsid w:val="00052986"/>
    <w:rsid w:val="000539F1"/>
    <w:rsid w:val="00054747"/>
    <w:rsid w:val="00055A2A"/>
    <w:rsid w:val="000615C1"/>
    <w:rsid w:val="00061675"/>
    <w:rsid w:val="00061B25"/>
    <w:rsid w:val="000743AA"/>
    <w:rsid w:val="0009225C"/>
    <w:rsid w:val="000A17C4"/>
    <w:rsid w:val="000A36A4"/>
    <w:rsid w:val="000B05E3"/>
    <w:rsid w:val="000B1EE1"/>
    <w:rsid w:val="000B2352"/>
    <w:rsid w:val="000B4B12"/>
    <w:rsid w:val="000C2EAB"/>
    <w:rsid w:val="000C3863"/>
    <w:rsid w:val="000C61E9"/>
    <w:rsid w:val="000C7B84"/>
    <w:rsid w:val="000D261B"/>
    <w:rsid w:val="000D58A3"/>
    <w:rsid w:val="000E02B2"/>
    <w:rsid w:val="000E09B4"/>
    <w:rsid w:val="000E3ED4"/>
    <w:rsid w:val="000E3F9C"/>
    <w:rsid w:val="000F1550"/>
    <w:rsid w:val="000F251B"/>
    <w:rsid w:val="000F5FE8"/>
    <w:rsid w:val="000F6644"/>
    <w:rsid w:val="00100833"/>
    <w:rsid w:val="00102F72"/>
    <w:rsid w:val="00107E85"/>
    <w:rsid w:val="00113CC3"/>
    <w:rsid w:val="00113EE8"/>
    <w:rsid w:val="0011455A"/>
    <w:rsid w:val="00114A65"/>
    <w:rsid w:val="00123126"/>
    <w:rsid w:val="0012375F"/>
    <w:rsid w:val="00133061"/>
    <w:rsid w:val="00141699"/>
    <w:rsid w:val="00147000"/>
    <w:rsid w:val="0015116A"/>
    <w:rsid w:val="00156BF6"/>
    <w:rsid w:val="00163091"/>
    <w:rsid w:val="001645CB"/>
    <w:rsid w:val="00166305"/>
    <w:rsid w:val="00167545"/>
    <w:rsid w:val="001703C6"/>
    <w:rsid w:val="00170A0D"/>
    <w:rsid w:val="00173781"/>
    <w:rsid w:val="00175ADF"/>
    <w:rsid w:val="00175CAE"/>
    <w:rsid w:val="00177275"/>
    <w:rsid w:val="001828DB"/>
    <w:rsid w:val="001850FE"/>
    <w:rsid w:val="00185135"/>
    <w:rsid w:val="0019037C"/>
    <w:rsid w:val="001905A9"/>
    <w:rsid w:val="00191273"/>
    <w:rsid w:val="001942A7"/>
    <w:rsid w:val="0019587B"/>
    <w:rsid w:val="00196CC1"/>
    <w:rsid w:val="001A163D"/>
    <w:rsid w:val="001A441E"/>
    <w:rsid w:val="001A6733"/>
    <w:rsid w:val="001B357F"/>
    <w:rsid w:val="001C3444"/>
    <w:rsid w:val="001C3702"/>
    <w:rsid w:val="001C4656"/>
    <w:rsid w:val="001C46BC"/>
    <w:rsid w:val="001D547C"/>
    <w:rsid w:val="001F23E6"/>
    <w:rsid w:val="001F3858"/>
    <w:rsid w:val="001F4238"/>
    <w:rsid w:val="00200A38"/>
    <w:rsid w:val="00200A46"/>
    <w:rsid w:val="002016E6"/>
    <w:rsid w:val="00211B6F"/>
    <w:rsid w:val="0021438F"/>
    <w:rsid w:val="00217CC3"/>
    <w:rsid w:val="00220AB6"/>
    <w:rsid w:val="0022120F"/>
    <w:rsid w:val="0022728B"/>
    <w:rsid w:val="0022754A"/>
    <w:rsid w:val="00231343"/>
    <w:rsid w:val="00236265"/>
    <w:rsid w:val="00236560"/>
    <w:rsid w:val="0023662E"/>
    <w:rsid w:val="00245D0F"/>
    <w:rsid w:val="002548C3"/>
    <w:rsid w:val="00255A4C"/>
    <w:rsid w:val="00257ACD"/>
    <w:rsid w:val="00262908"/>
    <w:rsid w:val="002650F4"/>
    <w:rsid w:val="002715FD"/>
    <w:rsid w:val="002770B1"/>
    <w:rsid w:val="00283A4A"/>
    <w:rsid w:val="00285B33"/>
    <w:rsid w:val="00287A3C"/>
    <w:rsid w:val="002A2FC6"/>
    <w:rsid w:val="002A3680"/>
    <w:rsid w:val="002B0E56"/>
    <w:rsid w:val="002C1EC7"/>
    <w:rsid w:val="002C4342"/>
    <w:rsid w:val="002C7EA3"/>
    <w:rsid w:val="002D20AE"/>
    <w:rsid w:val="002D4B48"/>
    <w:rsid w:val="002D6C61"/>
    <w:rsid w:val="002E2104"/>
    <w:rsid w:val="002E2DAC"/>
    <w:rsid w:val="002E6963"/>
    <w:rsid w:val="002E6F8F"/>
    <w:rsid w:val="002E7770"/>
    <w:rsid w:val="002F05D8"/>
    <w:rsid w:val="002F0682"/>
    <w:rsid w:val="002F2DE0"/>
    <w:rsid w:val="002F5E25"/>
    <w:rsid w:val="0030353C"/>
    <w:rsid w:val="00304C80"/>
    <w:rsid w:val="003125C3"/>
    <w:rsid w:val="00312AE6"/>
    <w:rsid w:val="00317D1A"/>
    <w:rsid w:val="003211FF"/>
    <w:rsid w:val="00323587"/>
    <w:rsid w:val="00327247"/>
    <w:rsid w:val="00327A9D"/>
    <w:rsid w:val="0033130E"/>
    <w:rsid w:val="0033269C"/>
    <w:rsid w:val="0035516C"/>
    <w:rsid w:val="003556C2"/>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D7188"/>
    <w:rsid w:val="003F2DD8"/>
    <w:rsid w:val="003F3F2D"/>
    <w:rsid w:val="003F50B2"/>
    <w:rsid w:val="00400CCF"/>
    <w:rsid w:val="00401280"/>
    <w:rsid w:val="00401BFF"/>
    <w:rsid w:val="004032B5"/>
    <w:rsid w:val="00404424"/>
    <w:rsid w:val="0041156B"/>
    <w:rsid w:val="004122C5"/>
    <w:rsid w:val="00413B78"/>
    <w:rsid w:val="00416DDE"/>
    <w:rsid w:val="00422FE2"/>
    <w:rsid w:val="0042545C"/>
    <w:rsid w:val="004431CC"/>
    <w:rsid w:val="0044411E"/>
    <w:rsid w:val="00453435"/>
    <w:rsid w:val="00454134"/>
    <w:rsid w:val="00455669"/>
    <w:rsid w:val="00466398"/>
    <w:rsid w:val="0047306D"/>
    <w:rsid w:val="00473791"/>
    <w:rsid w:val="00476E48"/>
    <w:rsid w:val="00477A8E"/>
    <w:rsid w:val="00481DE9"/>
    <w:rsid w:val="00482BB1"/>
    <w:rsid w:val="0049128B"/>
    <w:rsid w:val="00493B49"/>
    <w:rsid w:val="00495501"/>
    <w:rsid w:val="004A0419"/>
    <w:rsid w:val="004A070A"/>
    <w:rsid w:val="004A320E"/>
    <w:rsid w:val="004A4E9C"/>
    <w:rsid w:val="004B1A3C"/>
    <w:rsid w:val="004D2CC3"/>
    <w:rsid w:val="004D35CB"/>
    <w:rsid w:val="004E20E5"/>
    <w:rsid w:val="004E22A1"/>
    <w:rsid w:val="004E64EA"/>
    <w:rsid w:val="004E7828"/>
    <w:rsid w:val="004F2717"/>
    <w:rsid w:val="004F46AA"/>
    <w:rsid w:val="004F6A70"/>
    <w:rsid w:val="00500AD7"/>
    <w:rsid w:val="00502ABF"/>
    <w:rsid w:val="00504DB0"/>
    <w:rsid w:val="00507C35"/>
    <w:rsid w:val="00510735"/>
    <w:rsid w:val="005125B1"/>
    <w:rsid w:val="00514D2F"/>
    <w:rsid w:val="00532810"/>
    <w:rsid w:val="00536D31"/>
    <w:rsid w:val="0054420E"/>
    <w:rsid w:val="00544D1B"/>
    <w:rsid w:val="00545DC0"/>
    <w:rsid w:val="00545F6C"/>
    <w:rsid w:val="005477D9"/>
    <w:rsid w:val="00553AA3"/>
    <w:rsid w:val="0055720C"/>
    <w:rsid w:val="005632DD"/>
    <w:rsid w:val="0056423B"/>
    <w:rsid w:val="00573424"/>
    <w:rsid w:val="0057402F"/>
    <w:rsid w:val="005849D6"/>
    <w:rsid w:val="00585367"/>
    <w:rsid w:val="005871A1"/>
    <w:rsid w:val="0058737E"/>
    <w:rsid w:val="00592518"/>
    <w:rsid w:val="00592E87"/>
    <w:rsid w:val="00594C4D"/>
    <w:rsid w:val="005A33B0"/>
    <w:rsid w:val="005B2735"/>
    <w:rsid w:val="005C1F4B"/>
    <w:rsid w:val="005C25A2"/>
    <w:rsid w:val="005C2DC2"/>
    <w:rsid w:val="005C304A"/>
    <w:rsid w:val="005C3D69"/>
    <w:rsid w:val="005C756B"/>
    <w:rsid w:val="005C7C98"/>
    <w:rsid w:val="005D55A4"/>
    <w:rsid w:val="005D57C8"/>
    <w:rsid w:val="005D7761"/>
    <w:rsid w:val="005E0278"/>
    <w:rsid w:val="005E090D"/>
    <w:rsid w:val="005E21E5"/>
    <w:rsid w:val="005E2CA0"/>
    <w:rsid w:val="005E3CA0"/>
    <w:rsid w:val="005E44B1"/>
    <w:rsid w:val="005E67B0"/>
    <w:rsid w:val="005E7047"/>
    <w:rsid w:val="005E777F"/>
    <w:rsid w:val="005F1CA7"/>
    <w:rsid w:val="005F43DD"/>
    <w:rsid w:val="005F51A9"/>
    <w:rsid w:val="005F6BE1"/>
    <w:rsid w:val="005F7416"/>
    <w:rsid w:val="00600C11"/>
    <w:rsid w:val="00602F8F"/>
    <w:rsid w:val="00606B89"/>
    <w:rsid w:val="00611EAF"/>
    <w:rsid w:val="0061544C"/>
    <w:rsid w:val="00623F30"/>
    <w:rsid w:val="00625FB8"/>
    <w:rsid w:val="006261BD"/>
    <w:rsid w:val="00633ACB"/>
    <w:rsid w:val="00635EDB"/>
    <w:rsid w:val="0064734E"/>
    <w:rsid w:val="00650137"/>
    <w:rsid w:val="006509D7"/>
    <w:rsid w:val="00651CE8"/>
    <w:rsid w:val="006537C1"/>
    <w:rsid w:val="0065521B"/>
    <w:rsid w:val="006704A9"/>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F009A"/>
    <w:rsid w:val="006F3D93"/>
    <w:rsid w:val="006F4793"/>
    <w:rsid w:val="007019B1"/>
    <w:rsid w:val="00711020"/>
    <w:rsid w:val="00712829"/>
    <w:rsid w:val="00721657"/>
    <w:rsid w:val="007279A8"/>
    <w:rsid w:val="00727B1A"/>
    <w:rsid w:val="00741337"/>
    <w:rsid w:val="0074228F"/>
    <w:rsid w:val="00752258"/>
    <w:rsid w:val="007529E1"/>
    <w:rsid w:val="00753E56"/>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2377"/>
    <w:rsid w:val="007D50E4"/>
    <w:rsid w:val="007E224D"/>
    <w:rsid w:val="007F1CC7"/>
    <w:rsid w:val="008027AC"/>
    <w:rsid w:val="008028CE"/>
    <w:rsid w:val="0080332E"/>
    <w:rsid w:val="008141E0"/>
    <w:rsid w:val="00816EE1"/>
    <w:rsid w:val="00816F88"/>
    <w:rsid w:val="00822323"/>
    <w:rsid w:val="008224D7"/>
    <w:rsid w:val="0082461D"/>
    <w:rsid w:val="00827BC6"/>
    <w:rsid w:val="008300AD"/>
    <w:rsid w:val="00830710"/>
    <w:rsid w:val="00832223"/>
    <w:rsid w:val="00833024"/>
    <w:rsid w:val="0083334E"/>
    <w:rsid w:val="00836BDB"/>
    <w:rsid w:val="00837FA8"/>
    <w:rsid w:val="008419B1"/>
    <w:rsid w:val="00844A56"/>
    <w:rsid w:val="00845B11"/>
    <w:rsid w:val="00846FE3"/>
    <w:rsid w:val="00851060"/>
    <w:rsid w:val="00852081"/>
    <w:rsid w:val="00872B6E"/>
    <w:rsid w:val="00874DFD"/>
    <w:rsid w:val="008802F9"/>
    <w:rsid w:val="00883086"/>
    <w:rsid w:val="008879FD"/>
    <w:rsid w:val="00894C37"/>
    <w:rsid w:val="008A00EA"/>
    <w:rsid w:val="008A1B06"/>
    <w:rsid w:val="008A3F93"/>
    <w:rsid w:val="008A6236"/>
    <w:rsid w:val="008A6E1C"/>
    <w:rsid w:val="008A72FD"/>
    <w:rsid w:val="008B2EDF"/>
    <w:rsid w:val="008B54CB"/>
    <w:rsid w:val="008B5A3D"/>
    <w:rsid w:val="008C4010"/>
    <w:rsid w:val="008C4BA0"/>
    <w:rsid w:val="008C4FDF"/>
    <w:rsid w:val="008C6B1F"/>
    <w:rsid w:val="008D5E4F"/>
    <w:rsid w:val="008F005D"/>
    <w:rsid w:val="008F14F5"/>
    <w:rsid w:val="008F20EB"/>
    <w:rsid w:val="008F71C1"/>
    <w:rsid w:val="00902D41"/>
    <w:rsid w:val="00902F49"/>
    <w:rsid w:val="00914004"/>
    <w:rsid w:val="0092088B"/>
    <w:rsid w:val="00922EC1"/>
    <w:rsid w:val="00925439"/>
    <w:rsid w:val="009301F1"/>
    <w:rsid w:val="009307DF"/>
    <w:rsid w:val="00931BFE"/>
    <w:rsid w:val="009359B8"/>
    <w:rsid w:val="00935FF0"/>
    <w:rsid w:val="00942208"/>
    <w:rsid w:val="009431F8"/>
    <w:rsid w:val="00947A35"/>
    <w:rsid w:val="00962081"/>
    <w:rsid w:val="009662D3"/>
    <w:rsid w:val="00966CB5"/>
    <w:rsid w:val="009720AC"/>
    <w:rsid w:val="0097213C"/>
    <w:rsid w:val="00975786"/>
    <w:rsid w:val="00981CB7"/>
    <w:rsid w:val="00983E1F"/>
    <w:rsid w:val="00984929"/>
    <w:rsid w:val="00993F46"/>
    <w:rsid w:val="00994BE1"/>
    <w:rsid w:val="00997358"/>
    <w:rsid w:val="009A452B"/>
    <w:rsid w:val="009A4633"/>
    <w:rsid w:val="009B050C"/>
    <w:rsid w:val="009B087F"/>
    <w:rsid w:val="009B2AF4"/>
    <w:rsid w:val="009B7B13"/>
    <w:rsid w:val="009C110B"/>
    <w:rsid w:val="009C5441"/>
    <w:rsid w:val="009D119F"/>
    <w:rsid w:val="009D49A2"/>
    <w:rsid w:val="009E2E4A"/>
    <w:rsid w:val="009F3940"/>
    <w:rsid w:val="009F3EB2"/>
    <w:rsid w:val="009F6EB1"/>
    <w:rsid w:val="00A11D05"/>
    <w:rsid w:val="00A13162"/>
    <w:rsid w:val="00A20267"/>
    <w:rsid w:val="00A220BA"/>
    <w:rsid w:val="00A3158C"/>
    <w:rsid w:val="00A32DF3"/>
    <w:rsid w:val="00A33E32"/>
    <w:rsid w:val="00A35E20"/>
    <w:rsid w:val="00A36F6D"/>
    <w:rsid w:val="00A454E1"/>
    <w:rsid w:val="00A50CA0"/>
    <w:rsid w:val="00A525CC"/>
    <w:rsid w:val="00A53E7C"/>
    <w:rsid w:val="00A55FD2"/>
    <w:rsid w:val="00A60087"/>
    <w:rsid w:val="00A705E8"/>
    <w:rsid w:val="00A721F4"/>
    <w:rsid w:val="00A73996"/>
    <w:rsid w:val="00A9392C"/>
    <w:rsid w:val="00A9462B"/>
    <w:rsid w:val="00A948EA"/>
    <w:rsid w:val="00A95985"/>
    <w:rsid w:val="00A97D59"/>
    <w:rsid w:val="00AA0EA1"/>
    <w:rsid w:val="00AA3E09"/>
    <w:rsid w:val="00AA4BEF"/>
    <w:rsid w:val="00AB047E"/>
    <w:rsid w:val="00AB1659"/>
    <w:rsid w:val="00AB308D"/>
    <w:rsid w:val="00AB4962"/>
    <w:rsid w:val="00AB734E"/>
    <w:rsid w:val="00AB740F"/>
    <w:rsid w:val="00AC6F14"/>
    <w:rsid w:val="00AC7221"/>
    <w:rsid w:val="00AD4A71"/>
    <w:rsid w:val="00AE4774"/>
    <w:rsid w:val="00AE5961"/>
    <w:rsid w:val="00AF0745"/>
    <w:rsid w:val="00AF4971"/>
    <w:rsid w:val="00AF5276"/>
    <w:rsid w:val="00AF7C86"/>
    <w:rsid w:val="00B01046"/>
    <w:rsid w:val="00B2599D"/>
    <w:rsid w:val="00B266D6"/>
    <w:rsid w:val="00B310F9"/>
    <w:rsid w:val="00B37866"/>
    <w:rsid w:val="00B412FB"/>
    <w:rsid w:val="00B4576B"/>
    <w:rsid w:val="00B46350"/>
    <w:rsid w:val="00B46DF3"/>
    <w:rsid w:val="00B533E9"/>
    <w:rsid w:val="00B62025"/>
    <w:rsid w:val="00B66E8F"/>
    <w:rsid w:val="00B80157"/>
    <w:rsid w:val="00B83D5E"/>
    <w:rsid w:val="00B8460A"/>
    <w:rsid w:val="00B85DCA"/>
    <w:rsid w:val="00B8650D"/>
    <w:rsid w:val="00B879B4"/>
    <w:rsid w:val="00B90F07"/>
    <w:rsid w:val="00B94289"/>
    <w:rsid w:val="00B97BB9"/>
    <w:rsid w:val="00BA0009"/>
    <w:rsid w:val="00BB1863"/>
    <w:rsid w:val="00BB25EE"/>
    <w:rsid w:val="00BB363A"/>
    <w:rsid w:val="00BC10A0"/>
    <w:rsid w:val="00BC7BA2"/>
    <w:rsid w:val="00BD426B"/>
    <w:rsid w:val="00BD53AE"/>
    <w:rsid w:val="00BD79F0"/>
    <w:rsid w:val="00BE2B4D"/>
    <w:rsid w:val="00C015F8"/>
    <w:rsid w:val="00C062CA"/>
    <w:rsid w:val="00C07E26"/>
    <w:rsid w:val="00C1011C"/>
    <w:rsid w:val="00C10B3D"/>
    <w:rsid w:val="00C12F94"/>
    <w:rsid w:val="00C177C5"/>
    <w:rsid w:val="00C27A01"/>
    <w:rsid w:val="00C34EC3"/>
    <w:rsid w:val="00C4038C"/>
    <w:rsid w:val="00C42BA2"/>
    <w:rsid w:val="00C44066"/>
    <w:rsid w:val="00C44E13"/>
    <w:rsid w:val="00C60A41"/>
    <w:rsid w:val="00C62DE8"/>
    <w:rsid w:val="00C62DFB"/>
    <w:rsid w:val="00C630E6"/>
    <w:rsid w:val="00C63117"/>
    <w:rsid w:val="00C63812"/>
    <w:rsid w:val="00C64AF3"/>
    <w:rsid w:val="00C66F4D"/>
    <w:rsid w:val="00C67BB5"/>
    <w:rsid w:val="00C72713"/>
    <w:rsid w:val="00C848EF"/>
    <w:rsid w:val="00C86600"/>
    <w:rsid w:val="00C87BCA"/>
    <w:rsid w:val="00C87EED"/>
    <w:rsid w:val="00C94506"/>
    <w:rsid w:val="00C954BC"/>
    <w:rsid w:val="00CA1F0B"/>
    <w:rsid w:val="00CA3A0F"/>
    <w:rsid w:val="00CB110F"/>
    <w:rsid w:val="00CB2A2E"/>
    <w:rsid w:val="00CB338A"/>
    <w:rsid w:val="00CB79C5"/>
    <w:rsid w:val="00CC411F"/>
    <w:rsid w:val="00CC4B75"/>
    <w:rsid w:val="00CC732E"/>
    <w:rsid w:val="00CD1567"/>
    <w:rsid w:val="00CD2FCD"/>
    <w:rsid w:val="00CD7207"/>
    <w:rsid w:val="00CE0DBE"/>
    <w:rsid w:val="00CE5E4D"/>
    <w:rsid w:val="00CF02C4"/>
    <w:rsid w:val="00CF167F"/>
    <w:rsid w:val="00CF6862"/>
    <w:rsid w:val="00CF72E5"/>
    <w:rsid w:val="00D013EE"/>
    <w:rsid w:val="00D01F54"/>
    <w:rsid w:val="00D040F7"/>
    <w:rsid w:val="00D04A76"/>
    <w:rsid w:val="00D10FC7"/>
    <w:rsid w:val="00D1519F"/>
    <w:rsid w:val="00D20E99"/>
    <w:rsid w:val="00D215B5"/>
    <w:rsid w:val="00D21C83"/>
    <w:rsid w:val="00D35BDD"/>
    <w:rsid w:val="00D5468D"/>
    <w:rsid w:val="00D55C4A"/>
    <w:rsid w:val="00D60166"/>
    <w:rsid w:val="00D62BA0"/>
    <w:rsid w:val="00D63006"/>
    <w:rsid w:val="00D72301"/>
    <w:rsid w:val="00D87E6C"/>
    <w:rsid w:val="00D90E76"/>
    <w:rsid w:val="00D911DE"/>
    <w:rsid w:val="00D91B97"/>
    <w:rsid w:val="00D93ACC"/>
    <w:rsid w:val="00D93C08"/>
    <w:rsid w:val="00D95DAC"/>
    <w:rsid w:val="00DA0B53"/>
    <w:rsid w:val="00DA219B"/>
    <w:rsid w:val="00DB1171"/>
    <w:rsid w:val="00DB1519"/>
    <w:rsid w:val="00DB2840"/>
    <w:rsid w:val="00DC1BD3"/>
    <w:rsid w:val="00DC2C1A"/>
    <w:rsid w:val="00DD66B4"/>
    <w:rsid w:val="00DE1972"/>
    <w:rsid w:val="00DE27AB"/>
    <w:rsid w:val="00DF2AB3"/>
    <w:rsid w:val="00DF6841"/>
    <w:rsid w:val="00DF7250"/>
    <w:rsid w:val="00E00CAA"/>
    <w:rsid w:val="00E03EBF"/>
    <w:rsid w:val="00E05209"/>
    <w:rsid w:val="00E11BCF"/>
    <w:rsid w:val="00E2258E"/>
    <w:rsid w:val="00E25884"/>
    <w:rsid w:val="00E260C2"/>
    <w:rsid w:val="00E32596"/>
    <w:rsid w:val="00E368F7"/>
    <w:rsid w:val="00E36EB8"/>
    <w:rsid w:val="00E37FB8"/>
    <w:rsid w:val="00E40B07"/>
    <w:rsid w:val="00E41C2E"/>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163C"/>
    <w:rsid w:val="00EE3A64"/>
    <w:rsid w:val="00EE50E5"/>
    <w:rsid w:val="00EF01CF"/>
    <w:rsid w:val="00F03590"/>
    <w:rsid w:val="00F03622"/>
    <w:rsid w:val="00F077FD"/>
    <w:rsid w:val="00F132DB"/>
    <w:rsid w:val="00F204F3"/>
    <w:rsid w:val="00F21198"/>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4363"/>
    <w:rsid w:val="00F736F9"/>
    <w:rsid w:val="00F73833"/>
    <w:rsid w:val="00F80E3B"/>
    <w:rsid w:val="00F9211C"/>
    <w:rsid w:val="00FA095D"/>
    <w:rsid w:val="00FA3CB5"/>
    <w:rsid w:val="00FA6C8B"/>
    <w:rsid w:val="00FA7C89"/>
    <w:rsid w:val="00FB3E99"/>
    <w:rsid w:val="00FB4139"/>
    <w:rsid w:val="00FB476E"/>
    <w:rsid w:val="00FC0D90"/>
    <w:rsid w:val="00FC7D8C"/>
    <w:rsid w:val="00FD2727"/>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95578E2-D7A5-4EF3-8035-094D97BD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he"/>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aliases w:val="encabezado Char,he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customStyle="1" w:styleId="TabletextChar">
    <w:name w:val="Table_text Char"/>
    <w:basedOn w:val="DefaultParagraphFont"/>
    <w:link w:val="Tabletext"/>
    <w:locked/>
    <w:rsid w:val="0097213C"/>
    <w:rPr>
      <w:rFonts w:asciiTheme="minorHAnsi" w:hAnsiTheme="minorHAnsi"/>
      <w:sz w:val="22"/>
      <w:lang w:val="fr-CH" w:eastAsia="en-US"/>
    </w:rPr>
  </w:style>
  <w:style w:type="table" w:customStyle="1" w:styleId="GridTable4-Accent114">
    <w:name w:val="Grid Table 4 - Accent 114"/>
    <w:basedOn w:val="TableNormal"/>
    <w:uiPriority w:val="49"/>
    <w:rsid w:val="0097213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5">
    <w:name w:val="Grid Table 4 - Accent 115"/>
    <w:basedOn w:val="TableNormal"/>
    <w:uiPriority w:val="49"/>
    <w:rsid w:val="005C25A2"/>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textAsianBodyCalibri">
    <w:name w:val="Table_text + (Asian) +Body (Calibri)"/>
    <w:aliases w:val="(Complex) +Body CS (Arial),10 pt"/>
    <w:basedOn w:val="Tabletext"/>
    <w:rsid w:val="00532810"/>
    <w:rPr>
      <w:rFonts w:eastAsiaTheme="minorHAnsi" w:cstheme="minorBid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PowerPoint_Slide1.sldx"/><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DAG19.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ivera\AppData\Local\Microsoft\Windows\INetCache\Content.Outlook\EATEX5GL\OPERATIONAL%20PLAN%2020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en-US" sz="1100" b="0">
                <a:solidFill>
                  <a:schemeClr val="accent1"/>
                </a:solidFill>
                <a:latin typeface="+mn-lt"/>
              </a:rPr>
              <a:t>Ventilation prévisionnelle des ressources </a:t>
            </a:r>
            <a:br>
              <a:rPr lang="en-US" sz="1100" b="0">
                <a:solidFill>
                  <a:schemeClr val="accent1"/>
                </a:solidFill>
                <a:latin typeface="+mn-lt"/>
              </a:rPr>
            </a:br>
            <a:r>
              <a:rPr lang="en-US" sz="1100" b="0">
                <a:solidFill>
                  <a:schemeClr val="accent1"/>
                </a:solidFill>
                <a:latin typeface="+mn-lt"/>
              </a:rPr>
              <a:t>par objectif</a:t>
            </a:r>
          </a:p>
        </c:rich>
      </c:tx>
      <c:layout>
        <c:manualLayout>
          <c:xMode val="edge"/>
          <c:yMode val="edge"/>
          <c:x val="0.1631498860155802"/>
          <c:y val="3.998428324562707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fr-F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100362232696041E-2"/>
          <c:y val="0.21497939619513798"/>
          <c:w val="0.81965371113690721"/>
          <c:h val="0.74285004965243306"/>
        </c:manualLayout>
      </c:layout>
      <c:pie3DChart>
        <c:varyColors val="1"/>
        <c:ser>
          <c:idx val="16"/>
          <c:order val="0"/>
          <c:tx>
            <c:strRef>
              <c:f>Sheet1!$B$1</c:f>
              <c:strCache>
                <c:ptCount val="1"/>
                <c:pt idx="0">
                  <c:v>%</c:v>
                </c:pt>
              </c:strCache>
            </c:strRef>
          </c:tx>
          <c:dPt>
            <c:idx val="0"/>
            <c:bubble3D val="0"/>
            <c:spPr>
              <a:solidFill>
                <a:schemeClr val="accent1">
                  <a:shade val="50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0000"/>
                </a:schemeClr>
              </a:solidFill>
              <a:ln>
                <a:noFill/>
              </a:ln>
              <a:effectLst>
                <a:outerShdw blurRad="254000" sx="102000" sy="102000" algn="ctr" rotWithShape="0">
                  <a:prstClr val="black">
                    <a:alpha val="20000"/>
                  </a:prstClr>
                </a:outerShdw>
              </a:effectLst>
              <a:sp3d/>
            </c:spPr>
          </c:dPt>
          <c:dPt>
            <c:idx val="2"/>
            <c:bubble3D val="0"/>
            <c:spPr>
              <a:solidFill>
                <a:schemeClr val="accent1">
                  <a:shade val="90000"/>
                </a:schemeClr>
              </a:solidFill>
              <a:ln>
                <a:noFill/>
              </a:ln>
              <a:effectLst>
                <a:outerShdw blurRad="254000" sx="102000" sy="102000" algn="ctr" rotWithShape="0">
                  <a:prstClr val="black">
                    <a:alpha val="20000"/>
                  </a:prstClr>
                </a:outerShdw>
              </a:effectLst>
              <a:sp3d/>
            </c:spPr>
          </c:dPt>
          <c:dPt>
            <c:idx val="3"/>
            <c:bubble3D val="0"/>
            <c:spPr>
              <a:solidFill>
                <a:schemeClr val="accent1">
                  <a:tint val="90000"/>
                </a:schemeClr>
              </a:solidFill>
              <a:ln>
                <a:noFill/>
              </a:ln>
              <a:effectLst>
                <a:outerShdw blurRad="254000" sx="102000" sy="102000" algn="ctr" rotWithShape="0">
                  <a:prstClr val="black">
                    <a:alpha val="20000"/>
                  </a:prstClr>
                </a:outerShdw>
              </a:effectLst>
              <a:sp3d/>
            </c:spPr>
          </c:dPt>
          <c:dPt>
            <c:idx val="4"/>
            <c:bubble3D val="0"/>
            <c:spPr>
              <a:solidFill>
                <a:schemeClr val="accent1">
                  <a:tint val="70000"/>
                </a:schemeClr>
              </a:solidFill>
              <a:ln>
                <a:noFill/>
              </a:ln>
              <a:effectLst>
                <a:outerShdw blurRad="254000" sx="102000" sy="102000" algn="ctr" rotWithShape="0">
                  <a:prstClr val="black">
                    <a:alpha val="20000"/>
                  </a:prstClr>
                </a:outerShdw>
              </a:effectLst>
              <a:sp3d/>
            </c:spPr>
          </c:dPt>
          <c:dPt>
            <c:idx val="5"/>
            <c:bubble3D val="0"/>
            <c:spPr>
              <a:solidFill>
                <a:schemeClr val="accent1">
                  <a:tint val="50000"/>
                </a:schemeClr>
              </a:solidFill>
              <a:ln>
                <a:noFill/>
              </a:ln>
              <a:effectLst>
                <a:outerShdw blurRad="254000" sx="102000" sy="102000" algn="ctr" rotWithShape="0">
                  <a:prstClr val="black">
                    <a:alpha val="20000"/>
                  </a:prstClr>
                </a:outerShdw>
              </a:effectLst>
              <a:sp3d/>
            </c:spPr>
          </c:dPt>
          <c:dLbls>
            <c:dLbl>
              <c:idx val="0"/>
              <c:layout>
                <c:manualLayout>
                  <c:x val="-0.15691249073439531"/>
                  <c:y val="-0.13136157136266607"/>
                </c:manualLayout>
              </c:layout>
              <c:tx>
                <c:rich>
                  <a:bodyPr/>
                  <a:lstStyle/>
                  <a:p>
                    <a:r>
                      <a:rPr lang="en-US"/>
                      <a:t>I.1: </a:t>
                    </a:r>
                    <a:fld id="{EBD78C21-19ED-4383-A4AA-6A21FBA73205}"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0.16493587502272694"/>
                  <c:y val="-3.925552627669307E-2"/>
                </c:manualLayout>
              </c:layout>
              <c:tx>
                <c:rich>
                  <a:bodyPr/>
                  <a:lstStyle/>
                  <a:p>
                    <a:r>
                      <a:rPr lang="en-US"/>
                      <a:t>I.2: </a:t>
                    </a:r>
                    <a:fld id="{CCCC0A40-C193-44F2-8550-AE233C7E0B48}"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8.7892197311925713E-2"/>
                  <c:y val="5.5186528943067817E-2"/>
                </c:manualLayout>
              </c:layout>
              <c:tx>
                <c:rich>
                  <a:bodyPr/>
                  <a:lstStyle/>
                  <a:p>
                    <a:r>
                      <a:rPr lang="en-US"/>
                      <a:t>I.3: 2%</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1529321268234011"/>
                      <c:h val="5.7323929344978847E-2"/>
                    </c:manualLayout>
                  </c15:layout>
                </c:ext>
              </c:extLst>
            </c:dLbl>
            <c:dLbl>
              <c:idx val="3"/>
              <c:layout>
                <c:manualLayout>
                  <c:x val="6.7851598871426208E-2"/>
                  <c:y val="7.8203129302201982E-2"/>
                </c:manualLayout>
              </c:layout>
              <c:tx>
                <c:rich>
                  <a:bodyPr/>
                  <a:lstStyle/>
                  <a:p>
                    <a:r>
                      <a:rPr lang="en-US"/>
                      <a:t>I.4: </a:t>
                    </a:r>
                    <a:fld id="{08737D8D-ADDA-467B-9333-1667467511A9}"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4.1105383915363995E-2"/>
                  <c:y val="6.4758504987033755E-2"/>
                </c:manualLayout>
              </c:layout>
              <c:tx>
                <c:rich>
                  <a:bodyPr/>
                  <a:lstStyle/>
                  <a:p>
                    <a:r>
                      <a:rPr lang="en-US"/>
                      <a:t>I.5: </a:t>
                    </a:r>
                    <a:fld id="{FE4AF0D2-3270-4EE8-A6CA-149C3D1A178C}"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4.2978985056586802E-2"/>
                  <c:y val="8.0269237187924183E-2"/>
                </c:manualLayout>
              </c:layout>
              <c:tx>
                <c:rich>
                  <a:bodyPr/>
                  <a:lstStyle/>
                  <a:p>
                    <a:r>
                      <a:rPr lang="en-US"/>
                      <a:t>I.6: </a:t>
                    </a:r>
                    <a:fld id="{D29F16BC-04BA-42BC-8B34-8E72E0B680B1}"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I.1 Collaboration</c:v>
                </c:pt>
                <c:pt idx="1">
                  <c:v>I.2 Emerging telecommunication/ICT trends</c:v>
                </c:pt>
                <c:pt idx="2">
                  <c:v>I.3 Telecommunication/ICT accessibility</c:v>
                </c:pt>
                <c:pt idx="3">
                  <c:v>I.4 Gender equality and inclusion</c:v>
                </c:pt>
                <c:pt idx="4">
                  <c:v>I.5 Environmental sustainability</c:v>
                </c:pt>
                <c:pt idx="5">
                  <c:v>I.6 Reducing overlap and duplication</c:v>
                </c:pt>
              </c:strCache>
            </c:strRef>
          </c:cat>
          <c:val>
            <c:numRef>
              <c:f>Sheet1!$B$2:$B$7</c:f>
              <c:numCache>
                <c:formatCode>0.00%</c:formatCode>
                <c:ptCount val="6"/>
                <c:pt idx="0">
                  <c:v>0.62549999999999994</c:v>
                </c:pt>
                <c:pt idx="1">
                  <c:v>0.18360000000000001</c:v>
                </c:pt>
                <c:pt idx="2">
                  <c:v>1.89E-2</c:v>
                </c:pt>
                <c:pt idx="3">
                  <c:v>7.46E-2</c:v>
                </c:pt>
                <c:pt idx="4">
                  <c:v>2.3199999999999998E-2</c:v>
                </c:pt>
                <c:pt idx="5">
                  <c:v>7.4200000000000002E-2</c:v>
                </c:pt>
              </c:numCache>
            </c:numRef>
          </c:val>
        </c:ser>
        <c:ser>
          <c:idx val="8"/>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elete val="1"/>
          </c:dLbls>
          <c:cat>
            <c:numRef>
              <c:f>all!$C$19:$C$23</c:f>
              <c:numCache>
                <c:formatCode>General</c:formatCode>
                <c:ptCount val="5"/>
                <c:pt idx="0">
                  <c:v>0</c:v>
                </c:pt>
                <c:pt idx="1">
                  <c:v>0</c:v>
                </c:pt>
                <c:pt idx="2">
                  <c:v>0</c:v>
                </c:pt>
                <c:pt idx="3">
                  <c:v>0</c:v>
                </c:pt>
                <c:pt idx="4">
                  <c:v>0</c:v>
                </c:pt>
              </c:numCache>
            </c:numRef>
          </c:cat>
          <c:val>
            <c:numRef>
              <c:f>all!$E$19:$E$23</c:f>
              <c:numCache>
                <c:formatCode>General</c:formatCode>
                <c:ptCount val="5"/>
                <c:pt idx="0">
                  <c:v>0</c:v>
                </c:pt>
                <c:pt idx="1">
                  <c:v>0</c:v>
                </c:pt>
                <c:pt idx="2">
                  <c:v>0</c:v>
                </c:pt>
                <c:pt idx="3">
                  <c:v>0</c:v>
                </c:pt>
                <c:pt idx="4">
                  <c:v>0</c:v>
                </c:pt>
              </c:numCache>
            </c:numRef>
          </c:val>
        </c:ser>
        <c:ser>
          <c:idx val="9"/>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0"/>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1"/>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2"/>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3"/>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4"/>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5"/>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4"/>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5"/>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6"/>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7"/>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2"/>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3"/>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0"/>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
          <c:order val="1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38DE-19DF-4DF7-8B1E-7160B60F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PF_TDAG19.dotx</Template>
  <TotalTime>4</TotalTime>
  <Pages>21</Pages>
  <Words>4652</Words>
  <Characters>27778</Characters>
  <Application>Microsoft Office Word</Application>
  <DocSecurity>0</DocSecurity>
  <Lines>957</Lines>
  <Paragraphs>675</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31755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Royer, Veronique</cp:lastModifiedBy>
  <cp:revision>3</cp:revision>
  <cp:lastPrinted>2019-04-02T09:55:00Z</cp:lastPrinted>
  <dcterms:created xsi:type="dcterms:W3CDTF">2019-04-10T12:29:00Z</dcterms:created>
  <dcterms:modified xsi:type="dcterms:W3CDTF">2019-04-10T12:36:00Z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