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443261" w:rsidTr="00443261">
        <w:trPr>
          <w:cantSplit/>
        </w:trPr>
        <w:tc>
          <w:tcPr>
            <w:tcW w:w="6771" w:type="dxa"/>
            <w:vAlign w:val="center"/>
          </w:tcPr>
          <w:p w:rsidR="00443261" w:rsidRPr="002D238A" w:rsidRDefault="00443261" w:rsidP="00470A6D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8069E9">
              <w:rPr>
                <w:rFonts w:ascii="Verdana" w:hAnsi="Verdana"/>
                <w:b/>
                <w:bCs/>
                <w:sz w:val="20"/>
              </w:rPr>
              <w:t>15</w:t>
            </w:r>
            <w:r w:rsidRPr="002D238A">
              <w:rPr>
                <w:rFonts w:ascii="Verdana" w:hAnsi="Verdana"/>
                <w:b/>
                <w:bCs/>
                <w:sz w:val="20"/>
              </w:rPr>
              <w:t>-</w:t>
            </w:r>
            <w:r w:rsidR="008069E9">
              <w:rPr>
                <w:rFonts w:ascii="Verdana" w:hAnsi="Verdana"/>
                <w:b/>
                <w:bCs/>
                <w:sz w:val="20"/>
              </w:rPr>
              <w:t>17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8069E9">
              <w:rPr>
                <w:rFonts w:ascii="Verdana" w:hAnsi="Verdana"/>
                <w:b/>
                <w:bCs/>
                <w:sz w:val="20"/>
              </w:rPr>
              <w:t>avril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>
              <w:rPr>
                <w:rFonts w:ascii="Verdana" w:hAnsi="Verdana"/>
                <w:b/>
                <w:bCs/>
                <w:sz w:val="20"/>
              </w:rPr>
              <w:t>1</w:t>
            </w:r>
            <w:r w:rsidR="008069E9">
              <w:rPr>
                <w:rFonts w:ascii="Verdana" w:hAnsi="Verdana"/>
                <w:b/>
                <w:bCs/>
                <w:sz w:val="20"/>
              </w:rPr>
              <w:t>9</w:t>
            </w:r>
          </w:p>
        </w:tc>
        <w:tc>
          <w:tcPr>
            <w:tcW w:w="3118" w:type="dxa"/>
          </w:tcPr>
          <w:p w:rsidR="00443261" w:rsidRDefault="00443261" w:rsidP="00470A6D">
            <w:pPr>
              <w:shd w:val="solid" w:color="FFFFFF" w:fill="FFFFFF"/>
              <w:spacing w:before="0"/>
              <w:jc w:val="right"/>
            </w:pPr>
            <w:r w:rsidRPr="007E1BB2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6857DB46" wp14:editId="0D83F1E3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2D238A" w:rsidRPr="0051782D" w:rsidRDefault="002D238A" w:rsidP="00470A6D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D238A" w:rsidRPr="0051782D" w:rsidRDefault="002D238A" w:rsidP="00470A6D">
            <w:pPr>
              <w:shd w:val="solid" w:color="FFFFFF" w:fill="FFFFFF"/>
              <w:spacing w:before="0" w:after="48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2D238A" w:rsidRPr="0051782D" w:rsidRDefault="002D238A" w:rsidP="00470A6D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D238A" w:rsidRPr="002D238A" w:rsidRDefault="002D238A" w:rsidP="00470A6D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>
        <w:trPr>
          <w:cantSplit/>
        </w:trPr>
        <w:tc>
          <w:tcPr>
            <w:tcW w:w="6771" w:type="dxa"/>
            <w:vMerge w:val="restart"/>
          </w:tcPr>
          <w:p w:rsidR="002D238A" w:rsidRPr="005031C8" w:rsidRDefault="002D238A" w:rsidP="00470A6D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2D238A" w:rsidRPr="00E7128F" w:rsidRDefault="00E7128F" w:rsidP="00470A6D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RAG19/015-F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470A6D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2D238A" w:rsidRPr="00E7128F" w:rsidRDefault="00F71A3E" w:rsidP="00470A6D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27 mars</w:t>
            </w:r>
            <w:r w:rsidR="00E7128F">
              <w:rPr>
                <w:rFonts w:ascii="Verdana" w:hAnsi="Verdana"/>
                <w:b/>
                <w:sz w:val="20"/>
              </w:rPr>
              <w:t xml:space="preserve"> 2019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470A6D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2D238A" w:rsidRPr="00E7128F" w:rsidRDefault="00E7128F" w:rsidP="00470A6D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Original: </w:t>
            </w:r>
            <w:r w:rsidR="00470A6D">
              <w:rPr>
                <w:rFonts w:ascii="Verdana" w:hAnsi="Verdana"/>
                <w:b/>
                <w:sz w:val="20"/>
              </w:rPr>
              <w:t>chinois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F71A3E" w:rsidP="00470A6D">
            <w:pPr>
              <w:pStyle w:val="Source"/>
            </w:pPr>
            <w:bookmarkStart w:id="3" w:name="dsource" w:colFirst="0" w:colLast="0"/>
            <w:bookmarkEnd w:id="2"/>
            <w:r>
              <w:t>Chine (République populaire de)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F71A3E" w:rsidP="00470A6D">
            <w:pPr>
              <w:pStyle w:val="Title1"/>
            </w:pPr>
            <w:bookmarkStart w:id="4" w:name="dtitle1" w:colFirst="0" w:colLast="0"/>
            <w:bookmarkEnd w:id="3"/>
            <w:r w:rsidRPr="00315FC5">
              <w:rPr>
                <w:lang w:val="fr-CH"/>
              </w:rPr>
              <w:t>Proposition visant à dispenser u</w:t>
            </w:r>
            <w:r>
              <w:rPr>
                <w:lang w:val="fr-CH"/>
              </w:rPr>
              <w:t xml:space="preserve">ne formation plus complète et </w:t>
            </w:r>
            <w:r w:rsidRPr="00315FC5">
              <w:rPr>
                <w:lang w:val="fr-CH"/>
              </w:rPr>
              <w:t>fournir des orientations opérationnelles concernant la notification</w:t>
            </w:r>
            <w:r>
              <w:rPr>
                <w:lang w:val="fr-CH"/>
              </w:rPr>
              <w:t xml:space="preserve"> des Nanosatellites et des Picosatellites</w:t>
            </w:r>
          </w:p>
        </w:tc>
      </w:tr>
    </w:tbl>
    <w:bookmarkEnd w:id="4"/>
    <w:p w:rsidR="00F71A3E" w:rsidRPr="0056708B" w:rsidRDefault="00F71A3E" w:rsidP="00470A6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Lines="250" w:before="600"/>
        <w:textAlignment w:val="auto"/>
        <w:rPr>
          <w:lang w:val="fr-CH" w:eastAsia="ja-JP"/>
        </w:rPr>
      </w:pPr>
      <w:r w:rsidRPr="00315FC5">
        <w:rPr>
          <w:lang w:val="fr-CH" w:eastAsia="ja-JP"/>
        </w:rPr>
        <w:t xml:space="preserve">Ces dernières années, le secteur des télécommunications par satellite a connu </w:t>
      </w:r>
      <w:r>
        <w:rPr>
          <w:lang w:val="fr-CH" w:eastAsia="ja-JP"/>
        </w:rPr>
        <w:t>une croissance rapide. En particulier, étant donné que les techniques de télécommunication</w:t>
      </w:r>
      <w:r>
        <w:rPr>
          <w:lang w:val="fr-CH" w:eastAsia="ja-JP"/>
        </w:rPr>
        <w:t xml:space="preserve"> </w:t>
      </w:r>
      <w:r>
        <w:rPr>
          <w:lang w:val="fr-CH" w:eastAsia="ja-JP"/>
        </w:rPr>
        <w:t>par satellite et les technologies de construction des satellites sont de plus en plus évoluées, le développement du secteur des</w:t>
      </w:r>
      <w:r w:rsidRPr="00277928">
        <w:rPr>
          <w:lang w:val="fr-CH"/>
        </w:rPr>
        <w:t xml:space="preserve"> </w:t>
      </w:r>
      <w:r>
        <w:rPr>
          <w:lang w:val="fr-CH"/>
        </w:rPr>
        <w:t xml:space="preserve">nanosatellites et des picosatellites, </w:t>
      </w:r>
      <w:r>
        <w:rPr>
          <w:lang w:val="fr-CH"/>
        </w:rPr>
        <w:t xml:space="preserve">satellites </w:t>
      </w:r>
      <w:r>
        <w:rPr>
          <w:lang w:val="fr-CH"/>
        </w:rPr>
        <w:t>qui sont placés sur orbite basse et dont les missions</w:t>
      </w:r>
      <w:r w:rsidRPr="00F2076A">
        <w:rPr>
          <w:lang w:val="fr-CH"/>
        </w:rPr>
        <w:t xml:space="preserve"> </w:t>
      </w:r>
      <w:r>
        <w:rPr>
          <w:lang w:val="fr-CH"/>
        </w:rPr>
        <w:t xml:space="preserve">sont </w:t>
      </w:r>
      <w:r w:rsidRPr="00F2076A">
        <w:rPr>
          <w:lang w:val="fr-CH"/>
        </w:rPr>
        <w:t>de courte durée</w:t>
      </w:r>
      <w:r>
        <w:rPr>
          <w:lang w:val="fr-CH"/>
        </w:rPr>
        <w:t xml:space="preserve">, a connu un essor spectaculaire. Par le passé, le cycle de développement des satellites classiques était long et coûteux et </w:t>
      </w:r>
      <w:r>
        <w:rPr>
          <w:lang w:val="fr-CH"/>
        </w:rPr>
        <w:t xml:space="preserve">très souvent, </w:t>
      </w:r>
      <w:r>
        <w:rPr>
          <w:lang w:val="fr-CH"/>
        </w:rPr>
        <w:t>la mise au point, le lancement et l'exploitation de ces satellites étaient</w:t>
      </w:r>
      <w:r>
        <w:rPr>
          <w:lang w:val="fr-CH"/>
        </w:rPr>
        <w:t xml:space="preserve"> </w:t>
      </w:r>
      <w:r>
        <w:rPr>
          <w:lang w:val="fr-CH"/>
        </w:rPr>
        <w:t>une prérogative d'entités nationales ou de quelques entreprises commerciales</w:t>
      </w:r>
      <w:r>
        <w:rPr>
          <w:lang w:val="fr-CH"/>
        </w:rPr>
        <w:t xml:space="preserve"> </w:t>
      </w:r>
      <w:r w:rsidRPr="00376FE1">
        <w:rPr>
          <w:color w:val="000000"/>
          <w:lang w:val="fr-CH"/>
        </w:rPr>
        <w:t>occupant une position dominante sur le marché</w:t>
      </w:r>
      <w:r>
        <w:rPr>
          <w:lang w:val="fr-CH" w:eastAsia="ja-JP"/>
        </w:rPr>
        <w:t xml:space="preserve">. </w:t>
      </w:r>
      <w:r w:rsidRPr="00376FE1">
        <w:rPr>
          <w:lang w:val="fr-CH" w:eastAsia="ja-JP"/>
        </w:rPr>
        <w:t>Cependant, le développement des</w:t>
      </w:r>
      <w:r w:rsidRPr="00376FE1">
        <w:rPr>
          <w:rFonts w:hint="eastAsia"/>
          <w:lang w:val="fr-CH" w:eastAsia="ja-JP"/>
        </w:rPr>
        <w:t xml:space="preserve"> </w:t>
      </w:r>
      <w:r w:rsidRPr="00376FE1">
        <w:rPr>
          <w:lang w:val="fr-CH"/>
        </w:rPr>
        <w:t>nanosatellites et des picosatellites</w:t>
      </w:r>
      <w:r w:rsidRPr="00376FE1">
        <w:rPr>
          <w:rFonts w:hint="eastAsia"/>
          <w:lang w:val="fr-CH" w:eastAsia="ja-JP"/>
        </w:rPr>
        <w:t xml:space="preserve"> </w:t>
      </w:r>
      <w:r w:rsidRPr="00376FE1">
        <w:rPr>
          <w:lang w:val="fr-CH" w:eastAsia="ja-JP"/>
        </w:rPr>
        <w:t xml:space="preserve">peut être assuré rapidement par des entreprises classiques </w:t>
      </w:r>
      <w:r>
        <w:rPr>
          <w:lang w:val="fr-CH" w:eastAsia="ja-JP"/>
        </w:rPr>
        <w:t xml:space="preserve">ou </w:t>
      </w:r>
      <w:r w:rsidRPr="00376FE1">
        <w:rPr>
          <w:lang w:val="fr-CH" w:eastAsia="ja-JP"/>
        </w:rPr>
        <w:t>des petites entreprises</w:t>
      </w:r>
      <w:r>
        <w:rPr>
          <w:lang w:val="fr-CH" w:eastAsia="ja-JP"/>
        </w:rPr>
        <w:t>, en raison de la souplesse de leurs configurations de lancement et de transport de charge</w:t>
      </w:r>
      <w:r>
        <w:rPr>
          <w:lang w:val="fr-CH" w:eastAsia="ja-JP"/>
        </w:rPr>
        <w:t xml:space="preserve"> </w:t>
      </w:r>
      <w:r>
        <w:rPr>
          <w:lang w:val="fr-CH" w:eastAsia="ja-JP"/>
        </w:rPr>
        <w:t xml:space="preserve">utile. </w:t>
      </w:r>
      <w:r w:rsidRPr="00B66090">
        <w:rPr>
          <w:lang w:val="fr-CH" w:eastAsia="ja-JP"/>
        </w:rPr>
        <w:t>La richesse et la diversité des modes d'application</w:t>
      </w:r>
      <w:r>
        <w:rPr>
          <w:lang w:val="fr-CH" w:eastAsia="ja-JP"/>
        </w:rPr>
        <w:t xml:space="preserve"> </w:t>
      </w:r>
      <w:r w:rsidRPr="00B66090">
        <w:rPr>
          <w:lang w:val="fr-CH" w:eastAsia="ja-JP"/>
        </w:rPr>
        <w:t xml:space="preserve">des </w:t>
      </w:r>
      <w:r w:rsidRPr="00B66090">
        <w:rPr>
          <w:lang w:val="fr-CH"/>
        </w:rPr>
        <w:t>nanosatellites et des picosatellites</w:t>
      </w:r>
      <w:r w:rsidRPr="00B66090">
        <w:rPr>
          <w:lang w:val="fr-CH" w:eastAsia="ja-JP"/>
        </w:rPr>
        <w:t xml:space="preserve"> et les avantages qui leur sont propres, </w:t>
      </w:r>
      <w:r>
        <w:rPr>
          <w:lang w:val="fr-CH" w:eastAsia="ja-JP"/>
        </w:rPr>
        <w:t xml:space="preserve">conjugués aux </w:t>
      </w:r>
      <w:r w:rsidRPr="00B66090">
        <w:rPr>
          <w:lang w:val="fr-CH" w:eastAsia="ja-JP"/>
        </w:rPr>
        <w:t>immenses perspectives qu'ils ouvrent e</w:t>
      </w:r>
      <w:r>
        <w:rPr>
          <w:lang w:val="fr-CH" w:eastAsia="ja-JP"/>
        </w:rPr>
        <w:t xml:space="preserve">t </w:t>
      </w:r>
      <w:r>
        <w:rPr>
          <w:lang w:val="fr-CH" w:eastAsia="ja-JP"/>
        </w:rPr>
        <w:t xml:space="preserve">à </w:t>
      </w:r>
      <w:r>
        <w:rPr>
          <w:lang w:val="fr-CH" w:eastAsia="ja-JP"/>
        </w:rPr>
        <w:t>l'é</w:t>
      </w:r>
      <w:r w:rsidRPr="00B66090">
        <w:rPr>
          <w:lang w:val="fr-CH" w:eastAsia="ja-JP"/>
        </w:rPr>
        <w:t>norme</w:t>
      </w:r>
      <w:r>
        <w:rPr>
          <w:lang w:val="fr-CH" w:eastAsia="ja-JP"/>
        </w:rPr>
        <w:t xml:space="preserve"> </w:t>
      </w:r>
      <w:r w:rsidRPr="00B66090">
        <w:rPr>
          <w:color w:val="000000"/>
          <w:lang w:val="fr-CH"/>
        </w:rPr>
        <w:t>marché potentiel qu'ils représentent</w:t>
      </w:r>
      <w:r>
        <w:rPr>
          <w:color w:val="000000"/>
          <w:lang w:val="fr-CH"/>
        </w:rPr>
        <w:t>,</w:t>
      </w:r>
      <w:r>
        <w:rPr>
          <w:rFonts w:hint="eastAsia"/>
          <w:lang w:val="fr-CH" w:eastAsia="ja-JP"/>
        </w:rPr>
        <w:t xml:space="preserve"> </w:t>
      </w:r>
      <w:r>
        <w:rPr>
          <w:lang w:val="fr-CH" w:eastAsia="ja-JP"/>
        </w:rPr>
        <w:t>attirent dans ce secteur de «nouveaux acteurs</w:t>
      </w:r>
      <w:r>
        <w:rPr>
          <w:lang w:val="fr-CH" w:eastAsia="ja-JP"/>
        </w:rPr>
        <w:t>» toujours plus nombreux,</w:t>
      </w:r>
      <w:r w:rsidRPr="00B66090">
        <w:rPr>
          <w:rFonts w:hint="eastAsia"/>
          <w:lang w:val="fr-CH" w:eastAsia="ja-JP"/>
        </w:rPr>
        <w:t xml:space="preserve"> </w:t>
      </w:r>
      <w:r>
        <w:rPr>
          <w:lang w:val="fr-CH" w:eastAsia="ja-JP"/>
        </w:rPr>
        <w:t>qui ne comprennent pas bien le Règlement des radiocommunications ou connaissent mal les procédures de soumission des fiches de notification de réseaux à satellite et les logiciels d'application correspondants.</w:t>
      </w:r>
      <w:r>
        <w:rPr>
          <w:lang w:val="fr-CH" w:eastAsia="ja-JP"/>
        </w:rPr>
        <w:t xml:space="preserve"> </w:t>
      </w:r>
      <w:r>
        <w:rPr>
          <w:lang w:val="fr-CH" w:eastAsia="ja-JP"/>
        </w:rPr>
        <w:t>Le nombre de ces entreprises va sans doute augmenter</w:t>
      </w:r>
      <w:r>
        <w:rPr>
          <w:lang w:val="fr-CH" w:eastAsia="ja-JP"/>
        </w:rPr>
        <w:t xml:space="preserve"> </w:t>
      </w:r>
      <w:r w:rsidRPr="00B66090">
        <w:rPr>
          <w:color w:val="000000"/>
          <w:lang w:val="fr-CH"/>
        </w:rPr>
        <w:t>de manière exponentielle</w:t>
      </w:r>
      <w:r w:rsidRPr="00B66090">
        <w:rPr>
          <w:rFonts w:hint="eastAsia"/>
          <w:lang w:val="fr-CH" w:eastAsia="ja-JP"/>
        </w:rPr>
        <w:t xml:space="preserve">. </w:t>
      </w:r>
      <w:r w:rsidRPr="0056708B">
        <w:rPr>
          <w:lang w:val="fr-CH" w:eastAsia="ja-JP"/>
        </w:rPr>
        <w:t>Or, celles-ci</w:t>
      </w:r>
      <w:r>
        <w:rPr>
          <w:rFonts w:hint="eastAsia"/>
          <w:lang w:val="fr-CH" w:eastAsia="ja-JP"/>
        </w:rPr>
        <w:t xml:space="preserve"> </w:t>
      </w:r>
      <w:r w:rsidRPr="0056708B">
        <w:rPr>
          <w:lang w:val="fr-CH" w:eastAsia="ja-JP"/>
        </w:rPr>
        <w:t xml:space="preserve">éprouvent fréquemment des difficultés </w:t>
      </w:r>
      <w:r w:rsidR="00470A6D">
        <w:rPr>
          <w:lang w:val="fr-CH" w:eastAsia="ja-JP"/>
        </w:rPr>
        <w:t>quant à la façon d'</w:t>
      </w:r>
      <w:r w:rsidRPr="0056708B">
        <w:rPr>
          <w:lang w:val="fr-CH" w:eastAsia="ja-JP"/>
        </w:rPr>
        <w:t xml:space="preserve">appliquer correctement les dispositions pertinentes du Règlement des radiocommunications et </w:t>
      </w:r>
      <w:r w:rsidR="00470A6D">
        <w:rPr>
          <w:lang w:val="fr-CH" w:eastAsia="ja-JP"/>
        </w:rPr>
        <w:t>de</w:t>
      </w:r>
      <w:r w:rsidRPr="0056708B">
        <w:rPr>
          <w:lang w:val="fr-CH" w:eastAsia="ja-JP"/>
        </w:rPr>
        <w:t xml:space="preserve"> soumettre une fiche de notification</w:t>
      </w:r>
      <w:r>
        <w:rPr>
          <w:lang w:val="fr-CH" w:eastAsia="ja-JP"/>
        </w:rPr>
        <w:t xml:space="preserve"> remplissant les conditions requises. </w:t>
      </w:r>
    </w:p>
    <w:p w:rsidR="00F71A3E" w:rsidRPr="0056708B" w:rsidRDefault="00F71A3E" w:rsidP="00470A6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Lines="50"/>
        <w:textAlignment w:val="auto"/>
        <w:rPr>
          <w:lang w:val="fr-CH" w:eastAsia="ja-JP"/>
        </w:rPr>
      </w:pPr>
      <w:r w:rsidRPr="0056708B">
        <w:rPr>
          <w:lang w:val="fr-CH" w:eastAsia="ja-JP"/>
        </w:rPr>
        <w:t>Nous avons constaté</w:t>
      </w:r>
      <w:r>
        <w:rPr>
          <w:lang w:val="fr-CH" w:eastAsia="ja-JP"/>
        </w:rPr>
        <w:t xml:space="preserve"> qu'il existe </w:t>
      </w:r>
      <w:r w:rsidRPr="0056708B">
        <w:rPr>
          <w:lang w:val="fr-CH" w:eastAsia="ja-JP"/>
        </w:rPr>
        <w:t>déjà un mécan</w:t>
      </w:r>
      <w:r w:rsidR="00470A6D">
        <w:rPr>
          <w:lang w:val="fr-CH" w:eastAsia="ja-JP"/>
        </w:rPr>
        <w:t>isme de formation au sein de l'U</w:t>
      </w:r>
      <w:r w:rsidRPr="0056708B">
        <w:rPr>
          <w:lang w:val="fr-CH" w:eastAsia="ja-JP"/>
        </w:rPr>
        <w:t>nion internationale des télécommunications. Des programmes de formation sur les radiocommunications sont</w:t>
      </w:r>
      <w:r>
        <w:rPr>
          <w:lang w:val="fr-CH" w:eastAsia="ja-JP"/>
        </w:rPr>
        <w:t xml:space="preserve"> </w:t>
      </w:r>
      <w:r w:rsidRPr="0056708B">
        <w:rPr>
          <w:lang w:val="fr-CH" w:eastAsia="ja-JP"/>
        </w:rPr>
        <w:t xml:space="preserve">organisés et dispensés périodiquement, notamment le Séminaire mondial des radiocommunications de l'UIT qui se tient tous les deux ans et </w:t>
      </w:r>
      <w:r>
        <w:rPr>
          <w:lang w:val="fr-CH" w:eastAsia="ja-JP"/>
        </w:rPr>
        <w:t xml:space="preserve">les ateliers thématiques régionaux. Cependant, </w:t>
      </w:r>
      <w:r w:rsidR="00470A6D">
        <w:rPr>
          <w:lang w:val="fr-CH" w:eastAsia="ja-JP"/>
        </w:rPr>
        <w:t>c</w:t>
      </w:r>
      <w:r>
        <w:rPr>
          <w:lang w:val="fr-CH" w:eastAsia="ja-JP"/>
        </w:rPr>
        <w:t xml:space="preserve">es séminaires et ateliers sont rarement consacrés expressément à l'application du Règlement des radiocommunications pour ce qui est du lancement et de l'utilisation des </w:t>
      </w:r>
      <w:r w:rsidRPr="00B66090">
        <w:rPr>
          <w:lang w:val="fr-CH"/>
        </w:rPr>
        <w:t>nanosatellites et des picosatellites</w:t>
      </w:r>
      <w:r w:rsidR="00470A6D">
        <w:rPr>
          <w:lang w:val="fr-CH"/>
        </w:rPr>
        <w:t xml:space="preserve"> et des études connexes</w:t>
      </w:r>
      <w:r w:rsidRPr="0056708B">
        <w:rPr>
          <w:rFonts w:hint="eastAsia"/>
          <w:lang w:val="fr-CH" w:eastAsia="ja-JP"/>
        </w:rPr>
        <w:t>.</w:t>
      </w:r>
      <w:r w:rsidRPr="0056708B">
        <w:rPr>
          <w:lang w:val="fr-CH" w:eastAsia="ja-JP"/>
        </w:rPr>
        <w:t xml:space="preserve"> </w:t>
      </w:r>
    </w:p>
    <w:p w:rsidR="00F71A3E" w:rsidRPr="0056708B" w:rsidRDefault="00F71A3E" w:rsidP="00470A6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Lines="50"/>
        <w:textAlignment w:val="auto"/>
        <w:rPr>
          <w:lang w:val="fr-CH" w:eastAsia="ja-JP"/>
        </w:rPr>
      </w:pPr>
      <w:r w:rsidRPr="0056708B">
        <w:rPr>
          <w:lang w:val="fr-CH" w:eastAsia="ja-JP"/>
        </w:rPr>
        <w:t>Compte tenu de</w:t>
      </w:r>
      <w:r>
        <w:rPr>
          <w:lang w:val="fr-CH" w:eastAsia="ja-JP"/>
        </w:rPr>
        <w:t xml:space="preserve"> ce qui précède, nous proposons</w:t>
      </w:r>
      <w:r w:rsidRPr="0056708B">
        <w:rPr>
          <w:lang w:val="fr-CH" w:eastAsia="ja-JP"/>
        </w:rPr>
        <w:t>:</w:t>
      </w:r>
      <w:r>
        <w:rPr>
          <w:lang w:val="fr-CH" w:eastAsia="ja-JP"/>
        </w:rPr>
        <w:t xml:space="preserve"> </w:t>
      </w:r>
    </w:p>
    <w:p w:rsidR="00F71A3E" w:rsidRPr="0056708B" w:rsidRDefault="00F71A3E" w:rsidP="00470A6D">
      <w:pPr>
        <w:pStyle w:val="enumlev1"/>
        <w:rPr>
          <w:lang w:val="fr-CH" w:eastAsia="ja-JP"/>
        </w:rPr>
      </w:pPr>
      <w:r w:rsidRPr="0056708B">
        <w:rPr>
          <w:rFonts w:hint="eastAsia"/>
          <w:lang w:val="fr-CH" w:eastAsia="ja-JP"/>
        </w:rPr>
        <w:t>1)</w:t>
      </w:r>
      <w:r w:rsidR="00470A6D">
        <w:rPr>
          <w:lang w:val="fr-CH" w:eastAsia="ja-JP"/>
        </w:rPr>
        <w:tab/>
      </w:r>
      <w:r w:rsidRPr="0056708B">
        <w:rPr>
          <w:lang w:val="fr-CH" w:eastAsia="ja-JP"/>
        </w:rPr>
        <w:t>que</w:t>
      </w:r>
      <w:r>
        <w:rPr>
          <w:lang w:val="fr-CH" w:eastAsia="ja-JP"/>
        </w:rPr>
        <w:t xml:space="preserve"> </w:t>
      </w:r>
      <w:r w:rsidRPr="0056708B">
        <w:rPr>
          <w:lang w:val="fr-CH" w:eastAsia="ja-JP"/>
        </w:rPr>
        <w:t>l'UIT-R accorde une attention accrue au développement des</w:t>
      </w:r>
      <w:r w:rsidRPr="0056708B">
        <w:rPr>
          <w:lang w:val="fr-CH"/>
        </w:rPr>
        <w:t xml:space="preserve"> nanosatellites et des picosatellites, tout en harmonisant et en</w:t>
      </w:r>
      <w:r>
        <w:rPr>
          <w:lang w:val="fr-CH"/>
        </w:rPr>
        <w:t xml:space="preserve"> </w:t>
      </w:r>
      <w:r w:rsidR="00470A6D">
        <w:rPr>
          <w:lang w:val="fr-CH"/>
        </w:rPr>
        <w:t xml:space="preserve">renforçant comme il se doit la </w:t>
      </w:r>
      <w:r>
        <w:rPr>
          <w:lang w:val="fr-CH"/>
        </w:rPr>
        <w:t>formation sur les applications et les règles relatives au</w:t>
      </w:r>
      <w:r w:rsidR="00470A6D">
        <w:rPr>
          <w:lang w:val="fr-CH"/>
        </w:rPr>
        <w:t>x</w:t>
      </w:r>
      <w:r w:rsidRPr="0056708B">
        <w:rPr>
          <w:lang w:val="fr-CH"/>
        </w:rPr>
        <w:t xml:space="preserve"> </w:t>
      </w:r>
      <w:r w:rsidRPr="00B66090">
        <w:rPr>
          <w:lang w:val="fr-CH"/>
        </w:rPr>
        <w:t>nanosatellites et</w:t>
      </w:r>
      <w:r>
        <w:rPr>
          <w:lang w:val="fr-CH"/>
        </w:rPr>
        <w:t xml:space="preserve"> </w:t>
      </w:r>
      <w:r>
        <w:rPr>
          <w:lang w:val="fr-CH"/>
        </w:rPr>
        <w:t>aux</w:t>
      </w:r>
      <w:r w:rsidRPr="00B66090">
        <w:rPr>
          <w:lang w:val="fr-CH"/>
        </w:rPr>
        <w:t xml:space="preserve"> picosatellites</w:t>
      </w:r>
      <w:r>
        <w:rPr>
          <w:lang w:val="fr-CH" w:eastAsia="ja-JP"/>
        </w:rPr>
        <w:t>, en concertation avec le Secteur du dével</w:t>
      </w:r>
      <w:r>
        <w:rPr>
          <w:lang w:val="fr-CH" w:eastAsia="ja-JP"/>
        </w:rPr>
        <w:t>oppement des télécommunications</w:t>
      </w:r>
      <w:r w:rsidR="00470A6D">
        <w:rPr>
          <w:lang w:val="fr-CH" w:eastAsia="ja-JP"/>
        </w:rPr>
        <w:t>;</w:t>
      </w:r>
    </w:p>
    <w:p w:rsidR="008069E9" w:rsidRDefault="00470A6D" w:rsidP="00470A6D">
      <w:pPr>
        <w:pStyle w:val="enumlev1"/>
        <w:rPr>
          <w:color w:val="000000"/>
          <w:lang w:val="fr-CH"/>
        </w:rPr>
      </w:pPr>
      <w:r>
        <w:rPr>
          <w:rFonts w:hint="eastAsia"/>
          <w:lang w:val="fr-CH" w:eastAsia="ja-JP"/>
        </w:rPr>
        <w:lastRenderedPageBreak/>
        <w:t>2)</w:t>
      </w:r>
      <w:r>
        <w:rPr>
          <w:lang w:val="fr-CH" w:eastAsia="ja-JP"/>
        </w:rPr>
        <w:tab/>
        <w:t>qu'un M</w:t>
      </w:r>
      <w:r w:rsidR="00F71A3E" w:rsidRPr="0056708B">
        <w:rPr>
          <w:lang w:val="fr-CH" w:eastAsia="ja-JP"/>
        </w:rPr>
        <w:t xml:space="preserve">anuel sur les </w:t>
      </w:r>
      <w:r w:rsidR="00F71A3E" w:rsidRPr="0056708B">
        <w:rPr>
          <w:lang w:val="fr-CH"/>
        </w:rPr>
        <w:t>nanosatell</w:t>
      </w:r>
      <w:r>
        <w:rPr>
          <w:lang w:val="fr-CH"/>
        </w:rPr>
        <w:t>ites et les picosatellites soit élaboré</w:t>
      </w:r>
      <w:r w:rsidR="00F71A3E" w:rsidRPr="0056708B">
        <w:rPr>
          <w:lang w:val="fr-CH"/>
        </w:rPr>
        <w:t xml:space="preserve"> dès que possible, soit sous la forme d'une mise à jour</w:t>
      </w:r>
      <w:r w:rsidR="00F71A3E">
        <w:rPr>
          <w:lang w:val="fr-CH"/>
        </w:rPr>
        <w:t xml:space="preserve"> et d'un supplément </w:t>
      </w:r>
      <w:r w:rsidR="00F71A3E" w:rsidRPr="0056708B">
        <w:rPr>
          <w:color w:val="000000"/>
          <w:lang w:val="fr-CH"/>
        </w:rPr>
        <w:t>du Manuel de l'UIT sur les télécommunications par satellite</w:t>
      </w:r>
      <w:r w:rsidR="00F71A3E">
        <w:rPr>
          <w:color w:val="000000"/>
          <w:lang w:val="fr-CH"/>
        </w:rPr>
        <w:t>, soit en tant que manuel distinct</w:t>
      </w:r>
      <w:r w:rsidR="00F71A3E">
        <w:rPr>
          <w:color w:val="000000"/>
          <w:lang w:val="fr-CH"/>
        </w:rPr>
        <w:t>.</w:t>
      </w:r>
    </w:p>
    <w:p w:rsidR="00F71A3E" w:rsidRPr="00F71A3E" w:rsidRDefault="00F71A3E" w:rsidP="00411C49">
      <w:pPr>
        <w:pStyle w:val="Reasons"/>
        <w:rPr>
          <w:lang w:val="fr-CH"/>
        </w:rPr>
      </w:pPr>
    </w:p>
    <w:p w:rsidR="00F71A3E" w:rsidRPr="00F71A3E" w:rsidRDefault="00F71A3E" w:rsidP="00F71A3E">
      <w:pPr>
        <w:jc w:val="center"/>
        <w:rPr>
          <w:lang w:val="fr-CH"/>
        </w:rPr>
      </w:pPr>
      <w:r>
        <w:t>______________</w:t>
      </w:r>
      <w:bookmarkStart w:id="5" w:name="_GoBack"/>
      <w:bookmarkEnd w:id="5"/>
    </w:p>
    <w:sectPr w:rsidR="00F71A3E" w:rsidRPr="00F71A3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28F" w:rsidRDefault="00E7128F">
      <w:r>
        <w:separator/>
      </w:r>
    </w:p>
  </w:endnote>
  <w:endnote w:type="continuationSeparator" w:id="0">
    <w:p w:rsidR="00E7128F" w:rsidRDefault="00E7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E7128F">
      <w:rPr>
        <w:lang w:val="en-US"/>
      </w:rPr>
      <w:t>Document2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F71A3E">
      <w:t>05.04.19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E7128F">
      <w:t>11.10.99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 w:rsidP="00470A6D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F71A3E">
      <w:rPr>
        <w:lang w:val="en-US"/>
      </w:rPr>
      <w:t>P:\FRA\ITU-R\AG\RAG\RAG19\000\015F.docx</w:t>
    </w:r>
    <w:r>
      <w:rPr>
        <w:lang w:val="en-US"/>
      </w:rPr>
      <w:fldChar w:fldCharType="end"/>
    </w:r>
    <w:r w:rsidR="00F71A3E">
      <w:rPr>
        <w:lang w:val="en-US"/>
      </w:rPr>
      <w:t xml:space="preserve"> (452841)</w:t>
    </w:r>
    <w:r w:rsidR="00470A6D"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 w:rsidP="00470A6D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F71A3E">
      <w:rPr>
        <w:lang w:val="en-US"/>
      </w:rPr>
      <w:t>P:\FRA\ITU-R\AG\RAG\RAG19\000\015F.docx</w:t>
    </w:r>
    <w:r>
      <w:rPr>
        <w:lang w:val="en-US"/>
      </w:rPr>
      <w:fldChar w:fldCharType="end"/>
    </w:r>
    <w:r w:rsidR="00F71A3E">
      <w:rPr>
        <w:lang w:val="en-US"/>
      </w:rPr>
      <w:t xml:space="preserve"> (452841)</w:t>
    </w:r>
    <w:r w:rsidR="00470A6D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28F" w:rsidRDefault="00E7128F">
      <w:r>
        <w:t>____________________</w:t>
      </w:r>
    </w:p>
  </w:footnote>
  <w:footnote w:type="continuationSeparator" w:id="0">
    <w:p w:rsidR="00E7128F" w:rsidRDefault="00E71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6340BE">
      <w:rPr>
        <w:noProof/>
      </w:rPr>
      <w:t>2</w:t>
    </w:r>
    <w:r>
      <w:rPr>
        <w:noProof/>
      </w:rPr>
      <w:fldChar w:fldCharType="end"/>
    </w:r>
  </w:p>
  <w:p w:rsidR="00847AAC" w:rsidRDefault="0097156E" w:rsidP="008069E9">
    <w:pPr>
      <w:pStyle w:val="Header"/>
      <w:rPr>
        <w:lang w:val="es-ES"/>
      </w:rPr>
    </w:pPr>
    <w:r>
      <w:rPr>
        <w:lang w:val="es-ES"/>
      </w:rPr>
      <w:t>RAG</w:t>
    </w:r>
    <w:r w:rsidR="00925627">
      <w:rPr>
        <w:lang w:val="es-ES"/>
      </w:rPr>
      <w:t>1</w:t>
    </w:r>
    <w:r w:rsidR="008069E9">
      <w:rPr>
        <w:lang w:val="es-ES"/>
      </w:rPr>
      <w:t>9</w:t>
    </w:r>
    <w:r w:rsidR="00F71A3E">
      <w:rPr>
        <w:lang w:val="es-ES"/>
      </w:rPr>
      <w:t>/15</w:t>
    </w:r>
    <w:r w:rsidR="00847AAC">
      <w:rPr>
        <w:lang w:val="es-ES"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8F"/>
    <w:rsid w:val="000C06D8"/>
    <w:rsid w:val="00140AE6"/>
    <w:rsid w:val="00222A1C"/>
    <w:rsid w:val="002D238A"/>
    <w:rsid w:val="003A6CEE"/>
    <w:rsid w:val="00405FBE"/>
    <w:rsid w:val="00443261"/>
    <w:rsid w:val="00470A6D"/>
    <w:rsid w:val="004E1CCF"/>
    <w:rsid w:val="005031C8"/>
    <w:rsid w:val="005207F5"/>
    <w:rsid w:val="005430E4"/>
    <w:rsid w:val="006340BE"/>
    <w:rsid w:val="0067019B"/>
    <w:rsid w:val="00677EE5"/>
    <w:rsid w:val="00694DEF"/>
    <w:rsid w:val="00773E5E"/>
    <w:rsid w:val="008069E9"/>
    <w:rsid w:val="00847AAC"/>
    <w:rsid w:val="00902253"/>
    <w:rsid w:val="00925627"/>
    <w:rsid w:val="0093101F"/>
    <w:rsid w:val="0097156E"/>
    <w:rsid w:val="00A9055C"/>
    <w:rsid w:val="00AB7F92"/>
    <w:rsid w:val="00AC39EE"/>
    <w:rsid w:val="00B41D84"/>
    <w:rsid w:val="00BA0C7B"/>
    <w:rsid w:val="00BC4591"/>
    <w:rsid w:val="00C72A86"/>
    <w:rsid w:val="00CC5B9E"/>
    <w:rsid w:val="00CC7208"/>
    <w:rsid w:val="00CE6184"/>
    <w:rsid w:val="00D228F7"/>
    <w:rsid w:val="00D34E1C"/>
    <w:rsid w:val="00D95965"/>
    <w:rsid w:val="00DD55EB"/>
    <w:rsid w:val="00E2659D"/>
    <w:rsid w:val="00E7128F"/>
    <w:rsid w:val="00EC0F12"/>
    <w:rsid w:val="00ED59FA"/>
    <w:rsid w:val="00F71A3E"/>
    <w:rsid w:val="00F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66FD9EC-BCF3-4CCE-92DA-ACC463A3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F71A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RAG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PF_RAG19.dotm</Template>
  <TotalTime>14</TotalTime>
  <Pages>2</Pages>
  <Words>480</Words>
  <Characters>2921</Characters>
  <Application>Microsoft Office Word</Application>
  <DocSecurity>0</DocSecurity>
  <Lines>53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VISANT À DISPENSER UNE FORMATION PLUS COMPLÈTE ET FOURNIR DES ORIENTATIONS OPÉRATIONNELLES CONCERNANT LA NOTIFICATION DES NANOSATELLITES ET DES PICOSATELLITES</dc:title>
  <dc:subject>GROUPE CONSULTATIF DES RADIOCOMMUNICATIONS</dc:subject>
  <dc:creator>Chine (République populaire de)</dc:creator>
  <cp:keywords>RAG03-1</cp:keywords>
  <dc:description>Document RAG19/015-F  For: _x000d_Document date: 27 mars 2019_x000d_Saved by ITU51013023 at 10:11:51 on 05.04.2019</dc:description>
  <cp:lastModifiedBy>Royer, Veronique</cp:lastModifiedBy>
  <cp:revision>3</cp:revision>
  <cp:lastPrinted>1999-10-11T14:58:00Z</cp:lastPrinted>
  <dcterms:created xsi:type="dcterms:W3CDTF">2019-04-05T07:54:00Z</dcterms:created>
  <dcterms:modified xsi:type="dcterms:W3CDTF">2019-04-05T08:11:00Z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RAG19/015-F</vt:lpwstr>
  </property>
  <property fmtid="{D5CDD505-2E9C-101B-9397-08002B2CF9AE}" pid="3" name="Docdate">
    <vt:lpwstr>27 mars 2019</vt:lpwstr>
  </property>
  <property fmtid="{D5CDD505-2E9C-101B-9397-08002B2CF9AE}" pid="4" name="Docorlang">
    <vt:lpwstr>Original: chinois</vt:lpwstr>
  </property>
  <property fmtid="{D5CDD505-2E9C-101B-9397-08002B2CF9AE}" pid="5" name="Docauthor">
    <vt:lpwstr>Chine (République populaire de)</vt:lpwstr>
  </property>
</Properties>
</file>