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457147" w:rsidRDefault="00550F20" w:rsidP="00457147">
            <w:pPr>
              <w:shd w:val="solid" w:color="FFFFFF" w:fill="FFFFFF"/>
              <w:spacing w:before="0" w:line="240" w:lineRule="atLeast"/>
              <w:rPr>
                <w:rFonts w:ascii="Verdana" w:hAnsi="Verdana"/>
                <w:sz w:val="20"/>
              </w:rPr>
            </w:pPr>
            <w:r>
              <w:rPr>
                <w:rFonts w:ascii="Verdana" w:hAnsi="Verdana"/>
                <w:b/>
                <w:sz w:val="20"/>
              </w:rPr>
              <w:t>Document RAG19/7</w:t>
            </w:r>
            <w:r w:rsidR="00457147">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457147" w:rsidRDefault="00457147" w:rsidP="00457147">
            <w:pPr>
              <w:shd w:val="solid" w:color="FFFFFF" w:fill="FFFFFF"/>
              <w:spacing w:before="0" w:line="240" w:lineRule="atLeast"/>
              <w:rPr>
                <w:rFonts w:ascii="Verdana" w:hAnsi="Verdana"/>
                <w:sz w:val="20"/>
              </w:rPr>
            </w:pPr>
            <w:r>
              <w:rPr>
                <w:rFonts w:ascii="Verdana" w:hAnsi="Verdana"/>
                <w:b/>
                <w:sz w:val="20"/>
              </w:rPr>
              <w:t>10 December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457147" w:rsidRDefault="00457147" w:rsidP="00457147">
            <w:pPr>
              <w:shd w:val="solid" w:color="FFFFFF" w:fill="FFFFFF"/>
              <w:spacing w:before="0" w:after="120" w:line="240" w:lineRule="atLeast"/>
              <w:rPr>
                <w:rFonts w:ascii="Verdana" w:hAnsi="Verdana"/>
                <w:sz w:val="20"/>
              </w:rPr>
            </w:pPr>
            <w:r>
              <w:rPr>
                <w:rFonts w:ascii="Verdana" w:hAnsi="Verdana"/>
                <w:b/>
                <w:sz w:val="20"/>
              </w:rPr>
              <w:t>English</w:t>
            </w:r>
            <w:r w:rsidR="002A0B29">
              <w:rPr>
                <w:rFonts w:ascii="Verdana" w:hAnsi="Verdana"/>
                <w:b/>
                <w:sz w:val="20"/>
              </w:rPr>
              <w:t xml:space="preserve"> only</w:t>
            </w:r>
            <w:bookmarkStart w:id="3" w:name="_GoBack"/>
            <w:bookmarkEnd w:id="3"/>
          </w:p>
        </w:tc>
      </w:tr>
      <w:tr w:rsidR="00093C73" w:rsidTr="00B35BE4">
        <w:trPr>
          <w:cantSplit/>
        </w:trPr>
        <w:tc>
          <w:tcPr>
            <w:tcW w:w="9889" w:type="dxa"/>
            <w:gridSpan w:val="3"/>
          </w:tcPr>
          <w:p w:rsidR="00093C73" w:rsidRDefault="00457147" w:rsidP="005B2C58">
            <w:pPr>
              <w:pStyle w:val="Source"/>
            </w:pPr>
            <w:bookmarkStart w:id="4" w:name="dsource" w:colFirst="0" w:colLast="0"/>
            <w:bookmarkEnd w:id="2"/>
            <w:r>
              <w:t>Chairman, Inter-Sector Coordination Group (ISCG) on issues of mutual interest</w:t>
            </w:r>
          </w:p>
        </w:tc>
      </w:tr>
      <w:tr w:rsidR="00093C73" w:rsidTr="00B35BE4">
        <w:trPr>
          <w:cantSplit/>
        </w:trPr>
        <w:tc>
          <w:tcPr>
            <w:tcW w:w="9889" w:type="dxa"/>
            <w:gridSpan w:val="3"/>
          </w:tcPr>
          <w:p w:rsidR="00093C73" w:rsidRDefault="001A2FB6" w:rsidP="005B2C58">
            <w:pPr>
              <w:pStyle w:val="Title1"/>
            </w:pPr>
            <w:bookmarkStart w:id="5" w:name="dtitle1" w:colFirst="0" w:colLast="0"/>
            <w:bookmarkEnd w:id="4"/>
            <w:r>
              <w:t xml:space="preserve">liaison statement on </w:t>
            </w:r>
            <w:r w:rsidR="00457147">
              <w:t>Coordination among the Sectors</w:t>
            </w:r>
          </w:p>
        </w:tc>
      </w:tr>
      <w:bookmarkEnd w:id="5"/>
    </w:tbl>
    <w:p w:rsidR="007934C9" w:rsidRDefault="007934C9" w:rsidP="00906598"/>
    <w:p w:rsidR="00457147" w:rsidRDefault="00457147" w:rsidP="00906598"/>
    <w:p w:rsidR="00451DCB" w:rsidRDefault="00451DCB" w:rsidP="00451DCB">
      <w:pPr>
        <w:rPr>
          <w:lang w:val="en-US"/>
        </w:rPr>
      </w:pPr>
    </w:p>
    <w:tbl>
      <w:tblPr>
        <w:tblpPr w:leftFromText="180" w:rightFromText="180" w:horzAnchor="margin" w:tblpY="-615"/>
        <w:tblW w:w="0" w:type="dxa"/>
        <w:tblLayout w:type="fixed"/>
        <w:tblLook w:val="04A0" w:firstRow="1" w:lastRow="0" w:firstColumn="1" w:lastColumn="0" w:noHBand="0" w:noVBand="1"/>
      </w:tblPr>
      <w:tblGrid>
        <w:gridCol w:w="9889"/>
      </w:tblGrid>
      <w:tr w:rsidR="00451DCB" w:rsidRPr="005A22E6" w:rsidTr="00086A9B">
        <w:trPr>
          <w:cantSplit/>
        </w:trPr>
        <w:tc>
          <w:tcPr>
            <w:tcW w:w="9889" w:type="dxa"/>
          </w:tcPr>
          <w:p w:rsidR="00451DCB" w:rsidRDefault="00451DCB" w:rsidP="00086A9B">
            <w:pPr>
              <w:rPr>
                <w:caps/>
                <w:sz w:val="28"/>
              </w:rPr>
            </w:pPr>
          </w:p>
          <w:p w:rsidR="00451DCB" w:rsidRDefault="00451DCB" w:rsidP="00086A9B">
            <w:pPr>
              <w:rPr>
                <w:caps/>
                <w:sz w:val="28"/>
              </w:rPr>
            </w:pPr>
          </w:p>
        </w:tc>
      </w:tr>
    </w:tbl>
    <w:tbl>
      <w:tblPr>
        <w:tblStyle w:val="TableGrid"/>
        <w:tblW w:w="0" w:type="auto"/>
        <w:tblInd w:w="0" w:type="dxa"/>
        <w:tblLook w:val="04A0" w:firstRow="1" w:lastRow="0" w:firstColumn="1" w:lastColumn="0" w:noHBand="0" w:noVBand="1"/>
      </w:tblPr>
      <w:tblGrid>
        <w:gridCol w:w="9609"/>
      </w:tblGrid>
      <w:tr w:rsidR="00451DCB" w:rsidRPr="005A22E6" w:rsidTr="00086A9B">
        <w:tc>
          <w:tcPr>
            <w:tcW w:w="9629" w:type="dxa"/>
            <w:tcBorders>
              <w:top w:val="single" w:sz="12" w:space="0" w:color="auto"/>
              <w:left w:val="single" w:sz="12" w:space="0" w:color="auto"/>
              <w:bottom w:val="single" w:sz="12" w:space="0" w:color="auto"/>
              <w:right w:val="single" w:sz="12" w:space="0" w:color="auto"/>
            </w:tcBorders>
          </w:tcPr>
          <w:p w:rsidR="00451DCB" w:rsidRDefault="00451DCB" w:rsidP="00086A9B">
            <w:pPr>
              <w:pStyle w:val="Heading1"/>
              <w:spacing w:before="120"/>
              <w:ind w:left="0" w:firstLine="0"/>
              <w:outlineLvl w:val="0"/>
            </w:pPr>
            <w:r>
              <w:rPr>
                <w:rFonts w:cs="Times New Roman"/>
                <w:szCs w:val="20"/>
              </w:rPr>
              <w:t>Summary</w:t>
            </w:r>
          </w:p>
          <w:p w:rsidR="00451DCB" w:rsidRDefault="00451DCB" w:rsidP="00086A9B">
            <w:r>
              <w:t>The attached document presents the liaison statement containing the proposed revised Terms of Reference of the Inter-Sector Coordination Group (ISCG) on issues of mutual interest.</w:t>
            </w:r>
          </w:p>
          <w:p w:rsidR="00451DCB" w:rsidRDefault="00451DCB" w:rsidP="00086A9B">
            <w:pPr>
              <w:pStyle w:val="Heading1"/>
              <w:outlineLvl w:val="0"/>
            </w:pPr>
            <w:r>
              <w:t>Action required</w:t>
            </w:r>
          </w:p>
          <w:p w:rsidR="00451DCB" w:rsidRDefault="00451DCB" w:rsidP="00451DCB">
            <w:r>
              <w:t>RAG is invited to review, comment and approve, as deemed appropriate.</w:t>
            </w:r>
          </w:p>
          <w:p w:rsidR="00451DCB" w:rsidRDefault="00451DCB" w:rsidP="00086A9B"/>
        </w:tc>
      </w:tr>
    </w:tbl>
    <w:p w:rsidR="00451DCB" w:rsidRDefault="00451DCB" w:rsidP="00451DCB">
      <w:pPr>
        <w:tabs>
          <w:tab w:val="left" w:pos="708"/>
        </w:tabs>
        <w:overflowPunct/>
        <w:autoSpaceDE/>
        <w:adjustRightInd/>
        <w:spacing w:before="0"/>
      </w:pPr>
    </w:p>
    <w:p w:rsidR="00457147" w:rsidRDefault="00457147" w:rsidP="00906598"/>
    <w:p w:rsidR="00457147" w:rsidRDefault="00457147" w:rsidP="00906598"/>
    <w:p w:rsidR="00457147" w:rsidRDefault="00457147" w:rsidP="00906598"/>
    <w:p w:rsidR="00457147" w:rsidRDefault="00457147">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1276"/>
        <w:gridCol w:w="1276"/>
        <w:gridCol w:w="1417"/>
        <w:gridCol w:w="2835"/>
        <w:gridCol w:w="3227"/>
      </w:tblGrid>
      <w:tr w:rsidR="00457147" w:rsidTr="00086A9B">
        <w:trPr>
          <w:cantSplit/>
          <w:trHeight w:val="1134"/>
        </w:trPr>
        <w:tc>
          <w:tcPr>
            <w:tcW w:w="6804" w:type="dxa"/>
            <w:gridSpan w:val="4"/>
          </w:tcPr>
          <w:p w:rsidR="00457147" w:rsidRDefault="00457147" w:rsidP="00086A9B">
            <w:pPr>
              <w:spacing w:before="20" w:after="48" w:line="240" w:lineRule="atLeast"/>
              <w:ind w:left="34"/>
              <w:rPr>
                <w:b/>
                <w:bCs/>
                <w:sz w:val="32"/>
                <w:szCs w:val="32"/>
              </w:rPr>
            </w:pPr>
          </w:p>
          <w:p w:rsidR="00457147" w:rsidRPr="00421F93" w:rsidRDefault="00457147" w:rsidP="00086A9B">
            <w:pPr>
              <w:spacing w:before="20" w:after="48" w:line="240" w:lineRule="atLeast"/>
              <w:ind w:left="34"/>
              <w:rPr>
                <w:b/>
                <w:bCs/>
                <w:sz w:val="28"/>
                <w:szCs w:val="28"/>
              </w:rPr>
            </w:pPr>
            <w:r w:rsidRPr="007A7263">
              <w:rPr>
                <w:b/>
                <w:bCs/>
                <w:sz w:val="32"/>
                <w:szCs w:val="32"/>
              </w:rPr>
              <w:t>Inter-Sector Coordination Group (ISCG) on issues of mutual interest</w:t>
            </w:r>
          </w:p>
        </w:tc>
        <w:tc>
          <w:tcPr>
            <w:tcW w:w="3227" w:type="dxa"/>
          </w:tcPr>
          <w:p w:rsidR="00457147" w:rsidRPr="00D96B4B" w:rsidRDefault="00457147" w:rsidP="00086A9B">
            <w:pPr>
              <w:spacing w:before="0" w:line="240" w:lineRule="atLeast"/>
              <w:jc w:val="right"/>
              <w:rPr>
                <w:rFonts w:cstheme="minorHAnsi"/>
              </w:rPr>
            </w:pPr>
            <w:r>
              <w:rPr>
                <w:noProof/>
                <w:lang w:val="fr-FR" w:eastAsia="zh-CN"/>
              </w:rPr>
              <w:drawing>
                <wp:inline distT="0" distB="0" distL="0" distR="0" wp14:anchorId="55ACEC4E" wp14:editId="65F24D71">
                  <wp:extent cx="866775" cy="866775"/>
                  <wp:effectExtent l="0" t="0" r="0" b="0"/>
                  <wp:docPr id="2" name="Picture 2"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457147" w:rsidRPr="00C324A8" w:rsidTr="00086A9B">
        <w:trPr>
          <w:cantSplit/>
        </w:trPr>
        <w:tc>
          <w:tcPr>
            <w:tcW w:w="6804" w:type="dxa"/>
            <w:gridSpan w:val="4"/>
            <w:tcBorders>
              <w:top w:val="single" w:sz="12" w:space="0" w:color="auto"/>
            </w:tcBorders>
          </w:tcPr>
          <w:p w:rsidR="00457147" w:rsidRPr="00D96B4B" w:rsidRDefault="00457147" w:rsidP="00086A9B">
            <w:pPr>
              <w:spacing w:before="0" w:after="48" w:line="240" w:lineRule="atLeast"/>
              <w:rPr>
                <w:rFonts w:cstheme="minorHAnsi"/>
                <w:b/>
                <w:smallCaps/>
                <w:sz w:val="20"/>
              </w:rPr>
            </w:pPr>
          </w:p>
        </w:tc>
        <w:tc>
          <w:tcPr>
            <w:tcW w:w="3227" w:type="dxa"/>
            <w:tcBorders>
              <w:top w:val="single" w:sz="12" w:space="0" w:color="auto"/>
            </w:tcBorders>
          </w:tcPr>
          <w:p w:rsidR="00457147" w:rsidRPr="00D96B4B" w:rsidRDefault="00457147" w:rsidP="00086A9B">
            <w:pPr>
              <w:spacing w:before="0" w:line="240" w:lineRule="atLeast"/>
              <w:rPr>
                <w:rFonts w:cstheme="minorHAnsi"/>
                <w:sz w:val="20"/>
              </w:rPr>
            </w:pPr>
          </w:p>
        </w:tc>
      </w:tr>
      <w:tr w:rsidR="00457147" w:rsidRPr="0038489B" w:rsidTr="00086A9B">
        <w:trPr>
          <w:cantSplit/>
          <w:trHeight w:val="23"/>
        </w:trPr>
        <w:tc>
          <w:tcPr>
            <w:tcW w:w="6804" w:type="dxa"/>
            <w:gridSpan w:val="4"/>
            <w:shd w:val="clear" w:color="auto" w:fill="auto"/>
          </w:tcPr>
          <w:p w:rsidR="00457147" w:rsidRPr="00D96B4B" w:rsidRDefault="00457147" w:rsidP="00086A9B">
            <w:pPr>
              <w:pStyle w:val="Committee"/>
              <w:framePr w:hSpace="0" w:wrap="auto" w:hAnchor="text" w:yAlign="inline"/>
            </w:pPr>
          </w:p>
        </w:tc>
        <w:tc>
          <w:tcPr>
            <w:tcW w:w="3227" w:type="dxa"/>
          </w:tcPr>
          <w:p w:rsidR="00457147" w:rsidRPr="00E07105" w:rsidRDefault="00457147" w:rsidP="00086A9B">
            <w:pPr>
              <w:tabs>
                <w:tab w:val="left" w:pos="851"/>
              </w:tabs>
              <w:spacing w:before="0" w:line="240" w:lineRule="atLeast"/>
              <w:rPr>
                <w:rFonts w:cstheme="minorHAnsi"/>
                <w:szCs w:val="24"/>
                <w:lang w:val="es-ES_tradnl"/>
              </w:rPr>
            </w:pPr>
            <w:r>
              <w:rPr>
                <w:b/>
                <w:bCs/>
                <w:szCs w:val="24"/>
                <w:lang w:val="es-ES_tradnl"/>
              </w:rPr>
              <w:t>ISCG – LS 1</w:t>
            </w:r>
          </w:p>
        </w:tc>
      </w:tr>
      <w:tr w:rsidR="00457147" w:rsidRPr="00C324A8" w:rsidTr="00086A9B">
        <w:trPr>
          <w:cantSplit/>
          <w:trHeight w:val="23"/>
        </w:trPr>
        <w:tc>
          <w:tcPr>
            <w:tcW w:w="6804" w:type="dxa"/>
            <w:gridSpan w:val="4"/>
            <w:shd w:val="clear" w:color="auto" w:fill="auto"/>
          </w:tcPr>
          <w:p w:rsidR="00457147" w:rsidRPr="00E07105" w:rsidRDefault="00457147" w:rsidP="00086A9B">
            <w:pPr>
              <w:tabs>
                <w:tab w:val="left" w:pos="851"/>
              </w:tabs>
              <w:spacing w:before="0" w:line="240" w:lineRule="atLeast"/>
              <w:rPr>
                <w:rFonts w:cstheme="minorHAnsi"/>
                <w:b/>
                <w:szCs w:val="24"/>
                <w:lang w:val="es-ES_tradnl"/>
              </w:rPr>
            </w:pPr>
          </w:p>
        </w:tc>
        <w:tc>
          <w:tcPr>
            <w:tcW w:w="3227" w:type="dxa"/>
          </w:tcPr>
          <w:p w:rsidR="00457147" w:rsidRPr="00D96B4B" w:rsidRDefault="00457147" w:rsidP="00086A9B">
            <w:pPr>
              <w:spacing w:before="0" w:line="240" w:lineRule="atLeast"/>
              <w:rPr>
                <w:rFonts w:cstheme="minorHAnsi"/>
                <w:szCs w:val="24"/>
              </w:rPr>
            </w:pPr>
            <w:r>
              <w:rPr>
                <w:b/>
                <w:bCs/>
                <w:szCs w:val="24"/>
                <w:lang w:val="fr-FR"/>
              </w:rPr>
              <w:t>3 December 2018</w:t>
            </w:r>
          </w:p>
        </w:tc>
      </w:tr>
      <w:tr w:rsidR="00457147" w:rsidRPr="00C324A8" w:rsidTr="00086A9B">
        <w:trPr>
          <w:cantSplit/>
          <w:trHeight w:val="23"/>
        </w:trPr>
        <w:tc>
          <w:tcPr>
            <w:tcW w:w="6804" w:type="dxa"/>
            <w:gridSpan w:val="4"/>
            <w:shd w:val="clear" w:color="auto" w:fill="auto"/>
          </w:tcPr>
          <w:p w:rsidR="00457147" w:rsidRPr="00D96B4B" w:rsidRDefault="00457147" w:rsidP="00086A9B">
            <w:pPr>
              <w:tabs>
                <w:tab w:val="left" w:pos="851"/>
              </w:tabs>
              <w:spacing w:before="0" w:line="240" w:lineRule="atLeast"/>
              <w:rPr>
                <w:rFonts w:cstheme="minorHAnsi"/>
                <w:szCs w:val="24"/>
              </w:rPr>
            </w:pPr>
          </w:p>
        </w:tc>
        <w:tc>
          <w:tcPr>
            <w:tcW w:w="3227" w:type="dxa"/>
          </w:tcPr>
          <w:p w:rsidR="00457147" w:rsidRPr="00D96B4B" w:rsidRDefault="00457147" w:rsidP="00086A9B">
            <w:pPr>
              <w:tabs>
                <w:tab w:val="left" w:pos="993"/>
              </w:tabs>
              <w:spacing w:before="0"/>
              <w:rPr>
                <w:rFonts w:cstheme="minorHAnsi"/>
                <w:b/>
                <w:szCs w:val="24"/>
              </w:rPr>
            </w:pPr>
            <w:r>
              <w:rPr>
                <w:b/>
                <w:bCs/>
                <w:szCs w:val="24"/>
                <w:lang w:val="fr-FR"/>
              </w:rPr>
              <w:t>English only</w:t>
            </w:r>
          </w:p>
        </w:tc>
      </w:tr>
      <w:tr w:rsidR="00457147" w:rsidRPr="00C324A8" w:rsidTr="00086A9B">
        <w:trPr>
          <w:cantSplit/>
          <w:trHeight w:val="23"/>
        </w:trPr>
        <w:tc>
          <w:tcPr>
            <w:tcW w:w="10031" w:type="dxa"/>
            <w:gridSpan w:val="5"/>
            <w:shd w:val="clear" w:color="auto" w:fill="auto"/>
          </w:tcPr>
          <w:p w:rsidR="00457147" w:rsidRPr="00D83BF5" w:rsidRDefault="00457147" w:rsidP="00086A9B">
            <w:pPr>
              <w:pStyle w:val="Source"/>
              <w:spacing w:before="240" w:after="240"/>
            </w:pPr>
            <w:r>
              <w:t>Chairman, Inter-Sector Coordination Group (ISCG) on issues of mutual interest</w:t>
            </w:r>
          </w:p>
        </w:tc>
      </w:tr>
      <w:tr w:rsidR="00457147" w:rsidRPr="00C324A8" w:rsidTr="00086A9B">
        <w:trPr>
          <w:cantSplit/>
          <w:trHeight w:val="23"/>
        </w:trPr>
        <w:tc>
          <w:tcPr>
            <w:tcW w:w="10031" w:type="dxa"/>
            <w:gridSpan w:val="5"/>
            <w:shd w:val="clear" w:color="auto" w:fill="auto"/>
            <w:vAlign w:val="center"/>
          </w:tcPr>
          <w:p w:rsidR="00457147" w:rsidRDefault="00457147" w:rsidP="00086A9B">
            <w:pPr>
              <w:pStyle w:val="Title1"/>
              <w:spacing w:before="120" w:after="120"/>
            </w:pPr>
            <w:r>
              <w:rPr>
                <w:szCs w:val="28"/>
              </w:rPr>
              <w:t>coordination AMONG THE Sectors</w:t>
            </w:r>
          </w:p>
        </w:tc>
      </w:tr>
      <w:tr w:rsidR="00457147" w:rsidRPr="00C324A8" w:rsidTr="00086A9B">
        <w:trPr>
          <w:cantSplit/>
          <w:trHeight w:val="23"/>
        </w:trPr>
        <w:tc>
          <w:tcPr>
            <w:tcW w:w="2552" w:type="dxa"/>
            <w:gridSpan w:val="2"/>
            <w:shd w:val="clear" w:color="auto" w:fill="auto"/>
            <w:vAlign w:val="center"/>
          </w:tcPr>
          <w:p w:rsidR="00457147" w:rsidRDefault="00457147" w:rsidP="00086A9B">
            <w:pPr>
              <w:pStyle w:val="Title1"/>
              <w:spacing w:before="60" w:after="60"/>
              <w:jc w:val="left"/>
              <w:rPr>
                <w:b/>
                <w:bCs/>
                <w:caps w:val="0"/>
                <w:sz w:val="24"/>
                <w:szCs w:val="24"/>
              </w:rPr>
            </w:pPr>
            <w:r>
              <w:rPr>
                <w:b/>
                <w:bCs/>
                <w:caps w:val="0"/>
                <w:sz w:val="24"/>
                <w:szCs w:val="24"/>
              </w:rPr>
              <w:t>For action to:</w:t>
            </w:r>
          </w:p>
        </w:tc>
        <w:tc>
          <w:tcPr>
            <w:tcW w:w="7479" w:type="dxa"/>
            <w:gridSpan w:val="3"/>
            <w:shd w:val="clear" w:color="auto" w:fill="auto"/>
            <w:vAlign w:val="center"/>
          </w:tcPr>
          <w:p w:rsidR="00457147" w:rsidRDefault="00457147" w:rsidP="00086A9B">
            <w:pPr>
              <w:pStyle w:val="Title1"/>
              <w:spacing w:before="60" w:after="60"/>
              <w:jc w:val="left"/>
              <w:rPr>
                <w:caps w:val="0"/>
                <w:sz w:val="24"/>
                <w:szCs w:val="24"/>
              </w:rPr>
            </w:pPr>
            <w:r>
              <w:rPr>
                <w:caps w:val="0"/>
                <w:sz w:val="24"/>
                <w:szCs w:val="24"/>
              </w:rPr>
              <w:t>RAG, TSAG and TDAG</w:t>
            </w:r>
          </w:p>
        </w:tc>
      </w:tr>
      <w:tr w:rsidR="00457147" w:rsidRPr="00C324A8" w:rsidTr="00086A9B">
        <w:trPr>
          <w:cantSplit/>
          <w:trHeight w:val="23"/>
        </w:trPr>
        <w:tc>
          <w:tcPr>
            <w:tcW w:w="2552" w:type="dxa"/>
            <w:gridSpan w:val="2"/>
            <w:shd w:val="clear" w:color="auto" w:fill="auto"/>
            <w:vAlign w:val="center"/>
          </w:tcPr>
          <w:p w:rsidR="00457147" w:rsidRPr="00C0583A" w:rsidRDefault="00457147" w:rsidP="00086A9B">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rsidR="00457147" w:rsidRPr="00C0583A" w:rsidRDefault="00457147" w:rsidP="00086A9B">
            <w:pPr>
              <w:pStyle w:val="Title1"/>
              <w:spacing w:before="60" w:after="60"/>
              <w:jc w:val="left"/>
              <w:rPr>
                <w:caps w:val="0"/>
                <w:sz w:val="24"/>
                <w:szCs w:val="24"/>
              </w:rPr>
            </w:pPr>
            <w:r>
              <w:rPr>
                <w:caps w:val="0"/>
                <w:sz w:val="24"/>
                <w:szCs w:val="24"/>
              </w:rPr>
              <w:t>n/a</w:t>
            </w:r>
          </w:p>
        </w:tc>
      </w:tr>
      <w:tr w:rsidR="00457147" w:rsidRPr="00C324A8" w:rsidTr="00086A9B">
        <w:trPr>
          <w:cantSplit/>
          <w:trHeight w:val="23"/>
        </w:trPr>
        <w:tc>
          <w:tcPr>
            <w:tcW w:w="2552" w:type="dxa"/>
            <w:gridSpan w:val="2"/>
            <w:shd w:val="clear" w:color="auto" w:fill="auto"/>
            <w:vAlign w:val="center"/>
          </w:tcPr>
          <w:p w:rsidR="00457147" w:rsidRPr="00C0583A" w:rsidRDefault="00457147" w:rsidP="00086A9B">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rsidR="00457147" w:rsidRPr="00C0583A" w:rsidRDefault="00457147" w:rsidP="00086A9B">
            <w:pPr>
              <w:pStyle w:val="Title1"/>
              <w:spacing w:before="60" w:after="60"/>
              <w:jc w:val="left"/>
              <w:rPr>
                <w:caps w:val="0"/>
                <w:sz w:val="24"/>
                <w:szCs w:val="24"/>
              </w:rPr>
            </w:pPr>
            <w:r>
              <w:rPr>
                <w:caps w:val="0"/>
                <w:sz w:val="24"/>
                <w:szCs w:val="24"/>
              </w:rPr>
              <w:t>n/a</w:t>
            </w:r>
          </w:p>
        </w:tc>
      </w:tr>
      <w:tr w:rsidR="00457147" w:rsidRPr="00C324A8" w:rsidTr="00086A9B">
        <w:trPr>
          <w:cantSplit/>
          <w:trHeight w:val="23"/>
        </w:trPr>
        <w:tc>
          <w:tcPr>
            <w:tcW w:w="2552" w:type="dxa"/>
            <w:gridSpan w:val="2"/>
            <w:tcBorders>
              <w:bottom w:val="single" w:sz="4" w:space="0" w:color="auto"/>
            </w:tcBorders>
            <w:shd w:val="clear" w:color="auto" w:fill="auto"/>
            <w:vAlign w:val="center"/>
          </w:tcPr>
          <w:p w:rsidR="00457147" w:rsidRPr="00C0583A" w:rsidRDefault="00457147" w:rsidP="00086A9B">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457147" w:rsidRPr="00C0583A" w:rsidRDefault="00457147" w:rsidP="00086A9B">
            <w:pPr>
              <w:pStyle w:val="Title1"/>
              <w:spacing w:before="0"/>
              <w:jc w:val="both"/>
              <w:rPr>
                <w:caps w:val="0"/>
                <w:sz w:val="24"/>
                <w:szCs w:val="24"/>
              </w:rPr>
            </w:pPr>
          </w:p>
        </w:tc>
      </w:tr>
      <w:tr w:rsidR="00457147" w:rsidRPr="00C324A8" w:rsidTr="00086A9B">
        <w:trPr>
          <w:cantSplit/>
          <w:trHeight w:val="23"/>
        </w:trPr>
        <w:tc>
          <w:tcPr>
            <w:tcW w:w="1276" w:type="dxa"/>
            <w:tcBorders>
              <w:top w:val="single" w:sz="4" w:space="0" w:color="auto"/>
            </w:tcBorders>
            <w:shd w:val="clear" w:color="auto" w:fill="auto"/>
          </w:tcPr>
          <w:p w:rsidR="00457147" w:rsidRPr="00F25B9C" w:rsidRDefault="00457147" w:rsidP="00086A9B">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457147" w:rsidRPr="00F25B9C" w:rsidRDefault="00457147" w:rsidP="00086A9B">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457147" w:rsidRPr="00EA7215" w:rsidRDefault="00457147" w:rsidP="00086A9B">
            <w:pPr>
              <w:pStyle w:val="Title1"/>
              <w:spacing w:before="40"/>
              <w:jc w:val="left"/>
              <w:rPr>
                <w:rFonts w:cs="Times New Roman Bold"/>
                <w:caps w:val="0"/>
                <w:sz w:val="22"/>
                <w:szCs w:val="22"/>
              </w:rPr>
            </w:pPr>
            <w:r w:rsidRPr="00EA7215">
              <w:rPr>
                <w:rFonts w:cs="Times New Roman Bold"/>
                <w:caps w:val="0"/>
                <w:sz w:val="22"/>
                <w:szCs w:val="22"/>
              </w:rPr>
              <w:t>M</w:t>
            </w:r>
            <w:r>
              <w:rPr>
                <w:rFonts w:cs="Times New Roman Bold"/>
                <w:caps w:val="0"/>
                <w:sz w:val="22"/>
                <w:szCs w:val="22"/>
              </w:rPr>
              <w:t>r</w:t>
            </w:r>
            <w:r w:rsidRPr="00EA7215">
              <w:rPr>
                <w:rFonts w:cs="Times New Roman Bold"/>
                <w:caps w:val="0"/>
                <w:sz w:val="22"/>
                <w:szCs w:val="22"/>
              </w:rPr>
              <w:t xml:space="preserve"> </w:t>
            </w:r>
            <w:r>
              <w:rPr>
                <w:rFonts w:cs="Times New Roman Bold"/>
                <w:caps w:val="0"/>
                <w:sz w:val="22"/>
                <w:szCs w:val="22"/>
              </w:rPr>
              <w:t>Fabio Bigi</w:t>
            </w:r>
            <w:r w:rsidRPr="00EA7215">
              <w:rPr>
                <w:rFonts w:cs="Times New Roman Bold"/>
                <w:caps w:val="0"/>
                <w:sz w:val="22"/>
                <w:szCs w:val="22"/>
              </w:rPr>
              <w:t xml:space="preserve">, Chairman </w:t>
            </w:r>
            <w:r>
              <w:rPr>
                <w:rFonts w:cs="Times New Roman Bold"/>
                <w:caps w:val="0"/>
                <w:sz w:val="22"/>
                <w:szCs w:val="22"/>
              </w:rPr>
              <w:t xml:space="preserve">ISCG </w:t>
            </w:r>
          </w:p>
        </w:tc>
      </w:tr>
      <w:tr w:rsidR="00457147" w:rsidRPr="00C324A8" w:rsidTr="00086A9B">
        <w:trPr>
          <w:cantSplit/>
          <w:trHeight w:val="23"/>
        </w:trPr>
        <w:tc>
          <w:tcPr>
            <w:tcW w:w="1276" w:type="dxa"/>
            <w:shd w:val="clear" w:color="auto" w:fill="auto"/>
          </w:tcPr>
          <w:p w:rsidR="00457147" w:rsidRPr="00F25B9C" w:rsidRDefault="00457147" w:rsidP="00086A9B">
            <w:pPr>
              <w:pStyle w:val="Title1"/>
              <w:spacing w:before="0"/>
              <w:jc w:val="left"/>
              <w:rPr>
                <w:rFonts w:cs="Times New Roman Bold"/>
                <w:caps w:val="0"/>
                <w:sz w:val="22"/>
                <w:szCs w:val="22"/>
              </w:rPr>
            </w:pPr>
          </w:p>
        </w:tc>
        <w:tc>
          <w:tcPr>
            <w:tcW w:w="2693" w:type="dxa"/>
            <w:gridSpan w:val="2"/>
            <w:shd w:val="clear" w:color="auto" w:fill="auto"/>
          </w:tcPr>
          <w:p w:rsidR="00457147" w:rsidRPr="00F25B9C" w:rsidRDefault="00457147" w:rsidP="00086A9B">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457147" w:rsidRPr="00EA7215" w:rsidRDefault="00457147" w:rsidP="00086A9B">
            <w:pPr>
              <w:pStyle w:val="Title1"/>
              <w:spacing w:before="40"/>
              <w:jc w:val="left"/>
              <w:rPr>
                <w:rFonts w:cs="Times New Roman Bold"/>
                <w:caps w:val="0"/>
                <w:sz w:val="22"/>
                <w:szCs w:val="22"/>
              </w:rPr>
            </w:pPr>
            <w:r>
              <w:rPr>
                <w:rFonts w:cs="Times New Roman Bold"/>
                <w:caps w:val="0"/>
                <w:sz w:val="22"/>
                <w:szCs w:val="22"/>
              </w:rPr>
              <w:t>--</w:t>
            </w:r>
          </w:p>
        </w:tc>
      </w:tr>
      <w:tr w:rsidR="00457147" w:rsidRPr="00C324A8" w:rsidTr="00086A9B">
        <w:trPr>
          <w:cantSplit/>
          <w:trHeight w:val="23"/>
        </w:trPr>
        <w:tc>
          <w:tcPr>
            <w:tcW w:w="1276" w:type="dxa"/>
            <w:tcBorders>
              <w:bottom w:val="single" w:sz="4" w:space="0" w:color="auto"/>
            </w:tcBorders>
            <w:shd w:val="clear" w:color="auto" w:fill="auto"/>
          </w:tcPr>
          <w:p w:rsidR="00457147" w:rsidRPr="00F25B9C" w:rsidRDefault="00457147" w:rsidP="00086A9B">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rsidR="00457147" w:rsidRPr="00F25B9C" w:rsidRDefault="00457147" w:rsidP="00086A9B">
            <w:pPr>
              <w:pStyle w:val="FirstFooter"/>
              <w:tabs>
                <w:tab w:val="left" w:pos="2302"/>
              </w:tabs>
              <w:rPr>
                <w:sz w:val="22"/>
                <w:szCs w:val="22"/>
                <w:lang w:val="en-US"/>
              </w:rPr>
            </w:pPr>
            <w:r w:rsidRPr="00F25B9C">
              <w:rPr>
                <w:sz w:val="22"/>
                <w:szCs w:val="22"/>
                <w:lang w:val="en-US"/>
              </w:rPr>
              <w:t>E-mail:</w:t>
            </w:r>
          </w:p>
        </w:tc>
        <w:tc>
          <w:tcPr>
            <w:tcW w:w="6062" w:type="dxa"/>
            <w:gridSpan w:val="2"/>
            <w:tcBorders>
              <w:bottom w:val="single" w:sz="4" w:space="0" w:color="auto"/>
            </w:tcBorders>
            <w:shd w:val="clear" w:color="auto" w:fill="auto"/>
          </w:tcPr>
          <w:p w:rsidR="00457147" w:rsidRPr="000413CA" w:rsidDel="00DB79AA" w:rsidRDefault="002A0B29" w:rsidP="00086A9B">
            <w:pPr>
              <w:pStyle w:val="Title1"/>
              <w:spacing w:before="40"/>
              <w:jc w:val="left"/>
              <w:rPr>
                <w:rStyle w:val="ms-rtethemeforecolor-2-0"/>
                <w:rFonts w:cs="Arial"/>
                <w:caps w:val="0"/>
                <w:color w:val="444444"/>
                <w:sz w:val="22"/>
                <w:szCs w:val="22"/>
              </w:rPr>
            </w:pPr>
            <w:hyperlink r:id="rId9" w:history="1">
              <w:r w:rsidR="00457147" w:rsidRPr="006326EC">
                <w:rPr>
                  <w:rStyle w:val="Hyperlink"/>
                  <w:rFonts w:cs="Arial"/>
                  <w:caps w:val="0"/>
                  <w:sz w:val="22"/>
                  <w:szCs w:val="22"/>
                </w:rPr>
                <w:t>fabio.bigi@virgilio.it</w:t>
              </w:r>
            </w:hyperlink>
            <w:r w:rsidR="00457147">
              <w:rPr>
                <w:rStyle w:val="ms-rtethemeforecolor-2-0"/>
                <w:rFonts w:cs="Arial"/>
                <w:caps w:val="0"/>
                <w:color w:val="444444"/>
                <w:sz w:val="22"/>
                <w:szCs w:val="22"/>
              </w:rPr>
              <w:t xml:space="preserve"> </w:t>
            </w:r>
          </w:p>
        </w:tc>
      </w:tr>
      <w:tr w:rsidR="00457147" w:rsidRPr="00C324A8" w:rsidTr="00086A9B">
        <w:trPr>
          <w:cantSplit/>
          <w:trHeight w:val="23"/>
        </w:trPr>
        <w:tc>
          <w:tcPr>
            <w:tcW w:w="1276" w:type="dxa"/>
            <w:tcBorders>
              <w:top w:val="single" w:sz="4" w:space="0" w:color="auto"/>
            </w:tcBorders>
            <w:shd w:val="clear" w:color="auto" w:fill="auto"/>
          </w:tcPr>
          <w:p w:rsidR="00457147" w:rsidRPr="00F25B9C" w:rsidRDefault="00457147" w:rsidP="00086A9B">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457147" w:rsidRPr="00F25B9C" w:rsidRDefault="00457147" w:rsidP="00086A9B">
            <w:pPr>
              <w:pStyle w:val="FirstFooter"/>
              <w:tabs>
                <w:tab w:val="left" w:pos="2302"/>
              </w:tabs>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457147" w:rsidRPr="00EA7215" w:rsidDel="00DB79AA" w:rsidRDefault="00457147" w:rsidP="00086A9B">
            <w:pPr>
              <w:pStyle w:val="Title1"/>
              <w:spacing w:before="40"/>
              <w:jc w:val="left"/>
              <w:rPr>
                <w:rStyle w:val="ms-rtethemeforecolor-2-0"/>
                <w:rFonts w:cs="Arial"/>
                <w:color w:val="444444"/>
                <w:sz w:val="22"/>
                <w:szCs w:val="22"/>
              </w:rPr>
            </w:pPr>
            <w:r w:rsidRPr="0033513A">
              <w:rPr>
                <w:rFonts w:cs="Times New Roman Bold"/>
                <w:caps w:val="0"/>
                <w:sz w:val="22"/>
                <w:szCs w:val="22"/>
              </w:rPr>
              <w:t>Mr Yushi Torigoe, Deputy to the Director, Telecommunication Development Bureau</w:t>
            </w:r>
          </w:p>
        </w:tc>
      </w:tr>
      <w:tr w:rsidR="00457147" w:rsidRPr="00C324A8" w:rsidTr="00086A9B">
        <w:trPr>
          <w:cantSplit/>
          <w:trHeight w:val="23"/>
        </w:trPr>
        <w:tc>
          <w:tcPr>
            <w:tcW w:w="1276" w:type="dxa"/>
            <w:shd w:val="clear" w:color="auto" w:fill="auto"/>
          </w:tcPr>
          <w:p w:rsidR="00457147" w:rsidRPr="00F25B9C" w:rsidRDefault="00457147" w:rsidP="00086A9B">
            <w:pPr>
              <w:pStyle w:val="Title1"/>
              <w:spacing w:before="0"/>
              <w:jc w:val="left"/>
              <w:rPr>
                <w:rFonts w:cs="Times New Roman Bold"/>
                <w:caps w:val="0"/>
                <w:sz w:val="22"/>
                <w:szCs w:val="22"/>
              </w:rPr>
            </w:pPr>
          </w:p>
        </w:tc>
        <w:tc>
          <w:tcPr>
            <w:tcW w:w="2693" w:type="dxa"/>
            <w:gridSpan w:val="2"/>
            <w:shd w:val="clear" w:color="auto" w:fill="auto"/>
          </w:tcPr>
          <w:p w:rsidR="00457147" w:rsidRPr="00F25B9C" w:rsidRDefault="00457147" w:rsidP="00086A9B">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457147" w:rsidRPr="00EA7215" w:rsidDel="00DB79AA" w:rsidRDefault="00457147" w:rsidP="00086A9B">
            <w:pPr>
              <w:pStyle w:val="Title1"/>
              <w:spacing w:before="40"/>
              <w:jc w:val="left"/>
              <w:rPr>
                <w:rStyle w:val="ms-rtethemeforecolor-2-0"/>
                <w:rFonts w:cs="Arial"/>
                <w:color w:val="444444"/>
                <w:sz w:val="22"/>
                <w:szCs w:val="22"/>
              </w:rPr>
            </w:pPr>
            <w:r w:rsidRPr="0033513A">
              <w:rPr>
                <w:rStyle w:val="ms-rtethemeforecolor-2-0"/>
                <w:rFonts w:cs="Arial"/>
                <w:color w:val="444444"/>
                <w:sz w:val="22"/>
                <w:szCs w:val="22"/>
              </w:rPr>
              <w:t>+ 41 22 730 5784</w:t>
            </w:r>
          </w:p>
        </w:tc>
      </w:tr>
      <w:tr w:rsidR="00457147" w:rsidRPr="00C324A8" w:rsidTr="00086A9B">
        <w:trPr>
          <w:cantSplit/>
          <w:trHeight w:val="23"/>
        </w:trPr>
        <w:tc>
          <w:tcPr>
            <w:tcW w:w="1276" w:type="dxa"/>
            <w:shd w:val="clear" w:color="auto" w:fill="auto"/>
          </w:tcPr>
          <w:p w:rsidR="00457147" w:rsidRPr="00F25B9C" w:rsidRDefault="00457147" w:rsidP="00086A9B">
            <w:pPr>
              <w:pStyle w:val="Title1"/>
              <w:spacing w:before="0"/>
              <w:jc w:val="left"/>
              <w:rPr>
                <w:rFonts w:cs="Times New Roman Bold"/>
                <w:caps w:val="0"/>
                <w:sz w:val="22"/>
                <w:szCs w:val="22"/>
              </w:rPr>
            </w:pPr>
          </w:p>
        </w:tc>
        <w:tc>
          <w:tcPr>
            <w:tcW w:w="2693" w:type="dxa"/>
            <w:gridSpan w:val="2"/>
            <w:shd w:val="clear" w:color="auto" w:fill="auto"/>
          </w:tcPr>
          <w:p w:rsidR="00457147" w:rsidRPr="00F25B9C" w:rsidRDefault="00457147" w:rsidP="00086A9B">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rsidR="00457147" w:rsidRPr="00EA7215" w:rsidRDefault="00457147" w:rsidP="00086A9B">
            <w:pPr>
              <w:pStyle w:val="Title1"/>
              <w:spacing w:before="40"/>
              <w:jc w:val="left"/>
              <w:rPr>
                <w:rFonts w:cs="Times New Roman Bold"/>
                <w:caps w:val="0"/>
                <w:sz w:val="22"/>
                <w:szCs w:val="22"/>
              </w:rPr>
            </w:pPr>
            <w:r w:rsidRPr="0033513A">
              <w:rPr>
                <w:rStyle w:val="Hyperlink"/>
                <w:rFonts w:cs="Times New Roman Bold"/>
                <w:caps w:val="0"/>
                <w:sz w:val="22"/>
                <w:szCs w:val="22"/>
              </w:rPr>
              <w:t>yushi.torigoe@itu.int</w:t>
            </w:r>
          </w:p>
        </w:tc>
      </w:tr>
      <w:tr w:rsidR="00457147" w:rsidRPr="00C324A8" w:rsidTr="00086A9B">
        <w:trPr>
          <w:cantSplit/>
          <w:trHeight w:val="23"/>
        </w:trPr>
        <w:tc>
          <w:tcPr>
            <w:tcW w:w="10031" w:type="dxa"/>
            <w:gridSpan w:val="5"/>
            <w:shd w:val="clear" w:color="auto" w:fill="auto"/>
          </w:tcPr>
          <w:p w:rsidR="00457147" w:rsidRPr="00652F65" w:rsidRDefault="00457147" w:rsidP="00086A9B">
            <w:pPr>
              <w:pStyle w:val="Title1"/>
              <w:spacing w:before="0"/>
              <w:jc w:val="left"/>
              <w:rPr>
                <w:rFonts w:cs="Times New Roman Bold"/>
                <w:caps w:val="0"/>
                <w:sz w:val="24"/>
                <w:szCs w:val="24"/>
                <w:highlight w:val="yellow"/>
              </w:rPr>
            </w:pPr>
          </w:p>
        </w:tc>
      </w:tr>
      <w:tr w:rsidR="00457147" w:rsidRPr="00C324A8" w:rsidTr="00086A9B">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457147" w:rsidRPr="00DC5181" w:rsidRDefault="00457147" w:rsidP="00086A9B">
            <w:pPr>
              <w:rPr>
                <w:b/>
                <w:bCs/>
                <w:szCs w:val="24"/>
              </w:rPr>
            </w:pPr>
            <w:r w:rsidRPr="00DC5181">
              <w:rPr>
                <w:b/>
                <w:bCs/>
                <w:szCs w:val="24"/>
              </w:rPr>
              <w:t>Summary:</w:t>
            </w:r>
          </w:p>
          <w:p w:rsidR="00457147" w:rsidRPr="00490BA9" w:rsidRDefault="00457147" w:rsidP="00086A9B">
            <w:pPr>
              <w:spacing w:after="120"/>
            </w:pPr>
            <w:r>
              <w:t xml:space="preserve">This liaison statement contains proposed revised Terms of Reference of the Inter-Sector Coordination Group (ISCG) on issues of mutual interest presented in Annex 1, and being submitted to RAG, TSAG and TDAG for review, comment and approval. </w:t>
            </w:r>
            <w:r w:rsidRPr="00D30DDB">
              <w:rPr>
                <w:szCs w:val="24"/>
              </w:rPr>
              <w:t xml:space="preserve">Efforts for collaboration and coordination among Sectors </w:t>
            </w:r>
            <w:r>
              <w:rPr>
                <w:szCs w:val="24"/>
              </w:rPr>
              <w:t>are ongoing. In particular, t</w:t>
            </w:r>
            <w:r w:rsidRPr="00713E49">
              <w:rPr>
                <w:szCs w:val="24"/>
              </w:rPr>
              <w:t>he electronic calendar of events</w:t>
            </w:r>
            <w:r>
              <w:rPr>
                <w:szCs w:val="24"/>
              </w:rPr>
              <w:t xml:space="preserve"> </w:t>
            </w:r>
            <w:r w:rsidRPr="00713E49">
              <w:rPr>
                <w:szCs w:val="24"/>
              </w:rPr>
              <w:t>is facilitating collaboration and coordination of various meeting</w:t>
            </w:r>
            <w:r>
              <w:rPr>
                <w:szCs w:val="24"/>
              </w:rPr>
              <w:t>s and events of the ITU Sectors.</w:t>
            </w:r>
          </w:p>
        </w:tc>
      </w:tr>
    </w:tbl>
    <w:p w:rsidR="00457147" w:rsidRDefault="00457147" w:rsidP="00457147">
      <w:pPr>
        <w:tabs>
          <w:tab w:val="left" w:pos="567"/>
          <w:tab w:val="left" w:pos="1701"/>
        </w:tabs>
        <w:spacing w:before="240"/>
        <w:rPr>
          <w:szCs w:val="24"/>
        </w:rPr>
      </w:pPr>
      <w:r>
        <w:rPr>
          <w:szCs w:val="24"/>
        </w:rPr>
        <w:t>This liaison statement</w:t>
      </w:r>
      <w:r>
        <w:rPr>
          <w:color w:val="000000"/>
          <w:szCs w:val="24"/>
        </w:rPr>
        <w:t xml:space="preserve"> contains in its </w:t>
      </w:r>
      <w:r w:rsidRPr="00652F65">
        <w:rPr>
          <w:b/>
          <w:bCs/>
          <w:color w:val="000000"/>
          <w:szCs w:val="24"/>
        </w:rPr>
        <w:t>Annex 1</w:t>
      </w:r>
      <w:r>
        <w:rPr>
          <w:color w:val="000000"/>
          <w:szCs w:val="24"/>
        </w:rPr>
        <w:t xml:space="preserve"> </w:t>
      </w:r>
      <w:r>
        <w:rPr>
          <w:szCs w:val="24"/>
        </w:rPr>
        <w:t xml:space="preserve">proposed revised Terms of Reference of the Inter-Sector Coordination Group (ISCG) on issues of mutual interest </w:t>
      </w:r>
      <w:r>
        <w:t xml:space="preserve">for review, comment and approval. The revisions are </w:t>
      </w:r>
      <w:r>
        <w:rPr>
          <w:szCs w:val="24"/>
        </w:rPr>
        <w:t xml:space="preserve">based on the discussions that took place during TDAG-18 in March and Council-18 in April, as well as on Resolution 191 (Rev. Dubai, 2018) of the Plenipotentiary Conference, on strategy for the coordination of efforts among the three Sectors of the Union. </w:t>
      </w:r>
    </w:p>
    <w:p w:rsidR="00457147" w:rsidRDefault="00457147" w:rsidP="00457147">
      <w:pPr>
        <w:tabs>
          <w:tab w:val="left" w:pos="567"/>
          <w:tab w:val="left" w:pos="1701"/>
        </w:tabs>
        <w:spacing w:before="240"/>
        <w:rPr>
          <w:szCs w:val="24"/>
        </w:rPr>
      </w:pPr>
      <w:r w:rsidRPr="00D30DDB">
        <w:rPr>
          <w:szCs w:val="24"/>
        </w:rPr>
        <w:t xml:space="preserve">Efforts for collaboration and coordination among Sectors </w:t>
      </w:r>
      <w:r>
        <w:rPr>
          <w:szCs w:val="24"/>
        </w:rPr>
        <w:t>are ongoing. In particular, t</w:t>
      </w:r>
      <w:r w:rsidRPr="00713E49">
        <w:rPr>
          <w:szCs w:val="24"/>
        </w:rPr>
        <w:t xml:space="preserve">he electronic calendar of events for </w:t>
      </w:r>
      <w:r>
        <w:rPr>
          <w:szCs w:val="24"/>
        </w:rPr>
        <w:t xml:space="preserve">years </w:t>
      </w:r>
      <w:r w:rsidRPr="00713E49">
        <w:rPr>
          <w:szCs w:val="24"/>
        </w:rPr>
        <w:t xml:space="preserve">2018, 2019, 2020 and 2021 is facilitating collaboration and coordination of various meetings and events of the ITU Sectors. These yearly event calendars are </w:t>
      </w:r>
      <w:r>
        <w:rPr>
          <w:szCs w:val="24"/>
        </w:rPr>
        <w:t>updated regularly</w:t>
      </w:r>
      <w:r w:rsidRPr="00713E49">
        <w:rPr>
          <w:szCs w:val="24"/>
        </w:rPr>
        <w:t xml:space="preserve"> </w:t>
      </w:r>
      <w:r>
        <w:rPr>
          <w:szCs w:val="24"/>
        </w:rPr>
        <w:t xml:space="preserve">and </w:t>
      </w:r>
      <w:r w:rsidRPr="00713E49">
        <w:rPr>
          <w:szCs w:val="24"/>
        </w:rPr>
        <w:t xml:space="preserve">are available to members </w:t>
      </w:r>
      <w:r>
        <w:rPr>
          <w:szCs w:val="24"/>
        </w:rPr>
        <w:t>at</w:t>
      </w:r>
      <w:r w:rsidRPr="00713E49">
        <w:rPr>
          <w:szCs w:val="24"/>
        </w:rPr>
        <w:t xml:space="preserve"> the </w:t>
      </w:r>
      <w:r>
        <w:rPr>
          <w:szCs w:val="24"/>
        </w:rPr>
        <w:t xml:space="preserve">following link: </w:t>
      </w:r>
      <w:r>
        <w:rPr>
          <w:szCs w:val="24"/>
        </w:rPr>
        <w:br/>
      </w:r>
      <w:hyperlink r:id="rId10" w:history="1">
        <w:r w:rsidRPr="00236DC3">
          <w:rPr>
            <w:rStyle w:val="Hyperlink"/>
            <w:szCs w:val="24"/>
          </w:rPr>
          <w:t>https://www.itu.int/en/ITU-D/Pages/default.aspx</w:t>
        </w:r>
      </w:hyperlink>
    </w:p>
    <w:p w:rsidR="00457147" w:rsidRDefault="00457147" w:rsidP="00457147">
      <w:pPr>
        <w:overflowPunct/>
        <w:autoSpaceDE/>
        <w:autoSpaceDN/>
        <w:adjustRightInd/>
        <w:spacing w:before="0"/>
        <w:textAlignment w:val="auto"/>
        <w:rPr>
          <w:szCs w:val="24"/>
        </w:rPr>
      </w:pPr>
      <w:r>
        <w:rPr>
          <w:szCs w:val="24"/>
        </w:rPr>
        <w:br w:type="page"/>
      </w:r>
    </w:p>
    <w:p w:rsidR="00457147" w:rsidRDefault="00457147" w:rsidP="00457147">
      <w:pPr>
        <w:jc w:val="center"/>
        <w:rPr>
          <w:b/>
          <w:bCs/>
          <w:sz w:val="28"/>
          <w:szCs w:val="28"/>
        </w:rPr>
      </w:pPr>
      <w:r w:rsidRPr="000E1A55">
        <w:rPr>
          <w:b/>
          <w:bCs/>
          <w:sz w:val="28"/>
          <w:szCs w:val="28"/>
        </w:rPr>
        <w:lastRenderedPageBreak/>
        <w:t xml:space="preserve">Annex </w:t>
      </w:r>
      <w:r>
        <w:rPr>
          <w:b/>
          <w:bCs/>
          <w:sz w:val="28"/>
          <w:szCs w:val="28"/>
        </w:rPr>
        <w:t>1</w:t>
      </w:r>
    </w:p>
    <w:p w:rsidR="00457147" w:rsidRDefault="00457147" w:rsidP="00457147">
      <w:pPr>
        <w:spacing w:after="360"/>
        <w:jc w:val="center"/>
        <w:rPr>
          <w:b/>
          <w:bCs/>
          <w:sz w:val="28"/>
          <w:szCs w:val="28"/>
        </w:rPr>
      </w:pPr>
      <w:r>
        <w:rPr>
          <w:b/>
          <w:bCs/>
          <w:sz w:val="28"/>
          <w:szCs w:val="28"/>
        </w:rPr>
        <w:t>[Draft revised] Terms of Reference for ISCG</w:t>
      </w:r>
    </w:p>
    <w:p w:rsidR="00457147" w:rsidRPr="0017703B" w:rsidRDefault="00457147" w:rsidP="00457147">
      <w:pPr>
        <w:pStyle w:val="NormalWeb"/>
        <w:shd w:val="clear" w:color="auto" w:fill="FFFFFF"/>
        <w:spacing w:before="120" w:beforeAutospacing="0" w:after="0" w:afterAutospacing="0"/>
        <w:jc w:val="both"/>
        <w:rPr>
          <w:rFonts w:asciiTheme="majorBidi" w:hAnsiTheme="majorBidi" w:cstheme="majorBidi"/>
          <w:lang w:val="en-US"/>
        </w:rPr>
      </w:pPr>
      <w:r w:rsidRPr="0017703B">
        <w:rPr>
          <w:rStyle w:val="Strong"/>
          <w:rFonts w:asciiTheme="majorBidi" w:hAnsiTheme="majorBidi" w:cstheme="majorBidi"/>
          <w:lang w:val="en-US"/>
        </w:rPr>
        <w:t>Background documents</w:t>
      </w:r>
    </w:p>
    <w:p w:rsidR="00457147" w:rsidRPr="0017703B" w:rsidRDefault="00457147" w:rsidP="00457147">
      <w:pPr>
        <w:pStyle w:val="NormalWeb"/>
        <w:numPr>
          <w:ilvl w:val="0"/>
          <w:numId w:val="13"/>
        </w:numPr>
        <w:shd w:val="clear" w:color="auto" w:fill="FFFFFF"/>
        <w:spacing w:before="120" w:beforeAutospacing="0" w:after="0" w:afterAutospacing="0"/>
        <w:ind w:left="567" w:hanging="567"/>
        <w:rPr>
          <w:rFonts w:asciiTheme="majorBidi" w:hAnsiTheme="majorBidi" w:cstheme="majorBidi"/>
          <w:lang w:val="en-US"/>
        </w:rPr>
      </w:pPr>
      <w:r w:rsidRPr="0017703B">
        <w:rPr>
          <w:rFonts w:asciiTheme="majorBidi" w:hAnsiTheme="majorBidi" w:cstheme="majorBidi"/>
          <w:lang w:val="en-US"/>
        </w:rPr>
        <w:t>Resolution 191 (Rev. Dubai, 2018) of the Plenipotentiary Conference, on strategy for the coordination of efforts among the three Sectors the Union;</w:t>
      </w:r>
    </w:p>
    <w:p w:rsidR="00457147" w:rsidRPr="0017703B" w:rsidRDefault="00457147" w:rsidP="00457147">
      <w:pPr>
        <w:pStyle w:val="NormalWeb"/>
        <w:numPr>
          <w:ilvl w:val="0"/>
          <w:numId w:val="13"/>
        </w:numPr>
        <w:shd w:val="clear" w:color="auto" w:fill="FFFFFF"/>
        <w:spacing w:before="120" w:beforeAutospacing="0" w:after="0" w:afterAutospacing="0"/>
        <w:ind w:left="567" w:hanging="567"/>
        <w:rPr>
          <w:rFonts w:asciiTheme="majorBidi" w:hAnsiTheme="majorBidi" w:cstheme="majorBidi"/>
          <w:lang w:val="en-US"/>
        </w:rPr>
      </w:pPr>
      <w:r w:rsidRPr="0017703B">
        <w:rPr>
          <w:rFonts w:asciiTheme="majorBidi" w:hAnsiTheme="majorBidi" w:cstheme="majorBidi"/>
          <w:lang w:val="en-US"/>
        </w:rPr>
        <w:t>Resolution ITU-R 6-2 (Rev. Geneva, 2015) of the Radiocommunication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rsidR="00457147" w:rsidRPr="0017703B" w:rsidRDefault="00457147" w:rsidP="00457147">
      <w:pPr>
        <w:pStyle w:val="NormalWeb"/>
        <w:numPr>
          <w:ilvl w:val="0"/>
          <w:numId w:val="13"/>
        </w:numPr>
        <w:shd w:val="clear" w:color="auto" w:fill="FFFFFF"/>
        <w:spacing w:before="120" w:beforeAutospacing="0" w:after="0" w:afterAutospacing="0"/>
        <w:ind w:left="567" w:hanging="567"/>
        <w:rPr>
          <w:rFonts w:asciiTheme="majorBidi" w:hAnsiTheme="majorBidi" w:cstheme="majorBidi"/>
          <w:lang w:val="en-US"/>
        </w:rPr>
      </w:pPr>
      <w:r w:rsidRPr="0017703B">
        <w:rPr>
          <w:rFonts w:asciiTheme="majorBidi" w:hAnsiTheme="majorBidi" w:cstheme="majorBidi"/>
          <w:lang w:val="en-US"/>
        </w:rPr>
        <w:t xml:space="preserve">Resolution 45 (Rev. Hammamet, 2016) of the World Telecommunication Standardization Assembly (WTSA), </w:t>
      </w:r>
      <w:r w:rsidRPr="0017703B">
        <w:rPr>
          <w:rFonts w:asciiTheme="majorBidi" w:hAnsiTheme="majorBidi" w:cstheme="majorBidi"/>
        </w:rPr>
        <w:t xml:space="preserve">on </w:t>
      </w:r>
      <w:r w:rsidRPr="0017703B">
        <w:rPr>
          <w:rFonts w:asciiTheme="majorBidi" w:hAnsiTheme="majorBidi" w:cstheme="majorBidi"/>
          <w:bCs/>
        </w:rPr>
        <w:t>effective coordination of standardization work across study groups in ITU</w:t>
      </w:r>
      <w:r w:rsidRPr="0017703B">
        <w:rPr>
          <w:rFonts w:asciiTheme="majorBidi" w:hAnsiTheme="majorBidi" w:cstheme="majorBidi"/>
          <w:bCs/>
        </w:rPr>
        <w:noBreakHyphen/>
        <w:t>T and the role of the Telecommunication Standardization Advisory Group (TSAG)</w:t>
      </w:r>
      <w:r w:rsidRPr="0017703B">
        <w:rPr>
          <w:rFonts w:asciiTheme="majorBidi" w:hAnsiTheme="majorBidi" w:cstheme="majorBidi"/>
        </w:rPr>
        <w:t>;</w:t>
      </w:r>
    </w:p>
    <w:p w:rsidR="00457147" w:rsidRPr="0017703B" w:rsidRDefault="00457147" w:rsidP="00457147">
      <w:pPr>
        <w:pStyle w:val="NormalWeb"/>
        <w:numPr>
          <w:ilvl w:val="0"/>
          <w:numId w:val="13"/>
        </w:numPr>
        <w:spacing w:before="120" w:beforeAutospacing="0" w:after="0" w:afterAutospacing="0"/>
        <w:ind w:left="567" w:hanging="567"/>
        <w:rPr>
          <w:rFonts w:asciiTheme="majorBidi" w:hAnsiTheme="majorBidi" w:cstheme="majorBidi"/>
          <w:lang w:val="en-US"/>
        </w:rPr>
      </w:pPr>
      <w:r w:rsidRPr="0017703B">
        <w:rPr>
          <w:rFonts w:asciiTheme="majorBidi" w:hAnsiTheme="majorBidi" w:cstheme="majorBidi"/>
          <w:lang w:val="en-US"/>
        </w:rPr>
        <w:t>Resolution 18 (Rev. Hammamet, 2016) of WTSA, on principles and procedures for the allocation of work to, and coordination between, the ITU Radiocommunication and ITU Telecommunication Standardization Sectors;</w:t>
      </w:r>
    </w:p>
    <w:p w:rsidR="00457147" w:rsidRPr="0017703B" w:rsidRDefault="00457147" w:rsidP="00457147">
      <w:pPr>
        <w:pStyle w:val="NormalWeb"/>
        <w:numPr>
          <w:ilvl w:val="0"/>
          <w:numId w:val="13"/>
        </w:numPr>
        <w:spacing w:before="120" w:beforeAutospacing="0" w:after="0" w:afterAutospacing="0"/>
        <w:ind w:left="567" w:hanging="567"/>
        <w:rPr>
          <w:rFonts w:asciiTheme="majorBidi" w:hAnsiTheme="majorBidi" w:cstheme="majorBidi"/>
          <w:lang w:val="en-US"/>
        </w:rPr>
      </w:pPr>
      <w:r w:rsidRPr="0017703B">
        <w:rPr>
          <w:rFonts w:asciiTheme="majorBidi" w:hAnsiTheme="majorBidi" w:cstheme="majorBidi"/>
          <w:lang w:val="en-US"/>
        </w:rPr>
        <w:t xml:space="preserve">Resolution 5 (Rev. Buenos Aires, 2017) of the World Telecommunication Development Conference (WTDC), on enhanced participation by developing </w:t>
      </w:r>
      <w:r w:rsidRPr="0017703B">
        <w:rPr>
          <w:rFonts w:asciiTheme="majorBidi" w:hAnsiTheme="majorBidi" w:cstheme="majorBidi"/>
        </w:rPr>
        <w:t>countries</w:t>
      </w:r>
      <w:r w:rsidRPr="0017703B">
        <w:rPr>
          <w:rStyle w:val="FootnoteReference"/>
          <w:rFonts w:asciiTheme="majorBidi" w:hAnsiTheme="majorBidi" w:cstheme="majorBidi"/>
          <w:vertAlign w:val="superscript"/>
        </w:rPr>
        <w:footnoteReference w:customMarkFollows="1" w:id="1"/>
        <w:t>1</w:t>
      </w:r>
      <w:r w:rsidRPr="0017703B">
        <w:rPr>
          <w:rFonts w:asciiTheme="majorBidi" w:hAnsiTheme="majorBidi" w:cstheme="majorBidi"/>
        </w:rPr>
        <w:t xml:space="preserve"> in the activities of the Union;</w:t>
      </w:r>
    </w:p>
    <w:p w:rsidR="00457147" w:rsidRPr="0017703B" w:rsidRDefault="00457147" w:rsidP="00457147">
      <w:pPr>
        <w:pStyle w:val="NormalWeb"/>
        <w:numPr>
          <w:ilvl w:val="0"/>
          <w:numId w:val="13"/>
        </w:numPr>
        <w:shd w:val="clear" w:color="auto" w:fill="FFFFFF"/>
        <w:spacing w:before="120" w:beforeAutospacing="0" w:after="0" w:afterAutospacing="0"/>
        <w:ind w:left="567" w:hanging="567"/>
        <w:rPr>
          <w:rStyle w:val="Strong"/>
          <w:rFonts w:asciiTheme="majorBidi" w:hAnsiTheme="majorBidi" w:cstheme="majorBidi"/>
          <w:b w:val="0"/>
          <w:bCs w:val="0"/>
          <w:szCs w:val="20"/>
          <w:lang w:val="en-US" w:eastAsia="en-US"/>
        </w:rPr>
      </w:pPr>
      <w:r w:rsidRPr="0017703B">
        <w:rPr>
          <w:rFonts w:asciiTheme="majorBidi" w:hAnsiTheme="majorBidi" w:cstheme="majorBidi"/>
          <w:lang w:val="en-US"/>
        </w:rPr>
        <w:t>Resolution 59 (Rev. Buenos Aires, 2017) of WTDC, on strengthening coordination and cooperation among the three ITU Sectors on matters of mutual interest.</w:t>
      </w:r>
    </w:p>
    <w:p w:rsidR="00457147" w:rsidRPr="0017703B" w:rsidRDefault="00457147" w:rsidP="00457147">
      <w:pPr>
        <w:pStyle w:val="NormalWeb"/>
        <w:shd w:val="clear" w:color="auto" w:fill="FFFFFF"/>
        <w:spacing w:before="120" w:beforeAutospacing="0" w:after="0" w:afterAutospacing="0"/>
        <w:jc w:val="both"/>
        <w:rPr>
          <w:rFonts w:asciiTheme="majorBidi" w:hAnsiTheme="majorBidi" w:cstheme="majorBidi"/>
          <w:lang w:val="en-US"/>
        </w:rPr>
      </w:pPr>
      <w:r w:rsidRPr="0017703B">
        <w:rPr>
          <w:rFonts w:asciiTheme="majorBidi" w:hAnsiTheme="majorBidi" w:cstheme="majorBidi"/>
          <w:lang w:val="en-US"/>
        </w:rPr>
        <w:t>The Inter-Sector Coordination Group (ISCG) on issues of mutual interest was set up under decisions of the Sector advisory groups, in order to eliminate duplication of effort and optimize the use of resources. While carrying out its functions ISCG will:</w:t>
      </w:r>
    </w:p>
    <w:p w:rsidR="00457147" w:rsidRPr="0017703B" w:rsidRDefault="00457147" w:rsidP="00457147">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identify subjects common to the three Sectors or, bilaterally, and consider an updated list (prepared by the secretariat) containing the areas of mutual interest to the three Sectors pursuant to the mandates assigned by each ITU assembly or conference, and in accordance with the objectives of the ITU Strategic Plan;</w:t>
      </w:r>
    </w:p>
    <w:p w:rsidR="00457147" w:rsidRPr="0017703B" w:rsidRDefault="00457147" w:rsidP="00457147">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identify the necessary mechanisms to strengthen cooperation and joint activity among the three Sectors,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rsidR="00457147" w:rsidRPr="0017703B" w:rsidRDefault="00457147" w:rsidP="00457147">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report annually to the respective advisory groups on the progress of the work undertaken, highlighting key issues to be raised with the respective Bureau Directors, as well as the Inter-Sector Coordination Task Force.</w:t>
      </w:r>
    </w:p>
    <w:p w:rsidR="0017703B" w:rsidRDefault="0017703B">
      <w:pPr>
        <w:tabs>
          <w:tab w:val="clear" w:pos="794"/>
          <w:tab w:val="clear" w:pos="1191"/>
          <w:tab w:val="clear" w:pos="1588"/>
          <w:tab w:val="clear" w:pos="1985"/>
        </w:tabs>
        <w:overflowPunct/>
        <w:autoSpaceDE/>
        <w:autoSpaceDN/>
        <w:adjustRightInd/>
        <w:spacing w:before="0"/>
        <w:textAlignment w:val="auto"/>
        <w:rPr>
          <w:rStyle w:val="Strong"/>
          <w:rFonts w:ascii="Calibri" w:eastAsia="MS Mincho" w:hAnsi="Calibri" w:cs="Segoe UI"/>
          <w:szCs w:val="24"/>
          <w:lang w:val="en-US" w:eastAsia="zh-CN"/>
        </w:rPr>
      </w:pPr>
      <w:r>
        <w:rPr>
          <w:rStyle w:val="Strong"/>
          <w:rFonts w:ascii="Calibri" w:hAnsi="Calibri" w:cs="Segoe UI"/>
          <w:lang w:val="en-US"/>
        </w:rPr>
        <w:br w:type="page"/>
      </w:r>
    </w:p>
    <w:p w:rsidR="00457147" w:rsidRDefault="00457147" w:rsidP="00457147">
      <w:pPr>
        <w:pStyle w:val="NormalWeb"/>
        <w:keepNext/>
        <w:shd w:val="clear" w:color="auto" w:fill="FFFFFF"/>
        <w:spacing w:before="120" w:beforeAutospacing="0" w:after="0" w:afterAutospacing="0"/>
        <w:jc w:val="both"/>
        <w:rPr>
          <w:rStyle w:val="Strong"/>
          <w:rFonts w:ascii="Calibri" w:hAnsi="Calibri" w:cs="Segoe UI"/>
          <w:lang w:val="en-US"/>
        </w:rPr>
      </w:pPr>
      <w:r w:rsidRPr="00647F69">
        <w:rPr>
          <w:rStyle w:val="Strong"/>
          <w:rFonts w:ascii="Calibri" w:hAnsi="Calibri" w:cs="Segoe UI"/>
          <w:lang w:val="en-US"/>
        </w:rPr>
        <w:lastRenderedPageBreak/>
        <w:t>Composition of the Inter-Sector Coordination Group on issues of mutual interest</w:t>
      </w:r>
    </w:p>
    <w:p w:rsidR="00457147" w:rsidRPr="009F6107"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szCs w:val="24"/>
          <w:lang w:val="en-US"/>
        </w:rPr>
      </w:pPr>
      <w:r w:rsidRPr="009F6107">
        <w:rPr>
          <w:rFonts w:cs="Segoe UI"/>
          <w:szCs w:val="24"/>
          <w:lang w:val="en-US"/>
        </w:rPr>
        <w:t>The ISCG will consist of representatives from the three Advisory Groups, keeping in mind the need for regional balance</w:t>
      </w:r>
      <w:r>
        <w:rPr>
          <w:rFonts w:cs="Segoe UI"/>
          <w:szCs w:val="24"/>
          <w:lang w:val="en-US"/>
        </w:rPr>
        <w:t>;</w:t>
      </w:r>
    </w:p>
    <w:p w:rsidR="00457147" w:rsidRPr="0017703B"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asciiTheme="majorBidi" w:hAnsiTheme="majorBidi" w:cstheme="majorBidi"/>
          <w:szCs w:val="24"/>
          <w:lang w:val="en-US"/>
        </w:rPr>
      </w:pPr>
      <w:r w:rsidRPr="0017703B">
        <w:rPr>
          <w:rFonts w:asciiTheme="majorBidi" w:hAnsiTheme="majorBidi" w:cstheme="majorBidi"/>
          <w:szCs w:val="24"/>
          <w:lang w:val="en-US"/>
        </w:rPr>
        <w:t>The ISCG is chaired by Mr Fabio Bigi (Italy);</w:t>
      </w:r>
    </w:p>
    <w:p w:rsidR="00457147" w:rsidRPr="0017703B"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asciiTheme="majorBidi" w:hAnsiTheme="majorBidi" w:cstheme="majorBidi"/>
          <w:szCs w:val="24"/>
          <w:lang w:val="en-US"/>
        </w:rPr>
      </w:pPr>
      <w:r w:rsidRPr="0017703B">
        <w:rPr>
          <w:rFonts w:asciiTheme="majorBidi" w:hAnsiTheme="majorBidi" w:cstheme="majorBidi"/>
          <w:szCs w:val="24"/>
          <w:lang w:val="en-US"/>
        </w:rPr>
        <w:t>Radiocommunication Advisory Group (RAG) representatives: Mr Peter Major and Mr Albert Nalbandian (Vice-Chairmen of RAG);</w:t>
      </w:r>
    </w:p>
    <w:p w:rsidR="00457147" w:rsidRPr="0017703B"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asciiTheme="majorBidi" w:hAnsiTheme="majorBidi" w:cstheme="majorBidi"/>
          <w:szCs w:val="24"/>
          <w:lang w:val="en-US"/>
        </w:rPr>
      </w:pPr>
      <w:r w:rsidRPr="0017703B">
        <w:rPr>
          <w:rFonts w:asciiTheme="majorBidi" w:hAnsiTheme="majorBidi" w:cstheme="majorBidi"/>
          <w:szCs w:val="24"/>
          <w:lang w:val="en-US"/>
        </w:rPr>
        <w:t>Telecommunication Standardization Advisory Group (TSAG) representatives: Mr Vladimir Minkin and Mr Matano Ndaro (Vice-Chairmen of TSAG);</w:t>
      </w:r>
    </w:p>
    <w:p w:rsidR="00457147" w:rsidRPr="0017703B"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asciiTheme="majorBidi" w:hAnsiTheme="majorBidi" w:cstheme="majorBidi"/>
          <w:szCs w:val="24"/>
          <w:lang w:val="en-US"/>
        </w:rPr>
      </w:pPr>
      <w:r w:rsidRPr="0017703B">
        <w:rPr>
          <w:rFonts w:asciiTheme="majorBidi" w:hAnsiTheme="majorBidi" w:cstheme="majorBidi"/>
          <w:szCs w:val="24"/>
          <w:lang w:val="en-US"/>
        </w:rPr>
        <w:t>Telecommunication Development Advisory Group (TDAG) representatives: Ms Nurzat Boljobekova and Mr Arseny Plossky (Vice-Chairmen of TDAG);</w:t>
      </w:r>
    </w:p>
    <w:p w:rsidR="00457147" w:rsidRPr="0017703B" w:rsidRDefault="00457147" w:rsidP="00457147">
      <w:pPr>
        <w:pStyle w:val="ListParagraph"/>
        <w:numPr>
          <w:ilvl w:val="0"/>
          <w:numId w:val="14"/>
        </w:numPr>
        <w:shd w:val="clear" w:color="auto" w:fill="FFFFFF"/>
        <w:tabs>
          <w:tab w:val="clear" w:pos="1134"/>
          <w:tab w:val="clear" w:pos="1871"/>
          <w:tab w:val="clear" w:pos="2268"/>
        </w:tabs>
        <w:overflowPunct/>
        <w:autoSpaceDE/>
        <w:autoSpaceDN/>
        <w:adjustRightInd/>
        <w:ind w:left="567" w:hanging="567"/>
        <w:contextualSpacing w:val="0"/>
        <w:textAlignment w:val="auto"/>
        <w:rPr>
          <w:rFonts w:asciiTheme="majorBidi" w:hAnsiTheme="majorBidi" w:cstheme="majorBidi"/>
          <w:szCs w:val="24"/>
          <w:lang w:val="en-US"/>
        </w:rPr>
      </w:pPr>
      <w:r w:rsidRPr="0017703B">
        <w:rPr>
          <w:rFonts w:asciiTheme="majorBidi" w:hAnsiTheme="majorBidi" w:cstheme="majorBidi"/>
          <w:szCs w:val="24"/>
          <w:lang w:val="en-US"/>
        </w:rPr>
        <w:t>The ISCG is open to observers who are not the above representatives.</w:t>
      </w:r>
    </w:p>
    <w:p w:rsidR="00457147" w:rsidRPr="0017703B" w:rsidRDefault="00457147" w:rsidP="00457147">
      <w:pPr>
        <w:pStyle w:val="NormalWeb"/>
        <w:keepNext/>
        <w:shd w:val="clear" w:color="auto" w:fill="FFFFFF"/>
        <w:spacing w:before="120" w:beforeAutospacing="0" w:after="0" w:afterAutospacing="0"/>
        <w:jc w:val="both"/>
        <w:rPr>
          <w:rFonts w:asciiTheme="majorBidi" w:hAnsiTheme="majorBidi" w:cstheme="majorBidi"/>
          <w:lang w:val="en-US"/>
        </w:rPr>
      </w:pPr>
      <w:r w:rsidRPr="0017703B">
        <w:rPr>
          <w:rStyle w:val="Strong"/>
          <w:rFonts w:asciiTheme="majorBidi" w:hAnsiTheme="majorBidi" w:cstheme="majorBidi"/>
          <w:lang w:val="en-US"/>
        </w:rPr>
        <w:t>Secretariat support</w:t>
      </w:r>
    </w:p>
    <w:p w:rsidR="00457147" w:rsidRPr="0017703B" w:rsidRDefault="00457147" w:rsidP="00457147">
      <w:pPr>
        <w:pStyle w:val="NormalWeb"/>
        <w:shd w:val="clear" w:color="auto" w:fill="FFFFFF"/>
        <w:spacing w:before="120" w:beforeAutospacing="0" w:after="0" w:afterAutospacing="0"/>
        <w:jc w:val="both"/>
        <w:rPr>
          <w:rFonts w:asciiTheme="majorBidi" w:hAnsiTheme="majorBidi" w:cstheme="majorBidi"/>
          <w:lang w:val="en-US"/>
        </w:rPr>
      </w:pPr>
      <w:r w:rsidRPr="0017703B">
        <w:rPr>
          <w:rFonts w:asciiTheme="majorBidi" w:hAnsiTheme="majorBidi" w:cstheme="majorBidi"/>
          <w:lang w:val="en-US"/>
        </w:rPr>
        <w:t>The support of the group activity will be provided in accordance with Resolution 191 (Rev. Dubai, 2018).</w:t>
      </w:r>
    </w:p>
    <w:p w:rsidR="00457147" w:rsidRPr="0017703B" w:rsidRDefault="00457147" w:rsidP="00457147">
      <w:pPr>
        <w:pStyle w:val="NormalWeb"/>
        <w:keepNext/>
        <w:shd w:val="clear" w:color="auto" w:fill="FFFFFF"/>
        <w:spacing w:before="120" w:beforeAutospacing="0" w:after="0" w:afterAutospacing="0"/>
        <w:jc w:val="both"/>
        <w:rPr>
          <w:rFonts w:asciiTheme="majorBidi" w:hAnsiTheme="majorBidi" w:cstheme="majorBidi"/>
          <w:lang w:val="en-US"/>
        </w:rPr>
      </w:pPr>
      <w:r w:rsidRPr="0017703B">
        <w:rPr>
          <w:rStyle w:val="Strong"/>
          <w:rFonts w:asciiTheme="majorBidi" w:hAnsiTheme="majorBidi" w:cstheme="majorBidi"/>
          <w:lang w:val="en-US"/>
        </w:rPr>
        <w:t>Working methods</w:t>
      </w:r>
    </w:p>
    <w:p w:rsidR="00457147" w:rsidRPr="0017703B" w:rsidRDefault="00457147" w:rsidP="00457147">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The ISCG interactions may include e-mail exchange via the e-mail list or through electronic meetings;</w:t>
      </w:r>
    </w:p>
    <w:p w:rsidR="00457147" w:rsidRPr="0017703B" w:rsidRDefault="00457147" w:rsidP="00457147">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 xml:space="preserve">The ISCG will use the e-mail list </w:t>
      </w:r>
      <w:hyperlink r:id="rId11" w:history="1">
        <w:r w:rsidRPr="0017703B">
          <w:rPr>
            <w:rStyle w:val="Hyperlink"/>
            <w:rFonts w:asciiTheme="majorBidi" w:hAnsiTheme="majorBidi" w:cstheme="majorBidi"/>
            <w:szCs w:val="24"/>
          </w:rPr>
          <w:t>int-sect-team@lists.itu.int</w:t>
        </w:r>
      </w:hyperlink>
      <w:r w:rsidRPr="0017703B">
        <w:rPr>
          <w:rStyle w:val="Hyperlink"/>
          <w:rFonts w:asciiTheme="majorBidi" w:hAnsiTheme="majorBidi" w:cstheme="majorBidi"/>
          <w:szCs w:val="24"/>
        </w:rPr>
        <w:t>;</w:t>
      </w:r>
    </w:p>
    <w:p w:rsidR="00457147" w:rsidRPr="0017703B" w:rsidRDefault="00457147" w:rsidP="00457147">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Possible physical meetings may be held, preferably in conjunction with Sector advisory group meetings, and within available resources;</w:t>
      </w:r>
    </w:p>
    <w:p w:rsidR="00457147" w:rsidRPr="0017703B" w:rsidRDefault="00457147" w:rsidP="00457147">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rPr>
          <w:rFonts w:asciiTheme="majorBidi" w:hAnsiTheme="majorBidi" w:cstheme="majorBidi"/>
          <w:szCs w:val="24"/>
          <w:lang w:val="en-US"/>
        </w:rPr>
      </w:pPr>
      <w:r w:rsidRPr="0017703B">
        <w:rPr>
          <w:rFonts w:asciiTheme="majorBidi" w:hAnsiTheme="majorBidi" w:cstheme="majorBidi"/>
          <w:szCs w:val="24"/>
          <w:lang w:val="en-US"/>
        </w:rPr>
        <w:t>A dedicated website is developed with links from Sector advisory Groups.</w:t>
      </w:r>
    </w:p>
    <w:p w:rsidR="00457147" w:rsidRDefault="00457147" w:rsidP="00457147">
      <w:pPr>
        <w:jc w:val="center"/>
        <w:rPr>
          <w:rFonts w:ascii="Calibri" w:hAnsi="Calibri"/>
        </w:rPr>
      </w:pPr>
    </w:p>
    <w:p w:rsidR="00457147" w:rsidRPr="0084734D" w:rsidRDefault="00457147" w:rsidP="00457147">
      <w:pPr>
        <w:jc w:val="center"/>
        <w:rPr>
          <w:szCs w:val="24"/>
        </w:rPr>
      </w:pPr>
      <w:r>
        <w:rPr>
          <w:rFonts w:ascii="Calibri" w:hAnsi="Calibri"/>
        </w:rPr>
        <w:t>________________</w:t>
      </w:r>
    </w:p>
    <w:p w:rsidR="00457147" w:rsidRDefault="00457147" w:rsidP="00906598"/>
    <w:sectPr w:rsidR="00457147" w:rsidSect="00F749FF">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147" w:rsidRDefault="00457147">
      <w:r>
        <w:separator/>
      </w:r>
    </w:p>
  </w:endnote>
  <w:endnote w:type="continuationSeparator" w:id="0">
    <w:p w:rsidR="00457147" w:rsidRDefault="0045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147" w:rsidRDefault="00457147">
      <w:r>
        <w:t>____________________</w:t>
      </w:r>
    </w:p>
  </w:footnote>
  <w:footnote w:type="continuationSeparator" w:id="0">
    <w:p w:rsidR="00457147" w:rsidRDefault="00457147">
      <w:r>
        <w:continuationSeparator/>
      </w:r>
    </w:p>
  </w:footnote>
  <w:footnote w:id="1">
    <w:p w:rsidR="00457147" w:rsidRPr="001F22B5" w:rsidRDefault="00457147" w:rsidP="00457147">
      <w:pPr>
        <w:pStyle w:val="FootnoteText"/>
        <w:rPr>
          <w:lang w:val="en-US"/>
        </w:rPr>
      </w:pPr>
      <w:r>
        <w:rPr>
          <w:rStyle w:val="FootnoteReference"/>
        </w:rPr>
        <w:t>1</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A0B29">
      <w:rPr>
        <w:noProof/>
      </w:rPr>
      <w:t>4</w:t>
    </w:r>
    <w:r>
      <w:rPr>
        <w:noProof/>
      </w:rPr>
      <w:fldChar w:fldCharType="end"/>
    </w:r>
  </w:p>
  <w:p w:rsidR="0095426A" w:rsidRDefault="00597657" w:rsidP="007934C9">
    <w:pPr>
      <w:pStyle w:val="Header"/>
      <w:rPr>
        <w:lang w:val="es-ES"/>
      </w:rPr>
    </w:pPr>
    <w:r>
      <w:rPr>
        <w:lang w:val="es-ES"/>
      </w:rPr>
      <w:t>RAG</w:t>
    </w:r>
    <w:r w:rsidR="001632FD">
      <w:rPr>
        <w:lang w:val="es-ES"/>
      </w:rPr>
      <w:t>1</w:t>
    </w:r>
    <w:r w:rsidR="007934C9">
      <w:rPr>
        <w:lang w:val="es-ES"/>
      </w:rPr>
      <w:t>9</w:t>
    </w:r>
    <w:r w:rsidR="00550F20">
      <w:rPr>
        <w:lang w:val="es-ES"/>
      </w:rPr>
      <w:t>/7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7"/>
    <w:rsid w:val="00093C73"/>
    <w:rsid w:val="000F2431"/>
    <w:rsid w:val="001377D6"/>
    <w:rsid w:val="001632FD"/>
    <w:rsid w:val="0017703B"/>
    <w:rsid w:val="001A2FB6"/>
    <w:rsid w:val="001E41A0"/>
    <w:rsid w:val="002541B7"/>
    <w:rsid w:val="002774E4"/>
    <w:rsid w:val="002A0B29"/>
    <w:rsid w:val="002F4DA3"/>
    <w:rsid w:val="003D068D"/>
    <w:rsid w:val="003E2CE2"/>
    <w:rsid w:val="00451DCB"/>
    <w:rsid w:val="00457147"/>
    <w:rsid w:val="00481551"/>
    <w:rsid w:val="004F0848"/>
    <w:rsid w:val="00507DA3"/>
    <w:rsid w:val="0051782D"/>
    <w:rsid w:val="00550F20"/>
    <w:rsid w:val="00597657"/>
    <w:rsid w:val="005B2C58"/>
    <w:rsid w:val="00656189"/>
    <w:rsid w:val="006B4CFB"/>
    <w:rsid w:val="00746923"/>
    <w:rsid w:val="007934C9"/>
    <w:rsid w:val="00806E63"/>
    <w:rsid w:val="0081028D"/>
    <w:rsid w:val="008B3F50"/>
    <w:rsid w:val="00906598"/>
    <w:rsid w:val="0095426A"/>
    <w:rsid w:val="00971BF2"/>
    <w:rsid w:val="009D27EC"/>
    <w:rsid w:val="00A16CB2"/>
    <w:rsid w:val="00B35BE4"/>
    <w:rsid w:val="00B409FB"/>
    <w:rsid w:val="00B52992"/>
    <w:rsid w:val="00C322C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87D8B8B-4059-4E78-A9B0-E0614110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link w:val="ListParagraphChar"/>
    <w:uiPriority w:val="34"/>
    <w:qFormat/>
    <w:rsid w:val="00457147"/>
    <w:pPr>
      <w:tabs>
        <w:tab w:val="clear" w:pos="794"/>
        <w:tab w:val="clear" w:pos="1191"/>
        <w:tab w:val="clear" w:pos="1588"/>
        <w:tab w:val="clear" w:pos="1985"/>
        <w:tab w:val="left" w:pos="1134"/>
        <w:tab w:val="left" w:pos="1871"/>
        <w:tab w:val="left" w:pos="2268"/>
      </w:tabs>
      <w:ind w:left="720"/>
      <w:contextualSpacing/>
    </w:pPr>
    <w:rPr>
      <w:rFonts w:asciiTheme="minorHAnsi" w:eastAsia="MS Mincho" w:hAnsiTheme="minorHAnsi"/>
    </w:rPr>
  </w:style>
  <w:style w:type="paragraph" w:customStyle="1" w:styleId="Committee">
    <w:name w:val="Committee"/>
    <w:basedOn w:val="Normal"/>
    <w:qFormat/>
    <w:rsid w:val="0045714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rPr>
  </w:style>
  <w:style w:type="character" w:styleId="Hyperlink">
    <w:name w:val="Hyperlink"/>
    <w:aliases w:val="CEO_Hyperlink,超级链接,Style 58,超?级链,超????,하이퍼링크2"/>
    <w:qFormat/>
    <w:rsid w:val="00457147"/>
    <w:rPr>
      <w:color w:val="0000FF"/>
      <w:u w:val="single"/>
    </w:rPr>
  </w:style>
  <w:style w:type="character" w:customStyle="1" w:styleId="ListParagraphChar">
    <w:name w:val="List Paragraph Char"/>
    <w:basedOn w:val="DefaultParagraphFont"/>
    <w:link w:val="ListParagraph"/>
    <w:uiPriority w:val="34"/>
    <w:rsid w:val="00457147"/>
    <w:rPr>
      <w:rFonts w:asciiTheme="minorHAnsi" w:eastAsia="MS Mincho" w:hAnsiTheme="minorHAnsi"/>
      <w:sz w:val="24"/>
      <w:lang w:val="en-GB" w:eastAsia="en-US"/>
    </w:rPr>
  </w:style>
  <w:style w:type="character" w:styleId="Strong">
    <w:name w:val="Strong"/>
    <w:basedOn w:val="DefaultParagraphFont"/>
    <w:uiPriority w:val="22"/>
    <w:qFormat/>
    <w:rsid w:val="00457147"/>
    <w:rPr>
      <w:b/>
      <w:bCs/>
    </w:rPr>
  </w:style>
  <w:style w:type="paragraph" w:styleId="NormalWeb">
    <w:name w:val="Normal (Web)"/>
    <w:basedOn w:val="Normal"/>
    <w:uiPriority w:val="99"/>
    <w:unhideWhenUsed/>
    <w:rsid w:val="0045714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character" w:customStyle="1" w:styleId="ms-rtethemeforecolor-2-0">
    <w:name w:val="ms-rtethemeforecolor-2-0"/>
    <w:basedOn w:val="DefaultParagraphFont"/>
    <w:rsid w:val="00457147"/>
  </w:style>
  <w:style w:type="character" w:customStyle="1" w:styleId="SourceChar">
    <w:name w:val="Source Char"/>
    <w:link w:val="Source"/>
    <w:locked/>
    <w:rsid w:val="00457147"/>
    <w:rPr>
      <w:rFonts w:ascii="Times New Roman" w:hAnsi="Times New Roman"/>
      <w:b/>
      <w:sz w:val="28"/>
      <w:lang w:val="en-GB" w:eastAsia="en-US"/>
    </w:rPr>
  </w:style>
  <w:style w:type="character" w:customStyle="1" w:styleId="Title1Char">
    <w:name w:val="Title 1 Char"/>
    <w:link w:val="Title1"/>
    <w:locked/>
    <w:rsid w:val="00457147"/>
    <w:rPr>
      <w:rFonts w:ascii="Times New Roman" w:hAnsi="Times New Roman"/>
      <w:caps/>
      <w:sz w:val="28"/>
      <w:lang w:val="en-GB" w:eastAsia="en-US"/>
    </w:rPr>
  </w:style>
  <w:style w:type="table" w:styleId="TableGrid">
    <w:name w:val="Table Grid"/>
    <w:basedOn w:val="TableNormal"/>
    <w:uiPriority w:val="59"/>
    <w:rsid w:val="00451DCB"/>
    <w:rPr>
      <w:rFonts w:asciiTheme="minorHAnsi" w:eastAsiaTheme="minorHAnsi" w:hAnsiTheme="minorHAnsi" w:cstheme="minorBid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sect-team@lists.itu.int" TargetMode="External"/><Relationship Id="rId5" Type="http://schemas.openxmlformats.org/officeDocument/2006/relationships/footnotes" Target="footnotes.xml"/><Relationship Id="rId10" Type="http://schemas.openxmlformats.org/officeDocument/2006/relationships/hyperlink" Target="https://www.itu.int/en/ITU-D/Pages/default.aspx" TargetMode="External"/><Relationship Id="rId4" Type="http://schemas.openxmlformats.org/officeDocument/2006/relationships/webSettings" Target="webSettings.xml"/><Relationship Id="rId9" Type="http://schemas.openxmlformats.org/officeDocument/2006/relationships/hyperlink" Target="mailto:fabio.bigi@virgili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4</cp:revision>
  <cp:lastPrinted>1999-09-30T15:03:00Z</cp:lastPrinted>
  <dcterms:created xsi:type="dcterms:W3CDTF">2018-12-17T13:22:00Z</dcterms:created>
  <dcterms:modified xsi:type="dcterms:W3CDTF">2019-01-22T08:36:00Z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