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313"/>
        <w:gridCol w:w="636"/>
        <w:gridCol w:w="2940"/>
      </w:tblGrid>
      <w:tr w:rsidR="00443261" w:rsidRPr="00933CE7" w:rsidTr="00642826">
        <w:trPr>
          <w:cantSplit/>
        </w:trPr>
        <w:tc>
          <w:tcPr>
            <w:tcW w:w="6949" w:type="dxa"/>
            <w:gridSpan w:val="2"/>
            <w:vAlign w:val="center"/>
          </w:tcPr>
          <w:p w:rsidR="00443261" w:rsidRPr="00933CE7" w:rsidRDefault="00443261" w:rsidP="00F077A9">
            <w:pPr>
              <w:shd w:val="solid" w:color="FFFFFF" w:fill="FFFFFF"/>
              <w:spacing w:before="360" w:after="240"/>
              <w:rPr>
                <w:rFonts w:ascii="Verdana" w:hAnsi="Verdana"/>
                <w:b/>
                <w:bCs/>
                <w:lang w:val="fr-CH"/>
              </w:rPr>
            </w:pPr>
            <w:r w:rsidRPr="00933CE7">
              <w:rPr>
                <w:rFonts w:ascii="Verdana" w:hAnsi="Verdana" w:cs="Times New Roman Bold"/>
                <w:b/>
                <w:sz w:val="25"/>
                <w:szCs w:val="25"/>
                <w:lang w:val="fr-CH"/>
              </w:rPr>
              <w:t>Groupe Consultatif des Radiocommunications</w:t>
            </w:r>
            <w:r w:rsidRPr="00933CE7">
              <w:rPr>
                <w:rFonts w:ascii="Verdana" w:hAnsi="Verdana"/>
                <w:b/>
                <w:sz w:val="25"/>
                <w:szCs w:val="25"/>
                <w:lang w:val="fr-CH"/>
              </w:rPr>
              <w:br/>
            </w:r>
            <w:r w:rsidRPr="00933CE7">
              <w:rPr>
                <w:rFonts w:ascii="Verdana" w:hAnsi="Verdana" w:cs="Times New Roman Bold"/>
                <w:b/>
                <w:bCs/>
                <w:sz w:val="20"/>
                <w:lang w:val="fr-CH"/>
              </w:rPr>
              <w:t>Genève,</w:t>
            </w:r>
            <w:r w:rsidRPr="00933CE7">
              <w:rPr>
                <w:rFonts w:ascii="Verdana" w:hAnsi="Verdana"/>
                <w:b/>
                <w:bCs/>
                <w:sz w:val="20"/>
                <w:lang w:val="fr-CH"/>
              </w:rPr>
              <w:t xml:space="preserve"> </w:t>
            </w:r>
            <w:r w:rsidR="008069E9" w:rsidRPr="00933CE7">
              <w:rPr>
                <w:rFonts w:ascii="Verdana" w:hAnsi="Verdana"/>
                <w:b/>
                <w:bCs/>
                <w:sz w:val="20"/>
                <w:lang w:val="fr-CH"/>
              </w:rPr>
              <w:t>15</w:t>
            </w:r>
            <w:r w:rsidRPr="00933CE7">
              <w:rPr>
                <w:rFonts w:ascii="Verdana" w:hAnsi="Verdana"/>
                <w:b/>
                <w:bCs/>
                <w:sz w:val="20"/>
                <w:lang w:val="fr-CH"/>
              </w:rPr>
              <w:t>-</w:t>
            </w:r>
            <w:r w:rsidR="008069E9" w:rsidRPr="00933CE7">
              <w:rPr>
                <w:rFonts w:ascii="Verdana" w:hAnsi="Verdana"/>
                <w:b/>
                <w:bCs/>
                <w:sz w:val="20"/>
                <w:lang w:val="fr-CH"/>
              </w:rPr>
              <w:t>17</w:t>
            </w:r>
            <w:r w:rsidRPr="00933CE7">
              <w:rPr>
                <w:rFonts w:ascii="Verdana" w:hAnsi="Verdana"/>
                <w:b/>
                <w:bCs/>
                <w:sz w:val="20"/>
                <w:lang w:val="fr-CH"/>
              </w:rPr>
              <w:t xml:space="preserve"> </w:t>
            </w:r>
            <w:r w:rsidR="008069E9" w:rsidRPr="00933CE7">
              <w:rPr>
                <w:rFonts w:ascii="Verdana" w:hAnsi="Verdana"/>
                <w:b/>
                <w:bCs/>
                <w:sz w:val="20"/>
                <w:lang w:val="fr-CH"/>
              </w:rPr>
              <w:t>avril</w:t>
            </w:r>
            <w:r w:rsidRPr="00933CE7">
              <w:rPr>
                <w:rFonts w:ascii="Verdana" w:hAnsi="Verdana"/>
                <w:b/>
                <w:bCs/>
                <w:sz w:val="20"/>
                <w:lang w:val="fr-CH"/>
              </w:rPr>
              <w:t xml:space="preserve"> 201</w:t>
            </w:r>
            <w:r w:rsidR="008069E9" w:rsidRPr="00933CE7">
              <w:rPr>
                <w:rFonts w:ascii="Verdana" w:hAnsi="Verdana"/>
                <w:b/>
                <w:bCs/>
                <w:sz w:val="20"/>
                <w:lang w:val="fr-CH"/>
              </w:rPr>
              <w:t>9</w:t>
            </w:r>
          </w:p>
        </w:tc>
        <w:tc>
          <w:tcPr>
            <w:tcW w:w="2940" w:type="dxa"/>
          </w:tcPr>
          <w:p w:rsidR="00443261" w:rsidRPr="00933CE7" w:rsidRDefault="00443261" w:rsidP="00F077A9">
            <w:pPr>
              <w:shd w:val="solid" w:color="FFFFFF" w:fill="FFFFFF"/>
              <w:spacing w:before="0"/>
              <w:jc w:val="right"/>
              <w:rPr>
                <w:lang w:val="fr-CH"/>
              </w:rPr>
            </w:pPr>
            <w:r w:rsidRPr="00933CE7">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933CE7" w:rsidTr="00642826">
        <w:trPr>
          <w:cantSplit/>
        </w:trPr>
        <w:tc>
          <w:tcPr>
            <w:tcW w:w="6949" w:type="dxa"/>
            <w:gridSpan w:val="2"/>
            <w:tcBorders>
              <w:bottom w:val="single" w:sz="12" w:space="0" w:color="auto"/>
            </w:tcBorders>
          </w:tcPr>
          <w:p w:rsidR="002D238A" w:rsidRPr="00933CE7" w:rsidRDefault="002D238A" w:rsidP="00F077A9">
            <w:pPr>
              <w:shd w:val="solid" w:color="FFFFFF" w:fill="FFFFFF"/>
              <w:spacing w:before="0" w:after="48"/>
              <w:rPr>
                <w:rFonts w:ascii="Verdana" w:hAnsi="Verdana" w:cs="Times New Roman Bold"/>
                <w:b/>
                <w:sz w:val="22"/>
                <w:szCs w:val="22"/>
                <w:lang w:val="fr-CH"/>
              </w:rPr>
            </w:pPr>
          </w:p>
        </w:tc>
        <w:tc>
          <w:tcPr>
            <w:tcW w:w="2940" w:type="dxa"/>
            <w:tcBorders>
              <w:bottom w:val="single" w:sz="12" w:space="0" w:color="auto"/>
            </w:tcBorders>
          </w:tcPr>
          <w:p w:rsidR="002D238A" w:rsidRPr="00933CE7" w:rsidRDefault="002D238A" w:rsidP="00F077A9">
            <w:pPr>
              <w:shd w:val="solid" w:color="FFFFFF" w:fill="FFFFFF"/>
              <w:spacing w:before="0" w:after="48"/>
              <w:rPr>
                <w:sz w:val="22"/>
                <w:szCs w:val="22"/>
                <w:lang w:val="fr-CH"/>
              </w:rPr>
            </w:pPr>
          </w:p>
        </w:tc>
      </w:tr>
      <w:tr w:rsidR="002D238A" w:rsidRPr="00933CE7" w:rsidTr="00642826">
        <w:trPr>
          <w:cantSplit/>
        </w:trPr>
        <w:tc>
          <w:tcPr>
            <w:tcW w:w="6313" w:type="dxa"/>
            <w:tcBorders>
              <w:top w:val="single" w:sz="12" w:space="0" w:color="auto"/>
            </w:tcBorders>
          </w:tcPr>
          <w:p w:rsidR="002D238A" w:rsidRPr="00933CE7" w:rsidRDefault="002D238A" w:rsidP="00F077A9">
            <w:pPr>
              <w:shd w:val="solid" w:color="FFFFFF" w:fill="FFFFFF"/>
              <w:spacing w:before="0" w:after="48"/>
              <w:rPr>
                <w:rFonts w:ascii="Verdana" w:hAnsi="Verdana" w:cs="Times New Roman Bold"/>
                <w:bCs/>
                <w:sz w:val="22"/>
                <w:szCs w:val="22"/>
                <w:lang w:val="fr-CH"/>
              </w:rPr>
            </w:pPr>
          </w:p>
        </w:tc>
        <w:tc>
          <w:tcPr>
            <w:tcW w:w="3576" w:type="dxa"/>
            <w:gridSpan w:val="2"/>
            <w:tcBorders>
              <w:top w:val="single" w:sz="12" w:space="0" w:color="auto"/>
            </w:tcBorders>
          </w:tcPr>
          <w:p w:rsidR="002D238A" w:rsidRPr="00933CE7" w:rsidRDefault="002D238A" w:rsidP="00F077A9">
            <w:pPr>
              <w:shd w:val="solid" w:color="FFFFFF" w:fill="FFFFFF"/>
              <w:spacing w:before="0" w:after="48"/>
              <w:rPr>
                <w:rFonts w:ascii="Verdana" w:hAnsi="Verdana"/>
                <w:sz w:val="22"/>
                <w:szCs w:val="22"/>
                <w:lang w:val="fr-CH"/>
              </w:rPr>
            </w:pPr>
          </w:p>
        </w:tc>
      </w:tr>
      <w:tr w:rsidR="002D238A" w:rsidRPr="00933CE7" w:rsidTr="00642826">
        <w:trPr>
          <w:cantSplit/>
        </w:trPr>
        <w:tc>
          <w:tcPr>
            <w:tcW w:w="6313" w:type="dxa"/>
            <w:vMerge w:val="restart"/>
          </w:tcPr>
          <w:p w:rsidR="002D238A" w:rsidRPr="00933CE7" w:rsidRDefault="002D238A" w:rsidP="00F077A9">
            <w:pPr>
              <w:shd w:val="solid" w:color="FFFFFF" w:fill="FFFFFF"/>
              <w:spacing w:before="0"/>
              <w:rPr>
                <w:rFonts w:ascii="Verdana" w:hAnsi="Verdana"/>
                <w:sz w:val="20"/>
                <w:lang w:val="fr-CH"/>
              </w:rPr>
            </w:pPr>
            <w:bookmarkStart w:id="0" w:name="dnum" w:colFirst="1" w:colLast="1"/>
          </w:p>
        </w:tc>
        <w:tc>
          <w:tcPr>
            <w:tcW w:w="3576" w:type="dxa"/>
            <w:gridSpan w:val="2"/>
          </w:tcPr>
          <w:p w:rsidR="002D238A" w:rsidRPr="00933CE7" w:rsidRDefault="000B4BF4" w:rsidP="008E65BA">
            <w:pPr>
              <w:shd w:val="solid" w:color="FFFFFF" w:fill="FFFFFF"/>
              <w:spacing w:before="0"/>
              <w:rPr>
                <w:rFonts w:ascii="Verdana" w:hAnsi="Verdana"/>
                <w:sz w:val="20"/>
                <w:lang w:val="fr-CH"/>
              </w:rPr>
            </w:pPr>
            <w:r>
              <w:rPr>
                <w:rFonts w:ascii="Verdana" w:hAnsi="Verdana"/>
                <w:b/>
                <w:sz w:val="20"/>
                <w:lang w:val="fr-CH"/>
              </w:rPr>
              <w:t xml:space="preserve">Révision 1 </w:t>
            </w:r>
            <w:r w:rsidR="008E65BA">
              <w:rPr>
                <w:rFonts w:ascii="Verdana" w:hAnsi="Verdana"/>
                <w:b/>
                <w:sz w:val="20"/>
                <w:lang w:val="fr-CH"/>
              </w:rPr>
              <w:t>a</w:t>
            </w:r>
            <w:r>
              <w:rPr>
                <w:rFonts w:ascii="Verdana" w:hAnsi="Verdana"/>
                <w:b/>
                <w:sz w:val="20"/>
                <w:lang w:val="fr-CH"/>
              </w:rPr>
              <w:t>u</w:t>
            </w:r>
            <w:r>
              <w:rPr>
                <w:rFonts w:ascii="Verdana" w:hAnsi="Verdana"/>
                <w:b/>
                <w:sz w:val="20"/>
                <w:lang w:val="fr-CH"/>
              </w:rPr>
              <w:br/>
            </w:r>
            <w:r w:rsidR="00173EFC" w:rsidRPr="00933CE7">
              <w:rPr>
                <w:rFonts w:ascii="Verdana" w:hAnsi="Verdana"/>
                <w:b/>
                <w:sz w:val="20"/>
                <w:lang w:val="fr-CH"/>
              </w:rPr>
              <w:t>Document RAG19/1</w:t>
            </w:r>
            <w:r>
              <w:rPr>
                <w:rFonts w:ascii="Verdana" w:hAnsi="Verdana"/>
                <w:b/>
                <w:sz w:val="20"/>
                <w:lang w:val="fr-CH"/>
              </w:rPr>
              <w:t>(Add.2)</w:t>
            </w:r>
            <w:r w:rsidR="00173EFC" w:rsidRPr="00933CE7">
              <w:rPr>
                <w:rFonts w:ascii="Verdana" w:hAnsi="Verdana"/>
                <w:b/>
                <w:sz w:val="20"/>
                <w:lang w:val="fr-CH"/>
              </w:rPr>
              <w:t>-F</w:t>
            </w:r>
          </w:p>
        </w:tc>
      </w:tr>
      <w:tr w:rsidR="002D238A" w:rsidRPr="00933CE7" w:rsidTr="00642826">
        <w:trPr>
          <w:cantSplit/>
        </w:trPr>
        <w:tc>
          <w:tcPr>
            <w:tcW w:w="6313" w:type="dxa"/>
            <w:vMerge/>
          </w:tcPr>
          <w:p w:rsidR="002D238A" w:rsidRPr="00933CE7" w:rsidRDefault="002D238A" w:rsidP="00F077A9">
            <w:pPr>
              <w:spacing w:before="60"/>
              <w:jc w:val="center"/>
              <w:rPr>
                <w:b/>
                <w:smallCaps/>
                <w:sz w:val="32"/>
                <w:lang w:val="fr-CH"/>
              </w:rPr>
            </w:pPr>
            <w:bookmarkStart w:id="1" w:name="ddate" w:colFirst="1" w:colLast="1"/>
            <w:bookmarkEnd w:id="0"/>
          </w:p>
        </w:tc>
        <w:tc>
          <w:tcPr>
            <w:tcW w:w="3576" w:type="dxa"/>
            <w:gridSpan w:val="2"/>
          </w:tcPr>
          <w:p w:rsidR="002D238A" w:rsidRPr="00933CE7" w:rsidRDefault="000B4BF4" w:rsidP="00F077A9">
            <w:pPr>
              <w:shd w:val="solid" w:color="FFFFFF" w:fill="FFFFFF"/>
              <w:spacing w:before="0"/>
              <w:rPr>
                <w:rFonts w:ascii="Verdana" w:hAnsi="Verdana"/>
                <w:sz w:val="20"/>
                <w:lang w:val="fr-CH"/>
              </w:rPr>
            </w:pPr>
            <w:r>
              <w:rPr>
                <w:rFonts w:ascii="Verdana" w:hAnsi="Verdana"/>
                <w:b/>
                <w:sz w:val="20"/>
                <w:lang w:val="fr-CH"/>
              </w:rPr>
              <w:t>27</w:t>
            </w:r>
            <w:r w:rsidR="00173EFC" w:rsidRPr="00933CE7">
              <w:rPr>
                <w:rFonts w:ascii="Verdana" w:hAnsi="Verdana"/>
                <w:b/>
                <w:sz w:val="20"/>
                <w:lang w:val="fr-CH"/>
              </w:rPr>
              <w:t xml:space="preserve"> mars 2019</w:t>
            </w:r>
          </w:p>
        </w:tc>
      </w:tr>
      <w:tr w:rsidR="002D238A" w:rsidRPr="00933CE7" w:rsidTr="00642826">
        <w:trPr>
          <w:cantSplit/>
        </w:trPr>
        <w:tc>
          <w:tcPr>
            <w:tcW w:w="6313" w:type="dxa"/>
            <w:vMerge/>
          </w:tcPr>
          <w:p w:rsidR="002D238A" w:rsidRPr="00933CE7" w:rsidRDefault="002D238A" w:rsidP="00F077A9">
            <w:pPr>
              <w:spacing w:before="60"/>
              <w:jc w:val="center"/>
              <w:rPr>
                <w:b/>
                <w:smallCaps/>
                <w:sz w:val="32"/>
                <w:lang w:val="fr-CH"/>
              </w:rPr>
            </w:pPr>
            <w:bookmarkStart w:id="2" w:name="dorlang" w:colFirst="1" w:colLast="1"/>
            <w:bookmarkEnd w:id="1"/>
          </w:p>
        </w:tc>
        <w:tc>
          <w:tcPr>
            <w:tcW w:w="3576" w:type="dxa"/>
            <w:gridSpan w:val="2"/>
          </w:tcPr>
          <w:p w:rsidR="002D238A" w:rsidRPr="00933CE7" w:rsidRDefault="00173EFC" w:rsidP="00F077A9">
            <w:pPr>
              <w:shd w:val="solid" w:color="FFFFFF" w:fill="FFFFFF"/>
              <w:spacing w:before="0" w:after="120"/>
              <w:rPr>
                <w:rFonts w:ascii="Verdana" w:hAnsi="Verdana"/>
                <w:sz w:val="20"/>
                <w:lang w:val="fr-CH"/>
              </w:rPr>
            </w:pPr>
            <w:r w:rsidRPr="00933CE7">
              <w:rPr>
                <w:rFonts w:ascii="Verdana" w:hAnsi="Verdana"/>
                <w:b/>
                <w:sz w:val="20"/>
                <w:lang w:val="fr-CH"/>
              </w:rPr>
              <w:t>Original: anglais</w:t>
            </w:r>
          </w:p>
        </w:tc>
      </w:tr>
      <w:tr w:rsidR="002D238A" w:rsidRPr="00933CE7">
        <w:trPr>
          <w:cantSplit/>
        </w:trPr>
        <w:tc>
          <w:tcPr>
            <w:tcW w:w="9889" w:type="dxa"/>
            <w:gridSpan w:val="3"/>
          </w:tcPr>
          <w:p w:rsidR="002D238A" w:rsidRPr="00933CE7" w:rsidRDefault="00A76BE4" w:rsidP="00F077A9">
            <w:pPr>
              <w:pStyle w:val="Source"/>
              <w:rPr>
                <w:lang w:val="fr-CH"/>
              </w:rPr>
            </w:pPr>
            <w:bookmarkStart w:id="3" w:name="dsource" w:colFirst="0" w:colLast="0"/>
            <w:bookmarkEnd w:id="2"/>
            <w:r w:rsidRPr="00933CE7">
              <w:rPr>
                <w:lang w:val="fr-CH"/>
              </w:rPr>
              <w:t>Directeur du Bureau des radiocommunications</w:t>
            </w:r>
          </w:p>
        </w:tc>
      </w:tr>
      <w:tr w:rsidR="002D238A" w:rsidRPr="00933CE7">
        <w:trPr>
          <w:cantSplit/>
        </w:trPr>
        <w:tc>
          <w:tcPr>
            <w:tcW w:w="9889" w:type="dxa"/>
            <w:gridSpan w:val="3"/>
          </w:tcPr>
          <w:p w:rsidR="002D238A" w:rsidRPr="00933CE7" w:rsidRDefault="00A76BE4" w:rsidP="00F077A9">
            <w:pPr>
              <w:pStyle w:val="Title1"/>
              <w:rPr>
                <w:lang w:val="fr-CH"/>
              </w:rPr>
            </w:pPr>
            <w:bookmarkStart w:id="4" w:name="dtitle1" w:colFirst="0" w:colLast="0"/>
            <w:bookmarkEnd w:id="3"/>
            <w:r w:rsidRPr="00933CE7">
              <w:rPr>
                <w:lang w:val="fr-CH"/>
              </w:rPr>
              <w:t>rapport à la vingt</w:t>
            </w:r>
            <w:r w:rsidRPr="00933CE7">
              <w:rPr>
                <w:lang w:val="fr-CH"/>
              </w:rPr>
              <w:noBreakHyphen/>
              <w:t xml:space="preserve">SIXIÈME réunion du groupe </w:t>
            </w:r>
            <w:r w:rsidRPr="00933CE7">
              <w:rPr>
                <w:lang w:val="fr-CH"/>
              </w:rPr>
              <w:br/>
              <w:t>consultatif des radiocommunications</w:t>
            </w:r>
          </w:p>
        </w:tc>
      </w:tr>
    </w:tbl>
    <w:bookmarkEnd w:id="4"/>
    <w:p w:rsidR="008069E9" w:rsidRPr="00933CE7" w:rsidRDefault="00A76BE4" w:rsidP="00F077A9">
      <w:pPr>
        <w:pStyle w:val="Heading1"/>
        <w:rPr>
          <w:lang w:val="fr-CH"/>
        </w:rPr>
      </w:pPr>
      <w:r w:rsidRPr="00933CE7">
        <w:rPr>
          <w:lang w:val="fr-CH"/>
        </w:rPr>
        <w:t>1</w:t>
      </w:r>
      <w:r w:rsidRPr="00933CE7">
        <w:rPr>
          <w:lang w:val="fr-CH"/>
        </w:rPr>
        <w:tab/>
        <w:t>Introduction</w:t>
      </w:r>
    </w:p>
    <w:p w:rsidR="00930609" w:rsidRPr="00933CE7" w:rsidRDefault="00A76BE4" w:rsidP="00AA436F">
      <w:pPr>
        <w:rPr>
          <w:lang w:val="fr-CH"/>
        </w:rPr>
      </w:pPr>
      <w:r w:rsidRPr="00933CE7">
        <w:rPr>
          <w:lang w:val="fr-CH"/>
        </w:rPr>
        <w:t>Le Plan opérationnel quadriennal glissant du Secteur des ra</w:t>
      </w:r>
      <w:r w:rsidR="00185170" w:rsidRPr="00933CE7">
        <w:rPr>
          <w:lang w:val="fr-CH"/>
        </w:rPr>
        <w:t>diocommunications de l'UIT (UIT-</w:t>
      </w:r>
      <w:r w:rsidRPr="00933CE7">
        <w:rPr>
          <w:lang w:val="fr-CH"/>
        </w:rPr>
        <w:t xml:space="preserve">R) </w:t>
      </w:r>
      <w:r w:rsidR="003C1640" w:rsidRPr="00933CE7">
        <w:rPr>
          <w:lang w:val="fr-CH"/>
        </w:rPr>
        <w:t xml:space="preserve">a </w:t>
      </w:r>
      <w:proofErr w:type="gramStart"/>
      <w:r w:rsidR="003C1640" w:rsidRPr="00933CE7">
        <w:rPr>
          <w:lang w:val="fr-CH"/>
        </w:rPr>
        <w:t>été</w:t>
      </w:r>
      <w:proofErr w:type="gramEnd"/>
      <w:r w:rsidRPr="00933CE7">
        <w:rPr>
          <w:lang w:val="fr-CH"/>
        </w:rPr>
        <w:t xml:space="preserve"> établi dans le strict respect du Plan stratégi</w:t>
      </w:r>
      <w:r w:rsidR="00185170" w:rsidRPr="00933CE7">
        <w:rPr>
          <w:lang w:val="fr-CH"/>
        </w:rPr>
        <w:t>que de l'UIT pour la période 2020-2023</w:t>
      </w:r>
      <w:r w:rsidRPr="00933CE7">
        <w:rPr>
          <w:lang w:val="fr-CH"/>
        </w:rPr>
        <w:t xml:space="preserve">, dans les limites fixées dans le Plan financier pour la période </w:t>
      </w:r>
      <w:r w:rsidR="00185170" w:rsidRPr="00933CE7">
        <w:rPr>
          <w:lang w:val="fr-CH"/>
        </w:rPr>
        <w:t xml:space="preserve">2020-2023 </w:t>
      </w:r>
      <w:r w:rsidRPr="00933CE7">
        <w:rPr>
          <w:lang w:val="fr-CH"/>
        </w:rPr>
        <w:t xml:space="preserve">et dans </w:t>
      </w:r>
      <w:r w:rsidR="00D23BF4">
        <w:rPr>
          <w:lang w:val="fr-CH"/>
        </w:rPr>
        <w:t>le budget biennal pour </w:t>
      </w:r>
      <w:r w:rsidR="00185170" w:rsidRPr="00933CE7">
        <w:rPr>
          <w:lang w:val="fr-CH"/>
        </w:rPr>
        <w:t>2020</w:t>
      </w:r>
      <w:r w:rsidR="00F077A9" w:rsidRPr="00933CE7">
        <w:rPr>
          <w:lang w:val="fr-CH"/>
        </w:rPr>
        <w:noBreakHyphen/>
        <w:t>20</w:t>
      </w:r>
      <w:r w:rsidR="00185170" w:rsidRPr="00933CE7">
        <w:rPr>
          <w:lang w:val="fr-CH"/>
        </w:rPr>
        <w:t>21</w:t>
      </w:r>
      <w:r w:rsidRPr="00933CE7">
        <w:rPr>
          <w:lang w:val="fr-CH"/>
        </w:rPr>
        <w:t>. La structure du Plan est conforme au cadre de prése</w:t>
      </w:r>
      <w:r w:rsidR="00185170" w:rsidRPr="00933CE7">
        <w:rPr>
          <w:lang w:val="fr-CH"/>
        </w:rPr>
        <w:t>ntation des résultats de l'UIT</w:t>
      </w:r>
      <w:r w:rsidRPr="00933CE7">
        <w:rPr>
          <w:lang w:val="fr-CH"/>
        </w:rPr>
        <w:t xml:space="preserve">, qui consiste à décrire les objectifs </w:t>
      </w:r>
      <w:r w:rsidR="00185170" w:rsidRPr="00933CE7">
        <w:rPr>
          <w:lang w:val="fr-CH"/>
        </w:rPr>
        <w:t>du Secteur</w:t>
      </w:r>
      <w:r w:rsidRPr="00933CE7">
        <w:rPr>
          <w:lang w:val="fr-CH"/>
        </w:rPr>
        <w:t>, les résultats associés et les indicateurs servant à mesurer les progrès accomplis en vue d'obtenir ces résultats, ainsi que les produits (produits et services) résultant des activités du Secteur</w:t>
      </w:r>
      <w:r w:rsidR="00185170" w:rsidRPr="00933CE7">
        <w:rPr>
          <w:lang w:val="fr-CH"/>
        </w:rPr>
        <w:t xml:space="preserve"> et des </w:t>
      </w:r>
      <w:r w:rsidR="00AA7F1B" w:rsidRPr="00933CE7">
        <w:rPr>
          <w:lang w:val="fr-CH"/>
        </w:rPr>
        <w:t>catalyseurs du</w:t>
      </w:r>
      <w:r w:rsidR="00185170" w:rsidRPr="00933CE7">
        <w:rPr>
          <w:lang w:val="fr-CH"/>
        </w:rPr>
        <w:t xml:space="preserve"> Bureau</w:t>
      </w:r>
      <w:r w:rsidRPr="00933CE7">
        <w:rPr>
          <w:lang w:val="fr-CH"/>
        </w:rPr>
        <w:t>.</w:t>
      </w:r>
    </w:p>
    <w:p w:rsidR="00930609" w:rsidRPr="00933CE7" w:rsidRDefault="00930609" w:rsidP="00F077A9">
      <w:pPr>
        <w:rPr>
          <w:lang w:val="fr-CH"/>
        </w:rPr>
      </w:pPr>
    </w:p>
    <w:p w:rsidR="00930609" w:rsidRPr="00933CE7" w:rsidRDefault="00930609" w:rsidP="00F077A9">
      <w:pPr>
        <w:rPr>
          <w:lang w:val="fr-CH"/>
        </w:rPr>
        <w:sectPr w:rsidR="00930609" w:rsidRPr="00933CE7">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pPr>
    </w:p>
    <w:p w:rsidR="00930609" w:rsidRPr="00933CE7" w:rsidRDefault="00930609" w:rsidP="00F077A9">
      <w:pPr>
        <w:rPr>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748"/>
      </w:tblGrid>
      <w:tr w:rsidR="00A76BE4" w:rsidRPr="00933CE7" w:rsidTr="00147C8F">
        <w:trPr>
          <w:trHeight w:val="4984"/>
        </w:trPr>
        <w:tc>
          <w:tcPr>
            <w:tcW w:w="5240" w:type="dxa"/>
            <w:vAlign w:val="center"/>
          </w:tcPr>
          <w:p w:rsidR="00D36E51" w:rsidRPr="00933CE7" w:rsidRDefault="00A04471" w:rsidP="00F077A9">
            <w:pPr>
              <w:jc w:val="center"/>
              <w:rPr>
                <w:lang w:val="fr-CH"/>
              </w:rPr>
            </w:pPr>
            <w:r w:rsidRPr="00933CE7">
              <w:rPr>
                <w:noProof/>
                <w:lang w:val="fr-CH" w:eastAsia="zh-CN"/>
              </w:rPr>
              <mc:AlternateContent>
                <mc:Choice Requires="wps">
                  <w:drawing>
                    <wp:anchor distT="45720" distB="45720" distL="114300" distR="114300" simplePos="0" relativeHeight="251667456" behindDoc="0" locked="0" layoutInCell="1" allowOverlap="1" wp14:anchorId="799787BB" wp14:editId="453F0453">
                      <wp:simplePos x="0" y="0"/>
                      <wp:positionH relativeFrom="column">
                        <wp:posOffset>212090</wp:posOffset>
                      </wp:positionH>
                      <wp:positionV relativeFrom="paragraph">
                        <wp:posOffset>1847850</wp:posOffset>
                      </wp:positionV>
                      <wp:extent cx="915670" cy="248285"/>
                      <wp:effectExtent l="0" t="9208" r="8573" b="8572"/>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D23BF4" w:rsidRPr="00A04471" w:rsidRDefault="00D23BF4" w:rsidP="00A04471">
                                  <w:pPr>
                                    <w:spacing w:before="0"/>
                                    <w:rPr>
                                      <w:rFonts w:asciiTheme="minorHAnsi" w:hAnsiTheme="minorHAnsi" w:cstheme="minorHAnsi"/>
                                      <w:b/>
                                      <w:bCs/>
                                      <w:color w:val="002060"/>
                                      <w:lang w:val="en-GB"/>
                                    </w:rPr>
                                  </w:pPr>
                                  <w:r w:rsidRPr="00A04471">
                                    <w:rPr>
                                      <w:rFonts w:asciiTheme="minorHAnsi" w:hAnsiTheme="minorHAnsi" w:cstheme="minorHAnsi"/>
                                      <w:b/>
                                      <w:bCs/>
                                      <w:color w:val="002060"/>
                                    </w:rPr>
                                    <w:t>Effi</w:t>
                                  </w:r>
                                  <w:r>
                                    <w:rPr>
                                      <w:rFonts w:asciiTheme="minorHAnsi" w:hAnsiTheme="minorHAnsi" w:cstheme="minorHAnsi"/>
                                      <w:b/>
                                      <w:bCs/>
                                      <w:color w:val="002060"/>
                                    </w:rPr>
                                    <w:t>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787BB" id="_x0000_t202" coordsize="21600,21600" o:spt="202" path="m,l,21600r21600,l21600,xe">
                      <v:stroke joinstyle="miter"/>
                      <v:path gradientshapeok="t" o:connecttype="rect"/>
                    </v:shapetype>
                    <v:shape id="Text Box 2" o:spid="_x0000_s1026" type="#_x0000_t202" style="position:absolute;left:0;text-align:left;margin-left:16.7pt;margin-top:145.5pt;width:72.1pt;height:19.5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" stroked="f">
                      <v:textbox>
                        <w:txbxContent>
                          <w:p w:rsidR="00D23BF4" w:rsidRPr="00A04471" w:rsidRDefault="00D23BF4" w:rsidP="00A04471">
                            <w:pPr>
                              <w:spacing w:before="0"/>
                              <w:rPr>
                                <w:rFonts w:asciiTheme="minorHAnsi" w:hAnsiTheme="minorHAnsi" w:cstheme="minorHAnsi"/>
                                <w:b/>
                                <w:bCs/>
                                <w:color w:val="002060"/>
                                <w:lang w:val="en-GB"/>
                              </w:rPr>
                            </w:pPr>
                            <w:r w:rsidRPr="00A04471">
                              <w:rPr>
                                <w:rFonts w:asciiTheme="minorHAnsi" w:hAnsiTheme="minorHAnsi" w:cstheme="minorHAnsi"/>
                                <w:b/>
                                <w:bCs/>
                                <w:color w:val="002060"/>
                              </w:rPr>
                              <w:t>Effi</w:t>
                            </w:r>
                            <w:r>
                              <w:rPr>
                                <w:rFonts w:asciiTheme="minorHAnsi" w:hAnsiTheme="minorHAnsi" w:cstheme="minorHAnsi"/>
                                <w:b/>
                                <w:bCs/>
                                <w:color w:val="002060"/>
                              </w:rPr>
                              <w:t>cience</w:t>
                            </w:r>
                          </w:p>
                        </w:txbxContent>
                      </v:textbox>
                    </v:shape>
                  </w:pict>
                </mc:Fallback>
              </mc:AlternateContent>
            </w:r>
            <w:r w:rsidRPr="00933CE7">
              <w:rPr>
                <w:noProof/>
                <w:lang w:val="fr-CH" w:eastAsia="zh-CN"/>
              </w:rPr>
              <mc:AlternateContent>
                <mc:Choice Requires="wps">
                  <w:drawing>
                    <wp:anchor distT="45720" distB="45720" distL="114300" distR="114300" simplePos="0" relativeHeight="251665408" behindDoc="0" locked="0" layoutInCell="1" allowOverlap="1">
                      <wp:simplePos x="0" y="0"/>
                      <wp:positionH relativeFrom="column">
                        <wp:posOffset>184150</wp:posOffset>
                      </wp:positionH>
                      <wp:positionV relativeFrom="paragraph">
                        <wp:posOffset>922020</wp:posOffset>
                      </wp:positionV>
                      <wp:extent cx="915670" cy="248285"/>
                      <wp:effectExtent l="0" t="9208" r="8573" b="8572"/>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D23BF4" w:rsidRPr="00A04471" w:rsidRDefault="00D23BF4" w:rsidP="00A04471">
                                  <w:pPr>
                                    <w:spacing w:before="0"/>
                                    <w:rPr>
                                      <w:rFonts w:asciiTheme="minorHAnsi" w:hAnsiTheme="minorHAnsi" w:cstheme="minorHAnsi"/>
                                      <w:b/>
                                      <w:bCs/>
                                      <w:color w:val="002060"/>
                                      <w:lang w:val="en-GB"/>
                                    </w:rPr>
                                  </w:pPr>
                                  <w:r w:rsidRPr="00A04471">
                                    <w:rPr>
                                      <w:rFonts w:asciiTheme="minorHAnsi" w:hAnsiTheme="minorHAnsi" w:cstheme="minorHAnsi"/>
                                      <w:b/>
                                      <w:bCs/>
                                      <w:color w:val="002060"/>
                                    </w:rPr>
                                    <w:t>Efficacité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5pt;margin-top:72.6pt;width:72.1pt;height:19.5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" stroked="f">
                      <v:textbox>
                        <w:txbxContent>
                          <w:p w:rsidR="00D23BF4" w:rsidRPr="00A04471" w:rsidRDefault="00D23BF4" w:rsidP="00A04471">
                            <w:pPr>
                              <w:spacing w:before="0"/>
                              <w:rPr>
                                <w:rFonts w:asciiTheme="minorHAnsi" w:hAnsiTheme="minorHAnsi" w:cstheme="minorHAnsi"/>
                                <w:b/>
                                <w:bCs/>
                                <w:color w:val="002060"/>
                                <w:lang w:val="en-GB"/>
                              </w:rPr>
                            </w:pPr>
                            <w:r w:rsidRPr="00A04471">
                              <w:rPr>
                                <w:rFonts w:asciiTheme="minorHAnsi" w:hAnsiTheme="minorHAnsi" w:cstheme="minorHAnsi"/>
                                <w:b/>
                                <w:bCs/>
                                <w:color w:val="002060"/>
                              </w:rPr>
                              <w:t>Efficacité</w:t>
                            </w:r>
                          </w:p>
                        </w:txbxContent>
                      </v:textbox>
                    </v:shape>
                  </w:pict>
                </mc:Fallback>
              </mc:AlternateContent>
            </w:r>
            <w:r w:rsidR="00D36E51" w:rsidRPr="00933CE7">
              <w:rPr>
                <w:noProof/>
                <w:lang w:val="fr-CH" w:eastAsia="zh-CN"/>
              </w:rPr>
              <w:drawing>
                <wp:inline distT="0" distB="0" distL="0" distR="0">
                  <wp:extent cx="2040873" cy="25285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tc>
        <w:tc>
          <w:tcPr>
            <w:tcW w:w="8748" w:type="dxa"/>
          </w:tcPr>
          <w:p w:rsidR="00A76BE4" w:rsidRPr="00933CE7" w:rsidRDefault="00A04471" w:rsidP="00F077A9">
            <w:pPr>
              <w:rPr>
                <w:lang w:val="fr-CH"/>
              </w:rPr>
            </w:pPr>
            <w:r w:rsidRPr="00933CE7">
              <w:rPr>
                <w:lang w:val="fr-CH"/>
              </w:rPr>
              <w:object w:dxaOrig="8808" w:dyaOrig="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247.1pt" o:ole="">
                  <v:imagedata r:id="rId13" o:title=""/>
                </v:shape>
                <o:OLEObject Type="Embed" ProgID="PowerPoint.Slide.12" ShapeID="_x0000_i1025" DrawAspect="Content" ObjectID="_1615621355" r:id="rId14"/>
              </w:object>
            </w:r>
          </w:p>
        </w:tc>
      </w:tr>
    </w:tbl>
    <w:p w:rsidR="00A76BE4" w:rsidRPr="00933CE7" w:rsidRDefault="00A76BE4" w:rsidP="00F077A9">
      <w:pPr>
        <w:rPr>
          <w:lang w:val="fr-CH"/>
        </w:rPr>
      </w:pPr>
    </w:p>
    <w:p w:rsidR="00930609" w:rsidRPr="00933CE7" w:rsidRDefault="00930609" w:rsidP="00F077A9">
      <w:pPr>
        <w:rPr>
          <w:lang w:val="fr-CH"/>
        </w:rPr>
      </w:pPr>
    </w:p>
    <w:p w:rsidR="00930609" w:rsidRPr="00933CE7" w:rsidRDefault="00930609" w:rsidP="00F077A9">
      <w:pPr>
        <w:rPr>
          <w:lang w:val="fr-CH"/>
        </w:rPr>
        <w:sectPr w:rsidR="00930609" w:rsidRPr="00933CE7" w:rsidSect="00E95D4C">
          <w:headerReference w:type="first" r:id="rId15"/>
          <w:pgSz w:w="16834" w:h="11907" w:orient="landscape"/>
          <w:pgMar w:top="1134" w:right="1418" w:bottom="1134" w:left="1418" w:header="720" w:footer="720" w:gutter="0"/>
          <w:paperSrc w:first="15" w:other="15"/>
          <w:cols w:space="720"/>
          <w:docGrid w:linePitch="326"/>
        </w:sectPr>
      </w:pPr>
    </w:p>
    <w:p w:rsidR="00765C57" w:rsidRPr="00933CE7" w:rsidRDefault="00765C57" w:rsidP="00F077A9">
      <w:pPr>
        <w:pStyle w:val="Heading1"/>
        <w:rPr>
          <w:lang w:val="fr-CH"/>
        </w:rPr>
      </w:pPr>
      <w:r w:rsidRPr="00933CE7">
        <w:rPr>
          <w:lang w:val="fr-CH"/>
        </w:rPr>
        <w:lastRenderedPageBreak/>
        <w:t>2</w:t>
      </w:r>
      <w:r w:rsidRPr="00933CE7">
        <w:rPr>
          <w:lang w:val="fr-CH"/>
        </w:rPr>
        <w:tab/>
        <w:t xml:space="preserve">Priorités essentielles </w:t>
      </w:r>
    </w:p>
    <w:p w:rsidR="00765C57" w:rsidRPr="00933CE7" w:rsidRDefault="00765C57" w:rsidP="00F077A9">
      <w:pPr>
        <w:pStyle w:val="Headingb"/>
        <w:rPr>
          <w:lang w:val="fr-CH"/>
        </w:rPr>
      </w:pPr>
      <w:r w:rsidRPr="00933CE7">
        <w:rPr>
          <w:lang w:val="fr-CH"/>
        </w:rPr>
        <w:t>Secteur de l'UIT-R</w:t>
      </w:r>
    </w:p>
    <w:p w:rsidR="00765C57" w:rsidRPr="00933CE7" w:rsidRDefault="00765C57" w:rsidP="00F077A9">
      <w:pPr>
        <w:pStyle w:val="Headingb"/>
        <w:rPr>
          <w:lang w:val="fr-CH"/>
        </w:rPr>
      </w:pPr>
      <w:r w:rsidRPr="00933CE7">
        <w:rPr>
          <w:lang w:val="fr-CH"/>
        </w:rPr>
        <w:t>Grands axes et priorités essentielles pour le Secteur de l'UIT-R</w:t>
      </w:r>
    </w:p>
    <w:p w:rsidR="00765C57" w:rsidRPr="00933CE7" w:rsidRDefault="00765C57" w:rsidP="00F077A9">
      <w:pPr>
        <w:rPr>
          <w:lang w:val="fr-CH"/>
        </w:rPr>
      </w:pPr>
      <w:r w:rsidRPr="00933CE7">
        <w:rPr>
          <w:lang w:val="fr-CH"/>
        </w:rPr>
        <w:t xml:space="preserve">La période </w:t>
      </w:r>
      <w:r w:rsidR="00930513" w:rsidRPr="00933CE7">
        <w:rPr>
          <w:lang w:val="fr-CH"/>
        </w:rPr>
        <w:t>2020-2023</w:t>
      </w:r>
      <w:r w:rsidR="00AA7F1B" w:rsidRPr="00933CE7">
        <w:rPr>
          <w:lang w:val="fr-CH"/>
        </w:rPr>
        <w:t xml:space="preserve"> sera marquée par </w:t>
      </w:r>
      <w:r w:rsidR="003C1640" w:rsidRPr="00933CE7">
        <w:rPr>
          <w:lang w:val="fr-CH"/>
        </w:rPr>
        <w:t>l'achèvement</w:t>
      </w:r>
      <w:r w:rsidR="00AA7F1B" w:rsidRPr="00933CE7">
        <w:rPr>
          <w:lang w:val="fr-CH"/>
        </w:rPr>
        <w:t xml:space="preserve"> de la</w:t>
      </w:r>
      <w:r w:rsidRPr="00933CE7">
        <w:rPr>
          <w:lang w:val="fr-CH"/>
        </w:rPr>
        <w:t xml:space="preserve"> mise en </w:t>
      </w:r>
      <w:r w:rsidR="00AA436F">
        <w:rPr>
          <w:lang w:val="fr-CH"/>
        </w:rPr>
        <w:t>œ</w:t>
      </w:r>
      <w:r w:rsidRPr="00933CE7">
        <w:rPr>
          <w:lang w:val="fr-CH"/>
        </w:rPr>
        <w:t>uvre des décisions de l'AR-1</w:t>
      </w:r>
      <w:r w:rsidR="00930513" w:rsidRPr="00933CE7">
        <w:rPr>
          <w:lang w:val="fr-CH"/>
        </w:rPr>
        <w:t>9</w:t>
      </w:r>
      <w:r w:rsidRPr="00933CE7">
        <w:rPr>
          <w:lang w:val="fr-CH"/>
        </w:rPr>
        <w:t xml:space="preserve"> et de la CMR</w:t>
      </w:r>
      <w:r w:rsidR="00930513" w:rsidRPr="00933CE7">
        <w:rPr>
          <w:lang w:val="fr-CH"/>
        </w:rPr>
        <w:noBreakHyphen/>
      </w:r>
      <w:r w:rsidRPr="00933CE7">
        <w:rPr>
          <w:lang w:val="fr-CH"/>
        </w:rPr>
        <w:t>1</w:t>
      </w:r>
      <w:r w:rsidR="00930513" w:rsidRPr="00933CE7">
        <w:rPr>
          <w:lang w:val="fr-CH"/>
        </w:rPr>
        <w:t>9</w:t>
      </w:r>
      <w:r w:rsidRPr="00933CE7">
        <w:rPr>
          <w:lang w:val="fr-CH"/>
        </w:rPr>
        <w:t>, la préparation de l'AR-</w:t>
      </w:r>
      <w:r w:rsidR="00930513" w:rsidRPr="00933CE7">
        <w:rPr>
          <w:lang w:val="fr-CH"/>
        </w:rPr>
        <w:t>23</w:t>
      </w:r>
      <w:r w:rsidRPr="00933CE7">
        <w:rPr>
          <w:lang w:val="fr-CH"/>
        </w:rPr>
        <w:t xml:space="preserve"> et de la CMR</w:t>
      </w:r>
      <w:r w:rsidR="00930513" w:rsidRPr="00933CE7">
        <w:rPr>
          <w:lang w:val="fr-CH"/>
        </w:rPr>
        <w:t>-23</w:t>
      </w:r>
      <w:r w:rsidR="00AA7F1B" w:rsidRPr="00933CE7">
        <w:rPr>
          <w:lang w:val="fr-CH"/>
        </w:rPr>
        <w:t xml:space="preserve"> ainsi que la mise en </w:t>
      </w:r>
      <w:r w:rsidR="00AA436F">
        <w:rPr>
          <w:lang w:val="fr-CH"/>
        </w:rPr>
        <w:t>œ</w:t>
      </w:r>
      <w:r w:rsidR="00AA7F1B" w:rsidRPr="00933CE7">
        <w:rPr>
          <w:lang w:val="fr-CH"/>
        </w:rPr>
        <w:t>uvre de leurs décisions</w:t>
      </w:r>
      <w:r w:rsidRPr="00933CE7">
        <w:rPr>
          <w:lang w:val="fr-CH"/>
        </w:rPr>
        <w:t xml:space="preserve"> et l'élaboration de normes et de bonnes pratiques essentielles dans le domaine des radiocommunications. Les questions essentielles sont énumérées </w:t>
      </w:r>
      <w:r w:rsidR="00AA7F1B" w:rsidRPr="00933CE7">
        <w:rPr>
          <w:lang w:val="fr-CH"/>
        </w:rPr>
        <w:t>ci-après</w:t>
      </w:r>
      <w:r w:rsidRPr="00933CE7">
        <w:rPr>
          <w:lang w:val="fr-CH"/>
        </w:rPr>
        <w:t xml:space="preserve"> et réparties entre les quatre activités opér</w:t>
      </w:r>
      <w:r w:rsidR="00AF2A1A">
        <w:rPr>
          <w:lang w:val="fr-CH"/>
        </w:rPr>
        <w:t>ationnelles du Secteur de l'UIT-</w:t>
      </w:r>
      <w:r w:rsidRPr="00933CE7">
        <w:rPr>
          <w:lang w:val="fr-CH"/>
        </w:rPr>
        <w:t>R et les activités d'appui du Bureau des radiocommunications.</w:t>
      </w:r>
    </w:p>
    <w:p w:rsidR="00765C57" w:rsidRPr="00933CE7" w:rsidRDefault="00765C57" w:rsidP="00F077A9">
      <w:pPr>
        <w:pStyle w:val="Heading2"/>
        <w:rPr>
          <w:lang w:val="fr-CH"/>
        </w:rPr>
      </w:pPr>
      <w:r w:rsidRPr="00933CE7">
        <w:rPr>
          <w:lang w:val="fr-CH"/>
        </w:rPr>
        <w:t>2.1</w:t>
      </w:r>
      <w:r w:rsidRPr="00933CE7">
        <w:rPr>
          <w:lang w:val="fr-CH"/>
        </w:rPr>
        <w:tab/>
      </w:r>
      <w:r w:rsidR="00933CE7" w:rsidRPr="00933CE7">
        <w:rPr>
          <w:lang w:val="fr-CH"/>
        </w:rPr>
        <w:t>Élaborer</w:t>
      </w:r>
      <w:r w:rsidRPr="00933CE7">
        <w:rPr>
          <w:lang w:val="fr-CH"/>
        </w:rPr>
        <w:t xml:space="preserve"> une réglementation internationale relative à l'utilisation du spectre des fréquences radioélectriques et des orbites de satellites et la mettre à jour</w:t>
      </w:r>
    </w:p>
    <w:p w:rsidR="00765C57" w:rsidRPr="00933CE7" w:rsidRDefault="00765C57" w:rsidP="00F077A9">
      <w:pPr>
        <w:pStyle w:val="enumlev1"/>
        <w:rPr>
          <w:lang w:val="fr-CH"/>
        </w:rPr>
      </w:pPr>
      <w:r w:rsidRPr="00933CE7">
        <w:rPr>
          <w:lang w:val="fr-CH"/>
        </w:rPr>
        <w:t>•</w:t>
      </w:r>
      <w:r w:rsidRPr="00933CE7">
        <w:rPr>
          <w:lang w:val="fr-CH"/>
        </w:rPr>
        <w:tab/>
        <w:t>Mise en</w:t>
      </w:r>
      <w:r w:rsidR="00930513" w:rsidRPr="00933CE7">
        <w:rPr>
          <w:lang w:val="fr-CH"/>
        </w:rPr>
        <w:t xml:space="preserve"> </w:t>
      </w:r>
      <w:r w:rsidR="00AA436F">
        <w:rPr>
          <w:lang w:val="fr-CH"/>
        </w:rPr>
        <w:t>œ</w:t>
      </w:r>
      <w:r w:rsidR="00930513" w:rsidRPr="00933CE7">
        <w:rPr>
          <w:lang w:val="fr-CH"/>
        </w:rPr>
        <w:t>uvre des décisions de la CMR-</w:t>
      </w:r>
      <w:r w:rsidRPr="00933CE7">
        <w:rPr>
          <w:lang w:val="fr-CH"/>
        </w:rPr>
        <w:t>1</w:t>
      </w:r>
      <w:r w:rsidR="00930513" w:rsidRPr="00933CE7">
        <w:rPr>
          <w:lang w:val="fr-CH"/>
        </w:rPr>
        <w:t>9</w:t>
      </w:r>
      <w:r w:rsidRPr="00933CE7">
        <w:rPr>
          <w:lang w:val="fr-CH"/>
        </w:rPr>
        <w:t xml:space="preserve">. </w:t>
      </w:r>
    </w:p>
    <w:p w:rsidR="00765C57" w:rsidRPr="00933CE7" w:rsidRDefault="00765C57" w:rsidP="00F077A9">
      <w:pPr>
        <w:pStyle w:val="enumlev1"/>
        <w:rPr>
          <w:lang w:val="fr-CH"/>
        </w:rPr>
      </w:pPr>
      <w:r w:rsidRPr="00933CE7">
        <w:rPr>
          <w:lang w:val="fr-CH"/>
        </w:rPr>
        <w:t>•</w:t>
      </w:r>
      <w:r w:rsidRPr="00933CE7">
        <w:rPr>
          <w:lang w:val="fr-CH"/>
        </w:rPr>
        <w:tab/>
        <w:t xml:space="preserve">Adoption par le RRB des Règles de </w:t>
      </w:r>
      <w:proofErr w:type="gramStart"/>
      <w:r w:rsidRPr="00933CE7">
        <w:rPr>
          <w:lang w:val="fr-CH"/>
        </w:rPr>
        <w:t>procédure associées</w:t>
      </w:r>
      <w:proofErr w:type="gramEnd"/>
      <w:r w:rsidRPr="00933CE7">
        <w:rPr>
          <w:lang w:val="fr-CH"/>
        </w:rPr>
        <w:t>.</w:t>
      </w:r>
    </w:p>
    <w:p w:rsidR="00765C57" w:rsidRPr="00933CE7" w:rsidRDefault="00765C57" w:rsidP="00F077A9">
      <w:pPr>
        <w:pStyle w:val="Heading2"/>
        <w:rPr>
          <w:lang w:val="fr-CH"/>
        </w:rPr>
      </w:pPr>
      <w:r w:rsidRPr="00933CE7">
        <w:rPr>
          <w:lang w:val="fr-CH"/>
        </w:rPr>
        <w:t>2.2</w:t>
      </w:r>
      <w:r w:rsidRPr="00933CE7">
        <w:rPr>
          <w:lang w:val="fr-CH"/>
        </w:rPr>
        <w:tab/>
        <w:t xml:space="preserve">Mettre en </w:t>
      </w:r>
      <w:r w:rsidR="00AA436F">
        <w:rPr>
          <w:lang w:val="fr-CH"/>
        </w:rPr>
        <w:t>œ</w:t>
      </w:r>
      <w:r w:rsidRPr="00933CE7">
        <w:rPr>
          <w:lang w:val="fr-CH"/>
        </w:rPr>
        <w:t>uvre et appliquer la réglementation internationale relative à l'utilisation du spectre des fréquences radioélectriques et des orbites de satellites</w:t>
      </w:r>
    </w:p>
    <w:p w:rsidR="00765C57" w:rsidRPr="00933CE7" w:rsidRDefault="00765C57" w:rsidP="00F077A9">
      <w:pPr>
        <w:pStyle w:val="enumlev1"/>
        <w:rPr>
          <w:lang w:val="fr-CH"/>
        </w:rPr>
      </w:pPr>
      <w:r w:rsidRPr="00933CE7">
        <w:rPr>
          <w:lang w:val="fr-CH"/>
        </w:rPr>
        <w:t>•</w:t>
      </w:r>
      <w:r w:rsidRPr="00933CE7">
        <w:rPr>
          <w:lang w:val="fr-CH"/>
        </w:rPr>
        <w:tab/>
        <w:t>Mise au point et fourniture aux membres des outils logiciels relatifs à l'application du Règlement des radiocommunications et des Règles de procédure associées.</w:t>
      </w:r>
    </w:p>
    <w:p w:rsidR="00765C57" w:rsidRPr="00933CE7" w:rsidRDefault="00765C57" w:rsidP="00F077A9">
      <w:pPr>
        <w:pStyle w:val="enumlev1"/>
        <w:rPr>
          <w:lang w:val="fr-CH"/>
        </w:rPr>
      </w:pPr>
      <w:r w:rsidRPr="00933CE7">
        <w:rPr>
          <w:lang w:val="fr-CH"/>
        </w:rPr>
        <w:t>•</w:t>
      </w:r>
      <w:r w:rsidRPr="00933CE7">
        <w:rPr>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d'assignations et/ou d'allotissements.</w:t>
      </w:r>
    </w:p>
    <w:p w:rsidR="00765C57" w:rsidRPr="00933CE7" w:rsidRDefault="00765C57" w:rsidP="00F077A9">
      <w:pPr>
        <w:pStyle w:val="enumlev1"/>
        <w:rPr>
          <w:lang w:val="fr-CH"/>
        </w:rPr>
      </w:pPr>
      <w:r w:rsidRPr="00933CE7">
        <w:rPr>
          <w:lang w:val="fr-CH"/>
        </w:rPr>
        <w:t>•</w:t>
      </w:r>
      <w:r w:rsidRPr="00933CE7">
        <w:rPr>
          <w:lang w:val="fr-CH"/>
        </w:rPr>
        <w:tab/>
        <w:t xml:space="preserve">Suivi des cas de brouillage préjudiciable et, plus généralement, des </w:t>
      </w:r>
      <w:r w:rsidR="00F077A9" w:rsidRPr="00933CE7">
        <w:rPr>
          <w:lang w:val="fr-CH"/>
        </w:rPr>
        <w:t>différends</w:t>
      </w:r>
      <w:r w:rsidRPr="00933CE7">
        <w:rPr>
          <w:lang w:val="fr-CH"/>
        </w:rPr>
        <w:t xml:space="preserve"> concernant le partage de</w:t>
      </w:r>
      <w:r w:rsidR="00F077A9" w:rsidRPr="00933CE7">
        <w:rPr>
          <w:lang w:val="fr-CH"/>
        </w:rPr>
        <w:t xml:space="preserve">s ressources du spectre et des </w:t>
      </w:r>
      <w:r w:rsidRPr="00933CE7">
        <w:rPr>
          <w:lang w:val="fr-CH"/>
        </w:rPr>
        <w:t>orbites et règlement de ces cas.</w:t>
      </w:r>
    </w:p>
    <w:p w:rsidR="00765C57" w:rsidRPr="00933CE7" w:rsidRDefault="00765C57" w:rsidP="00F077A9">
      <w:pPr>
        <w:pStyle w:val="enumlev1"/>
        <w:rPr>
          <w:lang w:val="fr-CH"/>
        </w:rPr>
      </w:pPr>
      <w:r w:rsidRPr="00933CE7">
        <w:rPr>
          <w:lang w:val="fr-CH"/>
        </w:rPr>
        <w:t>•</w:t>
      </w:r>
      <w:r w:rsidRPr="00933CE7">
        <w:rPr>
          <w:lang w:val="fr-CH"/>
        </w:rPr>
        <w:tab/>
        <w:t>Publications associées (BR IFIC, publications relatives au service maritime, Nomenclature des stations de contrôle international des émissions).</w:t>
      </w:r>
    </w:p>
    <w:p w:rsidR="00765C57" w:rsidRPr="00933CE7" w:rsidRDefault="00765C57" w:rsidP="00F077A9">
      <w:pPr>
        <w:pStyle w:val="Heading2"/>
        <w:rPr>
          <w:lang w:val="fr-CH"/>
        </w:rPr>
      </w:pPr>
      <w:r w:rsidRPr="00933CE7">
        <w:rPr>
          <w:lang w:val="fr-CH"/>
        </w:rPr>
        <w:t>2.3</w:t>
      </w:r>
      <w:r w:rsidRPr="00933CE7">
        <w:rPr>
          <w:lang w:val="fr-CH"/>
        </w:rPr>
        <w:tab/>
      </w:r>
      <w:r w:rsidR="00933CE7" w:rsidRPr="00933CE7">
        <w:rPr>
          <w:lang w:val="fr-CH"/>
        </w:rPr>
        <w:t>Établir</w:t>
      </w:r>
      <w:r w:rsidRPr="00933CE7">
        <w:rPr>
          <w:lang w:val="fr-CH"/>
        </w:rPr>
        <w:t xml:space="preserve"> des Recommandations, des rapports et des manuels de portée mondiale afin d'optimiser l'utilisation du spectre des fréquences radioélectriques et des orbites de satellites et les mettre à jour</w:t>
      </w:r>
    </w:p>
    <w:p w:rsidR="00765C57" w:rsidRPr="00933CE7" w:rsidRDefault="00765C57" w:rsidP="00AF2A1A">
      <w:pPr>
        <w:pStyle w:val="enumlev1"/>
        <w:rPr>
          <w:lang w:val="fr-CH"/>
        </w:rPr>
      </w:pPr>
      <w:r w:rsidRPr="00933CE7">
        <w:rPr>
          <w:lang w:val="fr-CH"/>
        </w:rPr>
        <w:t>•</w:t>
      </w:r>
      <w:r w:rsidRPr="00933CE7">
        <w:rPr>
          <w:lang w:val="fr-CH"/>
        </w:rPr>
        <w:tab/>
        <w:t>Préparation de l'AR-</w:t>
      </w:r>
      <w:r w:rsidR="00930513" w:rsidRPr="00933CE7">
        <w:rPr>
          <w:lang w:val="fr-CH"/>
        </w:rPr>
        <w:t>23</w:t>
      </w:r>
      <w:r w:rsidRPr="00933CE7">
        <w:rPr>
          <w:lang w:val="fr-CH"/>
        </w:rPr>
        <w:t xml:space="preserve"> et de la CMR-</w:t>
      </w:r>
      <w:r w:rsidR="00930513" w:rsidRPr="00933CE7">
        <w:rPr>
          <w:lang w:val="fr-CH"/>
        </w:rPr>
        <w:t>23</w:t>
      </w:r>
      <w:r w:rsidRPr="00933CE7">
        <w:rPr>
          <w:lang w:val="fr-CH"/>
        </w:rPr>
        <w:t xml:space="preserve"> dans le cadre des </w:t>
      </w:r>
      <w:r w:rsidR="00AF2A1A" w:rsidRPr="00933CE7">
        <w:rPr>
          <w:lang w:val="fr-CH"/>
        </w:rPr>
        <w:t>C</w:t>
      </w:r>
      <w:r w:rsidRPr="00933CE7">
        <w:rPr>
          <w:lang w:val="fr-CH"/>
        </w:rPr>
        <w:t>ommissions d'études de l'UIT</w:t>
      </w:r>
      <w:r w:rsidR="00AF2A1A">
        <w:rPr>
          <w:lang w:val="fr-CH"/>
        </w:rPr>
        <w:noBreakHyphen/>
      </w:r>
      <w:r w:rsidRPr="00933CE7">
        <w:rPr>
          <w:lang w:val="fr-CH"/>
        </w:rPr>
        <w:t>R et en étroite collaboration avec les groupes régionaux, y compris l'élaboration de projets de textes techniques, réglementaires et de procédure pour appuyer les a</w:t>
      </w:r>
      <w:r w:rsidR="00930513" w:rsidRPr="00933CE7">
        <w:rPr>
          <w:lang w:val="fr-CH"/>
        </w:rPr>
        <w:t>ctiv</w:t>
      </w:r>
      <w:r w:rsidR="00D23BF4">
        <w:rPr>
          <w:lang w:val="fr-CH"/>
        </w:rPr>
        <w:t>ités de la </w:t>
      </w:r>
      <w:r w:rsidR="00930513" w:rsidRPr="00933CE7">
        <w:rPr>
          <w:lang w:val="fr-CH"/>
        </w:rPr>
        <w:t>RPC23-</w:t>
      </w:r>
      <w:r w:rsidRPr="00933CE7">
        <w:rPr>
          <w:lang w:val="fr-CH"/>
        </w:rPr>
        <w:t>2.</w:t>
      </w:r>
    </w:p>
    <w:p w:rsidR="00765C57" w:rsidRPr="00933CE7" w:rsidRDefault="00765C57" w:rsidP="00F077A9">
      <w:pPr>
        <w:pStyle w:val="enumlev1"/>
        <w:rPr>
          <w:lang w:val="fr-CH"/>
        </w:rPr>
      </w:pPr>
      <w:r w:rsidRPr="00933CE7">
        <w:rPr>
          <w:lang w:val="fr-CH"/>
        </w:rPr>
        <w:t>•</w:t>
      </w:r>
      <w:r w:rsidRPr="00933CE7">
        <w:rPr>
          <w:lang w:val="fr-CH"/>
        </w:rPr>
        <w:tab/>
      </w:r>
      <w:r w:rsidR="00933CE7" w:rsidRPr="00933CE7">
        <w:rPr>
          <w:lang w:val="fr-CH"/>
        </w:rPr>
        <w:t>Élaboration</w:t>
      </w:r>
      <w:r w:rsidRPr="00933CE7">
        <w:rPr>
          <w:lang w:val="fr-CH"/>
        </w:rPr>
        <w:t xml:space="preserve"> de Recommandations, de rapports et de manuels essentiels, en particulier sur l'interface radioélectrique des IMT-2020, en</w:t>
      </w:r>
      <w:r w:rsidR="00AF2A1A">
        <w:rPr>
          <w:lang w:val="fr-CH"/>
        </w:rPr>
        <w:t xml:space="preserve"> étroite coopération avec l'UIT-</w:t>
      </w:r>
      <w:r w:rsidRPr="00933CE7">
        <w:rPr>
          <w:lang w:val="fr-CH"/>
        </w:rPr>
        <w:t>T, les organisations régionales et d'autres organismes de normalisation.</w:t>
      </w:r>
    </w:p>
    <w:p w:rsidR="00765C57" w:rsidRPr="00933CE7" w:rsidRDefault="00765C57" w:rsidP="00F077A9">
      <w:pPr>
        <w:pStyle w:val="Heading2"/>
        <w:rPr>
          <w:lang w:val="fr-CH"/>
        </w:rPr>
      </w:pPr>
      <w:r w:rsidRPr="00933CE7">
        <w:rPr>
          <w:lang w:val="fr-CH"/>
        </w:rPr>
        <w:t>2.</w:t>
      </w:r>
      <w:r w:rsidR="00AF2A1A">
        <w:rPr>
          <w:lang w:val="fr-CH"/>
        </w:rPr>
        <w:t>4</w:t>
      </w:r>
      <w:r w:rsidR="00AF2A1A">
        <w:rPr>
          <w:lang w:val="fr-CH"/>
        </w:rPr>
        <w:tab/>
        <w:t>Informer les Membres de l'UIT-</w:t>
      </w:r>
      <w:r w:rsidRPr="00933CE7">
        <w:rPr>
          <w:lang w:val="fr-CH"/>
        </w:rPr>
        <w:t>R sur les questions de radiocommunication et leur apporter une assistance à cet égard</w:t>
      </w:r>
    </w:p>
    <w:p w:rsidR="00765C57" w:rsidRPr="00933CE7" w:rsidRDefault="00765C57" w:rsidP="00F077A9">
      <w:pPr>
        <w:pStyle w:val="enumlev1"/>
        <w:rPr>
          <w:lang w:val="fr-CH"/>
        </w:rPr>
      </w:pPr>
      <w:r w:rsidRPr="00933CE7">
        <w:rPr>
          <w:lang w:val="fr-CH"/>
        </w:rPr>
        <w:t>•</w:t>
      </w:r>
      <w:r w:rsidRPr="00933CE7">
        <w:rPr>
          <w:lang w:val="fr-CH"/>
        </w:rPr>
        <w:tab/>
        <w:t xml:space="preserve">Publication et </w:t>
      </w:r>
      <w:r w:rsidR="00AF2A1A">
        <w:rPr>
          <w:lang w:val="fr-CH"/>
        </w:rPr>
        <w:t>promotion des produits de l'UIT-</w:t>
      </w:r>
      <w:r w:rsidRPr="00933CE7">
        <w:rPr>
          <w:lang w:val="fr-CH"/>
        </w:rPr>
        <w:t>R (par exemple: Règlement des radiocommunications, Recommandations, rapports et manuels).</w:t>
      </w:r>
    </w:p>
    <w:p w:rsidR="00D23BF4" w:rsidRDefault="00D23BF4" w:rsidP="00F077A9">
      <w:pPr>
        <w:pStyle w:val="enumlev1"/>
        <w:rPr>
          <w:lang w:val="fr-CH"/>
        </w:rPr>
      </w:pPr>
      <w:r>
        <w:rPr>
          <w:lang w:val="fr-CH"/>
        </w:rPr>
        <w:br w:type="page"/>
      </w:r>
    </w:p>
    <w:p w:rsidR="00765C57" w:rsidRPr="00933CE7" w:rsidRDefault="00765C57" w:rsidP="00F077A9">
      <w:pPr>
        <w:pStyle w:val="enumlev1"/>
        <w:rPr>
          <w:lang w:val="fr-CH"/>
        </w:rPr>
      </w:pPr>
      <w:r w:rsidRPr="00933CE7">
        <w:rPr>
          <w:lang w:val="fr-CH"/>
        </w:rPr>
        <w:lastRenderedPageBreak/>
        <w:t>•</w:t>
      </w:r>
      <w:r w:rsidRPr="00933CE7">
        <w:rPr>
          <w:lang w:val="fr-CH"/>
        </w:rPr>
        <w:tab/>
        <w:t>En étroite coopération avec les autres Secteurs, les bureaux régionaux de l'UIT, les organisations régionales concernées et les membres:</w:t>
      </w:r>
    </w:p>
    <w:p w:rsidR="00765C57" w:rsidRPr="00933CE7" w:rsidRDefault="00765C57" w:rsidP="00F077A9">
      <w:pPr>
        <w:pStyle w:val="enumlev2"/>
        <w:rPr>
          <w:lang w:val="fr-CH"/>
        </w:rPr>
      </w:pPr>
      <w:r w:rsidRPr="00933CE7">
        <w:rPr>
          <w:lang w:val="fr-CH"/>
        </w:rPr>
        <w:t>–</w:t>
      </w:r>
      <w:r w:rsidRPr="00933CE7">
        <w:rPr>
          <w:lang w:val="fr-CH"/>
        </w:rPr>
        <w:tab/>
        <w:t>Diffusion et partage d'informations, notamment dans le cadre de séminaires, de conférences, d'ateliers et d'autres manifestations de portée mondiale ou régionale dans le domaine des radiocommunications.</w:t>
      </w:r>
    </w:p>
    <w:p w:rsidR="00765C57" w:rsidRPr="00933CE7" w:rsidRDefault="00765C57" w:rsidP="00F077A9">
      <w:pPr>
        <w:pStyle w:val="enumlev2"/>
        <w:rPr>
          <w:lang w:val="fr-CH"/>
        </w:rPr>
      </w:pPr>
      <w:r w:rsidRPr="00933CE7">
        <w:rPr>
          <w:lang w:val="fr-CH"/>
        </w:rPr>
        <w:t>–</w:t>
      </w:r>
      <w:r w:rsidRPr="00933CE7">
        <w:rPr>
          <w:lang w:val="fr-CH"/>
        </w:rPr>
        <w:tab/>
        <w:t xml:space="preserve">Assistance aux membres pour ce qui est de faire face aux difficultés liées au développement de leurs services de radiocommunication, notamment en ce qui concerne le passage à la radiodiffusion télévisuelle numérique et </w:t>
      </w:r>
      <w:r w:rsidR="00AA7F1B" w:rsidRPr="00933CE7">
        <w:rPr>
          <w:lang w:val="fr-CH"/>
        </w:rPr>
        <w:t>l'utilisation</w:t>
      </w:r>
      <w:r w:rsidRPr="00933CE7">
        <w:rPr>
          <w:lang w:val="fr-CH"/>
        </w:rPr>
        <w:t xml:space="preserve"> du dividende numérique.</w:t>
      </w:r>
    </w:p>
    <w:p w:rsidR="00765C57" w:rsidRPr="00933CE7" w:rsidRDefault="00765C57" w:rsidP="00F077A9">
      <w:pPr>
        <w:pStyle w:val="Heading2"/>
        <w:rPr>
          <w:lang w:val="fr-CH"/>
        </w:rPr>
      </w:pPr>
      <w:r w:rsidRPr="00933CE7">
        <w:rPr>
          <w:lang w:val="fr-CH"/>
        </w:rPr>
        <w:t>2.5</w:t>
      </w:r>
      <w:r w:rsidRPr="00933CE7">
        <w:rPr>
          <w:lang w:val="fr-CH"/>
        </w:rPr>
        <w:tab/>
        <w:t>Activités d'appui du Bureau des radiocommunications</w:t>
      </w:r>
    </w:p>
    <w:p w:rsidR="00765C57" w:rsidRPr="00933CE7" w:rsidRDefault="00765C57" w:rsidP="00F077A9">
      <w:pPr>
        <w:pStyle w:val="enumlev1"/>
        <w:rPr>
          <w:lang w:val="fr-CH"/>
        </w:rPr>
      </w:pPr>
      <w:r w:rsidRPr="00933CE7">
        <w:rPr>
          <w:lang w:val="fr-CH"/>
        </w:rPr>
        <w:t>•</w:t>
      </w:r>
      <w:r w:rsidRPr="00933CE7">
        <w:rPr>
          <w:lang w:val="fr-CH"/>
        </w:rPr>
        <w:tab/>
        <w:t>Développement, amélioration et tenue à jour en permanence des outils logiciels du BR, en vue de préserver un haut niveau d'efficacité, de fiabilité, de facilité d'utilisation et de satisfaction des membres.</w:t>
      </w:r>
    </w:p>
    <w:p w:rsidR="00765C57" w:rsidRPr="00933CE7" w:rsidRDefault="00765C57" w:rsidP="00F077A9">
      <w:pPr>
        <w:pStyle w:val="enumlev1"/>
        <w:rPr>
          <w:lang w:val="fr-CH"/>
        </w:rPr>
      </w:pPr>
      <w:r w:rsidRPr="00933CE7">
        <w:rPr>
          <w:lang w:val="fr-CH"/>
        </w:rPr>
        <w:t>•</w:t>
      </w:r>
      <w:r w:rsidRPr="00933CE7">
        <w:rPr>
          <w:lang w:val="fr-CH"/>
        </w:rPr>
        <w:tab/>
        <w:t>Appui logistique et administratif aux commissions d'études de l'UIT-R et participation aux activités connexes des groupes régionaux.</w:t>
      </w:r>
    </w:p>
    <w:p w:rsidR="00930609" w:rsidRPr="00933CE7" w:rsidRDefault="00765C57" w:rsidP="00F077A9">
      <w:pPr>
        <w:pStyle w:val="enumlev1"/>
        <w:rPr>
          <w:lang w:val="fr-CH"/>
        </w:rPr>
      </w:pPr>
      <w:r w:rsidRPr="00933CE7">
        <w:rPr>
          <w:lang w:val="fr-CH"/>
        </w:rPr>
        <w:t>•</w:t>
      </w:r>
      <w:r w:rsidRPr="00933CE7">
        <w:rPr>
          <w:lang w:val="fr-CH"/>
        </w:rPr>
        <w:tab/>
        <w:t>Assistance aux membres, en étroite collaboration avec les autres Bureaux, les bureaux régionaux de l'UIT et les organisations régionales.</w:t>
      </w:r>
    </w:p>
    <w:p w:rsidR="001253A4" w:rsidRPr="00933CE7" w:rsidRDefault="001253A4" w:rsidP="00F077A9">
      <w:pPr>
        <w:pStyle w:val="enumlev1"/>
        <w:rPr>
          <w:lang w:val="fr-CH"/>
        </w:rPr>
      </w:pPr>
    </w:p>
    <w:p w:rsidR="00700309" w:rsidRPr="00933CE7" w:rsidRDefault="00700309" w:rsidP="00F077A9">
      <w:pPr>
        <w:rPr>
          <w:lang w:val="fr-CH"/>
        </w:rPr>
        <w:sectPr w:rsidR="00700309" w:rsidRPr="00933CE7" w:rsidSect="00E95D4C">
          <w:headerReference w:type="first" r:id="rId16"/>
          <w:pgSz w:w="11907" w:h="16834"/>
          <w:pgMar w:top="1418" w:right="1134" w:bottom="1418" w:left="1134" w:header="720" w:footer="720" w:gutter="0"/>
          <w:paperSrc w:first="15" w:other="15"/>
          <w:cols w:space="720"/>
          <w:docGrid w:linePitch="326"/>
        </w:sectPr>
      </w:pPr>
    </w:p>
    <w:p w:rsidR="00930609" w:rsidRPr="00933CE7" w:rsidRDefault="00700309" w:rsidP="00F077A9">
      <w:pPr>
        <w:pStyle w:val="Heading1"/>
        <w:spacing w:before="120"/>
        <w:rPr>
          <w:lang w:val="fr-CH"/>
        </w:rPr>
      </w:pPr>
      <w:r w:rsidRPr="00933CE7">
        <w:rPr>
          <w:lang w:val="fr-CH"/>
        </w:rPr>
        <w:lastRenderedPageBreak/>
        <w:t>3</w:t>
      </w:r>
      <w:r w:rsidRPr="00933CE7">
        <w:rPr>
          <w:lang w:val="fr-CH"/>
        </w:rPr>
        <w:tab/>
        <w:t xml:space="preserve">Objectifs, résultats et produits </w:t>
      </w:r>
    </w:p>
    <w:p w:rsidR="00930513" w:rsidRPr="00933CE7" w:rsidRDefault="00700309" w:rsidP="00F077A9">
      <w:pPr>
        <w:pStyle w:val="Heading2"/>
        <w:rPr>
          <w:lang w:val="fr-CH"/>
        </w:rPr>
      </w:pPr>
      <w:r w:rsidRPr="00933CE7">
        <w:rPr>
          <w:lang w:val="fr-CH"/>
        </w:rPr>
        <w:t>3.1</w:t>
      </w:r>
      <w:r w:rsidRPr="00933CE7">
        <w:rPr>
          <w:lang w:val="fr-CH"/>
        </w:rPr>
        <w:tab/>
        <w:t>Ventilation des ressources entre les objectifs et les produits de l'UIT</w:t>
      </w:r>
      <w:r w:rsidR="00AA7F1B" w:rsidRPr="00933CE7">
        <w:rPr>
          <w:lang w:val="fr-CH"/>
        </w:rPr>
        <w:t>-</w:t>
      </w:r>
      <w:r w:rsidRPr="00933CE7">
        <w:rPr>
          <w:lang w:val="fr-CH"/>
        </w:rPr>
        <w:t xml:space="preserve">R pour la période </w:t>
      </w:r>
      <w:r w:rsidR="00AA7F1B" w:rsidRPr="00933CE7">
        <w:rPr>
          <w:lang w:val="fr-CH"/>
        </w:rPr>
        <w:t>2020-</w:t>
      </w:r>
      <w:r w:rsidR="00AF2A1A">
        <w:rPr>
          <w:lang w:val="fr-CH"/>
        </w:rPr>
        <w:t>20</w:t>
      </w:r>
      <w:r w:rsidRPr="00933CE7">
        <w:rPr>
          <w:lang w:val="fr-CH"/>
        </w:rPr>
        <w:t>21</w:t>
      </w: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DF14DE" w:rsidRPr="00933CE7" w:rsidTr="00D970D4">
        <w:tc>
          <w:tcPr>
            <w:tcW w:w="7230" w:type="dxa"/>
            <w:vMerge w:val="restart"/>
          </w:tcPr>
          <w:p w:rsidR="00DF14DE" w:rsidRPr="00933CE7" w:rsidRDefault="00DF14DE" w:rsidP="00F077A9">
            <w:pPr>
              <w:tabs>
                <w:tab w:val="clear" w:pos="794"/>
                <w:tab w:val="clear" w:pos="1191"/>
                <w:tab w:val="clear" w:pos="1588"/>
                <w:tab w:val="clear" w:pos="1985"/>
              </w:tabs>
              <w:spacing w:before="60" w:after="60"/>
              <w:rPr>
                <w:rFonts w:ascii="Calibri" w:eastAsiaTheme="minorHAnsi" w:hAnsi="Calibri" w:cstheme="minorBidi"/>
                <w:color w:val="4F81BD" w:themeColor="accent1"/>
                <w:sz w:val="22"/>
                <w:szCs w:val="22"/>
                <w:lang w:val="fr-CH" w:eastAsia="zh-CN"/>
              </w:rPr>
            </w:pPr>
            <w:r w:rsidRPr="00933CE7">
              <w:rPr>
                <w:rFonts w:ascii="Calibri" w:eastAsiaTheme="minorHAnsi" w:hAnsi="Calibri" w:cstheme="minorBidi"/>
                <w:noProof/>
                <w:color w:val="4F81BD" w:themeColor="accent1"/>
                <w:sz w:val="22"/>
                <w:szCs w:val="22"/>
                <w:lang w:val="fr-CH" w:eastAsia="zh-CN"/>
              </w:rPr>
              <mc:AlternateContent>
                <mc:Choice Requires="wps">
                  <w:drawing>
                    <wp:anchor distT="45720" distB="45720" distL="114300" distR="114300" simplePos="0" relativeHeight="251663360" behindDoc="0" locked="0" layoutInCell="1" allowOverlap="1" wp14:anchorId="1AA79F1C" wp14:editId="2B8FAC05">
                      <wp:simplePos x="0" y="0"/>
                      <wp:positionH relativeFrom="column">
                        <wp:posOffset>3525409</wp:posOffset>
                      </wp:positionH>
                      <wp:positionV relativeFrom="paragraph">
                        <wp:posOffset>1388856</wp:posOffset>
                      </wp:positionV>
                      <wp:extent cx="621706" cy="142605"/>
                      <wp:effectExtent l="0" t="0" r="6985"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06" cy="142605"/>
                              </a:xfrm>
                              <a:prstGeom prst="rect">
                                <a:avLst/>
                              </a:prstGeom>
                              <a:solidFill>
                                <a:srgbClr val="E2E2E2"/>
                              </a:solidFill>
                              <a:ln w="9525">
                                <a:noFill/>
                                <a:miter lim="800000"/>
                                <a:headEnd/>
                                <a:tailEnd/>
                              </a:ln>
                            </wps:spPr>
                            <wps:txbx>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w:t>
                                  </w:r>
                                  <w:r>
                                    <w:rPr>
                                      <w:rFonts w:asciiTheme="minorHAnsi" w:hAnsiTheme="minorHAnsi" w:cstheme="minorHAnsi"/>
                                      <w:sz w:val="18"/>
                                      <w:szCs w:val="18"/>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79F1C" id="_x0000_s1028" type="#_x0000_t202" style="position:absolute;margin-left:277.6pt;margin-top:109.35pt;width:48.95pt;height: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" fillcolor="#e2e2e2" stroked="f">
                      <v:textbox inset="0,0,0,0">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w:t>
                            </w:r>
                            <w:r>
                              <w:rPr>
                                <w:rFonts w:asciiTheme="minorHAnsi" w:hAnsiTheme="minorHAnsi" w:cstheme="minorHAnsi"/>
                                <w:sz w:val="18"/>
                                <w:szCs w:val="18"/>
                              </w:rPr>
                              <w:t>3</w:t>
                            </w:r>
                          </w:p>
                        </w:txbxContent>
                      </v:textbox>
                    </v:shape>
                  </w:pict>
                </mc:Fallback>
              </mc:AlternateContent>
            </w:r>
            <w:r w:rsidRPr="00933CE7">
              <w:rPr>
                <w:rFonts w:ascii="Calibri" w:eastAsiaTheme="minorHAnsi" w:hAnsi="Calibri" w:cstheme="minorBidi"/>
                <w:noProof/>
                <w:color w:val="4F81BD" w:themeColor="accent1"/>
                <w:sz w:val="22"/>
                <w:szCs w:val="22"/>
                <w:lang w:val="fr-CH" w:eastAsia="zh-CN"/>
              </w:rPr>
              <mc:AlternateContent>
                <mc:Choice Requires="wps">
                  <w:drawing>
                    <wp:anchor distT="45720" distB="45720" distL="114300" distR="114300" simplePos="0" relativeHeight="251661312" behindDoc="0" locked="0" layoutInCell="1" allowOverlap="1" wp14:anchorId="1AA79F1C" wp14:editId="2B8FAC05">
                      <wp:simplePos x="0" y="0"/>
                      <wp:positionH relativeFrom="column">
                        <wp:posOffset>3541312</wp:posOffset>
                      </wp:positionH>
                      <wp:positionV relativeFrom="paragraph">
                        <wp:posOffset>1182121</wp:posOffset>
                      </wp:positionV>
                      <wp:extent cx="621706" cy="142605"/>
                      <wp:effectExtent l="0" t="0" r="698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06" cy="142605"/>
                              </a:xfrm>
                              <a:prstGeom prst="rect">
                                <a:avLst/>
                              </a:prstGeom>
                              <a:solidFill>
                                <a:srgbClr val="E2E2E2"/>
                              </a:solidFill>
                              <a:ln w="9525">
                                <a:noFill/>
                                <a:miter lim="800000"/>
                                <a:headEnd/>
                                <a:tailEnd/>
                              </a:ln>
                            </wps:spPr>
                            <wps:txbx>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w:t>
                                  </w:r>
                                  <w:r>
                                    <w:rPr>
                                      <w:rFonts w:asciiTheme="minorHAnsi" w:hAnsiTheme="minorHAnsi" w:cstheme="minorHAnsi"/>
                                      <w:sz w:val="18"/>
                                      <w:szCs w:val="18"/>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79F1C" id="_x0000_s1029" type="#_x0000_t202" style="position:absolute;margin-left:278.85pt;margin-top:93.1pt;width:48.95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" fillcolor="#e2e2e2" stroked="f">
                      <v:textbox inset="0,0,0,0">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w:t>
                            </w:r>
                            <w:r>
                              <w:rPr>
                                <w:rFonts w:asciiTheme="minorHAnsi" w:hAnsiTheme="minorHAnsi" w:cstheme="minorHAnsi"/>
                                <w:sz w:val="18"/>
                                <w:szCs w:val="18"/>
                              </w:rPr>
                              <w:t>2</w:t>
                            </w:r>
                          </w:p>
                        </w:txbxContent>
                      </v:textbox>
                    </v:shape>
                  </w:pict>
                </mc:Fallback>
              </mc:AlternateContent>
            </w:r>
            <w:r w:rsidRPr="00933CE7">
              <w:rPr>
                <w:rFonts w:ascii="Calibri" w:eastAsiaTheme="minorHAnsi" w:hAnsi="Calibri" w:cstheme="minorBidi"/>
                <w:noProof/>
                <w:color w:val="4F81BD" w:themeColor="accent1"/>
                <w:sz w:val="22"/>
                <w:szCs w:val="22"/>
                <w:lang w:val="fr-CH" w:eastAsia="zh-CN"/>
              </w:rPr>
              <mc:AlternateContent>
                <mc:Choice Requires="wps">
                  <w:drawing>
                    <wp:anchor distT="45720" distB="45720" distL="114300" distR="114300" simplePos="0" relativeHeight="251659264" behindDoc="0" locked="0" layoutInCell="1" allowOverlap="1">
                      <wp:simplePos x="0" y="0"/>
                      <wp:positionH relativeFrom="column">
                        <wp:posOffset>3530573</wp:posOffset>
                      </wp:positionH>
                      <wp:positionV relativeFrom="paragraph">
                        <wp:posOffset>963295</wp:posOffset>
                      </wp:positionV>
                      <wp:extent cx="621706" cy="142605"/>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06" cy="142605"/>
                              </a:xfrm>
                              <a:prstGeom prst="rect">
                                <a:avLst/>
                              </a:prstGeom>
                              <a:solidFill>
                                <a:srgbClr val="E2E2E2"/>
                              </a:solidFill>
                              <a:ln w="9525">
                                <a:noFill/>
                                <a:miter lim="800000"/>
                                <a:headEnd/>
                                <a:tailEnd/>
                              </a:ln>
                            </wps:spPr>
                            <wps:txbx>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8pt;margin-top:75.85pt;width:48.9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" fillcolor="#e2e2e2" stroked="f">
                      <v:textbox inset="0,0,0,0">
                        <w:txbxContent>
                          <w:p w:rsidR="00D23BF4" w:rsidRPr="00DF14DE" w:rsidRDefault="00D23BF4" w:rsidP="00DF14DE">
                            <w:pPr>
                              <w:spacing w:before="0"/>
                              <w:rPr>
                                <w:rFonts w:asciiTheme="minorHAnsi" w:hAnsiTheme="minorHAnsi" w:cstheme="minorHAnsi"/>
                                <w:sz w:val="16"/>
                                <w:szCs w:val="16"/>
                                <w:lang w:val="en-GB"/>
                              </w:rPr>
                            </w:pPr>
                            <w:r w:rsidRPr="00DF14DE">
                              <w:rPr>
                                <w:rFonts w:asciiTheme="minorHAnsi" w:hAnsiTheme="minorHAnsi" w:cstheme="minorHAnsi"/>
                                <w:sz w:val="18"/>
                                <w:szCs w:val="18"/>
                              </w:rPr>
                              <w:t>Objectif R.1</w:t>
                            </w:r>
                          </w:p>
                        </w:txbxContent>
                      </v:textbox>
                    </v:shape>
                  </w:pict>
                </mc:Fallback>
              </mc:AlternateContent>
            </w:r>
            <w:r w:rsidRPr="00933CE7">
              <w:rPr>
                <w:rFonts w:asciiTheme="majorBidi" w:hAnsiTheme="majorBidi" w:cstheme="majorBidi"/>
                <w:noProof/>
                <w:sz w:val="22"/>
                <w:lang w:val="fr-CH" w:eastAsia="zh-CN"/>
              </w:rPr>
              <w:drawing>
                <wp:inline distT="0" distB="0" distL="0" distR="0" wp14:anchorId="05B410F2" wp14:editId="67FACC2F">
                  <wp:extent cx="4276725" cy="2419350"/>
                  <wp:effectExtent l="0" t="0" r="9525"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272" w:type="dxa"/>
            <w:gridSpan w:val="3"/>
            <w:tcBorders>
              <w:bottom w:val="single" w:sz="4" w:space="0" w:color="auto"/>
            </w:tcBorders>
          </w:tcPr>
          <w:p w:rsidR="00DF14DE" w:rsidRPr="00933CE7" w:rsidRDefault="00DF14DE" w:rsidP="00F077A9">
            <w:pPr>
              <w:tabs>
                <w:tab w:val="clear" w:pos="794"/>
                <w:tab w:val="clear" w:pos="1191"/>
                <w:tab w:val="clear" w:pos="1588"/>
                <w:tab w:val="clear" w:pos="1985"/>
              </w:tabs>
              <w:spacing w:after="120"/>
              <w:rPr>
                <w:rFonts w:ascii="Calibri" w:eastAsiaTheme="minorHAnsi" w:hAnsi="Calibri" w:cstheme="minorBidi"/>
                <w:b/>
                <w:color w:val="4F81BD" w:themeColor="accent1"/>
                <w:sz w:val="22"/>
                <w:szCs w:val="22"/>
                <w:lang w:val="fr-CH" w:eastAsia="zh-CN"/>
              </w:rPr>
            </w:pPr>
            <w:r w:rsidRPr="00933CE7">
              <w:rPr>
                <w:rFonts w:asciiTheme="majorHAnsi" w:hAnsiTheme="majorHAnsi"/>
                <w:b/>
                <w:noProof/>
                <w:color w:val="0070C0"/>
                <w:sz w:val="22"/>
                <w:lang w:val="fr-CH" w:eastAsia="zh-CN"/>
              </w:rPr>
              <w:t>Ventilation prévisionnelle des ressources par produit</w:t>
            </w:r>
          </w:p>
        </w:tc>
      </w:tr>
      <w:tr w:rsidR="00DF14DE" w:rsidRPr="00933CE7" w:rsidTr="00D970D4">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cs="Times New Roman Bold"/>
                <w:b/>
                <w:bCs/>
                <w:color w:val="0070C0"/>
                <w:sz w:val="18"/>
                <w:szCs w:val="18"/>
                <w:lang w:val="fr-CH"/>
              </w:rPr>
            </w:pPr>
          </w:p>
        </w:tc>
        <w:tc>
          <w:tcPr>
            <w:tcW w:w="5386" w:type="dxa"/>
            <w:tcBorders>
              <w:top w:val="single" w:sz="4" w:space="0" w:color="auto"/>
              <w:bottom w:val="single" w:sz="4" w:space="0" w:color="auto"/>
            </w:tcBorders>
          </w:tcPr>
          <w:p w:rsidR="00DF14DE" w:rsidRPr="00933CE7" w:rsidRDefault="00DF14DE" w:rsidP="00F077A9">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Calibri" w:hAnsi="Calibri" w:cs="Times New Roman Bold"/>
                <w:b/>
                <w:bCs/>
                <w:color w:val="0070C0"/>
                <w:sz w:val="18"/>
                <w:szCs w:val="18"/>
                <w:lang w:val="fr-CH"/>
              </w:rPr>
            </w:pPr>
          </w:p>
        </w:tc>
        <w:tc>
          <w:tcPr>
            <w:tcW w:w="906" w:type="dxa"/>
            <w:tcBorders>
              <w:top w:val="single" w:sz="4" w:space="0" w:color="auto"/>
              <w:bottom w:val="single" w:sz="4" w:space="0" w:color="auto"/>
            </w:tcBorders>
          </w:tcPr>
          <w:p w:rsidR="00DF14DE" w:rsidRPr="00933CE7" w:rsidRDefault="00DF14DE" w:rsidP="00F077A9">
            <w:pPr>
              <w:pStyle w:val="Tabletext"/>
              <w:rPr>
                <w:rFonts w:asciiTheme="majorHAnsi" w:hAnsiTheme="majorHAnsi"/>
                <w:b/>
                <w:noProof/>
                <w:color w:val="0070C0"/>
                <w:sz w:val="18"/>
                <w:szCs w:val="16"/>
                <w:lang w:val="fr-CH" w:eastAsia="zh-CN"/>
              </w:rPr>
            </w:pPr>
            <w:r w:rsidRPr="00933CE7">
              <w:rPr>
                <w:rFonts w:asciiTheme="majorHAnsi" w:hAnsiTheme="majorHAnsi"/>
                <w:b/>
                <w:noProof/>
                <w:color w:val="0070C0"/>
                <w:sz w:val="18"/>
                <w:szCs w:val="16"/>
                <w:lang w:val="fr-CH" w:eastAsia="zh-CN"/>
              </w:rPr>
              <w:t>% du total</w:t>
            </w:r>
          </w:p>
        </w:tc>
        <w:tc>
          <w:tcPr>
            <w:tcW w:w="980" w:type="dxa"/>
            <w:tcBorders>
              <w:top w:val="single" w:sz="4" w:space="0" w:color="auto"/>
              <w:bottom w:val="single" w:sz="4" w:space="0" w:color="auto"/>
            </w:tcBorders>
          </w:tcPr>
          <w:p w:rsidR="00DF14DE" w:rsidRPr="00933CE7" w:rsidRDefault="00DF14DE" w:rsidP="00F077A9">
            <w:pPr>
              <w:pStyle w:val="Tabletext"/>
              <w:rPr>
                <w:rFonts w:asciiTheme="majorHAnsi" w:hAnsiTheme="majorHAnsi"/>
                <w:b/>
                <w:noProof/>
                <w:color w:val="0070C0"/>
                <w:sz w:val="18"/>
                <w:szCs w:val="16"/>
                <w:lang w:val="fr-CH" w:eastAsia="zh-CN"/>
              </w:rPr>
            </w:pPr>
            <w:r w:rsidRPr="00933CE7">
              <w:rPr>
                <w:rFonts w:asciiTheme="majorHAnsi" w:hAnsiTheme="majorHAnsi"/>
                <w:b/>
                <w:noProof/>
                <w:color w:val="0070C0"/>
                <w:sz w:val="18"/>
                <w:szCs w:val="16"/>
                <w:lang w:val="fr-CH" w:eastAsia="zh-CN"/>
              </w:rPr>
              <w:t>% de l'objectif</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sz w:val="16"/>
                <w:szCs w:val="16"/>
                <w:lang w:val="fr-CH"/>
              </w:rPr>
            </w:pPr>
          </w:p>
        </w:tc>
        <w:tc>
          <w:tcPr>
            <w:tcW w:w="5386" w:type="dxa"/>
            <w:tcBorders>
              <w:top w:val="single" w:sz="4" w:space="0" w:color="auto"/>
            </w:tcBorders>
          </w:tcPr>
          <w:p w:rsidR="00DF14DE" w:rsidRPr="00933CE7" w:rsidRDefault="00DF14DE" w:rsidP="00F077A9">
            <w:pPr>
              <w:pStyle w:val="Tabletext"/>
              <w:rPr>
                <w:lang w:val="fr-CH"/>
              </w:rPr>
            </w:pPr>
            <w:r w:rsidRPr="00933CE7">
              <w:rPr>
                <w:b/>
                <w:bCs/>
                <w:color w:val="548DD4" w:themeColor="text2" w:themeTint="99"/>
                <w:lang w:val="fr-CH"/>
              </w:rPr>
              <w:t>R.1-1</w:t>
            </w:r>
            <w:r w:rsidRPr="00933CE7">
              <w:rPr>
                <w:lang w:val="fr-CH"/>
              </w:rPr>
              <w:t>:</w:t>
            </w:r>
            <w:r w:rsidRPr="00933CE7">
              <w:rPr>
                <w:lang w:val="fr-CH"/>
              </w:rPr>
              <w:tab/>
            </w:r>
            <w:r w:rsidR="00D36E51" w:rsidRPr="00933CE7">
              <w:rPr>
                <w:lang w:val="fr-CH"/>
              </w:rPr>
              <w:t>Actes finals des conférences mondiales des radiocommunications, mise à jour du Règlement des radiocommunications</w:t>
            </w:r>
          </w:p>
        </w:tc>
        <w:tc>
          <w:tcPr>
            <w:tcW w:w="906" w:type="dxa"/>
            <w:tcBorders>
              <w:top w:val="single" w:sz="4" w:space="0" w:color="auto"/>
            </w:tcBorders>
            <w:vAlign w:val="center"/>
          </w:tcPr>
          <w:p w:rsidR="00DF14DE" w:rsidRPr="00933CE7" w:rsidRDefault="00D36E51" w:rsidP="00F077A9">
            <w:pPr>
              <w:pStyle w:val="Tabletext"/>
              <w:jc w:val="right"/>
              <w:rPr>
                <w:lang w:val="fr-CH"/>
              </w:rPr>
            </w:pPr>
            <w:r w:rsidRPr="00933CE7">
              <w:rPr>
                <w:lang w:val="fr-CH"/>
              </w:rPr>
              <w:t>3</w:t>
            </w:r>
            <w:r w:rsidR="00DF14DE" w:rsidRPr="00933CE7">
              <w:rPr>
                <w:lang w:val="fr-CH"/>
              </w:rPr>
              <w:t>%</w:t>
            </w:r>
          </w:p>
        </w:tc>
        <w:tc>
          <w:tcPr>
            <w:tcW w:w="980" w:type="dxa"/>
            <w:tcBorders>
              <w:top w:val="single" w:sz="4" w:space="0" w:color="auto"/>
            </w:tcBorders>
            <w:vAlign w:val="center"/>
          </w:tcPr>
          <w:p w:rsidR="00DF14DE" w:rsidRPr="00933CE7" w:rsidRDefault="00D36E51" w:rsidP="00F077A9">
            <w:pPr>
              <w:pStyle w:val="Tabletext"/>
              <w:jc w:val="right"/>
              <w:rPr>
                <w:lang w:val="fr-CH"/>
              </w:rPr>
            </w:pPr>
            <w:r w:rsidRPr="00933CE7">
              <w:rPr>
                <w:b/>
                <w:bCs/>
                <w:lang w:val="fr-CH"/>
              </w:rPr>
              <w:t>4</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R.1-2</w:t>
            </w:r>
            <w:r w:rsidRPr="00933CE7">
              <w:rPr>
                <w:lang w:val="fr-CH"/>
              </w:rPr>
              <w:t>:</w:t>
            </w:r>
            <w:r w:rsidRPr="00933CE7">
              <w:rPr>
                <w:lang w:val="fr-CH"/>
              </w:rPr>
              <w:tab/>
            </w:r>
            <w:r w:rsidR="00D36E51" w:rsidRPr="00933CE7">
              <w:rPr>
                <w:lang w:val="fr-CH"/>
              </w:rPr>
              <w:t>Actes finals des conférences régionales des radiocommunications, accords régionaux</w:t>
            </w:r>
          </w:p>
        </w:tc>
        <w:tc>
          <w:tcPr>
            <w:tcW w:w="906" w:type="dxa"/>
            <w:vAlign w:val="center"/>
          </w:tcPr>
          <w:p w:rsidR="00DF14DE" w:rsidRPr="00933CE7" w:rsidRDefault="00D36E51" w:rsidP="00F077A9">
            <w:pPr>
              <w:pStyle w:val="Tabletext"/>
              <w:jc w:val="right"/>
              <w:rPr>
                <w:lang w:val="fr-CH"/>
              </w:rPr>
            </w:pPr>
            <w:r w:rsidRPr="00933CE7">
              <w:rPr>
                <w:lang w:val="fr-CH"/>
              </w:rPr>
              <w:t>1</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2</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R.1-3</w:t>
            </w:r>
            <w:r w:rsidRPr="00933CE7">
              <w:rPr>
                <w:lang w:val="fr-CH"/>
              </w:rPr>
              <w:t>:</w:t>
            </w:r>
            <w:r w:rsidRPr="00933CE7">
              <w:rPr>
                <w:lang w:val="fr-CH"/>
              </w:rPr>
              <w:tab/>
            </w:r>
            <w:r w:rsidR="00D36E51" w:rsidRPr="00933CE7">
              <w:rPr>
                <w:lang w:val="fr-CH"/>
              </w:rPr>
              <w:t>Règles de procédure adoptées par le Comité du Règlement des radiocommunications (RRB)</w:t>
            </w:r>
          </w:p>
        </w:tc>
        <w:tc>
          <w:tcPr>
            <w:tcW w:w="906" w:type="dxa"/>
            <w:vAlign w:val="center"/>
          </w:tcPr>
          <w:p w:rsidR="00DF14DE" w:rsidRPr="00933CE7" w:rsidRDefault="00D36E51" w:rsidP="00F077A9">
            <w:pPr>
              <w:pStyle w:val="Tabletext"/>
              <w:jc w:val="right"/>
              <w:rPr>
                <w:lang w:val="fr-CH"/>
              </w:rPr>
            </w:pPr>
            <w:r w:rsidRPr="00933CE7">
              <w:rPr>
                <w:lang w:val="fr-CH"/>
              </w:rPr>
              <w:t>4</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7</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R.1-4</w:t>
            </w:r>
            <w:r w:rsidRPr="00933CE7">
              <w:rPr>
                <w:lang w:val="fr-CH"/>
              </w:rPr>
              <w:t>:</w:t>
            </w:r>
            <w:r w:rsidRPr="00933CE7">
              <w:rPr>
                <w:lang w:val="fr-CH"/>
              </w:rPr>
              <w:tab/>
            </w:r>
            <w:r w:rsidR="00D36E51" w:rsidRPr="00933CE7">
              <w:rPr>
                <w:lang w:val="fr-CH"/>
              </w:rPr>
              <w:t>Publication des fiches de notification (services spatiaux) et autres activités connexes</w:t>
            </w:r>
          </w:p>
        </w:tc>
        <w:tc>
          <w:tcPr>
            <w:tcW w:w="906" w:type="dxa"/>
            <w:vAlign w:val="center"/>
          </w:tcPr>
          <w:p w:rsidR="00DF14DE" w:rsidRPr="00933CE7" w:rsidRDefault="00D36E51" w:rsidP="00F077A9">
            <w:pPr>
              <w:pStyle w:val="Tabletext"/>
              <w:jc w:val="right"/>
              <w:rPr>
                <w:lang w:val="fr-CH"/>
              </w:rPr>
            </w:pPr>
            <w:r w:rsidRPr="00933CE7">
              <w:rPr>
                <w:lang w:val="fr-CH"/>
              </w:rPr>
              <w:t>35</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59</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rPr>
                <w:rFonts w:ascii="Calibri" w:hAnsi="Calibri"/>
                <w:sz w:val="16"/>
                <w:szCs w:val="16"/>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R.1-5</w:t>
            </w:r>
            <w:r w:rsidRPr="00933CE7">
              <w:rPr>
                <w:lang w:val="fr-CH"/>
              </w:rPr>
              <w:t>:</w:t>
            </w:r>
            <w:r w:rsidRPr="00933CE7">
              <w:rPr>
                <w:lang w:val="fr-CH"/>
              </w:rPr>
              <w:tab/>
            </w:r>
            <w:r w:rsidR="00D36E51" w:rsidRPr="00933CE7">
              <w:rPr>
                <w:lang w:val="fr-CH"/>
              </w:rPr>
              <w:t>Publication des fiches de notification (services de Terre) et autres activités connexes</w:t>
            </w:r>
          </w:p>
        </w:tc>
        <w:tc>
          <w:tcPr>
            <w:tcW w:w="906" w:type="dxa"/>
            <w:vAlign w:val="center"/>
          </w:tcPr>
          <w:p w:rsidR="00DF14DE" w:rsidRPr="00933CE7" w:rsidRDefault="00D36E51" w:rsidP="00F077A9">
            <w:pPr>
              <w:pStyle w:val="Tabletext"/>
              <w:jc w:val="right"/>
              <w:rPr>
                <w:lang w:val="fr-CH"/>
              </w:rPr>
            </w:pPr>
            <w:r w:rsidRPr="00933CE7">
              <w:rPr>
                <w:lang w:val="fr-CH"/>
              </w:rPr>
              <w:t>17</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2</w:t>
            </w:r>
            <w:r w:rsidR="00DF14DE" w:rsidRPr="00933CE7">
              <w:rPr>
                <w:b/>
                <w:bCs/>
                <w:lang w:val="fr-CH"/>
              </w:rPr>
              <w:t>8%</w:t>
            </w:r>
          </w:p>
        </w:tc>
      </w:tr>
      <w:tr w:rsidR="00DF14DE" w:rsidRPr="00933CE7" w:rsidTr="00D36E51">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DF14DE" w:rsidRPr="00933CE7" w:rsidTr="00D970D4">
              <w:trPr>
                <w:jc w:val="center"/>
              </w:trPr>
              <w:tc>
                <w:tcPr>
                  <w:tcW w:w="6096" w:type="dxa"/>
                  <w:tcMar>
                    <w:left w:w="57" w:type="dxa"/>
                    <w:right w:w="57" w:type="dxa"/>
                  </w:tcMar>
                </w:tcPr>
                <w:p w:rsidR="00DF14DE" w:rsidRPr="00933CE7" w:rsidRDefault="00DF14DE" w:rsidP="00F077A9">
                  <w:pPr>
                    <w:pStyle w:val="Tabletext"/>
                    <w:rPr>
                      <w:lang w:val="fr-CH"/>
                    </w:rPr>
                  </w:pPr>
                  <w:r w:rsidRPr="00933CE7">
                    <w:rPr>
                      <w:b/>
                      <w:bCs/>
                      <w:noProof/>
                      <w:color w:val="4F81BD" w:themeColor="accent1"/>
                      <w:lang w:val="fr-CH" w:eastAsia="zh-CN"/>
                    </w:rPr>
                    <w:t>R.1</w:t>
                  </w:r>
                  <w:r w:rsidRPr="00933CE7">
                    <w:rPr>
                      <w:noProof/>
                      <w:color w:val="4F81BD" w:themeColor="accent1"/>
                      <w:lang w:val="fr-CH" w:eastAsia="zh-CN"/>
                    </w:rPr>
                    <w:tab/>
                  </w:r>
                  <w:r w:rsidR="00D36E51" w:rsidRPr="00933CE7">
                    <w:rPr>
                      <w:lang w:val="fr-CH"/>
                    </w:rPr>
                    <w:t>Réglementation et gestion du spectre/des orbites</w:t>
                  </w:r>
                </w:p>
              </w:tc>
              <w:tc>
                <w:tcPr>
                  <w:tcW w:w="992" w:type="dxa"/>
                  <w:tcMar>
                    <w:left w:w="57" w:type="dxa"/>
                    <w:right w:w="57" w:type="dxa"/>
                  </w:tcMar>
                </w:tcPr>
                <w:p w:rsidR="00DF14DE" w:rsidRPr="00933CE7" w:rsidRDefault="00D36E51" w:rsidP="00F077A9">
                  <w:pPr>
                    <w:pStyle w:val="Tabletext"/>
                    <w:rPr>
                      <w:b/>
                      <w:bCs/>
                      <w:lang w:val="fr-CH"/>
                    </w:rPr>
                  </w:pPr>
                  <w:r w:rsidRPr="00933CE7">
                    <w:rPr>
                      <w:b/>
                      <w:bCs/>
                      <w:lang w:val="fr-CH"/>
                    </w:rPr>
                    <w:t>60</w:t>
                  </w:r>
                  <w:r w:rsidR="00DF14DE" w:rsidRPr="00933CE7">
                    <w:rPr>
                      <w:b/>
                      <w:bCs/>
                      <w:lang w:val="fr-CH"/>
                    </w:rPr>
                    <w:t>%</w:t>
                  </w:r>
                </w:p>
              </w:tc>
            </w:tr>
            <w:tr w:rsidR="00DF14DE" w:rsidRPr="00933CE7" w:rsidTr="00D970D4">
              <w:trPr>
                <w:jc w:val="center"/>
              </w:trPr>
              <w:tc>
                <w:tcPr>
                  <w:tcW w:w="6096" w:type="dxa"/>
                  <w:tcMar>
                    <w:left w:w="57" w:type="dxa"/>
                    <w:right w:w="57" w:type="dxa"/>
                  </w:tcMar>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R.2</w:t>
                  </w:r>
                  <w:r w:rsidRPr="00933CE7">
                    <w:rPr>
                      <w:lang w:val="fr-CH"/>
                    </w:rPr>
                    <w:tab/>
                  </w:r>
                  <w:r w:rsidR="00D36E51" w:rsidRPr="00933CE7">
                    <w:rPr>
                      <w:lang w:val="fr-CH"/>
                    </w:rPr>
                    <w:t>Normes relatives aux radiocommunications</w:t>
                  </w:r>
                </w:p>
              </w:tc>
              <w:tc>
                <w:tcPr>
                  <w:tcW w:w="992" w:type="dxa"/>
                  <w:tcMar>
                    <w:left w:w="57" w:type="dxa"/>
                    <w:right w:w="57" w:type="dxa"/>
                  </w:tcMar>
                </w:tcPr>
                <w:p w:rsidR="00DF14DE" w:rsidRPr="00933CE7" w:rsidRDefault="00D36E51" w:rsidP="00F077A9">
                  <w:pPr>
                    <w:pStyle w:val="Tabletext"/>
                    <w:rPr>
                      <w:b/>
                      <w:bCs/>
                      <w:lang w:val="fr-CH"/>
                    </w:rPr>
                  </w:pPr>
                  <w:r w:rsidRPr="00933CE7">
                    <w:rPr>
                      <w:b/>
                      <w:bCs/>
                      <w:lang w:val="fr-CH"/>
                    </w:rPr>
                    <w:t>13</w:t>
                  </w:r>
                  <w:r w:rsidR="00DF14DE" w:rsidRPr="00933CE7">
                    <w:rPr>
                      <w:b/>
                      <w:bCs/>
                      <w:lang w:val="fr-CH"/>
                    </w:rPr>
                    <w:t>%</w:t>
                  </w:r>
                </w:p>
              </w:tc>
            </w:tr>
            <w:tr w:rsidR="00DF14DE" w:rsidRPr="00933CE7" w:rsidTr="00D970D4">
              <w:trPr>
                <w:jc w:val="center"/>
              </w:trPr>
              <w:tc>
                <w:tcPr>
                  <w:tcW w:w="6096" w:type="dxa"/>
                  <w:tcMar>
                    <w:left w:w="57" w:type="dxa"/>
                    <w:right w:w="57" w:type="dxa"/>
                  </w:tcMar>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R.3</w:t>
                  </w:r>
                  <w:r w:rsidRPr="00933CE7">
                    <w:rPr>
                      <w:lang w:val="fr-CH"/>
                    </w:rPr>
                    <w:tab/>
                  </w:r>
                  <w:r w:rsidR="00933CE7" w:rsidRPr="00933CE7">
                    <w:rPr>
                      <w:lang w:val="fr-CH"/>
                    </w:rPr>
                    <w:t>Échange</w:t>
                  </w:r>
                  <w:r w:rsidR="00D36E51" w:rsidRPr="00933CE7">
                    <w:rPr>
                      <w:lang w:val="fr-CH"/>
                    </w:rPr>
                    <w:t xml:space="preserve"> de connaissances</w:t>
                  </w:r>
                </w:p>
              </w:tc>
              <w:tc>
                <w:tcPr>
                  <w:tcW w:w="992" w:type="dxa"/>
                  <w:tcMar>
                    <w:left w:w="57" w:type="dxa"/>
                    <w:right w:w="57" w:type="dxa"/>
                  </w:tcMar>
                </w:tcPr>
                <w:p w:rsidR="00DF14DE" w:rsidRPr="00933CE7" w:rsidRDefault="00D36E51" w:rsidP="00F077A9">
                  <w:pPr>
                    <w:pStyle w:val="Tabletext"/>
                    <w:rPr>
                      <w:b/>
                      <w:bCs/>
                      <w:lang w:val="fr-CH"/>
                    </w:rPr>
                  </w:pPr>
                  <w:r w:rsidRPr="00933CE7">
                    <w:rPr>
                      <w:b/>
                      <w:bCs/>
                      <w:lang w:val="fr-CH"/>
                    </w:rPr>
                    <w:t>27</w:t>
                  </w:r>
                  <w:r w:rsidR="00DF14DE" w:rsidRPr="00933CE7">
                    <w:rPr>
                      <w:b/>
                      <w:bCs/>
                      <w:lang w:val="fr-CH"/>
                    </w:rPr>
                    <w:t>%</w:t>
                  </w:r>
                </w:p>
              </w:tc>
            </w:tr>
          </w:tbl>
          <w:p w:rsidR="00DF14DE" w:rsidRPr="00933CE7" w:rsidRDefault="00DF14DE" w:rsidP="00F077A9">
            <w:pPr>
              <w:tabs>
                <w:tab w:val="clear" w:pos="794"/>
                <w:tab w:val="clear" w:pos="1191"/>
                <w:tab w:val="clear" w:pos="1588"/>
                <w:tab w:val="clear" w:pos="1985"/>
              </w:tabs>
              <w:spacing w:before="60" w:after="60"/>
              <w:ind w:right="340"/>
              <w:rPr>
                <w:rFonts w:ascii="Calibri" w:hAnsi="Calibri"/>
                <w:b/>
                <w:bCs/>
                <w:sz w:val="18"/>
                <w:szCs w:val="18"/>
                <w:lang w:val="fr-CH"/>
              </w:rPr>
            </w:pPr>
          </w:p>
        </w:tc>
        <w:tc>
          <w:tcPr>
            <w:tcW w:w="5386" w:type="dxa"/>
            <w:tcBorders>
              <w:top w:val="single" w:sz="4" w:space="0" w:color="auto"/>
            </w:tcBorders>
          </w:tcPr>
          <w:p w:rsidR="00DF14DE" w:rsidRPr="00933CE7" w:rsidRDefault="00DF14DE" w:rsidP="00F077A9">
            <w:pPr>
              <w:pStyle w:val="Tabletext"/>
              <w:rPr>
                <w:lang w:val="fr-CH"/>
              </w:rPr>
            </w:pPr>
            <w:r w:rsidRPr="00933CE7">
              <w:rPr>
                <w:b/>
                <w:bCs/>
                <w:color w:val="548DD4" w:themeColor="text2" w:themeTint="99"/>
                <w:lang w:val="fr-CH"/>
              </w:rPr>
              <w:t>R.2-1</w:t>
            </w:r>
            <w:r w:rsidRPr="00933CE7">
              <w:rPr>
                <w:lang w:val="fr-CH"/>
              </w:rPr>
              <w:t>:</w:t>
            </w:r>
            <w:r w:rsidRPr="00933CE7">
              <w:rPr>
                <w:lang w:val="fr-CH"/>
              </w:rPr>
              <w:tab/>
            </w:r>
            <w:r w:rsidR="00D36E51" w:rsidRPr="00933CE7">
              <w:rPr>
                <w:lang w:val="fr-CH"/>
              </w:rPr>
              <w:t>Décisions de l'Assemblée des radiocommunications, résolutions de l'UIT-R</w:t>
            </w:r>
          </w:p>
        </w:tc>
        <w:tc>
          <w:tcPr>
            <w:tcW w:w="906" w:type="dxa"/>
            <w:tcBorders>
              <w:top w:val="single" w:sz="4" w:space="0" w:color="auto"/>
            </w:tcBorders>
            <w:vAlign w:val="center"/>
          </w:tcPr>
          <w:p w:rsidR="00DF14DE" w:rsidRPr="00933CE7" w:rsidRDefault="00D36E51" w:rsidP="00F077A9">
            <w:pPr>
              <w:pStyle w:val="Tabletext"/>
              <w:jc w:val="right"/>
              <w:rPr>
                <w:lang w:val="fr-CH"/>
              </w:rPr>
            </w:pPr>
            <w:r w:rsidRPr="00933CE7">
              <w:rPr>
                <w:lang w:val="fr-CH"/>
              </w:rPr>
              <w:t>1</w:t>
            </w:r>
            <w:r w:rsidR="00DF14DE" w:rsidRPr="00933CE7">
              <w:rPr>
                <w:lang w:val="fr-CH"/>
              </w:rPr>
              <w:t>%</w:t>
            </w:r>
          </w:p>
        </w:tc>
        <w:tc>
          <w:tcPr>
            <w:tcW w:w="980" w:type="dxa"/>
            <w:tcBorders>
              <w:top w:val="single" w:sz="4" w:space="0" w:color="auto"/>
            </w:tcBorders>
            <w:vAlign w:val="center"/>
          </w:tcPr>
          <w:p w:rsidR="00DF14DE" w:rsidRPr="00933CE7" w:rsidRDefault="00D36E51" w:rsidP="00F077A9">
            <w:pPr>
              <w:pStyle w:val="Tabletext"/>
              <w:jc w:val="right"/>
              <w:rPr>
                <w:b/>
                <w:bCs/>
                <w:lang w:val="fr-CH"/>
              </w:rPr>
            </w:pPr>
            <w:r w:rsidRPr="00933CE7">
              <w:rPr>
                <w:b/>
                <w:bCs/>
                <w:lang w:val="fr-CH"/>
              </w:rPr>
              <w:t>9</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R.2-2</w:t>
            </w:r>
            <w:r w:rsidRPr="00933CE7">
              <w:rPr>
                <w:lang w:val="fr-CH"/>
              </w:rPr>
              <w:t>:</w:t>
            </w:r>
            <w:r w:rsidRPr="00933CE7">
              <w:rPr>
                <w:lang w:val="fr-CH"/>
              </w:rPr>
              <w:tab/>
            </w:r>
            <w:r w:rsidR="00D36E51" w:rsidRPr="00933CE7">
              <w:rPr>
                <w:lang w:val="fr-CH"/>
              </w:rPr>
              <w:t>Recommandations, rapports (y compris le rapport de la RPC) et manuels de l'UIT-R</w:t>
            </w:r>
          </w:p>
        </w:tc>
        <w:tc>
          <w:tcPr>
            <w:tcW w:w="906" w:type="dxa"/>
            <w:vAlign w:val="center"/>
          </w:tcPr>
          <w:p w:rsidR="00DF14DE" w:rsidRPr="00933CE7" w:rsidRDefault="00D36E51" w:rsidP="00F077A9">
            <w:pPr>
              <w:pStyle w:val="Tabletext"/>
              <w:jc w:val="right"/>
              <w:rPr>
                <w:lang w:val="fr-CH"/>
              </w:rPr>
            </w:pPr>
            <w:r w:rsidRPr="00933CE7">
              <w:rPr>
                <w:lang w:val="fr-CH"/>
              </w:rPr>
              <w:t>10</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73</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R.2-3</w:t>
            </w:r>
            <w:r w:rsidRPr="00933CE7">
              <w:rPr>
                <w:lang w:val="fr-CH"/>
              </w:rPr>
              <w:t>:</w:t>
            </w:r>
            <w:r w:rsidRPr="00933CE7">
              <w:rPr>
                <w:lang w:val="fr-CH"/>
              </w:rPr>
              <w:tab/>
            </w:r>
            <w:r w:rsidR="00D36E51" w:rsidRPr="00933CE7">
              <w:rPr>
                <w:lang w:val="fr-CH"/>
              </w:rPr>
              <w:t>Avis formulés par le Groupe consultatif des radiocommunications</w:t>
            </w:r>
          </w:p>
        </w:tc>
        <w:tc>
          <w:tcPr>
            <w:tcW w:w="906" w:type="dxa"/>
            <w:vAlign w:val="center"/>
          </w:tcPr>
          <w:p w:rsidR="00DF14DE" w:rsidRPr="00933CE7" w:rsidRDefault="00D36E51" w:rsidP="00F077A9">
            <w:pPr>
              <w:pStyle w:val="Tabletext"/>
              <w:jc w:val="right"/>
              <w:rPr>
                <w:lang w:val="fr-CH"/>
              </w:rPr>
            </w:pPr>
            <w:r w:rsidRPr="00933CE7">
              <w:rPr>
                <w:lang w:val="fr-CH"/>
              </w:rPr>
              <w:t>2</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18</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Borders>
              <w:top w:val="single" w:sz="4" w:space="0" w:color="auto"/>
            </w:tcBorders>
          </w:tcPr>
          <w:p w:rsidR="00DF14DE" w:rsidRPr="00933CE7" w:rsidRDefault="00DF14DE" w:rsidP="00F077A9">
            <w:pPr>
              <w:pStyle w:val="Tabletext"/>
              <w:rPr>
                <w:lang w:val="fr-CH"/>
              </w:rPr>
            </w:pPr>
            <w:r w:rsidRPr="00933CE7">
              <w:rPr>
                <w:b/>
                <w:bCs/>
                <w:color w:val="548DD4" w:themeColor="text2" w:themeTint="99"/>
                <w:lang w:val="fr-CH"/>
              </w:rPr>
              <w:t>R.3-1</w:t>
            </w:r>
            <w:r w:rsidRPr="00933CE7">
              <w:rPr>
                <w:lang w:val="fr-CH"/>
              </w:rPr>
              <w:t>:</w:t>
            </w:r>
            <w:r w:rsidRPr="00933CE7">
              <w:rPr>
                <w:lang w:val="fr-CH"/>
              </w:rPr>
              <w:tab/>
              <w:t xml:space="preserve">Publications </w:t>
            </w:r>
            <w:r w:rsidR="00F077A9" w:rsidRPr="00933CE7">
              <w:rPr>
                <w:lang w:val="fr-CH"/>
              </w:rPr>
              <w:t>de l'</w:t>
            </w:r>
            <w:r w:rsidRPr="00933CE7">
              <w:rPr>
                <w:lang w:val="fr-CH"/>
              </w:rPr>
              <w:t>UIT-R</w:t>
            </w:r>
          </w:p>
        </w:tc>
        <w:tc>
          <w:tcPr>
            <w:tcW w:w="906" w:type="dxa"/>
            <w:tcBorders>
              <w:top w:val="single" w:sz="4" w:space="0" w:color="auto"/>
            </w:tcBorders>
            <w:vAlign w:val="center"/>
          </w:tcPr>
          <w:p w:rsidR="00DF14DE" w:rsidRPr="00933CE7" w:rsidRDefault="00DF14DE" w:rsidP="00F077A9">
            <w:pPr>
              <w:pStyle w:val="Tabletext"/>
              <w:jc w:val="right"/>
              <w:rPr>
                <w:lang w:val="fr-CH"/>
              </w:rPr>
            </w:pPr>
            <w:r w:rsidRPr="00933CE7">
              <w:rPr>
                <w:lang w:val="fr-CH"/>
              </w:rPr>
              <w:t>1</w:t>
            </w:r>
            <w:r w:rsidR="00D36E51" w:rsidRPr="00933CE7">
              <w:rPr>
                <w:lang w:val="fr-CH"/>
              </w:rPr>
              <w:t>1</w:t>
            </w:r>
            <w:r w:rsidRPr="00933CE7">
              <w:rPr>
                <w:lang w:val="fr-CH"/>
              </w:rPr>
              <w:t>%</w:t>
            </w:r>
          </w:p>
        </w:tc>
        <w:tc>
          <w:tcPr>
            <w:tcW w:w="980" w:type="dxa"/>
            <w:tcBorders>
              <w:top w:val="single" w:sz="4" w:space="0" w:color="auto"/>
            </w:tcBorders>
            <w:vAlign w:val="center"/>
          </w:tcPr>
          <w:p w:rsidR="00DF14DE" w:rsidRPr="00933CE7" w:rsidRDefault="00D36E51" w:rsidP="00F077A9">
            <w:pPr>
              <w:pStyle w:val="Tabletext"/>
              <w:jc w:val="right"/>
              <w:rPr>
                <w:b/>
                <w:bCs/>
                <w:lang w:val="fr-CH"/>
              </w:rPr>
            </w:pPr>
            <w:r w:rsidRPr="00933CE7">
              <w:rPr>
                <w:b/>
                <w:bCs/>
                <w:lang w:val="fr-CH"/>
              </w:rPr>
              <w:t>39</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R.3-2</w:t>
            </w:r>
            <w:r w:rsidRPr="00933CE7">
              <w:rPr>
                <w:lang w:val="fr-CH"/>
              </w:rPr>
              <w:t>:</w:t>
            </w:r>
            <w:r w:rsidRPr="00933CE7">
              <w:rPr>
                <w:lang w:val="fr-CH"/>
              </w:rPr>
              <w:tab/>
              <w:t>Assistance aux membres, en particulier ceux des pays en développement et des PMA</w:t>
            </w:r>
          </w:p>
        </w:tc>
        <w:tc>
          <w:tcPr>
            <w:tcW w:w="906" w:type="dxa"/>
            <w:vAlign w:val="center"/>
          </w:tcPr>
          <w:p w:rsidR="00DF14DE" w:rsidRPr="00933CE7" w:rsidRDefault="00D36E51" w:rsidP="00F077A9">
            <w:pPr>
              <w:pStyle w:val="Tabletext"/>
              <w:jc w:val="right"/>
              <w:rPr>
                <w:lang w:val="fr-CH"/>
              </w:rPr>
            </w:pPr>
            <w:r w:rsidRPr="00933CE7">
              <w:rPr>
                <w:lang w:val="fr-CH"/>
              </w:rPr>
              <w:t>7</w:t>
            </w:r>
            <w:r w:rsidR="00DF14DE" w:rsidRPr="00933CE7">
              <w:rPr>
                <w:lang w:val="fr-CH"/>
              </w:rPr>
              <w:t>%</w:t>
            </w:r>
          </w:p>
        </w:tc>
        <w:tc>
          <w:tcPr>
            <w:tcW w:w="980" w:type="dxa"/>
            <w:vAlign w:val="center"/>
          </w:tcPr>
          <w:p w:rsidR="00DF14DE" w:rsidRPr="00933CE7" w:rsidRDefault="00D36E51" w:rsidP="00F077A9">
            <w:pPr>
              <w:pStyle w:val="Tabletext"/>
              <w:jc w:val="right"/>
              <w:rPr>
                <w:b/>
                <w:bCs/>
                <w:lang w:val="fr-CH"/>
              </w:rPr>
            </w:pPr>
            <w:r w:rsidRPr="00933CE7">
              <w:rPr>
                <w:b/>
                <w:bCs/>
                <w:lang w:val="fr-CH"/>
              </w:rPr>
              <w:t>26</w:t>
            </w:r>
            <w:r w:rsidR="00DF14DE" w:rsidRPr="00933CE7">
              <w:rPr>
                <w:b/>
                <w:bCs/>
                <w:lang w:val="fr-CH"/>
              </w:rPr>
              <w:t>%</w:t>
            </w:r>
          </w:p>
        </w:tc>
      </w:tr>
      <w:tr w:rsidR="00DF14DE" w:rsidRPr="00933CE7" w:rsidTr="00D36E51">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5386" w:type="dxa"/>
            <w:tcBorders>
              <w:bottom w:val="nil"/>
            </w:tcBorders>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R.3-3</w:t>
            </w:r>
            <w:r w:rsidRPr="00933CE7">
              <w:rPr>
                <w:lang w:val="fr-CH"/>
              </w:rPr>
              <w:t>:</w:t>
            </w:r>
            <w:r w:rsidRPr="00933CE7">
              <w:rPr>
                <w:lang w:val="fr-CH"/>
              </w:rPr>
              <w:tab/>
              <w:t>Liaison/appui concernant les activités de développement</w:t>
            </w:r>
          </w:p>
        </w:tc>
        <w:tc>
          <w:tcPr>
            <w:tcW w:w="906" w:type="dxa"/>
            <w:tcBorders>
              <w:bottom w:val="nil"/>
            </w:tcBorders>
            <w:vAlign w:val="center"/>
          </w:tcPr>
          <w:p w:rsidR="00DF14DE" w:rsidRPr="00933CE7" w:rsidRDefault="00DF14DE" w:rsidP="00F077A9">
            <w:pPr>
              <w:pStyle w:val="Tabletext"/>
              <w:jc w:val="right"/>
              <w:rPr>
                <w:lang w:val="fr-CH"/>
              </w:rPr>
            </w:pPr>
            <w:r w:rsidRPr="00933CE7">
              <w:rPr>
                <w:lang w:val="fr-CH"/>
              </w:rPr>
              <w:t>2%</w:t>
            </w:r>
          </w:p>
        </w:tc>
        <w:tc>
          <w:tcPr>
            <w:tcW w:w="980" w:type="dxa"/>
            <w:tcBorders>
              <w:bottom w:val="nil"/>
            </w:tcBorders>
            <w:vAlign w:val="center"/>
          </w:tcPr>
          <w:p w:rsidR="00DF14DE" w:rsidRPr="00933CE7" w:rsidRDefault="00DF14DE" w:rsidP="00F077A9">
            <w:pPr>
              <w:pStyle w:val="Tabletext"/>
              <w:jc w:val="right"/>
              <w:rPr>
                <w:b/>
                <w:bCs/>
                <w:lang w:val="fr-CH"/>
              </w:rPr>
            </w:pPr>
            <w:r w:rsidRPr="00933CE7">
              <w:rPr>
                <w:b/>
                <w:bCs/>
                <w:lang w:val="fr-CH"/>
              </w:rPr>
              <w:t>9%</w:t>
            </w:r>
          </w:p>
        </w:tc>
      </w:tr>
      <w:tr w:rsidR="00DF14DE" w:rsidRPr="00933CE7" w:rsidTr="001253A4">
        <w:tc>
          <w:tcPr>
            <w:tcW w:w="7230" w:type="dxa"/>
            <w:vMerge/>
          </w:tcPr>
          <w:p w:rsidR="00DF14DE" w:rsidRPr="00933CE7" w:rsidRDefault="00DF14DE" w:rsidP="00F077A9">
            <w:pPr>
              <w:tabs>
                <w:tab w:val="clear" w:pos="794"/>
                <w:tab w:val="clear" w:pos="1191"/>
                <w:tab w:val="clear" w:pos="1588"/>
                <w:tab w:val="clear" w:pos="1985"/>
              </w:tabs>
              <w:spacing w:before="0"/>
              <w:ind w:right="340"/>
              <w:jc w:val="right"/>
              <w:rPr>
                <w:rFonts w:ascii="Calibri" w:hAnsi="Calibri"/>
                <w:b/>
                <w:bCs/>
                <w:sz w:val="18"/>
                <w:szCs w:val="18"/>
                <w:lang w:val="fr-CH"/>
              </w:rPr>
            </w:pPr>
          </w:p>
        </w:tc>
        <w:tc>
          <w:tcPr>
            <w:tcW w:w="5386" w:type="dxa"/>
            <w:tcBorders>
              <w:bottom w:val="single" w:sz="4" w:space="0" w:color="auto"/>
            </w:tcBorders>
          </w:tcPr>
          <w:p w:rsidR="00DF14DE" w:rsidRPr="00933CE7" w:rsidRDefault="00DF14DE" w:rsidP="00F077A9">
            <w:pPr>
              <w:pStyle w:val="Tabletext"/>
              <w:rPr>
                <w:b/>
                <w:bCs/>
                <w:color w:val="548DD4" w:themeColor="text2" w:themeTint="99"/>
                <w:lang w:val="fr-CH"/>
              </w:rPr>
            </w:pPr>
            <w:r w:rsidRPr="00933CE7">
              <w:rPr>
                <w:b/>
                <w:bCs/>
                <w:color w:val="548DD4" w:themeColor="text2" w:themeTint="99"/>
                <w:lang w:val="fr-CH"/>
              </w:rPr>
              <w:t>R.3-4</w:t>
            </w:r>
            <w:r w:rsidRPr="00933CE7">
              <w:rPr>
                <w:lang w:val="fr-CH"/>
              </w:rPr>
              <w:t>:</w:t>
            </w:r>
            <w:r w:rsidRPr="00933CE7">
              <w:rPr>
                <w:lang w:val="fr-CH"/>
              </w:rPr>
              <w:tab/>
              <w:t>Séminaires, ateliers et autres</w:t>
            </w:r>
            <w:r w:rsidR="00F077A9" w:rsidRPr="00933CE7">
              <w:rPr>
                <w:lang w:val="fr-CH"/>
              </w:rPr>
              <w:t xml:space="preserve"> manifestations</w:t>
            </w:r>
          </w:p>
        </w:tc>
        <w:tc>
          <w:tcPr>
            <w:tcW w:w="906" w:type="dxa"/>
            <w:tcBorders>
              <w:bottom w:val="single" w:sz="4" w:space="0" w:color="auto"/>
            </w:tcBorders>
            <w:vAlign w:val="center"/>
          </w:tcPr>
          <w:p w:rsidR="00DF14DE" w:rsidRPr="00933CE7" w:rsidRDefault="00D36E51" w:rsidP="00F077A9">
            <w:pPr>
              <w:pStyle w:val="Tabletext"/>
              <w:jc w:val="right"/>
              <w:rPr>
                <w:lang w:val="fr-CH"/>
              </w:rPr>
            </w:pPr>
            <w:r w:rsidRPr="00933CE7">
              <w:rPr>
                <w:lang w:val="fr-CH"/>
              </w:rPr>
              <w:t>7</w:t>
            </w:r>
            <w:r w:rsidR="00DF14DE" w:rsidRPr="00933CE7">
              <w:rPr>
                <w:lang w:val="fr-CH"/>
              </w:rPr>
              <w:t>%</w:t>
            </w:r>
          </w:p>
        </w:tc>
        <w:tc>
          <w:tcPr>
            <w:tcW w:w="980" w:type="dxa"/>
            <w:tcBorders>
              <w:bottom w:val="single" w:sz="4" w:space="0" w:color="auto"/>
            </w:tcBorders>
            <w:vAlign w:val="center"/>
          </w:tcPr>
          <w:p w:rsidR="00DF14DE" w:rsidRPr="00933CE7" w:rsidRDefault="00DF14DE" w:rsidP="00F077A9">
            <w:pPr>
              <w:pStyle w:val="Tabletext"/>
              <w:jc w:val="right"/>
              <w:rPr>
                <w:b/>
                <w:bCs/>
                <w:lang w:val="fr-CH"/>
              </w:rPr>
            </w:pPr>
            <w:r w:rsidRPr="00933CE7">
              <w:rPr>
                <w:b/>
                <w:bCs/>
                <w:lang w:val="fr-CH"/>
              </w:rPr>
              <w:t>2</w:t>
            </w:r>
            <w:r w:rsidR="00D36E51" w:rsidRPr="00933CE7">
              <w:rPr>
                <w:b/>
                <w:bCs/>
                <w:lang w:val="fr-CH"/>
              </w:rPr>
              <w:t>6</w:t>
            </w:r>
            <w:r w:rsidRPr="00933CE7">
              <w:rPr>
                <w:b/>
                <w:bCs/>
                <w:lang w:val="fr-CH"/>
              </w:rPr>
              <w:t>%</w:t>
            </w:r>
          </w:p>
        </w:tc>
      </w:tr>
      <w:tr w:rsidR="00DF14DE" w:rsidRPr="00933CE7" w:rsidTr="001253A4">
        <w:tc>
          <w:tcPr>
            <w:tcW w:w="7230" w:type="dxa"/>
            <w:vMerge/>
          </w:tcPr>
          <w:p w:rsidR="00DF14DE" w:rsidRPr="00933CE7" w:rsidRDefault="00DF14DE" w:rsidP="00F077A9">
            <w:pPr>
              <w:tabs>
                <w:tab w:val="clear" w:pos="794"/>
                <w:tab w:val="clear" w:pos="1191"/>
                <w:tab w:val="clear" w:pos="1588"/>
                <w:tab w:val="clear" w:pos="1985"/>
              </w:tabs>
              <w:spacing w:before="60" w:after="60"/>
              <w:ind w:right="340"/>
              <w:jc w:val="right"/>
              <w:rPr>
                <w:rFonts w:ascii="Calibri" w:hAnsi="Calibri"/>
                <w:b/>
                <w:bCs/>
                <w:sz w:val="18"/>
                <w:szCs w:val="18"/>
                <w:lang w:val="fr-CH"/>
              </w:rPr>
            </w:pPr>
          </w:p>
        </w:tc>
        <w:tc>
          <w:tcPr>
            <w:tcW w:w="7272" w:type="dxa"/>
            <w:gridSpan w:val="3"/>
            <w:tcBorders>
              <w:top w:val="single" w:sz="4" w:space="0" w:color="auto"/>
            </w:tcBorders>
          </w:tcPr>
          <w:p w:rsidR="00DF14DE" w:rsidRPr="00933CE7" w:rsidRDefault="00DF14DE" w:rsidP="00D23BF4">
            <w:pPr>
              <w:pStyle w:val="Tablelegend"/>
              <w:spacing w:before="0"/>
              <w:rPr>
                <w:b/>
                <w:bCs/>
                <w:lang w:val="fr-CH"/>
              </w:rPr>
            </w:pPr>
            <w:r w:rsidRPr="00933CE7">
              <w:rPr>
                <w:lang w:val="fr-CH"/>
              </w:rPr>
              <w:t>*</w:t>
            </w:r>
            <w:r w:rsidRPr="00933CE7">
              <w:rPr>
                <w:lang w:val="fr-CH"/>
              </w:rPr>
              <w:tab/>
              <w:t xml:space="preserve">Le coût de ces produits est imputé à tous les </w:t>
            </w:r>
            <w:r w:rsidR="00D23BF4">
              <w:rPr>
                <w:lang w:val="fr-CH"/>
              </w:rPr>
              <w:t>o</w:t>
            </w:r>
            <w:r w:rsidRPr="00933CE7">
              <w:rPr>
                <w:lang w:val="fr-CH"/>
              </w:rPr>
              <w:t>bjectifs de l'Union.</w:t>
            </w:r>
          </w:p>
        </w:tc>
      </w:tr>
    </w:tbl>
    <w:p w:rsidR="003846A0" w:rsidRDefault="003846A0">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3846A0" w:rsidRPr="00D61E87" w:rsidRDefault="003846A0" w:rsidP="003846A0">
      <w:pPr>
        <w:pStyle w:val="Heading1"/>
      </w:pPr>
      <w:r w:rsidRPr="00D61E87">
        <w:lastRenderedPageBreak/>
        <w:t>4</w:t>
      </w:r>
      <w:r w:rsidRPr="00D61E87">
        <w:tab/>
        <w:t>Analyse des risques</w:t>
      </w:r>
    </w:p>
    <w:p w:rsidR="003846A0" w:rsidRPr="00D61E87" w:rsidRDefault="003846A0" w:rsidP="003846A0">
      <w:pPr>
        <w:spacing w:after="120"/>
      </w:pPr>
      <w:r w:rsidRPr="00D61E87">
        <w:t xml:space="preserve">Dans l'optique du passage de la stratégie à la mise en </w:t>
      </w:r>
      <w:proofErr w:type="spellStart"/>
      <w:r w:rsidRPr="00D61E87">
        <w:t>oeuvre</w:t>
      </w:r>
      <w:proofErr w:type="spellEnd"/>
      <w:r w:rsidRPr="00D61E87">
        <w:t>,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12"/>
        <w:tblW w:w="15021" w:type="dxa"/>
        <w:tblInd w:w="-289" w:type="dxa"/>
        <w:tblLayout w:type="fixed"/>
        <w:tblLook w:val="04A0" w:firstRow="1" w:lastRow="0" w:firstColumn="1" w:lastColumn="0" w:noHBand="0" w:noVBand="1"/>
      </w:tblPr>
      <w:tblGrid>
        <w:gridCol w:w="1838"/>
        <w:gridCol w:w="4400"/>
        <w:gridCol w:w="1270"/>
        <w:gridCol w:w="1281"/>
        <w:gridCol w:w="6232"/>
      </w:tblGrid>
      <w:tr w:rsidR="003846A0" w:rsidRPr="008E65BA" w:rsidTr="008E65BA">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rsidR="003846A0" w:rsidRPr="008E65BA" w:rsidRDefault="00147C8F" w:rsidP="003846A0">
            <w:pPr>
              <w:pStyle w:val="Tablehead"/>
              <w:rPr>
                <w:b/>
                <w:bCs w:val="0"/>
                <w:sz w:val="20"/>
                <w:szCs w:val="20"/>
              </w:rPr>
            </w:pPr>
            <w:r w:rsidRPr="008E65BA">
              <w:rPr>
                <w:b/>
                <w:bCs w:val="0"/>
                <w:sz w:val="20"/>
                <w:szCs w:val="20"/>
              </w:rPr>
              <w:t>Type de risques</w:t>
            </w:r>
          </w:p>
        </w:tc>
        <w:tc>
          <w:tcPr>
            <w:tcW w:w="4400" w:type="dxa"/>
            <w:vAlign w:val="center"/>
            <w:hideMark/>
          </w:tcPr>
          <w:p w:rsidR="003846A0" w:rsidRPr="008E65BA" w:rsidRDefault="00147C8F" w:rsidP="003846A0">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E65BA">
              <w:rPr>
                <w:b/>
                <w:bCs w:val="0"/>
                <w:sz w:val="20"/>
                <w:szCs w:val="20"/>
              </w:rPr>
              <w:t>Description des risques</w:t>
            </w:r>
          </w:p>
        </w:tc>
        <w:tc>
          <w:tcPr>
            <w:tcW w:w="1270" w:type="dxa"/>
            <w:vAlign w:val="center"/>
            <w:hideMark/>
          </w:tcPr>
          <w:p w:rsidR="003846A0" w:rsidRPr="008E65BA" w:rsidRDefault="00147C8F" w:rsidP="003846A0">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E65BA">
              <w:rPr>
                <w:b/>
                <w:bCs w:val="0"/>
                <w:sz w:val="20"/>
                <w:szCs w:val="20"/>
              </w:rPr>
              <w:t>Probabilité</w:t>
            </w:r>
          </w:p>
        </w:tc>
        <w:tc>
          <w:tcPr>
            <w:tcW w:w="1281" w:type="dxa"/>
            <w:vAlign w:val="center"/>
            <w:hideMark/>
          </w:tcPr>
          <w:p w:rsidR="003846A0" w:rsidRPr="008E65BA" w:rsidRDefault="00147C8F" w:rsidP="003846A0">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E65BA">
              <w:rPr>
                <w:b/>
                <w:bCs w:val="0"/>
                <w:sz w:val="20"/>
                <w:szCs w:val="20"/>
              </w:rPr>
              <w:t>Niveau d'incidence</w:t>
            </w:r>
          </w:p>
        </w:tc>
        <w:tc>
          <w:tcPr>
            <w:tcW w:w="6232" w:type="dxa"/>
            <w:vAlign w:val="center"/>
            <w:hideMark/>
          </w:tcPr>
          <w:p w:rsidR="003846A0" w:rsidRPr="008E65BA" w:rsidRDefault="00147C8F" w:rsidP="003846A0">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E65BA">
              <w:rPr>
                <w:b/>
                <w:bCs w:val="0"/>
                <w:sz w:val="20"/>
                <w:szCs w:val="20"/>
              </w:rPr>
              <w:t>Mesures d'atténuation</w:t>
            </w:r>
            <w:r w:rsidR="003846A0" w:rsidRPr="008E65BA">
              <w:rPr>
                <w:rFonts w:eastAsia="Times New Roman" w:cs="Calibri"/>
                <w:b/>
                <w:bCs w:val="0"/>
                <w:position w:val="6"/>
                <w:sz w:val="20"/>
                <w:szCs w:val="20"/>
                <w:lang w:val="en-GB"/>
              </w:rPr>
              <w:footnoteReference w:id="1"/>
            </w:r>
          </w:p>
        </w:tc>
      </w:tr>
      <w:tr w:rsidR="003846A0" w:rsidRPr="00D61E87" w:rsidTr="008E65B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rsidR="003846A0" w:rsidRPr="00D61E87" w:rsidRDefault="003846A0" w:rsidP="003846A0">
            <w:pPr>
              <w:pStyle w:val="Tabletext"/>
            </w:pPr>
            <w:r w:rsidRPr="00D61E87">
              <w:t>R</w:t>
            </w:r>
            <w:r w:rsidR="00147C8F" w:rsidRPr="00D61E87">
              <w:t>isques opérationnels</w:t>
            </w:r>
          </w:p>
        </w:tc>
        <w:tc>
          <w:tcPr>
            <w:tcW w:w="4400" w:type="dxa"/>
            <w:hideMark/>
          </w:tcPr>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846A0">
              <w:rPr>
                <w:b/>
                <w:bCs/>
                <w:sz w:val="20"/>
              </w:rPr>
              <w:t>a)</w:t>
            </w:r>
            <w:r w:rsidRPr="00D61E87">
              <w:rPr>
                <w:sz w:val="20"/>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3846A0">
              <w:rPr>
                <w:b/>
                <w:bCs/>
                <w:sz w:val="20"/>
              </w:rPr>
              <w:t>b)</w:t>
            </w:r>
            <w:r w:rsidRPr="00D61E87">
              <w:rPr>
                <w:sz w:val="20"/>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270" w:type="dxa"/>
            <w:hideMark/>
          </w:tcPr>
          <w:p w:rsidR="003846A0" w:rsidRPr="00D61E87" w:rsidRDefault="003846A0" w:rsidP="003846A0">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D61E87">
              <w:rPr>
                <w:sz w:val="20"/>
              </w:rPr>
              <w:t>Faible</w:t>
            </w:r>
          </w:p>
        </w:tc>
        <w:tc>
          <w:tcPr>
            <w:tcW w:w="1281" w:type="dxa"/>
            <w:hideMark/>
          </w:tcPr>
          <w:p w:rsidR="003846A0" w:rsidRPr="00D61E87" w:rsidRDefault="003846A0" w:rsidP="003846A0">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D61E87">
              <w:rPr>
                <w:sz w:val="20"/>
              </w:rPr>
              <w:t>Très élevé</w:t>
            </w:r>
          </w:p>
        </w:tc>
        <w:tc>
          <w:tcPr>
            <w:tcW w:w="6232" w:type="dxa"/>
            <w:hideMark/>
          </w:tcPr>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D61E87">
              <w:rPr>
                <w:sz w:val="20"/>
              </w:rPr>
              <w:t>–</w:t>
            </w:r>
            <w:r w:rsidRPr="00D61E87">
              <w:rPr>
                <w:sz w:val="20"/>
              </w:rPr>
              <w:tab/>
              <w:t>Copie de secours quotidienne des données</w:t>
            </w:r>
          </w:p>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D61E87">
              <w:rPr>
                <w:sz w:val="20"/>
              </w:rPr>
              <w:t>–</w:t>
            </w:r>
            <w:r w:rsidRPr="00D61E87">
              <w:rPr>
                <w:sz w:val="20"/>
              </w:rPr>
              <w:tab/>
            </w:r>
            <w:proofErr w:type="spellStart"/>
            <w:r w:rsidRPr="00D61E87">
              <w:rPr>
                <w:sz w:val="20"/>
              </w:rPr>
              <w:t>Elaboration</w:t>
            </w:r>
            <w:proofErr w:type="spellEnd"/>
            <w:r w:rsidRPr="00D61E87">
              <w:rPr>
                <w:sz w:val="20"/>
              </w:rPr>
              <w:t xml:space="preserve"> d'un programme garantissant un haut niveau de sécurité des données</w:t>
            </w:r>
          </w:p>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D61E87">
              <w:rPr>
                <w:sz w:val="20"/>
              </w:rPr>
              <w:t>–</w:t>
            </w:r>
            <w:r w:rsidRPr="00D61E87">
              <w:rPr>
                <w:sz w:val="20"/>
              </w:rPr>
              <w:tab/>
              <w:t>Capacité de restaurer les données ou de rétablir le fonctionnement dans un délai limité</w:t>
            </w:r>
          </w:p>
        </w:tc>
      </w:tr>
      <w:tr w:rsidR="003846A0" w:rsidRPr="00D61E87" w:rsidTr="008E65BA">
        <w:tc>
          <w:tcPr>
            <w:cnfStyle w:val="001000000000" w:firstRow="0" w:lastRow="0" w:firstColumn="1" w:lastColumn="0" w:oddVBand="0" w:evenVBand="0" w:oddHBand="0" w:evenHBand="0" w:firstRowFirstColumn="0" w:firstRowLastColumn="0" w:lastRowFirstColumn="0" w:lastRowLastColumn="0"/>
            <w:tcW w:w="1838" w:type="dxa"/>
            <w:vMerge/>
            <w:hideMark/>
          </w:tcPr>
          <w:p w:rsidR="003846A0" w:rsidRPr="00D61E87" w:rsidRDefault="003846A0" w:rsidP="003846A0">
            <w:pPr>
              <w:pStyle w:val="Tabletext"/>
            </w:pPr>
          </w:p>
        </w:tc>
        <w:tc>
          <w:tcPr>
            <w:tcW w:w="4400" w:type="dxa"/>
          </w:tcPr>
          <w:p w:rsidR="003846A0" w:rsidRPr="00D61E87" w:rsidRDefault="003846A0" w:rsidP="003846A0">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3846A0">
              <w:rPr>
                <w:b/>
                <w:bCs/>
                <w:sz w:val="20"/>
              </w:rPr>
              <w:t>c)</w:t>
            </w:r>
            <w:r w:rsidRPr="00D61E87">
              <w:rPr>
                <w:sz w:val="20"/>
              </w:rPr>
              <w:tab/>
              <w:t>Cas de brouillage préjudiciable (en raison, par exemple, du non-respect des dispositions réglementaires) entraînant des interruptions des services de radiocommunication fournis par les membres.</w:t>
            </w:r>
          </w:p>
        </w:tc>
        <w:tc>
          <w:tcPr>
            <w:tcW w:w="1270" w:type="dxa"/>
            <w:hideMark/>
          </w:tcPr>
          <w:p w:rsidR="003846A0" w:rsidRPr="00D61E87" w:rsidRDefault="003846A0" w:rsidP="003846A0">
            <w:pPr>
              <w:pStyle w:val="Tabletext"/>
              <w:jc w:val="center"/>
              <w:cnfStyle w:val="000000000000" w:firstRow="0" w:lastRow="0" w:firstColumn="0" w:lastColumn="0" w:oddVBand="0" w:evenVBand="0" w:oddHBand="0" w:evenHBand="0" w:firstRowFirstColumn="0" w:firstRowLastColumn="0" w:lastRowFirstColumn="0" w:lastRowLastColumn="0"/>
              <w:rPr>
                <w:sz w:val="20"/>
              </w:rPr>
            </w:pPr>
            <w:r w:rsidRPr="00D61E87">
              <w:rPr>
                <w:sz w:val="20"/>
              </w:rPr>
              <w:t>Faible</w:t>
            </w:r>
          </w:p>
        </w:tc>
        <w:tc>
          <w:tcPr>
            <w:tcW w:w="1281" w:type="dxa"/>
            <w:hideMark/>
          </w:tcPr>
          <w:p w:rsidR="003846A0" w:rsidRPr="00D61E87" w:rsidRDefault="003846A0" w:rsidP="003846A0">
            <w:pPr>
              <w:pStyle w:val="Tabletext"/>
              <w:jc w:val="center"/>
              <w:cnfStyle w:val="000000000000" w:firstRow="0" w:lastRow="0" w:firstColumn="0" w:lastColumn="0" w:oddVBand="0" w:evenVBand="0" w:oddHBand="0" w:evenHBand="0" w:firstRowFirstColumn="0" w:firstRowLastColumn="0" w:lastRowFirstColumn="0" w:lastRowLastColumn="0"/>
              <w:rPr>
                <w:sz w:val="20"/>
              </w:rPr>
            </w:pPr>
            <w:proofErr w:type="spellStart"/>
            <w:r w:rsidRPr="00D61E87">
              <w:rPr>
                <w:sz w:val="20"/>
              </w:rPr>
              <w:t>Elevé</w:t>
            </w:r>
            <w:proofErr w:type="spellEnd"/>
          </w:p>
        </w:tc>
        <w:tc>
          <w:tcPr>
            <w:tcW w:w="6232" w:type="dxa"/>
            <w:hideMark/>
          </w:tcPr>
          <w:p w:rsidR="003846A0" w:rsidRPr="00D61E87" w:rsidRDefault="003846A0" w:rsidP="003846A0">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D61E87">
              <w:rPr>
                <w:sz w:val="20"/>
              </w:rPr>
              <w:t>–</w:t>
            </w:r>
            <w:r w:rsidRPr="00D61E87">
              <w:rPr>
                <w:sz w:val="20"/>
              </w:rPr>
              <w:tab/>
              <w:t>Promouvoir le renforcement des capacités en matière de réglementation internationale, dans le cadre de séminaires internationaux et régionaux et de toute autre manifestation appropriée</w:t>
            </w:r>
          </w:p>
          <w:p w:rsidR="003846A0" w:rsidRPr="00D61E87" w:rsidRDefault="003846A0" w:rsidP="003846A0">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D61E87">
              <w:rPr>
                <w:sz w:val="20"/>
              </w:rPr>
              <w:t>–</w:t>
            </w:r>
            <w:r w:rsidRPr="00D61E87">
              <w:rPr>
                <w:sz w:val="20"/>
              </w:rPr>
              <w:tab/>
              <w:t>Assistance du BR pour l'application de la réglementation internationale</w:t>
            </w:r>
          </w:p>
          <w:p w:rsidR="003846A0" w:rsidRPr="00D61E87" w:rsidRDefault="003846A0" w:rsidP="003846A0">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D61E87">
              <w:rPr>
                <w:sz w:val="20"/>
              </w:rPr>
              <w:t>–</w:t>
            </w:r>
            <w:r w:rsidRPr="00D61E87">
              <w:rPr>
                <w:sz w:val="20"/>
              </w:rPr>
              <w:tab/>
              <w:t xml:space="preserve">Encourager la coordination aux </w:t>
            </w:r>
            <w:proofErr w:type="gramStart"/>
            <w:r w:rsidRPr="00D61E87">
              <w:rPr>
                <w:sz w:val="20"/>
              </w:rPr>
              <w:t>niveaux régional</w:t>
            </w:r>
            <w:proofErr w:type="gramEnd"/>
            <w:r w:rsidRPr="00D61E87">
              <w:rPr>
                <w:sz w:val="20"/>
              </w:rPr>
              <w:t xml:space="preserve"> et </w:t>
            </w:r>
            <w:proofErr w:type="spellStart"/>
            <w:r w:rsidRPr="00D61E87">
              <w:rPr>
                <w:sz w:val="20"/>
              </w:rPr>
              <w:t>sous</w:t>
            </w:r>
            <w:r w:rsidRPr="00D61E87">
              <w:rPr>
                <w:sz w:val="20"/>
              </w:rPr>
              <w:noBreakHyphen/>
              <w:t>régional</w:t>
            </w:r>
            <w:proofErr w:type="spellEnd"/>
            <w:r w:rsidRPr="00D61E87">
              <w:rPr>
                <w:sz w:val="20"/>
              </w:rPr>
              <w:t xml:space="preserve"> pour résoudre les problèmes de brouillage, avec l'appui du BR</w:t>
            </w:r>
          </w:p>
          <w:p w:rsidR="003846A0" w:rsidRPr="00D61E87" w:rsidRDefault="003846A0" w:rsidP="00AE4A6E">
            <w:pPr>
              <w:pStyle w:val="Tabletext"/>
              <w:ind w:left="284" w:hanging="284"/>
              <w:cnfStyle w:val="000000000000" w:firstRow="0" w:lastRow="0" w:firstColumn="0" w:lastColumn="0" w:oddVBand="0" w:evenVBand="0" w:oddHBand="0" w:evenHBand="0" w:firstRowFirstColumn="0" w:firstRowLastColumn="0" w:lastRowFirstColumn="0" w:lastRowLastColumn="0"/>
              <w:rPr>
                <w:sz w:val="20"/>
              </w:rPr>
            </w:pPr>
            <w:r w:rsidRPr="00D61E87">
              <w:rPr>
                <w:sz w:val="20"/>
              </w:rPr>
              <w:t>–</w:t>
            </w:r>
            <w:r w:rsidRPr="00D61E87">
              <w:rPr>
                <w:sz w:val="20"/>
              </w:rPr>
              <w:tab/>
            </w:r>
            <w:proofErr w:type="spellStart"/>
            <w:r w:rsidRPr="00D61E87">
              <w:rPr>
                <w:sz w:val="20"/>
              </w:rPr>
              <w:t>Etablir</w:t>
            </w:r>
            <w:proofErr w:type="spellEnd"/>
            <w:r w:rsidRPr="00D61E87">
              <w:rPr>
                <w:sz w:val="20"/>
              </w:rPr>
              <w:t xml:space="preserve"> des rapports et diffuser des informations sur les cas de brouillage préjudiciable et aider à résoudre ces cas, conformément aux instructions d</w:t>
            </w:r>
            <w:bookmarkStart w:id="5" w:name="_GoBack"/>
            <w:bookmarkEnd w:id="5"/>
            <w:r w:rsidRPr="00D61E87">
              <w:rPr>
                <w:sz w:val="20"/>
              </w:rPr>
              <w:t>onnées au Directeur du Bureau dans la Résolution 186 (</w:t>
            </w:r>
            <w:proofErr w:type="spellStart"/>
            <w:r w:rsidR="00AE4A6E">
              <w:rPr>
                <w:sz w:val="20"/>
              </w:rPr>
              <w:t>Rév</w:t>
            </w:r>
            <w:proofErr w:type="spellEnd"/>
            <w:r w:rsidR="00AE4A6E">
              <w:rPr>
                <w:sz w:val="20"/>
              </w:rPr>
              <w:t xml:space="preserve">. Dubaï, </w:t>
            </w:r>
            <w:r w:rsidRPr="00D61E87">
              <w:rPr>
                <w:sz w:val="20"/>
              </w:rPr>
              <w:t>201</w:t>
            </w:r>
            <w:r w:rsidR="00AE4A6E">
              <w:rPr>
                <w:sz w:val="20"/>
              </w:rPr>
              <w:t>8</w:t>
            </w:r>
            <w:r w:rsidRPr="00D61E87">
              <w:rPr>
                <w:sz w:val="20"/>
              </w:rPr>
              <w:t>)</w:t>
            </w:r>
          </w:p>
        </w:tc>
      </w:tr>
      <w:tr w:rsidR="003846A0" w:rsidRPr="00D61E87" w:rsidTr="008E65B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38" w:type="dxa"/>
            <w:hideMark/>
          </w:tcPr>
          <w:p w:rsidR="003846A0" w:rsidRPr="00D61E87" w:rsidRDefault="003846A0" w:rsidP="003846A0">
            <w:pPr>
              <w:pStyle w:val="Tabletext"/>
            </w:pPr>
            <w:r w:rsidRPr="00D61E87">
              <w:t>R</w:t>
            </w:r>
            <w:r w:rsidR="00147C8F" w:rsidRPr="00D61E87">
              <w:t>isques organisationnels</w:t>
            </w:r>
          </w:p>
        </w:tc>
        <w:tc>
          <w:tcPr>
            <w:tcW w:w="4400" w:type="dxa"/>
            <w:hideMark/>
          </w:tcPr>
          <w:p w:rsidR="003846A0" w:rsidRPr="00D61E87" w:rsidRDefault="003846A0" w:rsidP="003846A0">
            <w:pPr>
              <w:pStyle w:val="Tabletext"/>
              <w:cnfStyle w:val="000000100000" w:firstRow="0" w:lastRow="0" w:firstColumn="0" w:lastColumn="0" w:oddVBand="0" w:evenVBand="0" w:oddHBand="1" w:evenHBand="0" w:firstRowFirstColumn="0" w:firstRowLastColumn="0" w:lastRowFirstColumn="0" w:lastRowLastColumn="0"/>
              <w:rPr>
                <w:sz w:val="20"/>
              </w:rPr>
            </w:pPr>
            <w:r w:rsidRPr="00D61E87">
              <w:rPr>
                <w:sz w:val="20"/>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270" w:type="dxa"/>
            <w:hideMark/>
          </w:tcPr>
          <w:p w:rsidR="003846A0" w:rsidRPr="00D61E87" w:rsidRDefault="003846A0" w:rsidP="003846A0">
            <w:pPr>
              <w:pStyle w:val="Tabletext"/>
              <w:jc w:val="center"/>
              <w:cnfStyle w:val="000000100000" w:firstRow="0" w:lastRow="0" w:firstColumn="0" w:lastColumn="0" w:oddVBand="0" w:evenVBand="0" w:oddHBand="1" w:evenHBand="0" w:firstRowFirstColumn="0" w:firstRowLastColumn="0" w:lastRowFirstColumn="0" w:lastRowLastColumn="0"/>
              <w:rPr>
                <w:sz w:val="20"/>
              </w:rPr>
            </w:pPr>
            <w:r w:rsidRPr="00D61E87">
              <w:rPr>
                <w:sz w:val="20"/>
              </w:rPr>
              <w:t>Moyen</w:t>
            </w:r>
          </w:p>
        </w:tc>
        <w:tc>
          <w:tcPr>
            <w:tcW w:w="1281" w:type="dxa"/>
            <w:hideMark/>
          </w:tcPr>
          <w:p w:rsidR="003846A0" w:rsidRPr="00D61E87" w:rsidRDefault="003846A0" w:rsidP="003846A0">
            <w:pPr>
              <w:pStyle w:val="Tabletext"/>
              <w:jc w:val="center"/>
              <w:cnfStyle w:val="000000100000" w:firstRow="0" w:lastRow="0" w:firstColumn="0" w:lastColumn="0" w:oddVBand="0" w:evenVBand="0" w:oddHBand="1" w:evenHBand="0" w:firstRowFirstColumn="0" w:firstRowLastColumn="0" w:lastRowFirstColumn="0" w:lastRowLastColumn="0"/>
              <w:rPr>
                <w:sz w:val="20"/>
              </w:rPr>
            </w:pPr>
            <w:proofErr w:type="spellStart"/>
            <w:r w:rsidRPr="00D61E87">
              <w:rPr>
                <w:sz w:val="20"/>
              </w:rPr>
              <w:t>Elevé</w:t>
            </w:r>
            <w:proofErr w:type="spellEnd"/>
          </w:p>
        </w:tc>
        <w:tc>
          <w:tcPr>
            <w:tcW w:w="6232" w:type="dxa"/>
            <w:hideMark/>
          </w:tcPr>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D61E87">
              <w:rPr>
                <w:sz w:val="20"/>
              </w:rPr>
              <w:t>–</w:t>
            </w:r>
            <w:r w:rsidRPr="00D61E87">
              <w:rPr>
                <w:sz w:val="20"/>
              </w:rPr>
              <w:tab/>
              <w:t>Organiser davantage de réunions à l'extérieur</w:t>
            </w:r>
          </w:p>
          <w:p w:rsidR="003846A0" w:rsidRPr="00D61E87" w:rsidRDefault="003846A0" w:rsidP="003846A0">
            <w:pPr>
              <w:pStyle w:val="Tabletext"/>
              <w:ind w:left="284" w:hanging="284"/>
              <w:cnfStyle w:val="000000100000" w:firstRow="0" w:lastRow="0" w:firstColumn="0" w:lastColumn="0" w:oddVBand="0" w:evenVBand="0" w:oddHBand="1" w:evenHBand="0" w:firstRowFirstColumn="0" w:firstRowLastColumn="0" w:lastRowFirstColumn="0" w:lastRowLastColumn="0"/>
              <w:rPr>
                <w:sz w:val="20"/>
              </w:rPr>
            </w:pPr>
            <w:r w:rsidRPr="00D61E87">
              <w:rPr>
                <w:sz w:val="20"/>
              </w:rPr>
              <w:t>–</w:t>
            </w:r>
            <w:r w:rsidRPr="00D61E87">
              <w:rPr>
                <w:sz w:val="20"/>
              </w:rPr>
              <w:tab/>
            </w:r>
            <w:proofErr w:type="spellStart"/>
            <w:r w:rsidRPr="00D61E87">
              <w:rPr>
                <w:sz w:val="20"/>
              </w:rPr>
              <w:t>Etendre</w:t>
            </w:r>
            <w:proofErr w:type="spellEnd"/>
            <w:r w:rsidRPr="00D61E87">
              <w:rPr>
                <w:sz w:val="20"/>
              </w:rPr>
              <w:t xml:space="preserve"> l'utilisation des salles de réunion virtuelles pour les petites réunions</w:t>
            </w:r>
          </w:p>
        </w:tc>
      </w:tr>
    </w:tbl>
    <w:p w:rsidR="00D970D4" w:rsidRPr="00933CE7" w:rsidRDefault="003846A0" w:rsidP="00F077A9">
      <w:pPr>
        <w:pStyle w:val="Heading1"/>
        <w:rPr>
          <w:lang w:val="fr-CH"/>
        </w:rPr>
      </w:pPr>
      <w:r>
        <w:rPr>
          <w:lang w:val="fr-CH"/>
        </w:rPr>
        <w:lastRenderedPageBreak/>
        <w:t>5</w:t>
      </w:r>
      <w:r w:rsidR="00D970D4" w:rsidRPr="00933CE7">
        <w:rPr>
          <w:lang w:val="fr-CH"/>
        </w:rPr>
        <w:tab/>
        <w:t xml:space="preserve">Objectifs, résultats et produits pour la période </w:t>
      </w:r>
      <w:r w:rsidR="002A285C" w:rsidRPr="00933CE7">
        <w:rPr>
          <w:lang w:val="fr-CH"/>
        </w:rPr>
        <w:t>2020-2023</w:t>
      </w:r>
    </w:p>
    <w:p w:rsidR="00D970D4" w:rsidRPr="00933CE7" w:rsidRDefault="00D970D4" w:rsidP="00F077A9">
      <w:pPr>
        <w:rPr>
          <w:lang w:val="fr-CH"/>
        </w:rPr>
      </w:pPr>
      <w:r w:rsidRPr="00933CE7">
        <w:rPr>
          <w:lang w:val="fr-CH"/>
        </w:rPr>
        <w:t xml:space="preserve">Les objectifs seront atteints en obtenant les résultats correspondants, dans le cadre de la mise en </w:t>
      </w:r>
      <w:r w:rsidR="00AA436F">
        <w:rPr>
          <w:lang w:val="fr-CH"/>
        </w:rPr>
        <w:t>œ</w:t>
      </w:r>
      <w:r w:rsidRPr="00933CE7">
        <w:rPr>
          <w:lang w:val="fr-CH"/>
        </w:rPr>
        <w:t xml:space="preserve">uvre des produits. Les objectifs </w:t>
      </w:r>
      <w:r w:rsidR="00E8126C" w:rsidRPr="00933CE7">
        <w:rPr>
          <w:lang w:val="fr-CH"/>
        </w:rPr>
        <w:t xml:space="preserve">propres aux Secteurs et </w:t>
      </w:r>
      <w:r w:rsidR="003C1640" w:rsidRPr="00933CE7">
        <w:rPr>
          <w:lang w:val="fr-CH"/>
        </w:rPr>
        <w:t xml:space="preserve">les objectifs </w:t>
      </w:r>
      <w:r w:rsidR="00E8126C" w:rsidRPr="00933CE7">
        <w:rPr>
          <w:lang w:val="fr-CH"/>
        </w:rPr>
        <w:t>intersectoriels</w:t>
      </w:r>
      <w:r w:rsidRPr="00933CE7">
        <w:rPr>
          <w:lang w:val="fr-CH"/>
        </w:rPr>
        <w:t>, corre</w:t>
      </w:r>
      <w:r w:rsidR="00E8126C" w:rsidRPr="00933CE7">
        <w:rPr>
          <w:lang w:val="fr-CH"/>
        </w:rPr>
        <w:t xml:space="preserve">spondant aux attributions de chaque </w:t>
      </w:r>
      <w:r w:rsidRPr="00933CE7">
        <w:rPr>
          <w:lang w:val="fr-CH"/>
        </w:rPr>
        <w:t>Secteur</w:t>
      </w:r>
      <w:r w:rsidR="003C1640" w:rsidRPr="00933CE7">
        <w:rPr>
          <w:lang w:val="fr-CH"/>
        </w:rPr>
        <w:t xml:space="preserve"> et du Secrétariat général</w:t>
      </w:r>
      <w:r w:rsidRPr="00933CE7">
        <w:rPr>
          <w:lang w:val="fr-CH"/>
        </w:rPr>
        <w:t xml:space="preserve">, contribueront à atteindre les buts fondamentaux de l'Union. </w:t>
      </w:r>
    </w:p>
    <w:p w:rsidR="00135CB3" w:rsidRPr="00933CE7" w:rsidRDefault="003846A0" w:rsidP="00F077A9">
      <w:pPr>
        <w:pStyle w:val="Heading2"/>
        <w:rPr>
          <w:lang w:val="fr-CH"/>
        </w:rPr>
      </w:pPr>
      <w:r>
        <w:rPr>
          <w:lang w:val="fr-CH"/>
        </w:rPr>
        <w:t>5</w:t>
      </w:r>
      <w:r w:rsidR="00135CB3" w:rsidRPr="00933CE7">
        <w:rPr>
          <w:lang w:val="fr-CH"/>
        </w:rPr>
        <w:t>.1</w:t>
      </w:r>
      <w:r w:rsidR="00135CB3" w:rsidRPr="00933CE7">
        <w:rPr>
          <w:lang w:val="fr-CH"/>
        </w:rPr>
        <w:tab/>
        <w:t>UIT-R</w:t>
      </w:r>
    </w:p>
    <w:p w:rsidR="00D970D4" w:rsidRPr="00933CE7" w:rsidRDefault="00D970D4" w:rsidP="003846A0">
      <w:pPr>
        <w:spacing w:after="120"/>
        <w:rPr>
          <w:lang w:val="fr-CH"/>
        </w:rPr>
      </w:pPr>
      <w:r w:rsidRPr="00933CE7">
        <w:rPr>
          <w:lang w:val="fr-CH"/>
        </w:rPr>
        <w:t>R.1:</w:t>
      </w:r>
      <w:r w:rsidRPr="00933CE7">
        <w:rPr>
          <w:lang w:val="fr-CH"/>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00AF2A1A">
        <w:rPr>
          <w:lang w:val="fr-CH"/>
        </w:rPr>
        <w:t>.</w:t>
      </w: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0"/>
        <w:gridCol w:w="4958"/>
        <w:gridCol w:w="851"/>
        <w:gridCol w:w="851"/>
        <w:gridCol w:w="851"/>
        <w:gridCol w:w="851"/>
        <w:gridCol w:w="1170"/>
        <w:gridCol w:w="1564"/>
      </w:tblGrid>
      <w:tr w:rsidR="00D970D4" w:rsidRPr="00933CE7" w:rsidTr="00D23BF4">
        <w:trPr>
          <w:trHeight w:val="320"/>
          <w:tblHeader/>
          <w:jc w:val="center"/>
        </w:trPr>
        <w:tc>
          <w:tcPr>
            <w:tcW w:w="3930"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Résultat</w:t>
            </w:r>
          </w:p>
        </w:tc>
        <w:tc>
          <w:tcPr>
            <w:tcW w:w="4958" w:type="dxa"/>
            <w:shd w:val="clear" w:color="000000" w:fill="2F75B5"/>
            <w:noWrap/>
            <w:hideMark/>
          </w:tcPr>
          <w:p w:rsidR="00D970D4" w:rsidRPr="00933CE7" w:rsidRDefault="00D970D4"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Indicateur de résultats</w:t>
            </w:r>
          </w:p>
        </w:tc>
        <w:tc>
          <w:tcPr>
            <w:tcW w:w="851" w:type="dxa"/>
            <w:shd w:val="clear" w:color="000000" w:fill="2F75B5"/>
          </w:tcPr>
          <w:p w:rsidR="00D970D4" w:rsidRPr="00933CE7" w:rsidRDefault="00D970D4"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w:t>
            </w:r>
            <w:r w:rsidR="00B31B4F" w:rsidRPr="00933CE7">
              <w:rPr>
                <w:rFonts w:eastAsiaTheme="minorHAnsi"/>
                <w:color w:val="FFFFFF" w:themeColor="background1"/>
                <w:sz w:val="20"/>
                <w:lang w:val="fr-CH"/>
              </w:rPr>
              <w:t>5</w:t>
            </w:r>
          </w:p>
        </w:tc>
        <w:tc>
          <w:tcPr>
            <w:tcW w:w="851" w:type="dxa"/>
            <w:shd w:val="clear" w:color="000000" w:fill="2F75B5"/>
            <w:noWrap/>
            <w:hideMark/>
          </w:tcPr>
          <w:p w:rsidR="00D970D4" w:rsidRPr="00933CE7" w:rsidRDefault="00D970D4"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w:t>
            </w:r>
            <w:r w:rsidR="00B31B4F" w:rsidRPr="00933CE7">
              <w:rPr>
                <w:rFonts w:eastAsiaTheme="minorHAnsi"/>
                <w:color w:val="FFFFFF" w:themeColor="background1"/>
                <w:sz w:val="20"/>
                <w:lang w:val="fr-CH"/>
              </w:rPr>
              <w:t>6</w:t>
            </w:r>
          </w:p>
        </w:tc>
        <w:tc>
          <w:tcPr>
            <w:tcW w:w="851" w:type="dxa"/>
            <w:shd w:val="clear" w:color="000000" w:fill="2F75B5"/>
            <w:noWrap/>
            <w:hideMark/>
          </w:tcPr>
          <w:p w:rsidR="00D970D4" w:rsidRPr="00933CE7" w:rsidRDefault="00D970D4"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w:t>
            </w:r>
            <w:r w:rsidR="00B31B4F" w:rsidRPr="00933CE7">
              <w:rPr>
                <w:rFonts w:eastAsiaTheme="minorHAnsi"/>
                <w:color w:val="FFFFFF" w:themeColor="background1"/>
                <w:sz w:val="20"/>
                <w:lang w:val="fr-CH"/>
              </w:rPr>
              <w:t>7</w:t>
            </w:r>
          </w:p>
        </w:tc>
        <w:tc>
          <w:tcPr>
            <w:tcW w:w="851" w:type="dxa"/>
            <w:shd w:val="clear" w:color="000000" w:fill="2F75B5"/>
          </w:tcPr>
          <w:p w:rsidR="00D970D4" w:rsidRPr="00933CE7" w:rsidRDefault="00D970D4"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w:t>
            </w:r>
            <w:r w:rsidR="00B31B4F" w:rsidRPr="00933CE7">
              <w:rPr>
                <w:rFonts w:eastAsiaTheme="minorHAnsi"/>
                <w:color w:val="FFFFFF" w:themeColor="background1"/>
                <w:sz w:val="20"/>
                <w:lang w:val="fr-CH"/>
              </w:rPr>
              <w:t>8</w:t>
            </w:r>
          </w:p>
        </w:tc>
        <w:tc>
          <w:tcPr>
            <w:tcW w:w="1170"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Cible pour 20</w:t>
            </w:r>
            <w:r w:rsidR="00B31B4F" w:rsidRPr="00933CE7">
              <w:rPr>
                <w:rFonts w:eastAsiaTheme="minorHAnsi"/>
                <w:color w:val="FFFFFF" w:themeColor="background1"/>
                <w:sz w:val="20"/>
                <w:lang w:val="fr-CH"/>
              </w:rPr>
              <w:t>23</w:t>
            </w:r>
          </w:p>
        </w:tc>
        <w:tc>
          <w:tcPr>
            <w:tcW w:w="1564"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Source</w:t>
            </w:r>
          </w:p>
        </w:tc>
      </w:tr>
      <w:tr w:rsidR="00B31B4F" w:rsidRPr="00933CE7" w:rsidTr="00D23BF4">
        <w:trPr>
          <w:trHeight w:val="320"/>
          <w:jc w:val="center"/>
        </w:trPr>
        <w:tc>
          <w:tcPr>
            <w:tcW w:w="3930" w:type="dxa"/>
            <w:vMerge w:val="restart"/>
            <w:shd w:val="clear" w:color="auto" w:fill="auto"/>
            <w:hideMark/>
          </w:tcPr>
          <w:p w:rsidR="00B31B4F" w:rsidRPr="00933CE7" w:rsidRDefault="00B31B4F" w:rsidP="00F077A9">
            <w:pPr>
              <w:pStyle w:val="Tabletext"/>
              <w:rPr>
                <w:sz w:val="20"/>
                <w:lang w:val="fr-CH"/>
              </w:rPr>
            </w:pPr>
            <w:r w:rsidRPr="00933CE7">
              <w:rPr>
                <w:rFonts w:eastAsia="Calibri" w:cs="Arial"/>
                <w:b/>
                <w:bCs/>
                <w:color w:val="4F81BD" w:themeColor="accent1"/>
                <w:sz w:val="20"/>
                <w:lang w:val="fr-CH"/>
              </w:rPr>
              <w:t>R.1-1</w:t>
            </w:r>
            <w:r w:rsidRPr="00933CE7">
              <w:rPr>
                <w:rFonts w:eastAsia="Calibri" w:cs="Arial"/>
                <w:sz w:val="20"/>
                <w:lang w:val="fr-CH"/>
              </w:rPr>
              <w:t xml:space="preserve">: </w:t>
            </w:r>
            <w:r w:rsidRPr="00933CE7">
              <w:rPr>
                <w:sz w:val="20"/>
                <w:lang w:val="fr-CH"/>
              </w:rPr>
              <w:t>Nombre accru de pays ayant des réseaux à satellite et des stations terriennes inscrits dans le Fichier de référence international des fréquences (Fichier de référence)</w:t>
            </w:r>
          </w:p>
        </w:tc>
        <w:tc>
          <w:tcPr>
            <w:tcW w:w="4958" w:type="dxa"/>
            <w:shd w:val="clear" w:color="auto" w:fill="auto"/>
            <w:hideMark/>
          </w:tcPr>
          <w:p w:rsidR="00B31B4F" w:rsidRPr="00933CE7" w:rsidRDefault="00B31B4F" w:rsidP="00F077A9">
            <w:pPr>
              <w:pStyle w:val="Tabletext"/>
              <w:rPr>
                <w:rFonts w:asciiTheme="minorHAnsi" w:hAnsiTheme="minorHAnsi"/>
                <w:color w:val="000000"/>
                <w:sz w:val="20"/>
                <w:lang w:val="fr-CH" w:eastAsia="fr-FR"/>
              </w:rPr>
            </w:pPr>
            <w:r w:rsidRPr="00933CE7">
              <w:rPr>
                <w:sz w:val="20"/>
                <w:lang w:val="fr-CH"/>
              </w:rPr>
              <w:t>Nombre de pays ayant des réseaux à satellite inscrits dans le Fichier de référence international des fréquences</w:t>
            </w:r>
          </w:p>
        </w:tc>
        <w:tc>
          <w:tcPr>
            <w:tcW w:w="851" w:type="dxa"/>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52</w:t>
            </w:r>
          </w:p>
        </w:tc>
        <w:tc>
          <w:tcPr>
            <w:tcW w:w="851" w:type="dxa"/>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56</w:t>
            </w:r>
          </w:p>
        </w:tc>
        <w:tc>
          <w:tcPr>
            <w:tcW w:w="851" w:type="dxa"/>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63</w:t>
            </w:r>
          </w:p>
        </w:tc>
        <w:tc>
          <w:tcPr>
            <w:tcW w:w="851" w:type="dxa"/>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69</w:t>
            </w:r>
          </w:p>
        </w:tc>
        <w:tc>
          <w:tcPr>
            <w:tcW w:w="1170" w:type="dxa"/>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70</w:t>
            </w:r>
          </w:p>
        </w:tc>
        <w:tc>
          <w:tcPr>
            <w:tcW w:w="1564" w:type="dxa"/>
            <w:vMerge w:val="restart"/>
            <w:shd w:val="clear" w:color="auto" w:fill="auto"/>
            <w:noWrap/>
            <w:hideMark/>
          </w:tcPr>
          <w:p w:rsidR="00B31B4F" w:rsidRPr="00933CE7" w:rsidRDefault="00B31B4F" w:rsidP="00F077A9">
            <w:pPr>
              <w:pStyle w:val="Tabletext"/>
              <w:rPr>
                <w:rFonts w:asciiTheme="minorHAnsi" w:hAnsiTheme="minorHAnsi"/>
                <w:sz w:val="20"/>
                <w:lang w:val="fr-CH" w:eastAsia="fr-FR"/>
              </w:rPr>
            </w:pPr>
            <w:r w:rsidRPr="00933CE7">
              <w:rPr>
                <w:sz w:val="20"/>
                <w:lang w:val="fr-CH"/>
              </w:rPr>
              <w:t>Fichier de référence international des fréquences/BR</w:t>
            </w:r>
          </w:p>
        </w:tc>
      </w:tr>
      <w:tr w:rsidR="00B31B4F" w:rsidRPr="00933CE7" w:rsidTr="00D23BF4">
        <w:trPr>
          <w:trHeight w:val="285"/>
          <w:jc w:val="center"/>
        </w:trPr>
        <w:tc>
          <w:tcPr>
            <w:tcW w:w="3930" w:type="dxa"/>
            <w:vMerge/>
            <w:tcBorders>
              <w:bottom w:val="single" w:sz="6" w:space="0" w:color="auto"/>
            </w:tcBorders>
            <w:hideMark/>
          </w:tcPr>
          <w:p w:rsidR="00B31B4F" w:rsidRPr="00933CE7" w:rsidRDefault="00B31B4F" w:rsidP="00F077A9">
            <w:pPr>
              <w:pStyle w:val="Tabletext"/>
              <w:rPr>
                <w:rFonts w:asciiTheme="minorHAnsi" w:hAnsiTheme="minorHAnsi"/>
                <w:b/>
                <w:bCs/>
                <w:color w:val="000000"/>
                <w:sz w:val="20"/>
                <w:lang w:val="fr-CH" w:eastAsia="fr-FR"/>
              </w:rPr>
            </w:pPr>
          </w:p>
        </w:tc>
        <w:tc>
          <w:tcPr>
            <w:tcW w:w="4958" w:type="dxa"/>
            <w:tcBorders>
              <w:bottom w:val="single" w:sz="6" w:space="0" w:color="auto"/>
            </w:tcBorders>
            <w:shd w:val="clear" w:color="auto" w:fill="auto"/>
            <w:hideMark/>
          </w:tcPr>
          <w:p w:rsidR="00B31B4F" w:rsidRPr="00933CE7" w:rsidRDefault="00B31B4F" w:rsidP="00F077A9">
            <w:pPr>
              <w:pStyle w:val="Tabletext"/>
              <w:rPr>
                <w:rFonts w:asciiTheme="minorHAnsi" w:hAnsiTheme="minorHAnsi"/>
                <w:color w:val="000000"/>
                <w:sz w:val="20"/>
                <w:lang w:val="fr-CH" w:eastAsia="fr-FR"/>
              </w:rPr>
            </w:pPr>
            <w:r w:rsidRPr="00933CE7">
              <w:rPr>
                <w:sz w:val="20"/>
                <w:lang w:val="fr-CH"/>
              </w:rPr>
              <w:t>Nombre de pays ayant des stations terriennes inscrites dans le Ficher de référence international des fréquences</w:t>
            </w:r>
          </w:p>
        </w:tc>
        <w:tc>
          <w:tcPr>
            <w:tcW w:w="851" w:type="dxa"/>
            <w:tcBorders>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76</w:t>
            </w:r>
          </w:p>
        </w:tc>
        <w:tc>
          <w:tcPr>
            <w:tcW w:w="851" w:type="dxa"/>
            <w:tcBorders>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77</w:t>
            </w:r>
          </w:p>
        </w:tc>
        <w:tc>
          <w:tcPr>
            <w:tcW w:w="851" w:type="dxa"/>
            <w:tcBorders>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78</w:t>
            </w:r>
          </w:p>
        </w:tc>
        <w:tc>
          <w:tcPr>
            <w:tcW w:w="851" w:type="dxa"/>
            <w:tcBorders>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81</w:t>
            </w:r>
          </w:p>
        </w:tc>
        <w:tc>
          <w:tcPr>
            <w:tcW w:w="1170" w:type="dxa"/>
            <w:tcBorders>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120</w:t>
            </w:r>
          </w:p>
        </w:tc>
        <w:tc>
          <w:tcPr>
            <w:tcW w:w="1564" w:type="dxa"/>
            <w:vMerge/>
            <w:tcBorders>
              <w:bottom w:val="single" w:sz="6" w:space="0" w:color="auto"/>
            </w:tcBorders>
            <w:hideMark/>
          </w:tcPr>
          <w:p w:rsidR="00B31B4F" w:rsidRPr="00933CE7" w:rsidRDefault="00B31B4F" w:rsidP="00F077A9">
            <w:pPr>
              <w:pStyle w:val="Tabletext"/>
              <w:rPr>
                <w:rFonts w:asciiTheme="minorHAnsi" w:hAnsiTheme="minorHAnsi"/>
                <w:sz w:val="20"/>
                <w:lang w:val="fr-CH" w:eastAsia="fr-FR"/>
              </w:rPr>
            </w:pPr>
          </w:p>
        </w:tc>
      </w:tr>
      <w:tr w:rsidR="00B31B4F" w:rsidRPr="00933CE7" w:rsidTr="00D23BF4">
        <w:trPr>
          <w:trHeight w:val="345"/>
          <w:jc w:val="center"/>
        </w:trPr>
        <w:tc>
          <w:tcPr>
            <w:tcW w:w="3930" w:type="dxa"/>
            <w:vMerge w:val="restart"/>
            <w:tcBorders>
              <w:top w:val="single" w:sz="6" w:space="0" w:color="auto"/>
              <w:bottom w:val="single" w:sz="6" w:space="0" w:color="auto"/>
            </w:tcBorders>
            <w:shd w:val="clear" w:color="auto" w:fill="auto"/>
            <w:hideMark/>
          </w:tcPr>
          <w:p w:rsidR="00B31B4F" w:rsidRPr="00933CE7" w:rsidRDefault="00B31B4F" w:rsidP="00F077A9">
            <w:pPr>
              <w:pStyle w:val="Tabletext"/>
              <w:rPr>
                <w:b/>
                <w:bCs/>
                <w:color w:val="5B9BD5"/>
                <w:sz w:val="20"/>
                <w:lang w:val="fr-CH"/>
              </w:rPr>
            </w:pPr>
            <w:r w:rsidRPr="00933CE7">
              <w:rPr>
                <w:rFonts w:eastAsia="Calibri" w:cs="Arial"/>
                <w:b/>
                <w:bCs/>
                <w:color w:val="4F81BD" w:themeColor="accent1"/>
                <w:sz w:val="20"/>
                <w:lang w:val="fr-CH"/>
              </w:rPr>
              <w:t>R.1-2</w:t>
            </w:r>
            <w:r w:rsidRPr="00933CE7">
              <w:rPr>
                <w:rFonts w:eastAsia="Calibri" w:cs="Arial"/>
                <w:sz w:val="20"/>
                <w:lang w:val="fr-CH"/>
              </w:rPr>
              <w:t xml:space="preserve">: </w:t>
            </w:r>
            <w:r w:rsidRPr="00933CE7">
              <w:rPr>
                <w:sz w:val="20"/>
                <w:lang w:val="fr-CH"/>
              </w:rPr>
              <w:t>Nombre accru de pays pour lesquels des assignations de fréquence à des services de Terre sont inscrites dans le Fichier de référence</w:t>
            </w:r>
            <w:r w:rsidRPr="00933CE7">
              <w:rPr>
                <w:b/>
                <w:bCs/>
                <w:color w:val="5B9BD5"/>
                <w:sz w:val="20"/>
                <w:lang w:val="fr-CH"/>
              </w:rPr>
              <w:t xml:space="preserve"> </w:t>
            </w:r>
          </w:p>
        </w:tc>
        <w:tc>
          <w:tcPr>
            <w:tcW w:w="4958" w:type="dxa"/>
            <w:tcBorders>
              <w:top w:val="single" w:sz="6" w:space="0" w:color="auto"/>
              <w:bottom w:val="single" w:sz="6" w:space="0" w:color="auto"/>
            </w:tcBorders>
            <w:shd w:val="clear" w:color="auto" w:fill="auto"/>
            <w:hideMark/>
          </w:tcPr>
          <w:p w:rsidR="00B31B4F" w:rsidRPr="00933CE7" w:rsidRDefault="00B31B4F" w:rsidP="00F077A9">
            <w:pPr>
              <w:pStyle w:val="Tabletext"/>
              <w:rPr>
                <w:b/>
                <w:bCs/>
                <w:color w:val="5B9BD5"/>
                <w:sz w:val="20"/>
                <w:lang w:val="fr-CH"/>
              </w:rPr>
            </w:pPr>
            <w:r w:rsidRPr="00933CE7">
              <w:rPr>
                <w:sz w:val="20"/>
                <w:lang w:val="fr-CH"/>
              </w:rPr>
              <w:t>Nombre de pays pour lesquels des assignations de fréquence à des services de Terre sont inscrites dans le Fichier de référence international  des fréquences</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190</w:t>
            </w:r>
          </w:p>
        </w:tc>
        <w:tc>
          <w:tcPr>
            <w:tcW w:w="851" w:type="dxa"/>
            <w:tcBorders>
              <w:top w:val="single" w:sz="6" w:space="0" w:color="auto"/>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190</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190</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192</w:t>
            </w:r>
          </w:p>
        </w:tc>
        <w:tc>
          <w:tcPr>
            <w:tcW w:w="1170"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193</w:t>
            </w:r>
          </w:p>
        </w:tc>
        <w:tc>
          <w:tcPr>
            <w:tcW w:w="1564" w:type="dxa"/>
            <w:vMerge w:val="restart"/>
            <w:tcBorders>
              <w:top w:val="single" w:sz="6" w:space="0" w:color="auto"/>
              <w:bottom w:val="single" w:sz="6" w:space="0" w:color="auto"/>
            </w:tcBorders>
            <w:shd w:val="clear" w:color="auto" w:fill="auto"/>
            <w:noWrap/>
            <w:hideMark/>
          </w:tcPr>
          <w:p w:rsidR="00B31B4F" w:rsidRPr="00933CE7" w:rsidRDefault="00B31B4F" w:rsidP="00F077A9">
            <w:pPr>
              <w:pStyle w:val="Tabletext"/>
              <w:rPr>
                <w:b/>
                <w:bCs/>
                <w:color w:val="5B9BD5"/>
                <w:sz w:val="20"/>
                <w:lang w:val="fr-CH"/>
              </w:rPr>
            </w:pPr>
            <w:r w:rsidRPr="00933CE7">
              <w:rPr>
                <w:sz w:val="20"/>
                <w:lang w:val="fr-CH"/>
              </w:rPr>
              <w:t>Fichier de référence international des fréquences/BR</w:t>
            </w:r>
          </w:p>
        </w:tc>
      </w:tr>
      <w:tr w:rsidR="00B31B4F" w:rsidRPr="00933CE7" w:rsidTr="00D23BF4">
        <w:trPr>
          <w:trHeight w:val="877"/>
          <w:jc w:val="center"/>
        </w:trPr>
        <w:tc>
          <w:tcPr>
            <w:tcW w:w="3930"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color w:val="000000"/>
                <w:sz w:val="20"/>
                <w:lang w:val="fr-CH" w:eastAsia="fr-FR"/>
              </w:rPr>
            </w:pPr>
            <w:r w:rsidRPr="00933CE7">
              <w:rPr>
                <w:sz w:val="20"/>
                <w:lang w:val="fr-CH"/>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84</w:t>
            </w:r>
          </w:p>
        </w:tc>
        <w:tc>
          <w:tcPr>
            <w:tcW w:w="851" w:type="dxa"/>
            <w:tcBorders>
              <w:top w:val="single" w:sz="6" w:space="0" w:color="auto"/>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79</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81</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81</w:t>
            </w:r>
          </w:p>
        </w:tc>
        <w:tc>
          <w:tcPr>
            <w:tcW w:w="1170" w:type="dxa"/>
            <w:tcBorders>
              <w:top w:val="single" w:sz="6" w:space="0" w:color="auto"/>
              <w:bottom w:val="single" w:sz="6" w:space="0" w:color="auto"/>
            </w:tcBorders>
            <w:shd w:val="clear" w:color="auto" w:fill="auto"/>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90</w:t>
            </w:r>
          </w:p>
        </w:tc>
        <w:tc>
          <w:tcPr>
            <w:tcW w:w="1564"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sz w:val="20"/>
                <w:lang w:val="fr-CH" w:eastAsia="fr-FR"/>
              </w:rPr>
            </w:pPr>
          </w:p>
        </w:tc>
      </w:tr>
      <w:tr w:rsidR="00B31B4F" w:rsidRPr="00933CE7" w:rsidTr="00D23BF4">
        <w:trPr>
          <w:jc w:val="center"/>
        </w:trPr>
        <w:tc>
          <w:tcPr>
            <w:tcW w:w="3930" w:type="dxa"/>
            <w:vMerge w:val="restart"/>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b/>
                <w:bCs/>
                <w:color w:val="000000"/>
                <w:sz w:val="20"/>
                <w:lang w:val="fr-CH" w:eastAsia="fr-FR"/>
              </w:rPr>
            </w:pPr>
            <w:r w:rsidRPr="00933CE7">
              <w:rPr>
                <w:rFonts w:eastAsia="Calibri" w:cs="Arial"/>
                <w:b/>
                <w:bCs/>
                <w:color w:val="4F81BD" w:themeColor="accent1"/>
                <w:sz w:val="20"/>
                <w:lang w:val="fr-CH"/>
              </w:rPr>
              <w:t>R.1-3</w:t>
            </w:r>
            <w:r w:rsidRPr="00933CE7">
              <w:rPr>
                <w:rFonts w:eastAsia="Calibri" w:cs="Arial"/>
                <w:sz w:val="20"/>
                <w:lang w:val="fr-CH"/>
              </w:rPr>
              <w:t xml:space="preserve">: </w:t>
            </w:r>
            <w:r w:rsidRPr="00933CE7">
              <w:rPr>
                <w:sz w:val="20"/>
                <w:lang w:val="fr-CH"/>
              </w:rPr>
              <w:t>Pourcentage accru d'assignations inscrites dans le Fichier de référence avec une conclusion favorable</w:t>
            </w:r>
            <w:r w:rsidRPr="00933CE7">
              <w:rPr>
                <w:rFonts w:asciiTheme="minorHAnsi" w:hAnsiTheme="minorHAnsi"/>
                <w:b/>
                <w:bCs/>
                <w:color w:val="000000"/>
                <w:sz w:val="20"/>
                <w:lang w:val="fr-CH" w:eastAsia="fr-FR"/>
              </w:rPr>
              <w:t xml:space="preserve"> </w:t>
            </w:r>
          </w:p>
        </w:tc>
        <w:tc>
          <w:tcPr>
            <w:tcW w:w="4958" w:type="dxa"/>
            <w:tcBorders>
              <w:top w:val="single" w:sz="6" w:space="0" w:color="auto"/>
              <w:bottom w:val="single" w:sz="6" w:space="0" w:color="auto"/>
            </w:tcBorders>
            <w:shd w:val="clear" w:color="auto" w:fill="auto"/>
            <w:noWrap/>
            <w:hideMark/>
          </w:tcPr>
          <w:p w:rsidR="00B31B4F" w:rsidRPr="00933CE7" w:rsidRDefault="00B31B4F" w:rsidP="00F077A9">
            <w:pPr>
              <w:pStyle w:val="Tabletext"/>
              <w:rPr>
                <w:rFonts w:asciiTheme="minorHAnsi" w:hAnsiTheme="minorHAnsi"/>
                <w:color w:val="000000"/>
                <w:sz w:val="20"/>
                <w:lang w:val="fr-CH" w:eastAsia="fr-FR"/>
              </w:rPr>
            </w:pPr>
            <w:r w:rsidRPr="00933CE7">
              <w:rPr>
                <w:rFonts w:eastAsia="Calibri" w:cs="Arial"/>
                <w:sz w:val="20"/>
                <w:lang w:val="fr-CH"/>
              </w:rPr>
              <w:t>Assignations assujetties à la coordination (services de Terre)</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99,87%</w:t>
            </w:r>
          </w:p>
        </w:tc>
        <w:tc>
          <w:tcPr>
            <w:tcW w:w="851" w:type="dxa"/>
            <w:tcBorders>
              <w:top w:val="single" w:sz="6" w:space="0" w:color="auto"/>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99,88%</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99,86%</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99,87%</w:t>
            </w:r>
          </w:p>
        </w:tc>
        <w:tc>
          <w:tcPr>
            <w:tcW w:w="1170" w:type="dxa"/>
            <w:tcBorders>
              <w:top w:val="single" w:sz="6" w:space="0" w:color="auto"/>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1564" w:type="dxa"/>
            <w:vMerge w:val="restart"/>
            <w:tcBorders>
              <w:top w:val="single" w:sz="6" w:space="0" w:color="auto"/>
              <w:bottom w:val="single" w:sz="6" w:space="0" w:color="auto"/>
            </w:tcBorders>
            <w:shd w:val="clear" w:color="auto" w:fill="auto"/>
            <w:noWrap/>
            <w:hideMark/>
          </w:tcPr>
          <w:p w:rsidR="00B31B4F" w:rsidRPr="00933CE7" w:rsidRDefault="00B31B4F" w:rsidP="00F077A9">
            <w:pPr>
              <w:pStyle w:val="Tabletext"/>
              <w:rPr>
                <w:rFonts w:asciiTheme="minorHAnsi" w:hAnsiTheme="minorHAnsi"/>
                <w:sz w:val="20"/>
                <w:lang w:val="fr-CH" w:eastAsia="fr-FR"/>
              </w:rPr>
            </w:pPr>
            <w:r w:rsidRPr="00933CE7">
              <w:rPr>
                <w:sz w:val="20"/>
                <w:lang w:val="fr-CH"/>
              </w:rPr>
              <w:t>Fichier de référence international des fréquences/BR</w:t>
            </w:r>
          </w:p>
        </w:tc>
      </w:tr>
      <w:tr w:rsidR="00B31B4F" w:rsidRPr="00933CE7" w:rsidTr="00D23BF4">
        <w:trPr>
          <w:jc w:val="center"/>
        </w:trPr>
        <w:tc>
          <w:tcPr>
            <w:tcW w:w="3930"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noWrap/>
            <w:hideMark/>
          </w:tcPr>
          <w:p w:rsidR="00B31B4F" w:rsidRPr="00933CE7" w:rsidRDefault="00B31B4F" w:rsidP="00F077A9">
            <w:pPr>
              <w:pStyle w:val="Tabletext"/>
              <w:rPr>
                <w:rFonts w:asciiTheme="minorHAnsi" w:hAnsiTheme="minorHAnsi"/>
                <w:color w:val="000000"/>
                <w:sz w:val="20"/>
                <w:lang w:val="fr-CH" w:eastAsia="fr-FR"/>
              </w:rPr>
            </w:pPr>
            <w:r w:rsidRPr="00933CE7">
              <w:rPr>
                <w:iCs/>
                <w:sz w:val="20"/>
                <w:lang w:val="fr-CH"/>
              </w:rPr>
              <w:t>Assignations relevant d'un Plan (services de Terre)</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74,46%</w:t>
            </w:r>
          </w:p>
        </w:tc>
        <w:tc>
          <w:tcPr>
            <w:tcW w:w="851" w:type="dxa"/>
            <w:tcBorders>
              <w:top w:val="single" w:sz="6" w:space="0" w:color="auto"/>
              <w:bottom w:val="single" w:sz="6" w:space="0" w:color="auto"/>
            </w:tcBorders>
            <w:shd w:val="clear" w:color="auto" w:fill="auto"/>
            <w:noWrap/>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74,32%</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74,40%</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74,46%</w:t>
            </w:r>
          </w:p>
        </w:tc>
        <w:tc>
          <w:tcPr>
            <w:tcW w:w="1170" w:type="dxa"/>
            <w:tcBorders>
              <w:top w:val="single" w:sz="6" w:space="0" w:color="auto"/>
              <w:bottom w:val="single" w:sz="6" w:space="0" w:color="auto"/>
            </w:tcBorders>
            <w:shd w:val="clear" w:color="auto" w:fill="auto"/>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75%</w:t>
            </w:r>
          </w:p>
        </w:tc>
        <w:tc>
          <w:tcPr>
            <w:tcW w:w="1564"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sz w:val="20"/>
                <w:lang w:val="fr-CH" w:eastAsia="fr-FR"/>
              </w:rPr>
            </w:pPr>
          </w:p>
        </w:tc>
      </w:tr>
      <w:tr w:rsidR="00B31B4F" w:rsidRPr="00933CE7" w:rsidTr="00D23BF4">
        <w:trPr>
          <w:jc w:val="center"/>
        </w:trPr>
        <w:tc>
          <w:tcPr>
            <w:tcW w:w="3930"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sz w:val="20"/>
                <w:lang w:val="fr-CH" w:eastAsia="fr-FR"/>
              </w:rPr>
            </w:pPr>
            <w:r w:rsidRPr="00933CE7">
              <w:rPr>
                <w:iCs/>
                <w:sz w:val="20"/>
                <w:lang w:val="fr-CH"/>
              </w:rPr>
              <w:t>Autres</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98,37%</w:t>
            </w:r>
          </w:p>
        </w:tc>
        <w:tc>
          <w:tcPr>
            <w:tcW w:w="851" w:type="dxa"/>
            <w:tcBorders>
              <w:top w:val="single" w:sz="6" w:space="0" w:color="auto"/>
              <w:bottom w:val="single" w:sz="6" w:space="0" w:color="auto"/>
            </w:tcBorders>
            <w:shd w:val="clear" w:color="auto" w:fill="auto"/>
            <w:hideMark/>
          </w:tcPr>
          <w:p w:rsidR="00B31B4F" w:rsidRPr="00933CE7" w:rsidRDefault="00B31B4F" w:rsidP="00F077A9">
            <w:pPr>
              <w:pStyle w:val="Tabletext"/>
              <w:jc w:val="center"/>
              <w:rPr>
                <w:rFonts w:asciiTheme="majorBidi" w:eastAsiaTheme="minorEastAsia" w:hAnsiTheme="majorBidi" w:cstheme="majorBidi"/>
                <w:sz w:val="20"/>
                <w:lang w:val="fr-CH" w:eastAsia="fr-FR"/>
              </w:rPr>
            </w:pPr>
            <w:r w:rsidRPr="00933CE7">
              <w:rPr>
                <w:rFonts w:asciiTheme="majorBidi" w:hAnsiTheme="majorBidi" w:cstheme="majorBidi"/>
                <w:sz w:val="20"/>
                <w:lang w:val="fr-CH"/>
              </w:rPr>
              <w:t>98,46%</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98,46%</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98,49%</w:t>
            </w:r>
          </w:p>
        </w:tc>
        <w:tc>
          <w:tcPr>
            <w:tcW w:w="1170" w:type="dxa"/>
            <w:tcBorders>
              <w:top w:val="single" w:sz="6" w:space="0" w:color="auto"/>
              <w:bottom w:val="single" w:sz="6" w:space="0" w:color="auto"/>
            </w:tcBorders>
            <w:shd w:val="clear" w:color="auto" w:fill="auto"/>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98,49%</w:t>
            </w:r>
          </w:p>
        </w:tc>
        <w:tc>
          <w:tcPr>
            <w:tcW w:w="1564" w:type="dxa"/>
            <w:vMerge/>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sz w:val="20"/>
                <w:lang w:val="fr-CH" w:eastAsia="fr-FR"/>
              </w:rPr>
            </w:pPr>
          </w:p>
        </w:tc>
      </w:tr>
      <w:tr w:rsidR="00B31B4F" w:rsidRPr="00933CE7" w:rsidTr="00D23BF4">
        <w:trPr>
          <w:trHeight w:val="620"/>
          <w:jc w:val="center"/>
        </w:trPr>
        <w:tc>
          <w:tcPr>
            <w:tcW w:w="3930" w:type="dxa"/>
            <w:tcBorders>
              <w:top w:val="single" w:sz="6" w:space="0" w:color="auto"/>
              <w:bottom w:val="single" w:sz="6" w:space="0" w:color="auto"/>
            </w:tcBorders>
            <w:shd w:val="clear" w:color="auto" w:fill="auto"/>
            <w:hideMark/>
          </w:tcPr>
          <w:p w:rsidR="00B31B4F" w:rsidRPr="00933CE7" w:rsidRDefault="00B31B4F" w:rsidP="00F077A9">
            <w:pPr>
              <w:pStyle w:val="Tabletext"/>
              <w:rPr>
                <w:sz w:val="20"/>
                <w:lang w:val="fr-CH"/>
              </w:rPr>
            </w:pPr>
            <w:r w:rsidRPr="00933CE7">
              <w:rPr>
                <w:rFonts w:eastAsia="Calibri" w:cs="Arial"/>
                <w:b/>
                <w:bCs/>
                <w:color w:val="4F81BD" w:themeColor="accent1"/>
                <w:sz w:val="20"/>
                <w:lang w:val="fr-CH"/>
              </w:rPr>
              <w:t>R.1-4</w:t>
            </w:r>
            <w:r w:rsidRPr="00933CE7">
              <w:rPr>
                <w:rFonts w:eastAsia="Calibri" w:cs="Arial"/>
                <w:sz w:val="20"/>
                <w:lang w:val="fr-CH"/>
              </w:rPr>
              <w:t xml:space="preserve">: </w:t>
            </w:r>
            <w:r w:rsidRPr="00933CE7">
              <w:rPr>
                <w:sz w:val="20"/>
                <w:lang w:val="fr-CH"/>
              </w:rPr>
              <w:t>Pourcentage accru de pays ayant mené à bien le passage à la télévision numérique de Terre</w:t>
            </w:r>
          </w:p>
        </w:tc>
        <w:tc>
          <w:tcPr>
            <w:tcW w:w="4958" w:type="dxa"/>
            <w:tcBorders>
              <w:top w:val="single" w:sz="6" w:space="0" w:color="auto"/>
              <w:bottom w:val="single" w:sz="6" w:space="0" w:color="auto"/>
            </w:tcBorders>
            <w:shd w:val="clear" w:color="auto" w:fill="auto"/>
            <w:hideMark/>
          </w:tcPr>
          <w:p w:rsidR="00B31B4F" w:rsidRPr="00933CE7" w:rsidRDefault="00B31B4F" w:rsidP="00F077A9">
            <w:pPr>
              <w:pStyle w:val="Tabletext"/>
              <w:rPr>
                <w:rFonts w:asciiTheme="minorHAnsi" w:hAnsiTheme="minorHAnsi"/>
                <w:color w:val="000000"/>
                <w:sz w:val="20"/>
                <w:lang w:val="fr-CH" w:eastAsia="fr-FR"/>
              </w:rPr>
            </w:pPr>
            <w:r w:rsidRPr="00933CE7">
              <w:rPr>
                <w:sz w:val="20"/>
                <w:lang w:val="fr-CH"/>
              </w:rPr>
              <w:t>Pourcentage de pays ayant mené à bien le passage à la télévision numérique de Terre</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27%</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28%</w:t>
            </w:r>
          </w:p>
        </w:tc>
        <w:tc>
          <w:tcPr>
            <w:tcW w:w="851" w:type="dxa"/>
            <w:tcBorders>
              <w:top w:val="single" w:sz="6" w:space="0" w:color="auto"/>
              <w:bottom w:val="single" w:sz="6" w:space="0" w:color="auto"/>
            </w:tcBorders>
            <w:shd w:val="clear" w:color="auto" w:fill="auto"/>
            <w:noWrap/>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30%</w:t>
            </w:r>
          </w:p>
        </w:tc>
        <w:tc>
          <w:tcPr>
            <w:tcW w:w="851" w:type="dxa"/>
            <w:tcBorders>
              <w:top w:val="single" w:sz="6" w:space="0" w:color="auto"/>
              <w:bottom w:val="single" w:sz="6" w:space="0" w:color="auto"/>
            </w:tcBorders>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30%</w:t>
            </w:r>
          </w:p>
        </w:tc>
        <w:tc>
          <w:tcPr>
            <w:tcW w:w="1170" w:type="dxa"/>
            <w:tcBorders>
              <w:top w:val="single" w:sz="6" w:space="0" w:color="auto"/>
              <w:bottom w:val="single" w:sz="6" w:space="0" w:color="auto"/>
            </w:tcBorders>
            <w:shd w:val="clear" w:color="auto" w:fill="auto"/>
            <w:hideMark/>
          </w:tcPr>
          <w:p w:rsidR="00B31B4F" w:rsidRPr="00933CE7" w:rsidRDefault="00B31B4F"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70%</w:t>
            </w:r>
          </w:p>
        </w:tc>
        <w:tc>
          <w:tcPr>
            <w:tcW w:w="1564" w:type="dxa"/>
            <w:tcBorders>
              <w:top w:val="single" w:sz="6" w:space="0" w:color="auto"/>
              <w:bottom w:val="single" w:sz="6" w:space="0" w:color="auto"/>
            </w:tcBorders>
            <w:shd w:val="clear" w:color="auto" w:fill="auto"/>
            <w:noWrap/>
            <w:hideMark/>
          </w:tcPr>
          <w:p w:rsidR="00B31B4F" w:rsidRPr="00933CE7" w:rsidRDefault="00B31B4F" w:rsidP="00F077A9">
            <w:pPr>
              <w:pStyle w:val="Tabletext"/>
              <w:rPr>
                <w:rFonts w:asciiTheme="minorHAnsi" w:hAnsiTheme="minorHAnsi"/>
                <w:sz w:val="20"/>
                <w:lang w:val="fr-CH" w:eastAsia="fr-FR"/>
              </w:rPr>
            </w:pPr>
            <w:r w:rsidRPr="00933CE7">
              <w:rPr>
                <w:sz w:val="20"/>
                <w:lang w:val="fr-CH"/>
              </w:rPr>
              <w:t>BR &amp; BDT</w:t>
            </w:r>
          </w:p>
        </w:tc>
      </w:tr>
      <w:tr w:rsidR="00B31B4F" w:rsidRPr="00933CE7" w:rsidTr="00D23BF4">
        <w:trPr>
          <w:trHeight w:val="620"/>
          <w:jc w:val="center"/>
        </w:trPr>
        <w:tc>
          <w:tcPr>
            <w:tcW w:w="3930" w:type="dxa"/>
            <w:tcBorders>
              <w:top w:val="single" w:sz="6" w:space="0" w:color="auto"/>
              <w:bottom w:val="single" w:sz="6" w:space="0" w:color="auto"/>
            </w:tcBorders>
            <w:shd w:val="clear" w:color="auto" w:fill="auto"/>
          </w:tcPr>
          <w:p w:rsidR="00B31B4F" w:rsidRPr="00933CE7" w:rsidRDefault="00B31B4F" w:rsidP="00F077A9">
            <w:pPr>
              <w:keepNext/>
              <w:keepLines/>
              <w:spacing w:before="40" w:after="40"/>
              <w:rPr>
                <w:sz w:val="20"/>
                <w:lang w:val="fr-CH"/>
              </w:rPr>
            </w:pPr>
            <w:r w:rsidRPr="00933CE7">
              <w:rPr>
                <w:rFonts w:eastAsia="Calibri" w:cs="Arial"/>
                <w:b/>
                <w:bCs/>
                <w:color w:val="4F81BD" w:themeColor="accent1"/>
                <w:sz w:val="20"/>
                <w:lang w:val="fr-CH"/>
              </w:rPr>
              <w:lastRenderedPageBreak/>
              <w:t>R.1-5</w:t>
            </w:r>
            <w:r w:rsidRPr="00933CE7">
              <w:rPr>
                <w:sz w:val="20"/>
                <w:lang w:val="fr-CH"/>
              </w:rPr>
              <w:t>: Pourcentage accru de fréquences assignées à des réseaux à satellite et exemptes de brouillage préjudiciable</w:t>
            </w:r>
          </w:p>
        </w:tc>
        <w:tc>
          <w:tcPr>
            <w:tcW w:w="4958" w:type="dxa"/>
            <w:tcBorders>
              <w:top w:val="single" w:sz="6" w:space="0" w:color="auto"/>
              <w:bottom w:val="single" w:sz="6" w:space="0" w:color="auto"/>
            </w:tcBorders>
            <w:shd w:val="clear" w:color="auto" w:fill="auto"/>
          </w:tcPr>
          <w:p w:rsidR="00B31B4F" w:rsidRPr="00933CE7" w:rsidRDefault="00B31B4F" w:rsidP="00F077A9">
            <w:pPr>
              <w:keepNext/>
              <w:keepLines/>
              <w:tabs>
                <w:tab w:val="clear" w:pos="794"/>
                <w:tab w:val="clear" w:pos="1191"/>
                <w:tab w:val="clear" w:pos="1588"/>
                <w:tab w:val="clear" w:pos="1985"/>
                <w:tab w:val="left" w:pos="567"/>
                <w:tab w:val="left" w:pos="1134"/>
                <w:tab w:val="left" w:pos="1701"/>
                <w:tab w:val="left" w:pos="2268"/>
                <w:tab w:val="left" w:pos="2835"/>
              </w:tabs>
              <w:spacing w:before="40" w:after="40"/>
              <w:rPr>
                <w:sz w:val="20"/>
                <w:lang w:val="fr-CH"/>
              </w:rPr>
            </w:pPr>
            <w:r w:rsidRPr="00933CE7">
              <w:rPr>
                <w:sz w:val="20"/>
                <w:lang w:val="fr-CH"/>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B31B4F" w:rsidRPr="00933CE7" w:rsidRDefault="00B31B4F" w:rsidP="00F077A9">
            <w:pPr>
              <w:keepNext/>
              <w:keepLines/>
              <w:jc w:val="center"/>
              <w:rPr>
                <w:rFonts w:asciiTheme="majorBidi" w:hAnsiTheme="majorBidi" w:cstheme="majorBidi"/>
                <w:sz w:val="20"/>
                <w:lang w:val="fr-CH"/>
              </w:rPr>
            </w:pPr>
            <w:r w:rsidRPr="00933CE7">
              <w:rPr>
                <w:rFonts w:asciiTheme="majorBidi" w:hAnsiTheme="majorBidi" w:cstheme="majorBidi"/>
                <w:sz w:val="20"/>
                <w:lang w:val="fr-CH"/>
              </w:rPr>
              <w:t>99,96%</w:t>
            </w:r>
          </w:p>
        </w:tc>
        <w:tc>
          <w:tcPr>
            <w:tcW w:w="851" w:type="dxa"/>
            <w:tcBorders>
              <w:top w:val="single" w:sz="6" w:space="0" w:color="auto"/>
              <w:bottom w:val="single" w:sz="6" w:space="0" w:color="auto"/>
            </w:tcBorders>
            <w:shd w:val="clear" w:color="auto" w:fill="auto"/>
            <w:noWrap/>
          </w:tcPr>
          <w:p w:rsidR="00B31B4F" w:rsidRPr="00933CE7" w:rsidRDefault="00B31B4F" w:rsidP="00F077A9">
            <w:pPr>
              <w:keepNext/>
              <w:keepLines/>
              <w:jc w:val="center"/>
              <w:rPr>
                <w:rFonts w:asciiTheme="majorBidi" w:hAnsiTheme="majorBidi" w:cstheme="majorBidi"/>
                <w:sz w:val="20"/>
                <w:lang w:val="fr-CH"/>
              </w:rPr>
            </w:pPr>
            <w:r w:rsidRPr="00933CE7">
              <w:rPr>
                <w:rFonts w:asciiTheme="majorBidi" w:hAnsiTheme="majorBidi" w:cstheme="majorBidi"/>
                <w:sz w:val="20"/>
                <w:lang w:val="fr-CH"/>
              </w:rPr>
              <w:t xml:space="preserve">99,96% </w:t>
            </w:r>
          </w:p>
        </w:tc>
        <w:tc>
          <w:tcPr>
            <w:tcW w:w="851" w:type="dxa"/>
            <w:tcBorders>
              <w:top w:val="single" w:sz="6" w:space="0" w:color="auto"/>
              <w:bottom w:val="single" w:sz="6" w:space="0" w:color="auto"/>
            </w:tcBorders>
            <w:shd w:val="clear" w:color="auto" w:fill="auto"/>
            <w:noWrap/>
          </w:tcPr>
          <w:p w:rsidR="00B31B4F" w:rsidRPr="00933CE7" w:rsidRDefault="00B31B4F" w:rsidP="00F077A9">
            <w:pPr>
              <w:keepNext/>
              <w:keepLines/>
              <w:jc w:val="center"/>
              <w:rPr>
                <w:rFonts w:asciiTheme="majorBidi" w:hAnsiTheme="majorBidi" w:cstheme="majorBidi"/>
                <w:sz w:val="20"/>
                <w:lang w:val="fr-CH"/>
              </w:rPr>
            </w:pPr>
            <w:r w:rsidRPr="00933CE7">
              <w:rPr>
                <w:rFonts w:asciiTheme="majorBidi" w:hAnsiTheme="majorBidi" w:cstheme="majorBidi"/>
                <w:sz w:val="20"/>
                <w:lang w:val="fr-CH"/>
              </w:rPr>
              <w:t>99,96%</w:t>
            </w:r>
          </w:p>
        </w:tc>
        <w:tc>
          <w:tcPr>
            <w:tcW w:w="851" w:type="dxa"/>
            <w:tcBorders>
              <w:top w:val="single" w:sz="6" w:space="0" w:color="auto"/>
              <w:bottom w:val="single" w:sz="6" w:space="0" w:color="auto"/>
            </w:tcBorders>
          </w:tcPr>
          <w:p w:rsidR="00B31B4F" w:rsidRPr="00933CE7" w:rsidRDefault="00B31B4F" w:rsidP="00F077A9">
            <w:pPr>
              <w:keepNext/>
              <w:keepLines/>
              <w:jc w:val="center"/>
              <w:rPr>
                <w:rFonts w:asciiTheme="majorBidi" w:hAnsiTheme="majorBidi" w:cstheme="majorBidi"/>
                <w:sz w:val="20"/>
                <w:lang w:val="fr-CH"/>
              </w:rPr>
            </w:pPr>
            <w:r w:rsidRPr="00933CE7">
              <w:rPr>
                <w:rFonts w:asciiTheme="majorBidi" w:hAnsiTheme="majorBidi" w:cstheme="majorBidi"/>
                <w:sz w:val="20"/>
                <w:lang w:val="fr-CH"/>
              </w:rPr>
              <w:t>99,94%</w:t>
            </w:r>
          </w:p>
        </w:tc>
        <w:tc>
          <w:tcPr>
            <w:tcW w:w="1170" w:type="dxa"/>
            <w:tcBorders>
              <w:top w:val="single" w:sz="6" w:space="0" w:color="auto"/>
              <w:bottom w:val="single" w:sz="6" w:space="0" w:color="auto"/>
            </w:tcBorders>
            <w:shd w:val="clear" w:color="auto" w:fill="auto"/>
          </w:tcPr>
          <w:p w:rsidR="00B31B4F" w:rsidRPr="00933CE7" w:rsidRDefault="00B31B4F" w:rsidP="00F077A9">
            <w:pPr>
              <w:keepNext/>
              <w:keepLines/>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1564" w:type="dxa"/>
            <w:tcBorders>
              <w:top w:val="single" w:sz="6" w:space="0" w:color="auto"/>
              <w:bottom w:val="single" w:sz="6" w:space="0" w:color="auto"/>
            </w:tcBorders>
            <w:shd w:val="clear" w:color="auto" w:fill="auto"/>
            <w:noWrap/>
          </w:tcPr>
          <w:p w:rsidR="00B31B4F" w:rsidRPr="00933CE7" w:rsidRDefault="00B31B4F" w:rsidP="00F077A9">
            <w:pPr>
              <w:keepNext/>
              <w:keepLines/>
              <w:spacing w:before="40" w:after="40"/>
              <w:jc w:val="center"/>
              <w:rPr>
                <w:sz w:val="20"/>
                <w:lang w:val="fr-CH"/>
              </w:rPr>
            </w:pPr>
            <w:r w:rsidRPr="00933CE7">
              <w:rPr>
                <w:sz w:val="20"/>
                <w:lang w:val="fr-CH"/>
              </w:rPr>
              <w:t>Fichier de référence international des fréquences/BR</w:t>
            </w:r>
          </w:p>
        </w:tc>
      </w:tr>
      <w:tr w:rsidR="00B31B4F" w:rsidRPr="00933CE7" w:rsidTr="00D23BF4">
        <w:trPr>
          <w:trHeight w:val="620"/>
          <w:jc w:val="center"/>
        </w:trPr>
        <w:tc>
          <w:tcPr>
            <w:tcW w:w="3930" w:type="dxa"/>
            <w:tcBorders>
              <w:top w:val="single" w:sz="6" w:space="0" w:color="auto"/>
              <w:bottom w:val="single" w:sz="6" w:space="0" w:color="auto"/>
            </w:tcBorders>
            <w:shd w:val="clear" w:color="auto" w:fill="auto"/>
          </w:tcPr>
          <w:p w:rsidR="00B31B4F" w:rsidRPr="00933CE7" w:rsidRDefault="00B31B4F" w:rsidP="00F077A9">
            <w:pPr>
              <w:spacing w:before="40" w:after="40"/>
              <w:rPr>
                <w:sz w:val="20"/>
                <w:lang w:val="fr-CH"/>
              </w:rPr>
            </w:pPr>
            <w:r w:rsidRPr="00933CE7">
              <w:rPr>
                <w:rFonts w:eastAsia="Calibri" w:cs="Arial"/>
                <w:b/>
                <w:bCs/>
                <w:color w:val="4F81BD" w:themeColor="accent1"/>
                <w:sz w:val="20"/>
                <w:lang w:val="fr-CH"/>
              </w:rPr>
              <w:t>R.1-6</w:t>
            </w:r>
            <w:r w:rsidRPr="00933CE7">
              <w:rPr>
                <w:sz w:val="20"/>
                <w:lang w:val="fr-CH"/>
              </w:rPr>
              <w:t>: Pourcentage accru d'assignations à des services de Terre inscrites dans le Fichier de référence et exemptes de brouillage préjudiciable</w:t>
            </w:r>
          </w:p>
        </w:tc>
        <w:tc>
          <w:tcPr>
            <w:tcW w:w="4958" w:type="dxa"/>
            <w:tcBorders>
              <w:top w:val="single" w:sz="6" w:space="0" w:color="auto"/>
              <w:bottom w:val="single" w:sz="6" w:space="0" w:color="auto"/>
            </w:tcBorders>
            <w:shd w:val="clear" w:color="auto" w:fill="auto"/>
          </w:tcPr>
          <w:p w:rsidR="00B31B4F" w:rsidRPr="00933CE7" w:rsidRDefault="00B31B4F" w:rsidP="00F077A9">
            <w:pPr>
              <w:tabs>
                <w:tab w:val="clear" w:pos="794"/>
                <w:tab w:val="clear" w:pos="1191"/>
                <w:tab w:val="clear" w:pos="1588"/>
                <w:tab w:val="clear" w:pos="1985"/>
                <w:tab w:val="left" w:pos="567"/>
                <w:tab w:val="left" w:pos="1134"/>
                <w:tab w:val="left" w:pos="1701"/>
                <w:tab w:val="left" w:pos="2268"/>
                <w:tab w:val="left" w:pos="2835"/>
              </w:tabs>
              <w:spacing w:before="40" w:after="40"/>
              <w:rPr>
                <w:sz w:val="20"/>
                <w:lang w:val="fr-CH"/>
              </w:rPr>
            </w:pPr>
            <w:r w:rsidRPr="00933CE7">
              <w:rPr>
                <w:sz w:val="20"/>
                <w:lang w:val="fr-CH"/>
              </w:rPr>
              <w:t>Pourcentage d'assignations à des services de Terre inscrites dans le Fichier de référence international des fréquences et exemptes de brouillage préjudiciable (sur la base du nombre de cas signalés à l'UIT)</w:t>
            </w:r>
          </w:p>
        </w:tc>
        <w:tc>
          <w:tcPr>
            <w:tcW w:w="851" w:type="dxa"/>
            <w:tcBorders>
              <w:top w:val="single" w:sz="6" w:space="0" w:color="auto"/>
              <w:bottom w:val="single" w:sz="6" w:space="0" w:color="auto"/>
            </w:tcBorders>
          </w:tcPr>
          <w:p w:rsidR="00B31B4F" w:rsidRPr="00933CE7" w:rsidRDefault="00B31B4F" w:rsidP="00F077A9">
            <w:pPr>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851" w:type="dxa"/>
            <w:tcBorders>
              <w:top w:val="single" w:sz="6" w:space="0" w:color="auto"/>
              <w:bottom w:val="single" w:sz="6" w:space="0" w:color="auto"/>
            </w:tcBorders>
            <w:shd w:val="clear" w:color="auto" w:fill="auto"/>
            <w:noWrap/>
          </w:tcPr>
          <w:p w:rsidR="00B31B4F" w:rsidRPr="00933CE7" w:rsidRDefault="00B31B4F" w:rsidP="00F077A9">
            <w:pPr>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851" w:type="dxa"/>
            <w:tcBorders>
              <w:top w:val="single" w:sz="6" w:space="0" w:color="auto"/>
              <w:bottom w:val="single" w:sz="6" w:space="0" w:color="auto"/>
            </w:tcBorders>
            <w:shd w:val="clear" w:color="auto" w:fill="auto"/>
            <w:noWrap/>
          </w:tcPr>
          <w:p w:rsidR="00B31B4F" w:rsidRPr="00933CE7" w:rsidRDefault="00B31B4F" w:rsidP="00F077A9">
            <w:pPr>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851" w:type="dxa"/>
            <w:tcBorders>
              <w:top w:val="single" w:sz="6" w:space="0" w:color="auto"/>
              <w:bottom w:val="single" w:sz="6" w:space="0" w:color="auto"/>
            </w:tcBorders>
          </w:tcPr>
          <w:p w:rsidR="00B31B4F" w:rsidRPr="00933CE7" w:rsidRDefault="00B31B4F" w:rsidP="00F077A9">
            <w:pPr>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1170" w:type="dxa"/>
            <w:tcBorders>
              <w:top w:val="single" w:sz="6" w:space="0" w:color="auto"/>
              <w:bottom w:val="single" w:sz="6" w:space="0" w:color="auto"/>
            </w:tcBorders>
            <w:shd w:val="clear" w:color="auto" w:fill="auto"/>
          </w:tcPr>
          <w:p w:rsidR="00B31B4F" w:rsidRPr="00933CE7" w:rsidRDefault="00B31B4F" w:rsidP="00F077A9">
            <w:pPr>
              <w:jc w:val="center"/>
              <w:rPr>
                <w:rFonts w:asciiTheme="majorBidi" w:hAnsiTheme="majorBidi" w:cstheme="majorBidi"/>
                <w:sz w:val="20"/>
                <w:lang w:val="fr-CH"/>
              </w:rPr>
            </w:pPr>
            <w:r w:rsidRPr="00933CE7">
              <w:rPr>
                <w:rFonts w:asciiTheme="majorBidi" w:hAnsiTheme="majorBidi" w:cstheme="majorBidi"/>
                <w:sz w:val="20"/>
                <w:lang w:val="fr-CH"/>
              </w:rPr>
              <w:t>99,99%</w:t>
            </w:r>
          </w:p>
        </w:tc>
        <w:tc>
          <w:tcPr>
            <w:tcW w:w="1564" w:type="dxa"/>
            <w:tcBorders>
              <w:top w:val="single" w:sz="6" w:space="0" w:color="auto"/>
              <w:bottom w:val="single" w:sz="6" w:space="0" w:color="auto"/>
            </w:tcBorders>
            <w:shd w:val="clear" w:color="auto" w:fill="auto"/>
            <w:noWrap/>
          </w:tcPr>
          <w:p w:rsidR="00B31B4F" w:rsidRPr="00933CE7" w:rsidRDefault="00B31B4F" w:rsidP="00F077A9">
            <w:pPr>
              <w:spacing w:before="40" w:after="40"/>
              <w:jc w:val="center"/>
              <w:rPr>
                <w:sz w:val="20"/>
                <w:lang w:val="fr-CH"/>
              </w:rPr>
            </w:pPr>
            <w:r w:rsidRPr="00933CE7">
              <w:rPr>
                <w:sz w:val="20"/>
                <w:lang w:val="fr-CH"/>
              </w:rPr>
              <w:t>Fichier de référence international des fréquences/BR</w:t>
            </w:r>
          </w:p>
        </w:tc>
      </w:tr>
    </w:tbl>
    <w:p w:rsidR="00D970D4" w:rsidRPr="00933CE7" w:rsidRDefault="00D970D4" w:rsidP="00F077A9">
      <w:pPr>
        <w:rPr>
          <w:lang w:val="fr-CH"/>
        </w:rPr>
      </w:pPr>
    </w:p>
    <w:tbl>
      <w:tblPr>
        <w:tblStyle w:val="GridTable4-Accent112"/>
        <w:tblW w:w="15048" w:type="dxa"/>
        <w:tblInd w:w="-537" w:type="dxa"/>
        <w:tblLayout w:type="fixed"/>
        <w:tblLook w:val="0620" w:firstRow="1" w:lastRow="0" w:firstColumn="0" w:lastColumn="0" w:noHBand="1" w:noVBand="1"/>
      </w:tblPr>
      <w:tblGrid>
        <w:gridCol w:w="8612"/>
        <w:gridCol w:w="1630"/>
        <w:gridCol w:w="1630"/>
        <w:gridCol w:w="1630"/>
        <w:gridCol w:w="1546"/>
      </w:tblGrid>
      <w:tr w:rsidR="00D970D4" w:rsidRPr="00933CE7" w:rsidTr="00D23BF4">
        <w:trPr>
          <w:cnfStyle w:val="100000000000" w:firstRow="1" w:lastRow="0" w:firstColumn="0" w:lastColumn="0" w:oddVBand="0" w:evenVBand="0" w:oddHBand="0" w:evenHBand="0" w:firstRowFirstColumn="0" w:firstRowLastColumn="0" w:lastRowFirstColumn="0" w:lastRowLastColumn="0"/>
        </w:trPr>
        <w:tc>
          <w:tcPr>
            <w:tcW w:w="8612" w:type="dxa"/>
            <w:vAlign w:val="center"/>
          </w:tcPr>
          <w:p w:rsidR="00D970D4" w:rsidRPr="00933CE7" w:rsidRDefault="00D970D4" w:rsidP="00F077A9">
            <w:pPr>
              <w:pStyle w:val="Tablehead"/>
              <w:rPr>
                <w:b/>
                <w:bCs w:val="0"/>
                <w:lang w:val="fr-CH"/>
              </w:rPr>
            </w:pPr>
            <w:r w:rsidRPr="00933CE7">
              <w:rPr>
                <w:b/>
                <w:bCs w:val="0"/>
                <w:lang w:val="fr-CH"/>
              </w:rPr>
              <w:t>Produit</w:t>
            </w:r>
          </w:p>
        </w:tc>
        <w:tc>
          <w:tcPr>
            <w:tcW w:w="6436" w:type="dxa"/>
            <w:gridSpan w:val="4"/>
          </w:tcPr>
          <w:p w:rsidR="00D970D4" w:rsidRPr="00933CE7" w:rsidRDefault="00D970D4" w:rsidP="00F077A9">
            <w:pPr>
              <w:pStyle w:val="Tablehead"/>
              <w:rPr>
                <w:b/>
                <w:bCs w:val="0"/>
                <w:lang w:val="fr-CH"/>
              </w:rPr>
            </w:pPr>
            <w:r w:rsidRPr="00933CE7">
              <w:rPr>
                <w:b/>
                <w:bCs w:val="0"/>
                <w:lang w:val="fr-CH"/>
              </w:rPr>
              <w:t>Ressources financières</w:t>
            </w:r>
            <w:r w:rsidRPr="00D23BF4">
              <w:rPr>
                <w:position w:val="6"/>
                <w:sz w:val="16"/>
                <w:szCs w:val="16"/>
                <w:lang w:val="fr-CH"/>
              </w:rPr>
              <w:footnoteReference w:id="2"/>
            </w:r>
            <w:r w:rsidRPr="00D23BF4">
              <w:rPr>
                <w:sz w:val="16"/>
                <w:szCs w:val="16"/>
                <w:lang w:val="fr-CH"/>
              </w:rPr>
              <w:t xml:space="preserve"> </w:t>
            </w:r>
            <w:r w:rsidRPr="00933CE7">
              <w:rPr>
                <w:b/>
                <w:bCs w:val="0"/>
                <w:lang w:val="fr-CH"/>
              </w:rPr>
              <w:t>(en milliers de CHF)</w:t>
            </w:r>
          </w:p>
        </w:tc>
      </w:tr>
      <w:tr w:rsidR="00D970D4" w:rsidRPr="00933CE7" w:rsidTr="00D23BF4">
        <w:tc>
          <w:tcPr>
            <w:tcW w:w="8612" w:type="dxa"/>
          </w:tcPr>
          <w:p w:rsidR="00D970D4" w:rsidRPr="00933CE7" w:rsidRDefault="00D970D4" w:rsidP="00F077A9">
            <w:pPr>
              <w:pStyle w:val="Tablehead"/>
              <w:rPr>
                <w:lang w:val="fr-CH"/>
              </w:rPr>
            </w:pPr>
          </w:p>
        </w:tc>
        <w:tc>
          <w:tcPr>
            <w:tcW w:w="1630" w:type="dxa"/>
          </w:tcPr>
          <w:p w:rsidR="00D970D4" w:rsidRPr="00933CE7" w:rsidRDefault="001679E4" w:rsidP="00F077A9">
            <w:pPr>
              <w:pStyle w:val="Tablehead"/>
              <w:rPr>
                <w:color w:val="4F81BD" w:themeColor="accent1"/>
                <w:lang w:val="fr-CH"/>
              </w:rPr>
            </w:pPr>
            <w:r w:rsidRPr="00933CE7">
              <w:rPr>
                <w:color w:val="4F81BD" w:themeColor="accent1"/>
                <w:lang w:val="fr-CH"/>
              </w:rPr>
              <w:t>2020</w:t>
            </w:r>
          </w:p>
        </w:tc>
        <w:tc>
          <w:tcPr>
            <w:tcW w:w="1630" w:type="dxa"/>
          </w:tcPr>
          <w:p w:rsidR="00D970D4" w:rsidRPr="00933CE7" w:rsidRDefault="001679E4" w:rsidP="00F077A9">
            <w:pPr>
              <w:pStyle w:val="Tablehead"/>
              <w:rPr>
                <w:color w:val="4F81BD" w:themeColor="accent1"/>
                <w:lang w:val="fr-CH"/>
              </w:rPr>
            </w:pPr>
            <w:r w:rsidRPr="00933CE7">
              <w:rPr>
                <w:color w:val="4F81BD" w:themeColor="accent1"/>
                <w:lang w:val="fr-CH"/>
              </w:rPr>
              <w:t>2021</w:t>
            </w:r>
          </w:p>
        </w:tc>
        <w:tc>
          <w:tcPr>
            <w:tcW w:w="1630" w:type="dxa"/>
          </w:tcPr>
          <w:p w:rsidR="00D970D4" w:rsidRPr="00933CE7" w:rsidRDefault="001679E4" w:rsidP="00F077A9">
            <w:pPr>
              <w:pStyle w:val="Tablehead"/>
              <w:rPr>
                <w:color w:val="4F81BD" w:themeColor="accent1"/>
                <w:lang w:val="fr-CH"/>
              </w:rPr>
            </w:pPr>
            <w:r w:rsidRPr="00933CE7">
              <w:rPr>
                <w:color w:val="4F81BD" w:themeColor="accent1"/>
                <w:lang w:val="fr-CH"/>
              </w:rPr>
              <w:t>2022</w:t>
            </w:r>
          </w:p>
        </w:tc>
        <w:tc>
          <w:tcPr>
            <w:tcW w:w="1546" w:type="dxa"/>
          </w:tcPr>
          <w:p w:rsidR="00D970D4" w:rsidRPr="00933CE7" w:rsidRDefault="001679E4" w:rsidP="00F077A9">
            <w:pPr>
              <w:pStyle w:val="Tablehead"/>
              <w:rPr>
                <w:color w:val="4F81BD" w:themeColor="accent1"/>
                <w:lang w:val="fr-CH"/>
              </w:rPr>
            </w:pPr>
            <w:r w:rsidRPr="00933CE7">
              <w:rPr>
                <w:color w:val="4F81BD" w:themeColor="accent1"/>
                <w:lang w:val="fr-CH"/>
              </w:rPr>
              <w:t>2023</w:t>
            </w:r>
          </w:p>
        </w:tc>
      </w:tr>
      <w:tr w:rsidR="001679E4" w:rsidRPr="00933CE7" w:rsidTr="00D23BF4">
        <w:tc>
          <w:tcPr>
            <w:tcW w:w="8612" w:type="dxa"/>
            <w:vAlign w:val="center"/>
          </w:tcPr>
          <w:p w:rsidR="001679E4" w:rsidRPr="00933CE7" w:rsidRDefault="001679E4" w:rsidP="00F077A9">
            <w:pPr>
              <w:pStyle w:val="Tabletext"/>
              <w:rPr>
                <w:lang w:val="fr-CH" w:eastAsia="zh-CN"/>
              </w:rPr>
            </w:pPr>
            <w:r w:rsidRPr="00933CE7">
              <w:rPr>
                <w:b/>
                <w:bCs/>
                <w:color w:val="4F81BD" w:themeColor="accent1"/>
                <w:lang w:val="fr-CH"/>
              </w:rPr>
              <w:t>R.1-1:</w:t>
            </w:r>
            <w:r w:rsidRPr="00933CE7">
              <w:rPr>
                <w:lang w:val="fr-CH"/>
              </w:rPr>
              <w:t xml:space="preserve"> Actes finals des conférences mondiales des radiocommunications, mise à jour du Règlement des radiocommunications</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1,622</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1,685</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1,958</w:t>
            </w:r>
          </w:p>
        </w:tc>
        <w:tc>
          <w:tcPr>
            <w:tcW w:w="1546"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8,934</w:t>
            </w:r>
          </w:p>
        </w:tc>
      </w:tr>
      <w:tr w:rsidR="001679E4" w:rsidRPr="00933CE7" w:rsidTr="00D23BF4">
        <w:tc>
          <w:tcPr>
            <w:tcW w:w="8612" w:type="dxa"/>
            <w:vAlign w:val="center"/>
          </w:tcPr>
          <w:p w:rsidR="001679E4" w:rsidRPr="00933CE7" w:rsidRDefault="001679E4" w:rsidP="00F077A9">
            <w:pPr>
              <w:pStyle w:val="Tabletext"/>
              <w:rPr>
                <w:noProof/>
                <w:lang w:val="fr-CH"/>
              </w:rPr>
            </w:pPr>
            <w:r w:rsidRPr="00933CE7">
              <w:rPr>
                <w:b/>
                <w:bCs/>
                <w:color w:val="4F81BD" w:themeColor="accent1"/>
                <w:lang w:val="fr-CH"/>
              </w:rPr>
              <w:t>R.1-2:</w:t>
            </w:r>
            <w:r w:rsidRPr="00933CE7">
              <w:rPr>
                <w:lang w:val="fr-CH"/>
              </w:rPr>
              <w:t xml:space="preserve"> Actes finals des conférences régionales des radiocommunications, accords régionaux</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644</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637</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258</w:t>
            </w:r>
          </w:p>
        </w:tc>
        <w:tc>
          <w:tcPr>
            <w:tcW w:w="1546"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344</w:t>
            </w:r>
          </w:p>
        </w:tc>
      </w:tr>
      <w:tr w:rsidR="001679E4" w:rsidRPr="00933CE7" w:rsidTr="00D23BF4">
        <w:tc>
          <w:tcPr>
            <w:tcW w:w="8612" w:type="dxa"/>
            <w:vAlign w:val="center"/>
          </w:tcPr>
          <w:p w:rsidR="001679E4" w:rsidRPr="00933CE7" w:rsidRDefault="001679E4" w:rsidP="00F077A9">
            <w:pPr>
              <w:pStyle w:val="Tabletext"/>
              <w:rPr>
                <w:noProof/>
                <w:lang w:val="fr-CH"/>
              </w:rPr>
            </w:pPr>
            <w:r w:rsidRPr="00933CE7">
              <w:rPr>
                <w:b/>
                <w:bCs/>
                <w:color w:val="4F81BD" w:themeColor="accent1"/>
                <w:lang w:val="fr-CH"/>
              </w:rPr>
              <w:t>R.1-3:</w:t>
            </w:r>
            <w:r w:rsidRPr="00933CE7">
              <w:rPr>
                <w:lang w:val="fr-CH"/>
              </w:rPr>
              <w:t xml:space="preserve"> Règles de procédure adoptées par le Comité du Règlement des radiocommunications (RRB)</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2,387</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2,055</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2,311</w:t>
            </w:r>
          </w:p>
        </w:tc>
        <w:tc>
          <w:tcPr>
            <w:tcW w:w="1546"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2,322</w:t>
            </w:r>
          </w:p>
        </w:tc>
      </w:tr>
      <w:tr w:rsidR="001679E4" w:rsidRPr="00933CE7" w:rsidTr="00D23BF4">
        <w:tc>
          <w:tcPr>
            <w:tcW w:w="8612" w:type="dxa"/>
            <w:vAlign w:val="center"/>
          </w:tcPr>
          <w:p w:rsidR="001679E4" w:rsidRPr="00933CE7" w:rsidRDefault="001679E4" w:rsidP="00F077A9">
            <w:pPr>
              <w:pStyle w:val="Tabletext"/>
              <w:rPr>
                <w:noProof/>
                <w:lang w:val="fr-CH"/>
              </w:rPr>
            </w:pPr>
            <w:r w:rsidRPr="00933CE7">
              <w:rPr>
                <w:b/>
                <w:bCs/>
                <w:color w:val="4F81BD" w:themeColor="accent1"/>
                <w:lang w:val="fr-CH"/>
              </w:rPr>
              <w:t>R.1-4:</w:t>
            </w:r>
            <w:r w:rsidRPr="00933CE7">
              <w:rPr>
                <w:b/>
                <w:bCs/>
                <w:noProof/>
                <w:color w:val="4F81BD" w:themeColor="accent1"/>
                <w:lang w:val="fr-CH" w:eastAsia="zh-CN"/>
              </w:rPr>
              <w:t xml:space="preserve"> </w:t>
            </w:r>
            <w:r w:rsidR="00E8126C" w:rsidRPr="00933CE7">
              <w:rPr>
                <w:lang w:val="fr-CH"/>
              </w:rPr>
              <w:t>Publication</w:t>
            </w:r>
            <w:r w:rsidRPr="00933CE7">
              <w:rPr>
                <w:lang w:val="fr-CH"/>
              </w:rPr>
              <w:t xml:space="preserve"> des fiches de notification (services spatiaux) et autres activités connexes</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21,608</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21,280</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16,933</w:t>
            </w:r>
          </w:p>
        </w:tc>
        <w:tc>
          <w:tcPr>
            <w:tcW w:w="1546"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16,933</w:t>
            </w:r>
          </w:p>
        </w:tc>
      </w:tr>
      <w:tr w:rsidR="001679E4" w:rsidRPr="00933CE7" w:rsidTr="00D23BF4">
        <w:tc>
          <w:tcPr>
            <w:tcW w:w="8612" w:type="dxa"/>
            <w:vAlign w:val="center"/>
          </w:tcPr>
          <w:p w:rsidR="001679E4" w:rsidRPr="00933CE7" w:rsidRDefault="001679E4" w:rsidP="00F077A9">
            <w:pPr>
              <w:pStyle w:val="Tabletext"/>
              <w:rPr>
                <w:noProof/>
                <w:lang w:val="fr-CH"/>
              </w:rPr>
            </w:pPr>
            <w:r w:rsidRPr="00933CE7">
              <w:rPr>
                <w:b/>
                <w:bCs/>
                <w:color w:val="4F81BD" w:themeColor="accent1"/>
                <w:lang w:val="fr-CH"/>
              </w:rPr>
              <w:t>R.1-5:</w:t>
            </w:r>
            <w:r w:rsidRPr="00933CE7">
              <w:rPr>
                <w:b/>
                <w:bCs/>
                <w:noProof/>
                <w:color w:val="4F81BD" w:themeColor="accent1"/>
                <w:lang w:val="fr-CH" w:eastAsia="zh-CN"/>
              </w:rPr>
              <w:t xml:space="preserve"> </w:t>
            </w:r>
            <w:r w:rsidR="00E8126C" w:rsidRPr="00933CE7">
              <w:rPr>
                <w:lang w:val="fr-CH"/>
              </w:rPr>
              <w:t>Publication</w:t>
            </w:r>
            <w:r w:rsidRPr="00933CE7">
              <w:rPr>
                <w:lang w:val="fr-CH"/>
              </w:rPr>
              <w:t xml:space="preserve"> des fiches de notification (services de Terre) et autres activités connexes</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10,321</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10,138</w:t>
            </w:r>
          </w:p>
        </w:tc>
        <w:tc>
          <w:tcPr>
            <w:tcW w:w="1630"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8,412</w:t>
            </w:r>
          </w:p>
        </w:tc>
        <w:tc>
          <w:tcPr>
            <w:tcW w:w="1546" w:type="dxa"/>
            <w:tcMar>
              <w:left w:w="284" w:type="dxa"/>
              <w:right w:w="284" w:type="dxa"/>
            </w:tcMar>
            <w:vAlign w:val="center"/>
          </w:tcPr>
          <w:p w:rsidR="001679E4" w:rsidRPr="00933CE7" w:rsidRDefault="001679E4" w:rsidP="00F077A9">
            <w:pPr>
              <w:pStyle w:val="Tabletext"/>
              <w:jc w:val="center"/>
              <w:rPr>
                <w:rFonts w:asciiTheme="majorBidi" w:hAnsiTheme="majorBidi" w:cstheme="majorBidi"/>
                <w:szCs w:val="18"/>
                <w:lang w:val="fr-CH"/>
              </w:rPr>
            </w:pPr>
            <w:r w:rsidRPr="00933CE7">
              <w:rPr>
                <w:rFonts w:asciiTheme="majorBidi" w:hAnsiTheme="majorBidi" w:cstheme="majorBidi"/>
                <w:szCs w:val="18"/>
                <w:lang w:val="fr-CH"/>
              </w:rPr>
              <w:t>8,083</w:t>
            </w:r>
          </w:p>
        </w:tc>
      </w:tr>
      <w:tr w:rsidR="00D970D4" w:rsidRPr="00933CE7" w:rsidTr="00D23BF4">
        <w:tc>
          <w:tcPr>
            <w:tcW w:w="8612" w:type="dxa"/>
            <w:vAlign w:val="center"/>
          </w:tcPr>
          <w:p w:rsidR="00D970D4" w:rsidRPr="00933CE7" w:rsidRDefault="00D970D4" w:rsidP="00F077A9">
            <w:pPr>
              <w:pStyle w:val="Tabletext"/>
              <w:rPr>
                <w:lang w:val="fr-CH"/>
              </w:rPr>
            </w:pPr>
            <w:r w:rsidRPr="00933CE7">
              <w:rPr>
                <w:lang w:val="fr-CH"/>
              </w:rPr>
              <w:t>Ventilation des coûts entre la Conférence de plénipotentiaires et les activités du Conseil (</w:t>
            </w:r>
            <w:r w:rsidRPr="00933CE7">
              <w:rPr>
                <w:b/>
                <w:bCs/>
                <w:color w:val="4F81BD" w:themeColor="accent1"/>
                <w:lang w:val="fr-CH"/>
              </w:rPr>
              <w:t>PP</w:t>
            </w:r>
            <w:r w:rsidR="00D23BF4">
              <w:rPr>
                <w:lang w:val="fr-CH"/>
              </w:rPr>
              <w:t>, </w:t>
            </w:r>
            <w:r w:rsidRPr="00933CE7">
              <w:rPr>
                <w:b/>
                <w:bCs/>
                <w:color w:val="4F81BD" w:themeColor="accent1"/>
                <w:lang w:val="fr-CH"/>
              </w:rPr>
              <w:t>Conseil/GTC</w:t>
            </w:r>
            <w:r w:rsidRPr="00933CE7">
              <w:rPr>
                <w:lang w:val="fr-CH"/>
              </w:rPr>
              <w:t>)</w:t>
            </w:r>
          </w:p>
        </w:tc>
        <w:tc>
          <w:tcPr>
            <w:tcW w:w="1630" w:type="dxa"/>
            <w:tcMar>
              <w:left w:w="284" w:type="dxa"/>
              <w:right w:w="284" w:type="dxa"/>
            </w:tcMar>
            <w:vAlign w:val="center"/>
          </w:tcPr>
          <w:p w:rsidR="00D970D4" w:rsidRPr="00933CE7" w:rsidRDefault="00D970D4" w:rsidP="00F077A9">
            <w:pPr>
              <w:pStyle w:val="Tabletext"/>
              <w:jc w:val="center"/>
              <w:rPr>
                <w:lang w:val="fr-CH"/>
              </w:rPr>
            </w:pPr>
          </w:p>
        </w:tc>
        <w:tc>
          <w:tcPr>
            <w:tcW w:w="1630" w:type="dxa"/>
            <w:tcMar>
              <w:left w:w="284" w:type="dxa"/>
              <w:right w:w="284" w:type="dxa"/>
            </w:tcMar>
            <w:vAlign w:val="center"/>
          </w:tcPr>
          <w:p w:rsidR="00D970D4" w:rsidRPr="00933CE7" w:rsidRDefault="00D970D4" w:rsidP="00F077A9">
            <w:pPr>
              <w:pStyle w:val="Tabletext"/>
              <w:jc w:val="center"/>
              <w:rPr>
                <w:lang w:val="fr-CH"/>
              </w:rPr>
            </w:pPr>
          </w:p>
        </w:tc>
        <w:tc>
          <w:tcPr>
            <w:tcW w:w="1630" w:type="dxa"/>
            <w:tcMar>
              <w:left w:w="284" w:type="dxa"/>
              <w:right w:w="284" w:type="dxa"/>
            </w:tcMar>
            <w:vAlign w:val="center"/>
          </w:tcPr>
          <w:p w:rsidR="00D970D4" w:rsidRPr="00933CE7" w:rsidRDefault="00D970D4" w:rsidP="00F077A9">
            <w:pPr>
              <w:pStyle w:val="Tabletext"/>
              <w:jc w:val="center"/>
              <w:rPr>
                <w:lang w:val="fr-CH"/>
              </w:rPr>
            </w:pPr>
          </w:p>
        </w:tc>
        <w:tc>
          <w:tcPr>
            <w:tcW w:w="1546" w:type="dxa"/>
            <w:tcMar>
              <w:left w:w="284" w:type="dxa"/>
              <w:right w:w="284" w:type="dxa"/>
            </w:tcMar>
            <w:vAlign w:val="center"/>
          </w:tcPr>
          <w:p w:rsidR="00D970D4" w:rsidRPr="00933CE7" w:rsidRDefault="00D970D4" w:rsidP="00F077A9">
            <w:pPr>
              <w:pStyle w:val="Tabletext"/>
              <w:jc w:val="center"/>
              <w:rPr>
                <w:lang w:val="fr-CH"/>
              </w:rPr>
            </w:pPr>
          </w:p>
        </w:tc>
      </w:tr>
      <w:tr w:rsidR="00D970D4" w:rsidRPr="00933CE7" w:rsidTr="00D23BF4">
        <w:tc>
          <w:tcPr>
            <w:tcW w:w="8612" w:type="dxa"/>
            <w:vAlign w:val="center"/>
          </w:tcPr>
          <w:p w:rsidR="00D970D4" w:rsidRPr="00933CE7" w:rsidRDefault="00D970D4" w:rsidP="00F077A9">
            <w:pPr>
              <w:pStyle w:val="Tabletext"/>
              <w:rPr>
                <w:b/>
                <w:bCs/>
                <w:noProof/>
                <w:color w:val="4F81BD" w:themeColor="accent1"/>
                <w:lang w:val="fr-CH" w:eastAsia="zh-CN"/>
              </w:rPr>
            </w:pPr>
            <w:r w:rsidRPr="00933CE7">
              <w:rPr>
                <w:b/>
                <w:bCs/>
                <w:color w:val="4F81BD" w:themeColor="accent1"/>
                <w:lang w:val="fr-CH"/>
              </w:rPr>
              <w:t>Total pour l'Objectif R.1</w:t>
            </w:r>
          </w:p>
        </w:tc>
        <w:tc>
          <w:tcPr>
            <w:tcW w:w="1630" w:type="dxa"/>
            <w:tcMar>
              <w:left w:w="284" w:type="dxa"/>
              <w:right w:w="284" w:type="dxa"/>
            </w:tcMar>
            <w:vAlign w:val="center"/>
          </w:tcPr>
          <w:p w:rsidR="00D970D4" w:rsidRPr="00933CE7" w:rsidRDefault="00D970D4" w:rsidP="00F077A9">
            <w:pPr>
              <w:pStyle w:val="Tabletext"/>
              <w:jc w:val="center"/>
              <w:rPr>
                <w:b/>
                <w:bCs/>
                <w:lang w:val="fr-CH"/>
              </w:rPr>
            </w:pPr>
          </w:p>
        </w:tc>
        <w:tc>
          <w:tcPr>
            <w:tcW w:w="1630" w:type="dxa"/>
            <w:tcMar>
              <w:left w:w="284" w:type="dxa"/>
              <w:right w:w="284" w:type="dxa"/>
            </w:tcMar>
            <w:vAlign w:val="center"/>
          </w:tcPr>
          <w:p w:rsidR="00D970D4" w:rsidRPr="00933CE7" w:rsidRDefault="00D970D4" w:rsidP="00F077A9">
            <w:pPr>
              <w:pStyle w:val="Tabletext"/>
              <w:jc w:val="center"/>
              <w:rPr>
                <w:b/>
                <w:bCs/>
                <w:lang w:val="fr-CH"/>
              </w:rPr>
            </w:pPr>
          </w:p>
        </w:tc>
        <w:tc>
          <w:tcPr>
            <w:tcW w:w="1630" w:type="dxa"/>
            <w:tcMar>
              <w:left w:w="284" w:type="dxa"/>
              <w:right w:w="284" w:type="dxa"/>
            </w:tcMar>
            <w:vAlign w:val="center"/>
          </w:tcPr>
          <w:p w:rsidR="00D970D4" w:rsidRPr="00933CE7" w:rsidRDefault="00D970D4" w:rsidP="00F077A9">
            <w:pPr>
              <w:pStyle w:val="Tabletext"/>
              <w:jc w:val="center"/>
              <w:rPr>
                <w:b/>
                <w:bCs/>
                <w:lang w:val="fr-CH"/>
              </w:rPr>
            </w:pPr>
          </w:p>
        </w:tc>
        <w:tc>
          <w:tcPr>
            <w:tcW w:w="1546" w:type="dxa"/>
            <w:tcMar>
              <w:left w:w="284" w:type="dxa"/>
              <w:right w:w="284" w:type="dxa"/>
            </w:tcMar>
            <w:vAlign w:val="center"/>
          </w:tcPr>
          <w:p w:rsidR="00D970D4" w:rsidRPr="00933CE7" w:rsidRDefault="00D970D4" w:rsidP="00F077A9">
            <w:pPr>
              <w:pStyle w:val="Tabletext"/>
              <w:jc w:val="center"/>
              <w:rPr>
                <w:b/>
                <w:bCs/>
                <w:lang w:val="fr-CH"/>
              </w:rPr>
            </w:pPr>
          </w:p>
        </w:tc>
      </w:tr>
    </w:tbl>
    <w:p w:rsidR="00D970D4" w:rsidRPr="00933CE7" w:rsidRDefault="00D970D4" w:rsidP="00F077A9">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Calibri" w:hAnsi="Calibri"/>
          <w:b/>
          <w:lang w:val="fr-CH"/>
        </w:rPr>
      </w:pPr>
      <w:r w:rsidRPr="00933CE7">
        <w:rPr>
          <w:rFonts w:ascii="Calibri" w:hAnsi="Calibri"/>
          <w:lang w:val="fr-CH"/>
        </w:rPr>
        <w:br w:type="page"/>
      </w:r>
    </w:p>
    <w:p w:rsidR="00D970D4" w:rsidRPr="00933CE7" w:rsidRDefault="00D970D4" w:rsidP="00F077A9">
      <w:pPr>
        <w:spacing w:after="120"/>
        <w:rPr>
          <w:lang w:val="fr-CH"/>
        </w:rPr>
      </w:pPr>
      <w:r w:rsidRPr="00933CE7">
        <w:rPr>
          <w:lang w:val="fr-CH"/>
        </w:rPr>
        <w:lastRenderedPageBreak/>
        <w:t>R.2</w:t>
      </w:r>
      <w:r w:rsidR="00135CB3" w:rsidRPr="00933CE7">
        <w:rPr>
          <w:lang w:val="fr-CH"/>
        </w:rPr>
        <w:t>:</w:t>
      </w:r>
      <w:r w:rsidRPr="00933CE7">
        <w:rPr>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r w:rsidR="00AF2A1A">
        <w:rPr>
          <w:lang w:val="fr-CH"/>
        </w:rPr>
        <w:t>.</w:t>
      </w:r>
    </w:p>
    <w:tbl>
      <w:tblPr>
        <w:tblW w:w="150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D970D4" w:rsidRPr="00933CE7" w:rsidTr="000A7D6B">
        <w:trPr>
          <w:trHeight w:val="320"/>
          <w:tblHeader/>
          <w:jc w:val="center"/>
        </w:trPr>
        <w:tc>
          <w:tcPr>
            <w:tcW w:w="3865"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Résultat</w:t>
            </w:r>
          </w:p>
        </w:tc>
        <w:tc>
          <w:tcPr>
            <w:tcW w:w="3218"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Indicateur de résultats</w:t>
            </w:r>
            <w:r w:rsidRPr="00D23BF4">
              <w:rPr>
                <w:rStyle w:val="FootnoteReference"/>
                <w:rFonts w:eastAsiaTheme="minorHAnsi"/>
                <w:b w:val="0"/>
                <w:bCs/>
                <w:color w:val="FFFFFF" w:themeColor="background1"/>
              </w:rPr>
              <w:footnoteReference w:id="3"/>
            </w:r>
          </w:p>
        </w:tc>
        <w:tc>
          <w:tcPr>
            <w:tcW w:w="851" w:type="dxa"/>
            <w:shd w:val="clear" w:color="000000" w:fill="2F75B5"/>
          </w:tcPr>
          <w:p w:rsidR="00D970D4" w:rsidRPr="00933CE7" w:rsidRDefault="00F7505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2014</w:t>
            </w:r>
          </w:p>
        </w:tc>
        <w:tc>
          <w:tcPr>
            <w:tcW w:w="896" w:type="dxa"/>
            <w:shd w:val="clear" w:color="000000" w:fill="2F75B5"/>
          </w:tcPr>
          <w:p w:rsidR="00D970D4" w:rsidRPr="00933CE7" w:rsidRDefault="00F7505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2015</w:t>
            </w:r>
          </w:p>
        </w:tc>
        <w:tc>
          <w:tcPr>
            <w:tcW w:w="896" w:type="dxa"/>
            <w:shd w:val="clear" w:color="000000" w:fill="2F75B5"/>
            <w:noWrap/>
            <w:hideMark/>
          </w:tcPr>
          <w:p w:rsidR="00D970D4" w:rsidRPr="00933CE7" w:rsidRDefault="00F7505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2016</w:t>
            </w:r>
          </w:p>
        </w:tc>
        <w:tc>
          <w:tcPr>
            <w:tcW w:w="896" w:type="dxa"/>
            <w:shd w:val="clear" w:color="000000" w:fill="2F75B5"/>
            <w:noWrap/>
            <w:hideMark/>
          </w:tcPr>
          <w:p w:rsidR="00D970D4" w:rsidRPr="00933CE7" w:rsidRDefault="00F7505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2017</w:t>
            </w:r>
          </w:p>
        </w:tc>
        <w:tc>
          <w:tcPr>
            <w:tcW w:w="896" w:type="dxa"/>
            <w:shd w:val="clear" w:color="000000" w:fill="2F75B5"/>
          </w:tcPr>
          <w:p w:rsidR="00D970D4" w:rsidRPr="00933CE7" w:rsidRDefault="00F75050" w:rsidP="00F077A9">
            <w:pPr>
              <w:pStyle w:val="Tablehead"/>
              <w:rPr>
                <w:rFonts w:eastAsiaTheme="minorHAnsi"/>
                <w:color w:val="FFFFFF" w:themeColor="background1"/>
                <w:sz w:val="20"/>
                <w:lang w:val="fr-CH"/>
              </w:rPr>
            </w:pPr>
            <w:r w:rsidRPr="00933CE7">
              <w:rPr>
                <w:rFonts w:asciiTheme="minorHAnsi" w:hAnsiTheme="minorHAnsi"/>
                <w:color w:val="FFFFFF" w:themeColor="background1"/>
                <w:sz w:val="20"/>
                <w:lang w:val="fr-CH"/>
              </w:rPr>
              <w:t>2018</w:t>
            </w:r>
          </w:p>
        </w:tc>
        <w:tc>
          <w:tcPr>
            <w:tcW w:w="896"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Cible pour 202</w:t>
            </w:r>
            <w:r w:rsidR="00F75050" w:rsidRPr="00933CE7">
              <w:rPr>
                <w:rFonts w:eastAsiaTheme="minorHAnsi"/>
                <w:color w:val="FFFFFF" w:themeColor="background1"/>
                <w:sz w:val="20"/>
                <w:lang w:val="fr-CH"/>
              </w:rPr>
              <w:t>3</w:t>
            </w:r>
          </w:p>
        </w:tc>
        <w:tc>
          <w:tcPr>
            <w:tcW w:w="2652" w:type="dxa"/>
            <w:shd w:val="clear" w:color="000000" w:fill="2F75B5"/>
            <w:noWrap/>
            <w:hideMark/>
          </w:tcPr>
          <w:p w:rsidR="00D970D4" w:rsidRPr="00933CE7" w:rsidRDefault="00D970D4" w:rsidP="00F077A9">
            <w:pPr>
              <w:pStyle w:val="Tablehead"/>
              <w:rPr>
                <w:rFonts w:asciiTheme="minorHAnsi" w:hAnsiTheme="minorHAnsi"/>
                <w:color w:val="FFFFFF" w:themeColor="background1"/>
                <w:sz w:val="20"/>
                <w:lang w:val="fr-CH" w:eastAsia="fr-FR"/>
              </w:rPr>
            </w:pPr>
            <w:r w:rsidRPr="00933CE7">
              <w:rPr>
                <w:rFonts w:eastAsiaTheme="minorHAnsi"/>
                <w:color w:val="FFFFFF" w:themeColor="background1"/>
                <w:sz w:val="20"/>
                <w:lang w:val="fr-CH"/>
              </w:rPr>
              <w:t>Source</w:t>
            </w:r>
          </w:p>
        </w:tc>
      </w:tr>
      <w:tr w:rsidR="00F75050" w:rsidRPr="00933CE7" w:rsidTr="000A7D6B">
        <w:trPr>
          <w:trHeight w:val="315"/>
          <w:jc w:val="center"/>
        </w:trPr>
        <w:tc>
          <w:tcPr>
            <w:tcW w:w="3865" w:type="dxa"/>
            <w:vMerge w:val="restart"/>
            <w:tcBorders>
              <w:top w:val="single" w:sz="6" w:space="0" w:color="auto"/>
            </w:tcBorders>
            <w:shd w:val="clear" w:color="auto" w:fill="auto"/>
            <w:hideMark/>
          </w:tcPr>
          <w:p w:rsidR="00F75050" w:rsidRPr="00933CE7" w:rsidRDefault="00F75050" w:rsidP="00F077A9">
            <w:pPr>
              <w:pStyle w:val="Tabletext"/>
              <w:rPr>
                <w:sz w:val="20"/>
                <w:lang w:val="fr-CH"/>
              </w:rPr>
            </w:pPr>
            <w:r w:rsidRPr="00933CE7">
              <w:rPr>
                <w:rFonts w:eastAsia="Calibri" w:cs="Arial"/>
                <w:b/>
                <w:bCs/>
                <w:color w:val="4F81BD" w:themeColor="accent1"/>
                <w:sz w:val="20"/>
                <w:lang w:val="fr-CH"/>
              </w:rPr>
              <w:t>R.2-1</w:t>
            </w:r>
            <w:r w:rsidRPr="00933CE7">
              <w:rPr>
                <w:rFonts w:eastAsia="Calibri"/>
                <w:sz w:val="20"/>
                <w:lang w:val="fr-CH"/>
              </w:rPr>
              <w:t xml:space="preserve">: </w:t>
            </w:r>
            <w:r w:rsidRPr="00933CE7">
              <w:rPr>
                <w:sz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Nombre d'abonnements (milliards)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7,01</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7,22</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7,51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7,81</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8,16</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9,2</w:t>
            </w:r>
          </w:p>
        </w:tc>
        <w:tc>
          <w:tcPr>
            <w:tcW w:w="2652" w:type="dxa"/>
            <w:vMerge w:val="restart"/>
            <w:tcBorders>
              <w:top w:val="single" w:sz="6" w:space="0" w:color="auto"/>
              <w:bottom w:val="single" w:sz="6" w:space="0" w:color="auto"/>
            </w:tcBorders>
            <w:shd w:val="clear" w:color="auto" w:fill="auto"/>
            <w:hideMark/>
          </w:tcPr>
          <w:p w:rsidR="00F75050" w:rsidRPr="00933CE7" w:rsidRDefault="00E8126C" w:rsidP="00F077A9">
            <w:pPr>
              <w:pStyle w:val="Tabletext"/>
              <w:rPr>
                <w:color w:val="000000"/>
                <w:sz w:val="20"/>
                <w:lang w:val="fr-CH"/>
              </w:rPr>
            </w:pPr>
            <w:r w:rsidRPr="00933CE7">
              <w:rPr>
                <w:color w:val="000000"/>
                <w:sz w:val="20"/>
                <w:lang w:val="fr-CH"/>
              </w:rPr>
              <w:t>Statistiques du BDT de l'UIT sur les TIC</w:t>
            </w:r>
          </w:p>
        </w:tc>
      </w:tr>
      <w:tr w:rsidR="00F75050" w:rsidRPr="00933CE7" w:rsidTr="000A7D6B">
        <w:trPr>
          <w:trHeight w:val="340"/>
          <w:jc w:val="center"/>
        </w:trPr>
        <w:tc>
          <w:tcPr>
            <w:tcW w:w="3865" w:type="dxa"/>
            <w:vMerge/>
            <w:shd w:val="clear" w:color="auto" w:fill="auto"/>
            <w:hideMark/>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 xml:space="preserve">Pourcentage d'abonnements </w:t>
            </w:r>
            <w:proofErr w:type="gramStart"/>
            <w:r w:rsidRPr="00933CE7">
              <w:rPr>
                <w:sz w:val="20"/>
                <w:lang w:val="fr-CH"/>
              </w:rPr>
              <w:t>au</w:t>
            </w:r>
            <w:proofErr w:type="gramEnd"/>
            <w:r w:rsidRPr="00933CE7">
              <w:rPr>
                <w:sz w:val="20"/>
                <w:lang w:val="fr-CH"/>
              </w:rPr>
              <w:t xml:space="preserve"> large bande mobile</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38%</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55%*</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65%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p>
        </w:tc>
        <w:tc>
          <w:tcPr>
            <w:tcW w:w="2652" w:type="dxa"/>
            <w:vMerge/>
            <w:tcBorders>
              <w:top w:val="single" w:sz="6" w:space="0" w:color="auto"/>
              <w:bottom w:val="single" w:sz="6" w:space="0" w:color="auto"/>
            </w:tcBorders>
            <w:shd w:val="clear" w:color="auto" w:fill="auto"/>
            <w:hideMark/>
          </w:tcPr>
          <w:p w:rsidR="00F75050" w:rsidRPr="00933CE7" w:rsidRDefault="00F75050" w:rsidP="00F077A9">
            <w:pPr>
              <w:pStyle w:val="Tabletext"/>
              <w:rPr>
                <w:rFonts w:asciiTheme="minorHAnsi" w:hAnsiTheme="minorHAnsi"/>
                <w:color w:val="000000"/>
                <w:sz w:val="20"/>
                <w:lang w:val="fr-CH" w:eastAsia="fr-FR"/>
              </w:rPr>
            </w:pPr>
          </w:p>
        </w:tc>
      </w:tr>
      <w:tr w:rsidR="00F75050" w:rsidRPr="00933CE7" w:rsidTr="000A7D6B">
        <w:trPr>
          <w:trHeight w:val="340"/>
          <w:jc w:val="center"/>
        </w:trPr>
        <w:tc>
          <w:tcPr>
            <w:tcW w:w="3865" w:type="dxa"/>
            <w:vMerge/>
            <w:tcBorders>
              <w:bottom w:val="single" w:sz="6" w:space="0" w:color="auto"/>
            </w:tcBorders>
            <w:shd w:val="clear" w:color="auto" w:fill="auto"/>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tcPr>
          <w:p w:rsidR="00F75050" w:rsidRPr="00933CE7" w:rsidRDefault="00E8126C" w:rsidP="00F077A9">
            <w:pPr>
              <w:pStyle w:val="Tabletext"/>
              <w:rPr>
                <w:sz w:val="20"/>
                <w:lang w:val="fr-CH"/>
              </w:rPr>
            </w:pPr>
            <w:r w:rsidRPr="00933CE7">
              <w:rPr>
                <w:sz w:val="20"/>
                <w:lang w:val="fr-CH"/>
              </w:rPr>
              <w:t>Nombre d'abonnés (milliards</w:t>
            </w:r>
            <w:r w:rsidR="00F75050" w:rsidRPr="00933CE7">
              <w:rPr>
                <w:sz w:val="20"/>
                <w:lang w:val="fr-CH"/>
              </w:rPr>
              <w:t>)</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4,83</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4,98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5,18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5,63</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6,34</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6,34</w:t>
            </w:r>
          </w:p>
        </w:tc>
        <w:tc>
          <w:tcPr>
            <w:tcW w:w="2652" w:type="dxa"/>
            <w:tcBorders>
              <w:top w:val="single" w:sz="6" w:space="0" w:color="auto"/>
              <w:bottom w:val="single" w:sz="6" w:space="0" w:color="auto"/>
            </w:tcBorders>
            <w:shd w:val="clear" w:color="auto" w:fill="auto"/>
          </w:tcPr>
          <w:p w:rsidR="00F75050" w:rsidRPr="00933CE7" w:rsidRDefault="00F75050" w:rsidP="00F077A9">
            <w:pPr>
              <w:pStyle w:val="Tabletext"/>
              <w:rPr>
                <w:rFonts w:asciiTheme="minorHAnsi" w:hAnsiTheme="minorHAnsi"/>
                <w:color w:val="000000"/>
                <w:sz w:val="20"/>
                <w:lang w:val="fr-CH" w:eastAsia="fr-FR"/>
              </w:rPr>
            </w:pPr>
          </w:p>
        </w:tc>
      </w:tr>
      <w:tr w:rsidR="00F75050" w:rsidRPr="00933CE7" w:rsidTr="000A7D6B">
        <w:trPr>
          <w:trHeight w:val="315"/>
          <w:jc w:val="center"/>
        </w:trPr>
        <w:tc>
          <w:tcPr>
            <w:tcW w:w="3865" w:type="dxa"/>
            <w:vMerge w:val="restart"/>
            <w:tcBorders>
              <w:top w:val="single" w:sz="6" w:space="0" w:color="auto"/>
            </w:tcBorders>
            <w:shd w:val="clear" w:color="auto" w:fill="auto"/>
            <w:hideMark/>
          </w:tcPr>
          <w:p w:rsidR="00F75050" w:rsidRPr="00933CE7" w:rsidRDefault="00F75050" w:rsidP="00F077A9">
            <w:pPr>
              <w:pStyle w:val="Tabletext"/>
              <w:rPr>
                <w:sz w:val="20"/>
                <w:lang w:val="fr-CH"/>
              </w:rPr>
            </w:pPr>
            <w:r w:rsidRPr="00933CE7">
              <w:rPr>
                <w:rFonts w:eastAsia="Calibri" w:cs="Arial"/>
                <w:b/>
                <w:bCs/>
                <w:color w:val="4F81BD" w:themeColor="accent1"/>
                <w:sz w:val="20"/>
                <w:lang w:val="fr-CH"/>
              </w:rPr>
              <w:t>R.2-2</w:t>
            </w:r>
            <w:r w:rsidRPr="00933CE7">
              <w:rPr>
                <w:rFonts w:eastAsia="Calibri"/>
                <w:sz w:val="20"/>
                <w:lang w:val="fr-CH"/>
              </w:rPr>
              <w:t xml:space="preserve">: </w:t>
            </w:r>
            <w:r w:rsidRPr="00933CE7">
              <w:rPr>
                <w:sz w:val="20"/>
                <w:lang w:val="fr-CH"/>
              </w:rPr>
              <w:t xml:space="preserve">Diminution du panier des prix </w:t>
            </w:r>
            <w:proofErr w:type="gramStart"/>
            <w:r w:rsidRPr="00933CE7">
              <w:rPr>
                <w:sz w:val="20"/>
                <w:lang w:val="fr-CH"/>
              </w:rPr>
              <w:t>du</w:t>
            </w:r>
            <w:proofErr w:type="gramEnd"/>
            <w:r w:rsidRPr="00933CE7">
              <w:rPr>
                <w:sz w:val="20"/>
                <w:lang w:val="fr-CH"/>
              </w:rPr>
              <w:t xml:space="preserve"> large bande mobile en pourcentage du revenu national brut (RNB) par habitant </w:t>
            </w: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 xml:space="preserve">Panier des prix </w:t>
            </w:r>
            <w:proofErr w:type="gramStart"/>
            <w:r w:rsidRPr="00933CE7">
              <w:rPr>
                <w:sz w:val="20"/>
                <w:lang w:val="fr-CH"/>
              </w:rPr>
              <w:t>du</w:t>
            </w:r>
            <w:proofErr w:type="gramEnd"/>
            <w:r w:rsidRPr="00933CE7">
              <w:rPr>
                <w:sz w:val="20"/>
                <w:lang w:val="fr-CH"/>
              </w:rPr>
              <w:t xml:space="preserve"> large bande mobile en pourcentage du RNB par habitant (sur téléphone à prépaiement (500 Mo))</w:t>
            </w:r>
          </w:p>
          <w:p w:rsidR="00F75050" w:rsidRPr="00933CE7" w:rsidRDefault="00F75050" w:rsidP="00F077A9">
            <w:pPr>
              <w:pStyle w:val="Tabletext"/>
              <w:rPr>
                <w:sz w:val="20"/>
                <w:lang w:val="fr-CH"/>
              </w:rPr>
            </w:pPr>
            <w:r w:rsidRPr="00933CE7">
              <w:rPr>
                <w:sz w:val="20"/>
                <w:lang w:val="fr-CH"/>
              </w:rPr>
              <w:t>Monde</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5,50</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3,88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3,61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3,6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3,6</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4</w:t>
            </w:r>
          </w:p>
        </w:tc>
        <w:tc>
          <w:tcPr>
            <w:tcW w:w="2652" w:type="dxa"/>
            <w:vMerge w:val="restart"/>
            <w:tcBorders>
              <w:top w:val="single" w:sz="6" w:space="0" w:color="auto"/>
            </w:tcBorders>
            <w:shd w:val="clear" w:color="auto" w:fill="auto"/>
            <w:noWrap/>
            <w:hideMark/>
          </w:tcPr>
          <w:p w:rsidR="00F75050" w:rsidRPr="00933CE7" w:rsidRDefault="00E8126C" w:rsidP="00F077A9">
            <w:pPr>
              <w:pStyle w:val="Tabletext"/>
              <w:rPr>
                <w:rFonts w:asciiTheme="minorHAnsi" w:hAnsiTheme="minorHAnsi"/>
                <w:color w:val="000000"/>
                <w:sz w:val="20"/>
                <w:lang w:val="fr-CH" w:eastAsia="fr-FR"/>
              </w:rPr>
            </w:pPr>
            <w:r w:rsidRPr="00933CE7">
              <w:rPr>
                <w:color w:val="000000"/>
                <w:sz w:val="20"/>
                <w:lang w:val="fr-CH"/>
              </w:rPr>
              <w:t>Statistiques du BDT de l'UIT sur les TIC</w:t>
            </w:r>
          </w:p>
        </w:tc>
      </w:tr>
      <w:tr w:rsidR="00F75050" w:rsidRPr="00933CE7" w:rsidTr="000A7D6B">
        <w:trPr>
          <w:jc w:val="center"/>
        </w:trPr>
        <w:tc>
          <w:tcPr>
            <w:tcW w:w="3865" w:type="dxa"/>
            <w:vMerge/>
            <w:shd w:val="clear" w:color="auto" w:fill="auto"/>
            <w:hideMark/>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Pays développés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0,75</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0,57</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0,65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0,6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0,6</w:t>
            </w:r>
          </w:p>
        </w:tc>
        <w:tc>
          <w:tcPr>
            <w:tcW w:w="896" w:type="dxa"/>
            <w:tcBorders>
              <w:top w:val="single" w:sz="6" w:space="0" w:color="auto"/>
              <w:bottom w:val="single" w:sz="6" w:space="0" w:color="auto"/>
            </w:tcBorders>
            <w:shd w:val="clear" w:color="auto" w:fill="auto"/>
          </w:tcPr>
          <w:p w:rsidR="00F75050" w:rsidRPr="00933CE7" w:rsidRDefault="00F75050" w:rsidP="00F077A9">
            <w:pPr>
              <w:pStyle w:val="Tabletext"/>
              <w:jc w:val="center"/>
              <w:rPr>
                <w:sz w:val="20"/>
                <w:lang w:val="fr-CH"/>
              </w:rPr>
            </w:pPr>
          </w:p>
        </w:tc>
        <w:tc>
          <w:tcPr>
            <w:tcW w:w="2652" w:type="dxa"/>
            <w:vMerge/>
            <w:shd w:val="clear" w:color="auto" w:fill="auto"/>
            <w:hideMark/>
          </w:tcPr>
          <w:p w:rsidR="00F75050" w:rsidRPr="00933CE7" w:rsidRDefault="00F75050" w:rsidP="00F077A9">
            <w:pPr>
              <w:pStyle w:val="Tabletext"/>
              <w:rPr>
                <w:rFonts w:asciiTheme="minorHAnsi" w:hAnsiTheme="minorHAnsi"/>
                <w:color w:val="000000"/>
                <w:sz w:val="20"/>
                <w:lang w:val="fr-CH" w:eastAsia="fr-FR"/>
              </w:rPr>
            </w:pPr>
          </w:p>
        </w:tc>
      </w:tr>
      <w:tr w:rsidR="00F75050" w:rsidRPr="00933CE7" w:rsidTr="000A7D6B">
        <w:trPr>
          <w:trHeight w:val="315"/>
          <w:jc w:val="center"/>
        </w:trPr>
        <w:tc>
          <w:tcPr>
            <w:tcW w:w="3865" w:type="dxa"/>
            <w:vMerge/>
            <w:shd w:val="clear" w:color="auto" w:fill="auto"/>
          </w:tcPr>
          <w:p w:rsidR="00F75050" w:rsidRPr="00933CE7" w:rsidRDefault="00F75050" w:rsidP="00F077A9">
            <w:pPr>
              <w:pStyle w:val="Tabletext"/>
              <w:rPr>
                <w:rFonts w:eastAsia="Calibri"/>
                <w:sz w:val="20"/>
                <w:lang w:val="fr-CH"/>
              </w:rPr>
            </w:pPr>
          </w:p>
        </w:tc>
        <w:tc>
          <w:tcPr>
            <w:tcW w:w="3218" w:type="dxa"/>
            <w:tcBorders>
              <w:top w:val="single" w:sz="6" w:space="0" w:color="auto"/>
              <w:bottom w:val="single" w:sz="6" w:space="0" w:color="auto"/>
            </w:tcBorders>
            <w:shd w:val="clear" w:color="auto" w:fill="auto"/>
          </w:tcPr>
          <w:p w:rsidR="00F75050" w:rsidRPr="00933CE7" w:rsidRDefault="00F75050" w:rsidP="00F077A9">
            <w:pPr>
              <w:pStyle w:val="Tabletext"/>
              <w:rPr>
                <w:sz w:val="20"/>
                <w:lang w:val="fr-CH"/>
              </w:rPr>
            </w:pPr>
            <w:r w:rsidRPr="00933CE7">
              <w:rPr>
                <w:sz w:val="20"/>
                <w:lang w:val="fr-CH"/>
              </w:rPr>
              <w:t>Pays en développement</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7,2</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5,1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4,6</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4,8</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p>
        </w:tc>
        <w:tc>
          <w:tcPr>
            <w:tcW w:w="2652" w:type="dxa"/>
            <w:vMerge/>
            <w:shd w:val="clear" w:color="auto" w:fill="auto"/>
            <w:noWrap/>
          </w:tcPr>
          <w:p w:rsidR="00F75050" w:rsidRPr="00933CE7" w:rsidRDefault="00F75050" w:rsidP="00F077A9">
            <w:pPr>
              <w:pStyle w:val="Tabletext"/>
              <w:rPr>
                <w:color w:val="000000"/>
                <w:sz w:val="20"/>
                <w:lang w:val="fr-CH"/>
              </w:rPr>
            </w:pPr>
          </w:p>
        </w:tc>
      </w:tr>
      <w:tr w:rsidR="00F75050" w:rsidRPr="00933CE7" w:rsidTr="000A7D6B">
        <w:trPr>
          <w:trHeight w:val="315"/>
          <w:jc w:val="center"/>
        </w:trPr>
        <w:tc>
          <w:tcPr>
            <w:tcW w:w="3865" w:type="dxa"/>
            <w:vMerge/>
            <w:shd w:val="clear" w:color="auto" w:fill="auto"/>
          </w:tcPr>
          <w:p w:rsidR="00F75050" w:rsidRPr="00933CE7" w:rsidRDefault="00F75050" w:rsidP="00F077A9">
            <w:pPr>
              <w:pStyle w:val="Tabletext"/>
              <w:rPr>
                <w:rFonts w:eastAsia="Calibri"/>
                <w:sz w:val="20"/>
                <w:lang w:val="fr-CH"/>
              </w:rPr>
            </w:pPr>
          </w:p>
        </w:tc>
        <w:tc>
          <w:tcPr>
            <w:tcW w:w="3218" w:type="dxa"/>
            <w:tcBorders>
              <w:top w:val="single" w:sz="6" w:space="0" w:color="auto"/>
              <w:bottom w:val="single" w:sz="6" w:space="0" w:color="auto"/>
            </w:tcBorders>
            <w:shd w:val="clear" w:color="auto" w:fill="auto"/>
          </w:tcPr>
          <w:p w:rsidR="00F75050" w:rsidRPr="00933CE7" w:rsidRDefault="00F75050" w:rsidP="00F077A9">
            <w:pPr>
              <w:pStyle w:val="Tabletext"/>
              <w:rPr>
                <w:sz w:val="20"/>
                <w:lang w:val="fr-CH"/>
              </w:rPr>
            </w:pPr>
            <w:r w:rsidRPr="00933CE7">
              <w:rPr>
                <w:sz w:val="20"/>
                <w:lang w:val="fr-CH"/>
              </w:rPr>
              <w:t>Pays les moins avancés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17,0</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11,4</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9,21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10,4</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10,4</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p>
        </w:tc>
        <w:tc>
          <w:tcPr>
            <w:tcW w:w="2652" w:type="dxa"/>
            <w:vMerge/>
            <w:shd w:val="clear" w:color="auto" w:fill="auto"/>
            <w:noWrap/>
          </w:tcPr>
          <w:p w:rsidR="00F75050" w:rsidRPr="00933CE7" w:rsidRDefault="00F75050" w:rsidP="00F077A9">
            <w:pPr>
              <w:pStyle w:val="Tabletext"/>
              <w:rPr>
                <w:color w:val="000000"/>
                <w:sz w:val="20"/>
                <w:lang w:val="fr-CH"/>
              </w:rPr>
            </w:pPr>
          </w:p>
        </w:tc>
      </w:tr>
      <w:tr w:rsidR="00F75050" w:rsidRPr="00933CE7" w:rsidTr="000A7D6B">
        <w:trPr>
          <w:trHeight w:val="315"/>
          <w:jc w:val="center"/>
        </w:trPr>
        <w:tc>
          <w:tcPr>
            <w:tcW w:w="3865" w:type="dxa"/>
            <w:vMerge/>
            <w:tcBorders>
              <w:bottom w:val="single" w:sz="6" w:space="0" w:color="auto"/>
            </w:tcBorders>
            <w:shd w:val="clear" w:color="auto" w:fill="auto"/>
          </w:tcPr>
          <w:p w:rsidR="00F75050" w:rsidRPr="00933CE7" w:rsidRDefault="00F75050" w:rsidP="00F077A9">
            <w:pPr>
              <w:pStyle w:val="Tabletext"/>
              <w:rPr>
                <w:rFonts w:eastAsia="Calibri"/>
                <w:sz w:val="20"/>
                <w:lang w:val="fr-CH"/>
              </w:rPr>
            </w:pPr>
          </w:p>
        </w:tc>
        <w:tc>
          <w:tcPr>
            <w:tcW w:w="3218" w:type="dxa"/>
            <w:tcBorders>
              <w:top w:val="single" w:sz="6" w:space="0" w:color="auto"/>
              <w:bottom w:val="single" w:sz="6" w:space="0" w:color="auto"/>
            </w:tcBorders>
            <w:shd w:val="clear" w:color="auto" w:fill="auto"/>
          </w:tcPr>
          <w:p w:rsidR="00F75050" w:rsidRPr="00933CE7" w:rsidRDefault="00F75050" w:rsidP="00F077A9">
            <w:pPr>
              <w:pStyle w:val="Tabletext"/>
              <w:rPr>
                <w:sz w:val="20"/>
                <w:lang w:val="fr-CH"/>
              </w:rPr>
            </w:pPr>
            <w:r w:rsidRPr="00933CE7">
              <w:rPr>
                <w:sz w:val="20"/>
                <w:lang w:val="fr-CH"/>
              </w:rPr>
              <w:t>Nombre de pays où le panier des prix est inférieur à 5%</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117</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135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150</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145</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145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193</w:t>
            </w:r>
          </w:p>
        </w:tc>
        <w:tc>
          <w:tcPr>
            <w:tcW w:w="2652" w:type="dxa"/>
            <w:vMerge/>
            <w:tcBorders>
              <w:bottom w:val="single" w:sz="6" w:space="0" w:color="auto"/>
            </w:tcBorders>
            <w:shd w:val="clear" w:color="auto" w:fill="auto"/>
            <w:noWrap/>
          </w:tcPr>
          <w:p w:rsidR="00F75050" w:rsidRPr="00933CE7" w:rsidRDefault="00F75050" w:rsidP="00F077A9">
            <w:pPr>
              <w:pStyle w:val="Tabletext"/>
              <w:rPr>
                <w:color w:val="000000"/>
                <w:sz w:val="20"/>
                <w:lang w:val="fr-CH"/>
              </w:rPr>
            </w:pPr>
          </w:p>
        </w:tc>
      </w:tr>
      <w:tr w:rsidR="00BB3AD3" w:rsidRPr="008E65BA" w:rsidTr="000A7D6B">
        <w:trPr>
          <w:trHeight w:val="315"/>
          <w:jc w:val="center"/>
        </w:trPr>
        <w:tc>
          <w:tcPr>
            <w:tcW w:w="3865" w:type="dxa"/>
            <w:vMerge w:val="restart"/>
            <w:tcBorders>
              <w:top w:val="single" w:sz="6" w:space="0" w:color="auto"/>
            </w:tcBorders>
            <w:shd w:val="clear" w:color="auto" w:fill="auto"/>
            <w:hideMark/>
          </w:tcPr>
          <w:p w:rsidR="00BB3AD3" w:rsidRPr="00933CE7" w:rsidRDefault="00BB3AD3" w:rsidP="00F077A9">
            <w:pPr>
              <w:pStyle w:val="Tabletext"/>
              <w:rPr>
                <w:rFonts w:eastAsia="Calibri"/>
                <w:sz w:val="20"/>
                <w:lang w:val="fr-CH"/>
              </w:rPr>
            </w:pPr>
            <w:r w:rsidRPr="00933CE7">
              <w:rPr>
                <w:rFonts w:eastAsia="Calibri" w:cs="Arial"/>
                <w:b/>
                <w:bCs/>
                <w:color w:val="4F81BD" w:themeColor="accent1"/>
                <w:sz w:val="20"/>
                <w:lang w:val="fr-CH"/>
              </w:rPr>
              <w:t>R.2-4</w:t>
            </w:r>
            <w:r w:rsidRPr="00933CE7">
              <w:rPr>
                <w:rFonts w:eastAsia="Calibri"/>
                <w:sz w:val="20"/>
                <w:lang w:val="fr-CH"/>
              </w:rPr>
              <w:t>: Nombre accru</w:t>
            </w:r>
            <w:r w:rsidRPr="00933CE7">
              <w:rPr>
                <w:sz w:val="20"/>
                <w:lang w:val="fr-CH"/>
              </w:rPr>
              <w:t xml:space="preserve"> de ménages recevant la télévision numérique de Terre</w:t>
            </w:r>
          </w:p>
        </w:tc>
        <w:tc>
          <w:tcPr>
            <w:tcW w:w="3218" w:type="dxa"/>
            <w:tcBorders>
              <w:top w:val="single" w:sz="6" w:space="0" w:color="auto"/>
              <w:bottom w:val="single" w:sz="6" w:space="0" w:color="auto"/>
            </w:tcBorders>
            <w:shd w:val="clear" w:color="auto" w:fill="auto"/>
            <w:hideMark/>
          </w:tcPr>
          <w:p w:rsidR="00BB3AD3" w:rsidRPr="00933CE7" w:rsidRDefault="00BB3AD3" w:rsidP="00F077A9">
            <w:pPr>
              <w:pStyle w:val="Tabletext"/>
              <w:rPr>
                <w:sz w:val="20"/>
                <w:lang w:val="fr-CH"/>
              </w:rPr>
            </w:pPr>
            <w:r w:rsidRPr="00933CE7">
              <w:rPr>
                <w:sz w:val="20"/>
                <w:lang w:val="fr-CH"/>
              </w:rPr>
              <w:t>Nombre de ménages recevant la TNT (millions)</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203,3</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235,5</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271,9</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311</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335</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453</w:t>
            </w:r>
          </w:p>
        </w:tc>
        <w:tc>
          <w:tcPr>
            <w:tcW w:w="2652" w:type="dxa"/>
            <w:vMerge w:val="restart"/>
            <w:tcBorders>
              <w:top w:val="single" w:sz="6" w:space="0" w:color="auto"/>
            </w:tcBorders>
            <w:shd w:val="clear" w:color="auto" w:fill="auto"/>
            <w:hideMark/>
          </w:tcPr>
          <w:p w:rsidR="00BB3AD3" w:rsidRPr="00D23BF4" w:rsidRDefault="00BB3AD3" w:rsidP="00F077A9">
            <w:pPr>
              <w:pStyle w:val="Tabletext"/>
              <w:rPr>
                <w:rFonts w:asciiTheme="minorHAnsi" w:hAnsiTheme="minorHAnsi"/>
                <w:sz w:val="20"/>
                <w:lang w:val="en-US" w:eastAsia="fr-FR"/>
              </w:rPr>
            </w:pPr>
            <w:r w:rsidRPr="00D23BF4">
              <w:rPr>
                <w:sz w:val="20"/>
                <w:lang w:val="en-US" w:eastAsia="fr-FR"/>
              </w:rPr>
              <w:t xml:space="preserve">Digital TV World </w:t>
            </w:r>
            <w:proofErr w:type="spellStart"/>
            <w:r w:rsidRPr="00D23BF4">
              <w:rPr>
                <w:sz w:val="20"/>
                <w:lang w:val="en-US" w:eastAsia="fr-FR"/>
              </w:rPr>
              <w:t>Databook</w:t>
            </w:r>
            <w:proofErr w:type="spellEnd"/>
            <w:r w:rsidRPr="00D23BF4">
              <w:rPr>
                <w:sz w:val="20"/>
                <w:lang w:val="en-US" w:eastAsia="fr-FR"/>
              </w:rPr>
              <w:t xml:space="preserve"> report, </w:t>
            </w:r>
            <w:proofErr w:type="spellStart"/>
            <w:r w:rsidRPr="00D23BF4">
              <w:rPr>
                <w:sz w:val="20"/>
                <w:lang w:val="en-US" w:eastAsia="fr-FR"/>
              </w:rPr>
              <w:t>juillet</w:t>
            </w:r>
            <w:proofErr w:type="spellEnd"/>
            <w:r w:rsidRPr="00D23BF4">
              <w:rPr>
                <w:sz w:val="20"/>
                <w:lang w:val="en-US" w:eastAsia="fr-FR"/>
              </w:rPr>
              <w:t xml:space="preserve"> 2017; Digital TV Research Ltd</w:t>
            </w:r>
            <w:r w:rsidRPr="00D23BF4">
              <w:rPr>
                <w:sz w:val="20"/>
                <w:lang w:val="en-US" w:eastAsia="fr-FR"/>
              </w:rPr>
              <w:br/>
            </w:r>
            <w:proofErr w:type="spellStart"/>
            <w:r w:rsidRPr="00D23BF4">
              <w:rPr>
                <w:sz w:val="20"/>
                <w:lang w:val="en-US" w:eastAsia="fr-FR"/>
              </w:rPr>
              <w:t>Databook</w:t>
            </w:r>
            <w:proofErr w:type="spellEnd"/>
            <w:r w:rsidRPr="00D23BF4">
              <w:rPr>
                <w:sz w:val="20"/>
                <w:lang w:val="en-US" w:eastAsia="fr-FR"/>
              </w:rPr>
              <w:t xml:space="preserve"> report</w:t>
            </w:r>
          </w:p>
        </w:tc>
      </w:tr>
      <w:tr w:rsidR="00BB3AD3" w:rsidRPr="00933CE7" w:rsidTr="000A7D6B">
        <w:trPr>
          <w:jc w:val="center"/>
        </w:trPr>
        <w:tc>
          <w:tcPr>
            <w:tcW w:w="3865" w:type="dxa"/>
            <w:vMerge/>
            <w:shd w:val="clear" w:color="auto" w:fill="auto"/>
            <w:hideMark/>
          </w:tcPr>
          <w:p w:rsidR="00BB3AD3" w:rsidRPr="00D23BF4" w:rsidRDefault="00BB3AD3" w:rsidP="00F077A9">
            <w:pPr>
              <w:pStyle w:val="Tabletext"/>
              <w:rPr>
                <w:sz w:val="20"/>
                <w:lang w:val="en-US"/>
              </w:rPr>
            </w:pPr>
          </w:p>
        </w:tc>
        <w:tc>
          <w:tcPr>
            <w:tcW w:w="3218" w:type="dxa"/>
            <w:tcBorders>
              <w:top w:val="single" w:sz="6" w:space="0" w:color="auto"/>
              <w:bottom w:val="single" w:sz="6" w:space="0" w:color="auto"/>
            </w:tcBorders>
            <w:shd w:val="clear" w:color="auto" w:fill="auto"/>
            <w:hideMark/>
          </w:tcPr>
          <w:p w:rsidR="00BB3AD3" w:rsidRPr="00933CE7" w:rsidRDefault="00BB3AD3" w:rsidP="00F077A9">
            <w:pPr>
              <w:pStyle w:val="Tabletext"/>
              <w:rPr>
                <w:sz w:val="20"/>
                <w:lang w:val="fr-CH"/>
              </w:rPr>
            </w:pPr>
            <w:r w:rsidRPr="00933CE7">
              <w:rPr>
                <w:sz w:val="20"/>
                <w:lang w:val="fr-CH"/>
              </w:rPr>
              <w:t>Nombre de ménages recevant la télévision analogique de Terre (millions)</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319,8</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251,6</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184,1</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136</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104</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p>
        </w:tc>
        <w:tc>
          <w:tcPr>
            <w:tcW w:w="2652" w:type="dxa"/>
            <w:vMerge/>
            <w:shd w:val="clear" w:color="auto" w:fill="auto"/>
            <w:hideMark/>
          </w:tcPr>
          <w:p w:rsidR="00BB3AD3" w:rsidRPr="00933CE7" w:rsidRDefault="00BB3AD3" w:rsidP="00F077A9">
            <w:pPr>
              <w:pStyle w:val="Tabletext"/>
              <w:rPr>
                <w:rFonts w:asciiTheme="minorHAnsi" w:hAnsiTheme="minorHAnsi"/>
                <w:sz w:val="20"/>
                <w:lang w:val="fr-CH" w:eastAsia="fr-FR"/>
              </w:rPr>
            </w:pPr>
          </w:p>
        </w:tc>
      </w:tr>
      <w:tr w:rsidR="00BB3AD3" w:rsidRPr="00933CE7" w:rsidTr="000A7D6B">
        <w:trPr>
          <w:jc w:val="center"/>
        </w:trPr>
        <w:tc>
          <w:tcPr>
            <w:tcW w:w="3865" w:type="dxa"/>
            <w:vMerge/>
            <w:shd w:val="clear" w:color="auto" w:fill="auto"/>
          </w:tcPr>
          <w:p w:rsidR="00BB3AD3" w:rsidRPr="00933CE7" w:rsidRDefault="00BB3AD3" w:rsidP="00F077A9">
            <w:pPr>
              <w:pStyle w:val="Tabletext"/>
              <w:rPr>
                <w:sz w:val="20"/>
                <w:lang w:val="fr-CH"/>
              </w:rPr>
            </w:pPr>
          </w:p>
        </w:tc>
        <w:tc>
          <w:tcPr>
            <w:tcW w:w="3218" w:type="dxa"/>
            <w:tcBorders>
              <w:top w:val="single" w:sz="6" w:space="0" w:color="auto"/>
              <w:bottom w:val="single" w:sz="6" w:space="0" w:color="auto"/>
            </w:tcBorders>
            <w:shd w:val="clear" w:color="auto" w:fill="auto"/>
          </w:tcPr>
          <w:p w:rsidR="00BB3AD3" w:rsidRPr="00933CE7" w:rsidRDefault="00BB3AD3" w:rsidP="00F077A9">
            <w:pPr>
              <w:pStyle w:val="Tabletext"/>
              <w:rPr>
                <w:sz w:val="20"/>
                <w:lang w:val="fr-CH"/>
              </w:rPr>
            </w:pPr>
            <w:r w:rsidRPr="00933CE7">
              <w:rPr>
                <w:sz w:val="20"/>
                <w:lang w:val="fr-CH"/>
              </w:rPr>
              <w:t>Nombre de ménages recevant la TNT ou la télévision analogique de Terre (millions)</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514,1</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487,1</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456</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447</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439</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p>
        </w:tc>
        <w:tc>
          <w:tcPr>
            <w:tcW w:w="2652" w:type="dxa"/>
            <w:vMerge/>
            <w:shd w:val="clear" w:color="auto" w:fill="auto"/>
          </w:tcPr>
          <w:p w:rsidR="00BB3AD3" w:rsidRPr="00933CE7" w:rsidRDefault="00BB3AD3" w:rsidP="00F077A9">
            <w:pPr>
              <w:pStyle w:val="Tabletext"/>
              <w:rPr>
                <w:sz w:val="20"/>
                <w:lang w:val="fr-CH" w:eastAsia="fr-FR"/>
              </w:rPr>
            </w:pPr>
          </w:p>
        </w:tc>
      </w:tr>
      <w:tr w:rsidR="00BB3AD3" w:rsidRPr="00933CE7" w:rsidTr="000A7D6B">
        <w:trPr>
          <w:jc w:val="center"/>
        </w:trPr>
        <w:tc>
          <w:tcPr>
            <w:tcW w:w="3865" w:type="dxa"/>
            <w:vMerge/>
            <w:shd w:val="clear" w:color="auto" w:fill="auto"/>
          </w:tcPr>
          <w:p w:rsidR="00BB3AD3" w:rsidRPr="00933CE7" w:rsidRDefault="00BB3AD3" w:rsidP="00F077A9">
            <w:pPr>
              <w:pStyle w:val="Tabletext"/>
              <w:rPr>
                <w:sz w:val="20"/>
                <w:lang w:val="fr-CH"/>
              </w:rPr>
            </w:pPr>
          </w:p>
        </w:tc>
        <w:tc>
          <w:tcPr>
            <w:tcW w:w="3218" w:type="dxa"/>
            <w:tcBorders>
              <w:top w:val="single" w:sz="6" w:space="0" w:color="auto"/>
              <w:bottom w:val="single" w:sz="6" w:space="0" w:color="auto"/>
            </w:tcBorders>
            <w:shd w:val="clear" w:color="auto" w:fill="auto"/>
          </w:tcPr>
          <w:p w:rsidR="00BB3AD3" w:rsidRPr="00933CE7" w:rsidRDefault="00BB3AD3" w:rsidP="00F077A9">
            <w:pPr>
              <w:pStyle w:val="Tabletext"/>
              <w:rPr>
                <w:sz w:val="20"/>
                <w:lang w:val="fr-CH"/>
              </w:rPr>
            </w:pPr>
            <w:r w:rsidRPr="00933CE7">
              <w:rPr>
                <w:sz w:val="20"/>
                <w:lang w:val="fr-CH"/>
              </w:rPr>
              <w:t>Pou</w:t>
            </w:r>
            <w:r w:rsidR="00D23BF4">
              <w:rPr>
                <w:sz w:val="20"/>
                <w:lang w:val="fr-CH"/>
              </w:rPr>
              <w:t>rcentage de ménages recevant la </w:t>
            </w:r>
            <w:r w:rsidRPr="00933CE7">
              <w:rPr>
                <w:sz w:val="20"/>
                <w:lang w:val="fr-CH"/>
              </w:rPr>
              <w:t>TNT</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10,3%</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11,8%</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13,5%</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14,90%</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15,80%</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22,70%</w:t>
            </w:r>
          </w:p>
        </w:tc>
        <w:tc>
          <w:tcPr>
            <w:tcW w:w="2652" w:type="dxa"/>
            <w:vMerge/>
            <w:shd w:val="clear" w:color="auto" w:fill="auto"/>
          </w:tcPr>
          <w:p w:rsidR="00BB3AD3" w:rsidRPr="00933CE7" w:rsidRDefault="00BB3AD3" w:rsidP="00F077A9">
            <w:pPr>
              <w:pStyle w:val="Tabletext"/>
              <w:rPr>
                <w:sz w:val="20"/>
                <w:lang w:val="fr-CH" w:eastAsia="fr-FR"/>
              </w:rPr>
            </w:pPr>
          </w:p>
        </w:tc>
      </w:tr>
      <w:tr w:rsidR="00BB3AD3" w:rsidRPr="00933CE7" w:rsidTr="000A7D6B">
        <w:trPr>
          <w:jc w:val="center"/>
        </w:trPr>
        <w:tc>
          <w:tcPr>
            <w:tcW w:w="3865" w:type="dxa"/>
            <w:vMerge/>
            <w:shd w:val="clear" w:color="auto" w:fill="auto"/>
          </w:tcPr>
          <w:p w:rsidR="00BB3AD3" w:rsidRPr="00933CE7" w:rsidRDefault="00BB3AD3" w:rsidP="00F077A9">
            <w:pPr>
              <w:pStyle w:val="Tabletext"/>
              <w:rPr>
                <w:sz w:val="20"/>
                <w:lang w:val="fr-CH"/>
              </w:rPr>
            </w:pPr>
          </w:p>
        </w:tc>
        <w:tc>
          <w:tcPr>
            <w:tcW w:w="3218" w:type="dxa"/>
            <w:tcBorders>
              <w:top w:val="single" w:sz="6" w:space="0" w:color="auto"/>
              <w:bottom w:val="single" w:sz="6" w:space="0" w:color="auto"/>
            </w:tcBorders>
            <w:shd w:val="clear" w:color="auto" w:fill="auto"/>
          </w:tcPr>
          <w:p w:rsidR="00BB3AD3" w:rsidRPr="00933CE7" w:rsidRDefault="00BB3AD3" w:rsidP="00F077A9">
            <w:pPr>
              <w:pStyle w:val="Tabletext"/>
              <w:rPr>
                <w:sz w:val="20"/>
                <w:lang w:val="fr-CH"/>
              </w:rPr>
            </w:pPr>
            <w:r w:rsidRPr="00933CE7">
              <w:rPr>
                <w:sz w:val="20"/>
                <w:lang w:val="fr-CH"/>
              </w:rPr>
              <w:t>Pourcentage de ménages recevant la télévision analogique de Terre</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16,3%</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12,6%</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9,1%</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6,50%</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4,90%</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p>
        </w:tc>
        <w:tc>
          <w:tcPr>
            <w:tcW w:w="2652" w:type="dxa"/>
            <w:vMerge/>
            <w:shd w:val="clear" w:color="auto" w:fill="auto"/>
          </w:tcPr>
          <w:p w:rsidR="00BB3AD3" w:rsidRPr="00933CE7" w:rsidRDefault="00BB3AD3" w:rsidP="00F077A9">
            <w:pPr>
              <w:pStyle w:val="Tabletext"/>
              <w:rPr>
                <w:sz w:val="20"/>
                <w:lang w:val="fr-CH" w:eastAsia="fr-FR"/>
              </w:rPr>
            </w:pPr>
          </w:p>
        </w:tc>
      </w:tr>
      <w:tr w:rsidR="00BB3AD3" w:rsidRPr="00933CE7" w:rsidTr="000A7D6B">
        <w:trPr>
          <w:jc w:val="center"/>
        </w:trPr>
        <w:tc>
          <w:tcPr>
            <w:tcW w:w="3865" w:type="dxa"/>
            <w:vMerge/>
            <w:tcBorders>
              <w:bottom w:val="single" w:sz="6" w:space="0" w:color="auto"/>
            </w:tcBorders>
            <w:shd w:val="clear" w:color="auto" w:fill="auto"/>
          </w:tcPr>
          <w:p w:rsidR="00BB3AD3" w:rsidRPr="00933CE7" w:rsidRDefault="00BB3AD3" w:rsidP="00F077A9">
            <w:pPr>
              <w:pStyle w:val="Tabletext"/>
              <w:rPr>
                <w:sz w:val="20"/>
                <w:lang w:val="fr-CH"/>
              </w:rPr>
            </w:pPr>
          </w:p>
        </w:tc>
        <w:tc>
          <w:tcPr>
            <w:tcW w:w="3218" w:type="dxa"/>
            <w:tcBorders>
              <w:top w:val="single" w:sz="6" w:space="0" w:color="auto"/>
              <w:bottom w:val="single" w:sz="6" w:space="0" w:color="auto"/>
            </w:tcBorders>
            <w:shd w:val="clear" w:color="auto" w:fill="auto"/>
          </w:tcPr>
          <w:p w:rsidR="00BB3AD3" w:rsidRPr="00933CE7" w:rsidRDefault="00BB3AD3" w:rsidP="00F077A9">
            <w:pPr>
              <w:pStyle w:val="Tabletext"/>
              <w:rPr>
                <w:sz w:val="20"/>
                <w:lang w:val="fr-CH"/>
              </w:rPr>
            </w:pPr>
            <w:r w:rsidRPr="00933CE7">
              <w:rPr>
                <w:sz w:val="20"/>
                <w:lang w:val="fr-CH"/>
              </w:rPr>
              <w:t>Pourcentage de ménages recevant la télévision de Terre</w:t>
            </w:r>
          </w:p>
        </w:tc>
        <w:tc>
          <w:tcPr>
            <w:tcW w:w="851"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26,6%</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24,5%</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22,6%</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r w:rsidRPr="00933CE7">
              <w:rPr>
                <w:sz w:val="20"/>
                <w:lang w:val="fr-CH"/>
              </w:rPr>
              <w:t>21,40%</w:t>
            </w:r>
          </w:p>
        </w:tc>
        <w:tc>
          <w:tcPr>
            <w:tcW w:w="896" w:type="dxa"/>
            <w:tcBorders>
              <w:top w:val="single" w:sz="6" w:space="0" w:color="auto"/>
              <w:bottom w:val="single" w:sz="6" w:space="0" w:color="auto"/>
            </w:tcBorders>
          </w:tcPr>
          <w:p w:rsidR="00BB3AD3" w:rsidRPr="00933CE7" w:rsidRDefault="00BB3AD3" w:rsidP="00F077A9">
            <w:pPr>
              <w:pStyle w:val="Tabletext"/>
              <w:jc w:val="center"/>
              <w:rPr>
                <w:sz w:val="20"/>
                <w:lang w:val="fr-CH"/>
              </w:rPr>
            </w:pPr>
            <w:r w:rsidRPr="00933CE7">
              <w:rPr>
                <w:sz w:val="20"/>
                <w:lang w:val="fr-CH"/>
              </w:rPr>
              <w:t>20,80%</w:t>
            </w:r>
          </w:p>
        </w:tc>
        <w:tc>
          <w:tcPr>
            <w:tcW w:w="896" w:type="dxa"/>
            <w:tcBorders>
              <w:top w:val="single" w:sz="6" w:space="0" w:color="auto"/>
              <w:bottom w:val="single" w:sz="6" w:space="0" w:color="auto"/>
            </w:tcBorders>
            <w:shd w:val="clear" w:color="auto" w:fill="auto"/>
            <w:noWrap/>
          </w:tcPr>
          <w:p w:rsidR="00BB3AD3" w:rsidRPr="00933CE7" w:rsidRDefault="00BB3AD3" w:rsidP="00F077A9">
            <w:pPr>
              <w:pStyle w:val="Tabletext"/>
              <w:jc w:val="center"/>
              <w:rPr>
                <w:sz w:val="20"/>
                <w:lang w:val="fr-CH"/>
              </w:rPr>
            </w:pPr>
          </w:p>
        </w:tc>
        <w:tc>
          <w:tcPr>
            <w:tcW w:w="2652" w:type="dxa"/>
            <w:vMerge/>
            <w:tcBorders>
              <w:bottom w:val="single" w:sz="6" w:space="0" w:color="auto"/>
            </w:tcBorders>
            <w:shd w:val="clear" w:color="auto" w:fill="auto"/>
          </w:tcPr>
          <w:p w:rsidR="00BB3AD3" w:rsidRPr="00933CE7" w:rsidRDefault="00BB3AD3" w:rsidP="00F077A9">
            <w:pPr>
              <w:pStyle w:val="Tabletext"/>
              <w:rPr>
                <w:sz w:val="20"/>
                <w:lang w:val="fr-CH" w:eastAsia="fr-FR"/>
              </w:rPr>
            </w:pPr>
          </w:p>
        </w:tc>
      </w:tr>
      <w:tr w:rsidR="00F75050" w:rsidRPr="008E65BA" w:rsidTr="000A7D6B">
        <w:trPr>
          <w:trHeight w:val="315"/>
          <w:jc w:val="center"/>
        </w:trPr>
        <w:tc>
          <w:tcPr>
            <w:tcW w:w="3865" w:type="dxa"/>
            <w:vMerge w:val="restart"/>
            <w:tcBorders>
              <w:top w:val="single" w:sz="6" w:space="0" w:color="auto"/>
              <w:bottom w:val="single" w:sz="6" w:space="0" w:color="auto"/>
            </w:tcBorders>
            <w:shd w:val="clear" w:color="auto" w:fill="auto"/>
            <w:hideMark/>
          </w:tcPr>
          <w:p w:rsidR="00F75050" w:rsidRPr="00933CE7" w:rsidRDefault="00F75050" w:rsidP="00F077A9">
            <w:pPr>
              <w:pStyle w:val="Tabletext"/>
              <w:rPr>
                <w:rFonts w:eastAsia="Calibri"/>
                <w:sz w:val="20"/>
                <w:lang w:val="fr-CH"/>
              </w:rPr>
            </w:pPr>
            <w:r w:rsidRPr="00933CE7">
              <w:rPr>
                <w:rFonts w:eastAsia="Calibri" w:cs="Arial"/>
                <w:b/>
                <w:bCs/>
                <w:color w:val="4F81BD" w:themeColor="accent1"/>
                <w:sz w:val="20"/>
                <w:lang w:val="fr-CH"/>
              </w:rPr>
              <w:t>R.2-5</w:t>
            </w:r>
            <w:r w:rsidRPr="00933CE7">
              <w:rPr>
                <w:rFonts w:eastAsia="Calibri"/>
                <w:sz w:val="20"/>
                <w:lang w:val="fr-CH"/>
              </w:rPr>
              <w:t xml:space="preserve">: </w:t>
            </w:r>
            <w:r w:rsidR="00BB3AD3" w:rsidRPr="00933CE7">
              <w:rPr>
                <w:rFonts w:eastAsia="Calibri"/>
                <w:sz w:val="20"/>
                <w:lang w:val="fr-CH"/>
              </w:rPr>
              <w:t>Nombre accru</w:t>
            </w:r>
            <w:r w:rsidRPr="00933CE7">
              <w:rPr>
                <w:sz w:val="20"/>
                <w:lang w:val="fr-CH"/>
              </w:rPr>
              <w:t xml:space="preserve"> de répéteurs de satellite (équivalent 36 MHz) en service et capacité correspondante (</w:t>
            </w:r>
            <w:proofErr w:type="spellStart"/>
            <w:r w:rsidRPr="00933CE7">
              <w:rPr>
                <w:sz w:val="20"/>
                <w:lang w:val="fr-CH"/>
              </w:rPr>
              <w:t>Tbit</w:t>
            </w:r>
            <w:proofErr w:type="spellEnd"/>
            <w:r w:rsidRPr="00933CE7">
              <w:rPr>
                <w:sz w:val="20"/>
                <w:lang w:val="fr-CH"/>
              </w:rPr>
              <w:t xml:space="preserve">/s); nombre de </w:t>
            </w:r>
            <w:proofErr w:type="spellStart"/>
            <w:r w:rsidRPr="00933CE7">
              <w:rPr>
                <w:sz w:val="20"/>
                <w:lang w:val="fr-CH"/>
              </w:rPr>
              <w:t>microstations</w:t>
            </w:r>
            <w:proofErr w:type="spellEnd"/>
            <w:r w:rsidRPr="00933CE7">
              <w:rPr>
                <w:sz w:val="20"/>
                <w:lang w:val="fr-CH"/>
              </w:rPr>
              <w:t>, nombre de ménages recevant la télévision par satellite</w:t>
            </w: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Nombre de répéteurs de satellites (équivalent 36 MHz) en service</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15997</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17953</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19772</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25056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30742</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p>
        </w:tc>
        <w:tc>
          <w:tcPr>
            <w:tcW w:w="2652" w:type="dxa"/>
            <w:tcBorders>
              <w:top w:val="single" w:sz="6" w:space="0" w:color="auto"/>
              <w:bottom w:val="single" w:sz="6" w:space="0" w:color="auto"/>
            </w:tcBorders>
            <w:shd w:val="clear" w:color="auto" w:fill="auto"/>
            <w:noWrap/>
            <w:hideMark/>
          </w:tcPr>
          <w:p w:rsidR="00F75050" w:rsidRPr="00D23BF4" w:rsidRDefault="00F75050" w:rsidP="00F077A9">
            <w:pPr>
              <w:pStyle w:val="Tabletext"/>
              <w:rPr>
                <w:sz w:val="20"/>
                <w:lang w:val="es-ES"/>
              </w:rPr>
            </w:pPr>
            <w:proofErr w:type="spellStart"/>
            <w:r w:rsidRPr="00D23BF4">
              <w:rPr>
                <w:sz w:val="20"/>
                <w:lang w:val="es-ES"/>
              </w:rPr>
              <w:t>Euroconsult</w:t>
            </w:r>
            <w:proofErr w:type="spellEnd"/>
            <w:r w:rsidRPr="00D23BF4">
              <w:rPr>
                <w:sz w:val="20"/>
                <w:lang w:val="es-ES"/>
              </w:rPr>
              <w:t xml:space="preserve"> </w:t>
            </w:r>
            <w:r w:rsidRPr="00D23BF4">
              <w:rPr>
                <w:sz w:val="20"/>
                <w:lang w:val="es-ES"/>
              </w:rPr>
              <w:br/>
              <w:t>(http://www.euroconsult-ec.com)</w:t>
            </w:r>
          </w:p>
        </w:tc>
      </w:tr>
      <w:tr w:rsidR="00F75050" w:rsidRPr="00933CE7" w:rsidTr="000A7D6B">
        <w:trPr>
          <w:trHeight w:val="320"/>
          <w:jc w:val="center"/>
        </w:trPr>
        <w:tc>
          <w:tcPr>
            <w:tcW w:w="3865" w:type="dxa"/>
            <w:vMerge/>
            <w:tcBorders>
              <w:top w:val="single" w:sz="6" w:space="0" w:color="auto"/>
              <w:bottom w:val="single" w:sz="6" w:space="0" w:color="auto"/>
            </w:tcBorders>
            <w:shd w:val="clear" w:color="auto" w:fill="auto"/>
            <w:hideMark/>
          </w:tcPr>
          <w:p w:rsidR="00F75050" w:rsidRPr="00D23BF4" w:rsidRDefault="00F75050" w:rsidP="00F077A9">
            <w:pPr>
              <w:pStyle w:val="Tabletext"/>
              <w:rPr>
                <w:sz w:val="20"/>
                <w:lang w:val="es-ES"/>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 xml:space="preserve">Capacité correspondante (en </w:t>
            </w:r>
            <w:proofErr w:type="spellStart"/>
            <w:r w:rsidRPr="00933CE7">
              <w:rPr>
                <w:sz w:val="20"/>
                <w:lang w:val="fr-CH"/>
              </w:rPr>
              <w:t>Tbit</w:t>
            </w:r>
            <w:proofErr w:type="spellEnd"/>
            <w:r w:rsidRPr="00933CE7">
              <w:rPr>
                <w:sz w:val="20"/>
                <w:lang w:val="fr-CH"/>
              </w:rPr>
              <w:t>/s)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1,095</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1,269</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1,491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1,978</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2,581</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p>
        </w:tc>
        <w:tc>
          <w:tcPr>
            <w:tcW w:w="2652" w:type="dxa"/>
            <w:tcBorders>
              <w:top w:val="single" w:sz="6" w:space="0" w:color="auto"/>
              <w:bottom w:val="single" w:sz="6" w:space="0" w:color="auto"/>
            </w:tcBorders>
            <w:shd w:val="clear" w:color="auto" w:fill="auto"/>
            <w:noWrap/>
            <w:hideMark/>
          </w:tcPr>
          <w:p w:rsidR="00F75050" w:rsidRPr="00933CE7" w:rsidRDefault="00F75050" w:rsidP="00F077A9">
            <w:pPr>
              <w:pStyle w:val="Tabletext"/>
              <w:rPr>
                <w:sz w:val="20"/>
                <w:lang w:val="fr-CH"/>
              </w:rPr>
            </w:pPr>
            <w:proofErr w:type="spellStart"/>
            <w:proofErr w:type="gramStart"/>
            <w:r w:rsidRPr="00933CE7">
              <w:rPr>
                <w:sz w:val="20"/>
                <w:lang w:val="fr-CH"/>
              </w:rPr>
              <w:t>Euroconsult</w:t>
            </w:r>
            <w:proofErr w:type="spellEnd"/>
            <w:proofErr w:type="gramEnd"/>
            <w:r w:rsidRPr="00933CE7">
              <w:rPr>
                <w:sz w:val="20"/>
                <w:lang w:val="fr-CH"/>
              </w:rPr>
              <w:br/>
              <w:t>(http://www.euroconsult-ec.com)</w:t>
            </w:r>
          </w:p>
        </w:tc>
      </w:tr>
      <w:tr w:rsidR="00F75050" w:rsidRPr="00933CE7" w:rsidTr="000A7D6B">
        <w:trPr>
          <w:trHeight w:val="320"/>
          <w:jc w:val="center"/>
        </w:trPr>
        <w:tc>
          <w:tcPr>
            <w:tcW w:w="3865" w:type="dxa"/>
            <w:vMerge/>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 xml:space="preserve">Nombre de </w:t>
            </w:r>
            <w:proofErr w:type="spellStart"/>
            <w:r w:rsidRPr="00933CE7">
              <w:rPr>
                <w:sz w:val="20"/>
                <w:lang w:val="fr-CH"/>
              </w:rPr>
              <w:t>microstations</w:t>
            </w:r>
            <w:proofErr w:type="spellEnd"/>
            <w:r w:rsidRPr="00933CE7">
              <w:rPr>
                <w:sz w:val="20"/>
                <w:lang w:val="fr-CH"/>
              </w:rPr>
              <w:t xml:space="preserve"> (millions)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3,786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3,891</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3,838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3,972</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4,082</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4,35</w:t>
            </w:r>
          </w:p>
        </w:tc>
        <w:tc>
          <w:tcPr>
            <w:tcW w:w="2652" w:type="dxa"/>
            <w:tcBorders>
              <w:top w:val="single" w:sz="6" w:space="0" w:color="auto"/>
              <w:bottom w:val="single" w:sz="6" w:space="0" w:color="auto"/>
            </w:tcBorders>
            <w:shd w:val="clear" w:color="auto" w:fill="auto"/>
            <w:noWrap/>
            <w:hideMark/>
          </w:tcPr>
          <w:p w:rsidR="00F75050" w:rsidRPr="00933CE7" w:rsidRDefault="00F75050" w:rsidP="00F077A9">
            <w:pPr>
              <w:pStyle w:val="Tabletext"/>
              <w:rPr>
                <w:sz w:val="20"/>
                <w:lang w:val="fr-CH"/>
              </w:rPr>
            </w:pPr>
            <w:r w:rsidRPr="00933CE7">
              <w:rPr>
                <w:sz w:val="20"/>
                <w:lang w:val="fr-CH"/>
              </w:rPr>
              <w:t xml:space="preserve">Global VSAT </w:t>
            </w:r>
            <w:proofErr w:type="gramStart"/>
            <w:r w:rsidRPr="00933CE7">
              <w:rPr>
                <w:sz w:val="20"/>
                <w:lang w:val="fr-CH"/>
              </w:rPr>
              <w:t>Forum</w:t>
            </w:r>
            <w:proofErr w:type="gramEnd"/>
            <w:r w:rsidRPr="00933CE7">
              <w:rPr>
                <w:sz w:val="20"/>
                <w:lang w:val="fr-CH"/>
              </w:rPr>
              <w:br/>
              <w:t>(https://gvf.org)</w:t>
            </w:r>
          </w:p>
        </w:tc>
      </w:tr>
      <w:tr w:rsidR="00F75050" w:rsidRPr="008E65BA" w:rsidTr="000A7D6B">
        <w:trPr>
          <w:trHeight w:val="624"/>
          <w:jc w:val="center"/>
        </w:trPr>
        <w:tc>
          <w:tcPr>
            <w:tcW w:w="3865" w:type="dxa"/>
            <w:vMerge/>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Nombre de systèmes DTH (millions)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359,2</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407,9</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411,1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416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424</w:t>
            </w:r>
          </w:p>
        </w:tc>
        <w:tc>
          <w:tcPr>
            <w:tcW w:w="896" w:type="dxa"/>
            <w:tcBorders>
              <w:top w:val="single" w:sz="6" w:space="0" w:color="auto"/>
              <w:bottom w:val="single" w:sz="6" w:space="0" w:color="auto"/>
            </w:tcBorders>
            <w:shd w:val="clear" w:color="auto" w:fill="auto"/>
            <w:noWrap/>
            <w:hideMark/>
          </w:tcPr>
          <w:p w:rsidR="00F75050" w:rsidRPr="00933CE7" w:rsidRDefault="00F75050" w:rsidP="00F077A9">
            <w:pPr>
              <w:pStyle w:val="Tabletext"/>
              <w:jc w:val="center"/>
              <w:rPr>
                <w:sz w:val="20"/>
                <w:lang w:val="fr-CH"/>
              </w:rPr>
            </w:pPr>
            <w:r w:rsidRPr="00933CE7">
              <w:rPr>
                <w:sz w:val="20"/>
                <w:lang w:val="fr-CH"/>
              </w:rPr>
              <w:t>439</w:t>
            </w:r>
          </w:p>
        </w:tc>
        <w:tc>
          <w:tcPr>
            <w:tcW w:w="2652" w:type="dxa"/>
            <w:tcBorders>
              <w:top w:val="single" w:sz="6" w:space="0" w:color="auto"/>
              <w:bottom w:val="single" w:sz="6" w:space="0" w:color="auto"/>
            </w:tcBorders>
            <w:shd w:val="clear" w:color="auto" w:fill="auto"/>
            <w:noWrap/>
            <w:hideMark/>
          </w:tcPr>
          <w:p w:rsidR="00F75050" w:rsidRPr="00D23BF4" w:rsidRDefault="00F75050" w:rsidP="00F077A9">
            <w:pPr>
              <w:pStyle w:val="Tabletext"/>
              <w:rPr>
                <w:rFonts w:asciiTheme="minorHAnsi" w:hAnsiTheme="minorHAnsi"/>
                <w:color w:val="000000" w:themeColor="text1"/>
                <w:sz w:val="20"/>
                <w:lang w:val="en-US" w:eastAsia="fr-FR"/>
              </w:rPr>
            </w:pPr>
            <w:r w:rsidRPr="00D23BF4">
              <w:rPr>
                <w:sz w:val="20"/>
                <w:lang w:val="en-US" w:eastAsia="fr-FR"/>
              </w:rPr>
              <w:t xml:space="preserve">Digital TV World </w:t>
            </w:r>
            <w:proofErr w:type="spellStart"/>
            <w:r w:rsidRPr="00D23BF4">
              <w:rPr>
                <w:sz w:val="20"/>
                <w:lang w:val="en-US" w:eastAsia="fr-FR"/>
              </w:rPr>
              <w:t>Databook</w:t>
            </w:r>
            <w:proofErr w:type="spellEnd"/>
            <w:r w:rsidRPr="00D23BF4">
              <w:rPr>
                <w:sz w:val="20"/>
                <w:lang w:val="en-US" w:eastAsia="fr-FR"/>
              </w:rPr>
              <w:t xml:space="preserve"> report, </w:t>
            </w:r>
            <w:proofErr w:type="spellStart"/>
            <w:r w:rsidRPr="00D23BF4">
              <w:rPr>
                <w:sz w:val="20"/>
                <w:lang w:val="en-US" w:eastAsia="fr-FR"/>
              </w:rPr>
              <w:t>juillet</w:t>
            </w:r>
            <w:proofErr w:type="spellEnd"/>
            <w:r w:rsidRPr="00D23BF4">
              <w:rPr>
                <w:sz w:val="20"/>
                <w:lang w:val="en-US" w:eastAsia="fr-FR"/>
              </w:rPr>
              <w:t xml:space="preserve"> 2017; Digital TV Research Ltd</w:t>
            </w:r>
          </w:p>
        </w:tc>
      </w:tr>
      <w:tr w:rsidR="00F75050" w:rsidRPr="00933CE7" w:rsidTr="000A7D6B">
        <w:trPr>
          <w:cantSplit/>
          <w:trHeight w:val="315"/>
          <w:jc w:val="center"/>
        </w:trPr>
        <w:tc>
          <w:tcPr>
            <w:tcW w:w="3865" w:type="dxa"/>
            <w:vMerge w:val="restart"/>
            <w:tcBorders>
              <w:top w:val="single" w:sz="6" w:space="0" w:color="auto"/>
              <w:bottom w:val="single" w:sz="6" w:space="0" w:color="auto"/>
            </w:tcBorders>
            <w:shd w:val="clear" w:color="auto" w:fill="auto"/>
            <w:hideMark/>
          </w:tcPr>
          <w:p w:rsidR="00F75050" w:rsidRPr="00933CE7" w:rsidRDefault="00F75050" w:rsidP="00F077A9">
            <w:pPr>
              <w:pStyle w:val="Tabletext"/>
              <w:rPr>
                <w:rFonts w:eastAsia="Calibri"/>
                <w:sz w:val="20"/>
                <w:lang w:val="fr-CH"/>
              </w:rPr>
            </w:pPr>
            <w:r w:rsidRPr="00933CE7">
              <w:rPr>
                <w:rFonts w:eastAsia="Calibri" w:cs="Arial"/>
                <w:b/>
                <w:bCs/>
                <w:color w:val="4F81BD" w:themeColor="accent1"/>
                <w:sz w:val="20"/>
                <w:lang w:val="fr-CH"/>
              </w:rPr>
              <w:t>R.2-6</w:t>
            </w:r>
            <w:r w:rsidRPr="00933CE7">
              <w:rPr>
                <w:rFonts w:eastAsia="Calibri"/>
                <w:sz w:val="20"/>
                <w:lang w:val="fr-CH"/>
              </w:rPr>
              <w:t xml:space="preserve">: </w:t>
            </w:r>
            <w:r w:rsidRPr="00933CE7">
              <w:rPr>
                <w:sz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Nombre de constellations/satellites GNSS opérationnels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2/48</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4/75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5/90</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6/137</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6/144</w:t>
            </w:r>
          </w:p>
        </w:tc>
        <w:tc>
          <w:tcPr>
            <w:tcW w:w="2652" w:type="dxa"/>
            <w:tcBorders>
              <w:top w:val="single" w:sz="6" w:space="0" w:color="auto"/>
              <w:bottom w:val="single" w:sz="6" w:space="0" w:color="auto"/>
            </w:tcBorders>
            <w:shd w:val="clear" w:color="auto" w:fill="auto"/>
            <w:noWrap/>
            <w:hideMark/>
          </w:tcPr>
          <w:p w:rsidR="00F75050" w:rsidRPr="00933CE7" w:rsidRDefault="00F75050" w:rsidP="00F077A9">
            <w:pPr>
              <w:pStyle w:val="Tabletext"/>
              <w:rPr>
                <w:rFonts w:asciiTheme="minorHAnsi" w:hAnsiTheme="minorHAnsi"/>
                <w:color w:val="000000" w:themeColor="text1"/>
                <w:sz w:val="20"/>
                <w:lang w:val="fr-CH" w:eastAsia="fr-FR"/>
              </w:rPr>
            </w:pPr>
            <w:r w:rsidRPr="00933CE7">
              <w:rPr>
                <w:sz w:val="20"/>
                <w:lang w:val="fr-CH"/>
              </w:rPr>
              <w:t>Fichier de référence international des fréquences/BR</w:t>
            </w:r>
          </w:p>
        </w:tc>
      </w:tr>
      <w:tr w:rsidR="00F75050" w:rsidRPr="00933CE7" w:rsidTr="000A7D6B">
        <w:trPr>
          <w:cantSplit/>
          <w:trHeight w:val="614"/>
          <w:jc w:val="center"/>
        </w:trPr>
        <w:tc>
          <w:tcPr>
            <w:tcW w:w="3865" w:type="dxa"/>
            <w:vMerge/>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rPr>
                <w:sz w:val="20"/>
                <w:lang w:val="fr-CH"/>
              </w:rPr>
            </w:pPr>
            <w:r w:rsidRPr="00933CE7">
              <w:rPr>
                <w:sz w:val="20"/>
                <w:lang w:val="fr-CH"/>
              </w:rPr>
              <w:t>Nombre de dispositifs munis d'un récepteur GNSS intégré (milliards)</w:t>
            </w:r>
          </w:p>
        </w:tc>
        <w:tc>
          <w:tcPr>
            <w:tcW w:w="851"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3,6</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4,2</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5,0</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r w:rsidRPr="00933CE7">
              <w:rPr>
                <w:sz w:val="20"/>
                <w:lang w:val="fr-CH"/>
              </w:rPr>
              <w:t>5,8*</w:t>
            </w:r>
          </w:p>
        </w:tc>
        <w:tc>
          <w:tcPr>
            <w:tcW w:w="896" w:type="dxa"/>
            <w:tcBorders>
              <w:top w:val="single" w:sz="6" w:space="0" w:color="auto"/>
              <w:bottom w:val="single" w:sz="6" w:space="0" w:color="auto"/>
            </w:tcBorders>
          </w:tcPr>
          <w:p w:rsidR="00F75050" w:rsidRPr="00933CE7" w:rsidRDefault="00F75050" w:rsidP="00F077A9">
            <w:pPr>
              <w:pStyle w:val="Tabletext"/>
              <w:jc w:val="center"/>
              <w:rPr>
                <w:sz w:val="20"/>
                <w:lang w:val="fr-CH"/>
              </w:rPr>
            </w:pPr>
            <w:r w:rsidRPr="00933CE7">
              <w:rPr>
                <w:sz w:val="20"/>
                <w:lang w:val="fr-CH"/>
              </w:rPr>
              <w:t>6,5*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jc w:val="center"/>
              <w:rPr>
                <w:sz w:val="20"/>
                <w:lang w:val="fr-CH"/>
              </w:rPr>
            </w:pPr>
          </w:p>
        </w:tc>
        <w:tc>
          <w:tcPr>
            <w:tcW w:w="2652" w:type="dxa"/>
            <w:tcBorders>
              <w:top w:val="single" w:sz="6" w:space="0" w:color="auto"/>
              <w:bottom w:val="single" w:sz="6" w:space="0" w:color="auto"/>
            </w:tcBorders>
            <w:shd w:val="clear" w:color="auto" w:fill="auto"/>
            <w:noWrap/>
            <w:hideMark/>
          </w:tcPr>
          <w:p w:rsidR="00F75050" w:rsidRPr="00933CE7" w:rsidRDefault="00F75050" w:rsidP="00F077A9">
            <w:pPr>
              <w:pStyle w:val="Tabletext"/>
              <w:rPr>
                <w:sz w:val="20"/>
                <w:lang w:val="fr-CH"/>
              </w:rPr>
            </w:pPr>
            <w:r w:rsidRPr="00933CE7">
              <w:rPr>
                <w:sz w:val="20"/>
                <w:lang w:val="fr-CH"/>
              </w:rPr>
              <w:t>Agence europé</w:t>
            </w:r>
            <w:r w:rsidR="00BB3AD3" w:rsidRPr="00933CE7">
              <w:rPr>
                <w:sz w:val="20"/>
                <w:lang w:val="fr-CH"/>
              </w:rPr>
              <w:t xml:space="preserve">enne GNSS: rapport sur le </w:t>
            </w:r>
            <w:proofErr w:type="gramStart"/>
            <w:r w:rsidR="00BB3AD3" w:rsidRPr="00933CE7">
              <w:rPr>
                <w:sz w:val="20"/>
                <w:lang w:val="fr-CH"/>
              </w:rPr>
              <w:t>GNSS</w:t>
            </w:r>
            <w:proofErr w:type="gramEnd"/>
            <w:r w:rsidRPr="00933CE7">
              <w:rPr>
                <w:sz w:val="20"/>
                <w:lang w:val="fr-CH"/>
              </w:rPr>
              <w:br/>
              <w:t>(https://www.gsa.europa.eu)</w:t>
            </w:r>
          </w:p>
        </w:tc>
      </w:tr>
      <w:tr w:rsidR="00F75050" w:rsidRPr="00933CE7" w:rsidTr="000A7D6B">
        <w:trPr>
          <w:trHeight w:val="315"/>
          <w:jc w:val="center"/>
        </w:trPr>
        <w:tc>
          <w:tcPr>
            <w:tcW w:w="3865" w:type="dxa"/>
            <w:vMerge w:val="restart"/>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r w:rsidRPr="00933CE7">
              <w:rPr>
                <w:rFonts w:eastAsia="Calibri" w:cs="Arial"/>
                <w:b/>
                <w:bCs/>
                <w:color w:val="4F81BD" w:themeColor="accent1"/>
                <w:sz w:val="20"/>
                <w:lang w:val="fr-CH"/>
              </w:rPr>
              <w:lastRenderedPageBreak/>
              <w:t>R.2-7</w:t>
            </w:r>
            <w:r w:rsidRPr="00933CE7">
              <w:rPr>
                <w:rFonts w:eastAsia="Calibri"/>
                <w:sz w:val="20"/>
                <w:lang w:val="fr-CH"/>
              </w:rPr>
              <w:t>:</w:t>
            </w:r>
            <w:r w:rsidR="00E8126C" w:rsidRPr="00933CE7">
              <w:rPr>
                <w:rFonts w:eastAsia="Calibri"/>
                <w:sz w:val="20"/>
                <w:lang w:val="fr-CH"/>
              </w:rPr>
              <w:t xml:space="preserve"> </w:t>
            </w:r>
            <w:r w:rsidR="00BB3AD3" w:rsidRPr="00933CE7">
              <w:rPr>
                <w:rFonts w:eastAsia="Calibri"/>
                <w:sz w:val="20"/>
                <w:lang w:val="fr-CH"/>
              </w:rPr>
              <w:t>Nombre accru</w:t>
            </w:r>
            <w:r w:rsidRPr="00933CE7">
              <w:rPr>
                <w:sz w:val="20"/>
                <w:lang w:val="fr-CH"/>
              </w:rPr>
              <w:t xml:space="preserve"> de satellites d'exploration de la Terre par satellite en service, quantité et résolution correspondantes des images transmises et volume de données téléchargées (</w:t>
            </w:r>
            <w:proofErr w:type="spellStart"/>
            <w:r w:rsidRPr="00933CE7">
              <w:rPr>
                <w:sz w:val="20"/>
                <w:lang w:val="fr-CH"/>
              </w:rPr>
              <w:t>Toctets</w:t>
            </w:r>
            <w:proofErr w:type="spellEnd"/>
            <w:r w:rsidRPr="00933CE7">
              <w:rPr>
                <w:sz w:val="20"/>
                <w:lang w:val="fr-CH"/>
              </w:rPr>
              <w:t>)</w:t>
            </w: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r w:rsidRPr="00933CE7">
              <w:rPr>
                <w:sz w:val="20"/>
                <w:lang w:val="fr-CH"/>
              </w:rPr>
              <w:t>Nombre de satellites de télédétection de la Terre</w:t>
            </w:r>
          </w:p>
        </w:tc>
        <w:tc>
          <w:tcPr>
            <w:tcW w:w="851"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180</w:t>
            </w: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215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r w:rsidRPr="00933CE7">
              <w:rPr>
                <w:sz w:val="20"/>
                <w:lang w:val="fr-CH"/>
              </w:rPr>
              <w:t>219</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265</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r w:rsidRPr="00933CE7">
              <w:rPr>
                <w:sz w:val="20"/>
                <w:lang w:val="fr-CH"/>
              </w:rPr>
              <w:t>440</w:t>
            </w:r>
          </w:p>
        </w:tc>
        <w:tc>
          <w:tcPr>
            <w:tcW w:w="2652" w:type="dxa"/>
            <w:tcBorders>
              <w:top w:val="single" w:sz="6" w:space="0" w:color="auto"/>
              <w:bottom w:val="single" w:sz="6" w:space="0" w:color="auto"/>
            </w:tcBorders>
            <w:shd w:val="clear" w:color="auto" w:fill="auto"/>
            <w:noWrap/>
            <w:hideMark/>
          </w:tcPr>
          <w:p w:rsidR="00F75050" w:rsidRPr="00933CE7" w:rsidRDefault="00F75050" w:rsidP="00F077A9">
            <w:pPr>
              <w:pStyle w:val="Tabletext"/>
              <w:keepNext/>
              <w:keepLines/>
              <w:rPr>
                <w:sz w:val="20"/>
                <w:lang w:val="fr-CH"/>
              </w:rPr>
            </w:pPr>
            <w:r w:rsidRPr="00933CE7">
              <w:rPr>
                <w:sz w:val="20"/>
                <w:lang w:val="fr-CH"/>
              </w:rPr>
              <w:t>Fichier de référence international des fréquences/BR</w:t>
            </w:r>
          </w:p>
        </w:tc>
      </w:tr>
      <w:tr w:rsidR="00F75050" w:rsidRPr="00933CE7" w:rsidTr="000A7D6B">
        <w:trPr>
          <w:trHeight w:val="654"/>
          <w:jc w:val="center"/>
        </w:trPr>
        <w:tc>
          <w:tcPr>
            <w:tcW w:w="3865" w:type="dxa"/>
            <w:vMerge/>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r w:rsidRPr="00933CE7">
              <w:rPr>
                <w:sz w:val="20"/>
                <w:lang w:val="fr-CH"/>
              </w:rPr>
              <w:t>Quantité d'images transmises (millions)</w:t>
            </w:r>
          </w:p>
        </w:tc>
        <w:tc>
          <w:tcPr>
            <w:tcW w:w="851"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62</w:t>
            </w: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68</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r w:rsidRPr="00933CE7">
              <w:rPr>
                <w:sz w:val="20"/>
                <w:lang w:val="fr-CH"/>
              </w:rPr>
              <w:t>71</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p>
        </w:tc>
        <w:tc>
          <w:tcPr>
            <w:tcW w:w="2652" w:type="dxa"/>
            <w:tcBorders>
              <w:top w:val="single" w:sz="6" w:space="0" w:color="auto"/>
              <w:bottom w:val="single" w:sz="6" w:space="0" w:color="auto"/>
            </w:tcBorders>
            <w:shd w:val="clear" w:color="auto" w:fill="auto"/>
            <w:noWrap/>
            <w:hideMark/>
          </w:tcPr>
          <w:p w:rsidR="00F75050" w:rsidRPr="00933CE7" w:rsidRDefault="00933CE7" w:rsidP="00F077A9">
            <w:pPr>
              <w:pStyle w:val="Tabletext"/>
              <w:keepNext/>
              <w:keepLines/>
              <w:rPr>
                <w:sz w:val="20"/>
                <w:lang w:val="fr-CH"/>
              </w:rPr>
            </w:pPr>
            <w:r w:rsidRPr="00933CE7">
              <w:rPr>
                <w:sz w:val="20"/>
                <w:lang w:val="fr-CH"/>
              </w:rPr>
              <w:t>À</w:t>
            </w:r>
            <w:r w:rsidR="00F75050" w:rsidRPr="00933CE7">
              <w:rPr>
                <w:sz w:val="20"/>
                <w:lang w:val="fr-CH"/>
              </w:rPr>
              <w:t xml:space="preserve"> obtenir auprès du Bureau des affaires spa</w:t>
            </w:r>
            <w:r w:rsidR="00335ACD" w:rsidRPr="00933CE7">
              <w:rPr>
                <w:sz w:val="20"/>
                <w:lang w:val="fr-CH"/>
              </w:rPr>
              <w:t>tiales des Nations Unies (OOSA)</w:t>
            </w:r>
            <w:r w:rsidR="00F077A9" w:rsidRPr="00933CE7">
              <w:rPr>
                <w:sz w:val="20"/>
                <w:lang w:val="fr-CH"/>
              </w:rPr>
              <w:t>,</w:t>
            </w:r>
            <w:r w:rsidR="00F75050" w:rsidRPr="00933CE7">
              <w:rPr>
                <w:sz w:val="20"/>
                <w:lang w:val="fr-CH"/>
              </w:rPr>
              <w:t xml:space="preserve"> Groupe de travail spécial des Nations Unies </w:t>
            </w:r>
          </w:p>
        </w:tc>
      </w:tr>
      <w:tr w:rsidR="00F75050" w:rsidRPr="00933CE7" w:rsidTr="000A7D6B">
        <w:trPr>
          <w:trHeight w:val="340"/>
          <w:jc w:val="center"/>
        </w:trPr>
        <w:tc>
          <w:tcPr>
            <w:tcW w:w="3865" w:type="dxa"/>
            <w:vMerge/>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p>
        </w:tc>
        <w:tc>
          <w:tcPr>
            <w:tcW w:w="3218" w:type="dxa"/>
            <w:tcBorders>
              <w:top w:val="single" w:sz="6" w:space="0" w:color="auto"/>
              <w:bottom w:val="single" w:sz="6" w:space="0" w:color="auto"/>
            </w:tcBorders>
            <w:shd w:val="clear" w:color="auto" w:fill="auto"/>
            <w:hideMark/>
          </w:tcPr>
          <w:p w:rsidR="00F75050" w:rsidRPr="00933CE7" w:rsidRDefault="00F75050" w:rsidP="00F077A9">
            <w:pPr>
              <w:pStyle w:val="Tabletext"/>
              <w:keepNext/>
              <w:keepLines/>
              <w:rPr>
                <w:sz w:val="20"/>
                <w:lang w:val="fr-CH"/>
              </w:rPr>
            </w:pPr>
            <w:r w:rsidRPr="00933CE7">
              <w:rPr>
                <w:sz w:val="20"/>
                <w:lang w:val="fr-CH"/>
              </w:rPr>
              <w:t>Taille des images téléchargées (Téraoctets)</w:t>
            </w:r>
          </w:p>
        </w:tc>
        <w:tc>
          <w:tcPr>
            <w:tcW w:w="851"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27 000</w:t>
            </w: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r w:rsidRPr="00933CE7">
              <w:rPr>
                <w:sz w:val="20"/>
                <w:lang w:val="fr-CH"/>
              </w:rPr>
              <w:t>35 000</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r w:rsidRPr="00933CE7">
              <w:rPr>
                <w:sz w:val="20"/>
                <w:lang w:val="fr-CH"/>
              </w:rPr>
              <w:t>37 000</w:t>
            </w: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p>
        </w:tc>
        <w:tc>
          <w:tcPr>
            <w:tcW w:w="896" w:type="dxa"/>
            <w:tcBorders>
              <w:top w:val="single" w:sz="6" w:space="0" w:color="auto"/>
              <w:bottom w:val="single" w:sz="6" w:space="0" w:color="auto"/>
            </w:tcBorders>
          </w:tcPr>
          <w:p w:rsidR="00F75050" w:rsidRPr="00933CE7" w:rsidRDefault="00F75050" w:rsidP="00F077A9">
            <w:pPr>
              <w:pStyle w:val="Tabletext"/>
              <w:keepNext/>
              <w:keepLines/>
              <w:jc w:val="center"/>
              <w:rPr>
                <w:sz w:val="20"/>
                <w:lang w:val="fr-CH"/>
              </w:rPr>
            </w:pPr>
          </w:p>
        </w:tc>
        <w:tc>
          <w:tcPr>
            <w:tcW w:w="896" w:type="dxa"/>
            <w:tcBorders>
              <w:top w:val="single" w:sz="6" w:space="0" w:color="auto"/>
              <w:bottom w:val="single" w:sz="6" w:space="0" w:color="auto"/>
            </w:tcBorders>
            <w:shd w:val="clear" w:color="auto" w:fill="auto"/>
            <w:noWrap/>
          </w:tcPr>
          <w:p w:rsidR="00F75050" w:rsidRPr="00933CE7" w:rsidRDefault="00F75050" w:rsidP="00F077A9">
            <w:pPr>
              <w:pStyle w:val="Tabletext"/>
              <w:keepNext/>
              <w:keepLines/>
              <w:jc w:val="center"/>
              <w:rPr>
                <w:sz w:val="20"/>
                <w:lang w:val="fr-CH"/>
              </w:rPr>
            </w:pPr>
          </w:p>
        </w:tc>
        <w:tc>
          <w:tcPr>
            <w:tcW w:w="2652" w:type="dxa"/>
            <w:tcBorders>
              <w:top w:val="single" w:sz="6" w:space="0" w:color="auto"/>
              <w:bottom w:val="single" w:sz="6" w:space="0" w:color="auto"/>
            </w:tcBorders>
            <w:shd w:val="clear" w:color="auto" w:fill="auto"/>
            <w:noWrap/>
            <w:hideMark/>
          </w:tcPr>
          <w:p w:rsidR="00F75050" w:rsidRPr="00933CE7" w:rsidRDefault="00933CE7" w:rsidP="00F077A9">
            <w:pPr>
              <w:pStyle w:val="Tabletext"/>
              <w:keepNext/>
              <w:keepLines/>
              <w:rPr>
                <w:rFonts w:asciiTheme="minorHAnsi" w:hAnsiTheme="minorHAnsi"/>
                <w:b/>
                <w:bCs/>
                <w:color w:val="000000" w:themeColor="text1"/>
                <w:sz w:val="20"/>
                <w:lang w:val="fr-CH" w:eastAsia="fr-FR"/>
              </w:rPr>
            </w:pPr>
            <w:r w:rsidRPr="00933CE7">
              <w:rPr>
                <w:sz w:val="20"/>
                <w:lang w:val="fr-CH"/>
              </w:rPr>
              <w:t>À</w:t>
            </w:r>
            <w:r w:rsidR="00F75050" w:rsidRPr="00933CE7">
              <w:rPr>
                <w:sz w:val="20"/>
                <w:lang w:val="fr-CH"/>
              </w:rPr>
              <w:t xml:space="preserve"> obtenir auprès du Bureau des affaires spa</w:t>
            </w:r>
            <w:r w:rsidR="00335ACD" w:rsidRPr="00933CE7">
              <w:rPr>
                <w:sz w:val="20"/>
                <w:lang w:val="fr-CH"/>
              </w:rPr>
              <w:t>tiales des Nations Unies (OOSA)</w:t>
            </w:r>
            <w:r w:rsidR="00F077A9" w:rsidRPr="00933CE7">
              <w:rPr>
                <w:sz w:val="20"/>
                <w:lang w:val="fr-CH"/>
              </w:rPr>
              <w:t>,</w:t>
            </w:r>
            <w:r w:rsidR="00F75050" w:rsidRPr="00933CE7">
              <w:rPr>
                <w:sz w:val="20"/>
                <w:lang w:val="fr-CH"/>
              </w:rPr>
              <w:t xml:space="preserve"> Groupe de travail spécial des Nations Unies </w:t>
            </w:r>
          </w:p>
        </w:tc>
      </w:tr>
    </w:tbl>
    <w:p w:rsidR="00D970D4" w:rsidRPr="00933CE7" w:rsidRDefault="00D970D4" w:rsidP="00F077A9">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szCs w:val="24"/>
          <w:lang w:val="fr-CH"/>
        </w:rPr>
      </w:pPr>
    </w:p>
    <w:tbl>
      <w:tblPr>
        <w:tblStyle w:val="GridTable4-Accent11"/>
        <w:tblW w:w="14029" w:type="dxa"/>
        <w:tblLayout w:type="fixed"/>
        <w:tblLook w:val="0620" w:firstRow="1" w:lastRow="0" w:firstColumn="0" w:lastColumn="0" w:noHBand="1" w:noVBand="1"/>
      </w:tblPr>
      <w:tblGrid>
        <w:gridCol w:w="7792"/>
        <w:gridCol w:w="1559"/>
        <w:gridCol w:w="1559"/>
        <w:gridCol w:w="1559"/>
        <w:gridCol w:w="1560"/>
      </w:tblGrid>
      <w:tr w:rsidR="00D970D4" w:rsidRPr="00933CE7" w:rsidTr="00D970D4">
        <w:trPr>
          <w:cnfStyle w:val="100000000000" w:firstRow="1" w:lastRow="0" w:firstColumn="0" w:lastColumn="0" w:oddVBand="0" w:evenVBand="0" w:oddHBand="0" w:evenHBand="0" w:firstRowFirstColumn="0" w:firstRowLastColumn="0" w:lastRowFirstColumn="0" w:lastRowLastColumn="0"/>
        </w:trPr>
        <w:tc>
          <w:tcPr>
            <w:tcW w:w="7792" w:type="dxa"/>
          </w:tcPr>
          <w:p w:rsidR="00D970D4" w:rsidRPr="00933CE7" w:rsidRDefault="00D970D4" w:rsidP="00F077A9">
            <w:pPr>
              <w:pStyle w:val="Tablehead"/>
              <w:rPr>
                <w:b/>
                <w:bCs w:val="0"/>
                <w:lang w:val="fr-CH"/>
              </w:rPr>
            </w:pPr>
            <w:r w:rsidRPr="00933CE7">
              <w:rPr>
                <w:b/>
                <w:bCs w:val="0"/>
                <w:lang w:val="fr-CH"/>
              </w:rPr>
              <w:t>Produit</w:t>
            </w:r>
          </w:p>
        </w:tc>
        <w:tc>
          <w:tcPr>
            <w:tcW w:w="6237" w:type="dxa"/>
            <w:gridSpan w:val="4"/>
          </w:tcPr>
          <w:p w:rsidR="00D970D4" w:rsidRPr="00933CE7" w:rsidRDefault="00D970D4" w:rsidP="00F077A9">
            <w:pPr>
              <w:pStyle w:val="Tablehead"/>
              <w:rPr>
                <w:b/>
                <w:bCs w:val="0"/>
                <w:lang w:val="fr-CH"/>
              </w:rPr>
            </w:pPr>
            <w:r w:rsidRPr="00933CE7">
              <w:rPr>
                <w:b/>
                <w:bCs w:val="0"/>
                <w:lang w:val="fr-CH"/>
              </w:rPr>
              <w:t>Ressources financières</w:t>
            </w:r>
            <w:r w:rsidRPr="00933CE7">
              <w:rPr>
                <w:b/>
                <w:bCs w:val="0"/>
                <w:position w:val="6"/>
                <w:sz w:val="16"/>
                <w:lang w:val="fr-CH"/>
              </w:rPr>
              <w:footnoteReference w:id="4"/>
            </w:r>
            <w:r w:rsidRPr="00933CE7">
              <w:rPr>
                <w:b/>
                <w:bCs w:val="0"/>
                <w:lang w:val="fr-CH"/>
              </w:rPr>
              <w:t xml:space="preserve"> (en milliers CHF)</w:t>
            </w:r>
          </w:p>
        </w:tc>
      </w:tr>
      <w:tr w:rsidR="00D970D4" w:rsidRPr="00933CE7" w:rsidTr="00D970D4">
        <w:tc>
          <w:tcPr>
            <w:tcW w:w="7792" w:type="dxa"/>
          </w:tcPr>
          <w:p w:rsidR="00D970D4" w:rsidRPr="00933CE7" w:rsidRDefault="00D970D4" w:rsidP="00F077A9">
            <w:pPr>
              <w:pStyle w:val="Tabletext"/>
              <w:rPr>
                <w:lang w:val="fr-CH"/>
              </w:rPr>
            </w:pPr>
          </w:p>
        </w:tc>
        <w:tc>
          <w:tcPr>
            <w:tcW w:w="1559" w:type="dxa"/>
          </w:tcPr>
          <w:p w:rsidR="00D970D4" w:rsidRPr="00933CE7" w:rsidRDefault="00925DE6" w:rsidP="00F077A9">
            <w:pPr>
              <w:pStyle w:val="Tabletext"/>
              <w:jc w:val="center"/>
              <w:rPr>
                <w:rFonts w:cs="Arial"/>
                <w:b/>
                <w:bCs/>
                <w:color w:val="4F81BD" w:themeColor="accent1"/>
                <w:sz w:val="20"/>
                <w:szCs w:val="20"/>
                <w:lang w:val="fr-CH"/>
              </w:rPr>
            </w:pPr>
            <w:r w:rsidRPr="00933CE7">
              <w:rPr>
                <w:rFonts w:cs="Arial"/>
                <w:b/>
                <w:bCs/>
                <w:color w:val="4F81BD" w:themeColor="accent1"/>
                <w:sz w:val="20"/>
                <w:szCs w:val="20"/>
                <w:lang w:val="fr-CH"/>
              </w:rPr>
              <w:t>2020</w:t>
            </w:r>
          </w:p>
        </w:tc>
        <w:tc>
          <w:tcPr>
            <w:tcW w:w="1559" w:type="dxa"/>
          </w:tcPr>
          <w:p w:rsidR="00D970D4" w:rsidRPr="00933CE7" w:rsidRDefault="00925DE6" w:rsidP="00F077A9">
            <w:pPr>
              <w:pStyle w:val="Tabletext"/>
              <w:jc w:val="center"/>
              <w:rPr>
                <w:rFonts w:cs="Arial"/>
                <w:b/>
                <w:bCs/>
                <w:color w:val="4F81BD" w:themeColor="accent1"/>
                <w:sz w:val="20"/>
                <w:szCs w:val="20"/>
                <w:lang w:val="fr-CH"/>
              </w:rPr>
            </w:pPr>
            <w:r w:rsidRPr="00933CE7">
              <w:rPr>
                <w:rFonts w:cs="Arial"/>
                <w:b/>
                <w:bCs/>
                <w:color w:val="4F81BD" w:themeColor="accent1"/>
                <w:sz w:val="20"/>
                <w:szCs w:val="20"/>
                <w:lang w:val="fr-CH"/>
              </w:rPr>
              <w:t>2021</w:t>
            </w:r>
          </w:p>
        </w:tc>
        <w:tc>
          <w:tcPr>
            <w:tcW w:w="1559" w:type="dxa"/>
          </w:tcPr>
          <w:p w:rsidR="00D970D4" w:rsidRPr="00933CE7" w:rsidRDefault="00925DE6" w:rsidP="00F077A9">
            <w:pPr>
              <w:pStyle w:val="Tabletext"/>
              <w:jc w:val="center"/>
              <w:rPr>
                <w:rFonts w:cs="Arial"/>
                <w:b/>
                <w:bCs/>
                <w:color w:val="4F81BD" w:themeColor="accent1"/>
                <w:sz w:val="20"/>
                <w:szCs w:val="20"/>
                <w:lang w:val="fr-CH"/>
              </w:rPr>
            </w:pPr>
            <w:r w:rsidRPr="00933CE7">
              <w:rPr>
                <w:rFonts w:cs="Arial"/>
                <w:b/>
                <w:bCs/>
                <w:color w:val="4F81BD" w:themeColor="accent1"/>
                <w:sz w:val="20"/>
                <w:szCs w:val="20"/>
                <w:lang w:val="fr-CH"/>
              </w:rPr>
              <w:t>2022</w:t>
            </w:r>
          </w:p>
        </w:tc>
        <w:tc>
          <w:tcPr>
            <w:tcW w:w="1560" w:type="dxa"/>
          </w:tcPr>
          <w:p w:rsidR="00D970D4" w:rsidRPr="00933CE7" w:rsidRDefault="00925DE6" w:rsidP="00F077A9">
            <w:pPr>
              <w:pStyle w:val="Tabletext"/>
              <w:jc w:val="center"/>
              <w:rPr>
                <w:rFonts w:cs="Arial"/>
                <w:b/>
                <w:bCs/>
                <w:color w:val="4F81BD" w:themeColor="accent1"/>
                <w:sz w:val="20"/>
                <w:szCs w:val="20"/>
                <w:lang w:val="fr-CH"/>
              </w:rPr>
            </w:pPr>
            <w:r w:rsidRPr="00933CE7">
              <w:rPr>
                <w:rFonts w:cs="Arial"/>
                <w:b/>
                <w:bCs/>
                <w:color w:val="4F81BD" w:themeColor="accent1"/>
                <w:sz w:val="20"/>
                <w:szCs w:val="20"/>
                <w:lang w:val="fr-CH"/>
              </w:rPr>
              <w:t>2023</w:t>
            </w:r>
          </w:p>
        </w:tc>
      </w:tr>
      <w:tr w:rsidR="00925DE6" w:rsidRPr="00933CE7" w:rsidTr="00D970D4">
        <w:tc>
          <w:tcPr>
            <w:tcW w:w="7792" w:type="dxa"/>
          </w:tcPr>
          <w:p w:rsidR="00925DE6" w:rsidRPr="00933CE7" w:rsidRDefault="00925DE6" w:rsidP="00F077A9">
            <w:pPr>
              <w:pStyle w:val="Tabletext"/>
              <w:rPr>
                <w:noProof/>
                <w:sz w:val="20"/>
                <w:szCs w:val="20"/>
                <w:lang w:val="fr-CH"/>
              </w:rPr>
            </w:pPr>
            <w:r w:rsidRPr="00933CE7">
              <w:rPr>
                <w:rFonts w:cs="Arial"/>
                <w:b/>
                <w:bCs/>
                <w:color w:val="4F81BD" w:themeColor="accent1"/>
                <w:sz w:val="20"/>
                <w:szCs w:val="20"/>
                <w:lang w:val="fr-CH"/>
              </w:rPr>
              <w:t>R.2-1</w:t>
            </w:r>
            <w:r w:rsidRPr="00933CE7">
              <w:rPr>
                <w:b/>
                <w:bCs/>
                <w:noProof/>
                <w:color w:val="4F81BD" w:themeColor="accent1"/>
                <w:sz w:val="20"/>
                <w:szCs w:val="20"/>
                <w:lang w:val="fr-CH" w:eastAsia="zh-CN"/>
              </w:rPr>
              <w:t xml:space="preserve"> </w:t>
            </w:r>
            <w:r w:rsidRPr="00933CE7">
              <w:rPr>
                <w:sz w:val="20"/>
                <w:lang w:val="fr-CH"/>
              </w:rPr>
              <w:t>Décisions de l'Assemblée des radiocommunications, Résolutions de l'UIT-R</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711</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703</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8 670</w:t>
            </w:r>
          </w:p>
        </w:tc>
        <w:tc>
          <w:tcPr>
            <w:tcW w:w="1560"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9 019</w:t>
            </w:r>
          </w:p>
        </w:tc>
      </w:tr>
      <w:tr w:rsidR="00925DE6" w:rsidRPr="00933CE7" w:rsidTr="00D970D4">
        <w:tc>
          <w:tcPr>
            <w:tcW w:w="7792" w:type="dxa"/>
          </w:tcPr>
          <w:p w:rsidR="00925DE6" w:rsidRPr="00933CE7" w:rsidRDefault="00925DE6" w:rsidP="00F077A9">
            <w:pPr>
              <w:pStyle w:val="Tabletext"/>
              <w:rPr>
                <w:noProof/>
                <w:sz w:val="20"/>
                <w:szCs w:val="20"/>
                <w:lang w:val="fr-CH"/>
              </w:rPr>
            </w:pPr>
            <w:r w:rsidRPr="00933CE7">
              <w:rPr>
                <w:rFonts w:cs="Arial"/>
                <w:b/>
                <w:bCs/>
                <w:color w:val="4F81BD" w:themeColor="accent1"/>
                <w:sz w:val="20"/>
                <w:szCs w:val="20"/>
                <w:lang w:val="fr-CH"/>
              </w:rPr>
              <w:t>R.2-2</w:t>
            </w:r>
            <w:r w:rsidRPr="00933CE7">
              <w:rPr>
                <w:b/>
                <w:bCs/>
                <w:noProof/>
                <w:color w:val="4F81BD" w:themeColor="accent1"/>
                <w:sz w:val="20"/>
                <w:szCs w:val="20"/>
                <w:lang w:val="fr-CH" w:eastAsia="zh-CN"/>
              </w:rPr>
              <w:t xml:space="preserve"> </w:t>
            </w:r>
            <w:r w:rsidRPr="00933CE7">
              <w:rPr>
                <w:sz w:val="20"/>
                <w:lang w:val="fr-CH"/>
              </w:rPr>
              <w:t>Recommandations, rapports (y compris le rapport de la RPC) et manuels de l'UIT-R</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5 929</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6 109</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5 635</w:t>
            </w:r>
          </w:p>
        </w:tc>
        <w:tc>
          <w:tcPr>
            <w:tcW w:w="1560"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6 063</w:t>
            </w:r>
          </w:p>
        </w:tc>
      </w:tr>
      <w:tr w:rsidR="00925DE6" w:rsidRPr="00933CE7" w:rsidTr="00D970D4">
        <w:tc>
          <w:tcPr>
            <w:tcW w:w="7792" w:type="dxa"/>
          </w:tcPr>
          <w:p w:rsidR="00925DE6" w:rsidRPr="00933CE7" w:rsidRDefault="00925DE6" w:rsidP="00F077A9">
            <w:pPr>
              <w:pStyle w:val="Tabletext"/>
              <w:rPr>
                <w:lang w:val="fr-CH"/>
              </w:rPr>
            </w:pPr>
            <w:r w:rsidRPr="00933CE7">
              <w:rPr>
                <w:rFonts w:cs="Arial"/>
                <w:b/>
                <w:bCs/>
                <w:color w:val="4F81BD" w:themeColor="accent1"/>
                <w:sz w:val="20"/>
                <w:szCs w:val="20"/>
                <w:lang w:val="fr-CH"/>
              </w:rPr>
              <w:t>R.2-3</w:t>
            </w:r>
            <w:r w:rsidRPr="00933CE7">
              <w:rPr>
                <w:b/>
                <w:bCs/>
                <w:noProof/>
                <w:color w:val="4F81BD" w:themeColor="accent1"/>
                <w:sz w:val="20"/>
                <w:szCs w:val="20"/>
                <w:lang w:val="fr-CH" w:eastAsia="zh-CN"/>
              </w:rPr>
              <w:t xml:space="preserve"> </w:t>
            </w:r>
            <w:r w:rsidRPr="00933CE7">
              <w:rPr>
                <w:sz w:val="20"/>
                <w:lang w:val="fr-CH"/>
              </w:rPr>
              <w:t>Avis formulés par le Groupe consultatif des radiocommunications</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1 430</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1 521</w:t>
            </w:r>
          </w:p>
        </w:tc>
        <w:tc>
          <w:tcPr>
            <w:tcW w:w="1559"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1 367</w:t>
            </w:r>
          </w:p>
        </w:tc>
        <w:tc>
          <w:tcPr>
            <w:tcW w:w="1560" w:type="dxa"/>
            <w:tcMar>
              <w:right w:w="284" w:type="dxa"/>
            </w:tcMar>
            <w:vAlign w:val="center"/>
          </w:tcPr>
          <w:p w:rsidR="00925DE6" w:rsidRPr="00933CE7" w:rsidRDefault="00925DE6"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1 340</w:t>
            </w:r>
          </w:p>
        </w:tc>
      </w:tr>
      <w:tr w:rsidR="00D970D4" w:rsidRPr="00933CE7" w:rsidTr="00D970D4">
        <w:tc>
          <w:tcPr>
            <w:tcW w:w="7792" w:type="dxa"/>
            <w:vAlign w:val="center"/>
          </w:tcPr>
          <w:p w:rsidR="00D970D4" w:rsidRPr="00933CE7" w:rsidRDefault="00D970D4" w:rsidP="00F077A9">
            <w:pPr>
              <w:pStyle w:val="Tabletext"/>
              <w:rPr>
                <w:b/>
                <w:bCs/>
                <w:color w:val="5B9BD5"/>
                <w:sz w:val="20"/>
                <w:szCs w:val="20"/>
                <w:lang w:val="fr-CH"/>
              </w:rPr>
            </w:pPr>
            <w:r w:rsidRPr="00933CE7">
              <w:rPr>
                <w:rFonts w:cs="Arial"/>
                <w:sz w:val="20"/>
                <w:szCs w:val="20"/>
                <w:lang w:val="fr-CH"/>
              </w:rPr>
              <w:t>Ventilation des coûts entre la Conférence de plénipotentiaires et les activités du Conseil (</w:t>
            </w:r>
            <w:r w:rsidRPr="00933CE7">
              <w:rPr>
                <w:rFonts w:cs="Arial"/>
                <w:b/>
                <w:bCs/>
                <w:color w:val="4F81BD" w:themeColor="accent1"/>
                <w:sz w:val="20"/>
                <w:szCs w:val="20"/>
                <w:lang w:val="fr-CH"/>
              </w:rPr>
              <w:t>PP</w:t>
            </w:r>
            <w:r w:rsidRPr="00933CE7">
              <w:rPr>
                <w:rFonts w:cs="Arial"/>
                <w:sz w:val="20"/>
                <w:szCs w:val="20"/>
                <w:lang w:val="fr-CH"/>
              </w:rPr>
              <w:t>, </w:t>
            </w:r>
            <w:r w:rsidRPr="00933CE7">
              <w:rPr>
                <w:rFonts w:cs="Arial"/>
                <w:b/>
                <w:bCs/>
                <w:color w:val="4F81BD" w:themeColor="accent1"/>
                <w:sz w:val="20"/>
                <w:szCs w:val="20"/>
                <w:lang w:val="fr-CH"/>
              </w:rPr>
              <w:t>Conseil/GTC</w:t>
            </w:r>
            <w:r w:rsidRPr="00933CE7">
              <w:rPr>
                <w:rFonts w:cs="Arial"/>
                <w:sz w:val="20"/>
                <w:szCs w:val="20"/>
                <w:lang w:val="fr-CH"/>
              </w:rPr>
              <w:t>)</w:t>
            </w:r>
          </w:p>
        </w:tc>
        <w:tc>
          <w:tcPr>
            <w:tcW w:w="1559" w:type="dxa"/>
            <w:tcMar>
              <w:right w:w="284" w:type="dxa"/>
            </w:tcMar>
            <w:vAlign w:val="center"/>
          </w:tcPr>
          <w:p w:rsidR="00D970D4" w:rsidRPr="00933CE7" w:rsidRDefault="00D970D4" w:rsidP="00F077A9">
            <w:pPr>
              <w:pStyle w:val="Tabletext"/>
              <w:jc w:val="center"/>
              <w:rPr>
                <w:sz w:val="20"/>
                <w:lang w:val="fr-CH"/>
              </w:rPr>
            </w:pPr>
          </w:p>
        </w:tc>
        <w:tc>
          <w:tcPr>
            <w:tcW w:w="1559" w:type="dxa"/>
            <w:tcMar>
              <w:right w:w="284" w:type="dxa"/>
            </w:tcMar>
            <w:vAlign w:val="center"/>
          </w:tcPr>
          <w:p w:rsidR="00D970D4" w:rsidRPr="00933CE7" w:rsidRDefault="00D970D4" w:rsidP="00F077A9">
            <w:pPr>
              <w:pStyle w:val="Tabletext"/>
              <w:jc w:val="center"/>
              <w:rPr>
                <w:sz w:val="20"/>
                <w:lang w:val="fr-CH"/>
              </w:rPr>
            </w:pPr>
          </w:p>
        </w:tc>
        <w:tc>
          <w:tcPr>
            <w:tcW w:w="1559" w:type="dxa"/>
            <w:tcMar>
              <w:right w:w="284" w:type="dxa"/>
            </w:tcMar>
            <w:vAlign w:val="center"/>
          </w:tcPr>
          <w:p w:rsidR="00D970D4" w:rsidRPr="00933CE7" w:rsidRDefault="00D970D4" w:rsidP="00F077A9">
            <w:pPr>
              <w:pStyle w:val="Tabletext"/>
              <w:jc w:val="center"/>
              <w:rPr>
                <w:sz w:val="20"/>
                <w:lang w:val="fr-CH"/>
              </w:rPr>
            </w:pPr>
          </w:p>
        </w:tc>
        <w:tc>
          <w:tcPr>
            <w:tcW w:w="1560" w:type="dxa"/>
            <w:tcMar>
              <w:right w:w="284" w:type="dxa"/>
            </w:tcMar>
            <w:vAlign w:val="center"/>
          </w:tcPr>
          <w:p w:rsidR="00D970D4" w:rsidRPr="00933CE7" w:rsidRDefault="00D970D4" w:rsidP="00F077A9">
            <w:pPr>
              <w:pStyle w:val="Tabletext"/>
              <w:jc w:val="center"/>
              <w:rPr>
                <w:sz w:val="20"/>
                <w:lang w:val="fr-CH"/>
              </w:rPr>
            </w:pPr>
          </w:p>
        </w:tc>
      </w:tr>
      <w:tr w:rsidR="00D970D4" w:rsidRPr="00933CE7" w:rsidTr="00D970D4">
        <w:tc>
          <w:tcPr>
            <w:tcW w:w="7792" w:type="dxa"/>
            <w:vAlign w:val="center"/>
          </w:tcPr>
          <w:p w:rsidR="00D970D4" w:rsidRPr="00933CE7" w:rsidRDefault="00D970D4" w:rsidP="00F077A9">
            <w:pPr>
              <w:pStyle w:val="Tabletext"/>
              <w:rPr>
                <w:b/>
                <w:bCs/>
                <w:noProof/>
                <w:color w:val="4F81BD" w:themeColor="accent1"/>
                <w:sz w:val="20"/>
                <w:szCs w:val="20"/>
                <w:lang w:val="fr-CH" w:eastAsia="zh-CN"/>
              </w:rPr>
            </w:pPr>
            <w:r w:rsidRPr="00933CE7">
              <w:rPr>
                <w:b/>
                <w:bCs/>
                <w:color w:val="5B9BD5"/>
                <w:sz w:val="20"/>
                <w:szCs w:val="20"/>
                <w:lang w:val="fr-CH"/>
              </w:rPr>
              <w:t>Total pour l'Objectif R.2</w:t>
            </w:r>
          </w:p>
        </w:tc>
        <w:tc>
          <w:tcPr>
            <w:tcW w:w="1559" w:type="dxa"/>
            <w:tcMar>
              <w:right w:w="284" w:type="dxa"/>
            </w:tcMar>
            <w:vAlign w:val="center"/>
          </w:tcPr>
          <w:p w:rsidR="00D970D4" w:rsidRPr="00933CE7" w:rsidRDefault="00D970D4" w:rsidP="00F077A9">
            <w:pPr>
              <w:pStyle w:val="Tabletext"/>
              <w:jc w:val="center"/>
              <w:rPr>
                <w:b/>
                <w:bCs/>
                <w:sz w:val="20"/>
                <w:lang w:val="fr-CH"/>
              </w:rPr>
            </w:pPr>
          </w:p>
        </w:tc>
        <w:tc>
          <w:tcPr>
            <w:tcW w:w="1559" w:type="dxa"/>
            <w:tcMar>
              <w:right w:w="284" w:type="dxa"/>
            </w:tcMar>
            <w:vAlign w:val="center"/>
          </w:tcPr>
          <w:p w:rsidR="00D970D4" w:rsidRPr="00933CE7" w:rsidRDefault="00D970D4" w:rsidP="00F077A9">
            <w:pPr>
              <w:pStyle w:val="Tabletext"/>
              <w:jc w:val="center"/>
              <w:rPr>
                <w:b/>
                <w:bCs/>
                <w:sz w:val="20"/>
                <w:lang w:val="fr-CH"/>
              </w:rPr>
            </w:pPr>
          </w:p>
        </w:tc>
        <w:tc>
          <w:tcPr>
            <w:tcW w:w="1559" w:type="dxa"/>
            <w:tcMar>
              <w:right w:w="284" w:type="dxa"/>
            </w:tcMar>
            <w:vAlign w:val="center"/>
          </w:tcPr>
          <w:p w:rsidR="00D970D4" w:rsidRPr="00933CE7" w:rsidRDefault="00D970D4" w:rsidP="00F077A9">
            <w:pPr>
              <w:pStyle w:val="Tabletext"/>
              <w:jc w:val="center"/>
              <w:rPr>
                <w:b/>
                <w:bCs/>
                <w:sz w:val="20"/>
                <w:lang w:val="fr-CH"/>
              </w:rPr>
            </w:pPr>
          </w:p>
        </w:tc>
        <w:tc>
          <w:tcPr>
            <w:tcW w:w="1560" w:type="dxa"/>
            <w:tcMar>
              <w:right w:w="284" w:type="dxa"/>
            </w:tcMar>
            <w:vAlign w:val="center"/>
          </w:tcPr>
          <w:p w:rsidR="00D970D4" w:rsidRPr="00933CE7" w:rsidRDefault="00D970D4" w:rsidP="00F077A9">
            <w:pPr>
              <w:pStyle w:val="Tabletext"/>
              <w:jc w:val="center"/>
              <w:rPr>
                <w:b/>
                <w:bCs/>
                <w:sz w:val="20"/>
                <w:lang w:val="fr-CH"/>
              </w:rPr>
            </w:pPr>
          </w:p>
        </w:tc>
      </w:tr>
    </w:tbl>
    <w:p w:rsidR="00D23BF4" w:rsidRDefault="00D23BF4" w:rsidP="00F077A9">
      <w:pPr>
        <w:spacing w:after="120"/>
        <w:rPr>
          <w:lang w:val="fr-CH"/>
        </w:rPr>
      </w:pPr>
      <w:r>
        <w:rPr>
          <w:lang w:val="fr-CH"/>
        </w:rPr>
        <w:br w:type="page"/>
      </w:r>
    </w:p>
    <w:p w:rsidR="00D970D4" w:rsidRPr="00933CE7" w:rsidRDefault="00D970D4" w:rsidP="00F077A9">
      <w:pPr>
        <w:spacing w:after="120"/>
        <w:rPr>
          <w:sz w:val="16"/>
          <w:szCs w:val="16"/>
          <w:lang w:val="fr-CH"/>
        </w:rPr>
      </w:pPr>
      <w:r w:rsidRPr="00933CE7">
        <w:rPr>
          <w:lang w:val="fr-CH"/>
        </w:rPr>
        <w:lastRenderedPageBreak/>
        <w:t>R.3</w:t>
      </w:r>
      <w:r w:rsidRPr="00933CE7">
        <w:rPr>
          <w:lang w:val="fr-CH"/>
        </w:rPr>
        <w:tab/>
        <w:t>Encourager l'acquisition et l'échange de connaissances et de savoir</w:t>
      </w:r>
      <w:r w:rsidRPr="00933CE7">
        <w:rPr>
          <w:lang w:val="fr-CH"/>
        </w:rPr>
        <w:noBreakHyphen/>
        <w:t>faire dans le domaine des radiocommunications</w:t>
      </w:r>
      <w:r w:rsidR="00AF2A1A">
        <w:rPr>
          <w:lang w:val="fr-CH"/>
        </w:rPr>
        <w:t>.</w:t>
      </w:r>
    </w:p>
    <w:tbl>
      <w:tblPr>
        <w:tblW w:w="146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405"/>
        <w:gridCol w:w="866"/>
        <w:gridCol w:w="867"/>
        <w:gridCol w:w="866"/>
        <w:gridCol w:w="867"/>
        <w:gridCol w:w="1155"/>
        <w:gridCol w:w="3060"/>
      </w:tblGrid>
      <w:tr w:rsidR="007D7B40" w:rsidRPr="00933CE7" w:rsidTr="000A7D6B">
        <w:trPr>
          <w:trHeight w:val="320"/>
          <w:tblHeader/>
        </w:trPr>
        <w:tc>
          <w:tcPr>
            <w:tcW w:w="3537" w:type="dxa"/>
            <w:shd w:val="clear" w:color="000000" w:fill="2F75B5"/>
            <w:noWrap/>
            <w:hideMark/>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Résultat</w:t>
            </w:r>
          </w:p>
        </w:tc>
        <w:tc>
          <w:tcPr>
            <w:tcW w:w="3405" w:type="dxa"/>
            <w:shd w:val="clear" w:color="000000" w:fill="2F75B5"/>
            <w:noWrap/>
            <w:hideMark/>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Indicateur de résultats</w:t>
            </w:r>
          </w:p>
        </w:tc>
        <w:tc>
          <w:tcPr>
            <w:tcW w:w="866" w:type="dxa"/>
            <w:shd w:val="clear" w:color="000000" w:fill="2F75B5"/>
            <w:noWrap/>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2015</w:t>
            </w:r>
          </w:p>
        </w:tc>
        <w:tc>
          <w:tcPr>
            <w:tcW w:w="867" w:type="dxa"/>
            <w:shd w:val="clear" w:color="000000" w:fill="2F75B5"/>
            <w:noWrap/>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2016</w:t>
            </w:r>
          </w:p>
        </w:tc>
        <w:tc>
          <w:tcPr>
            <w:tcW w:w="866" w:type="dxa"/>
            <w:shd w:val="clear" w:color="000000" w:fill="2F75B5"/>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2017</w:t>
            </w:r>
          </w:p>
        </w:tc>
        <w:tc>
          <w:tcPr>
            <w:tcW w:w="867" w:type="dxa"/>
            <w:shd w:val="clear" w:color="000000" w:fill="2F75B5"/>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2018</w:t>
            </w:r>
          </w:p>
        </w:tc>
        <w:tc>
          <w:tcPr>
            <w:tcW w:w="1155" w:type="dxa"/>
            <w:shd w:val="clear" w:color="000000" w:fill="2F75B5"/>
            <w:noWrap/>
            <w:hideMark/>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Cible pour 2023</w:t>
            </w:r>
          </w:p>
        </w:tc>
        <w:tc>
          <w:tcPr>
            <w:tcW w:w="3060" w:type="dxa"/>
            <w:shd w:val="clear" w:color="000000" w:fill="2F75B5"/>
            <w:noWrap/>
            <w:hideMark/>
          </w:tcPr>
          <w:p w:rsidR="007D7B40" w:rsidRPr="00933CE7" w:rsidRDefault="007D7B40" w:rsidP="00F077A9">
            <w:pPr>
              <w:pStyle w:val="Tablehead"/>
              <w:rPr>
                <w:rFonts w:eastAsiaTheme="minorHAnsi"/>
                <w:color w:val="FFFFFF" w:themeColor="background1"/>
                <w:sz w:val="20"/>
                <w:lang w:val="fr-CH"/>
              </w:rPr>
            </w:pPr>
            <w:r w:rsidRPr="00933CE7">
              <w:rPr>
                <w:rFonts w:eastAsiaTheme="minorHAnsi"/>
                <w:color w:val="FFFFFF" w:themeColor="background1"/>
                <w:sz w:val="20"/>
                <w:lang w:val="fr-CH"/>
              </w:rPr>
              <w:t>Source</w:t>
            </w:r>
          </w:p>
        </w:tc>
      </w:tr>
      <w:tr w:rsidR="007D7B40" w:rsidRPr="00933CE7" w:rsidTr="000A7D6B">
        <w:trPr>
          <w:trHeight w:val="315"/>
        </w:trPr>
        <w:tc>
          <w:tcPr>
            <w:tcW w:w="3537" w:type="dxa"/>
            <w:vMerge w:val="restart"/>
            <w:tcBorders>
              <w:top w:val="single" w:sz="6" w:space="0" w:color="auto"/>
              <w:bottom w:val="single" w:sz="6" w:space="0" w:color="auto"/>
            </w:tcBorders>
            <w:shd w:val="clear" w:color="auto" w:fill="auto"/>
            <w:hideMark/>
          </w:tcPr>
          <w:p w:rsidR="007D7B40" w:rsidRPr="00933CE7" w:rsidRDefault="007D7B40" w:rsidP="00F077A9">
            <w:pPr>
              <w:pStyle w:val="Tabletext"/>
              <w:rPr>
                <w:rFonts w:eastAsia="Calibri" w:cs="Arial"/>
                <w:sz w:val="20"/>
                <w:lang w:val="fr-CH"/>
              </w:rPr>
            </w:pPr>
            <w:r w:rsidRPr="00933CE7">
              <w:rPr>
                <w:rFonts w:eastAsia="Calibri" w:cs="Arial"/>
                <w:b/>
                <w:bCs/>
                <w:color w:val="4F81BD" w:themeColor="accent1"/>
                <w:sz w:val="20"/>
                <w:lang w:val="fr-CH"/>
              </w:rPr>
              <w:t>R.3-1</w:t>
            </w:r>
            <w:r w:rsidRPr="00933CE7">
              <w:rPr>
                <w:rFonts w:eastAsia="Calibri" w:cs="Arial"/>
                <w:sz w:val="20"/>
                <w:lang w:val="fr-CH"/>
              </w:rPr>
              <w:t xml:space="preserve">: </w:t>
            </w:r>
            <w:r w:rsidRPr="00933CE7">
              <w:rPr>
                <w:sz w:val="20"/>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3405" w:type="dxa"/>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Nombre de téléchargements de publications accessibles en ligne gratuitement (millions)</w:t>
            </w:r>
            <w:r w:rsidRPr="00AF2A1A">
              <w:rPr>
                <w:rStyle w:val="FootnoteReference"/>
              </w:rPr>
              <w:footnoteReference w:id="5"/>
            </w:r>
          </w:p>
        </w:tc>
        <w:tc>
          <w:tcPr>
            <w:tcW w:w="866"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0</w:t>
            </w:r>
            <w:r w:rsidR="007F7618" w:rsidRPr="00933CE7">
              <w:rPr>
                <w:rFonts w:asciiTheme="majorBidi" w:hAnsiTheme="majorBidi" w:cstheme="majorBidi"/>
                <w:color w:val="000000"/>
                <w:sz w:val="20"/>
                <w:lang w:val="fr-CH"/>
              </w:rPr>
              <w:t>,</w:t>
            </w:r>
            <w:r w:rsidRPr="00933CE7">
              <w:rPr>
                <w:rFonts w:asciiTheme="majorBidi" w:hAnsiTheme="majorBidi" w:cstheme="majorBidi"/>
                <w:color w:val="000000"/>
                <w:sz w:val="20"/>
                <w:lang w:val="fr-CH"/>
              </w:rPr>
              <w:t>9</w:t>
            </w:r>
          </w:p>
        </w:tc>
        <w:tc>
          <w:tcPr>
            <w:tcW w:w="867"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w:t>
            </w:r>
            <w:r w:rsidR="007F7618" w:rsidRPr="00933CE7">
              <w:rPr>
                <w:rFonts w:asciiTheme="majorBidi" w:hAnsiTheme="majorBidi" w:cstheme="majorBidi"/>
                <w:color w:val="000000"/>
                <w:sz w:val="20"/>
                <w:lang w:val="fr-CH"/>
              </w:rPr>
              <w:t>,</w:t>
            </w:r>
            <w:r w:rsidRPr="00933CE7">
              <w:rPr>
                <w:rFonts w:asciiTheme="majorBidi" w:hAnsiTheme="majorBidi" w:cstheme="majorBidi"/>
                <w:color w:val="000000"/>
                <w:sz w:val="20"/>
                <w:lang w:val="fr-CH"/>
              </w:rPr>
              <w:t>0</w:t>
            </w:r>
          </w:p>
        </w:tc>
        <w:tc>
          <w:tcPr>
            <w:tcW w:w="866" w:type="dxa"/>
            <w:tcBorders>
              <w:top w:val="single" w:sz="6" w:space="0" w:color="auto"/>
              <w:bottom w:val="single" w:sz="6" w:space="0" w:color="auto"/>
            </w:tcBorders>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w:t>
            </w:r>
            <w:r w:rsidR="007F7618" w:rsidRPr="00933CE7">
              <w:rPr>
                <w:rFonts w:asciiTheme="majorBidi" w:hAnsiTheme="majorBidi" w:cstheme="majorBidi"/>
                <w:color w:val="000000"/>
                <w:sz w:val="20"/>
                <w:lang w:val="fr-CH"/>
              </w:rPr>
              <w:t>,</w:t>
            </w:r>
            <w:r w:rsidRPr="00933CE7">
              <w:rPr>
                <w:rFonts w:asciiTheme="majorBidi" w:hAnsiTheme="majorBidi" w:cstheme="majorBidi"/>
                <w:color w:val="000000"/>
                <w:sz w:val="20"/>
                <w:lang w:val="fr-CH"/>
              </w:rPr>
              <w:t>7</w:t>
            </w:r>
          </w:p>
        </w:tc>
        <w:tc>
          <w:tcPr>
            <w:tcW w:w="867" w:type="dxa"/>
            <w:tcBorders>
              <w:top w:val="single" w:sz="6" w:space="0" w:color="auto"/>
              <w:bottom w:val="single" w:sz="6" w:space="0" w:color="auto"/>
            </w:tcBorders>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w:t>
            </w:r>
            <w:r w:rsidR="007F7618" w:rsidRPr="00933CE7">
              <w:rPr>
                <w:rFonts w:asciiTheme="majorBidi" w:hAnsiTheme="majorBidi" w:cstheme="majorBidi"/>
                <w:color w:val="000000"/>
                <w:sz w:val="20"/>
                <w:lang w:val="fr-CH"/>
              </w:rPr>
              <w:t>,</w:t>
            </w:r>
            <w:r w:rsidRPr="00933CE7">
              <w:rPr>
                <w:rFonts w:asciiTheme="majorBidi" w:hAnsiTheme="majorBidi" w:cstheme="majorBidi"/>
                <w:color w:val="000000"/>
                <w:sz w:val="20"/>
                <w:lang w:val="fr-CH"/>
              </w:rPr>
              <w:t>57</w:t>
            </w:r>
          </w:p>
        </w:tc>
        <w:tc>
          <w:tcPr>
            <w:tcW w:w="1155"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4</w:t>
            </w:r>
          </w:p>
        </w:tc>
        <w:tc>
          <w:tcPr>
            <w:tcW w:w="3060" w:type="dxa"/>
            <w:vMerge w:val="restart"/>
            <w:tcBorders>
              <w:top w:val="single" w:sz="6" w:space="0" w:color="auto"/>
              <w:bottom w:val="single" w:sz="6" w:space="0" w:color="auto"/>
            </w:tcBorders>
            <w:shd w:val="clear" w:color="auto" w:fill="auto"/>
            <w:noWrap/>
            <w:hideMark/>
          </w:tcPr>
          <w:p w:rsidR="007D7B40" w:rsidRPr="00933CE7" w:rsidRDefault="007D7B40" w:rsidP="00F077A9">
            <w:pPr>
              <w:pStyle w:val="Tabletext"/>
              <w:rPr>
                <w:sz w:val="20"/>
                <w:lang w:val="fr-CH"/>
              </w:rPr>
            </w:pPr>
            <w:r w:rsidRPr="00933CE7">
              <w:rPr>
                <w:sz w:val="20"/>
                <w:lang w:val="fr-CH"/>
              </w:rPr>
              <w:t>Base de données du registre des manifestations de l'UIT</w:t>
            </w:r>
            <w:r w:rsidRPr="00933CE7">
              <w:rPr>
                <w:sz w:val="20"/>
                <w:lang w:val="fr-CH"/>
              </w:rPr>
              <w:noBreakHyphen/>
              <w:t>R</w:t>
            </w:r>
          </w:p>
        </w:tc>
      </w:tr>
      <w:tr w:rsidR="007D7B40" w:rsidRPr="00933CE7" w:rsidTr="000A7D6B">
        <w:trPr>
          <w:trHeight w:val="320"/>
        </w:trPr>
        <w:tc>
          <w:tcPr>
            <w:tcW w:w="3537" w:type="dxa"/>
            <w:vMerge/>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b/>
                <w:bCs/>
                <w:color w:val="000000"/>
                <w:sz w:val="20"/>
                <w:lang w:val="fr-CH" w:eastAsia="fr-FR"/>
              </w:rPr>
            </w:pPr>
          </w:p>
        </w:tc>
        <w:tc>
          <w:tcPr>
            <w:tcW w:w="3405" w:type="dxa"/>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Nombre de manifestations sur le renforcement des capacités organisées par le BR ou avec son appui (sur place ou à distance)</w:t>
            </w:r>
          </w:p>
        </w:tc>
        <w:tc>
          <w:tcPr>
            <w:tcW w:w="866"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25</w:t>
            </w:r>
          </w:p>
        </w:tc>
        <w:tc>
          <w:tcPr>
            <w:tcW w:w="867"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38</w:t>
            </w:r>
          </w:p>
        </w:tc>
        <w:tc>
          <w:tcPr>
            <w:tcW w:w="866" w:type="dxa"/>
            <w:tcBorders>
              <w:top w:val="single" w:sz="6" w:space="0" w:color="auto"/>
              <w:bottom w:val="single" w:sz="6" w:space="0" w:color="auto"/>
            </w:tcBorders>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37</w:t>
            </w:r>
          </w:p>
        </w:tc>
        <w:tc>
          <w:tcPr>
            <w:tcW w:w="867" w:type="dxa"/>
            <w:tcBorders>
              <w:top w:val="single" w:sz="6" w:space="0" w:color="auto"/>
              <w:bottom w:val="single" w:sz="6" w:space="0" w:color="auto"/>
            </w:tcBorders>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34</w:t>
            </w:r>
          </w:p>
        </w:tc>
        <w:tc>
          <w:tcPr>
            <w:tcW w:w="1155"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29</w:t>
            </w:r>
          </w:p>
        </w:tc>
        <w:tc>
          <w:tcPr>
            <w:tcW w:w="3060" w:type="dxa"/>
            <w:vMerge/>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p>
        </w:tc>
      </w:tr>
      <w:tr w:rsidR="007D7B40" w:rsidRPr="00933CE7" w:rsidTr="000A7D6B">
        <w:trPr>
          <w:trHeight w:val="598"/>
        </w:trPr>
        <w:tc>
          <w:tcPr>
            <w:tcW w:w="3537" w:type="dxa"/>
            <w:vMerge/>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b/>
                <w:bCs/>
                <w:color w:val="000000"/>
                <w:sz w:val="20"/>
                <w:lang w:val="fr-CH" w:eastAsia="fr-FR"/>
              </w:rPr>
            </w:pPr>
          </w:p>
        </w:tc>
        <w:tc>
          <w:tcPr>
            <w:tcW w:w="3405" w:type="dxa"/>
            <w:tcBorders>
              <w:top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Nombre de participants aux manifestations sur le renforcement des capacités organisées par l'UIT et le BR ou avec leur appui</w:t>
            </w:r>
            <w:r w:rsidR="009D0DC3" w:rsidRPr="00933CE7">
              <w:rPr>
                <w:sz w:val="20"/>
                <w:lang w:val="fr-CH"/>
              </w:rPr>
              <w:t xml:space="preserve"> (nombre cumulé pour la période</w:t>
            </w:r>
            <w:r w:rsidRPr="00933CE7">
              <w:rPr>
                <w:sz w:val="20"/>
                <w:lang w:val="fr-CH"/>
              </w:rPr>
              <w:t xml:space="preserve"> </w:t>
            </w:r>
            <w:r w:rsidR="00335ACD" w:rsidRPr="00933CE7">
              <w:rPr>
                <w:sz w:val="20"/>
                <w:lang w:val="fr-CH"/>
              </w:rPr>
              <w:t>entre deux CMR</w:t>
            </w:r>
            <w:r w:rsidR="009D0DC3" w:rsidRPr="00933CE7">
              <w:rPr>
                <w:sz w:val="20"/>
                <w:lang w:val="fr-CH"/>
              </w:rPr>
              <w:t>)</w:t>
            </w:r>
          </w:p>
        </w:tc>
        <w:tc>
          <w:tcPr>
            <w:tcW w:w="866" w:type="dxa"/>
            <w:tcBorders>
              <w:top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1 518</w:t>
            </w:r>
          </w:p>
        </w:tc>
        <w:tc>
          <w:tcPr>
            <w:tcW w:w="867" w:type="dxa"/>
            <w:tcBorders>
              <w:top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737</w:t>
            </w:r>
          </w:p>
        </w:tc>
        <w:tc>
          <w:tcPr>
            <w:tcW w:w="866" w:type="dxa"/>
            <w:tcBorders>
              <w:top w:val="single" w:sz="6" w:space="0" w:color="auto"/>
            </w:tcBorders>
            <w:tcMar>
              <w:right w:w="284" w:type="dxa"/>
            </w:tcMar>
          </w:tcPr>
          <w:p w:rsidR="007D7B40" w:rsidRPr="00933CE7" w:rsidRDefault="007D7B40" w:rsidP="00F077A9">
            <w:pPr>
              <w:pStyle w:val="Tabletext"/>
              <w:jc w:val="center"/>
              <w:rPr>
                <w:rFonts w:asciiTheme="majorBidi" w:hAnsiTheme="majorBidi" w:cstheme="majorBidi"/>
                <w:color w:val="000000"/>
                <w:sz w:val="20"/>
                <w:highlight w:val="yellow"/>
                <w:lang w:val="fr-CH"/>
              </w:rPr>
            </w:pPr>
            <w:r w:rsidRPr="00933CE7">
              <w:rPr>
                <w:rFonts w:asciiTheme="majorBidi" w:hAnsiTheme="majorBidi" w:cstheme="majorBidi"/>
                <w:color w:val="000000"/>
                <w:sz w:val="20"/>
                <w:lang w:val="fr-CH"/>
              </w:rPr>
              <w:t>1 363</w:t>
            </w:r>
          </w:p>
        </w:tc>
        <w:tc>
          <w:tcPr>
            <w:tcW w:w="867" w:type="dxa"/>
            <w:tcBorders>
              <w:top w:val="single" w:sz="6" w:space="0" w:color="auto"/>
            </w:tcBorders>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669</w:t>
            </w:r>
          </w:p>
        </w:tc>
        <w:tc>
          <w:tcPr>
            <w:tcW w:w="1155" w:type="dxa"/>
            <w:tcBorders>
              <w:top w:val="single" w:sz="6"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2 000</w:t>
            </w:r>
          </w:p>
        </w:tc>
        <w:tc>
          <w:tcPr>
            <w:tcW w:w="3060" w:type="dxa"/>
            <w:vMerge/>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p>
        </w:tc>
      </w:tr>
      <w:tr w:rsidR="007D7B40" w:rsidRPr="00933CE7" w:rsidTr="000A7D6B">
        <w:trPr>
          <w:trHeight w:val="320"/>
        </w:trPr>
        <w:tc>
          <w:tcPr>
            <w:tcW w:w="3537" w:type="dxa"/>
            <w:vMerge w:val="restart"/>
            <w:tcBorders>
              <w:top w:val="single" w:sz="6" w:space="0" w:color="auto"/>
            </w:tcBorders>
            <w:shd w:val="clear" w:color="auto" w:fill="auto"/>
          </w:tcPr>
          <w:p w:rsidR="007D7B40" w:rsidRPr="00933CE7" w:rsidRDefault="007D7B40" w:rsidP="00F077A9">
            <w:pPr>
              <w:pStyle w:val="Tabletext"/>
              <w:keepNext/>
              <w:keepLines/>
              <w:rPr>
                <w:sz w:val="20"/>
                <w:lang w:val="fr-CH"/>
              </w:rPr>
            </w:pPr>
            <w:r w:rsidRPr="00933CE7">
              <w:rPr>
                <w:rFonts w:eastAsia="Calibri" w:cs="Arial"/>
                <w:b/>
                <w:bCs/>
                <w:color w:val="4F81BD" w:themeColor="accent1"/>
                <w:sz w:val="20"/>
                <w:lang w:val="fr-CH"/>
              </w:rPr>
              <w:t>R.3-2</w:t>
            </w:r>
            <w:r w:rsidRPr="00933CE7">
              <w:rPr>
                <w:rFonts w:eastAsia="Calibri" w:cs="Arial"/>
                <w:sz w:val="20"/>
                <w:lang w:val="fr-CH"/>
              </w:rPr>
              <w:t xml:space="preserve">: </w:t>
            </w:r>
            <w:r w:rsidRPr="00933CE7">
              <w:rPr>
                <w:sz w:val="20"/>
                <w:lang w:val="fr-CH"/>
              </w:rPr>
              <w:t>Renforcement de la participation, en particulier des pays en développement, aux activités de l'UIT-R (y compris par la participation à distance)</w:t>
            </w:r>
          </w:p>
        </w:tc>
        <w:tc>
          <w:tcPr>
            <w:tcW w:w="3405" w:type="dxa"/>
            <w:tcBorders>
              <w:top w:val="single" w:sz="6" w:space="0" w:color="auto"/>
              <w:bottom w:val="single" w:sz="6" w:space="0" w:color="auto"/>
            </w:tcBorders>
            <w:shd w:val="clear" w:color="auto" w:fill="auto"/>
          </w:tcPr>
          <w:p w:rsidR="007D7B40" w:rsidRPr="00933CE7" w:rsidRDefault="007D7B40" w:rsidP="00F077A9">
            <w:pPr>
              <w:pStyle w:val="Tabletext"/>
              <w:keepNext/>
              <w:keepLines/>
              <w:rPr>
                <w:rFonts w:asciiTheme="minorHAnsi" w:hAnsiTheme="minorHAnsi"/>
                <w:color w:val="000000"/>
                <w:sz w:val="20"/>
                <w:lang w:val="fr-CH" w:eastAsia="fr-FR"/>
              </w:rPr>
            </w:pPr>
            <w:r w:rsidRPr="00933CE7">
              <w:rPr>
                <w:sz w:val="20"/>
                <w:lang w:val="fr-CH"/>
              </w:rPr>
              <w:t>Nombre d'activités d'assistance technique et de manifestations connexes auxquelles participe le BR</w:t>
            </w:r>
          </w:p>
        </w:tc>
        <w:tc>
          <w:tcPr>
            <w:tcW w:w="866"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93</w:t>
            </w:r>
          </w:p>
        </w:tc>
        <w:tc>
          <w:tcPr>
            <w:tcW w:w="867"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color w:val="000000"/>
                <w:sz w:val="20"/>
                <w:lang w:val="fr-CH"/>
              </w:rPr>
            </w:pPr>
            <w:r w:rsidRPr="00933CE7">
              <w:rPr>
                <w:rFonts w:asciiTheme="majorBidi" w:hAnsiTheme="majorBidi" w:cstheme="majorBidi"/>
                <w:color w:val="000000" w:themeColor="text1"/>
                <w:sz w:val="20"/>
                <w:lang w:val="fr-CH"/>
              </w:rPr>
              <w:t>100</w:t>
            </w:r>
          </w:p>
        </w:tc>
        <w:tc>
          <w:tcPr>
            <w:tcW w:w="866" w:type="dxa"/>
            <w:tcBorders>
              <w:top w:val="single" w:sz="6" w:space="0" w:color="auto"/>
              <w:bottom w:val="single" w:sz="6" w:space="0" w:color="auto"/>
            </w:tcBorders>
            <w:tcMar>
              <w:right w:w="284" w:type="dxa"/>
            </w:tcMar>
          </w:tcPr>
          <w:p w:rsidR="007D7B40" w:rsidRPr="00933CE7" w:rsidRDefault="007D7B40" w:rsidP="00F077A9">
            <w:pPr>
              <w:pStyle w:val="Tabletext"/>
              <w:keepNext/>
              <w:keepLines/>
              <w:jc w:val="center"/>
              <w:rPr>
                <w:rFonts w:asciiTheme="majorBidi" w:hAnsiTheme="majorBidi" w:cstheme="majorBidi"/>
                <w:color w:val="000000" w:themeColor="text1"/>
                <w:sz w:val="20"/>
                <w:lang w:val="fr-CH"/>
              </w:rPr>
            </w:pPr>
            <w:r w:rsidRPr="00933CE7">
              <w:rPr>
                <w:rFonts w:asciiTheme="majorBidi" w:hAnsiTheme="majorBidi" w:cstheme="majorBidi"/>
                <w:color w:val="000000" w:themeColor="text1"/>
                <w:sz w:val="20"/>
                <w:lang w:val="fr-CH"/>
              </w:rPr>
              <w:t>111</w:t>
            </w:r>
          </w:p>
        </w:tc>
        <w:tc>
          <w:tcPr>
            <w:tcW w:w="867" w:type="dxa"/>
            <w:tcBorders>
              <w:top w:val="single" w:sz="6" w:space="0" w:color="auto"/>
              <w:bottom w:val="single" w:sz="6" w:space="0" w:color="auto"/>
            </w:tcBorders>
          </w:tcPr>
          <w:p w:rsidR="007D7B40" w:rsidRPr="00933CE7" w:rsidRDefault="007D7B40" w:rsidP="00F077A9">
            <w:pPr>
              <w:pStyle w:val="Tabletext"/>
              <w:keepNext/>
              <w:keepLines/>
              <w:jc w:val="center"/>
              <w:rPr>
                <w:rFonts w:asciiTheme="majorBidi" w:hAnsiTheme="majorBidi" w:cstheme="majorBidi"/>
                <w:color w:val="000000" w:themeColor="text1"/>
                <w:sz w:val="20"/>
                <w:lang w:val="fr-CH"/>
              </w:rPr>
            </w:pPr>
            <w:r w:rsidRPr="00933CE7">
              <w:rPr>
                <w:rFonts w:asciiTheme="majorBidi" w:hAnsiTheme="majorBidi" w:cstheme="majorBidi"/>
                <w:color w:val="000000" w:themeColor="text1"/>
                <w:sz w:val="20"/>
                <w:lang w:val="fr-CH"/>
              </w:rPr>
              <w:t>110</w:t>
            </w:r>
          </w:p>
        </w:tc>
        <w:tc>
          <w:tcPr>
            <w:tcW w:w="1155"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b/>
                <w:bCs/>
                <w:color w:val="000000" w:themeColor="text1"/>
                <w:sz w:val="20"/>
                <w:lang w:val="fr-CH"/>
              </w:rPr>
            </w:pPr>
            <w:r w:rsidRPr="00933CE7">
              <w:rPr>
                <w:rFonts w:asciiTheme="majorBidi" w:hAnsiTheme="majorBidi" w:cstheme="majorBidi"/>
                <w:b/>
                <w:bCs/>
                <w:color w:val="000000" w:themeColor="text1"/>
                <w:sz w:val="20"/>
                <w:lang w:val="fr-CH"/>
              </w:rPr>
              <w:t>100</w:t>
            </w:r>
          </w:p>
        </w:tc>
        <w:tc>
          <w:tcPr>
            <w:tcW w:w="3060" w:type="dxa"/>
            <w:tcBorders>
              <w:top w:val="single" w:sz="6" w:space="0" w:color="auto"/>
              <w:bottom w:val="single" w:sz="6" w:space="0" w:color="auto"/>
            </w:tcBorders>
            <w:shd w:val="clear" w:color="auto" w:fill="auto"/>
            <w:noWrap/>
          </w:tcPr>
          <w:p w:rsidR="007D7B40" w:rsidRPr="00933CE7" w:rsidRDefault="00F077A9" w:rsidP="00F077A9">
            <w:pPr>
              <w:pStyle w:val="Tabletext"/>
              <w:keepNext/>
              <w:keepLines/>
              <w:rPr>
                <w:rFonts w:asciiTheme="minorHAnsi" w:hAnsiTheme="minorHAnsi"/>
                <w:color w:val="000000"/>
                <w:sz w:val="20"/>
                <w:lang w:val="fr-CH" w:eastAsia="fr-FR"/>
              </w:rPr>
            </w:pPr>
            <w:r w:rsidRPr="00933CE7">
              <w:rPr>
                <w:sz w:val="20"/>
                <w:lang w:val="fr-CH"/>
              </w:rPr>
              <w:t>Programme des</w:t>
            </w:r>
            <w:r w:rsidR="00335ACD" w:rsidRPr="00933CE7">
              <w:rPr>
                <w:sz w:val="20"/>
                <w:lang w:val="fr-CH"/>
              </w:rPr>
              <w:t xml:space="preserve"> mission</w:t>
            </w:r>
            <w:r w:rsidRPr="00933CE7">
              <w:rPr>
                <w:sz w:val="20"/>
                <w:lang w:val="fr-CH"/>
              </w:rPr>
              <w:t>s</w:t>
            </w:r>
            <w:r w:rsidR="00335ACD" w:rsidRPr="00933CE7">
              <w:rPr>
                <w:sz w:val="20"/>
                <w:lang w:val="fr-CH"/>
              </w:rPr>
              <w:t xml:space="preserve"> de l'UIT-R</w:t>
            </w:r>
          </w:p>
        </w:tc>
      </w:tr>
      <w:tr w:rsidR="007D7B40" w:rsidRPr="00933CE7" w:rsidTr="000A7D6B">
        <w:trPr>
          <w:trHeight w:val="320"/>
        </w:trPr>
        <w:tc>
          <w:tcPr>
            <w:tcW w:w="3537" w:type="dxa"/>
            <w:vMerge/>
            <w:shd w:val="clear" w:color="auto" w:fill="auto"/>
          </w:tcPr>
          <w:p w:rsidR="007D7B40" w:rsidRPr="00933CE7" w:rsidRDefault="007D7B40" w:rsidP="00F077A9">
            <w:pPr>
              <w:pStyle w:val="Tabletext"/>
              <w:keepNext/>
              <w:keepLines/>
              <w:rPr>
                <w:b/>
                <w:bCs/>
                <w:color w:val="5B9BD5"/>
                <w:sz w:val="20"/>
                <w:lang w:val="fr-CH"/>
              </w:rPr>
            </w:pPr>
          </w:p>
        </w:tc>
        <w:tc>
          <w:tcPr>
            <w:tcW w:w="3405" w:type="dxa"/>
            <w:tcBorders>
              <w:top w:val="single" w:sz="6" w:space="0" w:color="auto"/>
              <w:bottom w:val="single" w:sz="6" w:space="0" w:color="auto"/>
            </w:tcBorders>
            <w:shd w:val="clear" w:color="auto" w:fill="auto"/>
          </w:tcPr>
          <w:p w:rsidR="007D7B40" w:rsidRPr="00933CE7" w:rsidRDefault="007D7B40" w:rsidP="00F077A9">
            <w:pPr>
              <w:pStyle w:val="Tabletext"/>
              <w:keepNext/>
              <w:keepLines/>
              <w:rPr>
                <w:rFonts w:asciiTheme="minorHAnsi" w:hAnsiTheme="minorHAnsi"/>
                <w:color w:val="000000"/>
                <w:sz w:val="20"/>
                <w:lang w:val="fr-CH" w:eastAsia="fr-FR"/>
              </w:rPr>
            </w:pPr>
            <w:r w:rsidRPr="00933CE7">
              <w:rPr>
                <w:sz w:val="20"/>
                <w:lang w:val="fr-CH"/>
              </w:rPr>
              <w:t>Nombre de pays recevant une assistance technique de la part du BR ou participant à des manifestations techniques du BR</w:t>
            </w:r>
          </w:p>
        </w:tc>
        <w:tc>
          <w:tcPr>
            <w:tcW w:w="866"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78</w:t>
            </w:r>
          </w:p>
        </w:tc>
        <w:tc>
          <w:tcPr>
            <w:tcW w:w="867"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color w:val="000000"/>
                <w:sz w:val="20"/>
                <w:lang w:val="fr-CH"/>
              </w:rPr>
            </w:pPr>
            <w:r w:rsidRPr="00933CE7">
              <w:rPr>
                <w:rFonts w:asciiTheme="majorBidi" w:hAnsiTheme="majorBidi" w:cstheme="majorBidi"/>
                <w:color w:val="000000" w:themeColor="text1"/>
                <w:sz w:val="20"/>
                <w:lang w:val="fr-CH"/>
              </w:rPr>
              <w:t>61</w:t>
            </w:r>
          </w:p>
        </w:tc>
        <w:tc>
          <w:tcPr>
            <w:tcW w:w="866" w:type="dxa"/>
            <w:tcBorders>
              <w:top w:val="single" w:sz="6" w:space="0" w:color="auto"/>
              <w:bottom w:val="single" w:sz="6" w:space="0" w:color="auto"/>
            </w:tcBorders>
            <w:tcMar>
              <w:right w:w="284" w:type="dxa"/>
            </w:tcMar>
          </w:tcPr>
          <w:p w:rsidR="007D7B40" w:rsidRPr="00933CE7" w:rsidRDefault="007D7B40" w:rsidP="00F077A9">
            <w:pPr>
              <w:pStyle w:val="Tabletext"/>
              <w:keepNext/>
              <w:keepLines/>
              <w:jc w:val="center"/>
              <w:rPr>
                <w:rFonts w:asciiTheme="majorBidi" w:hAnsiTheme="majorBidi" w:cstheme="majorBidi"/>
                <w:color w:val="000000" w:themeColor="text1"/>
                <w:sz w:val="20"/>
                <w:lang w:val="fr-CH"/>
              </w:rPr>
            </w:pPr>
            <w:r w:rsidRPr="00933CE7">
              <w:rPr>
                <w:rFonts w:asciiTheme="majorBidi" w:hAnsiTheme="majorBidi" w:cstheme="majorBidi"/>
                <w:color w:val="000000" w:themeColor="text1"/>
                <w:sz w:val="20"/>
                <w:lang w:val="fr-CH"/>
              </w:rPr>
              <w:t>62</w:t>
            </w:r>
          </w:p>
        </w:tc>
        <w:tc>
          <w:tcPr>
            <w:tcW w:w="867" w:type="dxa"/>
            <w:tcBorders>
              <w:top w:val="single" w:sz="6" w:space="0" w:color="auto"/>
              <w:bottom w:val="single" w:sz="6" w:space="0" w:color="auto"/>
            </w:tcBorders>
          </w:tcPr>
          <w:p w:rsidR="007D7B40" w:rsidRPr="00933CE7" w:rsidRDefault="007D7B40" w:rsidP="00F077A9">
            <w:pPr>
              <w:pStyle w:val="Tabletext"/>
              <w:keepNext/>
              <w:keepLines/>
              <w:jc w:val="center"/>
              <w:rPr>
                <w:rFonts w:asciiTheme="majorBidi" w:hAnsiTheme="majorBidi" w:cstheme="majorBidi"/>
                <w:color w:val="000000" w:themeColor="text1"/>
                <w:sz w:val="20"/>
                <w:lang w:val="fr-CH"/>
              </w:rPr>
            </w:pPr>
            <w:r w:rsidRPr="00933CE7">
              <w:rPr>
                <w:rFonts w:asciiTheme="majorBidi" w:hAnsiTheme="majorBidi" w:cstheme="majorBidi"/>
                <w:color w:val="000000" w:themeColor="text1"/>
                <w:sz w:val="20"/>
                <w:lang w:val="fr-CH"/>
              </w:rPr>
              <w:t>74</w:t>
            </w:r>
          </w:p>
        </w:tc>
        <w:tc>
          <w:tcPr>
            <w:tcW w:w="1155" w:type="dxa"/>
            <w:tcBorders>
              <w:top w:val="single" w:sz="6" w:space="0" w:color="auto"/>
              <w:bottom w:val="single" w:sz="6" w:space="0" w:color="auto"/>
            </w:tcBorders>
            <w:shd w:val="clear" w:color="auto" w:fill="auto"/>
            <w:noWrap/>
            <w:tcMar>
              <w:right w:w="284" w:type="dxa"/>
            </w:tcMar>
          </w:tcPr>
          <w:p w:rsidR="007D7B40" w:rsidRPr="00933CE7" w:rsidRDefault="007D7B40" w:rsidP="00F077A9">
            <w:pPr>
              <w:pStyle w:val="Tabletext"/>
              <w:keepNext/>
              <w:keepLines/>
              <w:jc w:val="center"/>
              <w:rPr>
                <w:rFonts w:asciiTheme="majorBidi" w:hAnsiTheme="majorBidi" w:cstheme="majorBidi"/>
                <w:b/>
                <w:bCs/>
                <w:color w:val="000000" w:themeColor="text1"/>
                <w:sz w:val="20"/>
                <w:lang w:val="fr-CH"/>
              </w:rPr>
            </w:pPr>
            <w:r w:rsidRPr="00933CE7">
              <w:rPr>
                <w:rFonts w:asciiTheme="majorBidi" w:hAnsiTheme="majorBidi" w:cstheme="majorBidi"/>
                <w:b/>
                <w:bCs/>
                <w:color w:val="000000" w:themeColor="text1"/>
                <w:sz w:val="20"/>
                <w:lang w:val="fr-CH"/>
              </w:rPr>
              <w:t>80</w:t>
            </w:r>
          </w:p>
        </w:tc>
        <w:tc>
          <w:tcPr>
            <w:tcW w:w="3060" w:type="dxa"/>
            <w:tcBorders>
              <w:top w:val="single" w:sz="6" w:space="0" w:color="auto"/>
              <w:bottom w:val="single" w:sz="6" w:space="0" w:color="auto"/>
            </w:tcBorders>
            <w:shd w:val="clear" w:color="auto" w:fill="auto"/>
            <w:noWrap/>
          </w:tcPr>
          <w:p w:rsidR="007D7B40" w:rsidRPr="00933CE7" w:rsidRDefault="00F077A9" w:rsidP="00F077A9">
            <w:pPr>
              <w:pStyle w:val="Tabletext"/>
              <w:keepNext/>
              <w:keepLines/>
              <w:rPr>
                <w:rFonts w:asciiTheme="minorHAnsi" w:hAnsiTheme="minorHAnsi"/>
                <w:color w:val="000000"/>
                <w:sz w:val="20"/>
                <w:lang w:val="fr-CH" w:eastAsia="fr-FR"/>
              </w:rPr>
            </w:pPr>
            <w:r w:rsidRPr="00933CE7">
              <w:rPr>
                <w:sz w:val="20"/>
                <w:lang w:val="fr-CH"/>
              </w:rPr>
              <w:t xml:space="preserve">Programme des missions </w:t>
            </w:r>
            <w:r w:rsidR="00335ACD" w:rsidRPr="00933CE7">
              <w:rPr>
                <w:sz w:val="20"/>
                <w:lang w:val="fr-CH"/>
              </w:rPr>
              <w:t>de l'UIT-R</w:t>
            </w:r>
          </w:p>
        </w:tc>
      </w:tr>
      <w:tr w:rsidR="007D7B40" w:rsidRPr="00933CE7" w:rsidTr="000A7D6B">
        <w:trPr>
          <w:trHeight w:val="320"/>
        </w:trPr>
        <w:tc>
          <w:tcPr>
            <w:tcW w:w="3537" w:type="dxa"/>
            <w:vMerge/>
            <w:shd w:val="clear" w:color="auto" w:fill="auto"/>
            <w:hideMark/>
          </w:tcPr>
          <w:p w:rsidR="007D7B40" w:rsidRPr="00933CE7" w:rsidRDefault="007D7B40" w:rsidP="00F077A9">
            <w:pPr>
              <w:pStyle w:val="Tabletext"/>
              <w:rPr>
                <w:rFonts w:asciiTheme="minorHAnsi" w:hAnsiTheme="minorHAnsi"/>
                <w:b/>
                <w:bCs/>
                <w:color w:val="000000"/>
                <w:sz w:val="20"/>
                <w:lang w:val="fr-CH" w:eastAsia="fr-FR"/>
              </w:rPr>
            </w:pPr>
          </w:p>
        </w:tc>
        <w:tc>
          <w:tcPr>
            <w:tcW w:w="3405" w:type="dxa"/>
            <w:tcBorders>
              <w:top w:val="single" w:sz="6" w:space="0" w:color="auto"/>
              <w:bottom w:val="single" w:sz="6"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Nombre de participants aux conférences et assemblées de l'UIT-R et aux réunions connexes des commissions d'études de l'UIT-R (sur place ou à distance)/manifestations connexes</w:t>
            </w:r>
          </w:p>
        </w:tc>
        <w:tc>
          <w:tcPr>
            <w:tcW w:w="866" w:type="dxa"/>
            <w:tcBorders>
              <w:top w:val="single" w:sz="6" w:space="0" w:color="auto"/>
              <w:bottom w:val="single" w:sz="6" w:space="0" w:color="auto"/>
            </w:tcBorders>
            <w:shd w:val="clear" w:color="auto" w:fill="auto"/>
            <w:noWrap/>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8972/38</w:t>
            </w:r>
          </w:p>
        </w:tc>
        <w:tc>
          <w:tcPr>
            <w:tcW w:w="867" w:type="dxa"/>
            <w:tcBorders>
              <w:top w:val="single" w:sz="6" w:space="0" w:color="auto"/>
              <w:bottom w:val="single" w:sz="6" w:space="0" w:color="auto"/>
            </w:tcBorders>
            <w:shd w:val="clear" w:color="auto" w:fill="auto"/>
            <w:noWrap/>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bCs/>
                <w:color w:val="000000" w:themeColor="text1"/>
                <w:sz w:val="20"/>
                <w:lang w:val="fr-CH"/>
              </w:rPr>
              <w:t>6042/48</w:t>
            </w:r>
          </w:p>
        </w:tc>
        <w:tc>
          <w:tcPr>
            <w:tcW w:w="866" w:type="dxa"/>
            <w:tcBorders>
              <w:top w:val="single" w:sz="6" w:space="0" w:color="auto"/>
              <w:bottom w:val="single" w:sz="6" w:space="0" w:color="auto"/>
            </w:tcBorders>
          </w:tcPr>
          <w:p w:rsidR="007D7B40" w:rsidRPr="00933CE7" w:rsidRDefault="007D7B40" w:rsidP="00F077A9">
            <w:pPr>
              <w:pStyle w:val="Tabletext"/>
              <w:jc w:val="center"/>
              <w:rPr>
                <w:rFonts w:asciiTheme="majorBidi" w:hAnsiTheme="majorBidi" w:cstheme="majorBidi"/>
                <w:bCs/>
                <w:color w:val="000000" w:themeColor="text1"/>
                <w:sz w:val="20"/>
                <w:lang w:val="fr-CH"/>
              </w:rPr>
            </w:pPr>
            <w:r w:rsidRPr="00933CE7">
              <w:rPr>
                <w:rFonts w:asciiTheme="majorBidi" w:hAnsiTheme="majorBidi" w:cstheme="majorBidi"/>
                <w:bCs/>
                <w:color w:val="000000" w:themeColor="text1"/>
                <w:sz w:val="20"/>
                <w:lang w:val="fr-CH"/>
              </w:rPr>
              <w:t>7061/52</w:t>
            </w:r>
          </w:p>
        </w:tc>
        <w:tc>
          <w:tcPr>
            <w:tcW w:w="867" w:type="dxa"/>
            <w:tcBorders>
              <w:top w:val="single" w:sz="6" w:space="0" w:color="auto"/>
              <w:bottom w:val="single" w:sz="6" w:space="0" w:color="auto"/>
            </w:tcBorders>
          </w:tcPr>
          <w:p w:rsidR="007D7B40" w:rsidRPr="00933CE7" w:rsidRDefault="007D7B40" w:rsidP="00F077A9">
            <w:pPr>
              <w:pStyle w:val="Tabletext"/>
              <w:jc w:val="center"/>
              <w:rPr>
                <w:rFonts w:asciiTheme="majorBidi" w:hAnsiTheme="majorBidi" w:cstheme="majorBidi"/>
                <w:bCs/>
                <w:color w:val="000000" w:themeColor="text1"/>
                <w:sz w:val="20"/>
                <w:lang w:val="fr-CH"/>
              </w:rPr>
            </w:pPr>
            <w:r w:rsidRPr="00933CE7">
              <w:rPr>
                <w:rFonts w:asciiTheme="majorBidi" w:hAnsiTheme="majorBidi" w:cstheme="majorBidi"/>
                <w:bCs/>
                <w:color w:val="000000" w:themeColor="text1"/>
                <w:sz w:val="20"/>
                <w:lang w:val="fr-CH"/>
              </w:rPr>
              <w:t>4560/47</w:t>
            </w:r>
          </w:p>
        </w:tc>
        <w:tc>
          <w:tcPr>
            <w:tcW w:w="1155" w:type="dxa"/>
            <w:tcBorders>
              <w:top w:val="single" w:sz="6" w:space="0" w:color="auto"/>
              <w:bottom w:val="single" w:sz="6" w:space="0" w:color="auto"/>
            </w:tcBorders>
            <w:shd w:val="clear" w:color="auto" w:fill="auto"/>
            <w:noWrap/>
          </w:tcPr>
          <w:p w:rsidR="007D7B40" w:rsidRPr="00933CE7" w:rsidRDefault="007D7B40" w:rsidP="00F077A9">
            <w:pPr>
              <w:pStyle w:val="Tabletext"/>
              <w:jc w:val="center"/>
              <w:rPr>
                <w:rFonts w:asciiTheme="majorBidi" w:hAnsiTheme="majorBidi" w:cstheme="majorBidi"/>
                <w:b/>
                <w:bCs/>
                <w:color w:val="000000" w:themeColor="text1"/>
                <w:sz w:val="20"/>
                <w:lang w:val="fr-CH"/>
              </w:rPr>
            </w:pPr>
            <w:r w:rsidRPr="00933CE7">
              <w:rPr>
                <w:rFonts w:asciiTheme="majorBidi" w:hAnsiTheme="majorBidi" w:cstheme="majorBidi"/>
                <w:b/>
                <w:bCs/>
                <w:color w:val="000000" w:themeColor="text1"/>
                <w:sz w:val="20"/>
                <w:lang w:val="fr-CH"/>
              </w:rPr>
              <w:t>4560/47</w:t>
            </w:r>
          </w:p>
        </w:tc>
        <w:tc>
          <w:tcPr>
            <w:tcW w:w="3060" w:type="dxa"/>
            <w:tcBorders>
              <w:top w:val="single" w:sz="6" w:space="0" w:color="auto"/>
              <w:bottom w:val="single" w:sz="6" w:space="0" w:color="auto"/>
            </w:tcBorders>
            <w:shd w:val="clear" w:color="auto" w:fill="auto"/>
            <w:noWrap/>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Base de données du registre des manifestations de l'UIT</w:t>
            </w:r>
            <w:r w:rsidRPr="00933CE7">
              <w:rPr>
                <w:sz w:val="20"/>
                <w:lang w:val="fr-CH"/>
              </w:rPr>
              <w:noBreakHyphen/>
              <w:t>R</w:t>
            </w:r>
          </w:p>
        </w:tc>
      </w:tr>
      <w:tr w:rsidR="007D7B40" w:rsidRPr="00933CE7" w:rsidTr="000A7D6B">
        <w:trPr>
          <w:trHeight w:val="340"/>
        </w:trPr>
        <w:tc>
          <w:tcPr>
            <w:tcW w:w="3537" w:type="dxa"/>
            <w:vMerge/>
            <w:tcBorders>
              <w:bottom w:val="single" w:sz="4" w:space="0" w:color="auto"/>
            </w:tcBorders>
            <w:shd w:val="clear" w:color="auto" w:fill="auto"/>
            <w:hideMark/>
          </w:tcPr>
          <w:p w:rsidR="007D7B40" w:rsidRPr="00933CE7" w:rsidRDefault="007D7B40" w:rsidP="00F077A9">
            <w:pPr>
              <w:pStyle w:val="Tabletext"/>
              <w:rPr>
                <w:rFonts w:asciiTheme="minorHAnsi" w:hAnsiTheme="minorHAnsi"/>
                <w:b/>
                <w:bCs/>
                <w:color w:val="000000"/>
                <w:sz w:val="20"/>
                <w:lang w:val="fr-CH" w:eastAsia="fr-FR"/>
              </w:rPr>
            </w:pPr>
          </w:p>
        </w:tc>
        <w:tc>
          <w:tcPr>
            <w:tcW w:w="3405" w:type="dxa"/>
            <w:tcBorders>
              <w:top w:val="single" w:sz="6" w:space="0" w:color="auto"/>
              <w:bottom w:val="single" w:sz="4" w:space="0" w:color="auto"/>
            </w:tcBorders>
            <w:shd w:val="clear" w:color="auto" w:fill="auto"/>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Nombre de pays participant aux séminaires et ateliers, aux réunions des commissions d'études et des groupes de travail et à des manifestations connexes de l'UIT-R (sur place ou à distance)</w:t>
            </w:r>
          </w:p>
        </w:tc>
        <w:tc>
          <w:tcPr>
            <w:tcW w:w="866" w:type="dxa"/>
            <w:tcBorders>
              <w:top w:val="single" w:sz="6" w:space="0" w:color="auto"/>
              <w:bottom w:val="single" w:sz="4"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161</w:t>
            </w:r>
          </w:p>
        </w:tc>
        <w:tc>
          <w:tcPr>
            <w:tcW w:w="867" w:type="dxa"/>
            <w:tcBorders>
              <w:top w:val="single" w:sz="6" w:space="0" w:color="auto"/>
              <w:bottom w:val="single" w:sz="4"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130</w:t>
            </w:r>
          </w:p>
        </w:tc>
        <w:tc>
          <w:tcPr>
            <w:tcW w:w="866" w:type="dxa"/>
            <w:tcBorders>
              <w:top w:val="single" w:sz="6" w:space="0" w:color="auto"/>
              <w:bottom w:val="single" w:sz="4" w:space="0" w:color="auto"/>
            </w:tcBorders>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78</w:t>
            </w:r>
          </w:p>
        </w:tc>
        <w:tc>
          <w:tcPr>
            <w:tcW w:w="867" w:type="dxa"/>
            <w:tcBorders>
              <w:top w:val="single" w:sz="6" w:space="0" w:color="auto"/>
              <w:bottom w:val="single" w:sz="4" w:space="0" w:color="auto"/>
            </w:tcBorders>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137</w:t>
            </w:r>
          </w:p>
        </w:tc>
        <w:tc>
          <w:tcPr>
            <w:tcW w:w="1155" w:type="dxa"/>
            <w:tcBorders>
              <w:top w:val="single" w:sz="6" w:space="0" w:color="auto"/>
              <w:bottom w:val="single" w:sz="4" w:space="0" w:color="auto"/>
            </w:tcBorders>
            <w:shd w:val="clear" w:color="auto" w:fill="auto"/>
            <w:noWrap/>
            <w:tcMar>
              <w:right w:w="284" w:type="dxa"/>
            </w:tcMar>
          </w:tcPr>
          <w:p w:rsidR="007D7B40" w:rsidRPr="00933CE7" w:rsidRDefault="007D7B40" w:rsidP="00F077A9">
            <w:pPr>
              <w:pStyle w:val="Tabletext"/>
              <w:jc w:val="center"/>
              <w:rPr>
                <w:rFonts w:asciiTheme="majorBidi" w:hAnsiTheme="majorBidi" w:cstheme="majorBidi"/>
                <w:color w:val="000000"/>
                <w:sz w:val="20"/>
                <w:lang w:val="fr-CH"/>
              </w:rPr>
            </w:pPr>
            <w:r w:rsidRPr="00933CE7">
              <w:rPr>
                <w:rFonts w:asciiTheme="majorBidi" w:hAnsiTheme="majorBidi" w:cstheme="majorBidi"/>
                <w:color w:val="000000"/>
                <w:sz w:val="20"/>
                <w:lang w:val="fr-CH"/>
              </w:rPr>
              <w:t>193</w:t>
            </w:r>
          </w:p>
        </w:tc>
        <w:tc>
          <w:tcPr>
            <w:tcW w:w="3060" w:type="dxa"/>
            <w:tcBorders>
              <w:top w:val="single" w:sz="6" w:space="0" w:color="auto"/>
              <w:bottom w:val="single" w:sz="4" w:space="0" w:color="auto"/>
            </w:tcBorders>
            <w:shd w:val="clear" w:color="auto" w:fill="auto"/>
            <w:noWrap/>
            <w:hideMark/>
          </w:tcPr>
          <w:p w:rsidR="007D7B40" w:rsidRPr="00933CE7" w:rsidRDefault="007D7B40" w:rsidP="00F077A9">
            <w:pPr>
              <w:pStyle w:val="Tabletext"/>
              <w:rPr>
                <w:rFonts w:asciiTheme="minorHAnsi" w:hAnsiTheme="minorHAnsi"/>
                <w:color w:val="000000"/>
                <w:sz w:val="20"/>
                <w:lang w:val="fr-CH" w:eastAsia="fr-FR"/>
              </w:rPr>
            </w:pPr>
            <w:r w:rsidRPr="00933CE7">
              <w:rPr>
                <w:sz w:val="20"/>
                <w:lang w:val="fr-CH"/>
              </w:rPr>
              <w:t>Base de données du registre des manifestations de l'UIT</w:t>
            </w:r>
            <w:r w:rsidRPr="00933CE7">
              <w:rPr>
                <w:sz w:val="20"/>
                <w:lang w:val="fr-CH"/>
              </w:rPr>
              <w:noBreakHyphen/>
              <w:t>R</w:t>
            </w:r>
          </w:p>
        </w:tc>
      </w:tr>
    </w:tbl>
    <w:p w:rsidR="00D970D4" w:rsidRPr="00933CE7" w:rsidRDefault="00D970D4" w:rsidP="00F077A9">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lang w:val="fr-CH"/>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D970D4" w:rsidRPr="00933CE7" w:rsidTr="00D970D4">
        <w:trPr>
          <w:cnfStyle w:val="100000000000" w:firstRow="1" w:lastRow="0" w:firstColumn="0" w:lastColumn="0" w:oddVBand="0" w:evenVBand="0" w:oddHBand="0" w:evenHBand="0" w:firstRowFirstColumn="0" w:firstRowLastColumn="0" w:lastRowFirstColumn="0" w:lastRowLastColumn="0"/>
          <w:tblHeader/>
        </w:trPr>
        <w:tc>
          <w:tcPr>
            <w:tcW w:w="7933" w:type="dxa"/>
          </w:tcPr>
          <w:p w:rsidR="00D970D4" w:rsidRPr="00933CE7" w:rsidRDefault="00D970D4" w:rsidP="00F077A9">
            <w:pPr>
              <w:pStyle w:val="Tablehead"/>
              <w:rPr>
                <w:b/>
                <w:bCs w:val="0"/>
                <w:lang w:val="fr-CH"/>
              </w:rPr>
            </w:pPr>
            <w:r w:rsidRPr="00933CE7">
              <w:rPr>
                <w:b/>
                <w:bCs w:val="0"/>
                <w:lang w:val="fr-CH"/>
              </w:rPr>
              <w:t>Produit</w:t>
            </w:r>
          </w:p>
        </w:tc>
        <w:tc>
          <w:tcPr>
            <w:tcW w:w="6696" w:type="dxa"/>
            <w:gridSpan w:val="4"/>
          </w:tcPr>
          <w:p w:rsidR="00D970D4" w:rsidRPr="00933CE7" w:rsidRDefault="00D970D4" w:rsidP="00F077A9">
            <w:pPr>
              <w:pStyle w:val="Tablehead"/>
              <w:rPr>
                <w:b/>
                <w:bCs w:val="0"/>
                <w:lang w:val="fr-CH"/>
              </w:rPr>
            </w:pPr>
            <w:r w:rsidRPr="00933CE7">
              <w:rPr>
                <w:b/>
                <w:bCs w:val="0"/>
                <w:lang w:val="fr-CH"/>
              </w:rPr>
              <w:t>Ressources financières</w:t>
            </w:r>
            <w:r w:rsidRPr="00933CE7">
              <w:rPr>
                <w:b/>
                <w:bCs w:val="0"/>
                <w:position w:val="6"/>
                <w:sz w:val="16"/>
                <w:lang w:val="fr-CH"/>
              </w:rPr>
              <w:footnoteReference w:id="6"/>
            </w:r>
            <w:r w:rsidRPr="00933CE7">
              <w:rPr>
                <w:b/>
                <w:bCs w:val="0"/>
                <w:lang w:val="fr-CH"/>
              </w:rPr>
              <w:t xml:space="preserve"> (en milliers CHF)</w:t>
            </w:r>
          </w:p>
        </w:tc>
      </w:tr>
      <w:tr w:rsidR="00D970D4" w:rsidRPr="00933CE7" w:rsidTr="00D970D4">
        <w:tc>
          <w:tcPr>
            <w:tcW w:w="7933" w:type="dxa"/>
          </w:tcPr>
          <w:p w:rsidR="00D970D4" w:rsidRPr="00933CE7" w:rsidRDefault="00D970D4" w:rsidP="00F077A9">
            <w:pPr>
              <w:pStyle w:val="Tabletext"/>
              <w:jc w:val="center"/>
              <w:rPr>
                <w:lang w:val="fr-CH"/>
              </w:rPr>
            </w:pPr>
          </w:p>
        </w:tc>
        <w:tc>
          <w:tcPr>
            <w:tcW w:w="1674" w:type="dxa"/>
          </w:tcPr>
          <w:p w:rsidR="00D970D4" w:rsidRPr="00933CE7" w:rsidRDefault="007F7618" w:rsidP="00F077A9">
            <w:pPr>
              <w:pStyle w:val="Tabletext"/>
              <w:jc w:val="center"/>
              <w:rPr>
                <w:b/>
                <w:bCs/>
                <w:noProof/>
                <w:color w:val="4F81BD" w:themeColor="accent1"/>
                <w:sz w:val="20"/>
                <w:szCs w:val="20"/>
                <w:lang w:val="fr-CH" w:eastAsia="zh-CN"/>
              </w:rPr>
            </w:pPr>
            <w:r w:rsidRPr="00933CE7">
              <w:rPr>
                <w:b/>
                <w:bCs/>
                <w:noProof/>
                <w:color w:val="4F81BD" w:themeColor="accent1"/>
                <w:sz w:val="20"/>
                <w:szCs w:val="20"/>
                <w:lang w:val="fr-CH" w:eastAsia="zh-CN"/>
              </w:rPr>
              <w:t>2020</w:t>
            </w:r>
          </w:p>
        </w:tc>
        <w:tc>
          <w:tcPr>
            <w:tcW w:w="1674" w:type="dxa"/>
          </w:tcPr>
          <w:p w:rsidR="00D970D4" w:rsidRPr="00933CE7" w:rsidRDefault="007F7618" w:rsidP="00F077A9">
            <w:pPr>
              <w:pStyle w:val="Tabletext"/>
              <w:jc w:val="center"/>
              <w:rPr>
                <w:b/>
                <w:bCs/>
                <w:noProof/>
                <w:color w:val="4F81BD" w:themeColor="accent1"/>
                <w:sz w:val="20"/>
                <w:szCs w:val="20"/>
                <w:lang w:val="fr-CH" w:eastAsia="zh-CN"/>
              </w:rPr>
            </w:pPr>
            <w:r w:rsidRPr="00933CE7">
              <w:rPr>
                <w:b/>
                <w:bCs/>
                <w:noProof/>
                <w:color w:val="4F81BD" w:themeColor="accent1"/>
                <w:sz w:val="20"/>
                <w:szCs w:val="20"/>
                <w:lang w:val="fr-CH" w:eastAsia="zh-CN"/>
              </w:rPr>
              <w:t>2021</w:t>
            </w:r>
          </w:p>
        </w:tc>
        <w:tc>
          <w:tcPr>
            <w:tcW w:w="1674" w:type="dxa"/>
          </w:tcPr>
          <w:p w:rsidR="00D970D4" w:rsidRPr="00933CE7" w:rsidRDefault="007F7618" w:rsidP="00F077A9">
            <w:pPr>
              <w:pStyle w:val="Tabletext"/>
              <w:jc w:val="center"/>
              <w:rPr>
                <w:b/>
                <w:bCs/>
                <w:noProof/>
                <w:color w:val="4F81BD" w:themeColor="accent1"/>
                <w:sz w:val="20"/>
                <w:szCs w:val="20"/>
                <w:lang w:val="fr-CH" w:eastAsia="zh-CN"/>
              </w:rPr>
            </w:pPr>
            <w:r w:rsidRPr="00933CE7">
              <w:rPr>
                <w:b/>
                <w:bCs/>
                <w:noProof/>
                <w:color w:val="4F81BD" w:themeColor="accent1"/>
                <w:sz w:val="20"/>
                <w:szCs w:val="20"/>
                <w:lang w:val="fr-CH" w:eastAsia="zh-CN"/>
              </w:rPr>
              <w:t>2022</w:t>
            </w:r>
          </w:p>
        </w:tc>
        <w:tc>
          <w:tcPr>
            <w:tcW w:w="1674" w:type="dxa"/>
          </w:tcPr>
          <w:p w:rsidR="00D970D4" w:rsidRPr="00933CE7" w:rsidRDefault="007F7618" w:rsidP="00F077A9">
            <w:pPr>
              <w:pStyle w:val="Tabletext"/>
              <w:jc w:val="center"/>
              <w:rPr>
                <w:b/>
                <w:bCs/>
                <w:noProof/>
                <w:color w:val="4F81BD" w:themeColor="accent1"/>
                <w:sz w:val="20"/>
                <w:szCs w:val="20"/>
                <w:lang w:val="fr-CH" w:eastAsia="zh-CN"/>
              </w:rPr>
            </w:pPr>
            <w:r w:rsidRPr="00933CE7">
              <w:rPr>
                <w:b/>
                <w:bCs/>
                <w:noProof/>
                <w:color w:val="4F81BD" w:themeColor="accent1"/>
                <w:sz w:val="20"/>
                <w:szCs w:val="20"/>
                <w:lang w:val="fr-CH" w:eastAsia="zh-CN"/>
              </w:rPr>
              <w:t>2023</w:t>
            </w:r>
          </w:p>
        </w:tc>
      </w:tr>
      <w:tr w:rsidR="007F7618" w:rsidRPr="00933CE7" w:rsidTr="00D970D4">
        <w:tc>
          <w:tcPr>
            <w:tcW w:w="7933" w:type="dxa"/>
          </w:tcPr>
          <w:p w:rsidR="007F7618" w:rsidRPr="00933CE7" w:rsidRDefault="007F7618" w:rsidP="00F077A9">
            <w:pPr>
              <w:pStyle w:val="Tabletext"/>
              <w:rPr>
                <w:noProof/>
                <w:sz w:val="20"/>
                <w:szCs w:val="20"/>
                <w:lang w:val="fr-CH"/>
              </w:rPr>
            </w:pPr>
            <w:r w:rsidRPr="00933CE7">
              <w:rPr>
                <w:b/>
                <w:bCs/>
                <w:noProof/>
                <w:color w:val="4F81BD" w:themeColor="accent1"/>
                <w:sz w:val="20"/>
                <w:szCs w:val="20"/>
                <w:lang w:val="fr-CH" w:eastAsia="zh-CN"/>
              </w:rPr>
              <w:t xml:space="preserve">R.3-1: </w:t>
            </w:r>
            <w:r w:rsidRPr="00933CE7">
              <w:rPr>
                <w:sz w:val="20"/>
                <w:lang w:val="fr-CH"/>
              </w:rPr>
              <w:t xml:space="preserve">Publications </w:t>
            </w:r>
            <w:r w:rsidR="00F077A9" w:rsidRPr="00933CE7">
              <w:rPr>
                <w:sz w:val="20"/>
                <w:lang w:val="fr-CH"/>
              </w:rPr>
              <w:t>de l'</w:t>
            </w:r>
            <w:r w:rsidRPr="00933CE7">
              <w:rPr>
                <w:sz w:val="20"/>
                <w:lang w:val="fr-CH"/>
              </w:rPr>
              <w:t>UIT-R</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6 611</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6 495</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7 237</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5 938</w:t>
            </w:r>
          </w:p>
        </w:tc>
      </w:tr>
      <w:tr w:rsidR="007F7618" w:rsidRPr="00933CE7" w:rsidTr="00D970D4">
        <w:tc>
          <w:tcPr>
            <w:tcW w:w="7933" w:type="dxa"/>
          </w:tcPr>
          <w:p w:rsidR="007F7618" w:rsidRPr="00933CE7" w:rsidRDefault="007F7618" w:rsidP="00F077A9">
            <w:pPr>
              <w:pStyle w:val="Tabletext"/>
              <w:rPr>
                <w:noProof/>
                <w:sz w:val="20"/>
                <w:szCs w:val="20"/>
                <w:lang w:val="fr-CH"/>
              </w:rPr>
            </w:pPr>
            <w:r w:rsidRPr="00933CE7">
              <w:rPr>
                <w:b/>
                <w:bCs/>
                <w:noProof/>
                <w:color w:val="4F81BD" w:themeColor="accent1"/>
                <w:sz w:val="20"/>
                <w:szCs w:val="20"/>
                <w:lang w:val="fr-CH" w:eastAsia="zh-CN"/>
              </w:rPr>
              <w:t xml:space="preserve">R.3-2: </w:t>
            </w:r>
            <w:r w:rsidRPr="00933CE7">
              <w:rPr>
                <w:sz w:val="20"/>
                <w:lang w:val="fr-CH"/>
              </w:rPr>
              <w:t>Assistance aux membres, en particulier ceux des pays en développement et des PMA</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4 312</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4 321</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2 871</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2 644</w:t>
            </w:r>
          </w:p>
        </w:tc>
      </w:tr>
      <w:tr w:rsidR="007F7618" w:rsidRPr="00933CE7" w:rsidTr="00D970D4">
        <w:tc>
          <w:tcPr>
            <w:tcW w:w="7933" w:type="dxa"/>
          </w:tcPr>
          <w:p w:rsidR="007F7618" w:rsidRPr="00933CE7" w:rsidRDefault="007F7618" w:rsidP="00F077A9">
            <w:pPr>
              <w:pStyle w:val="Tabletext"/>
              <w:rPr>
                <w:noProof/>
                <w:sz w:val="20"/>
                <w:szCs w:val="20"/>
                <w:lang w:val="fr-CH"/>
              </w:rPr>
            </w:pPr>
            <w:r w:rsidRPr="00933CE7">
              <w:rPr>
                <w:b/>
                <w:bCs/>
                <w:noProof/>
                <w:color w:val="4F81BD" w:themeColor="accent1"/>
                <w:sz w:val="20"/>
                <w:szCs w:val="20"/>
                <w:lang w:val="fr-CH" w:eastAsia="zh-CN"/>
              </w:rPr>
              <w:t xml:space="preserve">R.3-3: </w:t>
            </w:r>
            <w:r w:rsidRPr="00933CE7">
              <w:rPr>
                <w:sz w:val="20"/>
                <w:lang w:val="fr-CH"/>
              </w:rPr>
              <w:t>Liaison/Appui concernant les activités de développement</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1 521</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1 456</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1 637</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1 674</w:t>
            </w:r>
          </w:p>
        </w:tc>
      </w:tr>
      <w:tr w:rsidR="007F7618" w:rsidRPr="00933CE7" w:rsidTr="00D970D4">
        <w:tc>
          <w:tcPr>
            <w:tcW w:w="7933" w:type="dxa"/>
          </w:tcPr>
          <w:p w:rsidR="007F7618" w:rsidRPr="00933CE7" w:rsidRDefault="007F7618" w:rsidP="00F077A9">
            <w:pPr>
              <w:pStyle w:val="Tabletext"/>
              <w:rPr>
                <w:lang w:val="fr-CH"/>
              </w:rPr>
            </w:pPr>
            <w:r w:rsidRPr="00933CE7">
              <w:rPr>
                <w:b/>
                <w:bCs/>
                <w:noProof/>
                <w:color w:val="4F81BD" w:themeColor="accent1"/>
                <w:sz w:val="20"/>
                <w:szCs w:val="20"/>
                <w:lang w:val="fr-CH" w:eastAsia="zh-CN"/>
              </w:rPr>
              <w:t xml:space="preserve">R.3-4: </w:t>
            </w:r>
            <w:r w:rsidRPr="00933CE7">
              <w:rPr>
                <w:sz w:val="20"/>
                <w:lang w:val="fr-CH"/>
              </w:rPr>
              <w:t>Séminaires, ateliers et autres</w:t>
            </w:r>
            <w:r w:rsidR="00F077A9" w:rsidRPr="00933CE7">
              <w:rPr>
                <w:sz w:val="20"/>
                <w:lang w:val="fr-CH"/>
              </w:rPr>
              <w:t xml:space="preserve"> manifestations</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4 355</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4 625</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3 862</w:t>
            </w:r>
          </w:p>
        </w:tc>
        <w:tc>
          <w:tcPr>
            <w:tcW w:w="1674" w:type="dxa"/>
            <w:tcMar>
              <w:right w:w="284" w:type="dxa"/>
            </w:tcMar>
            <w:vAlign w:val="center"/>
          </w:tcPr>
          <w:p w:rsidR="007F7618" w:rsidRPr="00933CE7" w:rsidRDefault="007F7618" w:rsidP="00F077A9">
            <w:pPr>
              <w:pStyle w:val="Tabletext"/>
              <w:jc w:val="center"/>
              <w:rPr>
                <w:rFonts w:asciiTheme="majorBidi" w:hAnsiTheme="majorBidi" w:cstheme="majorBidi"/>
                <w:sz w:val="20"/>
                <w:lang w:val="fr-CH"/>
              </w:rPr>
            </w:pPr>
            <w:r w:rsidRPr="00933CE7">
              <w:rPr>
                <w:rFonts w:asciiTheme="majorBidi" w:hAnsiTheme="majorBidi" w:cstheme="majorBidi"/>
                <w:sz w:val="20"/>
                <w:lang w:val="fr-CH"/>
              </w:rPr>
              <w:t>3 677</w:t>
            </w:r>
          </w:p>
        </w:tc>
      </w:tr>
      <w:tr w:rsidR="00D970D4" w:rsidRPr="00933CE7" w:rsidTr="00D970D4">
        <w:tc>
          <w:tcPr>
            <w:tcW w:w="7933" w:type="dxa"/>
            <w:vAlign w:val="center"/>
          </w:tcPr>
          <w:p w:rsidR="00D970D4" w:rsidRPr="00933CE7" w:rsidRDefault="00D970D4" w:rsidP="00F077A9">
            <w:pPr>
              <w:pStyle w:val="Tabletext"/>
              <w:rPr>
                <w:b/>
                <w:bCs/>
                <w:color w:val="5B9BD5"/>
                <w:sz w:val="20"/>
                <w:szCs w:val="20"/>
                <w:lang w:val="fr-CH"/>
              </w:rPr>
            </w:pPr>
            <w:r w:rsidRPr="00933CE7">
              <w:rPr>
                <w:rFonts w:cs="Arial"/>
                <w:sz w:val="20"/>
                <w:szCs w:val="20"/>
                <w:lang w:val="fr-CH"/>
              </w:rPr>
              <w:t>Ventilation des coûts entre la Conférence de plénipotentiaires et les activités du Conseil (</w:t>
            </w:r>
            <w:r w:rsidRPr="00933CE7">
              <w:rPr>
                <w:rFonts w:cs="Arial"/>
                <w:b/>
                <w:bCs/>
                <w:color w:val="4F81BD" w:themeColor="accent1"/>
                <w:sz w:val="20"/>
                <w:szCs w:val="20"/>
                <w:lang w:val="fr-CH"/>
              </w:rPr>
              <w:t>PP</w:t>
            </w:r>
            <w:r w:rsidRPr="00933CE7">
              <w:rPr>
                <w:rFonts w:cs="Arial"/>
                <w:sz w:val="20"/>
                <w:szCs w:val="20"/>
                <w:lang w:val="fr-CH"/>
              </w:rPr>
              <w:t>, </w:t>
            </w:r>
            <w:r w:rsidRPr="00933CE7">
              <w:rPr>
                <w:rFonts w:cs="Arial"/>
                <w:b/>
                <w:bCs/>
                <w:color w:val="4F81BD" w:themeColor="accent1"/>
                <w:sz w:val="20"/>
                <w:szCs w:val="20"/>
                <w:lang w:val="fr-CH"/>
              </w:rPr>
              <w:t>Conseil/GTC</w:t>
            </w:r>
            <w:r w:rsidRPr="00933CE7">
              <w:rPr>
                <w:rFonts w:cs="Arial"/>
                <w:sz w:val="20"/>
                <w:szCs w:val="20"/>
                <w:lang w:val="fr-CH"/>
              </w:rPr>
              <w:t>)</w:t>
            </w:r>
          </w:p>
        </w:tc>
        <w:tc>
          <w:tcPr>
            <w:tcW w:w="1674" w:type="dxa"/>
            <w:tcMar>
              <w:right w:w="284" w:type="dxa"/>
            </w:tcMar>
            <w:vAlign w:val="center"/>
          </w:tcPr>
          <w:p w:rsidR="00D970D4" w:rsidRPr="00933CE7" w:rsidRDefault="00D970D4" w:rsidP="00F077A9">
            <w:pPr>
              <w:pStyle w:val="Tabletext"/>
              <w:jc w:val="center"/>
              <w:rPr>
                <w:sz w:val="20"/>
                <w:lang w:val="fr-CH"/>
              </w:rPr>
            </w:pPr>
          </w:p>
        </w:tc>
        <w:tc>
          <w:tcPr>
            <w:tcW w:w="1674" w:type="dxa"/>
            <w:tcMar>
              <w:right w:w="284" w:type="dxa"/>
            </w:tcMar>
            <w:vAlign w:val="center"/>
          </w:tcPr>
          <w:p w:rsidR="00D970D4" w:rsidRPr="00933CE7" w:rsidRDefault="00D970D4" w:rsidP="00F077A9">
            <w:pPr>
              <w:pStyle w:val="Tabletext"/>
              <w:jc w:val="center"/>
              <w:rPr>
                <w:sz w:val="20"/>
                <w:lang w:val="fr-CH"/>
              </w:rPr>
            </w:pPr>
          </w:p>
        </w:tc>
        <w:tc>
          <w:tcPr>
            <w:tcW w:w="1674" w:type="dxa"/>
            <w:tcMar>
              <w:right w:w="284" w:type="dxa"/>
            </w:tcMar>
            <w:vAlign w:val="center"/>
          </w:tcPr>
          <w:p w:rsidR="00D970D4" w:rsidRPr="00933CE7" w:rsidRDefault="00D970D4" w:rsidP="00F077A9">
            <w:pPr>
              <w:pStyle w:val="Tabletext"/>
              <w:jc w:val="center"/>
              <w:rPr>
                <w:sz w:val="20"/>
                <w:lang w:val="fr-CH"/>
              </w:rPr>
            </w:pPr>
          </w:p>
        </w:tc>
        <w:tc>
          <w:tcPr>
            <w:tcW w:w="1674" w:type="dxa"/>
            <w:tcMar>
              <w:right w:w="284" w:type="dxa"/>
            </w:tcMar>
            <w:vAlign w:val="center"/>
          </w:tcPr>
          <w:p w:rsidR="00D970D4" w:rsidRPr="00933CE7" w:rsidRDefault="00D970D4" w:rsidP="00F077A9">
            <w:pPr>
              <w:pStyle w:val="Tabletext"/>
              <w:jc w:val="center"/>
              <w:rPr>
                <w:sz w:val="20"/>
                <w:lang w:val="fr-CH"/>
              </w:rPr>
            </w:pPr>
          </w:p>
        </w:tc>
      </w:tr>
      <w:tr w:rsidR="00D970D4" w:rsidRPr="00933CE7" w:rsidTr="00D970D4">
        <w:tc>
          <w:tcPr>
            <w:tcW w:w="7933" w:type="dxa"/>
            <w:vAlign w:val="center"/>
          </w:tcPr>
          <w:p w:rsidR="00D970D4" w:rsidRPr="00933CE7" w:rsidRDefault="00D970D4" w:rsidP="00F077A9">
            <w:pPr>
              <w:pStyle w:val="Tabletext"/>
              <w:rPr>
                <w:b/>
                <w:bCs/>
                <w:noProof/>
                <w:color w:val="4F81BD" w:themeColor="accent1"/>
                <w:sz w:val="20"/>
                <w:szCs w:val="20"/>
                <w:lang w:val="fr-CH" w:eastAsia="zh-CN"/>
              </w:rPr>
            </w:pPr>
            <w:r w:rsidRPr="00933CE7">
              <w:rPr>
                <w:b/>
                <w:bCs/>
                <w:color w:val="5B9BD5"/>
                <w:sz w:val="20"/>
                <w:szCs w:val="20"/>
                <w:lang w:val="fr-CH"/>
              </w:rPr>
              <w:t>Total pour l'Objectif R.3</w:t>
            </w:r>
          </w:p>
        </w:tc>
        <w:tc>
          <w:tcPr>
            <w:tcW w:w="1674" w:type="dxa"/>
            <w:tcMar>
              <w:right w:w="284" w:type="dxa"/>
            </w:tcMar>
            <w:vAlign w:val="center"/>
          </w:tcPr>
          <w:p w:rsidR="00D970D4" w:rsidRPr="00933CE7" w:rsidRDefault="00D970D4" w:rsidP="00F077A9">
            <w:pPr>
              <w:pStyle w:val="Tabletext"/>
              <w:jc w:val="center"/>
              <w:rPr>
                <w:b/>
                <w:bCs/>
                <w:sz w:val="20"/>
                <w:lang w:val="fr-CH"/>
              </w:rPr>
            </w:pPr>
          </w:p>
        </w:tc>
        <w:tc>
          <w:tcPr>
            <w:tcW w:w="1674" w:type="dxa"/>
            <w:tcMar>
              <w:right w:w="284" w:type="dxa"/>
            </w:tcMar>
            <w:vAlign w:val="center"/>
          </w:tcPr>
          <w:p w:rsidR="00D970D4" w:rsidRPr="00933CE7" w:rsidRDefault="00D970D4" w:rsidP="00F077A9">
            <w:pPr>
              <w:pStyle w:val="Tabletext"/>
              <w:jc w:val="center"/>
              <w:rPr>
                <w:b/>
                <w:bCs/>
                <w:sz w:val="20"/>
                <w:lang w:val="fr-CH"/>
              </w:rPr>
            </w:pPr>
          </w:p>
        </w:tc>
        <w:tc>
          <w:tcPr>
            <w:tcW w:w="1674" w:type="dxa"/>
            <w:tcMar>
              <w:right w:w="284" w:type="dxa"/>
            </w:tcMar>
            <w:vAlign w:val="center"/>
          </w:tcPr>
          <w:p w:rsidR="00D970D4" w:rsidRPr="00933CE7" w:rsidRDefault="00D970D4" w:rsidP="00F077A9">
            <w:pPr>
              <w:pStyle w:val="Tabletext"/>
              <w:jc w:val="center"/>
              <w:rPr>
                <w:b/>
                <w:bCs/>
                <w:sz w:val="20"/>
                <w:lang w:val="fr-CH"/>
              </w:rPr>
            </w:pPr>
          </w:p>
        </w:tc>
        <w:tc>
          <w:tcPr>
            <w:tcW w:w="1674" w:type="dxa"/>
            <w:tcMar>
              <w:right w:w="284" w:type="dxa"/>
            </w:tcMar>
            <w:vAlign w:val="center"/>
          </w:tcPr>
          <w:p w:rsidR="00D970D4" w:rsidRPr="00933CE7" w:rsidRDefault="00D970D4" w:rsidP="00F077A9">
            <w:pPr>
              <w:pStyle w:val="Tabletext"/>
              <w:jc w:val="center"/>
              <w:rPr>
                <w:b/>
                <w:bCs/>
                <w:sz w:val="20"/>
                <w:lang w:val="fr-CH"/>
              </w:rPr>
            </w:pPr>
          </w:p>
        </w:tc>
      </w:tr>
    </w:tbl>
    <w:p w:rsidR="000A7D6B" w:rsidRDefault="000A7D6B" w:rsidP="000A7D6B">
      <w:pPr>
        <w:rPr>
          <w:lang w:val="fr-CH"/>
        </w:rPr>
      </w:pPr>
    </w:p>
    <w:p w:rsidR="007F7618" w:rsidRPr="00933CE7" w:rsidRDefault="007F7618" w:rsidP="00F077A9">
      <w:pPr>
        <w:jc w:val="center"/>
        <w:rPr>
          <w:lang w:val="fr-CH"/>
        </w:rPr>
      </w:pPr>
      <w:r w:rsidRPr="00933CE7">
        <w:rPr>
          <w:lang w:val="fr-CH"/>
        </w:rPr>
        <w:t>______________</w:t>
      </w:r>
    </w:p>
    <w:sectPr w:rsidR="007F7618" w:rsidRPr="00933CE7" w:rsidSect="00DA5F71">
      <w:headerReference w:type="first" r:id="rId18"/>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F4" w:rsidRDefault="00D23BF4">
      <w:r>
        <w:separator/>
      </w:r>
    </w:p>
  </w:endnote>
  <w:endnote w:type="continuationSeparator" w:id="0">
    <w:p w:rsidR="00D23BF4" w:rsidRDefault="00D2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P:\FRA\ITU-R\AG\RAG\RAG19\000\001ADD02F.docx</w:t>
    </w:r>
    <w:r>
      <w:rPr>
        <w:lang w:val="en-US"/>
      </w:rPr>
      <w:fldChar w:fldCharType="end"/>
    </w:r>
    <w:r>
      <w:rPr>
        <w:lang w:val="en-US"/>
      </w:rPr>
      <w:tab/>
    </w:r>
    <w:r>
      <w:fldChar w:fldCharType="begin"/>
    </w:r>
    <w:r>
      <w:instrText xml:space="preserve"> savedate \@ dd.MM.yy </w:instrText>
    </w:r>
    <w:r>
      <w:fldChar w:fldCharType="separate"/>
    </w:r>
    <w:r w:rsidR="008E65BA">
      <w:t>01.04.19</w:t>
    </w:r>
    <w:r>
      <w:fldChar w:fldCharType="end"/>
    </w:r>
    <w:r>
      <w:rPr>
        <w:lang w:val="en-US"/>
      </w:rPr>
      <w:tab/>
    </w:r>
    <w:r>
      <w:fldChar w:fldCharType="begin"/>
    </w:r>
    <w:r>
      <w:instrText xml:space="preserve"> printdate \@ dd.MM.yy </w:instrText>
    </w:r>
    <w:r>
      <w:fldChar w:fldCharType="separate"/>
    </w:r>
    <w:r>
      <w:t>25.03.19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rsidP="003846A0">
    <w:pPr>
      <w:pStyle w:val="Footer"/>
      <w:rPr>
        <w:lang w:val="en-US"/>
      </w:rPr>
    </w:pPr>
    <w:r>
      <w:fldChar w:fldCharType="begin"/>
    </w:r>
    <w:r w:rsidRPr="00A9055C">
      <w:rPr>
        <w:lang w:val="en-US"/>
      </w:rPr>
      <w:instrText xml:space="preserve"> FILENAME \p \* MERGEFORMAT </w:instrText>
    </w:r>
    <w:r>
      <w:fldChar w:fldCharType="separate"/>
    </w:r>
    <w:r w:rsidR="005C0666">
      <w:rPr>
        <w:lang w:val="en-US"/>
      </w:rPr>
      <w:t>P:\FRA\ITU-R\AG\RAG\RAG19\000\001ADD02REV1F.docx</w:t>
    </w:r>
    <w:r>
      <w:rPr>
        <w:lang w:val="en-US"/>
      </w:rPr>
      <w:fldChar w:fldCharType="end"/>
    </w:r>
    <w:r w:rsidR="003846A0">
      <w:rPr>
        <w:lang w:val="en-GB"/>
      </w:rPr>
      <w:t xml:space="preserve"> (452730</w:t>
    </w:r>
    <w:r w:rsidRPr="00310936">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rsidP="00BE7F06">
    <w:pPr>
      <w:pStyle w:val="Footer"/>
      <w:rPr>
        <w:lang w:val="en-US"/>
      </w:rPr>
    </w:pPr>
    <w:r>
      <w:fldChar w:fldCharType="begin"/>
    </w:r>
    <w:r w:rsidRPr="00A9055C">
      <w:rPr>
        <w:lang w:val="en-US"/>
      </w:rPr>
      <w:instrText xml:space="preserve"> FILENAME \p \* MERGEFORMAT </w:instrText>
    </w:r>
    <w:r>
      <w:fldChar w:fldCharType="separate"/>
    </w:r>
    <w:r w:rsidR="005C0666">
      <w:rPr>
        <w:lang w:val="en-US"/>
      </w:rPr>
      <w:t>P:\FRA\ITU-R\AG\RAG\RAG19\000\001ADD02REV1F.docx</w:t>
    </w:r>
    <w:r>
      <w:rPr>
        <w:lang w:val="en-US"/>
      </w:rPr>
      <w:fldChar w:fldCharType="end"/>
    </w:r>
    <w:r w:rsidR="003846A0">
      <w:rPr>
        <w:lang w:val="en-GB"/>
      </w:rPr>
      <w:t xml:space="preserve"> (452730</w:t>
    </w:r>
    <w:r w:rsidRPr="00BE7F06">
      <w:rPr>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F4" w:rsidRDefault="00D23BF4">
      <w:r>
        <w:t>____________________</w:t>
      </w:r>
    </w:p>
  </w:footnote>
  <w:footnote w:type="continuationSeparator" w:id="0">
    <w:p w:rsidR="00D23BF4" w:rsidRDefault="00D23BF4">
      <w:r>
        <w:continuationSeparator/>
      </w:r>
    </w:p>
  </w:footnote>
  <w:footnote w:id="1">
    <w:p w:rsidR="003846A0" w:rsidRPr="00B52C68" w:rsidRDefault="003846A0" w:rsidP="003846A0">
      <w:pPr>
        <w:pStyle w:val="FootnoteText"/>
        <w:spacing w:before="0"/>
        <w:rPr>
          <w:rStyle w:val="FootnoteReference"/>
          <w:rFonts w:asciiTheme="minorHAnsi" w:hAnsiTheme="minorHAnsi"/>
          <w:sz w:val="20"/>
        </w:rPr>
      </w:pPr>
      <w:r w:rsidRPr="00260A66">
        <w:rPr>
          <w:rFonts w:eastAsia="Calibri" w:cs="Calibri"/>
          <w:sz w:val="18"/>
          <w:vertAlign w:val="superscript"/>
        </w:rPr>
        <w:t>2</w:t>
      </w:r>
      <w:r>
        <w:rPr>
          <w:rFonts w:eastAsia="Calibri" w:cs="Calibri"/>
          <w:sz w:val="20"/>
          <w:szCs w:val="22"/>
        </w:rPr>
        <w:tab/>
      </w:r>
      <w:r w:rsidRPr="003846A0">
        <w:rPr>
          <w:rFonts w:eastAsia="Calibri"/>
          <w:sz w:val="20"/>
        </w:rPr>
        <w:t>Les pilotes des risques seront désignés par le Directeur du Bureau.</w:t>
      </w:r>
    </w:p>
  </w:footnote>
  <w:footnote w:id="2">
    <w:p w:rsidR="00D23BF4" w:rsidRPr="00DA5701" w:rsidRDefault="00D23BF4" w:rsidP="00E8126C">
      <w:pPr>
        <w:pStyle w:val="FootnoteText"/>
        <w:rPr>
          <w:rFonts w:asciiTheme="minorHAnsi" w:hAnsiTheme="minorHAnsi"/>
        </w:rPr>
      </w:pPr>
      <w:r w:rsidRPr="00DA5701">
        <w:rPr>
          <w:rStyle w:val="FootnoteReference"/>
          <w:rFonts w:asciiTheme="minorHAnsi" w:hAnsiTheme="minorHAnsi"/>
          <w:sz w:val="20"/>
        </w:rPr>
        <w:footnoteRef/>
      </w:r>
      <w:r w:rsidRPr="00DA5701">
        <w:rPr>
          <w:rFonts w:asciiTheme="minorHAnsi" w:hAnsiTheme="minorHAnsi"/>
          <w:sz w:val="20"/>
          <w:lang w:val="fr-CH"/>
        </w:rPr>
        <w:tab/>
      </w:r>
      <w:r>
        <w:t xml:space="preserve">Estimations </w:t>
      </w:r>
      <w:r w:rsidRPr="00135CB3">
        <w:t xml:space="preserve">pour la période </w:t>
      </w:r>
      <w:r>
        <w:t>2020-2023</w:t>
      </w:r>
      <w:r w:rsidRPr="00135CB3">
        <w:t>. L'affectation des ressources pour les prochaines années pourra être modifiée à la suite de décisions de la haute direction.</w:t>
      </w:r>
    </w:p>
  </w:footnote>
  <w:footnote w:id="3">
    <w:p w:rsidR="00D23BF4" w:rsidRPr="00E95D4C" w:rsidRDefault="00D23BF4" w:rsidP="00D23BF4">
      <w:pPr>
        <w:pStyle w:val="FootnoteText"/>
      </w:pPr>
      <w:r w:rsidRPr="004C18AB">
        <w:rPr>
          <w:rStyle w:val="FootnoteReference"/>
          <w:rFonts w:asciiTheme="minorHAnsi" w:hAnsiTheme="minorHAnsi"/>
        </w:rPr>
        <w:footnoteRef/>
      </w:r>
      <w:r w:rsidRPr="00E95D4C">
        <w:tab/>
      </w:r>
      <w:r>
        <w:t>«</w:t>
      </w:r>
      <w:r w:rsidRPr="00E95D4C">
        <w:t>n/d</w:t>
      </w:r>
      <w:r>
        <w:t>»</w:t>
      </w:r>
      <w:r w:rsidRPr="00E95D4C">
        <w:t xml:space="preserve"> signifie que les valeurs de ces indicateurs ne sont pas encore disponibles.</w:t>
      </w:r>
    </w:p>
    <w:p w:rsidR="00D23BF4" w:rsidRPr="004C18AB" w:rsidRDefault="00D23BF4" w:rsidP="00E95D4C">
      <w:pPr>
        <w:pStyle w:val="FootnoteText"/>
        <w:rPr>
          <w:lang w:val="fr-CH"/>
        </w:rPr>
      </w:pPr>
      <w:r w:rsidRPr="00E95D4C">
        <w:t>*</w:t>
      </w:r>
      <w:r w:rsidRPr="00E95D4C">
        <w:tab/>
        <w:t>Estimations</w:t>
      </w:r>
    </w:p>
  </w:footnote>
  <w:footnote w:id="4">
    <w:p w:rsidR="00D23BF4" w:rsidRPr="00622A81" w:rsidRDefault="00D23BF4" w:rsidP="007D7B40">
      <w:pPr>
        <w:pStyle w:val="FootnoteText"/>
        <w:rPr>
          <w:rFonts w:asciiTheme="minorHAnsi" w:hAnsiTheme="minorHAnsi"/>
        </w:rPr>
      </w:pPr>
      <w:r w:rsidRPr="00622A81">
        <w:rPr>
          <w:rStyle w:val="FootnoteReference"/>
          <w:rFonts w:asciiTheme="minorHAnsi" w:hAnsiTheme="minorHAnsi"/>
          <w:sz w:val="20"/>
        </w:rPr>
        <w:footnoteRef/>
      </w:r>
      <w:r w:rsidRPr="00622A81">
        <w:rPr>
          <w:rFonts w:asciiTheme="minorHAnsi" w:hAnsiTheme="minorHAnsi"/>
          <w:sz w:val="20"/>
          <w:lang w:val="fr-CH"/>
        </w:rPr>
        <w:tab/>
      </w:r>
      <w:r w:rsidRPr="00327FA4">
        <w:t>Est</w:t>
      </w:r>
      <w:r>
        <w:t>imations pour la période 2022-</w:t>
      </w:r>
      <w:r w:rsidRPr="00327FA4">
        <w:t>23. L'affectation des ressources pour les prochaines années pourra être modifiée à la suite de décisions de la haute direction.</w:t>
      </w:r>
    </w:p>
  </w:footnote>
  <w:footnote w:id="5">
    <w:p w:rsidR="00D23BF4" w:rsidRPr="007E52BB" w:rsidRDefault="00D23BF4" w:rsidP="00D970D4">
      <w:pPr>
        <w:pStyle w:val="FootnoteText"/>
        <w:rPr>
          <w:lang w:val="fr-CH"/>
        </w:rPr>
      </w:pPr>
      <w:r w:rsidRPr="00AF2A1A">
        <w:rPr>
          <w:rStyle w:val="FootnoteReference"/>
        </w:rPr>
        <w:footnoteRef/>
      </w:r>
      <w:r>
        <w:rPr>
          <w:rFonts w:asciiTheme="minorHAnsi" w:hAnsiTheme="minorHAnsi"/>
        </w:rPr>
        <w:tab/>
      </w:r>
      <w:r w:rsidRPr="00327FA4">
        <w:t>Ce chiffre est donné uniquement à titre de comparaison, dans la mesure où il est possible que le téléchargement à plusieurs reprises d'un même document/d'une même publication soit comptabilisé comme plusieurs téléchargements.</w:t>
      </w:r>
    </w:p>
  </w:footnote>
  <w:footnote w:id="6">
    <w:p w:rsidR="00D23BF4" w:rsidRPr="005479BD" w:rsidRDefault="00D23BF4" w:rsidP="00335ACD">
      <w:pPr>
        <w:pStyle w:val="FootnoteText"/>
      </w:pPr>
      <w:r w:rsidRPr="003641E7">
        <w:rPr>
          <w:rStyle w:val="FootnoteReference"/>
          <w:sz w:val="20"/>
        </w:rPr>
        <w:footnoteRef/>
      </w:r>
      <w:r w:rsidRPr="00B200E4">
        <w:rPr>
          <w:sz w:val="20"/>
          <w:lang w:val="fr-CH"/>
        </w:rPr>
        <w:t xml:space="preserve"> </w:t>
      </w:r>
      <w:r w:rsidRPr="00B200E4">
        <w:rPr>
          <w:sz w:val="20"/>
          <w:lang w:val="fr-CH"/>
        </w:rPr>
        <w:tab/>
      </w:r>
      <w:r>
        <w:t>Estimations</w:t>
      </w:r>
      <w:r w:rsidRPr="00327FA4">
        <w:t xml:space="preserve"> pour la période </w:t>
      </w:r>
      <w:r>
        <w:t>2022-2023</w:t>
      </w:r>
      <w:r w:rsidRPr="00327FA4">
        <w:t>.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rsidP="00925627">
    <w:pPr>
      <w:pStyle w:val="Header"/>
      <w:rPr>
        <w:lang w:val="es-ES"/>
      </w:rPr>
    </w:pPr>
    <w:r>
      <w:fldChar w:fldCharType="begin"/>
    </w:r>
    <w:r>
      <w:instrText xml:space="preserve"> PAGE </w:instrText>
    </w:r>
    <w:r>
      <w:fldChar w:fldCharType="separate"/>
    </w:r>
    <w:r w:rsidR="008E65BA">
      <w:rPr>
        <w:noProof/>
      </w:rPr>
      <w:t>13</w:t>
    </w:r>
    <w:r>
      <w:rPr>
        <w:noProof/>
      </w:rPr>
      <w:fldChar w:fldCharType="end"/>
    </w:r>
  </w:p>
  <w:p w:rsidR="00D23BF4" w:rsidRDefault="00D23BF4" w:rsidP="001253A4">
    <w:pPr>
      <w:pStyle w:val="Header"/>
      <w:rPr>
        <w:lang w:val="es-ES"/>
      </w:rPr>
    </w:pPr>
    <w:r>
      <w:rPr>
        <w:lang w:val="es-ES"/>
      </w:rPr>
      <w:t>RAG19/1(Add.2)</w:t>
    </w:r>
    <w:r w:rsidR="003846A0">
      <w:rPr>
        <w:lang w:val="es-ES"/>
      </w:rPr>
      <w:t>(Rév.1)</w:t>
    </w:r>
    <w:r>
      <w:rPr>
        <w:lang w:val="es-ES"/>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rsidP="00E95D4C">
    <w:pPr>
      <w:pStyle w:val="Header"/>
      <w:rPr>
        <w:lang w:val="es-ES"/>
      </w:rPr>
    </w:pPr>
    <w:r>
      <w:fldChar w:fldCharType="begin"/>
    </w:r>
    <w:r>
      <w:instrText xml:space="preserve"> PAGE </w:instrText>
    </w:r>
    <w:r>
      <w:fldChar w:fldCharType="separate"/>
    </w:r>
    <w:r>
      <w:rPr>
        <w:noProof/>
      </w:rPr>
      <w:t>2</w:t>
    </w:r>
    <w:r>
      <w:rPr>
        <w:noProof/>
      </w:rPr>
      <w:fldChar w:fldCharType="end"/>
    </w:r>
  </w:p>
  <w:p w:rsidR="00D23BF4" w:rsidRDefault="00D23BF4" w:rsidP="00E95D4C">
    <w:pPr>
      <w:pStyle w:val="Header"/>
      <w:rPr>
        <w:lang w:val="es-ES"/>
      </w:rPr>
    </w:pPr>
    <w:r>
      <w:rPr>
        <w:lang w:val="es-ES"/>
      </w:rPr>
      <w:t>RAG19/1(Add.2)-F</w:t>
    </w:r>
  </w:p>
  <w:p w:rsidR="00D23BF4" w:rsidRDefault="00D23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rsidP="00E95D4C">
    <w:pPr>
      <w:pStyle w:val="Header"/>
      <w:rPr>
        <w:lang w:val="es-ES"/>
      </w:rPr>
    </w:pPr>
    <w:r>
      <w:fldChar w:fldCharType="begin"/>
    </w:r>
    <w:r>
      <w:instrText xml:space="preserve"> PAGE </w:instrText>
    </w:r>
    <w:r>
      <w:fldChar w:fldCharType="separate"/>
    </w:r>
    <w:r>
      <w:rPr>
        <w:noProof/>
      </w:rPr>
      <w:t>3</w:t>
    </w:r>
    <w:r>
      <w:rPr>
        <w:noProof/>
      </w:rPr>
      <w:fldChar w:fldCharType="end"/>
    </w:r>
  </w:p>
  <w:p w:rsidR="00D23BF4" w:rsidRDefault="00D23BF4" w:rsidP="00E95D4C">
    <w:pPr>
      <w:pStyle w:val="Header"/>
      <w:rPr>
        <w:lang w:val="es-ES"/>
      </w:rPr>
    </w:pPr>
    <w:r>
      <w:rPr>
        <w:lang w:val="es-ES"/>
      </w:rPr>
      <w:t>RAG19/1(Add.2)-F</w:t>
    </w:r>
  </w:p>
  <w:p w:rsidR="00D23BF4" w:rsidRDefault="00D23BF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F4" w:rsidRDefault="00D23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FC"/>
    <w:rsid w:val="000A7D6B"/>
    <w:rsid w:val="000B4BF4"/>
    <w:rsid w:val="000C06D8"/>
    <w:rsid w:val="001253A4"/>
    <w:rsid w:val="00135CB3"/>
    <w:rsid w:val="00140AE6"/>
    <w:rsid w:val="00147C8F"/>
    <w:rsid w:val="00161840"/>
    <w:rsid w:val="001679E4"/>
    <w:rsid w:val="00173EFC"/>
    <w:rsid w:val="00185170"/>
    <w:rsid w:val="001976CF"/>
    <w:rsid w:val="00222A1C"/>
    <w:rsid w:val="002621C6"/>
    <w:rsid w:val="002A285C"/>
    <w:rsid w:val="002D238A"/>
    <w:rsid w:val="00310936"/>
    <w:rsid w:val="00327FA4"/>
    <w:rsid w:val="00335ACD"/>
    <w:rsid w:val="003846A0"/>
    <w:rsid w:val="003A6CEE"/>
    <w:rsid w:val="003C1640"/>
    <w:rsid w:val="003D4A1D"/>
    <w:rsid w:val="00405FBE"/>
    <w:rsid w:val="00443261"/>
    <w:rsid w:val="004775AB"/>
    <w:rsid w:val="004D03A5"/>
    <w:rsid w:val="004D41E2"/>
    <w:rsid w:val="004E1CCF"/>
    <w:rsid w:val="005031C8"/>
    <w:rsid w:val="005207F5"/>
    <w:rsid w:val="005430E4"/>
    <w:rsid w:val="005573D1"/>
    <w:rsid w:val="005C0666"/>
    <w:rsid w:val="00601F58"/>
    <w:rsid w:val="00642826"/>
    <w:rsid w:val="0067019B"/>
    <w:rsid w:val="00677EE5"/>
    <w:rsid w:val="00694DEF"/>
    <w:rsid w:val="006B32D5"/>
    <w:rsid w:val="006C5362"/>
    <w:rsid w:val="00700309"/>
    <w:rsid w:val="00751617"/>
    <w:rsid w:val="00765C57"/>
    <w:rsid w:val="00773E5E"/>
    <w:rsid w:val="00784AE7"/>
    <w:rsid w:val="007A1771"/>
    <w:rsid w:val="007D4FD5"/>
    <w:rsid w:val="007D7B40"/>
    <w:rsid w:val="007F7618"/>
    <w:rsid w:val="008069E9"/>
    <w:rsid w:val="00847AAC"/>
    <w:rsid w:val="008D63BD"/>
    <w:rsid w:val="008E65BA"/>
    <w:rsid w:val="00902253"/>
    <w:rsid w:val="00925627"/>
    <w:rsid w:val="00925DE6"/>
    <w:rsid w:val="00930513"/>
    <w:rsid w:val="00930609"/>
    <w:rsid w:val="0093101F"/>
    <w:rsid w:val="00933CE7"/>
    <w:rsid w:val="0097156E"/>
    <w:rsid w:val="009C0967"/>
    <w:rsid w:val="009D0DC3"/>
    <w:rsid w:val="00A04471"/>
    <w:rsid w:val="00A76BE4"/>
    <w:rsid w:val="00A9055C"/>
    <w:rsid w:val="00AA436F"/>
    <w:rsid w:val="00AA7F1B"/>
    <w:rsid w:val="00AB7F92"/>
    <w:rsid w:val="00AC39EE"/>
    <w:rsid w:val="00AD4F36"/>
    <w:rsid w:val="00AE4A6E"/>
    <w:rsid w:val="00AF2A1A"/>
    <w:rsid w:val="00B31B4F"/>
    <w:rsid w:val="00B41D84"/>
    <w:rsid w:val="00BA0C7B"/>
    <w:rsid w:val="00BB3AD3"/>
    <w:rsid w:val="00BC4591"/>
    <w:rsid w:val="00BE7F06"/>
    <w:rsid w:val="00C72A86"/>
    <w:rsid w:val="00CC5B9E"/>
    <w:rsid w:val="00CC7208"/>
    <w:rsid w:val="00CE6184"/>
    <w:rsid w:val="00D228F7"/>
    <w:rsid w:val="00D23BF4"/>
    <w:rsid w:val="00D34E1C"/>
    <w:rsid w:val="00D36835"/>
    <w:rsid w:val="00D36E51"/>
    <w:rsid w:val="00D747E2"/>
    <w:rsid w:val="00D95965"/>
    <w:rsid w:val="00D970D4"/>
    <w:rsid w:val="00DA5F71"/>
    <w:rsid w:val="00DB0DCA"/>
    <w:rsid w:val="00DD55EB"/>
    <w:rsid w:val="00DF14DE"/>
    <w:rsid w:val="00E2659D"/>
    <w:rsid w:val="00E8126C"/>
    <w:rsid w:val="00E95D4C"/>
    <w:rsid w:val="00EB4D72"/>
    <w:rsid w:val="00EC0F12"/>
    <w:rsid w:val="00ED59FA"/>
    <w:rsid w:val="00F077A9"/>
    <w:rsid w:val="00F07C1D"/>
    <w:rsid w:val="00F57A64"/>
    <w:rsid w:val="00F653CE"/>
    <w:rsid w:val="00F75050"/>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909D22C-5E0F-4B35-99AE-32251AEA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Latin) Ca...,Footnote Reference/,Footnote symbol,Ref,de nota al pie,Footnote,Style 12,(NECG) Footnote Reference,FR,Style 13,Style 124,o,fr,Style 3,Voetnootverwijzing,Times 10 Point"/>
    <w:basedOn w:val="DefaultParagraphFont"/>
    <w:rPr>
      <w:position w:val="6"/>
      <w:sz w:val="18"/>
    </w:rPr>
  </w:style>
  <w:style w:type="paragraph" w:styleId="FootnoteText">
    <w:name w:val="footnote text"/>
    <w:aliases w:val="ACMA Footnote Text,ALTS FOOTNOTE,Footnote Text ... + (Latin) +B...,Footnote Text Char1,Footnote Text Char Char1,Footnote Text Char4 Char Char,Footnote Text Char1 Char1 Char1 Char,Footnote Text Char Char1 Char1 Char Char,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A7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4D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GB" w:eastAsia="zh-CN"/>
    </w:rPr>
  </w:style>
  <w:style w:type="character" w:customStyle="1" w:styleId="FootnoteTextChar">
    <w:name w:val="Footnote Text Char"/>
    <w:aliases w:val="ACMA Footnote Text Char,ALTS FOOTNOTE Char,Footnote Text ... + (Latin) +B... Char,Footnote Text Char1 Char,Footnote Text Char Char1 Char,Footnote Text Char4 Char Char Char,Footnote Text Char1 Char1 Char1 Char Char,DNV- Char"/>
    <w:basedOn w:val="DefaultParagraphFont"/>
    <w:link w:val="FootnoteText"/>
    <w:rsid w:val="00D970D4"/>
    <w:rPr>
      <w:rFonts w:ascii="Times New Roman" w:hAnsi="Times New Roman"/>
      <w:sz w:val="24"/>
      <w:lang w:val="fr-FR" w:eastAsia="en-US"/>
    </w:rPr>
  </w:style>
  <w:style w:type="table" w:customStyle="1" w:styleId="GridTable4-Accent11">
    <w:name w:val="Grid Table 4 - Accent 11"/>
    <w:basedOn w:val="TableNormal"/>
    <w:uiPriority w:val="49"/>
    <w:rsid w:val="00D970D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D970D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D970D4"/>
    <w:rPr>
      <w:rFonts w:ascii="Times New Roman" w:hAnsi="Times New Roman"/>
      <w:sz w:val="22"/>
      <w:lang w:val="fr-FR" w:eastAsia="en-US"/>
    </w:rPr>
  </w:style>
  <w:style w:type="paragraph" w:customStyle="1" w:styleId="Reasons">
    <w:name w:val="Reasons"/>
    <w:basedOn w:val="Normal"/>
    <w:qFormat/>
    <w:rsid w:val="007F761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package" Target="embeddings/Microsoft_PowerPoint_Slide1.sl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9.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18</TotalTime>
  <Pages>13</Pages>
  <Words>2880</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RAPPORT À LA VINGT-SIXIÈME RÉUNION DU GROUPE CONSULTATIF DES RADIOCOMMUNICATIONS</vt:lpstr>
    </vt:vector>
  </TitlesOfParts>
  <Manager>General Secretariat - Pool</Manager>
  <Company>International Telecommunication Union (ITU)</Company>
  <LinksUpToDate>false</LinksUpToDate>
  <CharactersWithSpaces>19797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VINGT-SIXIÈME RÉUNION DU GROUPE CONSULTATIF DES RADIOCOMMUNICATIONS</dc:title>
  <dc:subject>GROUPE CONSULTATIF DES RADIOCOMMUNICATIONS</dc:subject>
  <dc:creator>Directeur du Bureau des radiocommunications</dc:creator>
  <cp:keywords>RAG03-1</cp:keywords>
  <dc:description>Révision 1 du Document RAG19/1(Add.2)-F  For: _x000d_Document date: 27 mars 2019_x000d_Saved by ITU51013035 at 09:50:34 on 01.04.2019</dc:description>
  <cp:lastModifiedBy>Royer, Veronique</cp:lastModifiedBy>
  <cp:revision>9</cp:revision>
  <cp:lastPrinted>2019-03-25T10:41:00Z</cp:lastPrinted>
  <dcterms:created xsi:type="dcterms:W3CDTF">2019-04-01T07:38:00Z</dcterms:created>
  <dcterms:modified xsi:type="dcterms:W3CDTF">2019-04-01T08:55:00Z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Révision 1 du Document RAG19/1(Add.2)-F</vt:lpwstr>
  </property>
  <property fmtid="{D5CDD505-2E9C-101B-9397-08002B2CF9AE}" pid="3" name="Docdate">
    <vt:lpwstr>27 mars 2019</vt:lpwstr>
  </property>
  <property fmtid="{D5CDD505-2E9C-101B-9397-08002B2CF9AE}" pid="4" name="Docorlang">
    <vt:lpwstr>Original: anglais</vt:lpwstr>
  </property>
  <property fmtid="{D5CDD505-2E9C-101B-9397-08002B2CF9AE}" pid="5" name="Docauthor">
    <vt:lpwstr>Directeur du Bureau des radiocommunications</vt:lpwstr>
  </property>
</Properties>
</file>