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9257C7" w:rsidTr="00410361">
        <w:trPr>
          <w:cantSplit/>
        </w:trPr>
        <w:tc>
          <w:tcPr>
            <w:tcW w:w="6772" w:type="dxa"/>
            <w:vAlign w:val="center"/>
          </w:tcPr>
          <w:p w:rsidR="0057336B" w:rsidRPr="009257C7" w:rsidRDefault="0057336B" w:rsidP="00F77D5F">
            <w:pPr>
              <w:shd w:val="solid" w:color="FFFFFF" w:fill="FFFFFF"/>
              <w:tabs>
                <w:tab w:val="left" w:pos="568"/>
              </w:tabs>
              <w:spacing w:before="360" w:after="240"/>
              <w:rPr>
                <w:b/>
                <w:caps/>
                <w:sz w:val="32"/>
              </w:rPr>
            </w:pPr>
            <w:r w:rsidRPr="009257C7">
              <w:rPr>
                <w:rFonts w:ascii="Verdana" w:hAnsi="Verdana" w:cs="Times New Roman Bold"/>
                <w:b/>
                <w:sz w:val="26"/>
                <w:szCs w:val="26"/>
              </w:rPr>
              <w:t>Grupo Asesor de Radiocomunicaciones</w:t>
            </w:r>
            <w:r w:rsidRPr="009257C7">
              <w:rPr>
                <w:b/>
                <w:caps/>
                <w:sz w:val="32"/>
              </w:rPr>
              <w:br/>
            </w:r>
            <w:r w:rsidRPr="009257C7">
              <w:rPr>
                <w:rFonts w:ascii="Verdana" w:hAnsi="Verdana" w:cs="Times New Roman Bold"/>
                <w:b/>
                <w:bCs/>
                <w:sz w:val="20"/>
              </w:rPr>
              <w:t xml:space="preserve">Ginebra, </w:t>
            </w:r>
            <w:r w:rsidR="00F77D5F" w:rsidRPr="009257C7">
              <w:rPr>
                <w:rFonts w:ascii="Verdana" w:hAnsi="Verdana" w:cs="Times New Roman Bold"/>
                <w:b/>
                <w:bCs/>
                <w:sz w:val="20"/>
              </w:rPr>
              <w:t>15</w:t>
            </w:r>
            <w:r w:rsidRPr="009257C7">
              <w:rPr>
                <w:rFonts w:ascii="Verdana" w:hAnsi="Verdana" w:cs="Times New Roman Bold"/>
                <w:b/>
                <w:bCs/>
                <w:sz w:val="20"/>
              </w:rPr>
              <w:t>-</w:t>
            </w:r>
            <w:r w:rsidR="00F77D5F" w:rsidRPr="009257C7">
              <w:rPr>
                <w:rFonts w:ascii="Verdana" w:hAnsi="Verdana" w:cs="Times New Roman Bold"/>
                <w:b/>
                <w:bCs/>
                <w:sz w:val="20"/>
              </w:rPr>
              <w:t>17</w:t>
            </w:r>
            <w:r w:rsidRPr="009257C7">
              <w:rPr>
                <w:rFonts w:ascii="Verdana" w:hAnsi="Verdana" w:cs="Times New Roman Bold"/>
                <w:b/>
                <w:bCs/>
                <w:sz w:val="20"/>
              </w:rPr>
              <w:t xml:space="preserve"> de </w:t>
            </w:r>
            <w:r w:rsidR="00F77D5F" w:rsidRPr="009257C7">
              <w:rPr>
                <w:rFonts w:ascii="Verdana" w:hAnsi="Verdana" w:cs="Times New Roman Bold"/>
                <w:b/>
                <w:bCs/>
                <w:sz w:val="20"/>
              </w:rPr>
              <w:t>abril</w:t>
            </w:r>
            <w:r w:rsidRPr="009257C7">
              <w:rPr>
                <w:rFonts w:ascii="Verdana" w:hAnsi="Verdana" w:cs="Times New Roman Bold"/>
                <w:b/>
                <w:bCs/>
                <w:sz w:val="20"/>
              </w:rPr>
              <w:t xml:space="preserve"> de 201</w:t>
            </w:r>
            <w:r w:rsidR="00F77D5F" w:rsidRPr="009257C7">
              <w:rPr>
                <w:rFonts w:ascii="Verdana" w:hAnsi="Verdana" w:cs="Times New Roman Bold"/>
                <w:b/>
                <w:bCs/>
                <w:sz w:val="20"/>
              </w:rPr>
              <w:t>9</w:t>
            </w:r>
          </w:p>
        </w:tc>
        <w:tc>
          <w:tcPr>
            <w:tcW w:w="3117" w:type="dxa"/>
            <w:vAlign w:val="center"/>
          </w:tcPr>
          <w:p w:rsidR="0057336B" w:rsidRPr="009257C7" w:rsidRDefault="0057336B" w:rsidP="008F0106">
            <w:pPr>
              <w:shd w:val="solid" w:color="FFFFFF" w:fill="FFFFFF"/>
              <w:spacing w:before="0"/>
              <w:jc w:val="right"/>
            </w:pPr>
            <w:r w:rsidRPr="009257C7">
              <w:rPr>
                <w:rFonts w:cstheme="minorHAnsi"/>
                <w:b/>
                <w:bCs/>
                <w:szCs w:val="24"/>
                <w:lang w:eastAsia="zh-CN"/>
              </w:rPr>
              <w:drawing>
                <wp:inline distT="0" distB="0" distL="0" distR="0" wp14:anchorId="7320830C" wp14:editId="41505B7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9257C7" w:rsidTr="00410361">
        <w:trPr>
          <w:cantSplit/>
        </w:trPr>
        <w:tc>
          <w:tcPr>
            <w:tcW w:w="6772" w:type="dxa"/>
            <w:tcBorders>
              <w:bottom w:val="single" w:sz="12" w:space="0" w:color="auto"/>
            </w:tcBorders>
          </w:tcPr>
          <w:p w:rsidR="006E291F" w:rsidRPr="009257C7"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rsidR="006E291F" w:rsidRPr="009257C7" w:rsidRDefault="006E291F" w:rsidP="00CB7A43">
            <w:pPr>
              <w:shd w:val="solid" w:color="FFFFFF" w:fill="FFFFFF"/>
              <w:spacing w:before="0" w:after="48" w:line="240" w:lineRule="atLeast"/>
              <w:rPr>
                <w:sz w:val="22"/>
                <w:szCs w:val="22"/>
              </w:rPr>
            </w:pPr>
          </w:p>
        </w:tc>
      </w:tr>
      <w:tr w:rsidR="006E291F" w:rsidRPr="009257C7" w:rsidTr="00410361">
        <w:trPr>
          <w:cantSplit/>
        </w:trPr>
        <w:tc>
          <w:tcPr>
            <w:tcW w:w="6772" w:type="dxa"/>
            <w:tcBorders>
              <w:top w:val="single" w:sz="12" w:space="0" w:color="auto"/>
            </w:tcBorders>
          </w:tcPr>
          <w:p w:rsidR="006E291F" w:rsidRPr="009257C7"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rsidR="006E291F" w:rsidRPr="009257C7" w:rsidRDefault="006E291F" w:rsidP="00CB7A43">
            <w:pPr>
              <w:shd w:val="solid" w:color="FFFFFF" w:fill="FFFFFF"/>
              <w:spacing w:before="0" w:after="48" w:line="240" w:lineRule="atLeast"/>
              <w:rPr>
                <w:rFonts w:ascii="Verdana" w:hAnsi="Verdana"/>
                <w:sz w:val="22"/>
                <w:szCs w:val="22"/>
              </w:rPr>
            </w:pPr>
          </w:p>
        </w:tc>
      </w:tr>
      <w:tr w:rsidR="006E291F" w:rsidRPr="009257C7" w:rsidTr="00410361">
        <w:trPr>
          <w:cantSplit/>
        </w:trPr>
        <w:tc>
          <w:tcPr>
            <w:tcW w:w="6772" w:type="dxa"/>
            <w:vMerge w:val="restart"/>
          </w:tcPr>
          <w:p w:rsidR="006E291F" w:rsidRPr="009257C7" w:rsidRDefault="006E291F" w:rsidP="00CB7A43">
            <w:pPr>
              <w:shd w:val="solid" w:color="FFFFFF" w:fill="FFFFFF"/>
              <w:spacing w:after="240"/>
              <w:rPr>
                <w:sz w:val="20"/>
              </w:rPr>
            </w:pPr>
            <w:bookmarkStart w:id="0" w:name="dnum" w:colFirst="1" w:colLast="1"/>
          </w:p>
        </w:tc>
        <w:tc>
          <w:tcPr>
            <w:tcW w:w="3117" w:type="dxa"/>
          </w:tcPr>
          <w:p w:rsidR="006E291F" w:rsidRPr="009257C7" w:rsidRDefault="004961CD" w:rsidP="004961CD">
            <w:pPr>
              <w:shd w:val="solid" w:color="FFFFFF" w:fill="FFFFFF"/>
              <w:spacing w:before="0" w:line="240" w:lineRule="atLeast"/>
              <w:rPr>
                <w:rFonts w:ascii="Verdana" w:hAnsi="Verdana"/>
                <w:sz w:val="20"/>
              </w:rPr>
            </w:pPr>
            <w:r w:rsidRPr="009257C7">
              <w:rPr>
                <w:rFonts w:ascii="Verdana" w:hAnsi="Verdana"/>
                <w:b/>
                <w:sz w:val="20"/>
              </w:rPr>
              <w:t>Documento RAG19/1-S</w:t>
            </w:r>
          </w:p>
        </w:tc>
      </w:tr>
      <w:tr w:rsidR="006E291F" w:rsidRPr="009257C7" w:rsidTr="00410361">
        <w:trPr>
          <w:cantSplit/>
        </w:trPr>
        <w:tc>
          <w:tcPr>
            <w:tcW w:w="6772" w:type="dxa"/>
            <w:vMerge/>
          </w:tcPr>
          <w:p w:rsidR="006E291F" w:rsidRPr="009257C7" w:rsidRDefault="006E291F" w:rsidP="00CB7A43">
            <w:pPr>
              <w:spacing w:before="60"/>
              <w:jc w:val="center"/>
              <w:rPr>
                <w:b/>
                <w:smallCaps/>
                <w:sz w:val="32"/>
              </w:rPr>
            </w:pPr>
            <w:bookmarkStart w:id="1" w:name="ddate" w:colFirst="1" w:colLast="1"/>
            <w:bookmarkEnd w:id="0"/>
          </w:p>
        </w:tc>
        <w:tc>
          <w:tcPr>
            <w:tcW w:w="3117" w:type="dxa"/>
          </w:tcPr>
          <w:p w:rsidR="006E291F" w:rsidRPr="009257C7" w:rsidRDefault="004961CD" w:rsidP="004961CD">
            <w:pPr>
              <w:shd w:val="solid" w:color="FFFFFF" w:fill="FFFFFF"/>
              <w:spacing w:before="0" w:line="240" w:lineRule="atLeast"/>
              <w:rPr>
                <w:rFonts w:ascii="Verdana" w:hAnsi="Verdana"/>
                <w:sz w:val="20"/>
              </w:rPr>
            </w:pPr>
            <w:r w:rsidRPr="009257C7">
              <w:rPr>
                <w:rFonts w:ascii="Verdana" w:hAnsi="Verdana"/>
                <w:b/>
                <w:sz w:val="20"/>
              </w:rPr>
              <w:t>11 de marzo de 2019</w:t>
            </w:r>
          </w:p>
        </w:tc>
      </w:tr>
      <w:tr w:rsidR="006E291F" w:rsidRPr="009257C7" w:rsidTr="00410361">
        <w:trPr>
          <w:cantSplit/>
        </w:trPr>
        <w:tc>
          <w:tcPr>
            <w:tcW w:w="6772" w:type="dxa"/>
            <w:vMerge/>
          </w:tcPr>
          <w:p w:rsidR="006E291F" w:rsidRPr="009257C7" w:rsidRDefault="006E291F" w:rsidP="00CB7A43">
            <w:pPr>
              <w:spacing w:before="60"/>
              <w:jc w:val="center"/>
              <w:rPr>
                <w:b/>
                <w:smallCaps/>
                <w:sz w:val="32"/>
              </w:rPr>
            </w:pPr>
            <w:bookmarkStart w:id="2" w:name="dorlang" w:colFirst="1" w:colLast="1"/>
            <w:bookmarkEnd w:id="1"/>
          </w:p>
        </w:tc>
        <w:tc>
          <w:tcPr>
            <w:tcW w:w="3117" w:type="dxa"/>
          </w:tcPr>
          <w:p w:rsidR="006E291F" w:rsidRPr="009257C7" w:rsidRDefault="004961CD" w:rsidP="004961CD">
            <w:pPr>
              <w:shd w:val="solid" w:color="FFFFFF" w:fill="FFFFFF"/>
              <w:spacing w:before="0" w:after="120" w:line="240" w:lineRule="atLeast"/>
              <w:rPr>
                <w:rFonts w:ascii="Verdana" w:hAnsi="Verdana"/>
                <w:sz w:val="20"/>
              </w:rPr>
            </w:pPr>
            <w:r w:rsidRPr="009257C7">
              <w:rPr>
                <w:rFonts w:ascii="Verdana" w:hAnsi="Verdana"/>
                <w:b/>
                <w:sz w:val="20"/>
              </w:rPr>
              <w:t>Original: inglés</w:t>
            </w:r>
          </w:p>
        </w:tc>
      </w:tr>
      <w:tr w:rsidR="006E291F" w:rsidRPr="009257C7" w:rsidTr="008F0106">
        <w:trPr>
          <w:cantSplit/>
        </w:trPr>
        <w:tc>
          <w:tcPr>
            <w:tcW w:w="9889" w:type="dxa"/>
            <w:gridSpan w:val="2"/>
          </w:tcPr>
          <w:p w:rsidR="006E291F" w:rsidRPr="009257C7" w:rsidRDefault="00E93BE5" w:rsidP="00CB7A43">
            <w:pPr>
              <w:pStyle w:val="Source"/>
            </w:pPr>
            <w:bookmarkStart w:id="3" w:name="dsource" w:colFirst="0" w:colLast="0"/>
            <w:bookmarkEnd w:id="2"/>
            <w:r w:rsidRPr="009257C7">
              <w:t>Director de la Oficina de Radiocomunicaciones</w:t>
            </w:r>
          </w:p>
        </w:tc>
      </w:tr>
      <w:tr w:rsidR="006E291F" w:rsidRPr="009257C7" w:rsidTr="008F0106">
        <w:trPr>
          <w:cantSplit/>
        </w:trPr>
        <w:tc>
          <w:tcPr>
            <w:tcW w:w="9889" w:type="dxa"/>
            <w:gridSpan w:val="2"/>
          </w:tcPr>
          <w:p w:rsidR="006E291F" w:rsidRPr="009257C7" w:rsidRDefault="00E93BE5" w:rsidP="00D430E1">
            <w:pPr>
              <w:pStyle w:val="Title1"/>
            </w:pPr>
            <w:bookmarkStart w:id="4" w:name="dtitle1" w:colFirst="0" w:colLast="0"/>
            <w:bookmarkEnd w:id="3"/>
            <w:r w:rsidRPr="009257C7">
              <w:t xml:space="preserve">INFORME A LA VIGÉSIMA </w:t>
            </w:r>
            <w:r w:rsidR="00D430E1" w:rsidRPr="009257C7">
              <w:t>SEXTA</w:t>
            </w:r>
            <w:r w:rsidRPr="009257C7">
              <w:t xml:space="preserve"> REUNIÓN DEL </w:t>
            </w:r>
            <w:r w:rsidRPr="009257C7">
              <w:br/>
              <w:t>GRUPO ASESOR DE RADIOCOMUNICACIONES</w:t>
            </w:r>
          </w:p>
        </w:tc>
      </w:tr>
    </w:tbl>
    <w:p w:rsidR="00E7660B" w:rsidRPr="009257C7" w:rsidRDefault="00E7660B" w:rsidP="007F0CB8">
      <w:pPr>
        <w:pStyle w:val="Heading1"/>
      </w:pPr>
      <w:bookmarkStart w:id="5" w:name="_Toc446060751"/>
      <w:bookmarkEnd w:id="4"/>
      <w:r w:rsidRPr="009257C7">
        <w:t>1</w:t>
      </w:r>
      <w:r w:rsidRPr="009257C7">
        <w:tab/>
      </w:r>
      <w:bookmarkEnd w:id="5"/>
      <w:r w:rsidRPr="009257C7">
        <w:t>Introducción</w:t>
      </w:r>
    </w:p>
    <w:p w:rsidR="00E7660B" w:rsidRPr="009257C7" w:rsidRDefault="00E7660B" w:rsidP="00ED60FD">
      <w:bookmarkStart w:id="6" w:name="_Toc446060752"/>
      <w:r w:rsidRPr="009257C7">
        <w:t xml:space="preserve">En el presente documento se informa de la situación y antecedentes de algunos temas que figuran en el orden del día provisional de la </w:t>
      </w:r>
      <w:r w:rsidR="00E93BE5" w:rsidRPr="009257C7">
        <w:t>26</w:t>
      </w:r>
      <w:r w:rsidR="00D430E1" w:rsidRPr="009257C7">
        <w:t>ª</w:t>
      </w:r>
      <w:r w:rsidRPr="009257C7">
        <w:t xml:space="preserve"> reunión del GAR (véase</w:t>
      </w:r>
      <w:r w:rsidR="00ED60FD" w:rsidRPr="009257C7">
        <w:t xml:space="preserve"> la Circular administrativa </w:t>
      </w:r>
      <w:r w:rsidRPr="009257C7">
        <w:t xml:space="preserve">CA/236 del </w:t>
      </w:r>
      <w:r w:rsidRPr="009257C7">
        <w:rPr>
          <w:cs/>
        </w:rPr>
        <w:t>‎</w:t>
      </w:r>
      <w:r w:rsidR="00ED60FD" w:rsidRPr="009257C7">
        <w:t>30 de octubre de 2017</w:t>
      </w:r>
      <w:r w:rsidRPr="009257C7">
        <w:rPr>
          <w:cs/>
        </w:rPr>
        <w:t>‎</w:t>
      </w:r>
      <w:r w:rsidRPr="009257C7">
        <w:t>) con el fin de ayudar a los participantes en la reunión a examinar los correspondientes puntos del orden del día.</w:t>
      </w:r>
    </w:p>
    <w:p w:rsidR="00E7660B" w:rsidRPr="009257C7" w:rsidRDefault="00E7660B" w:rsidP="00E7660B">
      <w:r w:rsidRPr="009257C7">
        <w:t>Se presentarán informes separados para ciertos puntos del orden del día.</w:t>
      </w:r>
    </w:p>
    <w:p w:rsidR="00E93BE5" w:rsidRPr="009257C7" w:rsidRDefault="00E7660B">
      <w:pPr>
        <w:pStyle w:val="Heading1"/>
      </w:pPr>
      <w:r w:rsidRPr="009257C7">
        <w:t>2</w:t>
      </w:r>
      <w:r w:rsidRPr="009257C7">
        <w:tab/>
      </w:r>
      <w:bookmarkEnd w:id="6"/>
      <w:r w:rsidR="00D430E1" w:rsidRPr="009257C7">
        <w:t>Resultados de la PP</w:t>
      </w:r>
      <w:r w:rsidR="00F30A8A" w:rsidRPr="009257C7">
        <w:t>-18</w:t>
      </w:r>
    </w:p>
    <w:p w:rsidR="008D1EA0" w:rsidRPr="009257C7" w:rsidRDefault="008D1EA0" w:rsidP="00381F7C">
      <w:pPr>
        <w:rPr>
          <w:shd w:val="clear" w:color="auto" w:fill="FFFFFF"/>
        </w:rPr>
      </w:pPr>
      <w:r w:rsidRPr="009257C7">
        <w:rPr>
          <w:shd w:val="clear" w:color="auto" w:fill="FFFFFF"/>
        </w:rPr>
        <w:t xml:space="preserve">La PP-18 </w:t>
      </w:r>
      <w:r w:rsidRPr="009257C7">
        <w:t>eligió</w:t>
      </w:r>
      <w:r w:rsidRPr="009257C7">
        <w:rPr>
          <w:shd w:val="clear" w:color="auto" w:fill="FFFFFF"/>
        </w:rPr>
        <w:t xml:space="preserve"> al Equipo Directivo de la UIT, a los Estados Miembros del </w:t>
      </w:r>
      <w:hyperlink r:id="rId9" w:history="1">
        <w:r w:rsidRPr="00E37186">
          <w:rPr>
            <w:rStyle w:val="Hyperlink"/>
            <w:shd w:val="clear" w:color="auto" w:fill="FFFFFF"/>
          </w:rPr>
          <w:t>Conse</w:t>
        </w:r>
        <w:r w:rsidRPr="00E37186">
          <w:rPr>
            <w:rStyle w:val="Hyperlink"/>
            <w:shd w:val="clear" w:color="auto" w:fill="FFFFFF"/>
          </w:rPr>
          <w:t>j</w:t>
        </w:r>
        <w:r w:rsidRPr="00E37186">
          <w:rPr>
            <w:rStyle w:val="Hyperlink"/>
            <w:shd w:val="clear" w:color="auto" w:fill="FFFFFF"/>
          </w:rPr>
          <w:t>o</w:t>
        </w:r>
      </w:hyperlink>
      <w:r w:rsidRPr="009257C7">
        <w:rPr>
          <w:shd w:val="clear" w:color="auto" w:fill="FFFFFF"/>
        </w:rPr>
        <w:t xml:space="preserve"> y a los doce miembros de la </w:t>
      </w:r>
      <w:hyperlink r:id="rId10" w:history="1">
        <w:r w:rsidRPr="00E37186">
          <w:rPr>
            <w:rStyle w:val="Hyperlink"/>
            <w:shd w:val="clear" w:color="auto" w:fill="FFFFFF"/>
          </w:rPr>
          <w:t>Junta del Reg</w:t>
        </w:r>
        <w:r w:rsidRPr="00E37186">
          <w:rPr>
            <w:rStyle w:val="Hyperlink"/>
            <w:shd w:val="clear" w:color="auto" w:fill="FFFFFF"/>
          </w:rPr>
          <w:t>l</w:t>
        </w:r>
        <w:r w:rsidRPr="00E37186">
          <w:rPr>
            <w:rStyle w:val="Hyperlink"/>
            <w:shd w:val="clear" w:color="auto" w:fill="FFFFFF"/>
          </w:rPr>
          <w:t>amento de Ra</w:t>
        </w:r>
        <w:r w:rsidRPr="00E37186">
          <w:rPr>
            <w:rStyle w:val="Hyperlink"/>
            <w:shd w:val="clear" w:color="auto" w:fill="FFFFFF"/>
          </w:rPr>
          <w:t>d</w:t>
        </w:r>
        <w:r w:rsidRPr="00E37186">
          <w:rPr>
            <w:rStyle w:val="Hyperlink"/>
            <w:shd w:val="clear" w:color="auto" w:fill="FFFFFF"/>
          </w:rPr>
          <w:t>iocomunicaciones</w:t>
        </w:r>
      </w:hyperlink>
      <w:r w:rsidRPr="009257C7">
        <w:rPr>
          <w:shd w:val="clear" w:color="auto" w:fill="FFFFFF"/>
        </w:rPr>
        <w:t>.</w:t>
      </w:r>
    </w:p>
    <w:p w:rsidR="008D1EA0" w:rsidRPr="009257C7" w:rsidRDefault="008D1EA0" w:rsidP="00381F7C">
      <w:r w:rsidRPr="009257C7">
        <w:t xml:space="preserve">También estableció las políticas de la Unión en diversos ámbitos, incluidos los </w:t>
      </w:r>
      <w:r w:rsidR="00381F7C" w:rsidRPr="009257C7">
        <w:t xml:space="preserve">Planes Estratégico </w:t>
      </w:r>
      <w:r w:rsidRPr="009257C7">
        <w:t xml:space="preserve">y </w:t>
      </w:r>
      <w:r w:rsidR="00381F7C" w:rsidRPr="009257C7">
        <w:t xml:space="preserve">Financiero </w:t>
      </w:r>
      <w:r w:rsidRPr="009257C7">
        <w:t xml:space="preserve">de la Unión, mediante </w:t>
      </w:r>
      <w:r w:rsidR="00381F7C" w:rsidRPr="009257C7">
        <w:t xml:space="preserve">Resoluciones </w:t>
      </w:r>
      <w:r w:rsidRPr="009257C7">
        <w:t xml:space="preserve">y </w:t>
      </w:r>
      <w:r w:rsidR="00381F7C" w:rsidRPr="009257C7">
        <w:t xml:space="preserve">Decisiones </w:t>
      </w:r>
      <w:r w:rsidRPr="009257C7">
        <w:t>nuevas y la revisión de las existentes.</w:t>
      </w:r>
    </w:p>
    <w:p w:rsidR="00E93BE5" w:rsidRPr="009257C7" w:rsidRDefault="008D1EA0" w:rsidP="00A024A8">
      <w:r w:rsidRPr="009257C7">
        <w:t>La Conferencia de Plenipotenciarios ha aprobado una serie de nuevas Resoluciones y ha revisado algunas Resoluciones relacionadas con el Sector de Radiocomunicaciones:</w:t>
      </w:r>
    </w:p>
    <w:p w:rsidR="00E93BE5" w:rsidRPr="009257C7" w:rsidRDefault="00080BEB" w:rsidP="00A024A8">
      <w:pPr>
        <w:pStyle w:val="enumlev1"/>
      </w:pPr>
      <w:bookmarkStart w:id="7" w:name="lt_pId019"/>
      <w:r w:rsidRPr="009257C7">
        <w:t>–</w:t>
      </w:r>
      <w:r w:rsidRPr="009257C7">
        <w:tab/>
        <w:t>Resolución</w:t>
      </w:r>
      <w:r w:rsidR="00E93BE5" w:rsidRPr="009257C7">
        <w:t xml:space="preserve"> 136</w:t>
      </w:r>
      <w:r w:rsidR="00BC431D" w:rsidRPr="009257C7">
        <w:t xml:space="preserve"> </w:t>
      </w:r>
      <w:r w:rsidR="00A024A8" w:rsidRPr="009257C7">
        <w:t xml:space="preserve">(Rev. Dubái, 2018) </w:t>
      </w:r>
      <w:r w:rsidR="00BC431D" w:rsidRPr="009257C7">
        <w:t xml:space="preserve">sobre la </w:t>
      </w:r>
      <w:r w:rsidR="008D1EA0" w:rsidRPr="009257C7">
        <w:t>u</w:t>
      </w:r>
      <w:r w:rsidRPr="009257C7">
        <w:t>tilización de las</w:t>
      </w:r>
      <w:r w:rsidR="00F34745" w:rsidRPr="009257C7">
        <w:t xml:space="preserve"> </w:t>
      </w:r>
      <w:r w:rsidRPr="009257C7">
        <w:t>tecnologías de la información y la comunicación</w:t>
      </w:r>
      <w:r w:rsidR="00E93BE5" w:rsidRPr="009257C7">
        <w:t xml:space="preserve"> </w:t>
      </w:r>
      <w:r w:rsidR="00F921DD" w:rsidRPr="009257C7">
        <w:t>en</w:t>
      </w:r>
      <w:r w:rsidR="00E93BE5" w:rsidRPr="009257C7">
        <w:t xml:space="preserve"> </w:t>
      </w:r>
      <w:r w:rsidRPr="009257C7">
        <w:t>situaciones de emergencia y catástrofes</w:t>
      </w:r>
      <w:bookmarkEnd w:id="7"/>
      <w:r w:rsidR="00A024A8" w:rsidRPr="009257C7">
        <w:t>.</w:t>
      </w:r>
    </w:p>
    <w:p w:rsidR="00E93BE5" w:rsidRPr="009257C7" w:rsidRDefault="00080BEB">
      <w:pPr>
        <w:pStyle w:val="enumlev1"/>
      </w:pPr>
      <w:r w:rsidRPr="009257C7">
        <w:t>–</w:t>
      </w:r>
      <w:r w:rsidRPr="009257C7">
        <w:tab/>
      </w:r>
      <w:bookmarkStart w:id="8" w:name="lt_pId020"/>
      <w:r w:rsidR="00E93BE5" w:rsidRPr="009257C7">
        <w:t>Resolu</w:t>
      </w:r>
      <w:r w:rsidRPr="009257C7">
        <w:t>ció</w:t>
      </w:r>
      <w:r w:rsidR="00E93BE5" w:rsidRPr="009257C7">
        <w:t>n 137</w:t>
      </w:r>
      <w:r w:rsidR="00F921DD" w:rsidRPr="009257C7">
        <w:t xml:space="preserve"> </w:t>
      </w:r>
      <w:r w:rsidR="006D23A9" w:rsidRPr="009257C7">
        <w:t xml:space="preserve">(Rev. Dubái, 2018) </w:t>
      </w:r>
      <w:r w:rsidR="00F921DD" w:rsidRPr="009257C7">
        <w:t>sobre la i</w:t>
      </w:r>
      <w:r w:rsidRPr="009257C7">
        <w:t>nstalación de redes futuras en los países en desarrollo</w:t>
      </w:r>
      <w:r w:rsidR="00E93BE5" w:rsidRPr="009257C7">
        <w:t xml:space="preserve">, </w:t>
      </w:r>
      <w:r w:rsidR="00F921DD" w:rsidRPr="009257C7">
        <w:t>incluidas las redes IMT-2020 (5G)</w:t>
      </w:r>
      <w:r w:rsidR="00E93BE5" w:rsidRPr="009257C7">
        <w:t>.</w:t>
      </w:r>
      <w:bookmarkEnd w:id="8"/>
    </w:p>
    <w:p w:rsidR="00E93BE5" w:rsidRPr="009257C7" w:rsidRDefault="008E6D1F" w:rsidP="00F921DD">
      <w:pPr>
        <w:pStyle w:val="enumlev1"/>
      </w:pPr>
      <w:r w:rsidRPr="009257C7">
        <w:t>–</w:t>
      </w:r>
      <w:r w:rsidRPr="009257C7">
        <w:tab/>
      </w:r>
      <w:bookmarkStart w:id="9" w:name="lt_pId021"/>
      <w:r w:rsidR="00E93BE5" w:rsidRPr="009257C7">
        <w:t>Resolu</w:t>
      </w:r>
      <w:r w:rsidR="004101C8" w:rsidRPr="009257C7">
        <w:t>ció</w:t>
      </w:r>
      <w:r w:rsidR="00E93BE5" w:rsidRPr="009257C7">
        <w:t>n 139</w:t>
      </w:r>
      <w:r w:rsidR="00F921DD" w:rsidRPr="009257C7">
        <w:t xml:space="preserve"> </w:t>
      </w:r>
      <w:r w:rsidR="00B10798" w:rsidRPr="009257C7">
        <w:t xml:space="preserve">(Rev. Dubái, 2018) </w:t>
      </w:r>
      <w:r w:rsidR="00F921DD" w:rsidRPr="009257C7">
        <w:t xml:space="preserve">sobre </w:t>
      </w:r>
      <w:r w:rsidR="004101C8" w:rsidRPr="009257C7">
        <w:t>la brecha digital</w:t>
      </w:r>
      <w:bookmarkEnd w:id="9"/>
      <w:r w:rsidR="00B10798" w:rsidRPr="009257C7">
        <w:t>.</w:t>
      </w:r>
    </w:p>
    <w:p w:rsidR="00E93BE5" w:rsidRPr="009257C7" w:rsidRDefault="008E6D1F" w:rsidP="00326F1E">
      <w:pPr>
        <w:pStyle w:val="enumlev1"/>
      </w:pPr>
      <w:r w:rsidRPr="009257C7">
        <w:t>–</w:t>
      </w:r>
      <w:r w:rsidRPr="009257C7">
        <w:tab/>
      </w:r>
      <w:bookmarkStart w:id="10" w:name="lt_pId022"/>
      <w:r w:rsidR="00E93BE5" w:rsidRPr="009257C7">
        <w:t>Resolu</w:t>
      </w:r>
      <w:r w:rsidR="004101C8" w:rsidRPr="009257C7">
        <w:t>ció</w:t>
      </w:r>
      <w:r w:rsidR="00E93BE5" w:rsidRPr="009257C7">
        <w:t>n 176</w:t>
      </w:r>
      <w:r w:rsidR="00F921DD" w:rsidRPr="009257C7">
        <w:t xml:space="preserve"> </w:t>
      </w:r>
      <w:r w:rsidR="00326F1E" w:rsidRPr="009257C7">
        <w:t xml:space="preserve">(Rev. Dubái, 2018) </w:t>
      </w:r>
      <w:r w:rsidR="00F921DD" w:rsidRPr="009257C7">
        <w:t>sobre</w:t>
      </w:r>
      <w:r w:rsidR="00E93BE5" w:rsidRPr="009257C7">
        <w:t xml:space="preserve"> </w:t>
      </w:r>
      <w:r w:rsidR="004101C8" w:rsidRPr="009257C7">
        <w:rPr>
          <w:lang w:eastAsia="es-ES"/>
        </w:rPr>
        <w:t>la exposición de las personas a los campos electromagnéticos</w:t>
      </w:r>
      <w:r w:rsidR="00E93BE5" w:rsidRPr="009257C7">
        <w:t>,</w:t>
      </w:r>
      <w:r w:rsidR="00F34745" w:rsidRPr="009257C7">
        <w:t xml:space="preserve"> que</w:t>
      </w:r>
      <w:r w:rsidR="00E93BE5" w:rsidRPr="009257C7">
        <w:rPr>
          <w:rFonts w:ascii="Calibri" w:hAnsi="Calibri" w:cs="Calibri"/>
          <w:b/>
          <w:color w:val="800000"/>
          <w:sz w:val="22"/>
        </w:rPr>
        <w:t xml:space="preserve"> </w:t>
      </w:r>
      <w:r w:rsidR="004101C8" w:rsidRPr="009257C7">
        <w:rPr>
          <w:lang w:eastAsia="es-ES"/>
        </w:rPr>
        <w:t>encarga a los Directores de las tres Oficinas</w:t>
      </w:r>
      <w:r w:rsidR="004101C8" w:rsidRPr="009257C7">
        <w:t xml:space="preserve"> </w:t>
      </w:r>
      <w:r w:rsidR="004101C8" w:rsidRPr="009257C7">
        <w:rPr>
          <w:lang w:eastAsia="es-ES"/>
        </w:rPr>
        <w:t xml:space="preserve">que compilen y </w:t>
      </w:r>
      <w:r w:rsidR="004101C8" w:rsidRPr="009257C7">
        <w:t>divulguen información sobre la exposición a los CEM</w:t>
      </w:r>
      <w:bookmarkEnd w:id="10"/>
      <w:r w:rsidR="00326F1E" w:rsidRPr="009257C7">
        <w:t>.</w:t>
      </w:r>
    </w:p>
    <w:p w:rsidR="00E93BE5" w:rsidRPr="009257C7" w:rsidRDefault="008E6D1F" w:rsidP="00650704">
      <w:pPr>
        <w:pStyle w:val="enumlev1"/>
      </w:pPr>
      <w:r w:rsidRPr="009257C7">
        <w:t>–</w:t>
      </w:r>
      <w:r w:rsidRPr="009257C7">
        <w:tab/>
      </w:r>
      <w:bookmarkStart w:id="11" w:name="lt_pId023"/>
      <w:r w:rsidR="00E93BE5" w:rsidRPr="009257C7">
        <w:t>Resolu</w:t>
      </w:r>
      <w:r w:rsidR="004101C8" w:rsidRPr="009257C7">
        <w:t>ció</w:t>
      </w:r>
      <w:r w:rsidR="00E93BE5" w:rsidRPr="009257C7">
        <w:t>n 186</w:t>
      </w:r>
      <w:r w:rsidR="00481141" w:rsidRPr="009257C7">
        <w:t xml:space="preserve"> </w:t>
      </w:r>
      <w:r w:rsidR="00326F1E" w:rsidRPr="009257C7">
        <w:t xml:space="preserve">(Rev. Dubái, 2018) </w:t>
      </w:r>
      <w:r w:rsidR="00481141" w:rsidRPr="009257C7">
        <w:t>sobre</w:t>
      </w:r>
      <w:r w:rsidR="004101C8" w:rsidRPr="009257C7">
        <w:t xml:space="preserve"> las actividades relativas al espacio ultraterrestre</w:t>
      </w:r>
      <w:r w:rsidR="00E93BE5" w:rsidRPr="009257C7">
        <w:t>,</w:t>
      </w:r>
      <w:r w:rsidR="00650704" w:rsidRPr="009257C7">
        <w:t xml:space="preserve"> </w:t>
      </w:r>
      <w:r w:rsidR="00481141" w:rsidRPr="009257C7">
        <w:t xml:space="preserve">promueve </w:t>
      </w:r>
      <w:r w:rsidR="004101C8" w:rsidRPr="009257C7">
        <w:t>la divulgación de información, la capacitación y el intercambio de prácticas idóneas en materia de utilización y desarrollo</w:t>
      </w:r>
      <w:r w:rsidR="00481141" w:rsidRPr="009257C7">
        <w:t xml:space="preserve"> de sistema de satélites</w:t>
      </w:r>
      <w:bookmarkEnd w:id="11"/>
      <w:r w:rsidR="00326F1E" w:rsidRPr="009257C7">
        <w:t>.</w:t>
      </w:r>
    </w:p>
    <w:p w:rsidR="00E93BE5" w:rsidRPr="009257C7" w:rsidRDefault="008E6D1F" w:rsidP="00A4304C">
      <w:pPr>
        <w:pStyle w:val="enumlev1"/>
      </w:pPr>
      <w:r w:rsidRPr="009257C7">
        <w:t>–</w:t>
      </w:r>
      <w:r w:rsidRPr="009257C7">
        <w:tab/>
      </w:r>
      <w:bookmarkStart w:id="12" w:name="lt_pId024"/>
      <w:r w:rsidR="00E93BE5" w:rsidRPr="009257C7">
        <w:t>Resolu</w:t>
      </w:r>
      <w:r w:rsidR="004101C8" w:rsidRPr="009257C7">
        <w:t>ció</w:t>
      </w:r>
      <w:r w:rsidR="00E93BE5" w:rsidRPr="009257C7">
        <w:t>n 197</w:t>
      </w:r>
      <w:r w:rsidR="00481141" w:rsidRPr="009257C7">
        <w:t xml:space="preserve"> </w:t>
      </w:r>
      <w:r w:rsidR="005C75CD" w:rsidRPr="009257C7">
        <w:t xml:space="preserve">(Rev. Dubái, 2018) </w:t>
      </w:r>
      <w:r w:rsidR="00481141" w:rsidRPr="009257C7">
        <w:t>sobre</w:t>
      </w:r>
      <w:r w:rsidR="00650704" w:rsidRPr="009257C7">
        <w:t xml:space="preserve"> </w:t>
      </w:r>
      <w:r w:rsidR="004101C8" w:rsidRPr="009257C7">
        <w:t>la Internet de las cosas</w:t>
      </w:r>
      <w:r w:rsidR="00E93BE5" w:rsidRPr="009257C7">
        <w:t xml:space="preserve">, </w:t>
      </w:r>
      <w:r w:rsidR="00397CC5" w:rsidRPr="009257C7">
        <w:t xml:space="preserve">que </w:t>
      </w:r>
      <w:r w:rsidR="004101C8" w:rsidRPr="009257C7">
        <w:t xml:space="preserve">fomenta la inversión en la IoT y su desarrollo </w:t>
      </w:r>
      <w:r w:rsidR="004547E7" w:rsidRPr="009257C7">
        <w:t>y las ciudades y comunidades inteligentes y sostenibles</w:t>
      </w:r>
      <w:bookmarkEnd w:id="12"/>
      <w:r w:rsidR="005C75CD" w:rsidRPr="009257C7">
        <w:t>.</w:t>
      </w:r>
    </w:p>
    <w:p w:rsidR="00E93BE5" w:rsidRPr="009257C7" w:rsidRDefault="008E6D1F" w:rsidP="00397CC5">
      <w:pPr>
        <w:pStyle w:val="enumlev1"/>
      </w:pPr>
      <w:r w:rsidRPr="009257C7">
        <w:t>–</w:t>
      </w:r>
      <w:r w:rsidRPr="009257C7">
        <w:tab/>
      </w:r>
      <w:bookmarkStart w:id="13" w:name="lt_pId025"/>
      <w:r w:rsidR="00E93BE5" w:rsidRPr="009257C7">
        <w:t>Resolu</w:t>
      </w:r>
      <w:r w:rsidR="004101C8" w:rsidRPr="009257C7">
        <w:t>ció</w:t>
      </w:r>
      <w:r w:rsidR="00E93BE5" w:rsidRPr="009257C7">
        <w:t>n 203</w:t>
      </w:r>
      <w:r w:rsidR="00481141" w:rsidRPr="009257C7">
        <w:t xml:space="preserve"> </w:t>
      </w:r>
      <w:r w:rsidR="00C93F83" w:rsidRPr="009257C7">
        <w:t xml:space="preserve">(Rev. Dubái, 2018) </w:t>
      </w:r>
      <w:r w:rsidR="00481141" w:rsidRPr="009257C7">
        <w:t>sobre la c</w:t>
      </w:r>
      <w:bookmarkStart w:id="14" w:name="_Toc406754337"/>
      <w:r w:rsidR="004101C8" w:rsidRPr="009257C7">
        <w:t>onectividad a redes de banda ancha</w:t>
      </w:r>
      <w:bookmarkEnd w:id="14"/>
      <w:r w:rsidR="004101C8" w:rsidRPr="009257C7">
        <w:t xml:space="preserve"> </w:t>
      </w:r>
      <w:r w:rsidR="00481141" w:rsidRPr="009257C7">
        <w:t>aborda la necesidad</w:t>
      </w:r>
      <w:r w:rsidR="00650704" w:rsidRPr="009257C7">
        <w:t xml:space="preserve"> </w:t>
      </w:r>
      <w:r w:rsidR="0048573C" w:rsidRPr="009257C7">
        <w:t>de mejorar las redes de banda ancha, incluidas redes inalámbricas de banda ancha</w:t>
      </w:r>
      <w:bookmarkEnd w:id="13"/>
      <w:r w:rsidR="00C93F83" w:rsidRPr="009257C7">
        <w:t>.</w:t>
      </w:r>
    </w:p>
    <w:p w:rsidR="00E93BE5" w:rsidRPr="009257C7" w:rsidRDefault="008E6D1F" w:rsidP="00650704">
      <w:pPr>
        <w:pStyle w:val="enumlev1"/>
      </w:pPr>
      <w:r w:rsidRPr="009257C7">
        <w:lastRenderedPageBreak/>
        <w:t>–</w:t>
      </w:r>
      <w:r w:rsidRPr="009257C7">
        <w:tab/>
      </w:r>
      <w:r w:rsidR="00E93BE5" w:rsidRPr="009257C7">
        <w:t>Resolu</w:t>
      </w:r>
      <w:r w:rsidR="004D3B66" w:rsidRPr="009257C7">
        <w:t>ción sobre la innovación</w:t>
      </w:r>
      <w:r w:rsidR="00397CC5" w:rsidRPr="009257C7">
        <w:t>,</w:t>
      </w:r>
      <w:r w:rsidR="004D3B66" w:rsidRPr="009257C7">
        <w:t xml:space="preserve"> que promueve </w:t>
      </w:r>
      <w:r w:rsidR="0048573C" w:rsidRPr="009257C7">
        <w:t>un entorno propicio para la innovación centrada en las telecomunicaciones/TIC impulsada por las pequeñas y medianas empresas (PYME)</w:t>
      </w:r>
      <w:r w:rsidR="00E93BE5" w:rsidRPr="009257C7">
        <w:t xml:space="preserve">, </w:t>
      </w:r>
      <w:r w:rsidR="0048573C" w:rsidRPr="009257C7">
        <w:t>las empresas emergentes, viveros de empresas y los jóvenes empresarios</w:t>
      </w:r>
      <w:r w:rsidR="004D3B66" w:rsidRPr="009257C7">
        <w:t xml:space="preserve"> y fomenta</w:t>
      </w:r>
      <w:r w:rsidR="0048573C" w:rsidRPr="009257C7">
        <w:t xml:space="preserve"> la participación de las PYME en las Comisiones de Estudio y en las actividades pertinentes de la UIT</w:t>
      </w:r>
      <w:r w:rsidR="00C93F83" w:rsidRPr="009257C7">
        <w:t>.</w:t>
      </w:r>
    </w:p>
    <w:p w:rsidR="00E7660B" w:rsidRPr="009257C7" w:rsidRDefault="00E93BE5" w:rsidP="00E7660B">
      <w:pPr>
        <w:pStyle w:val="Heading1"/>
      </w:pPr>
      <w:r w:rsidRPr="009257C7">
        <w:t>3</w:t>
      </w:r>
      <w:r w:rsidRPr="009257C7">
        <w:tab/>
      </w:r>
      <w:r w:rsidR="00E7660B" w:rsidRPr="009257C7">
        <w:t>Asuntos relativos al Consejo</w:t>
      </w:r>
    </w:p>
    <w:p w:rsidR="00E7660B" w:rsidRPr="009257C7" w:rsidRDefault="00E7660B">
      <w:r w:rsidRPr="009257C7">
        <w:t xml:space="preserve">En este punto se abordan los asuntos examinados por el Consejo en su reunión de </w:t>
      </w:r>
      <w:r w:rsidR="00E93BE5" w:rsidRPr="009257C7">
        <w:t>2018</w:t>
      </w:r>
      <w:r w:rsidRPr="009257C7">
        <w:t xml:space="preserve"> (véase: </w:t>
      </w:r>
      <w:hyperlink r:id="rId11" w:history="1">
        <w:r w:rsidR="00E93BE5" w:rsidRPr="009257C7">
          <w:rPr>
            <w:rStyle w:val="Hyperlink"/>
          </w:rPr>
          <w:t>https://www.itu.int/es/council/2018/Pages/default.aspx</w:t>
        </w:r>
      </w:hyperlink>
      <w:r w:rsidRPr="009257C7">
        <w:t>).</w:t>
      </w:r>
    </w:p>
    <w:p w:rsidR="00E7660B" w:rsidRPr="009257C7" w:rsidRDefault="00E93BE5" w:rsidP="00E7660B">
      <w:pPr>
        <w:pStyle w:val="Heading2"/>
      </w:pPr>
      <w:bookmarkStart w:id="15" w:name="_Toc446060753"/>
      <w:r w:rsidRPr="009257C7">
        <w:t>3</w:t>
      </w:r>
      <w:r w:rsidR="00E7660B" w:rsidRPr="009257C7">
        <w:t>.1</w:t>
      </w:r>
      <w:r w:rsidR="00E7660B" w:rsidRPr="009257C7">
        <w:tab/>
      </w:r>
      <w:bookmarkEnd w:id="15"/>
      <w:r w:rsidR="00E7660B" w:rsidRPr="009257C7">
        <w:t>Acceso gratuito en línea a las publicaciones del UIT-R</w:t>
      </w:r>
    </w:p>
    <w:p w:rsidR="00E7660B" w:rsidRPr="009257C7" w:rsidRDefault="00E7660B" w:rsidP="00E7660B">
      <w:bookmarkStart w:id="16" w:name="_Toc446060754"/>
      <w:r w:rsidRPr="009257C7">
        <w:t>Gracias a la política de acceso gratuito en línea prosigue la difusión de las normas de la UIT a un público más amplio, especialmente en los países en desarrollo con limitaciones financieras y técnicas. Esta ampliación del acceso gratuito en línea contribuye a dar mejor a conocer la misión y el mandato de la UIT y a reforzar su papel de autoridad mundial en materia de telecomunicaciones.</w:t>
      </w:r>
    </w:p>
    <w:p w:rsidR="00E7660B" w:rsidRPr="009257C7" w:rsidRDefault="00E7660B" w:rsidP="00AE7DA3">
      <w:r w:rsidRPr="009257C7">
        <w:t>Mediante su Decisión 12 (Guadalajara, 2010), la PP-10 adoptó una política de acceso gratuito en línea a Recomendaciones e Informes del UIT-R, entre otros documentos. Esta política fue ampliada por el Consejo en su reunión de 2012 en virtud de su Acuerdo 571, revisado en 2013 y 2014, y confirmado por la revisión de la Decisión 12 que hizo la PP-14 y que proporciona al público en general y con carácter permanente acceso gratuito en línea a las Recomendaciones e Informes del UIT-R, el UIT-T y el UIT-D, a los Manuales UIT-R sobre gestión del espectro de radiofrecuencias; las publicaciones de la UIT relativas a la utilización de las telecomunicaciones/TIC para la preparación ante catástrofes, la alerta temprana, las operaciones de salvamento, mitigación, socorro y respuesta en caso de catástrofe, el Reglamento de las Telecomunicaciones Internacionales, el Reglamento de Radiocomunicaciones, las Reglas de Procedimiento, los textos fundamentales de la Unión (Constitución, Convenio, Reglamento General de las conferencias, asambleas y otras reuniones de la Unión, Decisiones, Resoluciones y Recomendaciones), las Actas Finales de las Conferencias de Plenipotenciarios, los Informes Finales de las CMDT, las Resoluciones y Acuerdos del Consejo de la UIT, las Actas Finales de las Conferencias Mundiales y Regionales de Radiocomunicaciones, así como las Actas Finales de las Conferencias Mundiales de Telecomunicaciones Internacionales.</w:t>
      </w:r>
    </w:p>
    <w:p w:rsidR="00E7660B" w:rsidRPr="009257C7" w:rsidRDefault="00E7660B" w:rsidP="00AE7DA3">
      <w:r w:rsidRPr="009257C7">
        <w:t>Además, en respuesta a solicitudes de los Estados Miembros, en particular de países en desarrollo, en enero de 2017 el Director de la BR la política de acceso gratuito a todos los Manuales del UIT-R</w:t>
      </w:r>
      <w:r w:rsidR="00AE7DA3" w:rsidRPr="009257C7">
        <w:t xml:space="preserve">. </w:t>
      </w:r>
      <w:r w:rsidRPr="009257C7">
        <w:t xml:space="preserve">La incidencia de estas decisiones se pone claramente de relieve en el gran número de publicaciones que se han descargado, como se indica en el </w:t>
      </w:r>
      <w:r w:rsidR="00AE7DA3" w:rsidRPr="009257C7">
        <w:t xml:space="preserve">§ </w:t>
      </w:r>
      <w:r w:rsidR="00E93BE5" w:rsidRPr="009257C7">
        <w:t>9</w:t>
      </w:r>
      <w:r w:rsidRPr="009257C7">
        <w:t>.1.4.</w:t>
      </w:r>
    </w:p>
    <w:p w:rsidR="00E7660B" w:rsidRPr="009257C7" w:rsidRDefault="00E93BE5" w:rsidP="00E7660B">
      <w:pPr>
        <w:pStyle w:val="Heading2"/>
      </w:pPr>
      <w:r w:rsidRPr="009257C7">
        <w:t>3</w:t>
      </w:r>
      <w:r w:rsidR="00E7660B" w:rsidRPr="009257C7">
        <w:t>.2</w:t>
      </w:r>
      <w:r w:rsidR="00E7660B" w:rsidRPr="009257C7">
        <w:tab/>
      </w:r>
      <w:bookmarkEnd w:id="16"/>
      <w:r w:rsidR="00E7660B" w:rsidRPr="009257C7">
        <w:t>Recuperación de costes aplicable a las notificaciones de redes de satélites</w:t>
      </w:r>
    </w:p>
    <w:p w:rsidR="00E93BE5" w:rsidRPr="009257C7" w:rsidRDefault="004D3B66" w:rsidP="00393056">
      <w:pPr>
        <w:tabs>
          <w:tab w:val="left" w:pos="7797"/>
        </w:tabs>
        <w:spacing w:after="120"/>
      </w:pPr>
      <w:bookmarkStart w:id="17" w:name="lt_pId017"/>
      <w:r w:rsidRPr="009257C7">
        <w:t>Se informó al Consejo de 2018 que</w:t>
      </w:r>
      <w:r w:rsidR="00650704" w:rsidRPr="009257C7">
        <w:t xml:space="preserve"> </w:t>
      </w:r>
      <w:r w:rsidR="00E93BE5" w:rsidRPr="009257C7">
        <w:t xml:space="preserve">la implementación del Acuerdo 482 por parte de la Oficina de Radiocomunicaciones no planteó ninguna dificultad administrativa u operacional, ya fuera internamente o con las </w:t>
      </w:r>
      <w:r w:rsidR="00393056" w:rsidRPr="009257C7">
        <w:t xml:space="preserve">administraciones </w:t>
      </w:r>
      <w:r w:rsidR="00E93BE5" w:rsidRPr="009257C7">
        <w:t>notificantes de las redes de satélites.</w:t>
      </w:r>
    </w:p>
    <w:p w:rsidR="00222AA0" w:rsidRPr="009257C7" w:rsidRDefault="00222AA0" w:rsidP="00393056">
      <w:r w:rsidRPr="009257C7">
        <w:t>En su reunión de 2018, el Consejo</w:t>
      </w:r>
      <w:r w:rsidR="004D3B66" w:rsidRPr="009257C7">
        <w:t xml:space="preserve"> también</w:t>
      </w:r>
      <w:r w:rsidRPr="009257C7">
        <w:t xml:space="preserve"> examinó las conclusiones principales del estudio realizado por la Oficina de Radiocomunicaciones sobre los problemas técnicos relacionados con la tramitación de notificaciones de sistemas de satélites no geoestacionarios (no OSG) complejas, así como de análisis de los problemas técnicos y reglamentarios relacionados con la propuesta de dividir las notificaciones no OSG que contuvieran órbitas de satélites no homogéneas. Se propusieron tres procedimientos, que no eran mutuamente exclusivos, para mejorar el sistema de recuperación de costes de tramitación de sistemas de satélites no OSG:</w:t>
      </w:r>
    </w:p>
    <w:p w:rsidR="00222AA0" w:rsidRPr="009257C7" w:rsidRDefault="00222AA0" w:rsidP="00A9368D">
      <w:pPr>
        <w:pStyle w:val="enumlev1"/>
      </w:pPr>
      <w:r w:rsidRPr="009257C7">
        <w:lastRenderedPageBreak/>
        <w:t>•</w:t>
      </w:r>
      <w:r w:rsidRPr="009257C7">
        <w:tab/>
        <w:t>Procedimiento A: Calcular por separado las tasas correspondientes a las configuraciones mutuamente exclusivas y sumarlas.</w:t>
      </w:r>
    </w:p>
    <w:p w:rsidR="00222AA0" w:rsidRPr="009257C7" w:rsidRDefault="00222AA0" w:rsidP="00A9368D">
      <w:pPr>
        <w:pStyle w:val="enumlev1"/>
        <w:rPr>
          <w:szCs w:val="24"/>
        </w:rPr>
      </w:pPr>
      <w:r w:rsidRPr="009257C7">
        <w:t>•</w:t>
      </w:r>
      <w:r w:rsidRPr="009257C7">
        <w:tab/>
      </w:r>
      <w:r w:rsidRPr="009257C7">
        <w:rPr>
          <w:szCs w:val="24"/>
        </w:rPr>
        <w:t>Procedimiento B: Limitar la tasa uniforme a un número máximo de unidades.</w:t>
      </w:r>
    </w:p>
    <w:p w:rsidR="00222AA0" w:rsidRPr="009257C7" w:rsidRDefault="00222AA0" w:rsidP="00A9368D">
      <w:pPr>
        <w:pStyle w:val="enumlev1"/>
        <w:rPr>
          <w:szCs w:val="24"/>
        </w:rPr>
      </w:pPr>
      <w:r w:rsidRPr="009257C7">
        <w:t>•</w:t>
      </w:r>
      <w:r w:rsidRPr="009257C7">
        <w:tab/>
      </w:r>
      <w:r w:rsidRPr="009257C7">
        <w:rPr>
          <w:szCs w:val="24"/>
        </w:rPr>
        <w:t>Procedimiento C: Introducir una tasa adicional para los casos sujetos a los límites de dfpe del Artículo 22.</w:t>
      </w:r>
    </w:p>
    <w:p w:rsidR="00222AA0" w:rsidRPr="009257C7" w:rsidRDefault="00222AA0" w:rsidP="00A9368D">
      <w:r w:rsidRPr="009257C7">
        <w:t>Las observaciones formuladas por la Junta del Reglamento de Radiocomunicaciones y los Grupos de Trabajo del UIT-R sobre estos tres procedimientos se remitieron al Consejo en un addéndum al documento de la Junta.</w:t>
      </w:r>
    </w:p>
    <w:p w:rsidR="00222AA0" w:rsidRPr="009257C7" w:rsidRDefault="00222AA0" w:rsidP="00A9368D">
      <w:r w:rsidRPr="009257C7">
        <w:t xml:space="preserve">Una vez examinados este y otros documentos, el Consejo adoptó una modificación del Acuerdo 482, en virtud de la cual se decidía aplicar el Procedimiento A (esta versión revisada del Acuerdo </w:t>
      </w:r>
      <w:r w:rsidR="00193A35" w:rsidRPr="009257C7">
        <w:t>entró</w:t>
      </w:r>
      <w:r w:rsidR="00650704" w:rsidRPr="009257C7">
        <w:t xml:space="preserve"> </w:t>
      </w:r>
      <w:r w:rsidRPr="009257C7">
        <w:t xml:space="preserve">en vigor el 1 de julio de 2018, véase el </w:t>
      </w:r>
      <w:hyperlink r:id="rId12" w:history="1">
        <w:r w:rsidRPr="009257C7">
          <w:rPr>
            <w:rStyle w:val="Hyperlink"/>
          </w:rPr>
          <w:t>Documento C18/114</w:t>
        </w:r>
      </w:hyperlink>
      <w:r w:rsidRPr="009257C7">
        <w:t>) y crear un Grupo de Expertos del Consejo sobre el Acuerdo 482. El mandato de dicho Grupo se articula en torno a tres objetivos:</w:t>
      </w:r>
    </w:p>
    <w:p w:rsidR="00222AA0" w:rsidRPr="009257C7" w:rsidRDefault="00222AA0" w:rsidP="00A9368D">
      <w:pPr>
        <w:pStyle w:val="enumlev1"/>
      </w:pPr>
      <w:r w:rsidRPr="009257C7">
        <w:t>1)</w:t>
      </w:r>
      <w:r w:rsidRPr="009257C7">
        <w:tab/>
        <w:t>seguir examinando los Procedimientos B y C descritos en el Documento C18/36, teniendo en cuenta las consideraciones contenidas en los Documentos C18/36 (Addéndum 1), C18/75, C18/83 y C18/90 y las contribuciones que se presenten en sus reuniones;</w:t>
      </w:r>
    </w:p>
    <w:p w:rsidR="00222AA0" w:rsidRPr="009257C7" w:rsidRDefault="00A51EC7" w:rsidP="00A9368D">
      <w:pPr>
        <w:pStyle w:val="enumlev1"/>
      </w:pPr>
      <w:r w:rsidRPr="009257C7">
        <w:t>2)</w:t>
      </w:r>
      <w:r w:rsidR="00222AA0" w:rsidRPr="009257C7">
        <w:tab/>
        <w:t>al examinar el Procedimiento B, concentrarse en los casos de notificaciones de satélites no OSG complejas y preparar un informe con recomendaciones sobre la posible revisión del Acuerdo 482 en relación con las notificaciones de satélites no OSG complejas para su transmisión a la reunión de 2019 del Consejo de la UIT para acción; y</w:t>
      </w:r>
    </w:p>
    <w:p w:rsidR="00222AA0" w:rsidRPr="009257C7" w:rsidRDefault="00A51EC7" w:rsidP="00A9368D">
      <w:pPr>
        <w:pStyle w:val="enumlev1"/>
      </w:pPr>
      <w:r w:rsidRPr="009257C7">
        <w:t>3)</w:t>
      </w:r>
      <w:r w:rsidR="00222AA0" w:rsidRPr="009257C7">
        <w:tab/>
        <w:t>una vez concluidos los estudios de la notificaciones de sistemas de satélites no OSG complejas y a reserva de que la Oficina suministre información a este Grupo de Expertos del Consejo que justifique la necesidad de tomar medidas, examinar si el enfoque del Procedimiento B también debe aplicarse a los casos de notificaciones de satélites OSG excepcionalmente complejas (es decir, notificaciones que requieren una cantidad muy considerable de tiempo y recursos adicionales para su tramitación). Los resultados de los estudios sobre estas notificaciones OSG deben presentarse en un informe distinto a la reunión de 2019 del Consejo de la UIT, para que éste tome las medidas que estime oportunas.</w:t>
      </w:r>
    </w:p>
    <w:p w:rsidR="004D3B66" w:rsidRPr="009257C7" w:rsidRDefault="005B07D7" w:rsidP="00A9368D">
      <w:pPr>
        <w:tabs>
          <w:tab w:val="clear" w:pos="794"/>
          <w:tab w:val="clear" w:pos="1191"/>
          <w:tab w:val="clear" w:pos="1588"/>
          <w:tab w:val="clear" w:pos="1985"/>
          <w:tab w:val="left" w:pos="0"/>
          <w:tab w:val="left" w:pos="2835"/>
        </w:tabs>
      </w:pPr>
      <w:r w:rsidRPr="009257C7">
        <w:t>Este G</w:t>
      </w:r>
      <w:r w:rsidR="004D3B66" w:rsidRPr="009257C7">
        <w:t xml:space="preserve">rupo, presidido por el Sr. Nikolay </w:t>
      </w:r>
      <w:r w:rsidR="0020534C" w:rsidRPr="009257C7">
        <w:t xml:space="preserve">Varlamov </w:t>
      </w:r>
      <w:r w:rsidR="004D3B66" w:rsidRPr="009257C7">
        <w:t xml:space="preserve">(Federación de Rusia), </w:t>
      </w:r>
      <w:r w:rsidRPr="009257C7">
        <w:t xml:space="preserve">se reunió en dos ocasiones, a saber, los días </w:t>
      </w:r>
      <w:r w:rsidR="004D3B66" w:rsidRPr="009257C7">
        <w:t>27</w:t>
      </w:r>
      <w:r w:rsidRPr="009257C7">
        <w:t xml:space="preserve"> y </w:t>
      </w:r>
      <w:r w:rsidR="004D3B66" w:rsidRPr="009257C7">
        <w:t xml:space="preserve">28 de septiembre de 2018 y </w:t>
      </w:r>
      <w:r w:rsidR="008162EA" w:rsidRPr="009257C7">
        <w:t xml:space="preserve">del </w:t>
      </w:r>
      <w:r w:rsidR="004D3B66" w:rsidRPr="009257C7">
        <w:t>28 de febrero</w:t>
      </w:r>
      <w:r w:rsidR="008162EA" w:rsidRPr="009257C7">
        <w:t xml:space="preserve"> al </w:t>
      </w:r>
      <w:r w:rsidR="004D3B66" w:rsidRPr="009257C7">
        <w:t>1 de marzo de 2019 en la Sede de la UIT en Ginebra. E</w:t>
      </w:r>
      <w:r w:rsidRPr="009257C7">
        <w:t xml:space="preserve">n esas </w:t>
      </w:r>
      <w:r w:rsidR="004D3B66" w:rsidRPr="009257C7">
        <w:t xml:space="preserve">reuniones </w:t>
      </w:r>
      <w:r w:rsidR="008162EA" w:rsidRPr="009257C7">
        <w:t>el G</w:t>
      </w:r>
      <w:r w:rsidRPr="009257C7">
        <w:t xml:space="preserve">rupo examinó más detalladamente </w:t>
      </w:r>
      <w:r w:rsidR="004D3B66" w:rsidRPr="009257C7">
        <w:t xml:space="preserve">los Procedimientos B y C. El Grupo de Expertos está preparando un proyecto de informe </w:t>
      </w:r>
      <w:r w:rsidRPr="009257C7">
        <w:t>para el</w:t>
      </w:r>
      <w:r w:rsidR="004D3B66" w:rsidRPr="009257C7">
        <w:t xml:space="preserve"> Consejo en el que form</w:t>
      </w:r>
      <w:r w:rsidR="00B71AAD" w:rsidRPr="009257C7">
        <w:t>u</w:t>
      </w:r>
      <w:r w:rsidR="004D3B66" w:rsidRPr="009257C7">
        <w:t xml:space="preserve">la recomendaciones </w:t>
      </w:r>
      <w:r w:rsidRPr="009257C7">
        <w:t>a ese órgano en relación con</w:t>
      </w:r>
      <w:r w:rsidR="00B71AAD" w:rsidRPr="009257C7">
        <w:t xml:space="preserve"> es</w:t>
      </w:r>
      <w:r w:rsidR="004D3B66" w:rsidRPr="009257C7">
        <w:t xml:space="preserve">os dos procedimientos. También se </w:t>
      </w:r>
      <w:r w:rsidR="00B71AAD" w:rsidRPr="009257C7">
        <w:t xml:space="preserve">examinó la </w:t>
      </w:r>
      <w:r w:rsidR="004D3B66" w:rsidRPr="009257C7">
        <w:t>información sobre las notificaciones de satélites OSG</w:t>
      </w:r>
      <w:r w:rsidR="00B71AAD" w:rsidRPr="009257C7">
        <w:t xml:space="preserve"> excepcionalmente complejas</w:t>
      </w:r>
      <w:r w:rsidR="0020534C" w:rsidRPr="009257C7">
        <w:t>.</w:t>
      </w:r>
    </w:p>
    <w:p w:rsidR="00A51EC7" w:rsidRPr="009257C7" w:rsidRDefault="004D3B66" w:rsidP="00A9368D">
      <w:pPr>
        <w:tabs>
          <w:tab w:val="clear" w:pos="794"/>
          <w:tab w:val="clear" w:pos="1191"/>
          <w:tab w:val="clear" w:pos="1588"/>
          <w:tab w:val="clear" w:pos="1985"/>
          <w:tab w:val="left" w:pos="0"/>
          <w:tab w:val="left" w:pos="2835"/>
        </w:tabs>
      </w:pPr>
      <w:r w:rsidRPr="009257C7">
        <w:t xml:space="preserve">Todos los documentos relacionados con este Grupo de Expertos del Consejo están disponibles en la siguiente página web: </w:t>
      </w:r>
      <w:hyperlink r:id="rId13" w:history="1">
        <w:r w:rsidRPr="009257C7">
          <w:rPr>
            <w:rStyle w:val="Hyperlink"/>
          </w:rPr>
          <w:t>https://www.itu.int/en/council/Pages/eg-d482.aspx</w:t>
        </w:r>
      </w:hyperlink>
      <w:r w:rsidRPr="009257C7">
        <w:t xml:space="preserve">. La próxima reunión del Grupo de Expertos del Consejo sobre </w:t>
      </w:r>
      <w:r w:rsidR="008162EA" w:rsidRPr="009257C7">
        <w:t>el Acuerdo</w:t>
      </w:r>
      <w:r w:rsidRPr="009257C7">
        <w:t xml:space="preserve"> 482 del Consejo tendrá lugar los días 6 y 7 de junio de 2019</w:t>
      </w:r>
      <w:r w:rsidR="00B71AAD" w:rsidRPr="009257C7">
        <w:t>.</w:t>
      </w:r>
    </w:p>
    <w:p w:rsidR="00A51EC7" w:rsidRPr="009257C7" w:rsidRDefault="00A51EC7" w:rsidP="00A9368D">
      <w:pPr>
        <w:pStyle w:val="Heading2"/>
      </w:pPr>
      <w:r w:rsidRPr="009257C7">
        <w:t>3.3</w:t>
      </w:r>
      <w:r w:rsidRPr="009257C7">
        <w:tab/>
        <w:t xml:space="preserve">Tramitación de notificaciones de </w:t>
      </w:r>
      <w:r w:rsidR="00010CFB" w:rsidRPr="009257C7">
        <w:t xml:space="preserve">redes de </w:t>
      </w:r>
      <w:r w:rsidRPr="009257C7">
        <w:t>satélites</w:t>
      </w:r>
    </w:p>
    <w:p w:rsidR="00A51EC7" w:rsidRPr="009257C7" w:rsidRDefault="00B71AAD" w:rsidP="00A9368D">
      <w:r w:rsidRPr="009257C7">
        <w:t>Desde la última reunión del Grupo Asesor de Radiocomunicaciones, se ha reducido el tiempo de tramitación de las notificaciones de satélite</w:t>
      </w:r>
      <w:r w:rsidR="00665251" w:rsidRPr="009257C7">
        <w:t>s</w:t>
      </w:r>
      <w:r w:rsidRPr="009257C7">
        <w:t xml:space="preserve"> para cumplir los plazos reglamentarios establecidos en el Reglamento de Radiocomunicaciones y en los </w:t>
      </w:r>
      <w:r w:rsidR="00665251" w:rsidRPr="009257C7">
        <w:t>Indicadores Fundamentales de Rendimiento del Plan Operacional</w:t>
      </w:r>
      <w:r w:rsidRPr="009257C7">
        <w:t xml:space="preserve">. El tiempo de tramitación de las </w:t>
      </w:r>
      <w:r w:rsidR="00665251" w:rsidRPr="009257C7">
        <w:t xml:space="preserve">notificaciones de las </w:t>
      </w:r>
      <w:r w:rsidRPr="009257C7">
        <w:t xml:space="preserve">redes de satélite con arreglo a los Artículos 6 y 7 del Apéndice 30B del Reglamento de Radiocomunicaciones sigue estando </w:t>
      </w:r>
      <w:r w:rsidRPr="009257C7">
        <w:lastRenderedPageBreak/>
        <w:t>ligeramente por encima del objetivo de seis meses</w:t>
      </w:r>
      <w:r w:rsidR="008162EA" w:rsidRPr="009257C7">
        <w:t>, aunque sigue disminuyendo</w:t>
      </w:r>
      <w:r w:rsidRPr="009257C7">
        <w:t>. La evolución de los tiempos de tramitación de las notificaciones de satélite</w:t>
      </w:r>
      <w:r w:rsidR="00665251" w:rsidRPr="009257C7">
        <w:t>s</w:t>
      </w:r>
      <w:r w:rsidRPr="009257C7">
        <w:t xml:space="preserve"> se comunica a cada reunión de la Junta del Reglamento de Radiocomunicaciones y se actualiza también mensualmente en la siguiente página web: </w:t>
      </w:r>
      <w:hyperlink r:id="rId14" w:history="1">
        <w:r w:rsidRPr="009257C7">
          <w:rPr>
            <w:rStyle w:val="Hyperlink"/>
          </w:rPr>
          <w:t>https://www.itu.int/en/ITU-R/space/Pages/Statistics.aspx</w:t>
        </w:r>
      </w:hyperlink>
      <w:r w:rsidR="00A51EC7" w:rsidRPr="009257C7">
        <w:t>.</w:t>
      </w:r>
    </w:p>
    <w:p w:rsidR="00E7660B" w:rsidRPr="009257C7" w:rsidRDefault="00A148C0" w:rsidP="00CD6272">
      <w:pPr>
        <w:pStyle w:val="Heading2"/>
      </w:pPr>
      <w:bookmarkStart w:id="18" w:name="_Toc446060755"/>
      <w:bookmarkEnd w:id="17"/>
      <w:r w:rsidRPr="009257C7">
        <w:t>3</w:t>
      </w:r>
      <w:r w:rsidR="00E7660B" w:rsidRPr="009257C7">
        <w:t>.4</w:t>
      </w:r>
      <w:r w:rsidR="00E7660B" w:rsidRPr="009257C7">
        <w:tab/>
        <w:t>Conformidad e interoperabilidad (C+I)</w:t>
      </w:r>
      <w:bookmarkEnd w:id="18"/>
    </w:p>
    <w:p w:rsidR="00E7660B" w:rsidRPr="009257C7" w:rsidRDefault="00E7660B" w:rsidP="008E3C3A">
      <w:bookmarkStart w:id="19" w:name="_Toc446060756"/>
      <w:r w:rsidRPr="009257C7">
        <w:t>La Resolución 177 (Rev.</w:t>
      </w:r>
      <w:r w:rsidR="00CD6272" w:rsidRPr="009257C7">
        <w:t xml:space="preserve"> Dubái, 2018</w:t>
      </w:r>
      <w:r w:rsidRPr="009257C7">
        <w:t>)</w:t>
      </w:r>
      <w:r w:rsidR="00B92EBB" w:rsidRPr="009257C7">
        <w:t xml:space="preserve"> de la PP</w:t>
      </w:r>
      <w:r w:rsidRPr="009257C7">
        <w:t xml:space="preserve">, refrenda los objetivos enunciados en la Resolución 76 </w:t>
      </w:r>
      <w:r w:rsidR="009D3A0A" w:rsidRPr="009257C7">
        <w:t xml:space="preserve">(Rev. Hammamet, 2016), </w:t>
      </w:r>
      <w:r w:rsidRPr="009257C7">
        <w:t xml:space="preserve">de la AMNT, la Resolución UIT-R 62 </w:t>
      </w:r>
      <w:r w:rsidR="009D3A0A" w:rsidRPr="009257C7">
        <w:t>(Rev. </w:t>
      </w:r>
      <w:r w:rsidR="008E3C3A" w:rsidRPr="009257C7">
        <w:t>Ginebra</w:t>
      </w:r>
      <w:r w:rsidR="009D3A0A" w:rsidRPr="009257C7">
        <w:t>,</w:t>
      </w:r>
      <w:r w:rsidR="008E3C3A" w:rsidRPr="009257C7">
        <w:t> </w:t>
      </w:r>
      <w:r w:rsidR="009D3A0A" w:rsidRPr="009257C7">
        <w:t xml:space="preserve">2015), </w:t>
      </w:r>
      <w:r w:rsidRPr="009257C7">
        <w:t xml:space="preserve">de la AR y la Resolución 47 </w:t>
      </w:r>
      <w:r w:rsidR="009D3A0A" w:rsidRPr="009257C7">
        <w:t xml:space="preserve">(Rev. Buenos Aires, 2017), </w:t>
      </w:r>
      <w:r w:rsidRPr="009257C7">
        <w:t>de la CMDT, reconoc</w:t>
      </w:r>
      <w:r w:rsidR="00B92EBB" w:rsidRPr="009257C7">
        <w:t xml:space="preserve">iendo </w:t>
      </w:r>
      <w:r w:rsidRPr="009257C7">
        <w:t>por una parte, «que una amplia conformidad e interoperabilidad</w:t>
      </w:r>
      <w:r w:rsidR="00650704" w:rsidRPr="009257C7">
        <w:t xml:space="preserve"> </w:t>
      </w:r>
      <w:r w:rsidRPr="009257C7">
        <w:t xml:space="preserve">de equipos y sistemas de telecomunicaciones/tecnologías de la información y la comunicación (TIC) </w:t>
      </w:r>
      <w:r w:rsidR="00B92EBB" w:rsidRPr="009257C7">
        <w:t>a través de una transferencia fluida de datos y</w:t>
      </w:r>
      <w:r w:rsidR="00650704" w:rsidRPr="009257C7">
        <w:t xml:space="preserve"> </w:t>
      </w:r>
      <w:r w:rsidRPr="009257C7">
        <w:t>mediante la aplicación de programas, políticas y decisiones pertinentes, puede acrecentar las oportunidades y la fiabilidad del mercado, y estimular la integración y el comercio mundiales», y resuelve, por la otra, proseguir la aplicación del Plan de Acción para el Programa</w:t>
      </w:r>
      <w:r w:rsidR="000160ED" w:rsidRPr="009257C7">
        <w:t xml:space="preserve"> de conformidad e interoperabilidad (</w:t>
      </w:r>
      <w:r w:rsidRPr="009257C7">
        <w:t>C+I</w:t>
      </w:r>
      <w:r w:rsidR="000160ED" w:rsidRPr="009257C7">
        <w:t>)</w:t>
      </w:r>
      <w:r w:rsidRPr="009257C7">
        <w:t xml:space="preserve"> revisado por el Consejo de la UIT.</w:t>
      </w:r>
    </w:p>
    <w:p w:rsidR="00E7660B" w:rsidRPr="009257C7" w:rsidRDefault="00E7660B" w:rsidP="00650704">
      <w:r w:rsidRPr="009257C7">
        <w:t xml:space="preserve">El </w:t>
      </w:r>
      <w:r w:rsidR="000160ED" w:rsidRPr="009257C7">
        <w:t xml:space="preserve">Plan de Acción para el </w:t>
      </w:r>
      <w:r w:rsidRPr="009257C7">
        <w:t>Programa (C+I) de la UIT establecido en virtud de la Resolución 177 (Rev.</w:t>
      </w:r>
      <w:r w:rsidR="009D3A0A" w:rsidRPr="009257C7">
        <w:t xml:space="preserve"> Dubái, 2018</w:t>
      </w:r>
      <w:r w:rsidRPr="009257C7">
        <w:t xml:space="preserve">) </w:t>
      </w:r>
      <w:r w:rsidR="007B5361" w:rsidRPr="009257C7">
        <w:t xml:space="preserve">de la PP </w:t>
      </w:r>
      <w:r w:rsidRPr="009257C7">
        <w:t xml:space="preserve">se basa aún en cuatro Pilares: Pilar 1: evaluación de la conformidad; </w:t>
      </w:r>
      <w:r w:rsidRPr="009257C7">
        <w:rPr>
          <w:bCs/>
        </w:rPr>
        <w:t>Pilar 2: eventos sobre interoperabilidad</w:t>
      </w:r>
      <w:r w:rsidRPr="009257C7">
        <w:t xml:space="preserve">; </w:t>
      </w:r>
      <w:r w:rsidRPr="009257C7">
        <w:rPr>
          <w:bCs/>
        </w:rPr>
        <w:t>Pilar 3:</w:t>
      </w:r>
      <w:r w:rsidR="000160ED" w:rsidRPr="009257C7">
        <w:rPr>
          <w:bCs/>
        </w:rPr>
        <w:t xml:space="preserve"> </w:t>
      </w:r>
      <w:r w:rsidRPr="009257C7">
        <w:rPr>
          <w:bCs/>
        </w:rPr>
        <w:t xml:space="preserve">capacitación </w:t>
      </w:r>
      <w:r w:rsidRPr="009257C7">
        <w:t xml:space="preserve">; y </w:t>
      </w:r>
      <w:r w:rsidRPr="009257C7">
        <w:rPr>
          <w:bCs/>
        </w:rPr>
        <w:t xml:space="preserve">Pilar 4: </w:t>
      </w:r>
      <w:r w:rsidR="00F55B15" w:rsidRPr="009257C7">
        <w:rPr>
          <w:bCs/>
        </w:rPr>
        <w:t>C</w:t>
      </w:r>
      <w:r w:rsidRPr="009257C7">
        <w:rPr>
          <w:bCs/>
        </w:rPr>
        <w:t xml:space="preserve">reación de centros de prueba y </w:t>
      </w:r>
      <w:r w:rsidR="000160ED" w:rsidRPr="009257C7">
        <w:rPr>
          <w:bCs/>
        </w:rPr>
        <w:t xml:space="preserve">de un </w:t>
      </w:r>
      <w:r w:rsidRPr="009257C7">
        <w:rPr>
          <w:bCs/>
        </w:rPr>
        <w:t>programa C+I en países en desarrollo.</w:t>
      </w:r>
    </w:p>
    <w:p w:rsidR="00E7660B" w:rsidRPr="009257C7" w:rsidRDefault="00E7660B" w:rsidP="00E7660B">
      <w:r w:rsidRPr="009257C7">
        <w:t xml:space="preserve">Las acciones en el marco de los Pilares 1 y 2 están encabezadas por la Oficina de Normalización de las Telecomunicaciones (TSB) y las correspondientes a los Pilares 3 y 4 por la Oficina de Desarrollo de las Telecomunicaciones (BDT). El UIT-R colabora y facilita la información solicitada por el UIT-T y el UIT-D sobre pruebas C+I, tal como se menciona en el </w:t>
      </w:r>
      <w:r w:rsidRPr="009257C7">
        <w:rPr>
          <w:i/>
          <w:iCs/>
        </w:rPr>
        <w:t>«resuelve»</w:t>
      </w:r>
      <w:r w:rsidRPr="009257C7">
        <w:t xml:space="preserve"> de la Resolución UIT-R 62. Desde la última reunión del GAR, las Comisiones de Estudio del UIT-R no han recibido contribución alguna sobre este tema.</w:t>
      </w:r>
    </w:p>
    <w:p w:rsidR="00E7660B" w:rsidRPr="009257C7" w:rsidRDefault="00F55B15" w:rsidP="00E7660B">
      <w:pPr>
        <w:pStyle w:val="Heading2"/>
      </w:pPr>
      <w:r w:rsidRPr="009257C7">
        <w:t>3</w:t>
      </w:r>
      <w:r w:rsidR="00E7660B" w:rsidRPr="009257C7">
        <w:t>.5</w:t>
      </w:r>
      <w:r w:rsidR="00E7660B" w:rsidRPr="009257C7">
        <w:tab/>
      </w:r>
      <w:bookmarkEnd w:id="19"/>
      <w:r w:rsidR="00E7660B" w:rsidRPr="009257C7">
        <w:t>Protocolo del Espacio</w:t>
      </w:r>
    </w:p>
    <w:p w:rsidR="00E7660B" w:rsidRPr="009257C7" w:rsidRDefault="000160ED" w:rsidP="00316160">
      <w:pPr>
        <w:rPr>
          <w:rFonts w:asciiTheme="majorBidi" w:hAnsiTheme="majorBidi" w:cstheme="majorBidi"/>
        </w:rPr>
      </w:pPr>
      <w:r w:rsidRPr="009257C7">
        <w:t>Sobre la base de las recomendaciones d</w:t>
      </w:r>
      <w:r w:rsidR="00E7660B" w:rsidRPr="009257C7">
        <w:t xml:space="preserve">el Consejo </w:t>
      </w:r>
      <w:r w:rsidRPr="009257C7">
        <w:t xml:space="preserve">de </w:t>
      </w:r>
      <w:r w:rsidR="00F55B15" w:rsidRPr="009257C7">
        <w:t xml:space="preserve">2017, </w:t>
      </w:r>
      <w:r w:rsidRPr="009257C7">
        <w:t xml:space="preserve">se invitó a </w:t>
      </w:r>
      <w:r w:rsidR="00E7660B" w:rsidRPr="009257C7">
        <w:t xml:space="preserve">la Conferencia de Plenipotenciarios de la UIT, </w:t>
      </w:r>
      <w:r w:rsidRPr="009257C7">
        <w:t>reunida</w:t>
      </w:r>
      <w:r w:rsidR="0068615B" w:rsidRPr="009257C7">
        <w:t xml:space="preserve"> </w:t>
      </w:r>
      <w:r w:rsidR="00E7660B" w:rsidRPr="009257C7">
        <w:t>en Dubái (EAU) del 29 de octubre al 16 de noviembre de 2018</w:t>
      </w:r>
      <w:r w:rsidR="00F55B15" w:rsidRPr="009257C7">
        <w:t xml:space="preserve">, </w:t>
      </w:r>
      <w:r w:rsidRPr="009257C7">
        <w:t xml:space="preserve">a que </w:t>
      </w:r>
      <w:r w:rsidR="00E7660B" w:rsidRPr="009257C7">
        <w:t xml:space="preserve">decidiera </w:t>
      </w:r>
      <w:r w:rsidR="00252EC7" w:rsidRPr="009257C7">
        <w:rPr>
          <w:rFonts w:asciiTheme="majorBidi" w:hAnsiTheme="majorBidi" w:cstheme="majorBidi"/>
          <w:szCs w:val="24"/>
        </w:rPr>
        <w:t>si la UIT deb</w:t>
      </w:r>
      <w:r w:rsidRPr="009257C7">
        <w:rPr>
          <w:rFonts w:asciiTheme="majorBidi" w:hAnsiTheme="majorBidi" w:cstheme="majorBidi"/>
          <w:szCs w:val="24"/>
        </w:rPr>
        <w:t>ía</w:t>
      </w:r>
      <w:r w:rsidR="00252EC7" w:rsidRPr="009257C7">
        <w:rPr>
          <w:rFonts w:asciiTheme="majorBidi" w:hAnsiTheme="majorBidi" w:cstheme="majorBidi"/>
          <w:szCs w:val="24"/>
        </w:rPr>
        <w:t xml:space="preserve"> asumir la función de </w:t>
      </w:r>
      <w:r w:rsidR="00252EC7" w:rsidRPr="009257C7">
        <w:rPr>
          <w:rFonts w:asciiTheme="majorBidi" w:hAnsiTheme="majorBidi" w:cstheme="majorBidi"/>
          <w:bCs/>
          <w:szCs w:val="24"/>
        </w:rPr>
        <w:t>Autoridad Supervisora del Sistema Internacional de Inscripción de Activos Espaciales con arreglo al Protocolo del Espacio</w:t>
      </w:r>
      <w:r w:rsidR="00252EC7" w:rsidRPr="009257C7">
        <w:rPr>
          <w:rFonts w:asciiTheme="majorBidi" w:hAnsiTheme="majorBidi" w:cstheme="majorBidi"/>
          <w:szCs w:val="24"/>
        </w:rPr>
        <w:t>.</w:t>
      </w:r>
    </w:p>
    <w:p w:rsidR="00252EC7" w:rsidRPr="009257C7" w:rsidRDefault="000160ED">
      <w:pPr>
        <w:rPr>
          <w:bCs/>
          <w:sz w:val="16"/>
          <w:szCs w:val="16"/>
        </w:rPr>
      </w:pPr>
      <w:r w:rsidRPr="009257C7">
        <w:rPr>
          <w:rFonts w:asciiTheme="majorBidi" w:hAnsiTheme="majorBidi" w:cstheme="majorBidi"/>
          <w:bCs/>
        </w:rPr>
        <w:t>Se examinaron tres documentos de</w:t>
      </w:r>
      <w:r w:rsidRPr="009257C7">
        <w:rPr>
          <w:bCs/>
        </w:rPr>
        <w:t xml:space="preserve"> contribución </w:t>
      </w:r>
      <w:r w:rsidR="00227B66" w:rsidRPr="009257C7">
        <w:rPr>
          <w:bCs/>
        </w:rPr>
        <w:t>sobre esta cuestión,</w:t>
      </w:r>
      <w:r w:rsidRPr="009257C7">
        <w:rPr>
          <w:bCs/>
        </w:rPr>
        <w:t xml:space="preserve"> además del informe del Secretario General. Sobre </w:t>
      </w:r>
      <w:r w:rsidR="00227B66" w:rsidRPr="009257C7">
        <w:rPr>
          <w:bCs/>
        </w:rPr>
        <w:t>esa</w:t>
      </w:r>
      <w:r w:rsidRPr="009257C7">
        <w:rPr>
          <w:bCs/>
        </w:rPr>
        <w:t xml:space="preserve"> base, la Conferencia de Plenipotenciarios aprobó la Resolución 210 (</w:t>
      </w:r>
      <w:r w:rsidR="00227B66" w:rsidRPr="009257C7">
        <w:rPr>
          <w:bCs/>
        </w:rPr>
        <w:t>Dubái</w:t>
      </w:r>
      <w:r w:rsidRPr="009257C7">
        <w:rPr>
          <w:bCs/>
        </w:rPr>
        <w:t xml:space="preserve">, 2018), en la que se resuelve </w:t>
      </w:r>
      <w:r w:rsidR="00252EC7" w:rsidRPr="009257C7">
        <w:t xml:space="preserve">«en esta Conferencia, </w:t>
      </w:r>
      <w:r w:rsidR="00227B66" w:rsidRPr="009257C7">
        <w:t>[</w:t>
      </w:r>
      <w:r w:rsidR="008162EA" w:rsidRPr="009257C7">
        <w:rPr>
          <w:bCs/>
        </w:rPr>
        <w:t>no aceptar]</w:t>
      </w:r>
      <w:r w:rsidR="00252EC7" w:rsidRPr="009257C7">
        <w:t xml:space="preserve"> el papel de Autoridad Supervisora en virtud del Protocolo del Espacio pero, si el UNIDROIT volviese a invitar a la UIT a través del Secretario General a aceptar ese papel, estudiar la cuestión en una futura Conferencia de Plenipotenciarios»</w:t>
      </w:r>
      <w:r w:rsidR="00252EC7" w:rsidRPr="009257C7">
        <w:rPr>
          <w:bCs/>
          <w:sz w:val="16"/>
          <w:szCs w:val="16"/>
        </w:rPr>
        <w:t>.</w:t>
      </w:r>
      <w:r w:rsidR="00252EC7" w:rsidRPr="009257C7">
        <w:rPr>
          <w:bCs/>
        </w:rPr>
        <w:t xml:space="preserve"> </w:t>
      </w:r>
      <w:r w:rsidR="0068615B" w:rsidRPr="009257C7">
        <w:rPr>
          <w:bCs/>
        </w:rPr>
        <w:t>Dicha</w:t>
      </w:r>
      <w:r w:rsidR="00227B66" w:rsidRPr="009257C7">
        <w:rPr>
          <w:bCs/>
        </w:rPr>
        <w:t xml:space="preserve"> Resolución también encarga al Consejo </w:t>
      </w:r>
      <w:r w:rsidR="00252EC7" w:rsidRPr="009257C7">
        <w:rPr>
          <w:bCs/>
        </w:rPr>
        <w:t>«</w:t>
      </w:r>
      <w:r w:rsidR="00252EC7" w:rsidRPr="009257C7">
        <w:t xml:space="preserve">que prepare, tras recibir la invitación mencionada en el anterior </w:t>
      </w:r>
      <w:r w:rsidR="00252EC7" w:rsidRPr="009257C7">
        <w:rPr>
          <w:i/>
          <w:iCs/>
        </w:rPr>
        <w:t>resuelve</w:t>
      </w:r>
      <w:r w:rsidR="00252EC7" w:rsidRPr="009257C7">
        <w:t>, un informe al respecto y lo remita a la siguiente Conferencia de Plenipotenciarios»</w:t>
      </w:r>
      <w:r w:rsidR="00252EC7" w:rsidRPr="009257C7">
        <w:rPr>
          <w:bCs/>
        </w:rPr>
        <w:t xml:space="preserve"> </w:t>
      </w:r>
      <w:r w:rsidR="00227B66" w:rsidRPr="009257C7">
        <w:rPr>
          <w:bCs/>
        </w:rPr>
        <w:t xml:space="preserve">y al Secretario General </w:t>
      </w:r>
      <w:r w:rsidR="00252EC7" w:rsidRPr="009257C7">
        <w:rPr>
          <w:bCs/>
        </w:rPr>
        <w:t>«</w:t>
      </w:r>
      <w:r w:rsidR="00252EC7" w:rsidRPr="009257C7">
        <w:t>que presente esta Resolución a la atención del Secretario General del UNIDROIT</w:t>
      </w:r>
      <w:r w:rsidR="00252EC7" w:rsidRPr="009257C7">
        <w:rPr>
          <w:bCs/>
        </w:rPr>
        <w:t xml:space="preserve"> </w:t>
      </w:r>
      <w:r w:rsidR="00227B66" w:rsidRPr="009257C7">
        <w:rPr>
          <w:bCs/>
        </w:rPr>
        <w:t>y</w:t>
      </w:r>
      <w:r w:rsidR="00252EC7" w:rsidRPr="009257C7">
        <w:rPr>
          <w:bCs/>
        </w:rPr>
        <w:t xml:space="preserve"> «</w:t>
      </w:r>
      <w:r w:rsidR="00252EC7" w:rsidRPr="009257C7">
        <w:t>que participe en la labor del Comité Preparatorio y sus grupos de trabajo y que informe a</w:t>
      </w:r>
      <w:r w:rsidR="0096732F" w:rsidRPr="009257C7">
        <w:t>l respecto al Consejo de la UIT</w:t>
      </w:r>
      <w:r w:rsidR="00252EC7" w:rsidRPr="009257C7">
        <w:t>»</w:t>
      </w:r>
      <w:r w:rsidR="00252EC7" w:rsidRPr="009257C7">
        <w:rPr>
          <w:bCs/>
        </w:rPr>
        <w:t>.</w:t>
      </w:r>
    </w:p>
    <w:p w:rsidR="00252EC7" w:rsidRPr="009257C7" w:rsidRDefault="00227B66">
      <w:r w:rsidRPr="009257C7">
        <w:t>No se ha celebrado ninguna reunión de la Com</w:t>
      </w:r>
      <w:r w:rsidR="008162EA" w:rsidRPr="009257C7">
        <w:t>isión</w:t>
      </w:r>
      <w:r w:rsidRPr="009257C7">
        <w:t xml:space="preserve"> Preparatori</w:t>
      </w:r>
      <w:r w:rsidR="008162EA" w:rsidRPr="009257C7">
        <w:t>a</w:t>
      </w:r>
      <w:r w:rsidRPr="009257C7">
        <w:t xml:space="preserve"> desde la decisión de la Conferencia de Plenipotenciarios</w:t>
      </w:r>
      <w:r w:rsidR="00252EC7" w:rsidRPr="009257C7">
        <w:t>.</w:t>
      </w:r>
    </w:p>
    <w:p w:rsidR="00E7660B" w:rsidRPr="009257C7" w:rsidRDefault="00252EC7" w:rsidP="0068615B">
      <w:pPr>
        <w:pStyle w:val="Heading2"/>
      </w:pPr>
      <w:r w:rsidRPr="009257C7">
        <w:lastRenderedPageBreak/>
        <w:t>3</w:t>
      </w:r>
      <w:r w:rsidR="00335D89" w:rsidRPr="009257C7">
        <w:t>.6</w:t>
      </w:r>
      <w:r w:rsidR="00335D89" w:rsidRPr="009257C7">
        <w:tab/>
        <w:t>Presupuesto para el periodo</w:t>
      </w:r>
      <w:r w:rsidRPr="009257C7">
        <w:t xml:space="preserve"> 2020-2021</w:t>
      </w:r>
    </w:p>
    <w:p w:rsidR="00F971F1" w:rsidRPr="009257C7" w:rsidRDefault="00F971F1" w:rsidP="00F971F1">
      <w:pPr>
        <w:pStyle w:val="TableNotitle"/>
      </w:pPr>
      <w:r w:rsidRPr="009257C7">
        <w:t>Proyecto de presupuesto 2020-2021 del Sector de Radiocomunicaciones</w:t>
      </w:r>
    </w:p>
    <w:p w:rsidR="00F971F1" w:rsidRPr="009257C7" w:rsidRDefault="00F971F1" w:rsidP="00BA3E0B">
      <w:pPr>
        <w:spacing w:before="360" w:after="120"/>
        <w:rPr>
          <w:b/>
          <w:bCs/>
          <w:i/>
          <w:iCs/>
          <w:sz w:val="22"/>
          <w:szCs w:val="18"/>
        </w:rPr>
      </w:pPr>
      <w:r w:rsidRPr="009257C7">
        <w:rPr>
          <w:b/>
          <w:bCs/>
          <w:i/>
          <w:iCs/>
          <w:sz w:val="22"/>
          <w:szCs w:val="18"/>
        </w:rPr>
        <w:t>Gastos previstos por Sección</w:t>
      </w:r>
    </w:p>
    <w:p w:rsidR="00F971F1" w:rsidRPr="009257C7" w:rsidRDefault="00F971F1" w:rsidP="00F971F1">
      <w:pPr>
        <w:spacing w:after="120"/>
        <w:jc w:val="right"/>
        <w:rPr>
          <w:i/>
          <w:iCs/>
        </w:rPr>
      </w:pPr>
      <w:r w:rsidRPr="009257C7">
        <w:rPr>
          <w:i/>
          <w:iCs/>
          <w:sz w:val="22"/>
          <w:szCs w:val="18"/>
        </w:rPr>
        <w:t>En miles CHF</w:t>
      </w:r>
    </w:p>
    <w:tbl>
      <w:tblPr>
        <w:tblStyle w:val="TableGrid"/>
        <w:tblW w:w="0" w:type="auto"/>
        <w:tblLook w:val="04A0" w:firstRow="1" w:lastRow="0" w:firstColumn="1" w:lastColumn="0" w:noHBand="0" w:noVBand="1"/>
      </w:tblPr>
      <w:tblGrid>
        <w:gridCol w:w="1242"/>
        <w:gridCol w:w="2254"/>
        <w:gridCol w:w="1112"/>
        <w:gridCol w:w="1261"/>
        <w:gridCol w:w="1261"/>
        <w:gridCol w:w="1224"/>
        <w:gridCol w:w="1285"/>
      </w:tblGrid>
      <w:tr w:rsidR="00F971F1" w:rsidRPr="009257C7" w:rsidTr="005D0EF6">
        <w:tc>
          <w:tcPr>
            <w:tcW w:w="1266" w:type="dxa"/>
            <w:tcBorders>
              <w:top w:val="nil"/>
              <w:left w:val="nil"/>
              <w:bottom w:val="single" w:sz="4" w:space="0" w:color="auto"/>
              <w:right w:val="nil"/>
            </w:tcBorders>
          </w:tcPr>
          <w:p w:rsidR="00F971F1" w:rsidRPr="009257C7" w:rsidRDefault="00F971F1" w:rsidP="005D0EF6">
            <w:pPr>
              <w:pStyle w:val="Tablehead"/>
              <w:rPr>
                <w:sz w:val="20"/>
              </w:rPr>
            </w:pPr>
          </w:p>
        </w:tc>
        <w:tc>
          <w:tcPr>
            <w:tcW w:w="2273" w:type="dxa"/>
            <w:tcBorders>
              <w:top w:val="nil"/>
              <w:left w:val="nil"/>
              <w:bottom w:val="single" w:sz="4" w:space="0" w:color="auto"/>
              <w:right w:val="nil"/>
            </w:tcBorders>
          </w:tcPr>
          <w:p w:rsidR="00F971F1" w:rsidRPr="009257C7" w:rsidRDefault="00F971F1" w:rsidP="005D0EF6">
            <w:pPr>
              <w:pStyle w:val="Tablehead"/>
              <w:rPr>
                <w:sz w:val="20"/>
              </w:rPr>
            </w:pPr>
          </w:p>
        </w:tc>
        <w:tc>
          <w:tcPr>
            <w:tcW w:w="1134" w:type="dxa"/>
            <w:tcBorders>
              <w:top w:val="nil"/>
              <w:left w:val="nil"/>
              <w:bottom w:val="single" w:sz="4" w:space="0" w:color="auto"/>
              <w:right w:val="nil"/>
            </w:tcBorders>
          </w:tcPr>
          <w:p w:rsidR="00F971F1" w:rsidRPr="009257C7" w:rsidRDefault="00196282" w:rsidP="005D0EF6">
            <w:pPr>
              <w:pStyle w:val="Tablehead"/>
              <w:rPr>
                <w:sz w:val="20"/>
              </w:rPr>
            </w:pPr>
            <w:r w:rsidRPr="009257C7">
              <w:rPr>
                <w:sz w:val="20"/>
              </w:rPr>
              <w:t>Gastos</w:t>
            </w:r>
            <w:r w:rsidR="00F971F1" w:rsidRPr="009257C7">
              <w:rPr>
                <w:sz w:val="20"/>
              </w:rPr>
              <w:br/>
              <w:t>2016-2017</w:t>
            </w:r>
          </w:p>
        </w:tc>
        <w:tc>
          <w:tcPr>
            <w:tcW w:w="1134" w:type="dxa"/>
            <w:tcBorders>
              <w:top w:val="nil"/>
              <w:left w:val="nil"/>
              <w:bottom w:val="single" w:sz="4" w:space="0" w:color="auto"/>
              <w:right w:val="nil"/>
            </w:tcBorders>
          </w:tcPr>
          <w:p w:rsidR="00F971F1" w:rsidRPr="009257C7" w:rsidRDefault="00F971F1" w:rsidP="005D0EF6">
            <w:pPr>
              <w:pStyle w:val="Tablehead"/>
              <w:rPr>
                <w:sz w:val="20"/>
              </w:rPr>
            </w:pPr>
            <w:r w:rsidRPr="009257C7">
              <w:rPr>
                <w:sz w:val="20"/>
              </w:rPr>
              <w:t>Presupuesto</w:t>
            </w:r>
            <w:r w:rsidRPr="009257C7">
              <w:rPr>
                <w:sz w:val="20"/>
              </w:rPr>
              <w:br/>
              <w:t>2018-2019</w:t>
            </w:r>
          </w:p>
        </w:tc>
        <w:tc>
          <w:tcPr>
            <w:tcW w:w="1267" w:type="dxa"/>
            <w:tcBorders>
              <w:top w:val="nil"/>
              <w:left w:val="nil"/>
              <w:bottom w:val="single" w:sz="4" w:space="0" w:color="auto"/>
              <w:right w:val="nil"/>
            </w:tcBorders>
          </w:tcPr>
          <w:p w:rsidR="00F971F1" w:rsidRPr="009257C7" w:rsidRDefault="00F971F1" w:rsidP="005D0EF6">
            <w:pPr>
              <w:pStyle w:val="Tablehead"/>
              <w:rPr>
                <w:sz w:val="20"/>
              </w:rPr>
            </w:pPr>
            <w:r w:rsidRPr="009257C7">
              <w:rPr>
                <w:sz w:val="20"/>
              </w:rPr>
              <w:t>Estimación</w:t>
            </w:r>
            <w:r w:rsidRPr="009257C7">
              <w:rPr>
                <w:sz w:val="20"/>
              </w:rPr>
              <w:br/>
              <w:t>2020</w:t>
            </w:r>
          </w:p>
        </w:tc>
        <w:tc>
          <w:tcPr>
            <w:tcW w:w="1228" w:type="dxa"/>
            <w:tcBorders>
              <w:top w:val="nil"/>
              <w:left w:val="nil"/>
              <w:bottom w:val="single" w:sz="4" w:space="0" w:color="auto"/>
              <w:right w:val="nil"/>
            </w:tcBorders>
          </w:tcPr>
          <w:p w:rsidR="00F971F1" w:rsidRPr="009257C7" w:rsidRDefault="00F971F1" w:rsidP="005D0EF6">
            <w:pPr>
              <w:pStyle w:val="Tablehead"/>
              <w:rPr>
                <w:sz w:val="20"/>
              </w:rPr>
            </w:pPr>
            <w:r w:rsidRPr="009257C7">
              <w:rPr>
                <w:sz w:val="20"/>
              </w:rPr>
              <w:t>Estimación</w:t>
            </w:r>
            <w:r w:rsidRPr="009257C7">
              <w:rPr>
                <w:sz w:val="20"/>
              </w:rPr>
              <w:br/>
              <w:t>2021</w:t>
            </w:r>
          </w:p>
        </w:tc>
        <w:tc>
          <w:tcPr>
            <w:tcW w:w="1327" w:type="dxa"/>
            <w:tcBorders>
              <w:top w:val="nil"/>
              <w:left w:val="nil"/>
              <w:bottom w:val="single" w:sz="4" w:space="0" w:color="auto"/>
              <w:right w:val="nil"/>
            </w:tcBorders>
          </w:tcPr>
          <w:p w:rsidR="00F971F1" w:rsidRPr="009257C7" w:rsidRDefault="00F971F1" w:rsidP="005D0EF6">
            <w:pPr>
              <w:pStyle w:val="Tablehead"/>
              <w:rPr>
                <w:sz w:val="20"/>
              </w:rPr>
            </w:pPr>
            <w:r w:rsidRPr="009257C7">
              <w:rPr>
                <w:sz w:val="20"/>
              </w:rPr>
              <w:t>Total</w:t>
            </w:r>
            <w:r w:rsidRPr="009257C7">
              <w:rPr>
                <w:sz w:val="20"/>
              </w:rPr>
              <w:br/>
              <w:t>2020-2021</w:t>
            </w:r>
          </w:p>
        </w:tc>
      </w:tr>
      <w:tr w:rsidR="00F971F1" w:rsidRPr="009257C7" w:rsidTr="005D0EF6">
        <w:tc>
          <w:tcPr>
            <w:tcW w:w="1266" w:type="dxa"/>
            <w:tcBorders>
              <w:left w:val="nil"/>
              <w:bottom w:val="nil"/>
              <w:right w:val="nil"/>
            </w:tcBorders>
          </w:tcPr>
          <w:p w:rsidR="00F971F1" w:rsidRPr="009257C7" w:rsidRDefault="00F971F1" w:rsidP="005D0EF6">
            <w:pPr>
              <w:pStyle w:val="Tabletext"/>
              <w:rPr>
                <w:sz w:val="20"/>
              </w:rPr>
            </w:pPr>
            <w:r w:rsidRPr="009257C7">
              <w:rPr>
                <w:sz w:val="20"/>
              </w:rPr>
              <w:t>Sección 3.1</w:t>
            </w:r>
          </w:p>
        </w:tc>
        <w:tc>
          <w:tcPr>
            <w:tcW w:w="2273" w:type="dxa"/>
            <w:tcBorders>
              <w:left w:val="nil"/>
              <w:bottom w:val="nil"/>
              <w:right w:val="nil"/>
            </w:tcBorders>
          </w:tcPr>
          <w:p w:rsidR="00F971F1" w:rsidRPr="009257C7" w:rsidRDefault="00F971F1" w:rsidP="005D0EF6">
            <w:pPr>
              <w:pStyle w:val="Tabletext"/>
              <w:rPr>
                <w:sz w:val="20"/>
              </w:rPr>
            </w:pPr>
            <w:r w:rsidRPr="009257C7">
              <w:rPr>
                <w:sz w:val="20"/>
              </w:rPr>
              <w:t>Conferencias Mundiales de Radiocomunicaciones</w:t>
            </w:r>
          </w:p>
        </w:tc>
        <w:tc>
          <w:tcPr>
            <w:tcW w:w="1134" w:type="dxa"/>
            <w:tcBorders>
              <w:left w:val="nil"/>
              <w:bottom w:val="nil"/>
              <w:right w:val="nil"/>
            </w:tcBorders>
          </w:tcPr>
          <w:p w:rsidR="00F971F1" w:rsidRPr="009257C7" w:rsidRDefault="00F971F1" w:rsidP="005D0EF6">
            <w:pPr>
              <w:pStyle w:val="Tabletext"/>
              <w:jc w:val="right"/>
              <w:rPr>
                <w:sz w:val="20"/>
              </w:rPr>
            </w:pPr>
          </w:p>
        </w:tc>
        <w:tc>
          <w:tcPr>
            <w:tcW w:w="1134" w:type="dxa"/>
            <w:tcBorders>
              <w:left w:val="nil"/>
              <w:bottom w:val="nil"/>
              <w:right w:val="nil"/>
            </w:tcBorders>
          </w:tcPr>
          <w:p w:rsidR="00F971F1" w:rsidRPr="009257C7" w:rsidRDefault="00F971F1" w:rsidP="005D0EF6">
            <w:pPr>
              <w:pStyle w:val="Tabletext"/>
              <w:jc w:val="right"/>
              <w:rPr>
                <w:sz w:val="20"/>
              </w:rPr>
            </w:pPr>
            <w:r w:rsidRPr="009257C7">
              <w:rPr>
                <w:sz w:val="20"/>
              </w:rPr>
              <w:t>2 638</w:t>
            </w:r>
          </w:p>
        </w:tc>
        <w:tc>
          <w:tcPr>
            <w:tcW w:w="1267" w:type="dxa"/>
            <w:tcBorders>
              <w:left w:val="nil"/>
              <w:bottom w:val="nil"/>
              <w:right w:val="nil"/>
            </w:tcBorders>
          </w:tcPr>
          <w:p w:rsidR="00F971F1" w:rsidRPr="009257C7" w:rsidRDefault="00F971F1" w:rsidP="005D0EF6">
            <w:pPr>
              <w:pStyle w:val="Tabletext"/>
              <w:jc w:val="right"/>
              <w:rPr>
                <w:sz w:val="20"/>
              </w:rPr>
            </w:pPr>
          </w:p>
        </w:tc>
        <w:tc>
          <w:tcPr>
            <w:tcW w:w="1228" w:type="dxa"/>
            <w:tcBorders>
              <w:left w:val="nil"/>
              <w:bottom w:val="nil"/>
              <w:right w:val="nil"/>
            </w:tcBorders>
          </w:tcPr>
          <w:p w:rsidR="00F971F1" w:rsidRPr="009257C7" w:rsidRDefault="00F971F1" w:rsidP="005D0EF6">
            <w:pPr>
              <w:pStyle w:val="Tabletext"/>
              <w:jc w:val="right"/>
              <w:rPr>
                <w:sz w:val="20"/>
              </w:rPr>
            </w:pPr>
          </w:p>
        </w:tc>
        <w:tc>
          <w:tcPr>
            <w:tcW w:w="1327" w:type="dxa"/>
            <w:tcBorders>
              <w:left w:val="nil"/>
              <w:bottom w:val="nil"/>
              <w:right w:val="nil"/>
            </w:tcBorders>
          </w:tcPr>
          <w:p w:rsidR="00F971F1" w:rsidRPr="009257C7" w:rsidRDefault="00F971F1" w:rsidP="005D0EF6">
            <w:pPr>
              <w:pStyle w:val="Tabletext"/>
              <w:jc w:val="right"/>
              <w:rPr>
                <w:sz w:val="20"/>
              </w:rPr>
            </w:pPr>
            <w:r w:rsidRPr="009257C7">
              <w:rPr>
                <w:sz w:val="20"/>
              </w:rPr>
              <w:t>0</w:t>
            </w:r>
          </w:p>
        </w:tc>
      </w:tr>
      <w:tr w:rsidR="00F971F1" w:rsidRPr="009257C7" w:rsidTr="005D0EF6">
        <w:tc>
          <w:tcPr>
            <w:tcW w:w="1266" w:type="dxa"/>
            <w:tcBorders>
              <w:top w:val="nil"/>
              <w:left w:val="nil"/>
              <w:bottom w:val="nil"/>
              <w:right w:val="nil"/>
            </w:tcBorders>
          </w:tcPr>
          <w:p w:rsidR="00F971F1" w:rsidRPr="009257C7" w:rsidRDefault="00F971F1" w:rsidP="005D0EF6">
            <w:pPr>
              <w:pStyle w:val="Tabletext"/>
              <w:rPr>
                <w:sz w:val="20"/>
              </w:rPr>
            </w:pPr>
            <w:r w:rsidRPr="009257C7">
              <w:rPr>
                <w:sz w:val="20"/>
              </w:rPr>
              <w:t>Sección 3.2</w:t>
            </w:r>
          </w:p>
        </w:tc>
        <w:tc>
          <w:tcPr>
            <w:tcW w:w="2273" w:type="dxa"/>
            <w:tcBorders>
              <w:top w:val="nil"/>
              <w:left w:val="nil"/>
              <w:bottom w:val="nil"/>
              <w:right w:val="nil"/>
            </w:tcBorders>
          </w:tcPr>
          <w:p w:rsidR="00F971F1" w:rsidRPr="009257C7" w:rsidRDefault="00F971F1" w:rsidP="005D0EF6">
            <w:pPr>
              <w:pStyle w:val="Tabletext"/>
              <w:rPr>
                <w:sz w:val="20"/>
              </w:rPr>
            </w:pPr>
            <w:r w:rsidRPr="009257C7">
              <w:rPr>
                <w:sz w:val="20"/>
              </w:rPr>
              <w:t>Asambleas de Radiocomunicaciones</w:t>
            </w:r>
          </w:p>
        </w:tc>
        <w:tc>
          <w:tcPr>
            <w:tcW w:w="1134" w:type="dxa"/>
            <w:tcBorders>
              <w:top w:val="nil"/>
              <w:left w:val="nil"/>
              <w:bottom w:val="nil"/>
              <w:right w:val="nil"/>
            </w:tcBorders>
          </w:tcPr>
          <w:p w:rsidR="00F971F1" w:rsidRPr="009257C7" w:rsidRDefault="00F971F1" w:rsidP="005D0EF6">
            <w:pPr>
              <w:pStyle w:val="Tabletext"/>
              <w:jc w:val="right"/>
              <w:rPr>
                <w:sz w:val="20"/>
              </w:rPr>
            </w:pPr>
          </w:p>
        </w:tc>
        <w:tc>
          <w:tcPr>
            <w:tcW w:w="1134" w:type="dxa"/>
            <w:tcBorders>
              <w:top w:val="nil"/>
              <w:left w:val="nil"/>
              <w:bottom w:val="nil"/>
              <w:right w:val="nil"/>
            </w:tcBorders>
          </w:tcPr>
          <w:p w:rsidR="00F971F1" w:rsidRPr="009257C7" w:rsidRDefault="00F971F1" w:rsidP="005D0EF6">
            <w:pPr>
              <w:pStyle w:val="Tabletext"/>
              <w:jc w:val="right"/>
              <w:rPr>
                <w:sz w:val="20"/>
              </w:rPr>
            </w:pPr>
            <w:r w:rsidRPr="009257C7">
              <w:rPr>
                <w:sz w:val="20"/>
              </w:rPr>
              <w:t>335</w:t>
            </w:r>
          </w:p>
        </w:tc>
        <w:tc>
          <w:tcPr>
            <w:tcW w:w="1267" w:type="dxa"/>
            <w:tcBorders>
              <w:top w:val="nil"/>
              <w:left w:val="nil"/>
              <w:bottom w:val="nil"/>
              <w:right w:val="nil"/>
            </w:tcBorders>
          </w:tcPr>
          <w:p w:rsidR="00F971F1" w:rsidRPr="009257C7" w:rsidRDefault="00F971F1" w:rsidP="005D0EF6">
            <w:pPr>
              <w:pStyle w:val="Tabletext"/>
              <w:jc w:val="right"/>
              <w:rPr>
                <w:sz w:val="20"/>
              </w:rPr>
            </w:pPr>
          </w:p>
        </w:tc>
        <w:tc>
          <w:tcPr>
            <w:tcW w:w="1228" w:type="dxa"/>
            <w:tcBorders>
              <w:top w:val="nil"/>
              <w:left w:val="nil"/>
              <w:bottom w:val="nil"/>
              <w:right w:val="nil"/>
            </w:tcBorders>
          </w:tcPr>
          <w:p w:rsidR="00F971F1" w:rsidRPr="009257C7" w:rsidRDefault="00F971F1" w:rsidP="005D0EF6">
            <w:pPr>
              <w:pStyle w:val="Tabletext"/>
              <w:jc w:val="right"/>
              <w:rPr>
                <w:sz w:val="20"/>
              </w:rPr>
            </w:pPr>
          </w:p>
        </w:tc>
        <w:tc>
          <w:tcPr>
            <w:tcW w:w="1327" w:type="dxa"/>
            <w:tcBorders>
              <w:top w:val="nil"/>
              <w:left w:val="nil"/>
              <w:bottom w:val="nil"/>
              <w:right w:val="nil"/>
            </w:tcBorders>
          </w:tcPr>
          <w:p w:rsidR="00F971F1" w:rsidRPr="009257C7" w:rsidRDefault="00F971F1" w:rsidP="005D0EF6">
            <w:pPr>
              <w:pStyle w:val="Tabletext"/>
              <w:jc w:val="right"/>
              <w:rPr>
                <w:sz w:val="20"/>
              </w:rPr>
            </w:pPr>
            <w:r w:rsidRPr="009257C7">
              <w:rPr>
                <w:sz w:val="20"/>
              </w:rPr>
              <w:t>0</w:t>
            </w:r>
          </w:p>
        </w:tc>
      </w:tr>
      <w:tr w:rsidR="00F971F1" w:rsidRPr="009257C7" w:rsidTr="005D0EF6">
        <w:tc>
          <w:tcPr>
            <w:tcW w:w="1266" w:type="dxa"/>
            <w:tcBorders>
              <w:top w:val="nil"/>
              <w:left w:val="nil"/>
              <w:bottom w:val="nil"/>
              <w:right w:val="nil"/>
            </w:tcBorders>
          </w:tcPr>
          <w:p w:rsidR="00F971F1" w:rsidRPr="009257C7" w:rsidRDefault="00F971F1" w:rsidP="005D0EF6">
            <w:pPr>
              <w:pStyle w:val="Tabletext"/>
              <w:rPr>
                <w:sz w:val="20"/>
              </w:rPr>
            </w:pPr>
            <w:r w:rsidRPr="009257C7">
              <w:rPr>
                <w:sz w:val="20"/>
              </w:rPr>
              <w:t>Sección 4.1</w:t>
            </w:r>
          </w:p>
        </w:tc>
        <w:tc>
          <w:tcPr>
            <w:tcW w:w="2273" w:type="dxa"/>
            <w:tcBorders>
              <w:top w:val="nil"/>
              <w:left w:val="nil"/>
              <w:bottom w:val="nil"/>
              <w:right w:val="nil"/>
            </w:tcBorders>
          </w:tcPr>
          <w:p w:rsidR="00F971F1" w:rsidRPr="009257C7" w:rsidRDefault="00F971F1" w:rsidP="005D0EF6">
            <w:pPr>
              <w:pStyle w:val="Tabletext"/>
              <w:rPr>
                <w:sz w:val="20"/>
              </w:rPr>
            </w:pPr>
            <w:r w:rsidRPr="009257C7">
              <w:rPr>
                <w:sz w:val="20"/>
              </w:rPr>
              <w:t>Conferencias Regionales de Radiocomunicaciones</w:t>
            </w:r>
          </w:p>
        </w:tc>
        <w:tc>
          <w:tcPr>
            <w:tcW w:w="1134" w:type="dxa"/>
            <w:tcBorders>
              <w:top w:val="nil"/>
              <w:left w:val="nil"/>
              <w:bottom w:val="nil"/>
              <w:right w:val="nil"/>
            </w:tcBorders>
          </w:tcPr>
          <w:p w:rsidR="00F971F1" w:rsidRPr="009257C7" w:rsidRDefault="00F971F1" w:rsidP="005D0EF6">
            <w:pPr>
              <w:pStyle w:val="Tabletext"/>
              <w:jc w:val="right"/>
              <w:rPr>
                <w:sz w:val="20"/>
              </w:rPr>
            </w:pPr>
          </w:p>
        </w:tc>
        <w:tc>
          <w:tcPr>
            <w:tcW w:w="1134" w:type="dxa"/>
            <w:tcBorders>
              <w:top w:val="nil"/>
              <w:left w:val="nil"/>
              <w:bottom w:val="nil"/>
              <w:right w:val="nil"/>
            </w:tcBorders>
          </w:tcPr>
          <w:p w:rsidR="00F971F1" w:rsidRPr="009257C7" w:rsidRDefault="00F971F1" w:rsidP="005D0EF6">
            <w:pPr>
              <w:pStyle w:val="Tabletext"/>
              <w:jc w:val="right"/>
              <w:rPr>
                <w:sz w:val="20"/>
              </w:rPr>
            </w:pPr>
          </w:p>
        </w:tc>
        <w:tc>
          <w:tcPr>
            <w:tcW w:w="1267" w:type="dxa"/>
            <w:tcBorders>
              <w:top w:val="nil"/>
              <w:left w:val="nil"/>
              <w:bottom w:val="nil"/>
              <w:right w:val="nil"/>
            </w:tcBorders>
          </w:tcPr>
          <w:p w:rsidR="00F971F1" w:rsidRPr="009257C7" w:rsidRDefault="00F971F1" w:rsidP="005D0EF6">
            <w:pPr>
              <w:pStyle w:val="Tabletext"/>
              <w:jc w:val="right"/>
              <w:rPr>
                <w:sz w:val="20"/>
              </w:rPr>
            </w:pPr>
          </w:p>
        </w:tc>
        <w:tc>
          <w:tcPr>
            <w:tcW w:w="1228" w:type="dxa"/>
            <w:tcBorders>
              <w:top w:val="nil"/>
              <w:left w:val="nil"/>
              <w:bottom w:val="nil"/>
              <w:right w:val="nil"/>
            </w:tcBorders>
          </w:tcPr>
          <w:p w:rsidR="00F971F1" w:rsidRPr="009257C7" w:rsidRDefault="00F971F1" w:rsidP="005D0EF6">
            <w:pPr>
              <w:pStyle w:val="Tabletext"/>
              <w:jc w:val="right"/>
              <w:rPr>
                <w:sz w:val="20"/>
              </w:rPr>
            </w:pPr>
          </w:p>
        </w:tc>
        <w:tc>
          <w:tcPr>
            <w:tcW w:w="1327" w:type="dxa"/>
            <w:tcBorders>
              <w:top w:val="nil"/>
              <w:left w:val="nil"/>
              <w:bottom w:val="nil"/>
              <w:right w:val="nil"/>
            </w:tcBorders>
          </w:tcPr>
          <w:p w:rsidR="00F971F1" w:rsidRPr="009257C7" w:rsidRDefault="00F971F1" w:rsidP="005D0EF6">
            <w:pPr>
              <w:pStyle w:val="Tabletext"/>
              <w:jc w:val="right"/>
              <w:rPr>
                <w:sz w:val="20"/>
              </w:rPr>
            </w:pPr>
            <w:r w:rsidRPr="009257C7">
              <w:rPr>
                <w:sz w:val="20"/>
              </w:rPr>
              <w:t>0</w:t>
            </w:r>
          </w:p>
        </w:tc>
      </w:tr>
      <w:tr w:rsidR="00F971F1" w:rsidRPr="009257C7" w:rsidTr="005D0EF6">
        <w:tc>
          <w:tcPr>
            <w:tcW w:w="1266" w:type="dxa"/>
            <w:tcBorders>
              <w:top w:val="nil"/>
              <w:left w:val="nil"/>
              <w:bottom w:val="nil"/>
              <w:right w:val="nil"/>
            </w:tcBorders>
          </w:tcPr>
          <w:p w:rsidR="00F971F1" w:rsidRPr="009257C7" w:rsidRDefault="00F971F1" w:rsidP="005D0EF6">
            <w:pPr>
              <w:pStyle w:val="Tabletext"/>
              <w:rPr>
                <w:sz w:val="20"/>
              </w:rPr>
            </w:pPr>
            <w:r w:rsidRPr="009257C7">
              <w:rPr>
                <w:sz w:val="20"/>
              </w:rPr>
              <w:t>Sección 5.1</w:t>
            </w:r>
          </w:p>
        </w:tc>
        <w:tc>
          <w:tcPr>
            <w:tcW w:w="2273" w:type="dxa"/>
            <w:tcBorders>
              <w:top w:val="nil"/>
              <w:left w:val="nil"/>
              <w:bottom w:val="nil"/>
              <w:right w:val="nil"/>
            </w:tcBorders>
          </w:tcPr>
          <w:p w:rsidR="00F971F1" w:rsidRPr="009257C7" w:rsidRDefault="00F971F1" w:rsidP="005D0EF6">
            <w:pPr>
              <w:pStyle w:val="Tabletext"/>
              <w:rPr>
                <w:sz w:val="20"/>
              </w:rPr>
            </w:pPr>
            <w:r w:rsidRPr="009257C7">
              <w:rPr>
                <w:sz w:val="20"/>
              </w:rPr>
              <w:t>Junta del Reglamento de Radiocomunicaciones</w:t>
            </w:r>
          </w:p>
        </w:tc>
        <w:tc>
          <w:tcPr>
            <w:tcW w:w="1134" w:type="dxa"/>
            <w:tcBorders>
              <w:top w:val="nil"/>
              <w:left w:val="nil"/>
              <w:bottom w:val="nil"/>
              <w:right w:val="nil"/>
            </w:tcBorders>
          </w:tcPr>
          <w:p w:rsidR="00F971F1" w:rsidRPr="009257C7" w:rsidRDefault="00F971F1" w:rsidP="005D0EF6">
            <w:pPr>
              <w:pStyle w:val="Tabletext"/>
              <w:jc w:val="right"/>
              <w:rPr>
                <w:sz w:val="20"/>
              </w:rPr>
            </w:pPr>
          </w:p>
        </w:tc>
        <w:tc>
          <w:tcPr>
            <w:tcW w:w="1134" w:type="dxa"/>
            <w:tcBorders>
              <w:top w:val="nil"/>
              <w:left w:val="nil"/>
              <w:bottom w:val="nil"/>
              <w:right w:val="nil"/>
            </w:tcBorders>
          </w:tcPr>
          <w:p w:rsidR="00F971F1" w:rsidRPr="009257C7" w:rsidRDefault="00F971F1" w:rsidP="005D0EF6">
            <w:pPr>
              <w:pStyle w:val="Tabletext"/>
              <w:jc w:val="right"/>
              <w:rPr>
                <w:sz w:val="20"/>
              </w:rPr>
            </w:pPr>
            <w:r w:rsidRPr="009257C7">
              <w:rPr>
                <w:sz w:val="20"/>
              </w:rPr>
              <w:t>811</w:t>
            </w:r>
          </w:p>
        </w:tc>
        <w:tc>
          <w:tcPr>
            <w:tcW w:w="1267" w:type="dxa"/>
            <w:tcBorders>
              <w:top w:val="nil"/>
              <w:left w:val="nil"/>
              <w:bottom w:val="nil"/>
              <w:right w:val="nil"/>
            </w:tcBorders>
          </w:tcPr>
          <w:p w:rsidR="00F971F1" w:rsidRPr="009257C7" w:rsidRDefault="00F971F1" w:rsidP="005D0EF6">
            <w:pPr>
              <w:pStyle w:val="Tabletext"/>
              <w:jc w:val="right"/>
              <w:rPr>
                <w:sz w:val="20"/>
              </w:rPr>
            </w:pPr>
            <w:r w:rsidRPr="009257C7">
              <w:rPr>
                <w:sz w:val="20"/>
              </w:rPr>
              <w:t>481</w:t>
            </w:r>
          </w:p>
        </w:tc>
        <w:tc>
          <w:tcPr>
            <w:tcW w:w="1228" w:type="dxa"/>
            <w:tcBorders>
              <w:top w:val="nil"/>
              <w:left w:val="nil"/>
              <w:bottom w:val="nil"/>
              <w:right w:val="nil"/>
            </w:tcBorders>
          </w:tcPr>
          <w:p w:rsidR="00F971F1" w:rsidRPr="009257C7" w:rsidRDefault="00F971F1" w:rsidP="005D0EF6">
            <w:pPr>
              <w:pStyle w:val="Tabletext"/>
              <w:jc w:val="right"/>
              <w:rPr>
                <w:sz w:val="20"/>
              </w:rPr>
            </w:pPr>
            <w:r w:rsidRPr="009257C7">
              <w:rPr>
                <w:sz w:val="20"/>
              </w:rPr>
              <w:t>481</w:t>
            </w:r>
          </w:p>
        </w:tc>
        <w:tc>
          <w:tcPr>
            <w:tcW w:w="1327" w:type="dxa"/>
            <w:tcBorders>
              <w:top w:val="nil"/>
              <w:left w:val="nil"/>
              <w:bottom w:val="nil"/>
              <w:right w:val="nil"/>
            </w:tcBorders>
          </w:tcPr>
          <w:p w:rsidR="00F971F1" w:rsidRPr="009257C7" w:rsidRDefault="00F971F1" w:rsidP="005D0EF6">
            <w:pPr>
              <w:pStyle w:val="Tabletext"/>
              <w:jc w:val="right"/>
              <w:rPr>
                <w:sz w:val="20"/>
              </w:rPr>
            </w:pPr>
            <w:r w:rsidRPr="009257C7">
              <w:rPr>
                <w:sz w:val="20"/>
              </w:rPr>
              <w:t>962</w:t>
            </w:r>
          </w:p>
        </w:tc>
      </w:tr>
      <w:tr w:rsidR="00F971F1" w:rsidRPr="009257C7" w:rsidTr="005D0EF6">
        <w:tc>
          <w:tcPr>
            <w:tcW w:w="1266" w:type="dxa"/>
            <w:tcBorders>
              <w:top w:val="nil"/>
              <w:left w:val="nil"/>
              <w:bottom w:val="nil"/>
              <w:right w:val="nil"/>
            </w:tcBorders>
          </w:tcPr>
          <w:p w:rsidR="00F971F1" w:rsidRPr="009257C7" w:rsidRDefault="00F971F1" w:rsidP="005D0EF6">
            <w:pPr>
              <w:pStyle w:val="Tabletext"/>
              <w:rPr>
                <w:sz w:val="20"/>
              </w:rPr>
            </w:pPr>
            <w:r w:rsidRPr="009257C7">
              <w:rPr>
                <w:sz w:val="20"/>
              </w:rPr>
              <w:t>Sección 5.2</w:t>
            </w:r>
          </w:p>
        </w:tc>
        <w:tc>
          <w:tcPr>
            <w:tcW w:w="2273" w:type="dxa"/>
            <w:tcBorders>
              <w:top w:val="nil"/>
              <w:left w:val="nil"/>
              <w:bottom w:val="nil"/>
              <w:right w:val="nil"/>
            </w:tcBorders>
          </w:tcPr>
          <w:p w:rsidR="00F971F1" w:rsidRPr="009257C7" w:rsidRDefault="00F971F1" w:rsidP="005D0EF6">
            <w:pPr>
              <w:pStyle w:val="Tabletext"/>
              <w:rPr>
                <w:sz w:val="20"/>
              </w:rPr>
            </w:pPr>
            <w:r w:rsidRPr="009257C7">
              <w:rPr>
                <w:sz w:val="20"/>
              </w:rPr>
              <w:t>Grupo Asesor de Radiocomunicaciones</w:t>
            </w:r>
          </w:p>
        </w:tc>
        <w:tc>
          <w:tcPr>
            <w:tcW w:w="1134" w:type="dxa"/>
            <w:tcBorders>
              <w:top w:val="nil"/>
              <w:left w:val="nil"/>
              <w:bottom w:val="nil"/>
              <w:right w:val="nil"/>
            </w:tcBorders>
          </w:tcPr>
          <w:p w:rsidR="00F971F1" w:rsidRPr="009257C7" w:rsidRDefault="00F971F1" w:rsidP="005D0EF6">
            <w:pPr>
              <w:pStyle w:val="Tabletext"/>
              <w:jc w:val="right"/>
              <w:rPr>
                <w:sz w:val="20"/>
              </w:rPr>
            </w:pPr>
          </w:p>
        </w:tc>
        <w:tc>
          <w:tcPr>
            <w:tcW w:w="1134" w:type="dxa"/>
            <w:tcBorders>
              <w:top w:val="nil"/>
              <w:left w:val="nil"/>
              <w:bottom w:val="nil"/>
              <w:right w:val="nil"/>
            </w:tcBorders>
          </w:tcPr>
          <w:p w:rsidR="00F971F1" w:rsidRPr="009257C7" w:rsidRDefault="00F971F1" w:rsidP="005D0EF6">
            <w:pPr>
              <w:pStyle w:val="Tabletext"/>
              <w:jc w:val="right"/>
              <w:rPr>
                <w:sz w:val="20"/>
              </w:rPr>
            </w:pPr>
            <w:r w:rsidRPr="009257C7">
              <w:rPr>
                <w:sz w:val="20"/>
              </w:rPr>
              <w:t>106</w:t>
            </w:r>
          </w:p>
        </w:tc>
        <w:tc>
          <w:tcPr>
            <w:tcW w:w="1267" w:type="dxa"/>
            <w:tcBorders>
              <w:top w:val="nil"/>
              <w:left w:val="nil"/>
              <w:bottom w:val="nil"/>
              <w:right w:val="nil"/>
            </w:tcBorders>
          </w:tcPr>
          <w:p w:rsidR="00F971F1" w:rsidRPr="009257C7" w:rsidRDefault="00F971F1" w:rsidP="005D0EF6">
            <w:pPr>
              <w:pStyle w:val="Tabletext"/>
              <w:jc w:val="right"/>
              <w:rPr>
                <w:sz w:val="20"/>
              </w:rPr>
            </w:pPr>
            <w:r w:rsidRPr="009257C7">
              <w:rPr>
                <w:sz w:val="20"/>
              </w:rPr>
              <w:t>53</w:t>
            </w:r>
          </w:p>
        </w:tc>
        <w:tc>
          <w:tcPr>
            <w:tcW w:w="1228" w:type="dxa"/>
            <w:tcBorders>
              <w:top w:val="nil"/>
              <w:left w:val="nil"/>
              <w:bottom w:val="nil"/>
              <w:right w:val="nil"/>
            </w:tcBorders>
          </w:tcPr>
          <w:p w:rsidR="00F971F1" w:rsidRPr="009257C7" w:rsidRDefault="00F971F1" w:rsidP="005D0EF6">
            <w:pPr>
              <w:pStyle w:val="Tabletext"/>
              <w:jc w:val="right"/>
              <w:rPr>
                <w:sz w:val="20"/>
              </w:rPr>
            </w:pPr>
            <w:r w:rsidRPr="009257C7">
              <w:rPr>
                <w:sz w:val="20"/>
              </w:rPr>
              <w:t>53</w:t>
            </w:r>
          </w:p>
        </w:tc>
        <w:tc>
          <w:tcPr>
            <w:tcW w:w="1327" w:type="dxa"/>
            <w:tcBorders>
              <w:top w:val="nil"/>
              <w:left w:val="nil"/>
              <w:bottom w:val="nil"/>
              <w:right w:val="nil"/>
            </w:tcBorders>
          </w:tcPr>
          <w:p w:rsidR="00F971F1" w:rsidRPr="009257C7" w:rsidRDefault="00F971F1" w:rsidP="005D0EF6">
            <w:pPr>
              <w:pStyle w:val="Tabletext"/>
              <w:jc w:val="right"/>
              <w:rPr>
                <w:sz w:val="20"/>
              </w:rPr>
            </w:pPr>
            <w:r w:rsidRPr="009257C7">
              <w:rPr>
                <w:sz w:val="20"/>
              </w:rPr>
              <w:t>106</w:t>
            </w:r>
          </w:p>
        </w:tc>
      </w:tr>
      <w:tr w:rsidR="00F971F1" w:rsidRPr="009257C7" w:rsidTr="005D0EF6">
        <w:tc>
          <w:tcPr>
            <w:tcW w:w="1266" w:type="dxa"/>
            <w:tcBorders>
              <w:top w:val="nil"/>
              <w:left w:val="nil"/>
              <w:bottom w:val="nil"/>
              <w:right w:val="nil"/>
            </w:tcBorders>
          </w:tcPr>
          <w:p w:rsidR="00F971F1" w:rsidRPr="009257C7" w:rsidRDefault="00F971F1" w:rsidP="005D0EF6">
            <w:pPr>
              <w:pStyle w:val="Tabletext"/>
              <w:rPr>
                <w:sz w:val="20"/>
              </w:rPr>
            </w:pPr>
            <w:r w:rsidRPr="009257C7">
              <w:rPr>
                <w:sz w:val="20"/>
              </w:rPr>
              <w:t>Sección 6</w:t>
            </w:r>
          </w:p>
        </w:tc>
        <w:tc>
          <w:tcPr>
            <w:tcW w:w="2273" w:type="dxa"/>
            <w:tcBorders>
              <w:top w:val="nil"/>
              <w:left w:val="nil"/>
              <w:bottom w:val="nil"/>
              <w:right w:val="nil"/>
            </w:tcBorders>
          </w:tcPr>
          <w:p w:rsidR="00F971F1" w:rsidRPr="009257C7" w:rsidRDefault="00F971F1" w:rsidP="005D0EF6">
            <w:pPr>
              <w:pStyle w:val="Tabletext"/>
              <w:rPr>
                <w:sz w:val="20"/>
              </w:rPr>
            </w:pPr>
            <w:r w:rsidRPr="009257C7">
              <w:rPr>
                <w:sz w:val="20"/>
              </w:rPr>
              <w:t>Reuniones de las Comisiones de Estudio</w:t>
            </w:r>
          </w:p>
        </w:tc>
        <w:tc>
          <w:tcPr>
            <w:tcW w:w="1134" w:type="dxa"/>
            <w:tcBorders>
              <w:top w:val="nil"/>
              <w:left w:val="nil"/>
              <w:bottom w:val="nil"/>
              <w:right w:val="nil"/>
            </w:tcBorders>
          </w:tcPr>
          <w:p w:rsidR="00F971F1" w:rsidRPr="009257C7" w:rsidRDefault="00F971F1" w:rsidP="005D0EF6">
            <w:pPr>
              <w:pStyle w:val="Tabletext"/>
              <w:jc w:val="right"/>
              <w:rPr>
                <w:sz w:val="20"/>
              </w:rPr>
            </w:pPr>
          </w:p>
        </w:tc>
        <w:tc>
          <w:tcPr>
            <w:tcW w:w="1134" w:type="dxa"/>
            <w:tcBorders>
              <w:top w:val="nil"/>
              <w:left w:val="nil"/>
              <w:bottom w:val="nil"/>
              <w:right w:val="nil"/>
            </w:tcBorders>
          </w:tcPr>
          <w:p w:rsidR="00F971F1" w:rsidRPr="009257C7" w:rsidRDefault="00F971F1" w:rsidP="005D0EF6">
            <w:pPr>
              <w:pStyle w:val="Tabletext"/>
              <w:jc w:val="right"/>
              <w:rPr>
                <w:sz w:val="20"/>
              </w:rPr>
            </w:pPr>
            <w:r w:rsidRPr="009257C7">
              <w:rPr>
                <w:sz w:val="20"/>
              </w:rPr>
              <w:t>1 477</w:t>
            </w:r>
          </w:p>
        </w:tc>
        <w:tc>
          <w:tcPr>
            <w:tcW w:w="1267" w:type="dxa"/>
            <w:tcBorders>
              <w:top w:val="nil"/>
              <w:left w:val="nil"/>
              <w:bottom w:val="nil"/>
              <w:right w:val="nil"/>
            </w:tcBorders>
          </w:tcPr>
          <w:p w:rsidR="00F971F1" w:rsidRPr="009257C7" w:rsidRDefault="00F971F1" w:rsidP="005D0EF6">
            <w:pPr>
              <w:pStyle w:val="Tabletext"/>
              <w:jc w:val="right"/>
              <w:rPr>
                <w:sz w:val="20"/>
              </w:rPr>
            </w:pPr>
            <w:r w:rsidRPr="009257C7">
              <w:rPr>
                <w:sz w:val="20"/>
              </w:rPr>
              <w:t>731</w:t>
            </w:r>
          </w:p>
        </w:tc>
        <w:tc>
          <w:tcPr>
            <w:tcW w:w="1228" w:type="dxa"/>
            <w:tcBorders>
              <w:top w:val="nil"/>
              <w:left w:val="nil"/>
              <w:bottom w:val="nil"/>
              <w:right w:val="nil"/>
            </w:tcBorders>
          </w:tcPr>
          <w:p w:rsidR="00F971F1" w:rsidRPr="009257C7" w:rsidRDefault="00F971F1" w:rsidP="005D0EF6">
            <w:pPr>
              <w:pStyle w:val="Tabletext"/>
              <w:jc w:val="right"/>
              <w:rPr>
                <w:sz w:val="20"/>
              </w:rPr>
            </w:pPr>
            <w:r w:rsidRPr="009257C7">
              <w:rPr>
                <w:sz w:val="20"/>
              </w:rPr>
              <w:t>731</w:t>
            </w:r>
          </w:p>
        </w:tc>
        <w:tc>
          <w:tcPr>
            <w:tcW w:w="1327" w:type="dxa"/>
            <w:tcBorders>
              <w:top w:val="nil"/>
              <w:left w:val="nil"/>
              <w:bottom w:val="nil"/>
              <w:right w:val="nil"/>
            </w:tcBorders>
          </w:tcPr>
          <w:p w:rsidR="00F971F1" w:rsidRPr="009257C7" w:rsidRDefault="00F971F1" w:rsidP="005D0EF6">
            <w:pPr>
              <w:pStyle w:val="Tabletext"/>
              <w:jc w:val="right"/>
              <w:rPr>
                <w:sz w:val="20"/>
              </w:rPr>
            </w:pPr>
            <w:r w:rsidRPr="009257C7">
              <w:rPr>
                <w:sz w:val="20"/>
              </w:rPr>
              <w:t>1 462</w:t>
            </w:r>
          </w:p>
        </w:tc>
      </w:tr>
      <w:tr w:rsidR="00F971F1" w:rsidRPr="009257C7" w:rsidTr="005D0EF6">
        <w:tc>
          <w:tcPr>
            <w:tcW w:w="1266" w:type="dxa"/>
            <w:tcBorders>
              <w:top w:val="nil"/>
              <w:left w:val="nil"/>
              <w:bottom w:val="nil"/>
              <w:right w:val="nil"/>
            </w:tcBorders>
          </w:tcPr>
          <w:p w:rsidR="00F971F1" w:rsidRPr="009257C7" w:rsidRDefault="00F971F1" w:rsidP="005D0EF6">
            <w:pPr>
              <w:pStyle w:val="Tabletext"/>
              <w:rPr>
                <w:sz w:val="20"/>
              </w:rPr>
            </w:pPr>
            <w:r w:rsidRPr="009257C7">
              <w:rPr>
                <w:sz w:val="20"/>
              </w:rPr>
              <w:t>Sección 7</w:t>
            </w:r>
          </w:p>
        </w:tc>
        <w:tc>
          <w:tcPr>
            <w:tcW w:w="2273" w:type="dxa"/>
            <w:tcBorders>
              <w:top w:val="nil"/>
              <w:left w:val="nil"/>
              <w:bottom w:val="nil"/>
              <w:right w:val="nil"/>
            </w:tcBorders>
          </w:tcPr>
          <w:p w:rsidR="00F971F1" w:rsidRPr="009257C7" w:rsidRDefault="00F971F1" w:rsidP="005D0EF6">
            <w:pPr>
              <w:pStyle w:val="Tabletext"/>
              <w:rPr>
                <w:sz w:val="20"/>
              </w:rPr>
            </w:pPr>
            <w:r w:rsidRPr="009257C7">
              <w:rPr>
                <w:sz w:val="20"/>
              </w:rPr>
              <w:t>Actividades y programas</w:t>
            </w:r>
          </w:p>
        </w:tc>
        <w:tc>
          <w:tcPr>
            <w:tcW w:w="1134" w:type="dxa"/>
            <w:tcBorders>
              <w:top w:val="nil"/>
              <w:left w:val="nil"/>
              <w:bottom w:val="nil"/>
              <w:right w:val="nil"/>
            </w:tcBorders>
          </w:tcPr>
          <w:p w:rsidR="00F971F1" w:rsidRPr="009257C7" w:rsidRDefault="00F971F1" w:rsidP="005D0EF6">
            <w:pPr>
              <w:pStyle w:val="Tabletext"/>
              <w:jc w:val="right"/>
              <w:rPr>
                <w:sz w:val="20"/>
              </w:rPr>
            </w:pPr>
          </w:p>
        </w:tc>
        <w:tc>
          <w:tcPr>
            <w:tcW w:w="1134" w:type="dxa"/>
            <w:tcBorders>
              <w:top w:val="nil"/>
              <w:left w:val="nil"/>
              <w:bottom w:val="nil"/>
              <w:right w:val="nil"/>
            </w:tcBorders>
          </w:tcPr>
          <w:p w:rsidR="00F971F1" w:rsidRPr="009257C7" w:rsidRDefault="00F971F1" w:rsidP="005D0EF6">
            <w:pPr>
              <w:pStyle w:val="Tabletext"/>
              <w:jc w:val="right"/>
              <w:rPr>
                <w:sz w:val="20"/>
              </w:rPr>
            </w:pPr>
            <w:r w:rsidRPr="009257C7">
              <w:rPr>
                <w:sz w:val="20"/>
              </w:rPr>
              <w:t>1 200</w:t>
            </w:r>
          </w:p>
        </w:tc>
        <w:tc>
          <w:tcPr>
            <w:tcW w:w="1267" w:type="dxa"/>
            <w:tcBorders>
              <w:top w:val="nil"/>
              <w:left w:val="nil"/>
              <w:bottom w:val="nil"/>
              <w:right w:val="nil"/>
            </w:tcBorders>
          </w:tcPr>
          <w:p w:rsidR="00F971F1" w:rsidRPr="009257C7" w:rsidRDefault="00F971F1" w:rsidP="005D0EF6">
            <w:pPr>
              <w:pStyle w:val="Tabletext"/>
              <w:jc w:val="right"/>
              <w:rPr>
                <w:sz w:val="20"/>
              </w:rPr>
            </w:pPr>
            <w:r w:rsidRPr="009257C7">
              <w:rPr>
                <w:sz w:val="20"/>
              </w:rPr>
              <w:t>715</w:t>
            </w:r>
          </w:p>
        </w:tc>
        <w:tc>
          <w:tcPr>
            <w:tcW w:w="1228" w:type="dxa"/>
            <w:tcBorders>
              <w:top w:val="nil"/>
              <w:left w:val="nil"/>
              <w:bottom w:val="nil"/>
              <w:right w:val="nil"/>
            </w:tcBorders>
          </w:tcPr>
          <w:p w:rsidR="00F971F1" w:rsidRPr="009257C7" w:rsidRDefault="00F971F1" w:rsidP="005D0EF6">
            <w:pPr>
              <w:pStyle w:val="Tabletext"/>
              <w:jc w:val="right"/>
              <w:rPr>
                <w:sz w:val="20"/>
              </w:rPr>
            </w:pPr>
            <w:r w:rsidRPr="009257C7">
              <w:rPr>
                <w:sz w:val="20"/>
              </w:rPr>
              <w:t>580</w:t>
            </w:r>
          </w:p>
        </w:tc>
        <w:tc>
          <w:tcPr>
            <w:tcW w:w="1327" w:type="dxa"/>
            <w:tcBorders>
              <w:top w:val="nil"/>
              <w:left w:val="nil"/>
              <w:bottom w:val="nil"/>
              <w:right w:val="nil"/>
            </w:tcBorders>
          </w:tcPr>
          <w:p w:rsidR="00F971F1" w:rsidRPr="009257C7" w:rsidRDefault="00F971F1" w:rsidP="005D0EF6">
            <w:pPr>
              <w:pStyle w:val="Tabletext"/>
              <w:jc w:val="right"/>
              <w:rPr>
                <w:sz w:val="20"/>
              </w:rPr>
            </w:pPr>
            <w:r w:rsidRPr="009257C7">
              <w:rPr>
                <w:sz w:val="20"/>
              </w:rPr>
              <w:t>1 295</w:t>
            </w:r>
          </w:p>
        </w:tc>
      </w:tr>
      <w:tr w:rsidR="00F971F1" w:rsidRPr="009257C7" w:rsidTr="005D0EF6">
        <w:tc>
          <w:tcPr>
            <w:tcW w:w="1266" w:type="dxa"/>
            <w:tcBorders>
              <w:top w:val="nil"/>
              <w:left w:val="nil"/>
              <w:bottom w:val="nil"/>
              <w:right w:val="nil"/>
            </w:tcBorders>
          </w:tcPr>
          <w:p w:rsidR="00F971F1" w:rsidRPr="009257C7" w:rsidRDefault="00F971F1" w:rsidP="005D0EF6">
            <w:pPr>
              <w:pStyle w:val="Tabletext"/>
              <w:rPr>
                <w:sz w:val="20"/>
              </w:rPr>
            </w:pPr>
            <w:r w:rsidRPr="009257C7">
              <w:rPr>
                <w:sz w:val="20"/>
              </w:rPr>
              <w:t>Sección 8</w:t>
            </w:r>
          </w:p>
        </w:tc>
        <w:tc>
          <w:tcPr>
            <w:tcW w:w="2273" w:type="dxa"/>
            <w:tcBorders>
              <w:top w:val="nil"/>
              <w:left w:val="nil"/>
              <w:bottom w:val="nil"/>
              <w:right w:val="nil"/>
            </w:tcBorders>
          </w:tcPr>
          <w:p w:rsidR="00F971F1" w:rsidRPr="009257C7" w:rsidRDefault="00F971F1" w:rsidP="005D0EF6">
            <w:pPr>
              <w:pStyle w:val="Tabletext"/>
              <w:rPr>
                <w:sz w:val="20"/>
              </w:rPr>
            </w:pPr>
            <w:r w:rsidRPr="009257C7">
              <w:rPr>
                <w:sz w:val="20"/>
              </w:rPr>
              <w:t>Seminarios y talleres</w:t>
            </w:r>
          </w:p>
        </w:tc>
        <w:tc>
          <w:tcPr>
            <w:tcW w:w="1134" w:type="dxa"/>
            <w:tcBorders>
              <w:top w:val="nil"/>
              <w:left w:val="nil"/>
              <w:bottom w:val="nil"/>
              <w:right w:val="nil"/>
            </w:tcBorders>
          </w:tcPr>
          <w:p w:rsidR="00F971F1" w:rsidRPr="009257C7" w:rsidRDefault="00F971F1" w:rsidP="005D0EF6">
            <w:pPr>
              <w:pStyle w:val="Tabletext"/>
              <w:jc w:val="right"/>
              <w:rPr>
                <w:sz w:val="20"/>
              </w:rPr>
            </w:pPr>
          </w:p>
        </w:tc>
        <w:tc>
          <w:tcPr>
            <w:tcW w:w="1134" w:type="dxa"/>
            <w:tcBorders>
              <w:top w:val="nil"/>
              <w:left w:val="nil"/>
              <w:bottom w:val="nil"/>
              <w:right w:val="nil"/>
            </w:tcBorders>
          </w:tcPr>
          <w:p w:rsidR="00F971F1" w:rsidRPr="009257C7" w:rsidRDefault="00F971F1" w:rsidP="005D0EF6">
            <w:pPr>
              <w:pStyle w:val="Tabletext"/>
              <w:jc w:val="right"/>
              <w:rPr>
                <w:sz w:val="20"/>
              </w:rPr>
            </w:pPr>
            <w:r w:rsidRPr="009257C7">
              <w:rPr>
                <w:sz w:val="20"/>
              </w:rPr>
              <w:t>780</w:t>
            </w:r>
          </w:p>
        </w:tc>
        <w:tc>
          <w:tcPr>
            <w:tcW w:w="1267" w:type="dxa"/>
            <w:tcBorders>
              <w:top w:val="nil"/>
              <w:left w:val="nil"/>
              <w:bottom w:val="nil"/>
              <w:right w:val="nil"/>
            </w:tcBorders>
          </w:tcPr>
          <w:p w:rsidR="00F971F1" w:rsidRPr="009257C7" w:rsidRDefault="00F971F1" w:rsidP="005D0EF6">
            <w:pPr>
              <w:pStyle w:val="Tabletext"/>
              <w:jc w:val="right"/>
              <w:rPr>
                <w:sz w:val="20"/>
              </w:rPr>
            </w:pPr>
            <w:r w:rsidRPr="009257C7">
              <w:rPr>
                <w:sz w:val="20"/>
              </w:rPr>
              <w:t>390</w:t>
            </w:r>
          </w:p>
        </w:tc>
        <w:tc>
          <w:tcPr>
            <w:tcW w:w="1228" w:type="dxa"/>
            <w:tcBorders>
              <w:top w:val="nil"/>
              <w:left w:val="nil"/>
              <w:bottom w:val="nil"/>
              <w:right w:val="nil"/>
            </w:tcBorders>
          </w:tcPr>
          <w:p w:rsidR="00F971F1" w:rsidRPr="009257C7" w:rsidRDefault="00F971F1" w:rsidP="005D0EF6">
            <w:pPr>
              <w:pStyle w:val="Tabletext"/>
              <w:jc w:val="right"/>
              <w:rPr>
                <w:sz w:val="20"/>
              </w:rPr>
            </w:pPr>
            <w:r w:rsidRPr="009257C7">
              <w:rPr>
                <w:sz w:val="20"/>
              </w:rPr>
              <w:t>390</w:t>
            </w:r>
          </w:p>
        </w:tc>
        <w:tc>
          <w:tcPr>
            <w:tcW w:w="1327" w:type="dxa"/>
            <w:tcBorders>
              <w:top w:val="nil"/>
              <w:left w:val="nil"/>
              <w:bottom w:val="nil"/>
              <w:right w:val="nil"/>
            </w:tcBorders>
          </w:tcPr>
          <w:p w:rsidR="00F971F1" w:rsidRPr="009257C7" w:rsidRDefault="00F971F1" w:rsidP="005D0EF6">
            <w:pPr>
              <w:pStyle w:val="Tabletext"/>
              <w:jc w:val="right"/>
              <w:rPr>
                <w:sz w:val="20"/>
              </w:rPr>
            </w:pPr>
            <w:r w:rsidRPr="009257C7">
              <w:rPr>
                <w:sz w:val="20"/>
              </w:rPr>
              <w:t>780</w:t>
            </w:r>
          </w:p>
        </w:tc>
      </w:tr>
      <w:tr w:rsidR="00F971F1" w:rsidRPr="009257C7" w:rsidTr="005D0EF6">
        <w:tc>
          <w:tcPr>
            <w:tcW w:w="1266" w:type="dxa"/>
            <w:tcBorders>
              <w:top w:val="nil"/>
              <w:left w:val="nil"/>
              <w:bottom w:val="single" w:sz="4" w:space="0" w:color="auto"/>
              <w:right w:val="nil"/>
            </w:tcBorders>
          </w:tcPr>
          <w:p w:rsidR="00F971F1" w:rsidRPr="009257C7" w:rsidRDefault="00F971F1" w:rsidP="005D0EF6">
            <w:pPr>
              <w:pStyle w:val="Tabletext"/>
              <w:rPr>
                <w:sz w:val="20"/>
              </w:rPr>
            </w:pPr>
            <w:r w:rsidRPr="009257C7">
              <w:rPr>
                <w:sz w:val="20"/>
              </w:rPr>
              <w:t>Sección 9</w:t>
            </w:r>
          </w:p>
        </w:tc>
        <w:tc>
          <w:tcPr>
            <w:tcW w:w="2273" w:type="dxa"/>
            <w:tcBorders>
              <w:top w:val="nil"/>
              <w:left w:val="nil"/>
              <w:bottom w:val="single" w:sz="4" w:space="0" w:color="auto"/>
              <w:right w:val="nil"/>
            </w:tcBorders>
          </w:tcPr>
          <w:p w:rsidR="00F971F1" w:rsidRPr="009257C7" w:rsidRDefault="00F971F1" w:rsidP="005D0EF6">
            <w:pPr>
              <w:pStyle w:val="Tabletext"/>
              <w:rPr>
                <w:sz w:val="20"/>
              </w:rPr>
            </w:pPr>
            <w:r w:rsidRPr="009257C7">
              <w:rPr>
                <w:sz w:val="20"/>
              </w:rPr>
              <w:t>Oficina</w:t>
            </w:r>
          </w:p>
          <w:p w:rsidR="00F971F1" w:rsidRPr="009257C7" w:rsidRDefault="00F971F1" w:rsidP="005D0EF6">
            <w:pPr>
              <w:pStyle w:val="Tabletext"/>
              <w:rPr>
                <w:i/>
                <w:iCs/>
                <w:sz w:val="20"/>
              </w:rPr>
            </w:pPr>
            <w:r w:rsidRPr="009257C7">
              <w:rPr>
                <w:i/>
                <w:iCs/>
                <w:sz w:val="20"/>
              </w:rPr>
              <w:t>–</w:t>
            </w:r>
            <w:r w:rsidRPr="009257C7">
              <w:rPr>
                <w:i/>
                <w:iCs/>
                <w:sz w:val="20"/>
              </w:rPr>
              <w:tab/>
              <w:t>Gastos comunes</w:t>
            </w:r>
          </w:p>
          <w:p w:rsidR="00F971F1" w:rsidRPr="009257C7" w:rsidRDefault="00F971F1" w:rsidP="005D0EF6">
            <w:pPr>
              <w:pStyle w:val="Tabletext"/>
              <w:rPr>
                <w:i/>
                <w:iCs/>
                <w:sz w:val="20"/>
              </w:rPr>
            </w:pPr>
            <w:r w:rsidRPr="009257C7">
              <w:rPr>
                <w:i/>
                <w:iCs/>
                <w:sz w:val="20"/>
              </w:rPr>
              <w:t>–</w:t>
            </w:r>
            <w:r w:rsidRPr="009257C7">
              <w:rPr>
                <w:i/>
                <w:iCs/>
                <w:sz w:val="20"/>
              </w:rPr>
              <w:tab/>
              <w:t>Oficina del Director</w:t>
            </w:r>
          </w:p>
          <w:p w:rsidR="00F971F1" w:rsidRPr="009257C7" w:rsidRDefault="00F971F1" w:rsidP="005D0EF6">
            <w:pPr>
              <w:pStyle w:val="Tabletext"/>
              <w:rPr>
                <w:sz w:val="20"/>
              </w:rPr>
            </w:pPr>
            <w:r w:rsidRPr="009257C7">
              <w:rPr>
                <w:i/>
                <w:iCs/>
                <w:sz w:val="20"/>
              </w:rPr>
              <w:t>–</w:t>
            </w:r>
            <w:r w:rsidRPr="009257C7">
              <w:rPr>
                <w:i/>
                <w:iCs/>
                <w:sz w:val="20"/>
              </w:rPr>
              <w:tab/>
              <w:t>Departamentos</w:t>
            </w:r>
          </w:p>
        </w:tc>
        <w:tc>
          <w:tcPr>
            <w:tcW w:w="1134" w:type="dxa"/>
            <w:tcBorders>
              <w:top w:val="nil"/>
              <w:left w:val="nil"/>
              <w:bottom w:val="single" w:sz="4" w:space="0" w:color="auto"/>
              <w:right w:val="nil"/>
            </w:tcBorders>
          </w:tcPr>
          <w:p w:rsidR="00F971F1" w:rsidRPr="009257C7" w:rsidRDefault="00F971F1" w:rsidP="005D0EF6">
            <w:pPr>
              <w:pStyle w:val="Tabletext"/>
              <w:jc w:val="right"/>
              <w:rPr>
                <w:sz w:val="20"/>
              </w:rPr>
            </w:pPr>
            <w:r w:rsidRPr="009257C7">
              <w:rPr>
                <w:sz w:val="20"/>
              </w:rPr>
              <w:t>0</w:t>
            </w:r>
          </w:p>
        </w:tc>
        <w:tc>
          <w:tcPr>
            <w:tcW w:w="1134" w:type="dxa"/>
            <w:tcBorders>
              <w:top w:val="nil"/>
              <w:left w:val="nil"/>
              <w:bottom w:val="single" w:sz="4" w:space="0" w:color="auto"/>
              <w:right w:val="nil"/>
            </w:tcBorders>
          </w:tcPr>
          <w:p w:rsidR="00F971F1" w:rsidRPr="009257C7" w:rsidRDefault="00F971F1" w:rsidP="005D0EF6">
            <w:pPr>
              <w:pStyle w:val="Tabletext"/>
              <w:jc w:val="right"/>
              <w:rPr>
                <w:sz w:val="20"/>
              </w:rPr>
            </w:pPr>
            <w:r w:rsidRPr="009257C7">
              <w:rPr>
                <w:sz w:val="20"/>
              </w:rPr>
              <w:t>52 239</w:t>
            </w:r>
          </w:p>
          <w:p w:rsidR="00F971F1" w:rsidRPr="009257C7" w:rsidRDefault="00F971F1" w:rsidP="005D0EF6">
            <w:pPr>
              <w:pStyle w:val="Tabletext"/>
              <w:jc w:val="right"/>
              <w:rPr>
                <w:i/>
                <w:iCs/>
                <w:sz w:val="20"/>
              </w:rPr>
            </w:pPr>
            <w:r w:rsidRPr="009257C7">
              <w:rPr>
                <w:i/>
                <w:iCs/>
                <w:sz w:val="20"/>
              </w:rPr>
              <w:t>2 070</w:t>
            </w:r>
          </w:p>
          <w:p w:rsidR="00F971F1" w:rsidRPr="009257C7" w:rsidRDefault="00F971F1" w:rsidP="005D0EF6">
            <w:pPr>
              <w:pStyle w:val="Tabletext"/>
              <w:jc w:val="right"/>
              <w:rPr>
                <w:i/>
                <w:iCs/>
                <w:sz w:val="20"/>
              </w:rPr>
            </w:pPr>
            <w:r w:rsidRPr="009257C7">
              <w:rPr>
                <w:i/>
                <w:iCs/>
                <w:sz w:val="20"/>
              </w:rPr>
              <w:t>1 549</w:t>
            </w:r>
          </w:p>
          <w:p w:rsidR="00F971F1" w:rsidRPr="009257C7" w:rsidRDefault="00F971F1" w:rsidP="005D0EF6">
            <w:pPr>
              <w:pStyle w:val="Tabletext"/>
              <w:jc w:val="right"/>
              <w:rPr>
                <w:sz w:val="20"/>
              </w:rPr>
            </w:pPr>
            <w:r w:rsidRPr="009257C7">
              <w:rPr>
                <w:i/>
                <w:iCs/>
                <w:sz w:val="20"/>
              </w:rPr>
              <w:t>48 620</w:t>
            </w:r>
          </w:p>
        </w:tc>
        <w:tc>
          <w:tcPr>
            <w:tcW w:w="1267" w:type="dxa"/>
            <w:tcBorders>
              <w:top w:val="nil"/>
              <w:left w:val="nil"/>
              <w:bottom w:val="single" w:sz="4" w:space="0" w:color="auto"/>
              <w:right w:val="nil"/>
            </w:tcBorders>
          </w:tcPr>
          <w:p w:rsidR="00F971F1" w:rsidRPr="009257C7" w:rsidRDefault="00F971F1" w:rsidP="005D0EF6">
            <w:pPr>
              <w:pStyle w:val="Tabletext"/>
              <w:jc w:val="right"/>
              <w:rPr>
                <w:sz w:val="20"/>
              </w:rPr>
            </w:pPr>
            <w:r w:rsidRPr="009257C7">
              <w:rPr>
                <w:sz w:val="20"/>
              </w:rPr>
              <w:t>27 461</w:t>
            </w:r>
          </w:p>
          <w:p w:rsidR="00F971F1" w:rsidRPr="009257C7" w:rsidRDefault="00F971F1" w:rsidP="005D0EF6">
            <w:pPr>
              <w:pStyle w:val="Tabletext"/>
              <w:jc w:val="right"/>
              <w:rPr>
                <w:i/>
                <w:iCs/>
                <w:sz w:val="20"/>
              </w:rPr>
            </w:pPr>
            <w:r w:rsidRPr="009257C7">
              <w:rPr>
                <w:i/>
                <w:iCs/>
                <w:sz w:val="20"/>
              </w:rPr>
              <w:t>1 701</w:t>
            </w:r>
          </w:p>
          <w:p w:rsidR="00F971F1" w:rsidRPr="009257C7" w:rsidRDefault="00F971F1" w:rsidP="005D0EF6">
            <w:pPr>
              <w:pStyle w:val="Tabletext"/>
              <w:jc w:val="right"/>
              <w:rPr>
                <w:i/>
                <w:iCs/>
                <w:sz w:val="20"/>
              </w:rPr>
            </w:pPr>
            <w:r w:rsidRPr="009257C7">
              <w:rPr>
                <w:i/>
                <w:iCs/>
                <w:sz w:val="20"/>
              </w:rPr>
              <w:t>692</w:t>
            </w:r>
          </w:p>
          <w:p w:rsidR="00F971F1" w:rsidRPr="009257C7" w:rsidRDefault="00F971F1" w:rsidP="005D0EF6">
            <w:pPr>
              <w:pStyle w:val="Tabletext"/>
              <w:jc w:val="right"/>
              <w:rPr>
                <w:sz w:val="20"/>
              </w:rPr>
            </w:pPr>
            <w:r w:rsidRPr="009257C7">
              <w:rPr>
                <w:i/>
                <w:iCs/>
                <w:sz w:val="20"/>
              </w:rPr>
              <w:t>25 068</w:t>
            </w:r>
          </w:p>
        </w:tc>
        <w:tc>
          <w:tcPr>
            <w:tcW w:w="1228" w:type="dxa"/>
            <w:tcBorders>
              <w:top w:val="nil"/>
              <w:left w:val="nil"/>
              <w:bottom w:val="single" w:sz="4" w:space="0" w:color="auto"/>
              <w:right w:val="nil"/>
            </w:tcBorders>
          </w:tcPr>
          <w:p w:rsidR="00F971F1" w:rsidRPr="009257C7" w:rsidRDefault="00F971F1" w:rsidP="005D0EF6">
            <w:pPr>
              <w:pStyle w:val="Tabletext"/>
              <w:jc w:val="right"/>
              <w:rPr>
                <w:sz w:val="20"/>
              </w:rPr>
            </w:pPr>
            <w:r w:rsidRPr="009257C7">
              <w:rPr>
                <w:sz w:val="20"/>
              </w:rPr>
              <w:t>27 461</w:t>
            </w:r>
          </w:p>
          <w:p w:rsidR="00F971F1" w:rsidRPr="009257C7" w:rsidRDefault="00F971F1" w:rsidP="005D0EF6">
            <w:pPr>
              <w:pStyle w:val="Tabletext"/>
              <w:jc w:val="right"/>
              <w:rPr>
                <w:i/>
                <w:iCs/>
                <w:sz w:val="20"/>
              </w:rPr>
            </w:pPr>
            <w:r w:rsidRPr="009257C7">
              <w:rPr>
                <w:i/>
                <w:iCs/>
                <w:sz w:val="20"/>
              </w:rPr>
              <w:t>1 701</w:t>
            </w:r>
          </w:p>
          <w:p w:rsidR="00F971F1" w:rsidRPr="009257C7" w:rsidRDefault="00F971F1" w:rsidP="005D0EF6">
            <w:pPr>
              <w:pStyle w:val="Tabletext"/>
              <w:jc w:val="right"/>
              <w:rPr>
                <w:i/>
                <w:iCs/>
                <w:sz w:val="20"/>
              </w:rPr>
            </w:pPr>
            <w:r w:rsidRPr="009257C7">
              <w:rPr>
                <w:i/>
                <w:iCs/>
                <w:sz w:val="20"/>
              </w:rPr>
              <w:t>692</w:t>
            </w:r>
          </w:p>
          <w:p w:rsidR="00F971F1" w:rsidRPr="009257C7" w:rsidRDefault="00F971F1" w:rsidP="005D0EF6">
            <w:pPr>
              <w:pStyle w:val="Tabletext"/>
              <w:jc w:val="right"/>
              <w:rPr>
                <w:sz w:val="20"/>
              </w:rPr>
            </w:pPr>
            <w:r w:rsidRPr="009257C7">
              <w:rPr>
                <w:i/>
                <w:iCs/>
                <w:sz w:val="20"/>
              </w:rPr>
              <w:t>25 068</w:t>
            </w:r>
          </w:p>
        </w:tc>
        <w:tc>
          <w:tcPr>
            <w:tcW w:w="1327" w:type="dxa"/>
            <w:tcBorders>
              <w:top w:val="nil"/>
              <w:left w:val="nil"/>
              <w:bottom w:val="single" w:sz="4" w:space="0" w:color="auto"/>
              <w:right w:val="nil"/>
            </w:tcBorders>
          </w:tcPr>
          <w:p w:rsidR="00F971F1" w:rsidRPr="009257C7" w:rsidRDefault="00F971F1" w:rsidP="005D0EF6">
            <w:pPr>
              <w:pStyle w:val="Tabletext"/>
              <w:jc w:val="right"/>
              <w:rPr>
                <w:sz w:val="20"/>
              </w:rPr>
            </w:pPr>
            <w:r w:rsidRPr="009257C7">
              <w:rPr>
                <w:sz w:val="20"/>
              </w:rPr>
              <w:t>54 922</w:t>
            </w:r>
          </w:p>
          <w:p w:rsidR="00F971F1" w:rsidRPr="009257C7" w:rsidRDefault="00F971F1" w:rsidP="005D0EF6">
            <w:pPr>
              <w:pStyle w:val="Tabletext"/>
              <w:jc w:val="right"/>
              <w:rPr>
                <w:i/>
                <w:iCs/>
                <w:sz w:val="20"/>
              </w:rPr>
            </w:pPr>
            <w:r w:rsidRPr="009257C7">
              <w:rPr>
                <w:i/>
                <w:iCs/>
                <w:sz w:val="20"/>
              </w:rPr>
              <w:t>3 402</w:t>
            </w:r>
          </w:p>
          <w:p w:rsidR="00F971F1" w:rsidRPr="009257C7" w:rsidRDefault="00F971F1" w:rsidP="005D0EF6">
            <w:pPr>
              <w:pStyle w:val="Tabletext"/>
              <w:jc w:val="right"/>
              <w:rPr>
                <w:i/>
                <w:iCs/>
                <w:sz w:val="20"/>
              </w:rPr>
            </w:pPr>
            <w:r w:rsidRPr="009257C7">
              <w:rPr>
                <w:i/>
                <w:iCs/>
                <w:sz w:val="20"/>
              </w:rPr>
              <w:t>1 384</w:t>
            </w:r>
          </w:p>
          <w:p w:rsidR="00F971F1" w:rsidRPr="009257C7" w:rsidRDefault="00F971F1" w:rsidP="005D0EF6">
            <w:pPr>
              <w:pStyle w:val="Tabletext"/>
              <w:jc w:val="right"/>
              <w:rPr>
                <w:sz w:val="20"/>
              </w:rPr>
            </w:pPr>
            <w:r w:rsidRPr="009257C7">
              <w:rPr>
                <w:i/>
                <w:iCs/>
                <w:sz w:val="20"/>
              </w:rPr>
              <w:t>50 136</w:t>
            </w:r>
          </w:p>
        </w:tc>
      </w:tr>
      <w:tr w:rsidR="00F971F1" w:rsidRPr="009257C7" w:rsidTr="005D0EF6">
        <w:tc>
          <w:tcPr>
            <w:tcW w:w="1266" w:type="dxa"/>
            <w:tcBorders>
              <w:left w:val="nil"/>
              <w:right w:val="nil"/>
            </w:tcBorders>
          </w:tcPr>
          <w:p w:rsidR="00F971F1" w:rsidRPr="009257C7" w:rsidRDefault="00F971F1" w:rsidP="005D0EF6">
            <w:pPr>
              <w:pStyle w:val="Tabletext"/>
              <w:rPr>
                <w:b/>
                <w:bCs/>
                <w:sz w:val="20"/>
              </w:rPr>
            </w:pPr>
            <w:r w:rsidRPr="009257C7">
              <w:rPr>
                <w:b/>
                <w:bCs/>
                <w:sz w:val="20"/>
              </w:rPr>
              <w:t>TOTAL</w:t>
            </w:r>
          </w:p>
        </w:tc>
        <w:tc>
          <w:tcPr>
            <w:tcW w:w="2273" w:type="dxa"/>
            <w:tcBorders>
              <w:left w:val="nil"/>
              <w:right w:val="nil"/>
            </w:tcBorders>
          </w:tcPr>
          <w:p w:rsidR="00F971F1" w:rsidRPr="009257C7" w:rsidRDefault="00F971F1" w:rsidP="005D0EF6">
            <w:pPr>
              <w:pStyle w:val="Tabletext"/>
              <w:rPr>
                <w:b/>
                <w:bCs/>
                <w:sz w:val="20"/>
              </w:rPr>
            </w:pPr>
          </w:p>
        </w:tc>
        <w:tc>
          <w:tcPr>
            <w:tcW w:w="1134" w:type="dxa"/>
            <w:tcBorders>
              <w:left w:val="nil"/>
              <w:right w:val="nil"/>
            </w:tcBorders>
          </w:tcPr>
          <w:p w:rsidR="00F971F1" w:rsidRPr="009257C7" w:rsidRDefault="00F971F1" w:rsidP="005D0EF6">
            <w:pPr>
              <w:pStyle w:val="Tabletext"/>
              <w:jc w:val="right"/>
              <w:rPr>
                <w:b/>
                <w:bCs/>
                <w:sz w:val="20"/>
              </w:rPr>
            </w:pPr>
            <w:r w:rsidRPr="009257C7">
              <w:rPr>
                <w:b/>
                <w:bCs/>
                <w:sz w:val="20"/>
              </w:rPr>
              <w:t>0</w:t>
            </w:r>
          </w:p>
        </w:tc>
        <w:tc>
          <w:tcPr>
            <w:tcW w:w="1134" w:type="dxa"/>
            <w:tcBorders>
              <w:left w:val="nil"/>
              <w:right w:val="nil"/>
            </w:tcBorders>
          </w:tcPr>
          <w:p w:rsidR="00F971F1" w:rsidRPr="009257C7" w:rsidRDefault="00F971F1" w:rsidP="005D0EF6">
            <w:pPr>
              <w:pStyle w:val="Tabletext"/>
              <w:jc w:val="right"/>
              <w:rPr>
                <w:b/>
                <w:bCs/>
                <w:sz w:val="20"/>
              </w:rPr>
            </w:pPr>
            <w:r w:rsidRPr="009257C7">
              <w:rPr>
                <w:b/>
                <w:bCs/>
                <w:sz w:val="20"/>
              </w:rPr>
              <w:t>59 586</w:t>
            </w:r>
          </w:p>
        </w:tc>
        <w:tc>
          <w:tcPr>
            <w:tcW w:w="1267" w:type="dxa"/>
            <w:tcBorders>
              <w:left w:val="nil"/>
              <w:right w:val="nil"/>
            </w:tcBorders>
          </w:tcPr>
          <w:p w:rsidR="00F971F1" w:rsidRPr="009257C7" w:rsidRDefault="00F971F1" w:rsidP="005D0EF6">
            <w:pPr>
              <w:pStyle w:val="Tabletext"/>
              <w:jc w:val="right"/>
              <w:rPr>
                <w:b/>
                <w:bCs/>
                <w:sz w:val="20"/>
              </w:rPr>
            </w:pPr>
            <w:r w:rsidRPr="009257C7">
              <w:rPr>
                <w:b/>
                <w:bCs/>
                <w:sz w:val="20"/>
              </w:rPr>
              <w:t>29 831</w:t>
            </w:r>
          </w:p>
        </w:tc>
        <w:tc>
          <w:tcPr>
            <w:tcW w:w="1228" w:type="dxa"/>
            <w:tcBorders>
              <w:left w:val="nil"/>
              <w:right w:val="nil"/>
            </w:tcBorders>
          </w:tcPr>
          <w:p w:rsidR="00F971F1" w:rsidRPr="009257C7" w:rsidRDefault="00F971F1" w:rsidP="005D0EF6">
            <w:pPr>
              <w:pStyle w:val="Tabletext"/>
              <w:jc w:val="right"/>
              <w:rPr>
                <w:b/>
                <w:bCs/>
                <w:sz w:val="20"/>
              </w:rPr>
            </w:pPr>
            <w:r w:rsidRPr="009257C7">
              <w:rPr>
                <w:b/>
                <w:bCs/>
                <w:sz w:val="20"/>
              </w:rPr>
              <w:t>29 696</w:t>
            </w:r>
          </w:p>
        </w:tc>
        <w:tc>
          <w:tcPr>
            <w:tcW w:w="1327" w:type="dxa"/>
            <w:tcBorders>
              <w:left w:val="nil"/>
              <w:right w:val="nil"/>
            </w:tcBorders>
          </w:tcPr>
          <w:p w:rsidR="00F971F1" w:rsidRPr="009257C7" w:rsidRDefault="00F971F1" w:rsidP="005D0EF6">
            <w:pPr>
              <w:pStyle w:val="Tabletext"/>
              <w:jc w:val="right"/>
              <w:rPr>
                <w:b/>
                <w:bCs/>
                <w:sz w:val="20"/>
              </w:rPr>
            </w:pPr>
            <w:r w:rsidRPr="009257C7">
              <w:rPr>
                <w:b/>
                <w:bCs/>
                <w:sz w:val="20"/>
              </w:rPr>
              <w:t>59 527</w:t>
            </w:r>
          </w:p>
        </w:tc>
      </w:tr>
    </w:tbl>
    <w:p w:rsidR="00F971F1" w:rsidRPr="009257C7" w:rsidRDefault="00196282" w:rsidP="00BA3E0B">
      <w:pPr>
        <w:spacing w:before="360" w:after="120"/>
        <w:rPr>
          <w:b/>
          <w:bCs/>
          <w:i/>
          <w:iCs/>
          <w:sz w:val="22"/>
          <w:szCs w:val="22"/>
        </w:rPr>
      </w:pPr>
      <w:r w:rsidRPr="009257C7">
        <w:rPr>
          <w:b/>
          <w:bCs/>
          <w:i/>
          <w:iCs/>
          <w:sz w:val="22"/>
          <w:szCs w:val="22"/>
        </w:rPr>
        <w:t>Gastos a 28 de febrero de 2019</w:t>
      </w:r>
    </w:p>
    <w:tbl>
      <w:tblPr>
        <w:tblStyle w:val="TableGrid"/>
        <w:tblW w:w="0" w:type="auto"/>
        <w:tblLook w:val="04A0" w:firstRow="1" w:lastRow="0" w:firstColumn="1" w:lastColumn="0" w:noHBand="0" w:noVBand="1"/>
      </w:tblPr>
      <w:tblGrid>
        <w:gridCol w:w="1251"/>
        <w:gridCol w:w="3356"/>
        <w:gridCol w:w="1261"/>
        <w:gridCol w:w="1250"/>
        <w:gridCol w:w="1212"/>
        <w:gridCol w:w="1304"/>
      </w:tblGrid>
      <w:tr w:rsidR="00F971F1" w:rsidRPr="009257C7" w:rsidTr="004A4C5E">
        <w:tc>
          <w:tcPr>
            <w:tcW w:w="4673" w:type="dxa"/>
            <w:gridSpan w:val="2"/>
            <w:tcBorders>
              <w:top w:val="nil"/>
              <w:left w:val="nil"/>
              <w:bottom w:val="single" w:sz="4" w:space="0" w:color="auto"/>
              <w:right w:val="nil"/>
            </w:tcBorders>
          </w:tcPr>
          <w:p w:rsidR="00F971F1" w:rsidRPr="009257C7" w:rsidRDefault="00F971F1" w:rsidP="005D0EF6">
            <w:pPr>
              <w:pStyle w:val="Tablehead"/>
              <w:rPr>
                <w:sz w:val="20"/>
              </w:rPr>
            </w:pPr>
          </w:p>
        </w:tc>
        <w:tc>
          <w:tcPr>
            <w:tcW w:w="1134" w:type="dxa"/>
            <w:tcBorders>
              <w:top w:val="nil"/>
              <w:left w:val="nil"/>
              <w:bottom w:val="single" w:sz="4" w:space="0" w:color="auto"/>
              <w:right w:val="nil"/>
            </w:tcBorders>
            <w:shd w:val="clear" w:color="auto" w:fill="DBE5F1" w:themeFill="accent1" w:themeFillTint="33"/>
            <w:vAlign w:val="center"/>
          </w:tcPr>
          <w:p w:rsidR="00F971F1" w:rsidRPr="009257C7" w:rsidRDefault="00BA3E0B" w:rsidP="005D0EF6">
            <w:pPr>
              <w:pStyle w:val="Tablehead"/>
              <w:rPr>
                <w:sz w:val="20"/>
              </w:rPr>
            </w:pPr>
            <w:r w:rsidRPr="009257C7">
              <w:rPr>
                <w:sz w:val="20"/>
              </w:rPr>
              <w:t>Presupuesto</w:t>
            </w:r>
            <w:r w:rsidR="00F971F1" w:rsidRPr="009257C7">
              <w:rPr>
                <w:sz w:val="20"/>
              </w:rPr>
              <w:br/>
              <w:t>2018-2019</w:t>
            </w:r>
          </w:p>
        </w:tc>
        <w:tc>
          <w:tcPr>
            <w:tcW w:w="1267" w:type="dxa"/>
            <w:tcBorders>
              <w:top w:val="nil"/>
              <w:left w:val="nil"/>
              <w:bottom w:val="single" w:sz="4" w:space="0" w:color="auto"/>
              <w:right w:val="nil"/>
            </w:tcBorders>
            <w:vAlign w:val="center"/>
          </w:tcPr>
          <w:p w:rsidR="00F971F1" w:rsidRPr="009257C7" w:rsidRDefault="00BA3E0B" w:rsidP="005D0EF6">
            <w:pPr>
              <w:pStyle w:val="Tablehead"/>
              <w:rPr>
                <w:sz w:val="20"/>
              </w:rPr>
            </w:pPr>
            <w:r w:rsidRPr="009257C7">
              <w:rPr>
                <w:sz w:val="20"/>
              </w:rPr>
              <w:t>Gastos</w:t>
            </w:r>
            <w:r w:rsidR="00F971F1" w:rsidRPr="009257C7">
              <w:rPr>
                <w:sz w:val="20"/>
              </w:rPr>
              <w:br/>
              <w:t>2018</w:t>
            </w:r>
          </w:p>
        </w:tc>
        <w:tc>
          <w:tcPr>
            <w:tcW w:w="1228" w:type="dxa"/>
            <w:tcBorders>
              <w:top w:val="nil"/>
              <w:left w:val="nil"/>
              <w:bottom w:val="single" w:sz="4" w:space="0" w:color="auto"/>
              <w:right w:val="nil"/>
            </w:tcBorders>
            <w:vAlign w:val="center"/>
          </w:tcPr>
          <w:p w:rsidR="00F971F1" w:rsidRPr="009257C7" w:rsidRDefault="00BA3E0B" w:rsidP="005D0EF6">
            <w:pPr>
              <w:pStyle w:val="Tablehead"/>
              <w:rPr>
                <w:sz w:val="20"/>
              </w:rPr>
            </w:pPr>
            <w:r w:rsidRPr="009257C7">
              <w:rPr>
                <w:sz w:val="20"/>
              </w:rPr>
              <w:t>Gastos</w:t>
            </w:r>
            <w:r w:rsidR="00F971F1" w:rsidRPr="009257C7">
              <w:rPr>
                <w:sz w:val="20"/>
              </w:rPr>
              <w:br/>
              <w:t>2019</w:t>
            </w:r>
          </w:p>
        </w:tc>
        <w:tc>
          <w:tcPr>
            <w:tcW w:w="1327" w:type="dxa"/>
            <w:tcBorders>
              <w:top w:val="nil"/>
              <w:left w:val="nil"/>
              <w:bottom w:val="single" w:sz="4" w:space="0" w:color="auto"/>
            </w:tcBorders>
            <w:shd w:val="clear" w:color="auto" w:fill="DBE5F1" w:themeFill="accent1" w:themeFillTint="33"/>
            <w:vAlign w:val="center"/>
          </w:tcPr>
          <w:p w:rsidR="00F971F1" w:rsidRPr="009257C7" w:rsidRDefault="004A4C5E" w:rsidP="005D0EF6">
            <w:pPr>
              <w:pStyle w:val="Tablehead"/>
              <w:rPr>
                <w:sz w:val="20"/>
              </w:rPr>
            </w:pPr>
            <w:r w:rsidRPr="009257C7">
              <w:rPr>
                <w:sz w:val="20"/>
              </w:rPr>
              <w:t>Saldo</w:t>
            </w:r>
          </w:p>
        </w:tc>
      </w:tr>
      <w:tr w:rsidR="00F971F1" w:rsidRPr="009257C7" w:rsidTr="005D0EF6">
        <w:tc>
          <w:tcPr>
            <w:tcW w:w="1266" w:type="dxa"/>
            <w:tcBorders>
              <w:left w:val="nil"/>
              <w:bottom w:val="nil"/>
              <w:right w:val="nil"/>
            </w:tcBorders>
          </w:tcPr>
          <w:p w:rsidR="00F971F1" w:rsidRPr="009257C7" w:rsidRDefault="00F971F1" w:rsidP="005D0EF6">
            <w:pPr>
              <w:pStyle w:val="Tabletext"/>
              <w:rPr>
                <w:sz w:val="20"/>
              </w:rPr>
            </w:pPr>
          </w:p>
        </w:tc>
        <w:tc>
          <w:tcPr>
            <w:tcW w:w="3407" w:type="dxa"/>
            <w:tcBorders>
              <w:left w:val="nil"/>
              <w:bottom w:val="nil"/>
              <w:right w:val="nil"/>
            </w:tcBorders>
          </w:tcPr>
          <w:p w:rsidR="00F971F1" w:rsidRPr="009257C7" w:rsidRDefault="00BA3E0B" w:rsidP="005D0EF6">
            <w:pPr>
              <w:pStyle w:val="Tabletext"/>
              <w:rPr>
                <w:sz w:val="20"/>
              </w:rPr>
            </w:pPr>
            <w:r w:rsidRPr="009257C7">
              <w:rPr>
                <w:sz w:val="20"/>
              </w:rPr>
              <w:t>Descripción</w:t>
            </w:r>
          </w:p>
        </w:tc>
        <w:tc>
          <w:tcPr>
            <w:tcW w:w="1134" w:type="dxa"/>
            <w:tcBorders>
              <w:left w:val="nil"/>
              <w:bottom w:val="nil"/>
              <w:right w:val="nil"/>
            </w:tcBorders>
            <w:shd w:val="clear" w:color="auto" w:fill="DBE5F1" w:themeFill="accent1" w:themeFillTint="33"/>
          </w:tcPr>
          <w:p w:rsidR="00F971F1" w:rsidRPr="009257C7" w:rsidRDefault="00F971F1" w:rsidP="005D0EF6">
            <w:pPr>
              <w:pStyle w:val="Tabletext"/>
              <w:jc w:val="right"/>
              <w:rPr>
                <w:sz w:val="20"/>
              </w:rPr>
            </w:pPr>
          </w:p>
        </w:tc>
        <w:tc>
          <w:tcPr>
            <w:tcW w:w="1267" w:type="dxa"/>
            <w:tcBorders>
              <w:left w:val="nil"/>
              <w:bottom w:val="nil"/>
              <w:right w:val="nil"/>
            </w:tcBorders>
          </w:tcPr>
          <w:p w:rsidR="00F971F1" w:rsidRPr="009257C7" w:rsidRDefault="00F971F1" w:rsidP="005D0EF6">
            <w:pPr>
              <w:pStyle w:val="Tabletext"/>
              <w:jc w:val="right"/>
              <w:rPr>
                <w:sz w:val="20"/>
              </w:rPr>
            </w:pPr>
          </w:p>
        </w:tc>
        <w:tc>
          <w:tcPr>
            <w:tcW w:w="1228" w:type="dxa"/>
            <w:tcBorders>
              <w:left w:val="nil"/>
              <w:bottom w:val="nil"/>
              <w:right w:val="nil"/>
            </w:tcBorders>
          </w:tcPr>
          <w:p w:rsidR="00F971F1" w:rsidRPr="009257C7" w:rsidRDefault="00F971F1" w:rsidP="005D0EF6">
            <w:pPr>
              <w:pStyle w:val="Tabletext"/>
              <w:jc w:val="right"/>
              <w:rPr>
                <w:sz w:val="20"/>
              </w:rPr>
            </w:pPr>
          </w:p>
        </w:tc>
        <w:tc>
          <w:tcPr>
            <w:tcW w:w="1327" w:type="dxa"/>
            <w:tcBorders>
              <w:left w:val="nil"/>
              <w:bottom w:val="nil"/>
              <w:right w:val="nil"/>
            </w:tcBorders>
            <w:shd w:val="clear" w:color="auto" w:fill="DBE5F1" w:themeFill="accent1" w:themeFillTint="33"/>
          </w:tcPr>
          <w:p w:rsidR="00F971F1" w:rsidRPr="009257C7" w:rsidRDefault="00F971F1" w:rsidP="005D0EF6">
            <w:pPr>
              <w:pStyle w:val="Tabletext"/>
              <w:jc w:val="right"/>
              <w:rPr>
                <w:sz w:val="20"/>
              </w:rPr>
            </w:pPr>
          </w:p>
        </w:tc>
      </w:tr>
      <w:tr w:rsidR="00F971F1" w:rsidRPr="009257C7" w:rsidTr="005D0EF6">
        <w:tc>
          <w:tcPr>
            <w:tcW w:w="1266" w:type="dxa"/>
            <w:tcBorders>
              <w:top w:val="nil"/>
              <w:left w:val="nil"/>
              <w:bottom w:val="nil"/>
              <w:right w:val="nil"/>
            </w:tcBorders>
          </w:tcPr>
          <w:p w:rsidR="00F971F1" w:rsidRPr="009257C7" w:rsidRDefault="00BA3E0B" w:rsidP="005D0EF6">
            <w:pPr>
              <w:pStyle w:val="Tabletext"/>
              <w:rPr>
                <w:sz w:val="20"/>
              </w:rPr>
            </w:pPr>
            <w:r w:rsidRPr="009257C7">
              <w:rPr>
                <w:sz w:val="20"/>
              </w:rPr>
              <w:t xml:space="preserve">Sección </w:t>
            </w:r>
            <w:r w:rsidR="00F971F1" w:rsidRPr="009257C7">
              <w:rPr>
                <w:sz w:val="20"/>
              </w:rPr>
              <w:t>3.1</w:t>
            </w:r>
          </w:p>
        </w:tc>
        <w:tc>
          <w:tcPr>
            <w:tcW w:w="3407" w:type="dxa"/>
            <w:tcBorders>
              <w:top w:val="nil"/>
              <w:left w:val="nil"/>
              <w:bottom w:val="nil"/>
              <w:right w:val="nil"/>
            </w:tcBorders>
          </w:tcPr>
          <w:p w:rsidR="00F971F1" w:rsidRPr="009257C7" w:rsidRDefault="00BA3E0B" w:rsidP="005D0EF6">
            <w:pPr>
              <w:pStyle w:val="Tabletext"/>
              <w:rPr>
                <w:sz w:val="20"/>
              </w:rPr>
            </w:pPr>
            <w:r w:rsidRPr="009257C7">
              <w:rPr>
                <w:sz w:val="20"/>
              </w:rPr>
              <w:t>Conferencias Mundiales de Radiocomunicaciones</w:t>
            </w:r>
          </w:p>
        </w:tc>
        <w:tc>
          <w:tcPr>
            <w:tcW w:w="1134" w:type="dxa"/>
            <w:tcBorders>
              <w:top w:val="nil"/>
              <w:left w:val="nil"/>
              <w:bottom w:val="nil"/>
              <w:right w:val="nil"/>
            </w:tcBorders>
            <w:shd w:val="clear" w:color="auto" w:fill="DBE5F1" w:themeFill="accent1" w:themeFillTint="33"/>
          </w:tcPr>
          <w:p w:rsidR="00F971F1" w:rsidRPr="009257C7" w:rsidRDefault="00F971F1" w:rsidP="005D0EF6">
            <w:pPr>
              <w:pStyle w:val="Tabletext"/>
              <w:jc w:val="right"/>
              <w:rPr>
                <w:sz w:val="20"/>
              </w:rPr>
            </w:pPr>
            <w:r w:rsidRPr="009257C7">
              <w:rPr>
                <w:sz w:val="20"/>
              </w:rPr>
              <w:t>2 638</w:t>
            </w:r>
          </w:p>
        </w:tc>
        <w:tc>
          <w:tcPr>
            <w:tcW w:w="1267" w:type="dxa"/>
            <w:tcBorders>
              <w:top w:val="nil"/>
              <w:left w:val="nil"/>
              <w:bottom w:val="nil"/>
              <w:right w:val="nil"/>
            </w:tcBorders>
          </w:tcPr>
          <w:p w:rsidR="00F971F1" w:rsidRPr="009257C7" w:rsidRDefault="00F971F1" w:rsidP="005D0EF6">
            <w:pPr>
              <w:pStyle w:val="Tabletext"/>
              <w:jc w:val="right"/>
              <w:rPr>
                <w:sz w:val="20"/>
              </w:rPr>
            </w:pPr>
          </w:p>
        </w:tc>
        <w:tc>
          <w:tcPr>
            <w:tcW w:w="1228" w:type="dxa"/>
            <w:tcBorders>
              <w:top w:val="nil"/>
              <w:left w:val="nil"/>
              <w:bottom w:val="nil"/>
              <w:right w:val="nil"/>
            </w:tcBorders>
          </w:tcPr>
          <w:p w:rsidR="00F971F1" w:rsidRPr="009257C7" w:rsidRDefault="00F971F1" w:rsidP="005D0EF6">
            <w:pPr>
              <w:pStyle w:val="Tabletext"/>
              <w:jc w:val="right"/>
              <w:rPr>
                <w:sz w:val="20"/>
              </w:rPr>
            </w:pPr>
          </w:p>
        </w:tc>
        <w:tc>
          <w:tcPr>
            <w:tcW w:w="1327" w:type="dxa"/>
            <w:tcBorders>
              <w:top w:val="nil"/>
              <w:left w:val="nil"/>
              <w:bottom w:val="nil"/>
              <w:right w:val="nil"/>
            </w:tcBorders>
            <w:shd w:val="clear" w:color="auto" w:fill="DBE5F1" w:themeFill="accent1" w:themeFillTint="33"/>
          </w:tcPr>
          <w:p w:rsidR="00F971F1" w:rsidRPr="009257C7" w:rsidRDefault="00F971F1" w:rsidP="005D0EF6">
            <w:pPr>
              <w:pStyle w:val="Tabletext"/>
              <w:jc w:val="right"/>
              <w:rPr>
                <w:sz w:val="20"/>
              </w:rPr>
            </w:pPr>
            <w:r w:rsidRPr="009257C7">
              <w:rPr>
                <w:sz w:val="20"/>
              </w:rPr>
              <w:t>2 638</w:t>
            </w:r>
          </w:p>
        </w:tc>
      </w:tr>
      <w:tr w:rsidR="00F971F1" w:rsidRPr="009257C7" w:rsidTr="005D0EF6">
        <w:tc>
          <w:tcPr>
            <w:tcW w:w="1266" w:type="dxa"/>
            <w:tcBorders>
              <w:top w:val="nil"/>
              <w:left w:val="nil"/>
              <w:bottom w:val="nil"/>
              <w:right w:val="nil"/>
            </w:tcBorders>
          </w:tcPr>
          <w:p w:rsidR="00F971F1" w:rsidRPr="009257C7" w:rsidRDefault="00BA3E0B" w:rsidP="005D0EF6">
            <w:pPr>
              <w:pStyle w:val="Tabletext"/>
              <w:rPr>
                <w:sz w:val="20"/>
              </w:rPr>
            </w:pPr>
            <w:r w:rsidRPr="009257C7">
              <w:rPr>
                <w:sz w:val="20"/>
              </w:rPr>
              <w:t xml:space="preserve">Sección </w:t>
            </w:r>
            <w:r w:rsidR="00F971F1" w:rsidRPr="009257C7">
              <w:rPr>
                <w:sz w:val="20"/>
              </w:rPr>
              <w:t>3.2</w:t>
            </w:r>
          </w:p>
        </w:tc>
        <w:tc>
          <w:tcPr>
            <w:tcW w:w="3407" w:type="dxa"/>
            <w:tcBorders>
              <w:top w:val="nil"/>
              <w:left w:val="nil"/>
              <w:bottom w:val="nil"/>
              <w:right w:val="nil"/>
            </w:tcBorders>
          </w:tcPr>
          <w:p w:rsidR="00F971F1" w:rsidRPr="009257C7" w:rsidRDefault="00BA3E0B" w:rsidP="005D0EF6">
            <w:pPr>
              <w:pStyle w:val="Tabletext"/>
              <w:rPr>
                <w:sz w:val="20"/>
              </w:rPr>
            </w:pPr>
            <w:r w:rsidRPr="009257C7">
              <w:rPr>
                <w:sz w:val="20"/>
              </w:rPr>
              <w:t>Asambleas de Radiocomunicaciones</w:t>
            </w:r>
          </w:p>
        </w:tc>
        <w:tc>
          <w:tcPr>
            <w:tcW w:w="1134" w:type="dxa"/>
            <w:tcBorders>
              <w:top w:val="nil"/>
              <w:left w:val="nil"/>
              <w:bottom w:val="nil"/>
              <w:right w:val="nil"/>
            </w:tcBorders>
            <w:shd w:val="clear" w:color="auto" w:fill="DBE5F1" w:themeFill="accent1" w:themeFillTint="33"/>
          </w:tcPr>
          <w:p w:rsidR="00F971F1" w:rsidRPr="009257C7" w:rsidRDefault="00F971F1" w:rsidP="005D0EF6">
            <w:pPr>
              <w:pStyle w:val="Tabletext"/>
              <w:jc w:val="right"/>
              <w:rPr>
                <w:sz w:val="20"/>
              </w:rPr>
            </w:pPr>
            <w:r w:rsidRPr="009257C7">
              <w:rPr>
                <w:sz w:val="20"/>
              </w:rPr>
              <w:t>335</w:t>
            </w:r>
          </w:p>
        </w:tc>
        <w:tc>
          <w:tcPr>
            <w:tcW w:w="1267" w:type="dxa"/>
            <w:tcBorders>
              <w:top w:val="nil"/>
              <w:left w:val="nil"/>
              <w:bottom w:val="nil"/>
              <w:right w:val="nil"/>
            </w:tcBorders>
          </w:tcPr>
          <w:p w:rsidR="00F971F1" w:rsidRPr="009257C7" w:rsidRDefault="00F971F1" w:rsidP="005D0EF6">
            <w:pPr>
              <w:pStyle w:val="Tabletext"/>
              <w:jc w:val="right"/>
              <w:rPr>
                <w:sz w:val="20"/>
              </w:rPr>
            </w:pPr>
          </w:p>
        </w:tc>
        <w:tc>
          <w:tcPr>
            <w:tcW w:w="1228" w:type="dxa"/>
            <w:tcBorders>
              <w:top w:val="nil"/>
              <w:left w:val="nil"/>
              <w:bottom w:val="nil"/>
              <w:right w:val="nil"/>
            </w:tcBorders>
          </w:tcPr>
          <w:p w:rsidR="00F971F1" w:rsidRPr="009257C7" w:rsidRDefault="00F971F1" w:rsidP="005D0EF6">
            <w:pPr>
              <w:pStyle w:val="Tabletext"/>
              <w:jc w:val="right"/>
              <w:rPr>
                <w:sz w:val="20"/>
              </w:rPr>
            </w:pPr>
          </w:p>
        </w:tc>
        <w:tc>
          <w:tcPr>
            <w:tcW w:w="1327" w:type="dxa"/>
            <w:tcBorders>
              <w:top w:val="nil"/>
              <w:left w:val="nil"/>
              <w:bottom w:val="nil"/>
              <w:right w:val="nil"/>
            </w:tcBorders>
            <w:shd w:val="clear" w:color="auto" w:fill="DBE5F1" w:themeFill="accent1" w:themeFillTint="33"/>
          </w:tcPr>
          <w:p w:rsidR="00F971F1" w:rsidRPr="009257C7" w:rsidRDefault="00F971F1" w:rsidP="005D0EF6">
            <w:pPr>
              <w:pStyle w:val="Tabletext"/>
              <w:jc w:val="right"/>
              <w:rPr>
                <w:sz w:val="20"/>
              </w:rPr>
            </w:pPr>
            <w:r w:rsidRPr="009257C7">
              <w:rPr>
                <w:sz w:val="20"/>
              </w:rPr>
              <w:t>335</w:t>
            </w:r>
          </w:p>
        </w:tc>
      </w:tr>
      <w:tr w:rsidR="00F971F1" w:rsidRPr="009257C7" w:rsidTr="005D0EF6">
        <w:tc>
          <w:tcPr>
            <w:tcW w:w="1266" w:type="dxa"/>
            <w:tcBorders>
              <w:top w:val="nil"/>
              <w:left w:val="nil"/>
              <w:bottom w:val="nil"/>
              <w:right w:val="nil"/>
            </w:tcBorders>
          </w:tcPr>
          <w:p w:rsidR="00F971F1" w:rsidRPr="009257C7" w:rsidRDefault="00BA3E0B" w:rsidP="005D0EF6">
            <w:pPr>
              <w:pStyle w:val="Tabletext"/>
              <w:rPr>
                <w:sz w:val="20"/>
              </w:rPr>
            </w:pPr>
            <w:r w:rsidRPr="009257C7">
              <w:rPr>
                <w:sz w:val="20"/>
              </w:rPr>
              <w:t xml:space="preserve">Sección </w:t>
            </w:r>
            <w:r w:rsidR="00F971F1" w:rsidRPr="009257C7">
              <w:rPr>
                <w:sz w:val="20"/>
              </w:rPr>
              <w:t>5.1</w:t>
            </w:r>
          </w:p>
        </w:tc>
        <w:tc>
          <w:tcPr>
            <w:tcW w:w="3407" w:type="dxa"/>
            <w:tcBorders>
              <w:top w:val="nil"/>
              <w:left w:val="nil"/>
              <w:bottom w:val="nil"/>
              <w:right w:val="nil"/>
            </w:tcBorders>
          </w:tcPr>
          <w:p w:rsidR="00F971F1" w:rsidRPr="009257C7" w:rsidRDefault="00BA3E0B" w:rsidP="005D0EF6">
            <w:pPr>
              <w:pStyle w:val="Tabletext"/>
              <w:rPr>
                <w:sz w:val="20"/>
              </w:rPr>
            </w:pPr>
            <w:r w:rsidRPr="009257C7">
              <w:rPr>
                <w:sz w:val="20"/>
              </w:rPr>
              <w:t>Junta del Reglamento de Radiocomunicaciones</w:t>
            </w:r>
          </w:p>
        </w:tc>
        <w:tc>
          <w:tcPr>
            <w:tcW w:w="1134" w:type="dxa"/>
            <w:tcBorders>
              <w:top w:val="nil"/>
              <w:left w:val="nil"/>
              <w:bottom w:val="nil"/>
              <w:right w:val="nil"/>
            </w:tcBorders>
            <w:shd w:val="clear" w:color="auto" w:fill="DBE5F1" w:themeFill="accent1" w:themeFillTint="33"/>
          </w:tcPr>
          <w:p w:rsidR="00F971F1" w:rsidRPr="009257C7" w:rsidRDefault="00F971F1" w:rsidP="005D0EF6">
            <w:pPr>
              <w:pStyle w:val="Tabletext"/>
              <w:jc w:val="right"/>
              <w:rPr>
                <w:sz w:val="20"/>
              </w:rPr>
            </w:pPr>
            <w:r w:rsidRPr="009257C7">
              <w:rPr>
                <w:sz w:val="20"/>
              </w:rPr>
              <w:t>811</w:t>
            </w:r>
          </w:p>
        </w:tc>
        <w:tc>
          <w:tcPr>
            <w:tcW w:w="1267" w:type="dxa"/>
            <w:tcBorders>
              <w:top w:val="nil"/>
              <w:left w:val="nil"/>
              <w:bottom w:val="nil"/>
              <w:right w:val="nil"/>
            </w:tcBorders>
          </w:tcPr>
          <w:p w:rsidR="00F971F1" w:rsidRPr="009257C7" w:rsidRDefault="00F971F1" w:rsidP="005D0EF6">
            <w:pPr>
              <w:pStyle w:val="Tabletext"/>
              <w:jc w:val="right"/>
              <w:rPr>
                <w:sz w:val="20"/>
              </w:rPr>
            </w:pPr>
            <w:r w:rsidRPr="009257C7">
              <w:rPr>
                <w:sz w:val="20"/>
              </w:rPr>
              <w:t>393</w:t>
            </w:r>
          </w:p>
        </w:tc>
        <w:tc>
          <w:tcPr>
            <w:tcW w:w="1228" w:type="dxa"/>
            <w:tcBorders>
              <w:top w:val="nil"/>
              <w:left w:val="nil"/>
              <w:bottom w:val="nil"/>
              <w:right w:val="nil"/>
            </w:tcBorders>
          </w:tcPr>
          <w:p w:rsidR="00F971F1" w:rsidRPr="009257C7" w:rsidRDefault="00F971F1" w:rsidP="005D0EF6">
            <w:pPr>
              <w:pStyle w:val="Tabletext"/>
              <w:jc w:val="right"/>
              <w:rPr>
                <w:sz w:val="20"/>
              </w:rPr>
            </w:pPr>
          </w:p>
        </w:tc>
        <w:tc>
          <w:tcPr>
            <w:tcW w:w="1327" w:type="dxa"/>
            <w:tcBorders>
              <w:top w:val="nil"/>
              <w:left w:val="nil"/>
              <w:bottom w:val="nil"/>
              <w:right w:val="nil"/>
            </w:tcBorders>
            <w:shd w:val="clear" w:color="auto" w:fill="DBE5F1" w:themeFill="accent1" w:themeFillTint="33"/>
          </w:tcPr>
          <w:p w:rsidR="00F971F1" w:rsidRPr="009257C7" w:rsidRDefault="00F971F1" w:rsidP="005D0EF6">
            <w:pPr>
              <w:pStyle w:val="Tabletext"/>
              <w:jc w:val="right"/>
              <w:rPr>
                <w:sz w:val="20"/>
              </w:rPr>
            </w:pPr>
            <w:r w:rsidRPr="009257C7">
              <w:rPr>
                <w:sz w:val="20"/>
              </w:rPr>
              <w:t>418</w:t>
            </w:r>
          </w:p>
        </w:tc>
      </w:tr>
      <w:tr w:rsidR="00F971F1" w:rsidRPr="009257C7" w:rsidTr="005D0EF6">
        <w:tc>
          <w:tcPr>
            <w:tcW w:w="1266" w:type="dxa"/>
            <w:tcBorders>
              <w:top w:val="nil"/>
              <w:left w:val="nil"/>
              <w:bottom w:val="nil"/>
              <w:right w:val="nil"/>
            </w:tcBorders>
          </w:tcPr>
          <w:p w:rsidR="00F971F1" w:rsidRPr="009257C7" w:rsidRDefault="00BA3E0B" w:rsidP="005D0EF6">
            <w:pPr>
              <w:pStyle w:val="Tabletext"/>
              <w:rPr>
                <w:sz w:val="20"/>
              </w:rPr>
            </w:pPr>
            <w:r w:rsidRPr="009257C7">
              <w:rPr>
                <w:sz w:val="20"/>
              </w:rPr>
              <w:t xml:space="preserve">Sección </w:t>
            </w:r>
            <w:r w:rsidR="00F971F1" w:rsidRPr="009257C7">
              <w:rPr>
                <w:sz w:val="20"/>
              </w:rPr>
              <w:t>5.2</w:t>
            </w:r>
          </w:p>
        </w:tc>
        <w:tc>
          <w:tcPr>
            <w:tcW w:w="3407" w:type="dxa"/>
            <w:tcBorders>
              <w:top w:val="nil"/>
              <w:left w:val="nil"/>
              <w:bottom w:val="nil"/>
              <w:right w:val="nil"/>
            </w:tcBorders>
          </w:tcPr>
          <w:p w:rsidR="00F971F1" w:rsidRPr="009257C7" w:rsidRDefault="00BA3E0B" w:rsidP="005D0EF6">
            <w:pPr>
              <w:pStyle w:val="Tabletext"/>
              <w:rPr>
                <w:sz w:val="20"/>
              </w:rPr>
            </w:pPr>
            <w:r w:rsidRPr="009257C7">
              <w:rPr>
                <w:sz w:val="20"/>
              </w:rPr>
              <w:t>Grupo Asesor de Radiocomunicaciones</w:t>
            </w:r>
          </w:p>
        </w:tc>
        <w:tc>
          <w:tcPr>
            <w:tcW w:w="1134" w:type="dxa"/>
            <w:tcBorders>
              <w:top w:val="nil"/>
              <w:left w:val="nil"/>
              <w:bottom w:val="nil"/>
              <w:right w:val="nil"/>
            </w:tcBorders>
            <w:shd w:val="clear" w:color="auto" w:fill="DBE5F1" w:themeFill="accent1" w:themeFillTint="33"/>
          </w:tcPr>
          <w:p w:rsidR="00F971F1" w:rsidRPr="009257C7" w:rsidRDefault="00F971F1" w:rsidP="005D0EF6">
            <w:pPr>
              <w:pStyle w:val="Tabletext"/>
              <w:jc w:val="right"/>
              <w:rPr>
                <w:sz w:val="20"/>
              </w:rPr>
            </w:pPr>
            <w:r w:rsidRPr="009257C7">
              <w:rPr>
                <w:sz w:val="20"/>
              </w:rPr>
              <w:t>106</w:t>
            </w:r>
          </w:p>
        </w:tc>
        <w:tc>
          <w:tcPr>
            <w:tcW w:w="1267" w:type="dxa"/>
            <w:tcBorders>
              <w:top w:val="nil"/>
              <w:left w:val="nil"/>
              <w:bottom w:val="nil"/>
              <w:right w:val="nil"/>
            </w:tcBorders>
          </w:tcPr>
          <w:p w:rsidR="00F971F1" w:rsidRPr="009257C7" w:rsidRDefault="00F971F1" w:rsidP="005D0EF6">
            <w:pPr>
              <w:pStyle w:val="Tabletext"/>
              <w:jc w:val="right"/>
              <w:rPr>
                <w:sz w:val="20"/>
              </w:rPr>
            </w:pPr>
            <w:r w:rsidRPr="009257C7">
              <w:rPr>
                <w:sz w:val="20"/>
              </w:rPr>
              <w:t>35</w:t>
            </w:r>
          </w:p>
        </w:tc>
        <w:tc>
          <w:tcPr>
            <w:tcW w:w="1228" w:type="dxa"/>
            <w:tcBorders>
              <w:top w:val="nil"/>
              <w:left w:val="nil"/>
              <w:bottom w:val="nil"/>
              <w:right w:val="nil"/>
            </w:tcBorders>
          </w:tcPr>
          <w:p w:rsidR="00F971F1" w:rsidRPr="009257C7" w:rsidRDefault="00F971F1" w:rsidP="005D0EF6">
            <w:pPr>
              <w:pStyle w:val="Tabletext"/>
              <w:jc w:val="right"/>
              <w:rPr>
                <w:sz w:val="20"/>
              </w:rPr>
            </w:pPr>
          </w:p>
        </w:tc>
        <w:tc>
          <w:tcPr>
            <w:tcW w:w="1327" w:type="dxa"/>
            <w:tcBorders>
              <w:top w:val="nil"/>
              <w:left w:val="nil"/>
              <w:bottom w:val="nil"/>
              <w:right w:val="nil"/>
            </w:tcBorders>
            <w:shd w:val="clear" w:color="auto" w:fill="DBE5F1" w:themeFill="accent1" w:themeFillTint="33"/>
          </w:tcPr>
          <w:p w:rsidR="00F971F1" w:rsidRPr="009257C7" w:rsidRDefault="00F971F1" w:rsidP="005D0EF6">
            <w:pPr>
              <w:pStyle w:val="Tabletext"/>
              <w:jc w:val="right"/>
              <w:rPr>
                <w:sz w:val="20"/>
              </w:rPr>
            </w:pPr>
            <w:r w:rsidRPr="009257C7">
              <w:rPr>
                <w:sz w:val="20"/>
              </w:rPr>
              <w:t>71</w:t>
            </w:r>
          </w:p>
        </w:tc>
      </w:tr>
      <w:tr w:rsidR="00F971F1" w:rsidRPr="009257C7" w:rsidTr="005D0EF6">
        <w:tc>
          <w:tcPr>
            <w:tcW w:w="1266" w:type="dxa"/>
            <w:tcBorders>
              <w:top w:val="nil"/>
              <w:left w:val="nil"/>
              <w:bottom w:val="nil"/>
              <w:right w:val="nil"/>
            </w:tcBorders>
          </w:tcPr>
          <w:p w:rsidR="00F971F1" w:rsidRPr="009257C7" w:rsidRDefault="00BA3E0B" w:rsidP="005D0EF6">
            <w:pPr>
              <w:pStyle w:val="Tabletext"/>
              <w:rPr>
                <w:sz w:val="20"/>
              </w:rPr>
            </w:pPr>
            <w:r w:rsidRPr="009257C7">
              <w:rPr>
                <w:sz w:val="20"/>
              </w:rPr>
              <w:t xml:space="preserve">Sección </w:t>
            </w:r>
            <w:r w:rsidR="00F971F1" w:rsidRPr="009257C7">
              <w:rPr>
                <w:sz w:val="20"/>
              </w:rPr>
              <w:t>6</w:t>
            </w:r>
          </w:p>
        </w:tc>
        <w:tc>
          <w:tcPr>
            <w:tcW w:w="3407" w:type="dxa"/>
            <w:tcBorders>
              <w:top w:val="nil"/>
              <w:left w:val="nil"/>
              <w:bottom w:val="nil"/>
              <w:right w:val="nil"/>
            </w:tcBorders>
          </w:tcPr>
          <w:p w:rsidR="00F971F1" w:rsidRPr="009257C7" w:rsidRDefault="00BA3E0B" w:rsidP="005D0EF6">
            <w:pPr>
              <w:pStyle w:val="Tabletext"/>
              <w:rPr>
                <w:sz w:val="20"/>
              </w:rPr>
            </w:pPr>
            <w:r w:rsidRPr="009257C7">
              <w:rPr>
                <w:sz w:val="20"/>
              </w:rPr>
              <w:t>Reuniones de las Comisiones de Estudio</w:t>
            </w:r>
          </w:p>
        </w:tc>
        <w:tc>
          <w:tcPr>
            <w:tcW w:w="1134" w:type="dxa"/>
            <w:tcBorders>
              <w:top w:val="nil"/>
              <w:left w:val="nil"/>
              <w:bottom w:val="nil"/>
              <w:right w:val="nil"/>
            </w:tcBorders>
            <w:shd w:val="clear" w:color="auto" w:fill="DBE5F1" w:themeFill="accent1" w:themeFillTint="33"/>
          </w:tcPr>
          <w:p w:rsidR="00F971F1" w:rsidRPr="009257C7" w:rsidRDefault="00F971F1" w:rsidP="005D0EF6">
            <w:pPr>
              <w:pStyle w:val="Tabletext"/>
              <w:jc w:val="right"/>
              <w:rPr>
                <w:sz w:val="20"/>
              </w:rPr>
            </w:pPr>
            <w:r w:rsidRPr="009257C7">
              <w:rPr>
                <w:sz w:val="20"/>
              </w:rPr>
              <w:t>1 477</w:t>
            </w:r>
          </w:p>
        </w:tc>
        <w:tc>
          <w:tcPr>
            <w:tcW w:w="1267" w:type="dxa"/>
            <w:tcBorders>
              <w:top w:val="nil"/>
              <w:left w:val="nil"/>
              <w:bottom w:val="nil"/>
              <w:right w:val="nil"/>
            </w:tcBorders>
          </w:tcPr>
          <w:p w:rsidR="00F971F1" w:rsidRPr="009257C7" w:rsidRDefault="00F971F1" w:rsidP="005D0EF6">
            <w:pPr>
              <w:pStyle w:val="Tabletext"/>
              <w:jc w:val="right"/>
              <w:rPr>
                <w:sz w:val="20"/>
              </w:rPr>
            </w:pPr>
            <w:r w:rsidRPr="009257C7">
              <w:rPr>
                <w:sz w:val="20"/>
              </w:rPr>
              <w:t>215</w:t>
            </w:r>
          </w:p>
        </w:tc>
        <w:tc>
          <w:tcPr>
            <w:tcW w:w="1228" w:type="dxa"/>
            <w:tcBorders>
              <w:top w:val="nil"/>
              <w:left w:val="nil"/>
              <w:bottom w:val="nil"/>
              <w:right w:val="nil"/>
            </w:tcBorders>
          </w:tcPr>
          <w:p w:rsidR="00F971F1" w:rsidRPr="009257C7" w:rsidRDefault="00F971F1" w:rsidP="005D0EF6">
            <w:pPr>
              <w:pStyle w:val="Tabletext"/>
              <w:jc w:val="right"/>
              <w:rPr>
                <w:sz w:val="20"/>
              </w:rPr>
            </w:pPr>
            <w:r w:rsidRPr="009257C7">
              <w:rPr>
                <w:sz w:val="20"/>
              </w:rPr>
              <w:t>286</w:t>
            </w:r>
          </w:p>
        </w:tc>
        <w:tc>
          <w:tcPr>
            <w:tcW w:w="1327" w:type="dxa"/>
            <w:tcBorders>
              <w:top w:val="nil"/>
              <w:left w:val="nil"/>
              <w:bottom w:val="nil"/>
              <w:right w:val="nil"/>
            </w:tcBorders>
            <w:shd w:val="clear" w:color="auto" w:fill="DBE5F1" w:themeFill="accent1" w:themeFillTint="33"/>
          </w:tcPr>
          <w:p w:rsidR="00F971F1" w:rsidRPr="009257C7" w:rsidRDefault="00F971F1" w:rsidP="005D0EF6">
            <w:pPr>
              <w:pStyle w:val="Tabletext"/>
              <w:jc w:val="right"/>
              <w:rPr>
                <w:sz w:val="20"/>
              </w:rPr>
            </w:pPr>
            <w:r w:rsidRPr="009257C7">
              <w:rPr>
                <w:sz w:val="20"/>
              </w:rPr>
              <w:t>976</w:t>
            </w:r>
          </w:p>
        </w:tc>
      </w:tr>
      <w:tr w:rsidR="00F971F1" w:rsidRPr="009257C7" w:rsidTr="005D0EF6">
        <w:tc>
          <w:tcPr>
            <w:tcW w:w="1266" w:type="dxa"/>
            <w:tcBorders>
              <w:top w:val="nil"/>
              <w:left w:val="nil"/>
              <w:bottom w:val="nil"/>
              <w:right w:val="nil"/>
            </w:tcBorders>
          </w:tcPr>
          <w:p w:rsidR="00F971F1" w:rsidRPr="009257C7" w:rsidRDefault="00BA3E0B" w:rsidP="005D0EF6">
            <w:pPr>
              <w:pStyle w:val="Tabletext"/>
              <w:rPr>
                <w:sz w:val="20"/>
              </w:rPr>
            </w:pPr>
            <w:r w:rsidRPr="009257C7">
              <w:rPr>
                <w:sz w:val="20"/>
              </w:rPr>
              <w:t xml:space="preserve">Sección </w:t>
            </w:r>
            <w:r w:rsidR="00F971F1" w:rsidRPr="009257C7">
              <w:rPr>
                <w:sz w:val="20"/>
              </w:rPr>
              <w:t>7</w:t>
            </w:r>
          </w:p>
        </w:tc>
        <w:tc>
          <w:tcPr>
            <w:tcW w:w="3407" w:type="dxa"/>
            <w:tcBorders>
              <w:top w:val="nil"/>
              <w:left w:val="nil"/>
              <w:bottom w:val="nil"/>
              <w:right w:val="nil"/>
            </w:tcBorders>
          </w:tcPr>
          <w:p w:rsidR="00F971F1" w:rsidRPr="009257C7" w:rsidRDefault="00BA3E0B" w:rsidP="005D0EF6">
            <w:pPr>
              <w:pStyle w:val="Tabletext"/>
              <w:rPr>
                <w:sz w:val="20"/>
              </w:rPr>
            </w:pPr>
            <w:r w:rsidRPr="009257C7">
              <w:rPr>
                <w:sz w:val="20"/>
              </w:rPr>
              <w:t>Actividades y programas</w:t>
            </w:r>
          </w:p>
        </w:tc>
        <w:tc>
          <w:tcPr>
            <w:tcW w:w="1134" w:type="dxa"/>
            <w:tcBorders>
              <w:top w:val="nil"/>
              <w:left w:val="nil"/>
              <w:bottom w:val="nil"/>
              <w:right w:val="nil"/>
            </w:tcBorders>
            <w:shd w:val="clear" w:color="auto" w:fill="DBE5F1" w:themeFill="accent1" w:themeFillTint="33"/>
          </w:tcPr>
          <w:p w:rsidR="00F971F1" w:rsidRPr="009257C7" w:rsidRDefault="00F971F1" w:rsidP="005D0EF6">
            <w:pPr>
              <w:pStyle w:val="Tabletext"/>
              <w:jc w:val="right"/>
              <w:rPr>
                <w:sz w:val="20"/>
              </w:rPr>
            </w:pPr>
            <w:r w:rsidRPr="009257C7">
              <w:rPr>
                <w:sz w:val="20"/>
              </w:rPr>
              <w:t>1 200</w:t>
            </w:r>
          </w:p>
        </w:tc>
        <w:tc>
          <w:tcPr>
            <w:tcW w:w="1267" w:type="dxa"/>
            <w:tcBorders>
              <w:top w:val="nil"/>
              <w:left w:val="nil"/>
              <w:bottom w:val="nil"/>
              <w:right w:val="nil"/>
            </w:tcBorders>
          </w:tcPr>
          <w:p w:rsidR="00F971F1" w:rsidRPr="009257C7" w:rsidRDefault="00F971F1" w:rsidP="005D0EF6">
            <w:pPr>
              <w:pStyle w:val="Tabletext"/>
              <w:jc w:val="right"/>
              <w:rPr>
                <w:sz w:val="20"/>
              </w:rPr>
            </w:pPr>
            <w:r w:rsidRPr="009257C7">
              <w:rPr>
                <w:sz w:val="20"/>
              </w:rPr>
              <w:t>226</w:t>
            </w:r>
          </w:p>
        </w:tc>
        <w:tc>
          <w:tcPr>
            <w:tcW w:w="1228" w:type="dxa"/>
            <w:tcBorders>
              <w:top w:val="nil"/>
              <w:left w:val="nil"/>
              <w:bottom w:val="nil"/>
              <w:right w:val="nil"/>
            </w:tcBorders>
          </w:tcPr>
          <w:p w:rsidR="00F971F1" w:rsidRPr="009257C7" w:rsidRDefault="00F971F1" w:rsidP="005D0EF6">
            <w:pPr>
              <w:pStyle w:val="Tabletext"/>
              <w:jc w:val="right"/>
              <w:rPr>
                <w:sz w:val="20"/>
              </w:rPr>
            </w:pPr>
            <w:r w:rsidRPr="009257C7">
              <w:rPr>
                <w:sz w:val="20"/>
              </w:rPr>
              <w:t>2</w:t>
            </w:r>
          </w:p>
        </w:tc>
        <w:tc>
          <w:tcPr>
            <w:tcW w:w="1327" w:type="dxa"/>
            <w:tcBorders>
              <w:top w:val="nil"/>
              <w:left w:val="nil"/>
              <w:bottom w:val="nil"/>
              <w:right w:val="nil"/>
            </w:tcBorders>
            <w:shd w:val="clear" w:color="auto" w:fill="DBE5F1" w:themeFill="accent1" w:themeFillTint="33"/>
          </w:tcPr>
          <w:p w:rsidR="00F971F1" w:rsidRPr="009257C7" w:rsidRDefault="00F971F1" w:rsidP="005D0EF6">
            <w:pPr>
              <w:pStyle w:val="Tabletext"/>
              <w:jc w:val="right"/>
              <w:rPr>
                <w:sz w:val="20"/>
              </w:rPr>
            </w:pPr>
            <w:r w:rsidRPr="009257C7">
              <w:rPr>
                <w:sz w:val="20"/>
              </w:rPr>
              <w:t>972</w:t>
            </w:r>
          </w:p>
        </w:tc>
      </w:tr>
      <w:tr w:rsidR="00F971F1" w:rsidRPr="009257C7" w:rsidTr="005D0EF6">
        <w:tc>
          <w:tcPr>
            <w:tcW w:w="1266" w:type="dxa"/>
            <w:tcBorders>
              <w:top w:val="nil"/>
              <w:left w:val="nil"/>
              <w:bottom w:val="nil"/>
              <w:right w:val="nil"/>
            </w:tcBorders>
          </w:tcPr>
          <w:p w:rsidR="00F971F1" w:rsidRPr="009257C7" w:rsidRDefault="00BA3E0B" w:rsidP="005D0EF6">
            <w:pPr>
              <w:pStyle w:val="Tabletext"/>
              <w:rPr>
                <w:sz w:val="20"/>
              </w:rPr>
            </w:pPr>
            <w:r w:rsidRPr="009257C7">
              <w:rPr>
                <w:sz w:val="20"/>
              </w:rPr>
              <w:t xml:space="preserve">Sección </w:t>
            </w:r>
            <w:r w:rsidR="00F971F1" w:rsidRPr="009257C7">
              <w:rPr>
                <w:sz w:val="20"/>
              </w:rPr>
              <w:t>8</w:t>
            </w:r>
          </w:p>
        </w:tc>
        <w:tc>
          <w:tcPr>
            <w:tcW w:w="3407" w:type="dxa"/>
            <w:tcBorders>
              <w:top w:val="nil"/>
              <w:left w:val="nil"/>
              <w:bottom w:val="nil"/>
              <w:right w:val="nil"/>
            </w:tcBorders>
          </w:tcPr>
          <w:p w:rsidR="00F971F1" w:rsidRPr="009257C7" w:rsidRDefault="00BA3E0B" w:rsidP="005D0EF6">
            <w:pPr>
              <w:pStyle w:val="Tabletext"/>
              <w:rPr>
                <w:sz w:val="20"/>
              </w:rPr>
            </w:pPr>
            <w:r w:rsidRPr="009257C7">
              <w:rPr>
                <w:sz w:val="20"/>
              </w:rPr>
              <w:t>Seminarios y talleres</w:t>
            </w:r>
          </w:p>
        </w:tc>
        <w:tc>
          <w:tcPr>
            <w:tcW w:w="1134" w:type="dxa"/>
            <w:tcBorders>
              <w:top w:val="nil"/>
              <w:left w:val="nil"/>
              <w:bottom w:val="nil"/>
              <w:right w:val="nil"/>
            </w:tcBorders>
            <w:shd w:val="clear" w:color="auto" w:fill="DBE5F1" w:themeFill="accent1" w:themeFillTint="33"/>
          </w:tcPr>
          <w:p w:rsidR="00F971F1" w:rsidRPr="009257C7" w:rsidRDefault="00F971F1" w:rsidP="005D0EF6">
            <w:pPr>
              <w:pStyle w:val="Tabletext"/>
              <w:jc w:val="right"/>
              <w:rPr>
                <w:sz w:val="20"/>
              </w:rPr>
            </w:pPr>
            <w:r w:rsidRPr="009257C7">
              <w:rPr>
                <w:sz w:val="20"/>
              </w:rPr>
              <w:t>780</w:t>
            </w:r>
          </w:p>
        </w:tc>
        <w:tc>
          <w:tcPr>
            <w:tcW w:w="1267" w:type="dxa"/>
            <w:tcBorders>
              <w:top w:val="nil"/>
              <w:left w:val="nil"/>
              <w:bottom w:val="nil"/>
              <w:right w:val="nil"/>
            </w:tcBorders>
          </w:tcPr>
          <w:p w:rsidR="00F971F1" w:rsidRPr="009257C7" w:rsidRDefault="00F971F1" w:rsidP="005D0EF6">
            <w:pPr>
              <w:pStyle w:val="Tabletext"/>
              <w:jc w:val="right"/>
              <w:rPr>
                <w:sz w:val="20"/>
              </w:rPr>
            </w:pPr>
            <w:r w:rsidRPr="009257C7">
              <w:rPr>
                <w:sz w:val="20"/>
              </w:rPr>
              <w:t>117</w:t>
            </w:r>
          </w:p>
        </w:tc>
        <w:tc>
          <w:tcPr>
            <w:tcW w:w="1228" w:type="dxa"/>
            <w:tcBorders>
              <w:top w:val="nil"/>
              <w:left w:val="nil"/>
              <w:bottom w:val="nil"/>
              <w:right w:val="nil"/>
            </w:tcBorders>
          </w:tcPr>
          <w:p w:rsidR="00F971F1" w:rsidRPr="009257C7" w:rsidRDefault="00F971F1" w:rsidP="005D0EF6">
            <w:pPr>
              <w:pStyle w:val="Tabletext"/>
              <w:jc w:val="right"/>
              <w:rPr>
                <w:sz w:val="20"/>
              </w:rPr>
            </w:pPr>
          </w:p>
        </w:tc>
        <w:tc>
          <w:tcPr>
            <w:tcW w:w="1327" w:type="dxa"/>
            <w:tcBorders>
              <w:top w:val="nil"/>
              <w:left w:val="nil"/>
              <w:bottom w:val="nil"/>
              <w:right w:val="nil"/>
            </w:tcBorders>
            <w:shd w:val="clear" w:color="auto" w:fill="DBE5F1" w:themeFill="accent1" w:themeFillTint="33"/>
          </w:tcPr>
          <w:p w:rsidR="00F971F1" w:rsidRPr="009257C7" w:rsidRDefault="00F971F1" w:rsidP="005D0EF6">
            <w:pPr>
              <w:pStyle w:val="Tabletext"/>
              <w:jc w:val="right"/>
              <w:rPr>
                <w:sz w:val="20"/>
              </w:rPr>
            </w:pPr>
            <w:r w:rsidRPr="009257C7">
              <w:rPr>
                <w:sz w:val="20"/>
              </w:rPr>
              <w:t>663</w:t>
            </w:r>
          </w:p>
        </w:tc>
      </w:tr>
      <w:tr w:rsidR="00F971F1" w:rsidRPr="009257C7" w:rsidTr="005D0EF6">
        <w:tc>
          <w:tcPr>
            <w:tcW w:w="1266" w:type="dxa"/>
            <w:tcBorders>
              <w:top w:val="nil"/>
              <w:left w:val="nil"/>
              <w:bottom w:val="single" w:sz="4" w:space="0" w:color="auto"/>
              <w:right w:val="nil"/>
            </w:tcBorders>
          </w:tcPr>
          <w:p w:rsidR="00F971F1" w:rsidRPr="009257C7" w:rsidRDefault="00BA3E0B" w:rsidP="005D0EF6">
            <w:pPr>
              <w:pStyle w:val="Tabletext"/>
              <w:rPr>
                <w:sz w:val="20"/>
              </w:rPr>
            </w:pPr>
            <w:r w:rsidRPr="009257C7">
              <w:rPr>
                <w:sz w:val="20"/>
              </w:rPr>
              <w:t xml:space="preserve">Sección </w:t>
            </w:r>
            <w:r w:rsidR="00F971F1" w:rsidRPr="009257C7">
              <w:rPr>
                <w:sz w:val="20"/>
              </w:rPr>
              <w:t>9</w:t>
            </w:r>
          </w:p>
        </w:tc>
        <w:tc>
          <w:tcPr>
            <w:tcW w:w="3407" w:type="dxa"/>
            <w:tcBorders>
              <w:top w:val="nil"/>
              <w:left w:val="nil"/>
              <w:bottom w:val="single" w:sz="4" w:space="0" w:color="auto"/>
              <w:right w:val="nil"/>
            </w:tcBorders>
          </w:tcPr>
          <w:p w:rsidR="00F971F1" w:rsidRPr="009257C7" w:rsidRDefault="00BA3E0B" w:rsidP="005D0EF6">
            <w:pPr>
              <w:pStyle w:val="Tabletext"/>
              <w:rPr>
                <w:sz w:val="20"/>
              </w:rPr>
            </w:pPr>
            <w:r w:rsidRPr="009257C7">
              <w:rPr>
                <w:sz w:val="20"/>
              </w:rPr>
              <w:t>Oficina</w:t>
            </w:r>
          </w:p>
        </w:tc>
        <w:tc>
          <w:tcPr>
            <w:tcW w:w="1134" w:type="dxa"/>
            <w:tcBorders>
              <w:top w:val="nil"/>
              <w:left w:val="nil"/>
              <w:bottom w:val="single" w:sz="4" w:space="0" w:color="auto"/>
              <w:right w:val="nil"/>
            </w:tcBorders>
            <w:shd w:val="clear" w:color="auto" w:fill="DBE5F1" w:themeFill="accent1" w:themeFillTint="33"/>
          </w:tcPr>
          <w:p w:rsidR="00F971F1" w:rsidRPr="009257C7" w:rsidRDefault="00F971F1" w:rsidP="005D0EF6">
            <w:pPr>
              <w:pStyle w:val="Tabletext"/>
              <w:jc w:val="right"/>
              <w:rPr>
                <w:sz w:val="20"/>
              </w:rPr>
            </w:pPr>
            <w:r w:rsidRPr="009257C7">
              <w:rPr>
                <w:sz w:val="20"/>
              </w:rPr>
              <w:t>52 094</w:t>
            </w:r>
          </w:p>
        </w:tc>
        <w:tc>
          <w:tcPr>
            <w:tcW w:w="1267" w:type="dxa"/>
            <w:tcBorders>
              <w:top w:val="nil"/>
              <w:left w:val="nil"/>
              <w:bottom w:val="single" w:sz="4" w:space="0" w:color="auto"/>
              <w:right w:val="nil"/>
            </w:tcBorders>
          </w:tcPr>
          <w:p w:rsidR="00F971F1" w:rsidRPr="009257C7" w:rsidRDefault="00F971F1" w:rsidP="005D0EF6">
            <w:pPr>
              <w:pStyle w:val="Tabletext"/>
              <w:jc w:val="right"/>
              <w:rPr>
                <w:sz w:val="20"/>
              </w:rPr>
            </w:pPr>
            <w:r w:rsidRPr="009257C7">
              <w:rPr>
                <w:sz w:val="20"/>
              </w:rPr>
              <w:t>24 067</w:t>
            </w:r>
          </w:p>
        </w:tc>
        <w:tc>
          <w:tcPr>
            <w:tcW w:w="1228" w:type="dxa"/>
            <w:tcBorders>
              <w:top w:val="nil"/>
              <w:left w:val="nil"/>
              <w:bottom w:val="single" w:sz="4" w:space="0" w:color="auto"/>
              <w:right w:val="nil"/>
            </w:tcBorders>
          </w:tcPr>
          <w:p w:rsidR="00F971F1" w:rsidRPr="009257C7" w:rsidRDefault="00F971F1" w:rsidP="005D0EF6">
            <w:pPr>
              <w:pStyle w:val="Tabletext"/>
              <w:jc w:val="right"/>
              <w:rPr>
                <w:sz w:val="20"/>
              </w:rPr>
            </w:pPr>
            <w:r w:rsidRPr="009257C7">
              <w:rPr>
                <w:sz w:val="20"/>
              </w:rPr>
              <w:t>3 300</w:t>
            </w:r>
          </w:p>
        </w:tc>
        <w:tc>
          <w:tcPr>
            <w:tcW w:w="1327" w:type="dxa"/>
            <w:tcBorders>
              <w:top w:val="nil"/>
              <w:left w:val="nil"/>
              <w:bottom w:val="single" w:sz="4" w:space="0" w:color="auto"/>
              <w:right w:val="nil"/>
            </w:tcBorders>
            <w:shd w:val="clear" w:color="auto" w:fill="DBE5F1" w:themeFill="accent1" w:themeFillTint="33"/>
          </w:tcPr>
          <w:p w:rsidR="00F971F1" w:rsidRPr="009257C7" w:rsidRDefault="00F971F1" w:rsidP="005D0EF6">
            <w:pPr>
              <w:pStyle w:val="Tabletext"/>
              <w:jc w:val="right"/>
              <w:rPr>
                <w:sz w:val="20"/>
              </w:rPr>
            </w:pPr>
            <w:r w:rsidRPr="009257C7">
              <w:rPr>
                <w:sz w:val="20"/>
              </w:rPr>
              <w:t>24 727</w:t>
            </w:r>
          </w:p>
        </w:tc>
      </w:tr>
      <w:tr w:rsidR="00F971F1" w:rsidRPr="009257C7" w:rsidTr="005D0EF6">
        <w:tc>
          <w:tcPr>
            <w:tcW w:w="1266" w:type="dxa"/>
            <w:tcBorders>
              <w:left w:val="nil"/>
              <w:right w:val="nil"/>
            </w:tcBorders>
          </w:tcPr>
          <w:p w:rsidR="00F971F1" w:rsidRPr="009257C7" w:rsidRDefault="00F971F1" w:rsidP="005D0EF6">
            <w:pPr>
              <w:pStyle w:val="Tabletext"/>
              <w:rPr>
                <w:b/>
                <w:bCs/>
                <w:sz w:val="20"/>
              </w:rPr>
            </w:pPr>
          </w:p>
        </w:tc>
        <w:tc>
          <w:tcPr>
            <w:tcW w:w="3407" w:type="dxa"/>
            <w:tcBorders>
              <w:left w:val="nil"/>
              <w:right w:val="nil"/>
            </w:tcBorders>
          </w:tcPr>
          <w:p w:rsidR="00F971F1" w:rsidRPr="009257C7" w:rsidRDefault="00F971F1" w:rsidP="005D0EF6">
            <w:pPr>
              <w:pStyle w:val="Tabletext"/>
              <w:rPr>
                <w:b/>
                <w:bCs/>
                <w:sz w:val="20"/>
              </w:rPr>
            </w:pPr>
            <w:r w:rsidRPr="009257C7">
              <w:rPr>
                <w:b/>
                <w:bCs/>
                <w:sz w:val="20"/>
              </w:rPr>
              <w:t>TOTAL</w:t>
            </w:r>
          </w:p>
        </w:tc>
        <w:tc>
          <w:tcPr>
            <w:tcW w:w="1134" w:type="dxa"/>
            <w:tcBorders>
              <w:left w:val="nil"/>
              <w:right w:val="nil"/>
            </w:tcBorders>
            <w:shd w:val="clear" w:color="auto" w:fill="DBE5F1" w:themeFill="accent1" w:themeFillTint="33"/>
          </w:tcPr>
          <w:p w:rsidR="00F971F1" w:rsidRPr="009257C7" w:rsidRDefault="00F971F1" w:rsidP="005D0EF6">
            <w:pPr>
              <w:pStyle w:val="Tabletext"/>
              <w:jc w:val="right"/>
              <w:rPr>
                <w:b/>
                <w:bCs/>
                <w:sz w:val="20"/>
              </w:rPr>
            </w:pPr>
            <w:r w:rsidRPr="009257C7">
              <w:rPr>
                <w:b/>
                <w:bCs/>
                <w:sz w:val="20"/>
              </w:rPr>
              <w:t>59 441</w:t>
            </w:r>
          </w:p>
        </w:tc>
        <w:tc>
          <w:tcPr>
            <w:tcW w:w="1267" w:type="dxa"/>
            <w:tcBorders>
              <w:left w:val="nil"/>
              <w:right w:val="nil"/>
            </w:tcBorders>
          </w:tcPr>
          <w:p w:rsidR="00F971F1" w:rsidRPr="009257C7" w:rsidRDefault="00F971F1" w:rsidP="005D0EF6">
            <w:pPr>
              <w:pStyle w:val="Tabletext"/>
              <w:jc w:val="right"/>
              <w:rPr>
                <w:b/>
                <w:bCs/>
                <w:sz w:val="20"/>
              </w:rPr>
            </w:pPr>
            <w:r w:rsidRPr="009257C7">
              <w:rPr>
                <w:b/>
                <w:bCs/>
                <w:sz w:val="20"/>
              </w:rPr>
              <w:t>25 053</w:t>
            </w:r>
          </w:p>
        </w:tc>
        <w:tc>
          <w:tcPr>
            <w:tcW w:w="1228" w:type="dxa"/>
            <w:tcBorders>
              <w:left w:val="nil"/>
              <w:right w:val="nil"/>
            </w:tcBorders>
          </w:tcPr>
          <w:p w:rsidR="00F971F1" w:rsidRPr="009257C7" w:rsidRDefault="00F971F1" w:rsidP="005D0EF6">
            <w:pPr>
              <w:pStyle w:val="Tabletext"/>
              <w:jc w:val="right"/>
              <w:rPr>
                <w:b/>
                <w:bCs/>
                <w:sz w:val="20"/>
              </w:rPr>
            </w:pPr>
            <w:r w:rsidRPr="009257C7">
              <w:rPr>
                <w:b/>
                <w:bCs/>
                <w:sz w:val="20"/>
              </w:rPr>
              <w:t>3 588</w:t>
            </w:r>
          </w:p>
        </w:tc>
        <w:tc>
          <w:tcPr>
            <w:tcW w:w="1327" w:type="dxa"/>
            <w:tcBorders>
              <w:left w:val="nil"/>
              <w:right w:val="nil"/>
            </w:tcBorders>
            <w:shd w:val="clear" w:color="auto" w:fill="DBE5F1" w:themeFill="accent1" w:themeFillTint="33"/>
          </w:tcPr>
          <w:p w:rsidR="00F971F1" w:rsidRPr="009257C7" w:rsidRDefault="00F971F1" w:rsidP="005D0EF6">
            <w:pPr>
              <w:pStyle w:val="Tabletext"/>
              <w:jc w:val="right"/>
              <w:rPr>
                <w:b/>
                <w:bCs/>
                <w:sz w:val="20"/>
              </w:rPr>
            </w:pPr>
            <w:r w:rsidRPr="009257C7">
              <w:rPr>
                <w:b/>
                <w:bCs/>
                <w:sz w:val="20"/>
              </w:rPr>
              <w:t>30 800</w:t>
            </w:r>
          </w:p>
        </w:tc>
      </w:tr>
    </w:tbl>
    <w:p w:rsidR="005C4F4C" w:rsidRPr="009257C7" w:rsidRDefault="005C4F4C" w:rsidP="00094814">
      <w:r w:rsidRPr="009257C7">
        <w:br w:type="page"/>
      </w:r>
    </w:p>
    <w:p w:rsidR="00E7660B" w:rsidRPr="009257C7" w:rsidRDefault="007A472C" w:rsidP="007A472C">
      <w:pPr>
        <w:pStyle w:val="Heading1"/>
      </w:pPr>
      <w:r w:rsidRPr="009257C7">
        <w:lastRenderedPageBreak/>
        <w:t>4</w:t>
      </w:r>
      <w:r w:rsidRPr="009257C7">
        <w:tab/>
      </w:r>
      <w:r w:rsidR="00E7660B" w:rsidRPr="009257C7">
        <w:t>Aplicación</w:t>
      </w:r>
      <w:r w:rsidR="005C4F4C" w:rsidRPr="009257C7">
        <w:t xml:space="preserve"> de las decisiones de la CMR-15</w:t>
      </w:r>
    </w:p>
    <w:p w:rsidR="00E7660B" w:rsidRPr="009257C7" w:rsidRDefault="007A472C" w:rsidP="00E7660B">
      <w:pPr>
        <w:pStyle w:val="Heading2"/>
      </w:pPr>
      <w:bookmarkStart w:id="20" w:name="_Toc446060759"/>
      <w:r w:rsidRPr="009257C7">
        <w:t>4</w:t>
      </w:r>
      <w:r w:rsidR="00E7660B" w:rsidRPr="009257C7">
        <w:t>.1</w:t>
      </w:r>
      <w:r w:rsidR="00E7660B" w:rsidRPr="009257C7">
        <w:tab/>
      </w:r>
      <w:bookmarkStart w:id="21" w:name="lt_pId235"/>
      <w:bookmarkStart w:id="22" w:name="_Toc446060764"/>
      <w:bookmarkEnd w:id="20"/>
      <w:r w:rsidR="00E7660B" w:rsidRPr="009257C7">
        <w:t>Creación de software para la aplicación de las decisiones de la CMR-15</w:t>
      </w:r>
      <w:bookmarkEnd w:id="21"/>
      <w:bookmarkEnd w:id="22"/>
    </w:p>
    <w:p w:rsidR="00E7660B" w:rsidRPr="009257C7" w:rsidRDefault="00E7660B">
      <w:bookmarkStart w:id="23" w:name="lt_pId236"/>
      <w:r w:rsidRPr="009257C7">
        <w:t>En</w:t>
      </w:r>
      <w:r w:rsidR="00A02AB8" w:rsidRPr="009257C7">
        <w:t xml:space="preserve"> </w:t>
      </w:r>
      <w:r w:rsidR="007A472C" w:rsidRPr="009257C7">
        <w:rPr>
          <w:bCs/>
        </w:rPr>
        <w:t>2018</w:t>
      </w:r>
      <w:r w:rsidRPr="009257C7">
        <w:t>, la Oficina continuó el diseño y el desarrollo de software para aplicar las decisiones de la CMR-15. En el siguiente cuadro se resumen las principales tareas en cuestión</w:t>
      </w:r>
      <w:bookmarkStart w:id="24" w:name="lt_pId237"/>
      <w:bookmarkEnd w:id="23"/>
      <w:r w:rsidRPr="009257C7">
        <w:t>.</w:t>
      </w:r>
      <w:bookmarkEnd w:id="24"/>
    </w:p>
    <w:p w:rsidR="00C46BAE" w:rsidRPr="009257C7" w:rsidRDefault="00C46BAE" w:rsidP="00C46BAE">
      <w:pPr>
        <w:pStyle w:val="TableNoBR"/>
      </w:pPr>
      <w:r w:rsidRPr="009257C7">
        <w:t>CUADRO 1</w:t>
      </w:r>
    </w:p>
    <w:p w:rsidR="00C46BAE" w:rsidRPr="009257C7" w:rsidRDefault="00C46BAE" w:rsidP="00C46BAE">
      <w:pPr>
        <w:pStyle w:val="TabletitleBR"/>
      </w:pPr>
      <w:r w:rsidRPr="009257C7">
        <w:t>Diseño de software para aplicar las decisiones de la CMR-15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A472C" w:rsidRPr="009257C7" w:rsidTr="005A453D">
        <w:tc>
          <w:tcPr>
            <w:tcW w:w="9629" w:type="dxa"/>
          </w:tcPr>
          <w:p w:rsidR="007A472C" w:rsidRPr="009257C7" w:rsidRDefault="007A472C" w:rsidP="00256F2A">
            <w:pPr>
              <w:pStyle w:val="Headingb"/>
              <w:spacing w:after="120"/>
              <w:rPr>
                <w:rFonts w:eastAsia="SimSun"/>
              </w:rPr>
            </w:pPr>
            <w:r w:rsidRPr="009257C7">
              <w:rPr>
                <w:rFonts w:eastAsia="SimSun"/>
              </w:rPr>
              <w:t xml:space="preserve">Resolución 907 (Rev.CMR-15): Utilización de medios electrónicos </w:t>
            </w:r>
            <w:r w:rsidR="00EF27EA" w:rsidRPr="009257C7">
              <w:rPr>
                <w:rFonts w:eastAsia="SimSun"/>
              </w:rPr>
              <w:t xml:space="preserve">modernos </w:t>
            </w:r>
            <w:r w:rsidRPr="009257C7">
              <w:rPr>
                <w:rFonts w:eastAsia="SimSun"/>
              </w:rPr>
              <w:t>de comunicación para la correspondencia administrativa relativa a las redes de satélite</w:t>
            </w:r>
            <w:r w:rsidR="006A68BA" w:rsidRPr="009257C7">
              <w:rPr>
                <w:rFonts w:eastAsia="SimSun"/>
              </w:rPr>
              <w:t>s</w:t>
            </w:r>
          </w:p>
        </w:tc>
      </w:tr>
      <w:tr w:rsidR="00E7660B" w:rsidRPr="009257C7" w:rsidTr="005A453D">
        <w:tc>
          <w:tcPr>
            <w:tcW w:w="9629" w:type="dxa"/>
          </w:tcPr>
          <w:p w:rsidR="00E7660B" w:rsidRPr="009257C7" w:rsidRDefault="00DA3E5E" w:rsidP="00F4096E">
            <w:pPr>
              <w:rPr>
                <w:rFonts w:eastAsia="SimSun"/>
                <w:szCs w:val="24"/>
              </w:rPr>
            </w:pPr>
            <w:bookmarkStart w:id="25" w:name="lt_pId239"/>
            <w:r w:rsidRPr="009257C7">
              <w:rPr>
                <w:szCs w:val="24"/>
              </w:rPr>
              <w:t xml:space="preserve">A lo largo de 2018 se prosiguió la labor de aplicación de la </w:t>
            </w:r>
            <w:r w:rsidR="00E7660B" w:rsidRPr="009257C7">
              <w:rPr>
                <w:rFonts w:eastAsia="SimSun"/>
                <w:szCs w:val="24"/>
              </w:rPr>
              <w:t xml:space="preserve">Resolución </w:t>
            </w:r>
            <w:r w:rsidR="00E7660B" w:rsidRPr="009257C7">
              <w:rPr>
                <w:rFonts w:eastAsia="SimSun"/>
                <w:b/>
                <w:bCs/>
                <w:szCs w:val="24"/>
              </w:rPr>
              <w:t>907 (Rev.CMR-15</w:t>
            </w:r>
            <w:bookmarkStart w:id="26" w:name="lt_pId241"/>
            <w:bookmarkEnd w:id="25"/>
            <w:r w:rsidR="00F047BC" w:rsidRPr="009257C7">
              <w:rPr>
                <w:b/>
                <w:bCs/>
                <w:szCs w:val="24"/>
              </w:rPr>
              <w:t>)</w:t>
            </w:r>
            <w:r w:rsidR="00F047BC" w:rsidRPr="009257C7">
              <w:rPr>
                <w:szCs w:val="24"/>
              </w:rPr>
              <w:t xml:space="preserve">, </w:t>
            </w:r>
            <w:r w:rsidRPr="009257C7">
              <w:rPr>
                <w:szCs w:val="24"/>
              </w:rPr>
              <w:t>con</w:t>
            </w:r>
            <w:r w:rsidR="00F047BC" w:rsidRPr="009257C7">
              <w:rPr>
                <w:szCs w:val="24"/>
              </w:rPr>
              <w:t xml:space="preserve"> </w:t>
            </w:r>
            <w:r w:rsidRPr="009257C7">
              <w:rPr>
                <w:rFonts w:eastAsia="SimSun"/>
                <w:szCs w:val="24"/>
              </w:rPr>
              <w:t xml:space="preserve">miras a implantar un sistema </w:t>
            </w:r>
            <w:r w:rsidR="00E7660B" w:rsidRPr="009257C7">
              <w:rPr>
                <w:rFonts w:eastAsia="SimSun"/>
                <w:szCs w:val="24"/>
              </w:rPr>
              <w:t xml:space="preserve">en línea seguro destinado a modernizar y mejorar el sistema actual de tramitación de la correspondencia </w:t>
            </w:r>
            <w:r w:rsidRPr="009257C7">
              <w:rPr>
                <w:rFonts w:eastAsia="SimSun"/>
                <w:szCs w:val="24"/>
              </w:rPr>
              <w:t xml:space="preserve">entre </w:t>
            </w:r>
            <w:r w:rsidR="00E7660B" w:rsidRPr="009257C7">
              <w:rPr>
                <w:rFonts w:eastAsia="SimSun"/>
                <w:szCs w:val="24"/>
              </w:rPr>
              <w:t xml:space="preserve">las </w:t>
            </w:r>
            <w:r w:rsidR="001B5024" w:rsidRPr="009257C7">
              <w:rPr>
                <w:rFonts w:eastAsia="SimSun"/>
                <w:szCs w:val="24"/>
              </w:rPr>
              <w:t xml:space="preserve">administraciones </w:t>
            </w:r>
            <w:r w:rsidRPr="009257C7">
              <w:rPr>
                <w:rFonts w:eastAsia="SimSun"/>
                <w:szCs w:val="24"/>
              </w:rPr>
              <w:t xml:space="preserve">y la </w:t>
            </w:r>
            <w:r w:rsidR="00E7660B" w:rsidRPr="009257C7">
              <w:rPr>
                <w:rFonts w:eastAsia="SimSun"/>
                <w:szCs w:val="24"/>
              </w:rPr>
              <w:t>UIT</w:t>
            </w:r>
            <w:r w:rsidRPr="009257C7">
              <w:rPr>
                <w:rFonts w:eastAsia="SimSun"/>
                <w:szCs w:val="24"/>
              </w:rPr>
              <w:t xml:space="preserve"> </w:t>
            </w:r>
            <w:r w:rsidR="00E7660B" w:rsidRPr="009257C7">
              <w:rPr>
                <w:rFonts w:eastAsia="SimSun"/>
                <w:szCs w:val="24"/>
              </w:rPr>
              <w:t xml:space="preserve">y </w:t>
            </w:r>
            <w:r w:rsidRPr="009257C7">
              <w:rPr>
                <w:rFonts w:eastAsia="SimSun"/>
                <w:szCs w:val="24"/>
              </w:rPr>
              <w:t xml:space="preserve">las </w:t>
            </w:r>
            <w:r w:rsidR="001B5024" w:rsidRPr="009257C7">
              <w:rPr>
                <w:rFonts w:eastAsia="SimSun"/>
                <w:szCs w:val="24"/>
              </w:rPr>
              <w:t xml:space="preserve">administraciones </w:t>
            </w:r>
            <w:r w:rsidR="00E7660B" w:rsidRPr="009257C7">
              <w:rPr>
                <w:rFonts w:eastAsia="SimSun"/>
                <w:szCs w:val="24"/>
              </w:rPr>
              <w:t xml:space="preserve">entre </w:t>
            </w:r>
            <w:r w:rsidRPr="009257C7">
              <w:rPr>
                <w:rFonts w:eastAsia="SimSun"/>
                <w:szCs w:val="24"/>
              </w:rPr>
              <w:t>sí</w:t>
            </w:r>
            <w:bookmarkStart w:id="27" w:name="lt_pId242"/>
            <w:bookmarkEnd w:id="26"/>
            <w:r w:rsidR="00F047BC" w:rsidRPr="009257C7">
              <w:rPr>
                <w:szCs w:val="24"/>
              </w:rPr>
              <w:t xml:space="preserve">. </w:t>
            </w:r>
            <w:r w:rsidRPr="009257C7">
              <w:rPr>
                <w:szCs w:val="24"/>
              </w:rPr>
              <w:t>El sistema, que se desarrollará como módulo de comunicaciones</w:t>
            </w:r>
            <w:r w:rsidR="00357EFA" w:rsidRPr="009257C7">
              <w:rPr>
                <w:szCs w:val="24"/>
              </w:rPr>
              <w:t xml:space="preserve"> y que ampliará</w:t>
            </w:r>
            <w:r w:rsidRPr="009257C7">
              <w:rPr>
                <w:szCs w:val="24"/>
              </w:rPr>
              <w:t xml:space="preserve"> los servicios web en línea </w:t>
            </w:r>
            <w:r w:rsidR="00357EFA" w:rsidRPr="009257C7">
              <w:rPr>
                <w:szCs w:val="24"/>
              </w:rPr>
              <w:t xml:space="preserve">de presentación electrónica y SIRRS </w:t>
            </w:r>
            <w:r w:rsidRPr="009257C7">
              <w:rPr>
                <w:szCs w:val="24"/>
              </w:rPr>
              <w:t>ya impl</w:t>
            </w:r>
            <w:r w:rsidR="00357EFA" w:rsidRPr="009257C7">
              <w:rPr>
                <w:szCs w:val="24"/>
              </w:rPr>
              <w:t>antados</w:t>
            </w:r>
            <w:r w:rsidRPr="009257C7">
              <w:rPr>
                <w:szCs w:val="24"/>
              </w:rPr>
              <w:t>, tendrá las siguientes características</w:t>
            </w:r>
            <w:r w:rsidR="0068615B" w:rsidRPr="009257C7">
              <w:rPr>
                <w:szCs w:val="24"/>
              </w:rPr>
              <w:t xml:space="preserve"> y funcionalidades</w:t>
            </w:r>
            <w:r w:rsidR="00E7660B" w:rsidRPr="009257C7">
              <w:rPr>
                <w:rFonts w:eastAsia="SimSun"/>
                <w:szCs w:val="24"/>
              </w:rPr>
              <w:t>:</w:t>
            </w:r>
            <w:bookmarkEnd w:id="27"/>
          </w:p>
          <w:p w:rsidR="00E7660B" w:rsidRPr="009257C7" w:rsidRDefault="00E7660B" w:rsidP="002C2BBA">
            <w:pPr>
              <w:pStyle w:val="enumlev1"/>
              <w:rPr>
                <w:rFonts w:eastAsia="SimSun"/>
              </w:rPr>
            </w:pPr>
            <w:bookmarkStart w:id="28" w:name="lt_pId243"/>
            <w:r w:rsidRPr="009257C7">
              <w:rPr>
                <w:rFonts w:eastAsia="SimSun"/>
              </w:rPr>
              <w:t>–</w:t>
            </w:r>
            <w:r w:rsidRPr="009257C7">
              <w:rPr>
                <w:rFonts w:eastAsia="SimSun"/>
              </w:rPr>
              <w:tab/>
              <w:t>Interfaz de usuario simple e intuitiva destinada a la comunidad mundial de administraciones miembros de la UIT, que garantice la máxima aceptación posible</w:t>
            </w:r>
            <w:r w:rsidR="002C2BBA" w:rsidRPr="009257C7">
              <w:rPr>
                <w:rFonts w:eastAsia="SimSun"/>
              </w:rPr>
              <w:t>.</w:t>
            </w:r>
          </w:p>
          <w:p w:rsidR="00E7660B" w:rsidRPr="009257C7" w:rsidRDefault="00E7660B" w:rsidP="002C2BBA">
            <w:pPr>
              <w:pStyle w:val="enumlev1"/>
              <w:rPr>
                <w:rFonts w:eastAsia="SimSun"/>
              </w:rPr>
            </w:pPr>
            <w:r w:rsidRPr="009257C7">
              <w:rPr>
                <w:rFonts w:eastAsia="SimSun"/>
              </w:rPr>
              <w:t>–</w:t>
            </w:r>
            <w:r w:rsidRPr="009257C7">
              <w:rPr>
                <w:rFonts w:eastAsia="SimSun"/>
              </w:rPr>
              <w:tab/>
              <w:t>Sistema en línea autosuficiente albergado en la infraestructura informática de la UIT, que retransmita la correspondencia a su destino (UIT, Administraciones)</w:t>
            </w:r>
            <w:r w:rsidR="002C2BBA" w:rsidRPr="009257C7">
              <w:rPr>
                <w:rFonts w:eastAsia="SimSun"/>
              </w:rPr>
              <w:t>.</w:t>
            </w:r>
          </w:p>
          <w:p w:rsidR="00E7660B" w:rsidRPr="009257C7" w:rsidRDefault="00E7660B" w:rsidP="002C2BBA">
            <w:pPr>
              <w:pStyle w:val="enumlev1"/>
              <w:rPr>
                <w:rFonts w:eastAsia="SimSun"/>
              </w:rPr>
            </w:pPr>
            <w:r w:rsidRPr="009257C7">
              <w:rPr>
                <w:rFonts w:eastAsia="SimSun"/>
              </w:rPr>
              <w:t>–</w:t>
            </w:r>
            <w:r w:rsidRPr="009257C7">
              <w:rPr>
                <w:rFonts w:eastAsia="SimSun"/>
              </w:rPr>
              <w:tab/>
              <w:t>Alta seguridad y confianza en la retransmisión, la indicación de fecha y hora y la transmisión de correspondencia, con una supervisión del flujo de información</w:t>
            </w:r>
            <w:r w:rsidR="002C2BBA" w:rsidRPr="009257C7">
              <w:rPr>
                <w:rFonts w:eastAsia="SimSun"/>
              </w:rPr>
              <w:t>.</w:t>
            </w:r>
          </w:p>
          <w:p w:rsidR="00E7660B" w:rsidRPr="009257C7" w:rsidRDefault="00E7660B" w:rsidP="002C2BBA">
            <w:pPr>
              <w:pStyle w:val="enumlev1"/>
              <w:rPr>
                <w:rFonts w:eastAsia="SimSun"/>
              </w:rPr>
            </w:pPr>
            <w:bookmarkStart w:id="29" w:name="lt_pId246"/>
            <w:bookmarkEnd w:id="28"/>
            <w:r w:rsidRPr="009257C7">
              <w:rPr>
                <w:rFonts w:eastAsia="SimSun"/>
              </w:rPr>
              <w:t>–</w:t>
            </w:r>
            <w:r w:rsidRPr="009257C7">
              <w:rPr>
                <w:rFonts w:eastAsia="SimSun"/>
              </w:rPr>
              <w:tab/>
              <w:t>Capacidad para seguir la notificación y su entrega, así como la recepción satisfactoria de los datos enviados</w:t>
            </w:r>
            <w:bookmarkEnd w:id="29"/>
            <w:r w:rsidR="002C2BBA" w:rsidRPr="009257C7">
              <w:rPr>
                <w:rFonts w:eastAsia="SimSun"/>
              </w:rPr>
              <w:t>.</w:t>
            </w:r>
          </w:p>
          <w:p w:rsidR="00E7660B" w:rsidRPr="009257C7" w:rsidRDefault="00E7660B" w:rsidP="002C2BBA">
            <w:pPr>
              <w:pStyle w:val="enumlev1"/>
              <w:rPr>
                <w:rFonts w:eastAsia="SimSun"/>
              </w:rPr>
            </w:pPr>
            <w:bookmarkStart w:id="30" w:name="lt_pId247"/>
            <w:r w:rsidRPr="009257C7">
              <w:rPr>
                <w:rFonts w:eastAsia="SimSun"/>
              </w:rPr>
              <w:t>–</w:t>
            </w:r>
            <w:r w:rsidRPr="009257C7">
              <w:rPr>
                <w:rFonts w:eastAsia="SimSun"/>
              </w:rPr>
              <w:tab/>
              <w:t>Integración armoniosa en el sistema existente de tramitación de correspondencia y la infraestructura informática de la UIT</w:t>
            </w:r>
            <w:bookmarkEnd w:id="30"/>
            <w:r w:rsidR="002A57DE" w:rsidRPr="009257C7">
              <w:t xml:space="preserve"> </w:t>
            </w:r>
            <w:r w:rsidR="002A57DE" w:rsidRPr="009257C7">
              <w:rPr>
                <w:rFonts w:eastAsia="SimSun"/>
              </w:rPr>
              <w:t>así como la plena integración con otros servicios web (</w:t>
            </w:r>
            <w:r w:rsidR="0068615B" w:rsidRPr="009257C7">
              <w:rPr>
                <w:rFonts w:eastAsia="SimSun"/>
              </w:rPr>
              <w:t xml:space="preserve">presentación electrónica </w:t>
            </w:r>
            <w:r w:rsidR="002A57DE" w:rsidRPr="009257C7">
              <w:rPr>
                <w:rFonts w:eastAsia="SimSun"/>
              </w:rPr>
              <w:t>y SIRRS)</w:t>
            </w:r>
            <w:r w:rsidRPr="009257C7">
              <w:rPr>
                <w:rFonts w:eastAsia="SimSun"/>
              </w:rPr>
              <w:t>.</w:t>
            </w:r>
          </w:p>
          <w:p w:rsidR="00F047BC" w:rsidRPr="009257C7" w:rsidRDefault="002A57DE" w:rsidP="00F33FF0">
            <w:pPr>
              <w:rPr>
                <w:rFonts w:eastAsia="SimSun"/>
                <w:szCs w:val="24"/>
              </w:rPr>
            </w:pPr>
            <w:bookmarkStart w:id="31" w:name="lt_pId248"/>
            <w:r w:rsidRPr="009257C7">
              <w:rPr>
                <w:rFonts w:eastAsia="SimSun"/>
                <w:szCs w:val="24"/>
              </w:rPr>
              <w:t xml:space="preserve">Los requisitos funcionales detallados para el módulo de comunicaciones se han perfeccionado a la luz de la experiencia acumulada </w:t>
            </w:r>
            <w:r w:rsidR="0068615B" w:rsidRPr="009257C7">
              <w:rPr>
                <w:rFonts w:eastAsia="SimSun"/>
                <w:szCs w:val="24"/>
              </w:rPr>
              <w:t>a partir de la puesta en marcha d</w:t>
            </w:r>
            <w:r w:rsidRPr="009257C7">
              <w:rPr>
                <w:rFonts w:eastAsia="SimSun"/>
                <w:szCs w:val="24"/>
              </w:rPr>
              <w:t xml:space="preserve">el sistema de </w:t>
            </w:r>
            <w:r w:rsidR="0068615B" w:rsidRPr="009257C7">
              <w:rPr>
                <w:rFonts w:eastAsia="SimSun"/>
                <w:szCs w:val="24"/>
              </w:rPr>
              <w:t>presentación electrónica y del s</w:t>
            </w:r>
            <w:r w:rsidRPr="009257C7">
              <w:rPr>
                <w:rFonts w:eastAsia="SimSun"/>
                <w:szCs w:val="24"/>
              </w:rPr>
              <w:t>istema de notificación y resolución de interferencias</w:t>
            </w:r>
            <w:r w:rsidR="0068615B" w:rsidRPr="009257C7">
              <w:rPr>
                <w:rFonts w:eastAsia="SimSun"/>
                <w:szCs w:val="24"/>
              </w:rPr>
              <w:t xml:space="preserve"> de satélites</w:t>
            </w:r>
            <w:r w:rsidRPr="009257C7">
              <w:rPr>
                <w:rFonts w:eastAsia="SimSun"/>
                <w:szCs w:val="24"/>
              </w:rPr>
              <w:t xml:space="preserve"> (SIRRS).</w:t>
            </w:r>
          </w:p>
          <w:p w:rsidR="00CF0AF5" w:rsidRPr="009257C7" w:rsidRDefault="005720FB" w:rsidP="00186E99">
            <w:pPr>
              <w:rPr>
                <w:rFonts w:eastAsia="SimSun"/>
                <w:szCs w:val="24"/>
              </w:rPr>
            </w:pPr>
            <w:r w:rsidRPr="009257C7">
              <w:rPr>
                <w:rFonts w:eastAsia="SimSun"/>
                <w:szCs w:val="24"/>
              </w:rPr>
              <w:t>Se ha previsto que las fases del proyecto serán las siguientes:</w:t>
            </w:r>
          </w:p>
          <w:p w:rsidR="00E7660B" w:rsidRPr="009257C7" w:rsidRDefault="00186E99" w:rsidP="00186E99">
            <w:pPr>
              <w:pStyle w:val="enumlev1"/>
              <w:rPr>
                <w:rFonts w:eastAsia="SimSun"/>
              </w:rPr>
            </w:pPr>
            <w:r w:rsidRPr="009257C7">
              <w:rPr>
                <w:rFonts w:eastAsia="SimSun"/>
              </w:rPr>
              <w:t>–</w:t>
            </w:r>
            <w:r w:rsidRPr="009257C7">
              <w:rPr>
                <w:rFonts w:eastAsia="SimSun"/>
              </w:rPr>
              <w:tab/>
            </w:r>
            <w:r w:rsidR="005720FB" w:rsidRPr="009257C7">
              <w:rPr>
                <w:rFonts w:eastAsia="SimSun"/>
              </w:rPr>
              <w:t xml:space="preserve">3 de junio </w:t>
            </w:r>
            <w:r w:rsidR="00E7660B" w:rsidRPr="009257C7">
              <w:rPr>
                <w:rFonts w:eastAsia="SimSun"/>
              </w:rPr>
              <w:t>de</w:t>
            </w:r>
            <w:bookmarkEnd w:id="31"/>
            <w:r w:rsidRPr="009257C7">
              <w:rPr>
                <w:rFonts w:eastAsia="SimSun"/>
              </w:rPr>
              <w:t xml:space="preserve"> </w:t>
            </w:r>
            <w:r w:rsidR="00E7660B" w:rsidRPr="009257C7">
              <w:rPr>
                <w:rFonts w:eastAsia="SimSun"/>
              </w:rPr>
              <w:t>2019</w:t>
            </w:r>
            <w:r w:rsidR="006821C8" w:rsidRPr="009257C7">
              <w:rPr>
                <w:rFonts w:eastAsia="SimSun"/>
              </w:rPr>
              <w:t xml:space="preserve"> </w:t>
            </w:r>
            <w:r w:rsidRPr="009257C7">
              <w:rPr>
                <w:rFonts w:eastAsia="SimSun"/>
              </w:rPr>
              <w:t>–</w:t>
            </w:r>
            <w:r w:rsidR="005720FB" w:rsidRPr="009257C7">
              <w:rPr>
                <w:rFonts w:eastAsia="SimSun"/>
              </w:rPr>
              <w:t xml:space="preserve"> mediados de agosto </w:t>
            </w:r>
            <w:r w:rsidR="00E7660B" w:rsidRPr="009257C7">
              <w:rPr>
                <w:rFonts w:eastAsia="SimSun"/>
              </w:rPr>
              <w:t xml:space="preserve">de 2019: Prueba externa de la versión beta </w:t>
            </w:r>
            <w:r w:rsidR="006821C8" w:rsidRPr="009257C7">
              <w:rPr>
                <w:rFonts w:eastAsia="SimSun"/>
              </w:rPr>
              <w:t>(</w:t>
            </w:r>
            <w:r w:rsidR="005720FB" w:rsidRPr="009257C7">
              <w:rPr>
                <w:rFonts w:eastAsia="SimSun"/>
              </w:rPr>
              <w:t xml:space="preserve">carta circular, designación de las cuentas de usuarios por </w:t>
            </w:r>
            <w:r w:rsidR="00E7660B" w:rsidRPr="009257C7">
              <w:rPr>
                <w:rFonts w:eastAsia="SimSun"/>
              </w:rPr>
              <w:t>las administraciones</w:t>
            </w:r>
            <w:r w:rsidRPr="009257C7">
              <w:rPr>
                <w:rFonts w:eastAsia="SimSun"/>
              </w:rPr>
              <w:t>)</w:t>
            </w:r>
            <w:r w:rsidR="003C3FE1" w:rsidRPr="009257C7">
              <w:rPr>
                <w:rFonts w:eastAsia="SimSun"/>
              </w:rPr>
              <w:t>.</w:t>
            </w:r>
          </w:p>
          <w:p w:rsidR="00E7660B" w:rsidRPr="009257C7" w:rsidRDefault="00E7660B" w:rsidP="00764E0A">
            <w:pPr>
              <w:pStyle w:val="enumlev1"/>
              <w:spacing w:after="120"/>
            </w:pPr>
            <w:r w:rsidRPr="009257C7">
              <w:rPr>
                <w:rFonts w:eastAsia="SimSun"/>
              </w:rPr>
              <w:t>–</w:t>
            </w:r>
            <w:r w:rsidRPr="009257C7">
              <w:rPr>
                <w:rFonts w:eastAsia="SimSun"/>
              </w:rPr>
              <w:tab/>
              <w:t xml:space="preserve">1 de </w:t>
            </w:r>
            <w:r w:rsidR="005720FB" w:rsidRPr="009257C7">
              <w:rPr>
                <w:rFonts w:eastAsia="SimSun"/>
              </w:rPr>
              <w:t xml:space="preserve">septiembre </w:t>
            </w:r>
            <w:r w:rsidRPr="009257C7">
              <w:rPr>
                <w:rFonts w:eastAsia="SimSun"/>
              </w:rPr>
              <w:t xml:space="preserve">de 2019: </w:t>
            </w:r>
            <w:r w:rsidR="005720FB" w:rsidRPr="009257C7">
              <w:rPr>
                <w:rFonts w:eastAsia="SimSun"/>
              </w:rPr>
              <w:t xml:space="preserve">módulo de comunicaciones de la aplicación </w:t>
            </w:r>
            <w:r w:rsidR="004B49E2" w:rsidRPr="009257C7">
              <w:rPr>
                <w:rFonts w:eastAsia="SimSun"/>
              </w:rPr>
              <w:t xml:space="preserve">de presentación </w:t>
            </w:r>
            <w:r w:rsidR="005720FB" w:rsidRPr="009257C7">
              <w:rPr>
                <w:rFonts w:eastAsia="SimSun"/>
              </w:rPr>
              <w:t xml:space="preserve">electrónica </w:t>
            </w:r>
            <w:bookmarkStart w:id="32" w:name="lt_pId258"/>
            <w:r w:rsidRPr="009257C7">
              <w:rPr>
                <w:rFonts w:eastAsia="SimSun"/>
              </w:rPr>
              <w:t>en producción.</w:t>
            </w:r>
            <w:bookmarkEnd w:id="32"/>
          </w:p>
        </w:tc>
      </w:tr>
      <w:tr w:rsidR="006821C8" w:rsidRPr="009257C7" w:rsidTr="005A453D">
        <w:tc>
          <w:tcPr>
            <w:tcW w:w="9629" w:type="dxa"/>
          </w:tcPr>
          <w:p w:rsidR="006821C8" w:rsidRPr="009257C7" w:rsidRDefault="006821C8" w:rsidP="00FD7832">
            <w:pPr>
              <w:pStyle w:val="Headingb"/>
              <w:keepLines/>
              <w:spacing w:after="120"/>
              <w:rPr>
                <w:rFonts w:eastAsia="SimSun"/>
              </w:rPr>
            </w:pPr>
            <w:r w:rsidRPr="009257C7">
              <w:rPr>
                <w:rFonts w:eastAsia="SimSun"/>
              </w:rPr>
              <w:lastRenderedPageBreak/>
              <w:t>Resolución 908 (Rev.CMR-15): Presentación en formato electrónico de las notificaciones de redes de satélite</w:t>
            </w:r>
            <w:r w:rsidR="006E78CF" w:rsidRPr="009257C7">
              <w:rPr>
                <w:rFonts w:eastAsia="SimSun"/>
              </w:rPr>
              <w:t>s</w:t>
            </w:r>
          </w:p>
        </w:tc>
      </w:tr>
      <w:tr w:rsidR="00E7660B" w:rsidRPr="009257C7" w:rsidTr="005A453D">
        <w:tc>
          <w:tcPr>
            <w:tcW w:w="9629" w:type="dxa"/>
          </w:tcPr>
          <w:p w:rsidR="00E7660B" w:rsidRPr="009257C7" w:rsidRDefault="00E7660B" w:rsidP="00FD7832">
            <w:pPr>
              <w:keepNext/>
              <w:keepLines/>
              <w:rPr>
                <w:rFonts w:eastAsia="SimSun"/>
                <w:szCs w:val="24"/>
              </w:rPr>
            </w:pPr>
            <w:bookmarkStart w:id="33" w:name="lt_pId261"/>
            <w:r w:rsidRPr="009257C7">
              <w:rPr>
                <w:rFonts w:eastAsia="SimSun"/>
                <w:szCs w:val="24"/>
              </w:rPr>
              <w:t xml:space="preserve">En la Resolución </w:t>
            </w:r>
            <w:r w:rsidRPr="009257C7">
              <w:rPr>
                <w:rFonts w:eastAsia="SimSun"/>
                <w:b/>
                <w:bCs/>
                <w:szCs w:val="24"/>
              </w:rPr>
              <w:t>908 (Rev.CMR-15)</w:t>
            </w:r>
            <w:r w:rsidRPr="009257C7">
              <w:rPr>
                <w:rFonts w:eastAsia="SimSun"/>
                <w:szCs w:val="24"/>
              </w:rPr>
              <w:t xml:space="preserve"> se resuelve que las administraciones presenten todas las notificaciones de redes de satélites y comentarios, si fuera necesario, utilizando un método electrónico seguro y sin papel, una vez que se les informe de la puesta en marcha de los mecanismos para dicha presentación electrónica de las notificaciones de redes o sistemas de satélites, y que se les garantice la seguridad de tales mecanismos</w:t>
            </w:r>
            <w:bookmarkEnd w:id="33"/>
            <w:r w:rsidRPr="009257C7">
              <w:rPr>
                <w:rFonts w:eastAsia="SimSun"/>
                <w:szCs w:val="24"/>
              </w:rPr>
              <w:t>.</w:t>
            </w:r>
          </w:p>
          <w:p w:rsidR="00E7660B" w:rsidRPr="009257C7" w:rsidRDefault="00E7660B" w:rsidP="00FD7832">
            <w:pPr>
              <w:keepNext/>
              <w:keepLines/>
              <w:rPr>
                <w:rFonts w:eastAsia="SimSun"/>
                <w:szCs w:val="24"/>
              </w:rPr>
            </w:pPr>
            <w:bookmarkStart w:id="34" w:name="lt_pId262"/>
            <w:r w:rsidRPr="009257C7">
              <w:rPr>
                <w:rFonts w:eastAsia="SimSun"/>
                <w:szCs w:val="24"/>
              </w:rPr>
              <w:t>A fin de prestar ayuda en el desarrollo y las pruebas del software RES-908, la Administración de Japón ha realizado una contribución financiera a este proyecto y ha destacado un experto en software de reglamentación espacial a Ginebra para un periodo de 2 años.</w:t>
            </w:r>
            <w:bookmarkEnd w:id="34"/>
          </w:p>
          <w:p w:rsidR="00E7660B" w:rsidRPr="009257C7" w:rsidRDefault="00E7660B" w:rsidP="00FD7832">
            <w:pPr>
              <w:keepNext/>
              <w:keepLines/>
              <w:rPr>
                <w:rFonts w:eastAsia="SimSun"/>
                <w:szCs w:val="24"/>
              </w:rPr>
            </w:pPr>
            <w:bookmarkStart w:id="35" w:name="lt_pId265"/>
            <w:r w:rsidRPr="009257C7">
              <w:rPr>
                <w:rFonts w:eastAsia="SimSun"/>
                <w:szCs w:val="24"/>
              </w:rPr>
              <w:t>Se prevén los resultados siguientes a tenor de la Resolución</w:t>
            </w:r>
            <w:r w:rsidR="009466A2" w:rsidRPr="009257C7">
              <w:rPr>
                <w:rFonts w:eastAsia="SimSun"/>
                <w:szCs w:val="24"/>
              </w:rPr>
              <w:t xml:space="preserve"> </w:t>
            </w:r>
            <w:r w:rsidR="009466A2" w:rsidRPr="009257C7">
              <w:rPr>
                <w:rFonts w:eastAsia="SimSun"/>
                <w:b/>
                <w:bCs/>
                <w:szCs w:val="24"/>
              </w:rPr>
              <w:t>908 (Rev.</w:t>
            </w:r>
            <w:r w:rsidRPr="009257C7">
              <w:rPr>
                <w:rFonts w:eastAsia="SimSun"/>
                <w:b/>
                <w:bCs/>
                <w:szCs w:val="24"/>
              </w:rPr>
              <w:t>CMR-15)</w:t>
            </w:r>
            <w:r w:rsidRPr="009257C7">
              <w:rPr>
                <w:rFonts w:eastAsia="SimSun"/>
                <w:szCs w:val="24"/>
              </w:rPr>
              <w:t>:</w:t>
            </w:r>
          </w:p>
          <w:bookmarkEnd w:id="35"/>
          <w:p w:rsidR="00E7660B" w:rsidRPr="009257C7" w:rsidRDefault="00E7660B" w:rsidP="00FD7832">
            <w:pPr>
              <w:pStyle w:val="enumlev1"/>
              <w:keepNext/>
              <w:keepLines/>
              <w:rPr>
                <w:rFonts w:eastAsia="SimSun"/>
              </w:rPr>
            </w:pPr>
            <w:r w:rsidRPr="009257C7">
              <w:rPr>
                <w:rFonts w:eastAsia="SimSun"/>
              </w:rPr>
              <w:t>1</w:t>
            </w:r>
            <w:r w:rsidR="00222DEF" w:rsidRPr="009257C7">
              <w:rPr>
                <w:rFonts w:eastAsia="SimSun"/>
              </w:rPr>
              <w:t>)</w:t>
            </w:r>
            <w:r w:rsidRPr="009257C7">
              <w:rPr>
                <w:rFonts w:eastAsia="SimSun"/>
              </w:rPr>
              <w:tab/>
            </w:r>
            <w:bookmarkStart w:id="36" w:name="lt_pId267"/>
            <w:r w:rsidRPr="009257C7">
              <w:rPr>
                <w:rFonts w:eastAsia="SimSun"/>
              </w:rPr>
              <w:t>Un enfoque consolidado para la presentación y publicación electrónica de todas las notificaciones de redes de satélite, los comentarios y las publicaciones conexos.</w:t>
            </w:r>
            <w:bookmarkEnd w:id="36"/>
          </w:p>
          <w:p w:rsidR="00E7660B" w:rsidRPr="009257C7" w:rsidRDefault="00E7660B" w:rsidP="00FD7832">
            <w:pPr>
              <w:pStyle w:val="enumlev1"/>
              <w:keepNext/>
              <w:keepLines/>
              <w:rPr>
                <w:rFonts w:eastAsia="SimSun"/>
              </w:rPr>
            </w:pPr>
            <w:r w:rsidRPr="009257C7">
              <w:rPr>
                <w:rFonts w:eastAsia="SimSun"/>
              </w:rPr>
              <w:t>2</w:t>
            </w:r>
            <w:bookmarkStart w:id="37" w:name="lt_pId269"/>
            <w:r w:rsidR="00222DEF" w:rsidRPr="009257C7">
              <w:rPr>
                <w:rFonts w:eastAsia="SimSun"/>
              </w:rPr>
              <w:t>)</w:t>
            </w:r>
            <w:r w:rsidRPr="009257C7">
              <w:rPr>
                <w:rFonts w:eastAsia="SimSun"/>
              </w:rPr>
              <w:tab/>
              <w:t>Un sistema interno mejorado de tramitación de la BR para el tratamiento de notificaciones de redes de satélite y los comentarios correspondientes.</w:t>
            </w:r>
            <w:bookmarkEnd w:id="37"/>
          </w:p>
          <w:p w:rsidR="00E7660B" w:rsidRPr="009257C7" w:rsidRDefault="00E7660B" w:rsidP="00FD7832">
            <w:pPr>
              <w:pStyle w:val="enumlev1"/>
              <w:keepNext/>
              <w:keepLines/>
              <w:rPr>
                <w:rFonts w:eastAsia="SimSun"/>
              </w:rPr>
            </w:pPr>
            <w:r w:rsidRPr="009257C7">
              <w:rPr>
                <w:rFonts w:eastAsia="SimSun"/>
              </w:rPr>
              <w:t>3</w:t>
            </w:r>
            <w:r w:rsidR="00222DEF" w:rsidRPr="009257C7">
              <w:rPr>
                <w:rFonts w:eastAsia="SimSun"/>
              </w:rPr>
              <w:t>)</w:t>
            </w:r>
            <w:r w:rsidRPr="009257C7">
              <w:rPr>
                <w:rFonts w:eastAsia="SimSun"/>
              </w:rPr>
              <w:tab/>
              <w:t>Racionalización de los procedimientos internos de la BR para la tramitación de notificaciones de redes de satélites.</w:t>
            </w:r>
          </w:p>
          <w:p w:rsidR="00E7660B" w:rsidRPr="009257C7" w:rsidRDefault="00E7660B" w:rsidP="00FD7832">
            <w:pPr>
              <w:pStyle w:val="enumlev1"/>
              <w:keepNext/>
              <w:keepLines/>
              <w:rPr>
                <w:rFonts w:eastAsia="SimSun"/>
              </w:rPr>
            </w:pPr>
            <w:r w:rsidRPr="009257C7">
              <w:rPr>
                <w:rFonts w:eastAsia="SimSun"/>
              </w:rPr>
              <w:t>4</w:t>
            </w:r>
            <w:r w:rsidR="00222DEF" w:rsidRPr="009257C7">
              <w:rPr>
                <w:rFonts w:eastAsia="SimSun"/>
              </w:rPr>
              <w:t>)</w:t>
            </w:r>
            <w:r w:rsidRPr="009257C7">
              <w:rPr>
                <w:rFonts w:eastAsia="SimSun"/>
              </w:rPr>
              <w:tab/>
              <w:t>Integración entre las nuevas versiones de las aplicaciones software tradicionales (véase la hoja de ruta sobre los sistemas de información espacial de la BR en el Anexo 1) y la moderna tecnología web seleccionada para la aplicación de la Resolución 908.</w:t>
            </w:r>
          </w:p>
          <w:p w:rsidR="00E7660B" w:rsidRPr="009257C7" w:rsidRDefault="00B50916" w:rsidP="00FD7832">
            <w:pPr>
              <w:keepNext/>
              <w:keepLines/>
              <w:rPr>
                <w:rFonts w:eastAsia="SimSun"/>
                <w:szCs w:val="24"/>
              </w:rPr>
            </w:pPr>
            <w:r w:rsidRPr="009257C7">
              <w:rPr>
                <w:rFonts w:eastAsia="SimSun"/>
                <w:szCs w:val="24"/>
              </w:rPr>
              <w:t>L</w:t>
            </w:r>
            <w:r w:rsidR="00E7660B" w:rsidRPr="009257C7">
              <w:rPr>
                <w:rFonts w:eastAsia="SimSun"/>
                <w:szCs w:val="24"/>
              </w:rPr>
              <w:t xml:space="preserve">a </w:t>
            </w:r>
            <w:r w:rsidR="00027771" w:rsidRPr="009257C7">
              <w:rPr>
                <w:rFonts w:eastAsia="SimSun"/>
                <w:szCs w:val="24"/>
              </w:rPr>
              <w:t xml:space="preserve">Fase </w:t>
            </w:r>
            <w:r w:rsidR="00E7660B" w:rsidRPr="009257C7">
              <w:rPr>
                <w:rFonts w:eastAsia="SimSun"/>
                <w:szCs w:val="24"/>
              </w:rPr>
              <w:t>1 del proyecto de la Resolución 908 relativo a la comunicación de notificaciones de redes de satélites y comentarios</w:t>
            </w:r>
            <w:r w:rsidR="009467E0" w:rsidRPr="009257C7">
              <w:rPr>
                <w:rFonts w:eastAsia="SimSun"/>
                <w:szCs w:val="24"/>
              </w:rPr>
              <w:t xml:space="preserve">, </w:t>
            </w:r>
            <w:r w:rsidR="002A57DE" w:rsidRPr="009257C7">
              <w:rPr>
                <w:rFonts w:eastAsia="SimSun"/>
                <w:szCs w:val="24"/>
              </w:rPr>
              <w:t xml:space="preserve">conocido como </w:t>
            </w:r>
            <w:r w:rsidR="005720FB" w:rsidRPr="009257C7">
              <w:rPr>
                <w:rFonts w:eastAsia="SimSun"/>
                <w:szCs w:val="24"/>
              </w:rPr>
              <w:t xml:space="preserve">la </w:t>
            </w:r>
            <w:r w:rsidR="009467E0" w:rsidRPr="009257C7">
              <w:rPr>
                <w:rFonts w:eastAsia="SimSun"/>
                <w:szCs w:val="24"/>
              </w:rPr>
              <w:t>«</w:t>
            </w:r>
            <w:r w:rsidR="005720FB" w:rsidRPr="009257C7">
              <w:rPr>
                <w:rFonts w:eastAsia="SimSun"/>
                <w:szCs w:val="24"/>
              </w:rPr>
              <w:t>P</w:t>
            </w:r>
            <w:r w:rsidR="002A57DE" w:rsidRPr="009257C7">
              <w:rPr>
                <w:rFonts w:eastAsia="SimSun"/>
                <w:szCs w:val="24"/>
              </w:rPr>
              <w:t xml:space="preserve">resentación electrónica </w:t>
            </w:r>
            <w:r w:rsidRPr="009257C7">
              <w:rPr>
                <w:rFonts w:eastAsia="SimSun"/>
                <w:szCs w:val="24"/>
              </w:rPr>
              <w:t>de notificaciones</w:t>
            </w:r>
            <w:r w:rsidR="002A57DE" w:rsidRPr="009257C7">
              <w:rPr>
                <w:rFonts w:eastAsia="SimSun"/>
                <w:szCs w:val="24"/>
              </w:rPr>
              <w:t xml:space="preserve"> de redes de satélite</w:t>
            </w:r>
            <w:r w:rsidR="00027771" w:rsidRPr="009257C7">
              <w:rPr>
                <w:rFonts w:eastAsia="SimSun"/>
                <w:szCs w:val="24"/>
              </w:rPr>
              <w:t>s</w:t>
            </w:r>
            <w:r w:rsidR="009467E0" w:rsidRPr="009257C7">
              <w:rPr>
                <w:rFonts w:eastAsia="SimSun"/>
                <w:szCs w:val="24"/>
              </w:rPr>
              <w:t xml:space="preserve">» </w:t>
            </w:r>
            <w:r w:rsidRPr="009257C7">
              <w:rPr>
                <w:rFonts w:eastAsia="SimSun"/>
                <w:szCs w:val="24"/>
              </w:rPr>
              <w:t>se ha puesto en marcha como sigue</w:t>
            </w:r>
            <w:r w:rsidR="00E7660B" w:rsidRPr="009257C7">
              <w:rPr>
                <w:rFonts w:eastAsia="SimSun"/>
                <w:szCs w:val="24"/>
              </w:rPr>
              <w:t>:</w:t>
            </w:r>
          </w:p>
          <w:p w:rsidR="00E7660B" w:rsidRPr="009257C7" w:rsidRDefault="008C2FA4" w:rsidP="00FD7832">
            <w:pPr>
              <w:pStyle w:val="enumlev1"/>
              <w:keepNext/>
              <w:keepLines/>
              <w:rPr>
                <w:rFonts w:eastAsia="SimSun"/>
              </w:rPr>
            </w:pPr>
            <w:r w:rsidRPr="009257C7">
              <w:rPr>
                <w:rFonts w:eastAsia="SimSun"/>
              </w:rPr>
              <w:t>–</w:t>
            </w:r>
            <w:r w:rsidRPr="009257C7">
              <w:rPr>
                <w:rFonts w:eastAsia="SimSun"/>
              </w:rPr>
              <w:tab/>
            </w:r>
            <w:r w:rsidR="00AF6B41" w:rsidRPr="009257C7">
              <w:rPr>
                <w:rFonts w:eastAsia="SimSun"/>
              </w:rPr>
              <w:t xml:space="preserve">Mediados </w:t>
            </w:r>
            <w:r w:rsidR="002A57DE" w:rsidRPr="009257C7">
              <w:rPr>
                <w:rFonts w:eastAsia="SimSun"/>
              </w:rPr>
              <w:t xml:space="preserve">de marzo de 2018 – mediados de julio </w:t>
            </w:r>
            <w:r w:rsidR="00E7660B" w:rsidRPr="009257C7">
              <w:rPr>
                <w:rFonts w:eastAsia="SimSun"/>
              </w:rPr>
              <w:t>de 2018: pr</w:t>
            </w:r>
            <w:r w:rsidR="00933712" w:rsidRPr="009257C7">
              <w:rPr>
                <w:rFonts w:eastAsia="SimSun"/>
              </w:rPr>
              <w:t xml:space="preserve">ueba externa de la versión beta </w:t>
            </w:r>
            <w:r w:rsidR="002A57DE" w:rsidRPr="009257C7">
              <w:rPr>
                <w:rFonts w:eastAsia="SimSun"/>
              </w:rPr>
              <w:t xml:space="preserve">(como se </w:t>
            </w:r>
            <w:r w:rsidR="00B50916" w:rsidRPr="009257C7">
              <w:rPr>
                <w:rFonts w:eastAsia="SimSun"/>
              </w:rPr>
              <w:t>in</w:t>
            </w:r>
            <w:r w:rsidR="00701134" w:rsidRPr="009257C7">
              <w:rPr>
                <w:rFonts w:eastAsia="SimSun"/>
              </w:rPr>
              <w:t>dica</w:t>
            </w:r>
            <w:r w:rsidR="002A57DE" w:rsidRPr="009257C7">
              <w:rPr>
                <w:rFonts w:eastAsia="SimSun"/>
              </w:rPr>
              <w:t xml:space="preserve"> en la CR/427)</w:t>
            </w:r>
            <w:r w:rsidR="009467E0" w:rsidRPr="009257C7">
              <w:rPr>
                <w:rFonts w:eastAsia="SimSun"/>
              </w:rPr>
              <w:t xml:space="preserve"> </w:t>
            </w:r>
            <w:r w:rsidR="00E7660B" w:rsidRPr="009257C7">
              <w:rPr>
                <w:rFonts w:eastAsia="SimSun"/>
              </w:rPr>
              <w:t xml:space="preserve">y </w:t>
            </w:r>
            <w:r w:rsidR="002A57DE" w:rsidRPr="009257C7">
              <w:rPr>
                <w:rFonts w:eastAsia="SimSun"/>
              </w:rPr>
              <w:t xml:space="preserve">recopilación de </w:t>
            </w:r>
            <w:r w:rsidR="00E7660B" w:rsidRPr="009257C7">
              <w:rPr>
                <w:rFonts w:eastAsia="SimSun"/>
              </w:rPr>
              <w:t xml:space="preserve">los </w:t>
            </w:r>
            <w:r w:rsidR="00701134" w:rsidRPr="009257C7">
              <w:rPr>
                <w:rFonts w:eastAsia="SimSun"/>
              </w:rPr>
              <w:t>comentarios de los usuarios externos</w:t>
            </w:r>
            <w:r w:rsidR="00933712" w:rsidRPr="009257C7">
              <w:rPr>
                <w:rFonts w:eastAsia="SimSun"/>
              </w:rPr>
              <w:t>.</w:t>
            </w:r>
          </w:p>
          <w:p w:rsidR="00E7660B" w:rsidRPr="009257C7" w:rsidRDefault="008C2FA4" w:rsidP="00FD7832">
            <w:pPr>
              <w:pStyle w:val="enumlev1"/>
              <w:keepNext/>
              <w:keepLines/>
              <w:rPr>
                <w:rFonts w:eastAsia="SimSun"/>
              </w:rPr>
            </w:pPr>
            <w:r w:rsidRPr="009257C7">
              <w:rPr>
                <w:rFonts w:eastAsia="SimSun"/>
              </w:rPr>
              <w:t>–</w:t>
            </w:r>
            <w:r w:rsidRPr="009257C7">
              <w:rPr>
                <w:rFonts w:eastAsia="SimSun"/>
              </w:rPr>
              <w:tab/>
            </w:r>
            <w:r w:rsidR="00E7660B" w:rsidRPr="009257C7">
              <w:rPr>
                <w:rFonts w:eastAsia="SimSun"/>
              </w:rPr>
              <w:t>1 de agosto de 2018: Utilización obligatoria (</w:t>
            </w:r>
            <w:r w:rsidR="00701134" w:rsidRPr="009257C7">
              <w:rPr>
                <w:rFonts w:eastAsia="SimSun"/>
              </w:rPr>
              <w:t xml:space="preserve">como se indica en la CR/434, en </w:t>
            </w:r>
            <w:r w:rsidR="00C37610" w:rsidRPr="009257C7">
              <w:rPr>
                <w:rFonts w:eastAsia="SimSun"/>
              </w:rPr>
              <w:t>aplicación</w:t>
            </w:r>
            <w:r w:rsidR="00701134" w:rsidRPr="009257C7">
              <w:rPr>
                <w:rFonts w:eastAsia="SimSun"/>
              </w:rPr>
              <w:t xml:space="preserve"> de la</w:t>
            </w:r>
            <w:r w:rsidR="009467E0" w:rsidRPr="009257C7">
              <w:rPr>
                <w:rFonts w:eastAsia="SimSun"/>
              </w:rPr>
              <w:t xml:space="preserve"> </w:t>
            </w:r>
            <w:r w:rsidR="00E7660B" w:rsidRPr="009257C7">
              <w:rPr>
                <w:rFonts w:eastAsia="SimSun"/>
              </w:rPr>
              <w:t xml:space="preserve">regla de procedimiento </w:t>
            </w:r>
            <w:r w:rsidR="00C37610" w:rsidRPr="009257C7">
              <w:rPr>
                <w:rFonts w:eastAsia="SimSun"/>
              </w:rPr>
              <w:t>sobre la admisibilidad de los formularios de notificación aprobados en la 78ª reunión de la RRB</w:t>
            </w:r>
            <w:r w:rsidR="00B50916" w:rsidRPr="009257C7">
              <w:rPr>
                <w:rFonts w:eastAsia="SimSun"/>
              </w:rPr>
              <w:t xml:space="preserve">). </w:t>
            </w:r>
            <w:r w:rsidR="00701134" w:rsidRPr="009257C7">
              <w:rPr>
                <w:rFonts w:eastAsia="SimSun"/>
              </w:rPr>
              <w:t xml:space="preserve">En esta fase del proceso de aplicación de la Resolución 908, las </w:t>
            </w:r>
            <w:r w:rsidR="00AF6B41" w:rsidRPr="009257C7">
              <w:rPr>
                <w:rFonts w:eastAsia="SimSun"/>
              </w:rPr>
              <w:t xml:space="preserve">administraciones </w:t>
            </w:r>
            <w:r w:rsidR="00701134" w:rsidRPr="009257C7">
              <w:rPr>
                <w:rFonts w:eastAsia="SimSun"/>
              </w:rPr>
              <w:t xml:space="preserve">todavía podían solicitar asistencia </w:t>
            </w:r>
            <w:r w:rsidR="00357EFA" w:rsidRPr="009257C7">
              <w:rPr>
                <w:rFonts w:eastAsia="SimSun"/>
              </w:rPr>
              <w:t>para</w:t>
            </w:r>
            <w:r w:rsidR="00701134" w:rsidRPr="009257C7">
              <w:rPr>
                <w:rFonts w:eastAsia="SimSun"/>
              </w:rPr>
              <w:t xml:space="preserve"> la utilización del nuevo sistema, con objeto de no retrasar la </w:t>
            </w:r>
            <w:r w:rsidR="00C37610" w:rsidRPr="009257C7">
              <w:rPr>
                <w:rFonts w:eastAsia="SimSun"/>
              </w:rPr>
              <w:t>presentación</w:t>
            </w:r>
            <w:r w:rsidR="00701134" w:rsidRPr="009257C7">
              <w:rPr>
                <w:rFonts w:eastAsia="SimSun"/>
              </w:rPr>
              <w:t xml:space="preserve"> de </w:t>
            </w:r>
            <w:r w:rsidR="00B50916" w:rsidRPr="009257C7">
              <w:rPr>
                <w:rFonts w:eastAsia="SimSun"/>
              </w:rPr>
              <w:t>las</w:t>
            </w:r>
            <w:r w:rsidR="00701134" w:rsidRPr="009257C7">
              <w:rPr>
                <w:rFonts w:eastAsia="SimSun"/>
              </w:rPr>
              <w:t xml:space="preserve"> notificaci</w:t>
            </w:r>
            <w:r w:rsidR="00B50916" w:rsidRPr="009257C7">
              <w:rPr>
                <w:rFonts w:eastAsia="SimSun"/>
              </w:rPr>
              <w:t>ones</w:t>
            </w:r>
            <w:r w:rsidR="00543CC1" w:rsidRPr="009257C7">
              <w:rPr>
                <w:rFonts w:eastAsia="SimSun"/>
              </w:rPr>
              <w:t>.</w:t>
            </w:r>
          </w:p>
          <w:p w:rsidR="00DD5C2B" w:rsidRPr="009257C7" w:rsidRDefault="008C2FA4" w:rsidP="00FD7832">
            <w:pPr>
              <w:pStyle w:val="enumlev1"/>
              <w:keepNext/>
              <w:keepLines/>
              <w:rPr>
                <w:rFonts w:eastAsia="SimSun"/>
              </w:rPr>
            </w:pPr>
            <w:r w:rsidRPr="009257C7">
              <w:rPr>
                <w:rFonts w:eastAsia="SimSun"/>
              </w:rPr>
              <w:t>–</w:t>
            </w:r>
            <w:r w:rsidRPr="009257C7">
              <w:rPr>
                <w:rFonts w:eastAsia="SimSun"/>
              </w:rPr>
              <w:tab/>
            </w:r>
            <w:r w:rsidR="00701134" w:rsidRPr="009257C7">
              <w:rPr>
                <w:rFonts w:eastAsia="SimSun"/>
              </w:rPr>
              <w:t xml:space="preserve">15 de enero de 2019: el sistema se considera estable, por lo que, a partir de esa fecha, y la BR ofrecerá asistencia a las </w:t>
            </w:r>
            <w:r w:rsidR="00AF6B41" w:rsidRPr="009257C7">
              <w:rPr>
                <w:rFonts w:eastAsia="SimSun"/>
              </w:rPr>
              <w:t xml:space="preserve">administraciones </w:t>
            </w:r>
            <w:r w:rsidR="00701134" w:rsidRPr="009257C7">
              <w:rPr>
                <w:rFonts w:eastAsia="SimSun"/>
              </w:rPr>
              <w:t xml:space="preserve">en </w:t>
            </w:r>
            <w:r w:rsidR="00B50916" w:rsidRPr="009257C7">
              <w:rPr>
                <w:rFonts w:eastAsia="SimSun"/>
              </w:rPr>
              <w:t>la carga de</w:t>
            </w:r>
            <w:r w:rsidR="00701134" w:rsidRPr="009257C7">
              <w:rPr>
                <w:rFonts w:eastAsia="SimSun"/>
              </w:rPr>
              <w:t xml:space="preserve"> notificaciones </w:t>
            </w:r>
            <w:r w:rsidR="00B50916" w:rsidRPr="009257C7">
              <w:rPr>
                <w:rFonts w:eastAsia="SimSun"/>
              </w:rPr>
              <w:t xml:space="preserve">en el sistema </w:t>
            </w:r>
            <w:r w:rsidR="00701134" w:rsidRPr="009257C7">
              <w:rPr>
                <w:rFonts w:eastAsia="SimSun"/>
              </w:rPr>
              <w:t>únicamente en casos excepcionales.</w:t>
            </w:r>
          </w:p>
          <w:p w:rsidR="00543CC1" w:rsidRPr="009257C7" w:rsidRDefault="00E7660B" w:rsidP="00FD7832">
            <w:pPr>
              <w:keepNext/>
              <w:keepLines/>
              <w:spacing w:after="120"/>
            </w:pPr>
            <w:r w:rsidRPr="009257C7">
              <w:rPr>
                <w:rFonts w:eastAsia="SimSun"/>
                <w:szCs w:val="24"/>
              </w:rPr>
              <w:t xml:space="preserve">Las mejoras de los procedimientos internos y del software de tramitación se </w:t>
            </w:r>
            <w:r w:rsidR="00C37610" w:rsidRPr="009257C7">
              <w:rPr>
                <w:rFonts w:eastAsia="SimSun"/>
                <w:szCs w:val="24"/>
              </w:rPr>
              <w:t xml:space="preserve">están aplicando </w:t>
            </w:r>
            <w:r w:rsidRPr="009257C7">
              <w:rPr>
                <w:rFonts w:eastAsia="SimSun"/>
                <w:szCs w:val="24"/>
              </w:rPr>
              <w:t>simultáneamente con la mencionada funcionalidad visible exteriormente. Los trabajos proseguirán en 2019, junto con los trabajos previstos en la hoja de ruta sobre sistemas de información espacial de la BR (SNS en línea, SNTrack, etc.).</w:t>
            </w:r>
            <w:r w:rsidR="00AF6B41" w:rsidRPr="009257C7">
              <w:rPr>
                <w:rFonts w:eastAsia="SimSun"/>
                <w:szCs w:val="24"/>
              </w:rPr>
              <w:t xml:space="preserve"> </w:t>
            </w:r>
            <w:r w:rsidR="00B50916" w:rsidRPr="009257C7">
              <w:rPr>
                <w:rFonts w:eastAsia="SimSun"/>
                <w:szCs w:val="24"/>
              </w:rPr>
              <w:t>La implantación de l</w:t>
            </w:r>
            <w:r w:rsidR="00C37610" w:rsidRPr="009257C7">
              <w:rPr>
                <w:rFonts w:eastAsia="SimSun"/>
                <w:szCs w:val="24"/>
              </w:rPr>
              <w:t xml:space="preserve">a parte relativa a la publicación en línea </w:t>
            </w:r>
            <w:r w:rsidR="00B50916" w:rsidRPr="009257C7">
              <w:rPr>
                <w:rFonts w:eastAsia="SimSun"/>
                <w:szCs w:val="24"/>
              </w:rPr>
              <w:t>está prevista en</w:t>
            </w:r>
            <w:r w:rsidR="00C37610" w:rsidRPr="009257C7">
              <w:rPr>
                <w:rFonts w:eastAsia="SimSun"/>
                <w:szCs w:val="24"/>
              </w:rPr>
              <w:t xml:space="preserve"> 2020.</w:t>
            </w:r>
          </w:p>
        </w:tc>
      </w:tr>
      <w:tr w:rsidR="00E7660B" w:rsidRPr="009257C7" w:rsidTr="005A453D">
        <w:tc>
          <w:tcPr>
            <w:tcW w:w="9629" w:type="dxa"/>
          </w:tcPr>
          <w:p w:rsidR="00E7660B" w:rsidRPr="009257C7" w:rsidRDefault="00E7660B" w:rsidP="00FD7832">
            <w:pPr>
              <w:pStyle w:val="Headingb"/>
              <w:keepLines/>
              <w:spacing w:after="120"/>
              <w:rPr>
                <w:rFonts w:eastAsia="SimSun"/>
              </w:rPr>
            </w:pPr>
            <w:r w:rsidRPr="009257C7">
              <w:rPr>
                <w:rFonts w:eastAsia="SimSun"/>
              </w:rPr>
              <w:lastRenderedPageBreak/>
              <w:t xml:space="preserve">Aplicación de las decisiones de la CMR-15 relativas a los servicios </w:t>
            </w:r>
            <w:r w:rsidR="00C37610" w:rsidRPr="009257C7">
              <w:rPr>
                <w:rFonts w:eastAsia="SimSun"/>
              </w:rPr>
              <w:t>terrenales</w:t>
            </w:r>
          </w:p>
          <w:p w:rsidR="00886B02" w:rsidRPr="009257C7" w:rsidRDefault="00362FB0" w:rsidP="00FD7832">
            <w:pPr>
              <w:keepNext/>
              <w:keepLines/>
              <w:rPr>
                <w:rFonts w:asciiTheme="majorBidi" w:hAnsiTheme="majorBidi" w:cstheme="majorBidi"/>
                <w:szCs w:val="24"/>
              </w:rPr>
            </w:pPr>
            <w:r w:rsidRPr="009257C7">
              <w:rPr>
                <w:rFonts w:eastAsia="SimSun"/>
                <w:szCs w:val="24"/>
              </w:rPr>
              <w:t>Se p</w:t>
            </w:r>
            <w:r w:rsidR="00C37610" w:rsidRPr="009257C7">
              <w:rPr>
                <w:rFonts w:eastAsia="SimSun"/>
                <w:szCs w:val="24"/>
              </w:rPr>
              <w:t>rosiguió la actualización de todo el software de tramitación de servicios terrenales, para uso interno (</w:t>
            </w:r>
            <w:r w:rsidR="00C37610" w:rsidRPr="009257C7">
              <w:rPr>
                <w:rFonts w:eastAsia="SimSun"/>
                <w:i/>
                <w:iCs/>
                <w:szCs w:val="24"/>
              </w:rPr>
              <w:t>TerRaSys</w:t>
            </w:r>
            <w:r w:rsidR="00C37610" w:rsidRPr="009257C7">
              <w:rPr>
                <w:rFonts w:eastAsia="SimSun"/>
                <w:szCs w:val="24"/>
              </w:rPr>
              <w:t xml:space="preserve">) y externo (BR IFIC (terrenal)), en particular </w:t>
            </w:r>
            <w:r w:rsidR="00151675" w:rsidRPr="009257C7">
              <w:rPr>
                <w:rFonts w:eastAsia="SimSun"/>
                <w:szCs w:val="24"/>
              </w:rPr>
              <w:t xml:space="preserve">la mejora </w:t>
            </w:r>
            <w:r w:rsidR="00C37610" w:rsidRPr="009257C7">
              <w:rPr>
                <w:rFonts w:eastAsia="SimSun"/>
                <w:szCs w:val="24"/>
              </w:rPr>
              <w:t xml:space="preserve">de las estructuras de bases de datos y </w:t>
            </w:r>
            <w:r w:rsidR="00151675" w:rsidRPr="009257C7">
              <w:rPr>
                <w:rFonts w:eastAsia="SimSun"/>
                <w:szCs w:val="24"/>
              </w:rPr>
              <w:t xml:space="preserve">la actualización de </w:t>
            </w:r>
            <w:r w:rsidR="00C37610" w:rsidRPr="009257C7">
              <w:rPr>
                <w:rFonts w:eastAsia="SimSun"/>
                <w:szCs w:val="24"/>
              </w:rPr>
              <w:t>los módulos de software de validación y examen</w:t>
            </w:r>
            <w:r w:rsidRPr="009257C7">
              <w:rPr>
                <w:rFonts w:eastAsia="SimSun"/>
                <w:szCs w:val="24"/>
              </w:rPr>
              <w:t xml:space="preserve"> para la presentación de</w:t>
            </w:r>
            <w:r w:rsidR="00FD7832" w:rsidRPr="009257C7">
              <w:rPr>
                <w:rFonts w:eastAsia="SimSun"/>
                <w:szCs w:val="24"/>
              </w:rPr>
              <w:t xml:space="preserve"> </w:t>
            </w:r>
            <w:r w:rsidRPr="009257C7">
              <w:rPr>
                <w:rFonts w:eastAsia="SimSun"/>
                <w:szCs w:val="24"/>
              </w:rPr>
              <w:t xml:space="preserve">notificaciones de </w:t>
            </w:r>
            <w:r w:rsidR="00E7660B" w:rsidRPr="009257C7">
              <w:rPr>
                <w:rFonts w:eastAsia="SimSun"/>
                <w:szCs w:val="24"/>
              </w:rPr>
              <w:t xml:space="preserve">frecuencias </w:t>
            </w:r>
            <w:r w:rsidRPr="009257C7">
              <w:rPr>
                <w:rFonts w:eastAsia="SimSun"/>
                <w:szCs w:val="24"/>
              </w:rPr>
              <w:t>terrenales</w:t>
            </w:r>
            <w:r w:rsidR="00886B02" w:rsidRPr="009257C7">
              <w:rPr>
                <w:rFonts w:asciiTheme="majorBidi" w:hAnsiTheme="majorBidi" w:cstheme="majorBidi"/>
                <w:szCs w:val="24"/>
              </w:rPr>
              <w:t>,</w:t>
            </w:r>
            <w:r w:rsidRPr="009257C7">
              <w:rPr>
                <w:rFonts w:asciiTheme="majorBidi" w:hAnsiTheme="majorBidi" w:cstheme="majorBidi"/>
                <w:szCs w:val="24"/>
              </w:rPr>
              <w:t xml:space="preserve"> como consecuencia de las decisiones de la CMR-15 y la RRB</w:t>
            </w:r>
            <w:r w:rsidR="00886B02" w:rsidRPr="009257C7">
              <w:rPr>
                <w:rFonts w:asciiTheme="majorBidi" w:hAnsiTheme="majorBidi" w:cstheme="majorBidi"/>
                <w:szCs w:val="24"/>
              </w:rPr>
              <w:t>.</w:t>
            </w:r>
          </w:p>
          <w:p w:rsidR="003E3D31" w:rsidRPr="009257C7" w:rsidRDefault="00441A3D" w:rsidP="00E35FE5">
            <w:pPr>
              <w:keepNext/>
              <w:keepLines/>
              <w:rPr>
                <w:rFonts w:eastAsia="SimSun"/>
                <w:szCs w:val="24"/>
              </w:rPr>
            </w:pPr>
            <w:r w:rsidRPr="009257C7">
              <w:rPr>
                <w:rFonts w:eastAsia="SimSun"/>
                <w:szCs w:val="24"/>
              </w:rPr>
              <w:t xml:space="preserve">Se prosiguió la labor de elaboración de módulos de software, criterios de coordinación y herramientas asociadas para los servicios terrenales, con miras a la tramitación </w:t>
            </w:r>
            <w:r w:rsidR="00E35FE5" w:rsidRPr="009257C7">
              <w:rPr>
                <w:rFonts w:eastAsia="SimSun"/>
                <w:szCs w:val="24"/>
              </w:rPr>
              <w:t>de:</w:t>
            </w:r>
          </w:p>
          <w:p w:rsidR="00484B06" w:rsidRPr="009257C7" w:rsidRDefault="00484B06" w:rsidP="005A453D">
            <w:pPr>
              <w:pStyle w:val="enumlev1"/>
              <w:keepNext/>
              <w:keepLines/>
              <w:rPr>
                <w:rFonts w:eastAsia="SimSun"/>
              </w:rPr>
            </w:pPr>
            <w:r w:rsidRPr="009257C7">
              <w:rPr>
                <w:rFonts w:eastAsia="SimSun"/>
              </w:rPr>
              <w:t>–</w:t>
            </w:r>
            <w:r w:rsidRPr="009257C7">
              <w:rPr>
                <w:rFonts w:eastAsia="SimSun"/>
              </w:rPr>
              <w:tab/>
              <w:t xml:space="preserve">solicitudes de coordinación </w:t>
            </w:r>
            <w:r w:rsidR="0010771B" w:rsidRPr="009257C7">
              <w:rPr>
                <w:rFonts w:eastAsia="SimSun"/>
              </w:rPr>
              <w:t xml:space="preserve">recibidas </w:t>
            </w:r>
            <w:r w:rsidRPr="009257C7">
              <w:rPr>
                <w:rFonts w:eastAsia="SimSun"/>
              </w:rPr>
              <w:t xml:space="preserve">con arreglo al número </w:t>
            </w:r>
            <w:r w:rsidRPr="009257C7">
              <w:rPr>
                <w:rFonts w:eastAsia="SimSun"/>
                <w:b/>
                <w:bCs/>
              </w:rPr>
              <w:t>9.19</w:t>
            </w:r>
            <w:r w:rsidR="005A453D" w:rsidRPr="009257C7">
              <w:rPr>
                <w:rFonts w:eastAsia="SimSun"/>
              </w:rPr>
              <w:t xml:space="preserve"> del RR</w:t>
            </w:r>
            <w:r w:rsidRPr="009257C7">
              <w:rPr>
                <w:rFonts w:eastAsia="SimSun"/>
              </w:rPr>
              <w:t>;</w:t>
            </w:r>
          </w:p>
          <w:p w:rsidR="003E3D31" w:rsidRPr="009257C7" w:rsidRDefault="003E3D31" w:rsidP="0010771B">
            <w:pPr>
              <w:pStyle w:val="enumlev1"/>
              <w:keepNext/>
              <w:keepLines/>
              <w:rPr>
                <w:rFonts w:eastAsia="SimSun"/>
              </w:rPr>
            </w:pPr>
            <w:r w:rsidRPr="009257C7">
              <w:rPr>
                <w:rFonts w:eastAsia="SimSun"/>
              </w:rPr>
              <w:t>–</w:t>
            </w:r>
            <w:r w:rsidRPr="009257C7">
              <w:rPr>
                <w:rFonts w:eastAsia="SimSun"/>
              </w:rPr>
              <w:tab/>
            </w:r>
            <w:r w:rsidR="00484B06" w:rsidRPr="009257C7">
              <w:rPr>
                <w:rFonts w:eastAsia="SimSun"/>
              </w:rPr>
              <w:t xml:space="preserve">solicitudes de coordinación recibidas con arreglo al número </w:t>
            </w:r>
            <w:r w:rsidR="0010771B" w:rsidRPr="009257C7">
              <w:rPr>
                <w:rFonts w:eastAsia="SimSun"/>
                <w:b/>
                <w:bCs/>
              </w:rPr>
              <w:t>9.21</w:t>
            </w:r>
            <w:r w:rsidR="0010771B" w:rsidRPr="009257C7">
              <w:rPr>
                <w:rFonts w:eastAsia="SimSun"/>
              </w:rPr>
              <w:t xml:space="preserve"> del RR</w:t>
            </w:r>
            <w:r w:rsidRPr="009257C7">
              <w:rPr>
                <w:rFonts w:eastAsia="SimSun"/>
              </w:rPr>
              <w:t>;</w:t>
            </w:r>
          </w:p>
          <w:p w:rsidR="00E7660B" w:rsidRPr="009257C7" w:rsidRDefault="00F0504E" w:rsidP="005A453D">
            <w:pPr>
              <w:pStyle w:val="enumlev1"/>
              <w:keepNext/>
              <w:keepLines/>
              <w:spacing w:after="120"/>
            </w:pPr>
            <w:r w:rsidRPr="009257C7">
              <w:rPr>
                <w:rFonts w:eastAsia="SimSun"/>
              </w:rPr>
              <w:t>–</w:t>
            </w:r>
            <w:r w:rsidRPr="009257C7">
              <w:rPr>
                <w:rFonts w:eastAsia="SimSun"/>
              </w:rPr>
              <w:tab/>
            </w:r>
            <w:r w:rsidR="00B460BC" w:rsidRPr="009257C7">
              <w:rPr>
                <w:rFonts w:eastAsia="SimSun"/>
              </w:rPr>
              <w:t xml:space="preserve">sistemas </w:t>
            </w:r>
            <w:r w:rsidR="00151675" w:rsidRPr="009257C7">
              <w:rPr>
                <w:rFonts w:eastAsia="SimSun"/>
              </w:rPr>
              <w:t>IMT-A</w:t>
            </w:r>
            <w:r w:rsidR="00362FB0" w:rsidRPr="009257C7">
              <w:rPr>
                <w:rFonts w:eastAsia="SimSun"/>
              </w:rPr>
              <w:t xml:space="preserve">vanzados </w:t>
            </w:r>
            <w:r w:rsidR="00E7660B" w:rsidRPr="009257C7">
              <w:rPr>
                <w:rFonts w:eastAsia="SimSun"/>
              </w:rPr>
              <w:t xml:space="preserve">en </w:t>
            </w:r>
            <w:r w:rsidR="00362FB0" w:rsidRPr="009257C7">
              <w:rPr>
                <w:rFonts w:eastAsia="SimSun"/>
              </w:rPr>
              <w:t xml:space="preserve">las bandas del </w:t>
            </w:r>
            <w:r w:rsidR="00B460BC" w:rsidRPr="009257C7">
              <w:rPr>
                <w:rFonts w:eastAsia="SimSun"/>
              </w:rPr>
              <w:t xml:space="preserve">Acuerdo </w:t>
            </w:r>
            <w:r w:rsidR="00362FB0" w:rsidRPr="009257C7">
              <w:rPr>
                <w:rFonts w:eastAsia="SimSun"/>
              </w:rPr>
              <w:t>GE06 tras la decisión de la CMR-15 sobre la armonización de la banda de 700 MHz. Se introdujeron los códigos de tipo de sistema pertinentes y los criterios de protección correspondientes para dichos sistemas</w:t>
            </w:r>
            <w:r w:rsidR="00151675" w:rsidRPr="009257C7">
              <w:rPr>
                <w:rFonts w:eastAsia="SimSun"/>
              </w:rPr>
              <w:t>.</w:t>
            </w:r>
          </w:p>
        </w:tc>
      </w:tr>
    </w:tbl>
    <w:p w:rsidR="00E7660B" w:rsidRPr="009257C7" w:rsidRDefault="0013143A" w:rsidP="00E7660B">
      <w:pPr>
        <w:pStyle w:val="Heading2"/>
      </w:pPr>
      <w:bookmarkStart w:id="38" w:name="_Toc446060765"/>
      <w:r w:rsidRPr="009257C7">
        <w:t>4</w:t>
      </w:r>
      <w:r w:rsidR="00E7660B" w:rsidRPr="009257C7">
        <w:t>.2</w:t>
      </w:r>
      <w:r w:rsidR="00E7660B" w:rsidRPr="009257C7">
        <w:tab/>
        <w:t>Otras medidas de aplicación de las decisiones de la CMR-15</w:t>
      </w:r>
      <w:bookmarkEnd w:id="38"/>
    </w:p>
    <w:p w:rsidR="0013143A" w:rsidRPr="009257C7" w:rsidRDefault="0013143A" w:rsidP="00966F00">
      <w:pPr>
        <w:pStyle w:val="Heading3"/>
      </w:pPr>
      <w:r w:rsidRPr="009257C7">
        <w:t>4.2.1</w:t>
      </w:r>
      <w:r w:rsidRPr="009257C7">
        <w:tab/>
        <w:t>Aplicación de la Resolución 55 (CMR-15)</w:t>
      </w:r>
    </w:p>
    <w:p w:rsidR="0013143A" w:rsidRPr="009257C7" w:rsidRDefault="00441A3D" w:rsidP="009E2FD1">
      <w:r w:rsidRPr="009257C7">
        <w:t xml:space="preserve">La Resolución </w:t>
      </w:r>
      <w:r w:rsidRPr="009257C7">
        <w:rPr>
          <w:b/>
          <w:bCs/>
        </w:rPr>
        <w:t>55 (</w:t>
      </w:r>
      <w:r w:rsidR="00966F00" w:rsidRPr="009257C7">
        <w:rPr>
          <w:b/>
          <w:bCs/>
        </w:rPr>
        <w:t>Rev.</w:t>
      </w:r>
      <w:r w:rsidRPr="009257C7">
        <w:rPr>
          <w:b/>
          <w:bCs/>
        </w:rPr>
        <w:t>CMR-15)</w:t>
      </w:r>
      <w:r w:rsidRPr="009257C7">
        <w:t xml:space="preserve"> encarga a la Oficina </w:t>
      </w:r>
      <w:r w:rsidR="00136F4F" w:rsidRPr="009257C7">
        <w:t>«que publique las solicitudes de coordinación y notificaciones</w:t>
      </w:r>
      <w:r w:rsidRPr="009257C7">
        <w:t xml:space="preserve"> </w:t>
      </w:r>
      <w:r w:rsidR="00136F4F" w:rsidRPr="009257C7">
        <w:t>(…)</w:t>
      </w:r>
      <w:r w:rsidR="00966F00" w:rsidRPr="009257C7">
        <w:t xml:space="preserve"> </w:t>
      </w:r>
      <w:r w:rsidR="00136F4F" w:rsidRPr="009257C7">
        <w:t>«tal y como se reciben» en el plazo de 30 días a partir de la recepción en su sitio web»</w:t>
      </w:r>
      <w:r w:rsidR="0013143A" w:rsidRPr="009257C7">
        <w:t xml:space="preserve">. </w:t>
      </w:r>
      <w:r w:rsidRPr="009257C7">
        <w:t xml:space="preserve">Desde la implantación de la aplicación en línea </w:t>
      </w:r>
      <w:r w:rsidR="009E2FD1" w:rsidRPr="009257C7">
        <w:t>«</w:t>
      </w:r>
      <w:r w:rsidRPr="009257C7">
        <w:t>Presentación electrónica de notificaciones de redes de satélites</w:t>
      </w:r>
      <w:r w:rsidR="009E2FD1" w:rsidRPr="009257C7">
        <w:t>»</w:t>
      </w:r>
      <w:r w:rsidRPr="009257C7">
        <w:t xml:space="preserve">, la mayoría de las notificaciones están disponibles en un plazo de 7 días en lugar de 30 días. </w:t>
      </w:r>
      <w:r w:rsidR="003C66A1" w:rsidRPr="009257C7">
        <w:t xml:space="preserve">Dado que </w:t>
      </w:r>
      <w:r w:rsidRPr="009257C7">
        <w:t xml:space="preserve">todas las notificaciones </w:t>
      </w:r>
      <w:r w:rsidR="003C66A1" w:rsidRPr="009257C7">
        <w:t xml:space="preserve">se han </w:t>
      </w:r>
      <w:r w:rsidRPr="009257C7">
        <w:t>presentad</w:t>
      </w:r>
      <w:r w:rsidR="003C66A1" w:rsidRPr="009257C7">
        <w:t>o</w:t>
      </w:r>
      <w:r w:rsidRPr="009257C7">
        <w:t xml:space="preserve"> a través del sistema en línea, la Oficina ha podido ampliar los tipos de notificaciones que </w:t>
      </w:r>
      <w:r w:rsidR="009E2FD1" w:rsidRPr="009257C7">
        <w:t>están disponibles</w:t>
      </w:r>
      <w:r w:rsidRPr="009257C7">
        <w:t xml:space="preserve"> </w:t>
      </w:r>
      <w:r w:rsidR="009E2FD1" w:rsidRPr="009257C7">
        <w:t>«</w:t>
      </w:r>
      <w:r w:rsidRPr="009257C7">
        <w:t xml:space="preserve">tal </w:t>
      </w:r>
      <w:r w:rsidR="003C66A1" w:rsidRPr="009257C7">
        <w:t xml:space="preserve">y </w:t>
      </w:r>
      <w:r w:rsidRPr="009257C7">
        <w:t>como se reciben</w:t>
      </w:r>
      <w:r w:rsidR="009E2FD1" w:rsidRPr="009257C7">
        <w:t>»</w:t>
      </w:r>
      <w:r w:rsidRPr="009257C7">
        <w:t xml:space="preserve"> para incluir la información </w:t>
      </w:r>
      <w:r w:rsidR="003C66A1" w:rsidRPr="009257C7">
        <w:t>para</w:t>
      </w:r>
      <w:r w:rsidRPr="009257C7">
        <w:t xml:space="preserve"> publicación anticipada de las redes de satélite</w:t>
      </w:r>
      <w:r w:rsidR="009E2FD1" w:rsidRPr="009257C7">
        <w:t>s</w:t>
      </w:r>
      <w:r w:rsidRPr="009257C7">
        <w:t xml:space="preserve"> no sujetas a coordinación, l</w:t>
      </w:r>
      <w:r w:rsidR="003C66A1" w:rsidRPr="009257C7">
        <w:t>os formularios</w:t>
      </w:r>
      <w:r w:rsidRPr="009257C7">
        <w:t xml:space="preserve"> de notificación de estaciones terrenas, así como las secciones especiales de la Parte A y la Parte B y las notificaciones relativas a los Apéndices 30, 30A y 30B del Reglamento de Radiocomunicaciones. La Oficina ha recibido </w:t>
      </w:r>
      <w:r w:rsidR="003C66A1" w:rsidRPr="009257C7">
        <w:t>comentarios</w:t>
      </w:r>
      <w:r w:rsidRPr="009257C7">
        <w:t xml:space="preserve"> positiv</w:t>
      </w:r>
      <w:r w:rsidR="003C66A1" w:rsidRPr="009257C7">
        <w:t xml:space="preserve">os de varias administraciones en relación con </w:t>
      </w:r>
      <w:r w:rsidRPr="009257C7">
        <w:t xml:space="preserve">este sistema mejorado </w:t>
      </w:r>
      <w:r w:rsidR="009E2FD1" w:rsidRPr="009257C7">
        <w:t>«</w:t>
      </w:r>
      <w:r w:rsidR="003C66A1" w:rsidRPr="009257C7">
        <w:t>tal y como se reciben</w:t>
      </w:r>
      <w:r w:rsidR="009E2FD1" w:rsidRPr="009257C7">
        <w:t>»</w:t>
      </w:r>
      <w:r w:rsidR="003C66A1" w:rsidRPr="009257C7">
        <w:t xml:space="preserve">, </w:t>
      </w:r>
      <w:r w:rsidRPr="009257C7">
        <w:t xml:space="preserve">ya que ha aumentado aún más la transparencia del proceso de presentación de </w:t>
      </w:r>
      <w:r w:rsidR="00685179" w:rsidRPr="009257C7">
        <w:t xml:space="preserve">las </w:t>
      </w:r>
      <w:r w:rsidR="00A008B6" w:rsidRPr="009257C7">
        <w:t>notificaciones</w:t>
      </w:r>
      <w:r w:rsidR="00483B10" w:rsidRPr="009257C7">
        <w:t>.</w:t>
      </w:r>
    </w:p>
    <w:p w:rsidR="0013143A" w:rsidRPr="009257C7" w:rsidRDefault="0013143A">
      <w:pPr>
        <w:pStyle w:val="Heading3"/>
      </w:pPr>
      <w:r w:rsidRPr="009257C7">
        <w:t>4.2.2</w:t>
      </w:r>
      <w:r w:rsidRPr="009257C7">
        <w:tab/>
      </w:r>
      <w:r w:rsidR="00A008B6" w:rsidRPr="009257C7">
        <w:t xml:space="preserve">Elaboración de las </w:t>
      </w:r>
      <w:r w:rsidR="00483B10" w:rsidRPr="009257C7">
        <w:t>Reglas</w:t>
      </w:r>
      <w:r w:rsidR="00A008B6" w:rsidRPr="009257C7">
        <w:t xml:space="preserve"> de </w:t>
      </w:r>
      <w:r w:rsidR="00483B10" w:rsidRPr="009257C7">
        <w:t>Procedimiento</w:t>
      </w:r>
    </w:p>
    <w:p w:rsidR="0013143A" w:rsidRPr="009257C7" w:rsidRDefault="0013143A" w:rsidP="004B205B">
      <w:pPr>
        <w:rPr>
          <w:szCs w:val="24"/>
        </w:rPr>
      </w:pPr>
      <w:bookmarkStart w:id="39" w:name="lt_pId290"/>
      <w:r w:rsidRPr="009257C7">
        <w:rPr>
          <w:szCs w:val="24"/>
        </w:rPr>
        <w:t xml:space="preserve">La Oficina preparó proyectos de Reglas de Procedimiento nuevas o modificadas a fin de reflejar las </w:t>
      </w:r>
      <w:r w:rsidRPr="009257C7">
        <w:t>decisiones</w:t>
      </w:r>
      <w:r w:rsidRPr="009257C7">
        <w:rPr>
          <w:szCs w:val="24"/>
        </w:rPr>
        <w:t xml:space="preserve"> de la CMR-15 </w:t>
      </w:r>
      <w:r w:rsidR="00A008B6" w:rsidRPr="009257C7">
        <w:rPr>
          <w:szCs w:val="24"/>
        </w:rPr>
        <w:t>(por ejemplo, imponer la utilización de la aplicación en línea</w:t>
      </w:r>
      <w:r w:rsidR="00A008B6" w:rsidRPr="009257C7">
        <w:t xml:space="preserve"> </w:t>
      </w:r>
      <w:r w:rsidR="004B205B" w:rsidRPr="009257C7">
        <w:t>«</w:t>
      </w:r>
      <w:r w:rsidR="00A008B6" w:rsidRPr="009257C7">
        <w:rPr>
          <w:szCs w:val="24"/>
        </w:rPr>
        <w:t>Presentación electrónica de notificaciones de redes de satélites</w:t>
      </w:r>
      <w:r w:rsidR="004B205B" w:rsidRPr="009257C7">
        <w:rPr>
          <w:szCs w:val="24"/>
        </w:rPr>
        <w:t>»</w:t>
      </w:r>
      <w:r w:rsidR="00A008B6" w:rsidRPr="009257C7">
        <w:rPr>
          <w:szCs w:val="24"/>
        </w:rPr>
        <w:t xml:space="preserve"> s</w:t>
      </w:r>
      <w:r w:rsidR="004F3832" w:rsidRPr="009257C7">
        <w:rPr>
          <w:szCs w:val="24"/>
        </w:rPr>
        <w:t>egún lo prescrito en</w:t>
      </w:r>
      <w:r w:rsidR="00A008B6" w:rsidRPr="009257C7">
        <w:rPr>
          <w:szCs w:val="24"/>
        </w:rPr>
        <w:t xml:space="preserve"> la Resolución </w:t>
      </w:r>
      <w:r w:rsidR="00A008B6" w:rsidRPr="009257C7">
        <w:rPr>
          <w:b/>
          <w:bCs/>
          <w:szCs w:val="24"/>
        </w:rPr>
        <w:t>908 (Rev.CMR-15)</w:t>
      </w:r>
      <w:r w:rsidR="00A008B6" w:rsidRPr="009257C7">
        <w:rPr>
          <w:szCs w:val="24"/>
        </w:rPr>
        <w:t xml:space="preserve"> y cambiar </w:t>
      </w:r>
      <w:r w:rsidR="00587E31" w:rsidRPr="009257C7">
        <w:rPr>
          <w:szCs w:val="24"/>
        </w:rPr>
        <w:t>el</w:t>
      </w:r>
      <w:r w:rsidR="00A008B6" w:rsidRPr="009257C7">
        <w:rPr>
          <w:szCs w:val="24"/>
        </w:rPr>
        <w:t xml:space="preserve"> </w:t>
      </w:r>
      <w:r w:rsidR="00587E31" w:rsidRPr="009257C7">
        <w:rPr>
          <w:szCs w:val="24"/>
        </w:rPr>
        <w:t xml:space="preserve">método de </w:t>
      </w:r>
      <w:r w:rsidR="00A008B6" w:rsidRPr="009257C7">
        <w:rPr>
          <w:szCs w:val="24"/>
        </w:rPr>
        <w:t xml:space="preserve">identificación de las administraciones afectadas </w:t>
      </w:r>
      <w:r w:rsidR="00AE0789" w:rsidRPr="009257C7">
        <w:rPr>
          <w:szCs w:val="24"/>
        </w:rPr>
        <w:t xml:space="preserve">a efectos de </w:t>
      </w:r>
      <w:r w:rsidR="00587E31" w:rsidRPr="009257C7">
        <w:rPr>
          <w:szCs w:val="24"/>
        </w:rPr>
        <w:t>la</w:t>
      </w:r>
      <w:r w:rsidR="00A008B6" w:rsidRPr="009257C7">
        <w:rPr>
          <w:szCs w:val="24"/>
        </w:rPr>
        <w:t xml:space="preserve"> coordinación de los transmisores terrenales</w:t>
      </w:r>
      <w:r w:rsidR="00685179" w:rsidRPr="009257C7">
        <w:rPr>
          <w:szCs w:val="24"/>
        </w:rPr>
        <w:t>,</w:t>
      </w:r>
      <w:r w:rsidR="00A008B6" w:rsidRPr="009257C7">
        <w:rPr>
          <w:szCs w:val="24"/>
        </w:rPr>
        <w:t xml:space="preserve"> en virtud de lo dispuesto en el número </w:t>
      </w:r>
      <w:r w:rsidR="00A008B6" w:rsidRPr="009257C7">
        <w:rPr>
          <w:b/>
          <w:bCs/>
          <w:szCs w:val="24"/>
        </w:rPr>
        <w:t>9.19</w:t>
      </w:r>
      <w:r w:rsidR="00A008B6" w:rsidRPr="009257C7">
        <w:rPr>
          <w:szCs w:val="24"/>
        </w:rPr>
        <w:t xml:space="preserve"> del RR)</w:t>
      </w:r>
      <w:r w:rsidR="00483B10" w:rsidRPr="009257C7">
        <w:rPr>
          <w:szCs w:val="24"/>
        </w:rPr>
        <w:t xml:space="preserve">. </w:t>
      </w:r>
      <w:r w:rsidRPr="009257C7">
        <w:rPr>
          <w:szCs w:val="24"/>
        </w:rPr>
        <w:t>La RRB</w:t>
      </w:r>
      <w:r w:rsidR="004F3832" w:rsidRPr="009257C7">
        <w:rPr>
          <w:szCs w:val="24"/>
        </w:rPr>
        <w:t xml:space="preserve"> </w:t>
      </w:r>
      <w:r w:rsidRPr="009257C7">
        <w:rPr>
          <w:szCs w:val="24"/>
        </w:rPr>
        <w:t>ha examinado esos proyectos</w:t>
      </w:r>
      <w:r w:rsidR="004F3832" w:rsidRPr="009257C7">
        <w:rPr>
          <w:szCs w:val="24"/>
        </w:rPr>
        <w:t xml:space="preserve"> y propuestas</w:t>
      </w:r>
      <w:r w:rsidRPr="009257C7">
        <w:rPr>
          <w:szCs w:val="24"/>
        </w:rPr>
        <w:t xml:space="preserve">, así como las observaciones recibidas de las administraciones, y aprobó las correspondientes Reglas de Procedimiento en su </w:t>
      </w:r>
      <w:r w:rsidR="007F4AA0" w:rsidRPr="009257C7">
        <w:t>78</w:t>
      </w:r>
      <w:r w:rsidRPr="009257C7">
        <w:rPr>
          <w:szCs w:val="24"/>
        </w:rPr>
        <w:t xml:space="preserve">ª y </w:t>
      </w:r>
      <w:r w:rsidR="007F4AA0" w:rsidRPr="009257C7">
        <w:rPr>
          <w:szCs w:val="24"/>
        </w:rPr>
        <w:t>79</w:t>
      </w:r>
      <w:r w:rsidRPr="009257C7">
        <w:rPr>
          <w:szCs w:val="24"/>
        </w:rPr>
        <w:t>ª</w:t>
      </w:r>
      <w:bookmarkEnd w:id="39"/>
      <w:r w:rsidRPr="009257C7">
        <w:rPr>
          <w:szCs w:val="24"/>
        </w:rPr>
        <w:t xml:space="preserve"> reuniones (julio y noviembre de</w:t>
      </w:r>
      <w:r w:rsidR="007F4AA0" w:rsidRPr="009257C7">
        <w:rPr>
          <w:szCs w:val="24"/>
        </w:rPr>
        <w:t>2018</w:t>
      </w:r>
      <w:r w:rsidRPr="009257C7">
        <w:rPr>
          <w:szCs w:val="24"/>
        </w:rPr>
        <w:t>).</w:t>
      </w:r>
    </w:p>
    <w:p w:rsidR="008225BB" w:rsidRPr="009257C7" w:rsidRDefault="007F4AA0">
      <w:pPr>
        <w:tabs>
          <w:tab w:val="left" w:pos="7797"/>
        </w:tabs>
        <w:spacing w:after="120"/>
        <w:rPr>
          <w:b/>
        </w:rPr>
      </w:pPr>
      <w:bookmarkStart w:id="40" w:name="_Toc446060766"/>
      <w:r w:rsidRPr="009257C7">
        <w:rPr>
          <w:b/>
        </w:rPr>
        <w:t>4.2.3</w:t>
      </w:r>
      <w:r w:rsidRPr="009257C7">
        <w:rPr>
          <w:b/>
        </w:rPr>
        <w:tab/>
      </w:r>
      <w:r w:rsidR="009B20A7" w:rsidRPr="009257C7">
        <w:rPr>
          <w:b/>
        </w:rPr>
        <w:t>Experiencia operativa inicial en la aplicación de la Resolución 908 (Rev.CMR-15)</w:t>
      </w:r>
    </w:p>
    <w:p w:rsidR="009B20A7" w:rsidRPr="009257C7" w:rsidRDefault="009B20A7" w:rsidP="0060421D">
      <w:r w:rsidRPr="009257C7">
        <w:t xml:space="preserve">Como se menciona en </w:t>
      </w:r>
      <w:r w:rsidR="0060421D" w:rsidRPr="009257C7">
        <w:t>los § </w:t>
      </w:r>
      <w:r w:rsidRPr="009257C7">
        <w:t>4.1 y 4.2.3, la versión operativa de la aplicación en línea</w:t>
      </w:r>
      <w:r w:rsidR="0060421D" w:rsidRPr="009257C7">
        <w:t xml:space="preserve"> «</w:t>
      </w:r>
      <w:r w:rsidRPr="009257C7">
        <w:t>Presentación electrónica de notif</w:t>
      </w:r>
      <w:r w:rsidR="0060421D" w:rsidRPr="009257C7">
        <w:t>icaciones de redes de satélites»</w:t>
      </w:r>
      <w:r w:rsidRPr="009257C7">
        <w:t xml:space="preserve"> se publicó el 1 de agosto de 2018 y su uso es obligatorio para presentar todas las notificaciones de satélite</w:t>
      </w:r>
      <w:r w:rsidR="0060421D" w:rsidRPr="009257C7">
        <w:t>s</w:t>
      </w:r>
      <w:r w:rsidRPr="009257C7">
        <w:t xml:space="preserve"> y comentarios SpaceCom.</w:t>
      </w:r>
    </w:p>
    <w:p w:rsidR="008C5C96" w:rsidRPr="009257C7" w:rsidRDefault="008C5C96" w:rsidP="009737C7">
      <w:r w:rsidRPr="009257C7">
        <w:br w:type="page"/>
      </w:r>
    </w:p>
    <w:p w:rsidR="00483B10" w:rsidRPr="009257C7" w:rsidRDefault="009B20A7" w:rsidP="009737C7">
      <w:r w:rsidRPr="009257C7">
        <w:lastRenderedPageBreak/>
        <w:t xml:space="preserve">Desde la implantación del sistema, las </w:t>
      </w:r>
      <w:r w:rsidR="00D8087C" w:rsidRPr="009257C7">
        <w:t xml:space="preserve">administraciones </w:t>
      </w:r>
      <w:r w:rsidR="00587E31" w:rsidRPr="009257C7">
        <w:t>y</w:t>
      </w:r>
      <w:r w:rsidRPr="009257C7">
        <w:t xml:space="preserve"> la Oficina de Radiocomunicaciones han conseguido:</w:t>
      </w:r>
    </w:p>
    <w:p w:rsidR="007F4AA0" w:rsidRPr="009257C7" w:rsidRDefault="002C7AC8" w:rsidP="002C7AC8">
      <w:pPr>
        <w:pStyle w:val="enumlev1"/>
      </w:pPr>
      <w:r w:rsidRPr="009257C7">
        <w:t>–</w:t>
      </w:r>
      <w:r w:rsidRPr="009257C7">
        <w:tab/>
      </w:r>
      <w:r w:rsidR="009B20A7" w:rsidRPr="009257C7">
        <w:t>evitar los errores de comunicación derivados de la eliminación ocasional de archivos adjuntos de la base de datos por los servidores de correo electrónico debido a limitaciones de seguridad o de tamaño</w:t>
      </w:r>
      <w:r w:rsidRPr="009257C7">
        <w:t>;</w:t>
      </w:r>
    </w:p>
    <w:p w:rsidR="007F4AA0" w:rsidRPr="009257C7" w:rsidRDefault="002C7AC8" w:rsidP="002C7AC8">
      <w:pPr>
        <w:pStyle w:val="enumlev1"/>
      </w:pPr>
      <w:r w:rsidRPr="009257C7">
        <w:t>–</w:t>
      </w:r>
      <w:r w:rsidRPr="009257C7">
        <w:tab/>
      </w:r>
      <w:r w:rsidR="00587E31" w:rsidRPr="009257C7">
        <w:t>resolver</w:t>
      </w:r>
      <w:r w:rsidR="00763C64" w:rsidRPr="009257C7">
        <w:t xml:space="preserve"> los problemas de </w:t>
      </w:r>
      <w:r w:rsidR="009B20A7" w:rsidRPr="009257C7">
        <w:t xml:space="preserve">admisibilidad </w:t>
      </w:r>
      <w:r w:rsidR="00587E31" w:rsidRPr="009257C7">
        <w:t>que surgen al no recibirse</w:t>
      </w:r>
      <w:r w:rsidR="00763C64" w:rsidRPr="009257C7">
        <w:t xml:space="preserve"> </w:t>
      </w:r>
      <w:r w:rsidR="009B20A7" w:rsidRPr="009257C7">
        <w:t>el fax de confirmación</w:t>
      </w:r>
      <w:r w:rsidR="00763C64" w:rsidRPr="009257C7">
        <w:t xml:space="preserve"> correspondiente</w:t>
      </w:r>
      <w:r w:rsidRPr="009257C7">
        <w:t>;</w:t>
      </w:r>
      <w:r w:rsidR="009B20A7" w:rsidRPr="009257C7">
        <w:t xml:space="preserve"> y</w:t>
      </w:r>
    </w:p>
    <w:p w:rsidR="007F4AA0" w:rsidRPr="009257C7" w:rsidRDefault="002C7AC8" w:rsidP="002C7AC8">
      <w:pPr>
        <w:pStyle w:val="enumlev1"/>
      </w:pPr>
      <w:r w:rsidRPr="009257C7">
        <w:t>–</w:t>
      </w:r>
      <w:r w:rsidRPr="009257C7">
        <w:tab/>
      </w:r>
      <w:r w:rsidR="009B20A7" w:rsidRPr="009257C7">
        <w:t xml:space="preserve">aumentar la transparencia de las </w:t>
      </w:r>
      <w:r w:rsidR="00763C64" w:rsidRPr="009257C7">
        <w:t>notificaciones</w:t>
      </w:r>
      <w:r w:rsidR="009B20A7" w:rsidRPr="009257C7">
        <w:t xml:space="preserve"> presentadas a la </w:t>
      </w:r>
      <w:r w:rsidR="00763C64" w:rsidRPr="009257C7">
        <w:t>Oficina</w:t>
      </w:r>
      <w:r w:rsidR="007F4AA0" w:rsidRPr="009257C7">
        <w:t>.</w:t>
      </w:r>
    </w:p>
    <w:p w:rsidR="009B20A7" w:rsidRPr="009257C7" w:rsidRDefault="009B20A7" w:rsidP="00F34A37">
      <w:r w:rsidRPr="009257C7">
        <w:t xml:space="preserve">Algunas </w:t>
      </w:r>
      <w:r w:rsidR="00F34A37" w:rsidRPr="009257C7">
        <w:t xml:space="preserve">administraciones </w:t>
      </w:r>
      <w:r w:rsidRPr="009257C7">
        <w:t xml:space="preserve">indicaron también a la Oficina que este sistema les </w:t>
      </w:r>
      <w:r w:rsidR="00763C64" w:rsidRPr="009257C7">
        <w:t>permitía</w:t>
      </w:r>
      <w:r w:rsidRPr="009257C7">
        <w:t xml:space="preserve"> superar la dificultad </w:t>
      </w:r>
      <w:r w:rsidR="00763C64" w:rsidRPr="009257C7">
        <w:t xml:space="preserve">que suponía </w:t>
      </w:r>
      <w:r w:rsidR="00EC0291" w:rsidRPr="009257C7">
        <w:t>el envío y la recepción de</w:t>
      </w:r>
      <w:r w:rsidR="00763C64" w:rsidRPr="009257C7">
        <w:t xml:space="preserve"> </w:t>
      </w:r>
      <w:r w:rsidRPr="009257C7">
        <w:t xml:space="preserve">notificaciones electrónicas </w:t>
      </w:r>
      <w:r w:rsidR="00EC0291" w:rsidRPr="009257C7">
        <w:t xml:space="preserve">hacia y desde </w:t>
      </w:r>
      <w:r w:rsidR="00F34A37" w:rsidRPr="009257C7">
        <w:t>sus operadores de satélite.</w:t>
      </w:r>
    </w:p>
    <w:p w:rsidR="009B20A7" w:rsidRPr="009257C7" w:rsidRDefault="009B20A7" w:rsidP="00F34A37">
      <w:r w:rsidRPr="009257C7">
        <w:t xml:space="preserve">El sistema proporciona un acuse de recibo inmediato, </w:t>
      </w:r>
      <w:r w:rsidR="00EC0291" w:rsidRPr="009257C7">
        <w:t>de conformidad con lo dispuesto en la Regla de Procedimiento relativa a la admisibilidad de notificaciones espaciales</w:t>
      </w:r>
      <w:r w:rsidRPr="009257C7">
        <w:t>, lo que constituye también una mejora en comparación con el sistema anterior de presentación por correo electrónico.</w:t>
      </w:r>
    </w:p>
    <w:p w:rsidR="007F4AA0" w:rsidRPr="009257C7" w:rsidRDefault="009B20A7" w:rsidP="00F34A37">
      <w:r w:rsidRPr="009257C7">
        <w:t xml:space="preserve">La Oficina </w:t>
      </w:r>
      <w:r w:rsidR="00587E31" w:rsidRPr="009257C7">
        <w:t xml:space="preserve">puso en marcha </w:t>
      </w:r>
      <w:r w:rsidR="00EC0291" w:rsidRPr="009257C7">
        <w:t>un servicio d</w:t>
      </w:r>
      <w:r w:rsidRPr="009257C7">
        <w:t xml:space="preserve">e asistencia por correo electrónico y una línea directa durante las pruebas y durante la fase operativa, y ha prestado asistencia en numerosas ocasiones a </w:t>
      </w:r>
      <w:r w:rsidR="00904381" w:rsidRPr="009257C7">
        <w:t xml:space="preserve">los </w:t>
      </w:r>
      <w:r w:rsidRPr="009257C7">
        <w:t>usuarios que no sabían cómo utilizar el sistema o que tenían dificultades para hacerlo</w:t>
      </w:r>
      <w:r w:rsidR="00483B10" w:rsidRPr="009257C7">
        <w:t>.</w:t>
      </w:r>
    </w:p>
    <w:p w:rsidR="007F4AA0" w:rsidRPr="009257C7" w:rsidRDefault="007F4AA0" w:rsidP="009737C7">
      <w:r w:rsidRPr="009257C7">
        <w:t>En el momento de redactar este informe, se ha</w:t>
      </w:r>
      <w:r w:rsidR="00EC0291" w:rsidRPr="009257C7">
        <w:t>bía</w:t>
      </w:r>
      <w:r w:rsidRPr="009257C7">
        <w:t xml:space="preserve">n registrado 86 administraciones y 1 organización intergubernamental de satélites (cabe señalar que otras organizaciones de este tipo han optado por registrarse como operadores de satélites de su administración notificante), lo que </w:t>
      </w:r>
      <w:r w:rsidR="00483B10" w:rsidRPr="009257C7">
        <w:t>representa un</w:t>
      </w:r>
      <w:r w:rsidR="00D04950" w:rsidRPr="009257C7">
        <w:t xml:space="preserve"> total </w:t>
      </w:r>
      <w:r w:rsidRPr="009257C7">
        <w:t>de 414 usuarios individuales.</w:t>
      </w:r>
    </w:p>
    <w:p w:rsidR="007F4AA0" w:rsidRPr="009257C7" w:rsidRDefault="00EC0291" w:rsidP="009737C7">
      <w:r w:rsidRPr="009257C7">
        <w:t xml:space="preserve">La Oficina de Radiocomunicaciones desea renovar su agradecimiento a la Administración de Japón por la asistencia concreta prestada </w:t>
      </w:r>
      <w:r w:rsidR="00904381" w:rsidRPr="009257C7">
        <w:t>para</w:t>
      </w:r>
      <w:r w:rsidRPr="009257C7">
        <w:t xml:space="preserve"> la elaboración de este proyecto</w:t>
      </w:r>
      <w:r w:rsidR="00D04950" w:rsidRPr="009257C7">
        <w:t>.</w:t>
      </w:r>
    </w:p>
    <w:p w:rsidR="00E7660B" w:rsidRPr="009257C7" w:rsidRDefault="007F4AA0" w:rsidP="00E7660B">
      <w:pPr>
        <w:pStyle w:val="Heading1"/>
      </w:pPr>
      <w:r w:rsidRPr="009257C7">
        <w:t>5</w:t>
      </w:r>
      <w:r w:rsidR="00E7660B" w:rsidRPr="009257C7">
        <w:tab/>
      </w:r>
      <w:bookmarkEnd w:id="40"/>
      <w:r w:rsidR="00E7660B" w:rsidRPr="009257C7">
        <w:t>Actividades de las Comisiones de Estudio</w:t>
      </w:r>
    </w:p>
    <w:p w:rsidR="00E7660B" w:rsidRPr="009257C7" w:rsidRDefault="00E7660B" w:rsidP="00E7660B">
      <w:r w:rsidRPr="009257C7">
        <w:t>Este asunto se trata en el Addéndum 1 al presente documento.</w:t>
      </w:r>
    </w:p>
    <w:p w:rsidR="00E7660B" w:rsidRPr="009257C7" w:rsidRDefault="007F4AA0" w:rsidP="002D6E94">
      <w:pPr>
        <w:pStyle w:val="Heading1"/>
      </w:pPr>
      <w:bookmarkStart w:id="41" w:name="_Toc446060767"/>
      <w:r w:rsidRPr="009257C7">
        <w:t>6</w:t>
      </w:r>
      <w:r w:rsidR="002D6E94" w:rsidRPr="009257C7">
        <w:tab/>
      </w:r>
      <w:r w:rsidR="00E7660B" w:rsidRPr="009257C7">
        <w:t xml:space="preserve">Preparación de la </w:t>
      </w:r>
      <w:r w:rsidR="00C67413" w:rsidRPr="009257C7">
        <w:t>AR</w:t>
      </w:r>
      <w:r w:rsidR="00C67413" w:rsidRPr="009257C7">
        <w:noBreakHyphen/>
        <w:t>19/</w:t>
      </w:r>
      <w:r w:rsidR="00E7660B" w:rsidRPr="009257C7">
        <w:t>CMR-19</w:t>
      </w:r>
      <w:bookmarkEnd w:id="41"/>
    </w:p>
    <w:p w:rsidR="002D6E94" w:rsidRPr="009257C7" w:rsidRDefault="00EC0291" w:rsidP="00C67413">
      <w:r w:rsidRPr="009257C7">
        <w:t xml:space="preserve">Los Grupos de Trabajo y el </w:t>
      </w:r>
      <w:r w:rsidR="009A6F1C" w:rsidRPr="009257C7">
        <w:t>Grupo de Tareas Especiales 5/1</w:t>
      </w:r>
      <w:r w:rsidRPr="009257C7">
        <w:t xml:space="preserve"> del UIT-R pertinentes finalizaron la </w:t>
      </w:r>
      <w:r w:rsidR="009A6F1C" w:rsidRPr="009257C7">
        <w:t>redacción</w:t>
      </w:r>
      <w:r w:rsidRPr="009257C7">
        <w:t xml:space="preserve"> de los textos </w:t>
      </w:r>
      <w:r w:rsidR="009A6F1C" w:rsidRPr="009257C7">
        <w:t>relativos a</w:t>
      </w:r>
      <w:r w:rsidRPr="009257C7">
        <w:t xml:space="preserve"> los estudios que les fueron asignados en la primera reunión de la RPC-19 (RPC19-1), que se incluyeron en el proyecto de Informe de la RPC para su examen en la segunda reunión</w:t>
      </w:r>
      <w:r w:rsidR="009A6F1C" w:rsidRPr="009257C7">
        <w:t xml:space="preserve"> de la RPC-19 (RPC19-2). La RPC</w:t>
      </w:r>
      <w:r w:rsidRPr="009257C7">
        <w:t>19-2 se celebró del 18 al 28 de febrero de 2019 y concluyó con éxito la preparación del Informe de la RPC a la CMR</w:t>
      </w:r>
      <w:r w:rsidR="009A6F1C" w:rsidRPr="009257C7">
        <w:t>-</w:t>
      </w:r>
      <w:r w:rsidRPr="009257C7">
        <w:t xml:space="preserve">19. La versión </w:t>
      </w:r>
      <w:r w:rsidR="009A6F1C" w:rsidRPr="009257C7">
        <w:t>recopilada</w:t>
      </w:r>
      <w:r w:rsidRPr="009257C7">
        <w:t xml:space="preserve"> del Informe de la RPC a la CMR-19 estaba aún en </w:t>
      </w:r>
      <w:r w:rsidR="009A6F1C" w:rsidRPr="009257C7">
        <w:t xml:space="preserve">curso de </w:t>
      </w:r>
      <w:r w:rsidRPr="009257C7">
        <w:t xml:space="preserve">preparación en el momento de la </w:t>
      </w:r>
      <w:r w:rsidR="009A6F1C" w:rsidRPr="009257C7">
        <w:t>redacc</w:t>
      </w:r>
      <w:r w:rsidRPr="009257C7">
        <w:t>ión de</w:t>
      </w:r>
      <w:r w:rsidR="009A6F1C" w:rsidRPr="009257C7">
        <w:t xml:space="preserve">l presente </w:t>
      </w:r>
      <w:r w:rsidRPr="009257C7">
        <w:t xml:space="preserve">documento y </w:t>
      </w:r>
      <w:r w:rsidR="009A6F1C" w:rsidRPr="009257C7">
        <w:t>podr</w:t>
      </w:r>
      <w:r w:rsidR="00904381" w:rsidRPr="009257C7">
        <w:t>á</w:t>
      </w:r>
      <w:r w:rsidR="008421CF" w:rsidRPr="009257C7">
        <w:t xml:space="preserve"> </w:t>
      </w:r>
      <w:r w:rsidRPr="009257C7">
        <w:t>consultar</w:t>
      </w:r>
      <w:r w:rsidR="00904381" w:rsidRPr="009257C7">
        <w:t>se</w:t>
      </w:r>
      <w:r w:rsidRPr="009257C7">
        <w:t xml:space="preserve"> en la página web de la RPC: </w:t>
      </w:r>
      <w:hyperlink r:id="rId15" w:history="1">
        <w:r w:rsidRPr="009257C7">
          <w:rPr>
            <w:rStyle w:val="Hyperlink"/>
          </w:rPr>
          <w:t>www.itu.int/go/ITU-R/CPM</w:t>
        </w:r>
      </w:hyperlink>
      <w:r w:rsidRPr="009257C7">
        <w:t xml:space="preserve">. </w:t>
      </w:r>
      <w:r w:rsidR="008421CF" w:rsidRPr="009257C7">
        <w:t xml:space="preserve">Hay </w:t>
      </w:r>
      <w:r w:rsidRPr="009257C7">
        <w:t xml:space="preserve">algunos </w:t>
      </w:r>
      <w:r w:rsidR="008421CF" w:rsidRPr="009257C7">
        <w:t>estudios técnicos que aún se están realizando en los</w:t>
      </w:r>
      <w:r w:rsidRPr="009257C7">
        <w:t xml:space="preserve"> Grupos de Trabajo pertinentes del UIT-R para finalizar las Recomendaciones/Informes del UIT-R en preparación de la AR-19 y la CMR-19</w:t>
      </w:r>
      <w:r w:rsidR="00C67413" w:rsidRPr="009257C7">
        <w:t>.</w:t>
      </w:r>
    </w:p>
    <w:p w:rsidR="00E7660B" w:rsidRPr="009257C7" w:rsidRDefault="00E7660B" w:rsidP="001C0223">
      <w:r w:rsidRPr="009257C7">
        <w:t>Habida cuenta de la Resolución 80 (Rev. Marrakech, 2002)</w:t>
      </w:r>
      <w:r w:rsidR="001C0223" w:rsidRPr="009257C7">
        <w:t xml:space="preserve"> de la Conferencia de Plenipotenciarios</w:t>
      </w:r>
      <w:r w:rsidRPr="009257C7">
        <w:t xml:space="preserve">, </w:t>
      </w:r>
      <w:r w:rsidR="008421CF" w:rsidRPr="009257C7">
        <w:t xml:space="preserve">se han llevado a cabo </w:t>
      </w:r>
      <w:r w:rsidRPr="009257C7">
        <w:t xml:space="preserve">amplios preparativos de la CMR-19 </w:t>
      </w:r>
      <w:r w:rsidR="008421CF" w:rsidRPr="009257C7">
        <w:t>con la participación activa de la BR en las reuniones preparato</w:t>
      </w:r>
      <w:r w:rsidR="001C0223" w:rsidRPr="009257C7">
        <w:t xml:space="preserve">rias de los grupos regionales, </w:t>
      </w:r>
      <w:r w:rsidRPr="009257C7">
        <w:t>entre l</w:t>
      </w:r>
      <w:r w:rsidR="008421CF" w:rsidRPr="009257C7">
        <w:t>o</w:t>
      </w:r>
      <w:r w:rsidRPr="009257C7">
        <w:t xml:space="preserve">s que cabe citar </w:t>
      </w:r>
      <w:r w:rsidR="00524C64" w:rsidRPr="009257C7">
        <w:t xml:space="preserve">APT, ASMG, ATU, CEPT, CITEL y CRC. </w:t>
      </w:r>
      <w:r w:rsidRPr="009257C7">
        <w:t xml:space="preserve">La </w:t>
      </w:r>
      <w:r w:rsidR="002D6E94" w:rsidRPr="009257C7">
        <w:t xml:space="preserve">UIT </w:t>
      </w:r>
      <w:r w:rsidRPr="009257C7">
        <w:t xml:space="preserve">ha ayudado en estos preparativos en la medida de lo posible, a tenor de la Resolución 72 (Rev.CMR-07). </w:t>
      </w:r>
      <w:r w:rsidR="00524C64" w:rsidRPr="009257C7">
        <w:t>Se puede obtener información adicional en</w:t>
      </w:r>
      <w:r w:rsidR="002D6E94" w:rsidRPr="009257C7">
        <w:t xml:space="preserve">: </w:t>
      </w:r>
      <w:hyperlink r:id="rId16" w:history="1">
        <w:r w:rsidR="002D6E94" w:rsidRPr="009257C7">
          <w:rPr>
            <w:rStyle w:val="Hyperlink"/>
          </w:rPr>
          <w:t>www.itu.int/go/wrc-19-regional</w:t>
        </w:r>
      </w:hyperlink>
      <w:r w:rsidR="001C0223" w:rsidRPr="009257C7">
        <w:t>.</w:t>
      </w:r>
    </w:p>
    <w:p w:rsidR="00696EB0" w:rsidRPr="009257C7" w:rsidRDefault="00524C64" w:rsidP="002008F5">
      <w:r w:rsidRPr="009257C7">
        <w:lastRenderedPageBreak/>
        <w:t xml:space="preserve">El primer Taller Interregional de la UIT sobre los preparativos de la CMR-19 se celebró en Ginebra los días 21 y 22 de noviembre de 2017, y el segundo tuvo lugar del 20 al 22 de noviembre de 2018. Está previsto que el tercer y último Taller se celebre en Ginebra del 4 al 6 de septiembre de 2019. Se puede encontrar información adicional en: </w:t>
      </w:r>
      <w:hyperlink r:id="rId17" w:history="1">
        <w:r w:rsidRPr="009257C7">
          <w:rPr>
            <w:rStyle w:val="Hyperlink"/>
          </w:rPr>
          <w:t>www.itu.int/en/ITU-R/conferences/wrc/2019/irwsp/Pages/default.aspx</w:t>
        </w:r>
      </w:hyperlink>
      <w:r w:rsidR="002008F5" w:rsidRPr="009257C7">
        <w:t>.</w:t>
      </w:r>
    </w:p>
    <w:p w:rsidR="00E7660B" w:rsidRPr="009257C7" w:rsidRDefault="00E7660B" w:rsidP="002008F5">
      <w:r w:rsidRPr="009257C7">
        <w:t>La página web de la UIT</w:t>
      </w:r>
      <w:r w:rsidR="00696EB0" w:rsidRPr="009257C7">
        <w:noBreakHyphen/>
        <w:t>R</w:t>
      </w:r>
      <w:r w:rsidRPr="009257C7">
        <w:t xml:space="preserve"> para la CMR-19 (</w:t>
      </w:r>
      <w:hyperlink r:id="rId18" w:history="1">
        <w:r w:rsidRPr="009257C7">
          <w:rPr>
            <w:rStyle w:val="Hyperlink"/>
          </w:rPr>
          <w:t>www.itu.int/go/wrc-19</w:t>
        </w:r>
      </w:hyperlink>
      <w:r w:rsidRPr="009257C7">
        <w:t>) ha sido actualizada y permite el acceso directo a la mencionada información.</w:t>
      </w:r>
    </w:p>
    <w:p w:rsidR="003F4D46" w:rsidRPr="009257C7" w:rsidRDefault="003F4D46" w:rsidP="003804DC">
      <w:r w:rsidRPr="009257C7">
        <w:t>De conformidad con lo dispuesto en la Decisión 5 (Anexo 2)</w:t>
      </w:r>
      <w:r w:rsidR="003804DC" w:rsidRPr="009257C7">
        <w:t xml:space="preserve"> de la PP-18</w:t>
      </w:r>
      <w:r w:rsidRPr="009257C7">
        <w:t xml:space="preserve">, se ha apelado a la comprensión y la asistencia de las </w:t>
      </w:r>
      <w:r w:rsidR="003804DC" w:rsidRPr="009257C7">
        <w:t xml:space="preserve">administraciones </w:t>
      </w:r>
      <w:r w:rsidRPr="009257C7">
        <w:t xml:space="preserve">para asegurar que la AR-19 y la CMR-19 sean dos eventos sin papel. Estas medidas se destacan, para la AR-19 y la CMR-19, respectivamente, en las Circulares </w:t>
      </w:r>
      <w:r w:rsidR="008D3A63" w:rsidRPr="009257C7">
        <w:t xml:space="preserve">administrativas </w:t>
      </w:r>
      <w:hyperlink r:id="rId19" w:history="1">
        <w:r w:rsidRPr="009257C7">
          <w:rPr>
            <w:rStyle w:val="Hyperlink"/>
          </w:rPr>
          <w:t>CACE/889</w:t>
        </w:r>
      </w:hyperlink>
      <w:r w:rsidRPr="009257C7">
        <w:t xml:space="preserve"> y </w:t>
      </w:r>
      <w:hyperlink r:id="rId20" w:history="1">
        <w:r w:rsidRPr="009257C7">
          <w:rPr>
            <w:rStyle w:val="Hyperlink"/>
          </w:rPr>
          <w:t>CA/245</w:t>
        </w:r>
      </w:hyperlink>
      <w:r w:rsidRPr="009257C7">
        <w:t xml:space="preserve"> de la BR de 13 de febrero de 2019.</w:t>
      </w:r>
    </w:p>
    <w:p w:rsidR="003F4D46" w:rsidRPr="009257C7" w:rsidRDefault="003F4D46" w:rsidP="002008F5">
      <w:r w:rsidRPr="009257C7">
        <w:t xml:space="preserve">Ha proseguido la labor conjunta con el país anfitrión en relación con la AR-19 y la CMR-19, </w:t>
      </w:r>
      <w:r w:rsidR="00904381" w:rsidRPr="009257C7">
        <w:t xml:space="preserve">con objeto de asegurar que se dispondrá de </w:t>
      </w:r>
      <w:r w:rsidRPr="009257C7">
        <w:t>todas las instalaciones necesarias para el buen funcionamiento de estos eventos</w:t>
      </w:r>
      <w:r w:rsidR="00E3102C" w:rsidRPr="009257C7">
        <w:t xml:space="preserve"> y </w:t>
      </w:r>
      <w:r w:rsidR="00D21716" w:rsidRPr="009257C7">
        <w:t>se atenderán</w:t>
      </w:r>
      <w:r w:rsidR="00E3102C" w:rsidRPr="009257C7">
        <w:t xml:space="preserve"> los aspectos logísticos </w:t>
      </w:r>
      <w:r w:rsidR="00650704" w:rsidRPr="009257C7">
        <w:t>necesarios</w:t>
      </w:r>
      <w:r w:rsidRPr="009257C7">
        <w:t>. El Acuerdo con el país anfitrión será firmado por la UIT y el Gobierno de Egipto el 25 de marzo de 2019.</w:t>
      </w:r>
    </w:p>
    <w:p w:rsidR="00696EB0" w:rsidRPr="009257C7" w:rsidRDefault="003F4D46" w:rsidP="002008F5">
      <w:r w:rsidRPr="009257C7">
        <w:t xml:space="preserve">Se ha previsto </w:t>
      </w:r>
      <w:r w:rsidR="00D21716" w:rsidRPr="009257C7">
        <w:t xml:space="preserve">celebrar </w:t>
      </w:r>
      <w:r w:rsidRPr="009257C7">
        <w:t xml:space="preserve">la primera sesión de la RPC para la CMR-23 (es decir, la RPC23-1) los días 25 y 26 de noviembre de 2019 en el mismo lugar que </w:t>
      </w:r>
      <w:r w:rsidR="00D21716" w:rsidRPr="009257C7">
        <w:t>el previsto para</w:t>
      </w:r>
      <w:r w:rsidRPr="009257C7">
        <w:t xml:space="preserve"> la AR-19</w:t>
      </w:r>
      <w:r w:rsidR="00650704" w:rsidRPr="009257C7">
        <w:t xml:space="preserve"> y la </w:t>
      </w:r>
      <w:r w:rsidRPr="009257C7">
        <w:t>CMR-19</w:t>
      </w:r>
      <w:r w:rsidR="00483B10" w:rsidRPr="009257C7">
        <w:t>.</w:t>
      </w:r>
    </w:p>
    <w:p w:rsidR="00E7660B" w:rsidRPr="009257C7" w:rsidRDefault="00696EB0" w:rsidP="00E7660B">
      <w:pPr>
        <w:pStyle w:val="Heading1"/>
      </w:pPr>
      <w:r w:rsidRPr="009257C7">
        <w:t>7</w:t>
      </w:r>
      <w:r w:rsidRPr="009257C7">
        <w:tab/>
      </w:r>
      <w:r w:rsidR="00E7660B" w:rsidRPr="009257C7">
        <w:t>Plan Operacional</w:t>
      </w:r>
    </w:p>
    <w:p w:rsidR="00E7660B" w:rsidRPr="009257C7" w:rsidRDefault="00E7660B" w:rsidP="0045243D">
      <w:r w:rsidRPr="009257C7">
        <w:t xml:space="preserve">Como </w:t>
      </w:r>
      <w:r w:rsidR="009746D2" w:rsidRPr="009257C7">
        <w:t xml:space="preserve">se ha iniciado un nuevo ciclo </w:t>
      </w:r>
      <w:r w:rsidR="002B6CAE" w:rsidRPr="009257C7">
        <w:t xml:space="preserve">con arreglo al nuevo </w:t>
      </w:r>
      <w:r w:rsidR="0045243D" w:rsidRPr="009257C7">
        <w:t xml:space="preserve">Plan Estratégico </w:t>
      </w:r>
      <w:r w:rsidRPr="009257C7">
        <w:t xml:space="preserve">de la Unión para </w:t>
      </w:r>
      <w:r w:rsidR="0045243D" w:rsidRPr="009257C7">
        <w:t>2020</w:t>
      </w:r>
      <w:r w:rsidR="0045243D" w:rsidRPr="009257C7">
        <w:noBreakHyphen/>
      </w:r>
      <w:r w:rsidR="00FA076C" w:rsidRPr="009257C7">
        <w:t>2023</w:t>
      </w:r>
      <w:r w:rsidRPr="009257C7">
        <w:t xml:space="preserve"> aprobado por la PP-</w:t>
      </w:r>
      <w:r w:rsidR="00FA076C" w:rsidRPr="009257C7">
        <w:t>18</w:t>
      </w:r>
      <w:r w:rsidR="0045243D" w:rsidRPr="009257C7">
        <w:t>, el Plan Operacional del UIT</w:t>
      </w:r>
      <w:r w:rsidR="0045243D" w:rsidRPr="009257C7">
        <w:noBreakHyphen/>
      </w:r>
      <w:r w:rsidRPr="009257C7">
        <w:t xml:space="preserve">R está estructurado </w:t>
      </w:r>
      <w:r w:rsidR="002B6CAE" w:rsidRPr="009257C7">
        <w:t xml:space="preserve">en torno al </w:t>
      </w:r>
      <w:r w:rsidRPr="009257C7">
        <w:t>concepto de gestión basada en resultados</w:t>
      </w:r>
      <w:r w:rsidR="002B6CAE" w:rsidRPr="009257C7">
        <w:t xml:space="preserve"> de la Unión</w:t>
      </w:r>
      <w:r w:rsidRPr="009257C7">
        <w:t>, a fin</w:t>
      </w:r>
      <w:r w:rsidR="00446E6F" w:rsidRPr="009257C7">
        <w:t xml:space="preserve"> </w:t>
      </w:r>
      <w:r w:rsidRPr="009257C7">
        <w:t>de garantizar una vinculación total con el presupuesto y otras herram</w:t>
      </w:r>
      <w:r w:rsidR="0045243D" w:rsidRPr="009257C7">
        <w:t xml:space="preserve">ientas financieras de la Unión. </w:t>
      </w:r>
      <w:r w:rsidRPr="009257C7">
        <w:t>El proye</w:t>
      </w:r>
      <w:r w:rsidR="0045243D" w:rsidRPr="009257C7">
        <w:t>cto de Plan Operacional del UIT</w:t>
      </w:r>
      <w:r w:rsidR="0045243D" w:rsidRPr="009257C7">
        <w:noBreakHyphen/>
      </w:r>
      <w:r w:rsidRPr="009257C7">
        <w:t xml:space="preserve">R para el periodo </w:t>
      </w:r>
      <w:r w:rsidR="00FA076C" w:rsidRPr="009257C7">
        <w:t>2020-2023</w:t>
      </w:r>
      <w:r w:rsidRPr="009257C7">
        <w:t xml:space="preserve"> se presenta en el Addéndum </w:t>
      </w:r>
      <w:r w:rsidR="007940EE" w:rsidRPr="009257C7">
        <w:t>2</w:t>
      </w:r>
      <w:r w:rsidRPr="009257C7">
        <w:t xml:space="preserve"> al presente documento para que el GAR lo examine y formule los comentarios que estime oportunos.</w:t>
      </w:r>
    </w:p>
    <w:p w:rsidR="00E7660B" w:rsidRPr="009257C7" w:rsidRDefault="00FA076C" w:rsidP="00E7660B">
      <w:pPr>
        <w:pStyle w:val="Heading1"/>
      </w:pPr>
      <w:bookmarkStart w:id="42" w:name="_Toc446060769"/>
      <w:r w:rsidRPr="009257C7">
        <w:t>8</w:t>
      </w:r>
      <w:r w:rsidR="00E7660B" w:rsidRPr="009257C7">
        <w:tab/>
      </w:r>
      <w:bookmarkEnd w:id="42"/>
      <w:r w:rsidR="00E7660B" w:rsidRPr="009257C7">
        <w:t>Sistema de información de la BR</w:t>
      </w:r>
    </w:p>
    <w:p w:rsidR="00E7660B" w:rsidRPr="009257C7" w:rsidRDefault="00E7660B" w:rsidP="00E7660B">
      <w:bookmarkStart w:id="43" w:name="lt_pId332"/>
      <w:r w:rsidRPr="009257C7">
        <w:t>En su 19ª reunión (2012), el GAR aconsejó al Director que aplicase las medidas recomendadas en los plazos propuestos, como se describe en la hoja de ruta, que comprenden la Fase 1 (Aplicación de las decisiones de la CMR</w:t>
      </w:r>
      <w:r w:rsidRPr="009257C7">
        <w:noBreakHyphen/>
        <w:t>12) hasta el 31 de diciembre de 2012, la Fase 2 (Reescribir parte del software existente) hasta el 31 de diciembre de 2015 y la Fase 3 (Crear un equipo de proyecto para implementar un marco común, un sistema de seguridad y una base de datos espacial centralizada) desde el 1 de enero de 2016 hasta el 31 de diciembre de 2018. El GAR alentó a los Estados Miembros y a los Miembros de Sector a formular comentarios sobre la Fase 3.</w:t>
      </w:r>
    </w:p>
    <w:p w:rsidR="00E7660B" w:rsidRPr="009257C7" w:rsidRDefault="00E7660B" w:rsidP="00E7660B">
      <w:r w:rsidRPr="009257C7">
        <w:t>El Informe sobre los avances logrados en esta cuestión se facilita en el Anexo 1 al presente documento. A continuación se presentan otras actividades en curso.</w:t>
      </w:r>
      <w:bookmarkEnd w:id="43"/>
    </w:p>
    <w:p w:rsidR="00E7660B" w:rsidRPr="009257C7" w:rsidRDefault="00FA076C" w:rsidP="00E7660B">
      <w:pPr>
        <w:pStyle w:val="Heading2"/>
      </w:pPr>
      <w:bookmarkStart w:id="44" w:name="_Toc446060770"/>
      <w:r w:rsidRPr="009257C7">
        <w:t>8</w:t>
      </w:r>
      <w:r w:rsidR="00E7660B" w:rsidRPr="009257C7">
        <w:t>.1</w:t>
      </w:r>
      <w:r w:rsidR="00E7660B" w:rsidRPr="009257C7">
        <w:tab/>
        <w:t>Software desarrollado para los servicios espaciales</w:t>
      </w:r>
    </w:p>
    <w:p w:rsidR="00E7660B" w:rsidRPr="009257C7" w:rsidRDefault="00FA076C" w:rsidP="00E7660B">
      <w:pPr>
        <w:pStyle w:val="Heading3"/>
      </w:pPr>
      <w:r w:rsidRPr="009257C7">
        <w:t>8</w:t>
      </w:r>
      <w:r w:rsidR="00E7660B" w:rsidRPr="009257C7">
        <w:t>.1.1</w:t>
      </w:r>
      <w:r w:rsidR="00E7660B" w:rsidRPr="009257C7">
        <w:tab/>
        <w:t>Aplicación de la Resolución 186 (Busán, 2014)</w:t>
      </w:r>
      <w:bookmarkEnd w:id="44"/>
    </w:p>
    <w:p w:rsidR="002B6CAE" w:rsidRPr="009257C7" w:rsidRDefault="002B6CAE" w:rsidP="009F019C">
      <w:bookmarkStart w:id="45" w:name="lt_pId348"/>
      <w:r w:rsidRPr="009257C7">
        <w:t xml:space="preserve">El 1 de septiembre de 2018, la Oficina de Radiocomunicaciones publicó la versión operativa de la aplicación en línea </w:t>
      </w:r>
      <w:r w:rsidR="009F019C" w:rsidRPr="009257C7">
        <w:t>«</w:t>
      </w:r>
      <w:r w:rsidRPr="009257C7">
        <w:t>Sistema de notificación y resolución de interferencias de satélites</w:t>
      </w:r>
      <w:r w:rsidR="009F019C" w:rsidRPr="009257C7">
        <w:t>»</w:t>
      </w:r>
      <w:r w:rsidRPr="009257C7">
        <w:t xml:space="preserve"> con objeto de facilitar la comunicación y el intercambio de información entre las administraciones y la Oficina en relación con los casos de interferencia perjudicial que afectan a los servicios espaciales (véase </w:t>
      </w:r>
      <w:r w:rsidR="009F019C" w:rsidRPr="009257C7">
        <w:t xml:space="preserve">la Carta circular </w:t>
      </w:r>
      <w:hyperlink r:id="rId21" w:history="1">
        <w:r w:rsidRPr="009257C7">
          <w:rPr>
            <w:rStyle w:val="Hyperlink"/>
          </w:rPr>
          <w:t>CR/435</w:t>
        </w:r>
      </w:hyperlink>
      <w:r w:rsidRPr="009257C7">
        <w:t xml:space="preserve"> de 28 de agosto de 2018). La Oficina había publicado anteriormente una versión beta para que las administraciones la sometieran a prueba (véase </w:t>
      </w:r>
      <w:r w:rsidR="009F019C" w:rsidRPr="009257C7">
        <w:t xml:space="preserve">la Carta circular </w:t>
      </w:r>
      <w:hyperlink r:id="rId22" w:history="1">
        <w:r w:rsidRPr="009257C7">
          <w:rPr>
            <w:rStyle w:val="Hyperlink"/>
          </w:rPr>
          <w:t>CR/428</w:t>
        </w:r>
      </w:hyperlink>
      <w:r w:rsidRPr="009257C7">
        <w:t xml:space="preserve"> de 13 de marzo de 2018).</w:t>
      </w:r>
    </w:p>
    <w:p w:rsidR="002B6CAE" w:rsidRPr="009257C7" w:rsidRDefault="002B6CAE" w:rsidP="002B6CAE">
      <w:r w:rsidRPr="009257C7">
        <w:lastRenderedPageBreak/>
        <w:t>Hasta la fecha se han registrado en el SIRRS 200 usuarios individuales de 84 administraciones. Desde la publicación de la versión operativa el 1 de septiembre de 2018, se han notificado 26 casos de interferencia perjudicial a través del SIRRS.</w:t>
      </w:r>
    </w:p>
    <w:p w:rsidR="00446E6F" w:rsidRPr="009257C7" w:rsidRDefault="002B6CAE" w:rsidP="00CD2EA0">
      <w:pPr>
        <w:rPr>
          <w:color w:val="000000"/>
        </w:rPr>
      </w:pPr>
      <w:r w:rsidRPr="009257C7">
        <w:t>La Oficina se ha propuesto mejorar continuamente la aplicación web SIRRS, teniendo en cuenta las observaciones de las administraciones y las últimas novedades de las Comisiones de Estudio del UIT-R sobre las Recomendaciones y los Informes relacionados con la supervisión del espacio y la notificación de interferencias.</w:t>
      </w:r>
    </w:p>
    <w:p w:rsidR="00E7660B" w:rsidRPr="009257C7" w:rsidRDefault="00CC48B3" w:rsidP="00E7660B">
      <w:pPr>
        <w:pStyle w:val="Heading2"/>
      </w:pPr>
      <w:bookmarkStart w:id="46" w:name="_Toc446060775"/>
      <w:bookmarkStart w:id="47" w:name="_Toc446060771"/>
      <w:bookmarkEnd w:id="45"/>
      <w:r w:rsidRPr="009257C7">
        <w:t>8</w:t>
      </w:r>
      <w:r w:rsidR="00E7660B" w:rsidRPr="009257C7">
        <w:t>.2</w:t>
      </w:r>
      <w:r w:rsidR="00E7660B" w:rsidRPr="009257C7">
        <w:tab/>
      </w:r>
      <w:bookmarkEnd w:id="47"/>
      <w:r w:rsidR="00E7660B" w:rsidRPr="009257C7">
        <w:t>Software desarrollado para los servicios terrenales</w:t>
      </w:r>
    </w:p>
    <w:p w:rsidR="00E7660B" w:rsidRPr="009257C7" w:rsidRDefault="00865EC6">
      <w:pPr>
        <w:pStyle w:val="Heading3"/>
      </w:pPr>
      <w:r w:rsidRPr="009257C7">
        <w:t>8</w:t>
      </w:r>
      <w:r w:rsidR="00E7660B" w:rsidRPr="009257C7">
        <w:t>.2.1</w:t>
      </w:r>
      <w:r w:rsidR="00E7660B" w:rsidRPr="009257C7">
        <w:tab/>
      </w:r>
      <w:r w:rsidR="00E163F9" w:rsidRPr="009257C7">
        <w:t>Modificaciones en los exámenes realizados en virtud del número</w:t>
      </w:r>
      <w:r w:rsidR="00E7660B" w:rsidRPr="009257C7">
        <w:t xml:space="preserve"> 9.19 del Reglamento de Radiocomunicaciones</w:t>
      </w:r>
    </w:p>
    <w:p w:rsidR="00E7660B" w:rsidRPr="009257C7" w:rsidRDefault="00E7660B" w:rsidP="00EF02EC">
      <w:r w:rsidRPr="009257C7">
        <w:t xml:space="preserve">La Oficina </w:t>
      </w:r>
      <w:r w:rsidR="00E163F9" w:rsidRPr="009257C7">
        <w:t>ha modificado</w:t>
      </w:r>
      <w:r w:rsidR="00865EC6" w:rsidRPr="009257C7">
        <w:t xml:space="preserve"> </w:t>
      </w:r>
      <w:r w:rsidRPr="009257C7">
        <w:t>el módulo software para la tramitación de notificaciones de servicios terrenales con arreglo a la nueva RdP relativa al número 9.19 del RR</w:t>
      </w:r>
      <w:r w:rsidR="007D07CC" w:rsidRPr="009257C7">
        <w:t xml:space="preserve"> </w:t>
      </w:r>
      <w:r w:rsidR="00AE0789" w:rsidRPr="009257C7">
        <w:t xml:space="preserve">como consecuencia del </w:t>
      </w:r>
      <w:r w:rsidR="00D21716" w:rsidRPr="009257C7">
        <w:t xml:space="preserve">cambio de método para la </w:t>
      </w:r>
      <w:r w:rsidR="007D07CC" w:rsidRPr="009257C7">
        <w:t xml:space="preserve">identificación de las administraciones afectadas </w:t>
      </w:r>
      <w:r w:rsidRPr="009257C7">
        <w:t>con arreglo a</w:t>
      </w:r>
      <w:r w:rsidR="007D07CC" w:rsidRPr="009257C7">
        <w:t>l mismo</w:t>
      </w:r>
      <w:r w:rsidR="00446E6F" w:rsidRPr="009257C7">
        <w:t xml:space="preserve"> </w:t>
      </w:r>
      <w:r w:rsidRPr="009257C7">
        <w:t>número</w:t>
      </w:r>
      <w:r w:rsidR="00E71C22" w:rsidRPr="009257C7">
        <w:t>.</w:t>
      </w:r>
    </w:p>
    <w:p w:rsidR="00E7660B" w:rsidRPr="009257C7" w:rsidRDefault="00E71C22">
      <w:pPr>
        <w:pStyle w:val="Heading3"/>
        <w:rPr>
          <w:szCs w:val="24"/>
          <w:lang w:eastAsia="zh-CN"/>
        </w:rPr>
      </w:pPr>
      <w:r w:rsidRPr="009257C7">
        <w:t>8</w:t>
      </w:r>
      <w:r w:rsidR="00E7660B" w:rsidRPr="009257C7">
        <w:t>.2.</w:t>
      </w:r>
      <w:r w:rsidRPr="009257C7">
        <w:t>2</w:t>
      </w:r>
      <w:r w:rsidR="00E7660B" w:rsidRPr="009257C7">
        <w:tab/>
        <w:t>Software</w:t>
      </w:r>
      <w:r w:rsidR="00E7660B" w:rsidRPr="009257C7">
        <w:rPr>
          <w:lang w:eastAsia="zh-CN"/>
        </w:rPr>
        <w:t xml:space="preserve"> HFBC</w:t>
      </w:r>
    </w:p>
    <w:p w:rsidR="00E7660B" w:rsidRPr="009257C7" w:rsidRDefault="00E7660B">
      <w:r w:rsidRPr="009257C7">
        <w:t xml:space="preserve">A fin de facilitar la coordinación y el intercambio de datos entre notificadores HFBC, la Oficina </w:t>
      </w:r>
      <w:r w:rsidR="00E163F9" w:rsidRPr="009257C7">
        <w:t xml:space="preserve">puso fin a </w:t>
      </w:r>
      <w:r w:rsidRPr="009257C7">
        <w:t xml:space="preserve">las publicaciones </w:t>
      </w:r>
      <w:r w:rsidR="00E71C22" w:rsidRPr="009257C7">
        <w:rPr>
          <w:rFonts w:asciiTheme="majorBidi" w:hAnsiTheme="majorBidi" w:cstheme="majorBidi"/>
          <w:szCs w:val="24"/>
        </w:rPr>
        <w:t>HFBC</w:t>
      </w:r>
      <w:r w:rsidR="00E71C22" w:rsidRPr="009257C7">
        <w:t xml:space="preserve"> </w:t>
      </w:r>
      <w:r w:rsidRPr="009257C7">
        <w:t>en CD-ROM</w:t>
      </w:r>
      <w:r w:rsidR="00E71C22" w:rsidRPr="009257C7">
        <w:t xml:space="preserve"> </w:t>
      </w:r>
      <w:r w:rsidRPr="009257C7">
        <w:t>a parti</w:t>
      </w:r>
      <w:r w:rsidR="00E71C22" w:rsidRPr="009257C7">
        <w:t>r de finales de </w:t>
      </w:r>
      <w:r w:rsidRPr="009257C7">
        <w:t>2018</w:t>
      </w:r>
      <w:r w:rsidR="00FD2D1D" w:rsidRPr="009257C7">
        <w:rPr>
          <w:rFonts w:asciiTheme="majorBidi" w:hAnsiTheme="majorBidi" w:cstheme="majorBidi"/>
          <w:szCs w:val="24"/>
        </w:rPr>
        <w:t xml:space="preserve">. </w:t>
      </w:r>
      <w:r w:rsidR="00E163F9" w:rsidRPr="009257C7">
        <w:rPr>
          <w:rFonts w:asciiTheme="majorBidi" w:hAnsiTheme="majorBidi" w:cstheme="majorBidi"/>
          <w:szCs w:val="24"/>
        </w:rPr>
        <w:t xml:space="preserve">Ese servicio se reemplazó por una base de datos gratuita en línea con </w:t>
      </w:r>
      <w:r w:rsidRPr="009257C7">
        <w:t xml:space="preserve">el </w:t>
      </w:r>
      <w:r w:rsidRPr="009257C7">
        <w:rPr>
          <w:color w:val="000000"/>
        </w:rPr>
        <w:t xml:space="preserve">horario estacional de radiodifusión por ondas decamétricas y </w:t>
      </w:r>
      <w:r w:rsidRPr="009257C7">
        <w:t>los resultados de la compatibilidad</w:t>
      </w:r>
      <w:r w:rsidR="00FD2D1D" w:rsidRPr="009257C7">
        <w:rPr>
          <w:rFonts w:asciiTheme="majorBidi" w:eastAsiaTheme="minorEastAsia" w:hAnsiTheme="majorBidi" w:cstheme="majorBidi"/>
          <w:color w:val="000000" w:themeColor="text1"/>
          <w:szCs w:val="24"/>
        </w:rPr>
        <w:t xml:space="preserve"> </w:t>
      </w:r>
      <w:r w:rsidR="00E163F9" w:rsidRPr="009257C7">
        <w:rPr>
          <w:rFonts w:asciiTheme="majorBidi" w:eastAsiaTheme="minorEastAsia" w:hAnsiTheme="majorBidi" w:cstheme="majorBidi"/>
          <w:color w:val="000000" w:themeColor="text1"/>
          <w:szCs w:val="24"/>
        </w:rPr>
        <w:t>a partir del 1 de enero en línea. El 3 de julio de 2018 se envió la carta circular correspondiente para informar a las administraciones al respecto.</w:t>
      </w:r>
    </w:p>
    <w:p w:rsidR="00926459" w:rsidRPr="009257C7" w:rsidRDefault="0028023C" w:rsidP="0046680C">
      <w:pPr>
        <w:pStyle w:val="Heading3"/>
      </w:pPr>
      <w:r w:rsidRPr="009257C7">
        <w:t>8.2.3</w:t>
      </w:r>
      <w:r w:rsidRPr="009257C7">
        <w:tab/>
      </w:r>
      <w:r w:rsidR="00E163F9" w:rsidRPr="009257C7">
        <w:t>In</w:t>
      </w:r>
      <w:r w:rsidR="006B72A8" w:rsidRPr="009257C7">
        <w:t>tegra</w:t>
      </w:r>
      <w:r w:rsidR="00E163F9" w:rsidRPr="009257C7">
        <w:t xml:space="preserve">ción </w:t>
      </w:r>
      <w:r w:rsidR="006B72A8" w:rsidRPr="009257C7">
        <w:t xml:space="preserve">en el TerRaSys </w:t>
      </w:r>
      <w:r w:rsidR="00E163F9" w:rsidRPr="009257C7">
        <w:t>de</w:t>
      </w:r>
      <w:r w:rsidR="006B72A8" w:rsidRPr="009257C7">
        <w:t xml:space="preserve">l sistema de tramitación de notificaciones con arreglo al </w:t>
      </w:r>
      <w:r w:rsidR="00E163F9" w:rsidRPr="009257C7">
        <w:t xml:space="preserve">Artículo 4 del Acuerdo </w:t>
      </w:r>
      <w:r w:rsidR="0046680C" w:rsidRPr="009257C7">
        <w:t>GE06</w:t>
      </w:r>
    </w:p>
    <w:p w:rsidR="00926459" w:rsidRPr="009257C7" w:rsidRDefault="006B72A8">
      <w:r w:rsidRPr="009257C7">
        <w:t xml:space="preserve">La Oficina finalizó la integración en el TerRaSys de la parte digital del sistema de tramitación de notificaciones en virtud del Artículo 4 del Acuerdo GE06 (GE06D), que anteriormente se había realizado en un sistema autónomo. La </w:t>
      </w:r>
      <w:r w:rsidR="00AE0789" w:rsidRPr="009257C7">
        <w:t xml:space="preserve">integración de la </w:t>
      </w:r>
      <w:r w:rsidRPr="009257C7">
        <w:t>primera Sección Especial del GE06D en</w:t>
      </w:r>
      <w:r w:rsidR="007D07CC" w:rsidRPr="009257C7">
        <w:t xml:space="preserve"> el</w:t>
      </w:r>
      <w:r w:rsidRPr="009257C7">
        <w:t xml:space="preserve"> TerRaSys está prevista para abril de 2019. Las </w:t>
      </w:r>
      <w:r w:rsidR="00AE0789" w:rsidRPr="009257C7">
        <w:t xml:space="preserve">consecuentes </w:t>
      </w:r>
      <w:r w:rsidRPr="009257C7">
        <w:t xml:space="preserve">modificaciones </w:t>
      </w:r>
      <w:r w:rsidR="00AE0789" w:rsidRPr="009257C7">
        <w:t>al</w:t>
      </w:r>
      <w:r w:rsidRPr="009257C7">
        <w:t xml:space="preserve"> </w:t>
      </w:r>
      <w:r w:rsidR="007D07CC" w:rsidRPr="009257C7">
        <w:t xml:space="preserve">software </w:t>
      </w:r>
      <w:r w:rsidRPr="009257C7">
        <w:t xml:space="preserve">de examen de coordinación técnica para la parte GE06L, </w:t>
      </w:r>
      <w:r w:rsidR="007D07CC" w:rsidRPr="009257C7">
        <w:t xml:space="preserve">en relación con los </w:t>
      </w:r>
      <w:r w:rsidRPr="009257C7">
        <w:t xml:space="preserve">otros servicios primarios, se encuentran en fase de prueba final. Se espera que </w:t>
      </w:r>
      <w:r w:rsidR="007D07CC" w:rsidRPr="009257C7">
        <w:t>la totalidad d</w:t>
      </w:r>
      <w:r w:rsidRPr="009257C7">
        <w:t xml:space="preserve">el Artículo 4 del </w:t>
      </w:r>
      <w:r w:rsidR="00EC486B" w:rsidRPr="009257C7">
        <w:t xml:space="preserve">Acuerdo </w:t>
      </w:r>
      <w:r w:rsidRPr="009257C7">
        <w:t>GE06 con todos sus componentes esté plenamente integrado a finales de mayo de</w:t>
      </w:r>
      <w:r w:rsidR="00EC486B" w:rsidRPr="009257C7">
        <w:t xml:space="preserve"> 2019</w:t>
      </w:r>
      <w:r w:rsidR="0028023C" w:rsidRPr="009257C7">
        <w:t>.</w:t>
      </w:r>
    </w:p>
    <w:p w:rsidR="00926459" w:rsidRPr="009257C7" w:rsidRDefault="00F83B26">
      <w:pPr>
        <w:pStyle w:val="Heading3"/>
      </w:pPr>
      <w:r w:rsidRPr="009257C7">
        <w:t>8.2.4</w:t>
      </w:r>
      <w:r w:rsidR="0028023C" w:rsidRPr="009257C7">
        <w:tab/>
      </w:r>
      <w:r w:rsidR="00E7660B" w:rsidRPr="009257C7">
        <w:rPr>
          <w:lang w:eastAsia="zh-CN"/>
        </w:rPr>
        <w:t xml:space="preserve">Software de análisis de compatibilidad para la planificación de la televisión digital terrenal </w:t>
      </w:r>
      <w:r w:rsidR="00E7660B" w:rsidRPr="009257C7">
        <w:t>(</w:t>
      </w:r>
      <w:r w:rsidR="00EC486B" w:rsidRPr="009257C7">
        <w:t>T</w:t>
      </w:r>
      <w:r w:rsidR="00E7660B" w:rsidRPr="009257C7">
        <w:t>DT) en América Central y el Caribe (CAC)</w:t>
      </w:r>
    </w:p>
    <w:p w:rsidR="00926459" w:rsidRPr="009257C7" w:rsidRDefault="00E7660B">
      <w:r w:rsidRPr="009257C7">
        <w:t>A fin de ayudar a la</w:t>
      </w:r>
      <w:r w:rsidR="00EC486B" w:rsidRPr="009257C7">
        <w:t>s</w:t>
      </w:r>
      <w:r w:rsidRPr="009257C7">
        <w:t xml:space="preserve"> subregi</w:t>
      </w:r>
      <w:r w:rsidR="00EC486B" w:rsidRPr="009257C7">
        <w:t xml:space="preserve">ones </w:t>
      </w:r>
      <w:r w:rsidRPr="009257C7">
        <w:t xml:space="preserve">de América Central y el Caribe a planificar la implantación de la televisión digital terrenal y otros servicios en las bandas </w:t>
      </w:r>
      <w:r w:rsidR="00297D24" w:rsidRPr="009257C7">
        <w:rPr>
          <w:color w:val="000000"/>
        </w:rPr>
        <w:t>de ondas métricas/deca</w:t>
      </w:r>
      <w:r w:rsidRPr="009257C7">
        <w:rPr>
          <w:color w:val="000000"/>
        </w:rPr>
        <w:t>métricas</w:t>
      </w:r>
      <w:r w:rsidRPr="009257C7">
        <w:t>, la Oficina ha desarrollado y mejorado el software de análisis de compatibilidad que fue creado por la Conferencia GE06 y ha mejorado las anteriores actividades de planificación de frecuencia</w:t>
      </w:r>
      <w:r w:rsidR="006B7AD2" w:rsidRPr="009257C7">
        <w:t>s</w:t>
      </w:r>
      <w:r w:rsidRPr="009257C7">
        <w:t xml:space="preserve"> en la Región 1. El software toma en consideración todas las normas </w:t>
      </w:r>
      <w:r w:rsidR="00EC486B" w:rsidRPr="009257C7">
        <w:t xml:space="preserve">TDT </w:t>
      </w:r>
      <w:r w:rsidRPr="009257C7">
        <w:t xml:space="preserve">y los dos disposiciones de canales (6 MHz y </w:t>
      </w:r>
      <w:r w:rsidR="006B7AD2" w:rsidRPr="009257C7">
        <w:t>8 MHz) utilizadas en la región.</w:t>
      </w:r>
    </w:p>
    <w:p w:rsidR="007940EE" w:rsidRPr="009257C7" w:rsidRDefault="00EC486B">
      <w:pPr>
        <w:rPr>
          <w:szCs w:val="24"/>
        </w:rPr>
      </w:pPr>
      <w:r w:rsidRPr="009257C7">
        <w:t>Se ha finalizado el software para el a</w:t>
      </w:r>
      <w:r w:rsidR="00E7660B" w:rsidRPr="009257C7">
        <w:t>nálisis de la compatibilidad</w:t>
      </w:r>
      <w:r w:rsidRPr="009257C7">
        <w:t xml:space="preserve"> de la TDT</w:t>
      </w:r>
      <w:r w:rsidR="00E7660B" w:rsidRPr="009257C7">
        <w:t xml:space="preserve"> </w:t>
      </w:r>
      <w:r w:rsidRPr="009257C7">
        <w:t xml:space="preserve">para la región de América Central y el Caribe, con la integración del software para la gestión de las asignaciones fijas y móviles pertinentes actualmente inscritas en el Registro. </w:t>
      </w:r>
      <w:r w:rsidR="005C513E" w:rsidRPr="009257C7">
        <w:t>La serie completa de he</w:t>
      </w:r>
      <w:r w:rsidRPr="009257C7">
        <w:t xml:space="preserve">rramientas de software </w:t>
      </w:r>
      <w:r w:rsidR="005C513E" w:rsidRPr="009257C7">
        <w:t>comprende:</w:t>
      </w:r>
    </w:p>
    <w:p w:rsidR="007940EE" w:rsidRPr="009257C7" w:rsidRDefault="00512C86">
      <w:pPr>
        <w:pStyle w:val="enumlev1"/>
      </w:pPr>
      <w:r w:rsidRPr="009257C7">
        <w:t>–</w:t>
      </w:r>
      <w:r w:rsidRPr="009257C7">
        <w:tab/>
      </w:r>
      <w:r w:rsidR="005C513E" w:rsidRPr="009257C7">
        <w:t>El análisis de compatibilidad digital</w:t>
      </w:r>
      <w:r w:rsidR="0009276E" w:rsidRPr="009257C7">
        <w:t>/</w:t>
      </w:r>
      <w:r w:rsidR="005C513E" w:rsidRPr="009257C7">
        <w:t>digital; d</w:t>
      </w:r>
      <w:r w:rsidR="0009276E" w:rsidRPr="009257C7">
        <w:t>igital/a</w:t>
      </w:r>
      <w:r w:rsidR="005C513E" w:rsidRPr="009257C7">
        <w:t>nalógico; analógico</w:t>
      </w:r>
      <w:r w:rsidR="0009276E" w:rsidRPr="009257C7">
        <w:t>/</w:t>
      </w:r>
      <w:r w:rsidR="005C513E" w:rsidRPr="009257C7">
        <w:t>digital; digital</w:t>
      </w:r>
      <w:r w:rsidR="0009276E" w:rsidRPr="009257C7">
        <w:t>/</w:t>
      </w:r>
      <w:r w:rsidR="005C513E" w:rsidRPr="009257C7">
        <w:t>fijo y móvil; y fijo y móvil</w:t>
      </w:r>
      <w:r w:rsidR="0009276E" w:rsidRPr="009257C7">
        <w:t>/</w:t>
      </w:r>
      <w:r w:rsidR="005C513E" w:rsidRPr="009257C7">
        <w:t xml:space="preserve">digital </w:t>
      </w:r>
      <w:r w:rsidR="0009276E" w:rsidRPr="009257C7">
        <w:t>está</w:t>
      </w:r>
      <w:r w:rsidR="00297D24" w:rsidRPr="009257C7">
        <w:t xml:space="preserve"> </w:t>
      </w:r>
      <w:r w:rsidR="00FC5F6E" w:rsidRPr="009257C7">
        <w:t>d</w:t>
      </w:r>
      <w:r w:rsidR="00E7660B" w:rsidRPr="009257C7">
        <w:t>isponible en eTools</w:t>
      </w:r>
      <w:r w:rsidRPr="009257C7">
        <w:t>.</w:t>
      </w:r>
    </w:p>
    <w:p w:rsidR="007940EE" w:rsidRPr="009257C7" w:rsidRDefault="00512C86">
      <w:pPr>
        <w:pStyle w:val="enumlev1"/>
      </w:pPr>
      <w:r w:rsidRPr="009257C7">
        <w:lastRenderedPageBreak/>
        <w:t>–</w:t>
      </w:r>
      <w:r w:rsidRPr="009257C7">
        <w:tab/>
      </w:r>
      <w:r w:rsidR="005C513E" w:rsidRPr="009257C7">
        <w:t xml:space="preserve">El software de visualización CADisplay, que permite </w:t>
      </w:r>
      <w:r w:rsidR="009257C7" w:rsidRPr="009257C7">
        <w:t>la visualización</w:t>
      </w:r>
      <w:r w:rsidR="00E7660B" w:rsidRPr="009257C7">
        <w:t xml:space="preserve"> e interpretación de los resultados</w:t>
      </w:r>
      <w:r w:rsidR="00C77D65" w:rsidRPr="009257C7">
        <w:t xml:space="preserve"> del análisis de compatibilidad</w:t>
      </w:r>
      <w:r w:rsidR="006E4633" w:rsidRPr="009257C7">
        <w:t xml:space="preserve">, </w:t>
      </w:r>
      <w:r w:rsidR="005C513E" w:rsidRPr="009257C7">
        <w:t>puede descargarse del sitio web de la BR</w:t>
      </w:r>
      <w:r w:rsidR="00C77D65" w:rsidRPr="009257C7">
        <w:t>.</w:t>
      </w:r>
    </w:p>
    <w:p w:rsidR="005C513E" w:rsidRPr="009257C7" w:rsidRDefault="00512C86">
      <w:pPr>
        <w:pStyle w:val="enumlev1"/>
      </w:pPr>
      <w:r w:rsidRPr="009257C7">
        <w:t>–</w:t>
      </w:r>
      <w:r w:rsidRPr="009257C7">
        <w:tab/>
      </w:r>
      <w:r w:rsidR="009E67B0" w:rsidRPr="009257C7">
        <w:t>Tras la elaboración de la lista de r</w:t>
      </w:r>
      <w:r w:rsidR="005C513E" w:rsidRPr="009257C7">
        <w:t xml:space="preserve">eferencia de los canales de televisión digital terrenal acordados al final del proceso de coordinación, se ha implantado </w:t>
      </w:r>
      <w:r w:rsidR="0009276E" w:rsidRPr="009257C7">
        <w:t xml:space="preserve">también </w:t>
      </w:r>
      <w:r w:rsidR="005C513E" w:rsidRPr="009257C7">
        <w:t xml:space="preserve">un sistema totalmente automatizado para el cálculo de los análisis de compatibilidad a </w:t>
      </w:r>
      <w:r w:rsidR="009E67B0" w:rsidRPr="009257C7">
        <w:t xml:space="preserve">través de </w:t>
      </w:r>
      <w:r w:rsidR="005C513E" w:rsidRPr="009257C7">
        <w:t>eTools</w:t>
      </w:r>
      <w:r w:rsidR="009E67B0" w:rsidRPr="009257C7">
        <w:t xml:space="preserve"> que permite</w:t>
      </w:r>
      <w:r w:rsidR="005C513E" w:rsidRPr="009257C7">
        <w:t>:</w:t>
      </w:r>
    </w:p>
    <w:p w:rsidR="005C513E" w:rsidRPr="009257C7" w:rsidRDefault="00C77D65" w:rsidP="00C77D65">
      <w:pPr>
        <w:pStyle w:val="enumlev2"/>
      </w:pPr>
      <w:r w:rsidRPr="009257C7">
        <w:t>•</w:t>
      </w:r>
      <w:r w:rsidRPr="009257C7">
        <w:tab/>
      </w:r>
      <w:r w:rsidR="009E67B0" w:rsidRPr="009257C7">
        <w:t>examinar los registros de la lista de r</w:t>
      </w:r>
      <w:r w:rsidR="005C513E" w:rsidRPr="009257C7">
        <w:t xml:space="preserve">eferencia </w:t>
      </w:r>
      <w:r w:rsidR="0009276E" w:rsidRPr="009257C7">
        <w:t>en el proceso de a</w:t>
      </w:r>
      <w:r w:rsidR="005C513E" w:rsidRPr="009257C7">
        <w:t>nálisis de compatibilidad;</w:t>
      </w:r>
    </w:p>
    <w:p w:rsidR="00446E6F" w:rsidRPr="009257C7" w:rsidDel="009E67B0" w:rsidRDefault="00C77D65" w:rsidP="00C77D65">
      <w:pPr>
        <w:pStyle w:val="enumlev2"/>
      </w:pPr>
      <w:r w:rsidRPr="009257C7">
        <w:t>•</w:t>
      </w:r>
      <w:r w:rsidRPr="009257C7">
        <w:tab/>
        <w:t xml:space="preserve">automatizar </w:t>
      </w:r>
      <w:r w:rsidR="005C513E" w:rsidRPr="009257C7">
        <w:t xml:space="preserve">el cálculo de la situación de referencia analógica, </w:t>
      </w:r>
      <w:r w:rsidR="009E67B0" w:rsidRPr="009257C7">
        <w:t xml:space="preserve">con el fin de examinar la posible </w:t>
      </w:r>
      <w:r w:rsidR="005C513E" w:rsidRPr="009257C7">
        <w:t xml:space="preserve">actualización de las asignaciones analógicas en el </w:t>
      </w:r>
      <w:r w:rsidRPr="009257C7">
        <w:t>Registro Internacional</w:t>
      </w:r>
      <w:r w:rsidR="00446E6F" w:rsidRPr="009257C7">
        <w:t>.</w:t>
      </w:r>
    </w:p>
    <w:p w:rsidR="00411AB4" w:rsidRPr="009257C7" w:rsidRDefault="00A16436">
      <w:pPr>
        <w:pStyle w:val="Heading3"/>
        <w:rPr>
          <w:lang w:eastAsia="zh-CN"/>
        </w:rPr>
      </w:pPr>
      <w:r>
        <w:rPr>
          <w:lang w:eastAsia="zh-CN"/>
        </w:rPr>
        <w:t>8.2.5</w:t>
      </w:r>
      <w:r w:rsidR="00411AB4" w:rsidRPr="009257C7">
        <w:rPr>
          <w:lang w:eastAsia="zh-CN"/>
        </w:rPr>
        <w:tab/>
      </w:r>
      <w:r w:rsidR="009E67B0" w:rsidRPr="009257C7">
        <w:rPr>
          <w:lang w:eastAsia="zh-CN"/>
        </w:rPr>
        <w:t>Desarrollo y mejora de las herramientas web</w:t>
      </w:r>
      <w:bookmarkStart w:id="48" w:name="_GoBack"/>
      <w:bookmarkEnd w:id="48"/>
    </w:p>
    <w:p w:rsidR="009E67B0" w:rsidRPr="009257C7" w:rsidRDefault="009E67B0" w:rsidP="00136C49">
      <w:r w:rsidRPr="009257C7">
        <w:t xml:space="preserve">En 2018, la Oficina siguió mejorando la </w:t>
      </w:r>
      <w:r w:rsidRPr="009257C7">
        <w:rPr>
          <w:i/>
          <w:iCs/>
        </w:rPr>
        <w:t>plataforma eBCD2.0</w:t>
      </w:r>
      <w:r w:rsidRPr="009257C7">
        <w:t xml:space="preserve"> para </w:t>
      </w:r>
      <w:r w:rsidR="00E36A86" w:rsidRPr="009257C7">
        <w:t xml:space="preserve">los </w:t>
      </w:r>
      <w:r w:rsidRPr="009257C7">
        <w:t xml:space="preserve">servicios de radiodifusión terrenal </w:t>
      </w:r>
      <w:r w:rsidR="00E36A86" w:rsidRPr="009257C7">
        <w:t xml:space="preserve">asegurando </w:t>
      </w:r>
      <w:r w:rsidRPr="009257C7">
        <w:t xml:space="preserve">el cálculo de contornos de cobertura de la intensidad de campo en el </w:t>
      </w:r>
      <w:r w:rsidR="00E36A86" w:rsidRPr="009257C7">
        <w:t xml:space="preserve">marco del </w:t>
      </w:r>
      <w:r w:rsidRPr="009257C7">
        <w:t xml:space="preserve">método </w:t>
      </w:r>
      <w:r w:rsidR="00E36A86" w:rsidRPr="009257C7">
        <w:t>de</w:t>
      </w:r>
      <w:r w:rsidRPr="009257C7">
        <w:t xml:space="preserve"> predicción de </w:t>
      </w:r>
      <w:r w:rsidR="00E36A86" w:rsidRPr="009257C7">
        <w:t xml:space="preserve">la </w:t>
      </w:r>
      <w:r w:rsidRPr="009257C7">
        <w:t>propagación UIT-R P.1812. Esta herramienta, que actualmente utiliza datos de elevación SRTM3 (90</w:t>
      </w:r>
      <w:r w:rsidR="00136C49" w:rsidRPr="009257C7">
        <w:t> </w:t>
      </w:r>
      <w:r w:rsidRPr="009257C7">
        <w:t xml:space="preserve">m), puede ayudar a las administraciones a realizar análisis </w:t>
      </w:r>
      <w:r w:rsidR="00E36A86" w:rsidRPr="009257C7">
        <w:t xml:space="preserve">más precisos </w:t>
      </w:r>
      <w:r w:rsidRPr="009257C7">
        <w:t>de interferencia y cobertura.</w:t>
      </w:r>
    </w:p>
    <w:p w:rsidR="00446E6F" w:rsidRPr="009257C7" w:rsidDel="00C22176" w:rsidRDefault="009E67B0" w:rsidP="00136C49">
      <w:r w:rsidRPr="009257C7">
        <w:t xml:space="preserve">La Oficina también está terminando el proyecto de mejora, </w:t>
      </w:r>
      <w:r w:rsidR="009E5A3E" w:rsidRPr="009257C7">
        <w:t xml:space="preserve">mediante la </w:t>
      </w:r>
      <w:r w:rsidRPr="009257C7">
        <w:t>utiliza</w:t>
      </w:r>
      <w:r w:rsidR="009E5A3E" w:rsidRPr="009257C7">
        <w:t>ción de tecnología MVC más ligera</w:t>
      </w:r>
      <w:r w:rsidRPr="009257C7">
        <w:t xml:space="preserve"> y la generalización de las herramientas en línea para todos los servicios terrenales. La Oficina está </w:t>
      </w:r>
      <w:r w:rsidR="009E5A3E" w:rsidRPr="009257C7">
        <w:t>realizando pruebas beta del sistema</w:t>
      </w:r>
      <w:r w:rsidRPr="009257C7">
        <w:t xml:space="preserve">. </w:t>
      </w:r>
      <w:r w:rsidR="009E5A3E" w:rsidRPr="009257C7">
        <w:t xml:space="preserve">En el marco del </w:t>
      </w:r>
      <w:r w:rsidRPr="009257C7">
        <w:t xml:space="preserve">proyecto, se </w:t>
      </w:r>
      <w:r w:rsidR="009E5A3E" w:rsidRPr="009257C7">
        <w:t xml:space="preserve">ha establecido un </w:t>
      </w:r>
      <w:r w:rsidRPr="009257C7">
        <w:t xml:space="preserve">banco de pruebas </w:t>
      </w:r>
      <w:r w:rsidR="009E5A3E" w:rsidRPr="009257C7">
        <w:t xml:space="preserve">que permitirá </w:t>
      </w:r>
      <w:r w:rsidRPr="009257C7">
        <w:t xml:space="preserve">asegurar que la aplicación web pueda soportar una carga de cientos de usuarios con un rendimiento aceptable. La Oficina espera </w:t>
      </w:r>
      <w:r w:rsidR="00617420" w:rsidRPr="009257C7">
        <w:t xml:space="preserve">iniciar la fase de </w:t>
      </w:r>
      <w:r w:rsidRPr="009257C7">
        <w:t xml:space="preserve">producción </w:t>
      </w:r>
      <w:r w:rsidR="00617420" w:rsidRPr="009257C7">
        <w:t xml:space="preserve">de </w:t>
      </w:r>
      <w:r w:rsidRPr="009257C7">
        <w:t>esas herramientas en septiembre de 2019.</w:t>
      </w:r>
      <w:bookmarkStart w:id="49" w:name="_Toc446060772"/>
    </w:p>
    <w:p w:rsidR="00E7660B" w:rsidRPr="009257C7" w:rsidRDefault="00411AB4" w:rsidP="00E7660B">
      <w:pPr>
        <w:pStyle w:val="Heading2"/>
      </w:pPr>
      <w:r w:rsidRPr="009257C7">
        <w:t>8</w:t>
      </w:r>
      <w:r w:rsidR="00E7660B" w:rsidRPr="009257C7">
        <w:t>.3</w:t>
      </w:r>
      <w:r w:rsidR="00E7660B" w:rsidRPr="009257C7">
        <w:tab/>
      </w:r>
      <w:bookmarkEnd w:id="49"/>
      <w:r w:rsidR="00E7660B" w:rsidRPr="009257C7">
        <w:t>Otros desarrollos</w:t>
      </w:r>
    </w:p>
    <w:p w:rsidR="00E7660B" w:rsidRPr="009257C7" w:rsidRDefault="00411AB4" w:rsidP="00E7660B">
      <w:pPr>
        <w:pStyle w:val="Heading3"/>
      </w:pPr>
      <w:bookmarkStart w:id="50" w:name="_Toc444689399"/>
      <w:bookmarkStart w:id="51" w:name="_Toc446060773"/>
      <w:r w:rsidRPr="009257C7">
        <w:t>8</w:t>
      </w:r>
      <w:r w:rsidR="00E7660B" w:rsidRPr="009257C7">
        <w:t>.3.1</w:t>
      </w:r>
      <w:r w:rsidR="00E7660B" w:rsidRPr="009257C7">
        <w:tab/>
      </w:r>
      <w:bookmarkEnd w:id="46"/>
      <w:bookmarkEnd w:id="50"/>
      <w:bookmarkEnd w:id="51"/>
      <w:r w:rsidR="00E7660B" w:rsidRPr="009257C7">
        <w:t>Progresos en el cumplimiento de la hoja de ruta de los sistemas de información espacial de la BR (GAR-19, 2012)</w:t>
      </w:r>
    </w:p>
    <w:p w:rsidR="00E7660B" w:rsidRPr="009257C7" w:rsidRDefault="00E7660B" w:rsidP="00A0750C">
      <w:r w:rsidRPr="009257C7">
        <w:t>En</w:t>
      </w:r>
      <w:r w:rsidR="00A0750C" w:rsidRPr="009257C7">
        <w:t xml:space="preserve"> </w:t>
      </w:r>
      <w:r w:rsidR="00B72AFD" w:rsidRPr="009257C7">
        <w:t>2018</w:t>
      </w:r>
      <w:r w:rsidRPr="009257C7">
        <w:t>, la BR tuvo que modificar urgentemente el software tradicional existente a fin de mejorar</w:t>
      </w:r>
      <w:r w:rsidR="00A0750C" w:rsidRPr="009257C7">
        <w:t xml:space="preserve"> </w:t>
      </w:r>
      <w:r w:rsidR="00617420" w:rsidRPr="009257C7">
        <w:t xml:space="preserve">la implantación del software </w:t>
      </w:r>
      <w:r w:rsidRPr="009257C7">
        <w:t>de las aplicaciones</w:t>
      </w:r>
      <w:r w:rsidR="00B72AFD" w:rsidRPr="009257C7">
        <w:t xml:space="preserve">. </w:t>
      </w:r>
      <w:r w:rsidR="00617420" w:rsidRPr="009257C7">
        <w:t>Concretamente, la BR se ha esforzado por facilit</w:t>
      </w:r>
      <w:r w:rsidR="0069735D" w:rsidRPr="009257C7">
        <w:t>ar la instalación del s</w:t>
      </w:r>
      <w:r w:rsidR="00617420" w:rsidRPr="009257C7">
        <w:t xml:space="preserve">oftware espacial de la BR, o incluso para hacer posible </w:t>
      </w:r>
      <w:r w:rsidR="00E36A86" w:rsidRPr="009257C7">
        <w:t>su</w:t>
      </w:r>
      <w:r w:rsidR="00617420" w:rsidRPr="009257C7">
        <w:t xml:space="preserve"> uso sin necesidad de instalarlo. Est</w:t>
      </w:r>
      <w:r w:rsidR="00E36A86" w:rsidRPr="009257C7">
        <w:t>as opciones se sometieron a pruebas internas y</w:t>
      </w:r>
      <w:r w:rsidR="00617420" w:rsidRPr="009257C7">
        <w:t xml:space="preserve"> con la colaboración de los delegados que asistieron a los talleres espaciales del SMR-18. Esta labor se ha realizado en el marco de la preparación de </w:t>
      </w:r>
      <w:r w:rsidR="00E36A86" w:rsidRPr="009257C7">
        <w:t xml:space="preserve">una serie </w:t>
      </w:r>
      <w:r w:rsidR="0054336C" w:rsidRPr="009257C7">
        <w:t xml:space="preserve">totalmente nueva </w:t>
      </w:r>
      <w:r w:rsidR="00E36A86" w:rsidRPr="009257C7">
        <w:t>de instalación</w:t>
      </w:r>
      <w:r w:rsidR="00A0750C" w:rsidRPr="009257C7">
        <w:t xml:space="preserve"> </w:t>
      </w:r>
      <w:r w:rsidRPr="009257C7">
        <w:t>de</w:t>
      </w:r>
      <w:r w:rsidR="0054336C" w:rsidRPr="009257C7">
        <w:t>l software espacial de la BR</w:t>
      </w:r>
      <w:r w:rsidRPr="009257C7">
        <w:t xml:space="preserve"> </w:t>
      </w:r>
      <w:r w:rsidR="0054336C" w:rsidRPr="009257C7">
        <w:t>que estará disponible en el segundo trimes</w:t>
      </w:r>
      <w:r w:rsidR="00A0750C" w:rsidRPr="009257C7">
        <w:t>tre de 2019 y</w:t>
      </w:r>
      <w:r w:rsidRPr="009257C7">
        <w:t xml:space="preserve"> que</w:t>
      </w:r>
      <w:r w:rsidR="00B72AFD" w:rsidRPr="009257C7">
        <w:t xml:space="preserve"> </w:t>
      </w:r>
      <w:r w:rsidR="0054336C" w:rsidRPr="009257C7">
        <w:t>facilitará la tarea de i</w:t>
      </w:r>
      <w:r w:rsidR="0069735D" w:rsidRPr="009257C7">
        <w:t>nstalación</w:t>
      </w:r>
      <w:r w:rsidR="0054336C" w:rsidRPr="009257C7">
        <w:t xml:space="preserve"> del software espacial de la BR en las computadoras de los usuarios finales para los departamentos de informática (administraciones, operadores de satélite)</w:t>
      </w:r>
      <w:r w:rsidR="00B72AFD" w:rsidRPr="009257C7">
        <w:t>.</w:t>
      </w:r>
    </w:p>
    <w:p w:rsidR="00E7660B" w:rsidRPr="009257C7" w:rsidRDefault="0054336C" w:rsidP="00042D90">
      <w:r w:rsidRPr="009257C7">
        <w:t>Asimismo</w:t>
      </w:r>
      <w:r w:rsidR="00E7660B" w:rsidRPr="009257C7">
        <w:t xml:space="preserve">, la BR </w:t>
      </w:r>
      <w:r w:rsidRPr="009257C7">
        <w:t>siguió adelante con la implantación d</w:t>
      </w:r>
      <w:r w:rsidR="00E7660B" w:rsidRPr="009257C7">
        <w:t>el software de examen de la DFP para redes no OSG, con mayor prioridad que el rediseño del software tradicional para exámenes de la DFP de redes OSG.</w:t>
      </w:r>
    </w:p>
    <w:p w:rsidR="00E7660B" w:rsidRPr="009257C7" w:rsidRDefault="0054336C">
      <w:r w:rsidRPr="009257C7">
        <w:t xml:space="preserve">Por consiguiente, </w:t>
      </w:r>
      <w:r w:rsidR="00E7660B" w:rsidRPr="009257C7">
        <w:t>la BR no pudo dedicar plenamente recursos a la realización de todas las mejoras propuestas a los sistemas de información espacial de la BR, como se describe en el Anexo 1 al presente documento.</w:t>
      </w:r>
    </w:p>
    <w:p w:rsidR="00E7660B" w:rsidRPr="009257C7" w:rsidRDefault="00657D74" w:rsidP="007A03BB">
      <w:pPr>
        <w:pStyle w:val="Heading3"/>
      </w:pPr>
      <w:r w:rsidRPr="009257C7">
        <w:t>8</w:t>
      </w:r>
      <w:r w:rsidR="00E7660B" w:rsidRPr="009257C7">
        <w:t>.3.2</w:t>
      </w:r>
      <w:r w:rsidR="00E7660B" w:rsidRPr="009257C7">
        <w:tab/>
        <w:t>Migración de las lista</w:t>
      </w:r>
      <w:r w:rsidR="007A03BB" w:rsidRPr="009257C7">
        <w:t>s</w:t>
      </w:r>
      <w:r w:rsidR="00E7660B" w:rsidRPr="009257C7">
        <w:t xml:space="preserve"> de distribución de las Comisiones de Estudio a una plataforma moderna de distribución de correo electrónico</w:t>
      </w:r>
    </w:p>
    <w:p w:rsidR="00E7660B" w:rsidRPr="009257C7" w:rsidRDefault="00657D74">
      <w:r w:rsidRPr="009257C7">
        <w:t>La</w:t>
      </w:r>
      <w:r w:rsidR="00E7660B" w:rsidRPr="009257C7">
        <w:t xml:space="preserve"> BR ha rediseñado las páginas autoservicio de listas de distribución </w:t>
      </w:r>
      <w:r w:rsidR="0054336C" w:rsidRPr="009257C7">
        <w:t xml:space="preserve">(tanto para listas activas como para listas que se han disuelto/archivado). </w:t>
      </w:r>
      <w:r w:rsidR="004D3860" w:rsidRPr="009257C7">
        <w:t xml:space="preserve">Si bien el </w:t>
      </w:r>
      <w:r w:rsidR="0054336C" w:rsidRPr="009257C7">
        <w:t xml:space="preserve">despliegue de esta nueva solución se </w:t>
      </w:r>
      <w:r w:rsidR="0054336C" w:rsidRPr="009257C7">
        <w:lastRenderedPageBreak/>
        <w:t>retrasó en 2018,</w:t>
      </w:r>
      <w:r w:rsidR="004D3860" w:rsidRPr="009257C7">
        <w:t xml:space="preserve"> estas </w:t>
      </w:r>
      <w:r w:rsidR="00E7660B" w:rsidRPr="009257C7">
        <w:t>páginas autoservicio modernas se pondrán a disposición de los delegados en el primer trimestre de</w:t>
      </w:r>
      <w:r w:rsidR="00213D8B" w:rsidRPr="009257C7">
        <w:t xml:space="preserve"> </w:t>
      </w:r>
      <w:r w:rsidRPr="009257C7">
        <w:t>2019</w:t>
      </w:r>
      <w:r w:rsidR="00E7660B" w:rsidRPr="009257C7">
        <w:t>.</w:t>
      </w:r>
    </w:p>
    <w:p w:rsidR="00592099" w:rsidRPr="009257C7" w:rsidRDefault="00A57D4A" w:rsidP="00A57D4A">
      <w:pPr>
        <w:pStyle w:val="Heading3"/>
        <w:tabs>
          <w:tab w:val="clear" w:pos="794"/>
          <w:tab w:val="left" w:pos="426"/>
        </w:tabs>
        <w:rPr>
          <w:lang w:eastAsia="zh-CN"/>
        </w:rPr>
      </w:pPr>
      <w:bookmarkStart w:id="52" w:name="_Toc446060776"/>
      <w:r w:rsidRPr="009257C7">
        <w:rPr>
          <w:lang w:eastAsia="zh-CN"/>
        </w:rPr>
        <w:t>8.3.3</w:t>
      </w:r>
      <w:r w:rsidR="00592099" w:rsidRPr="009257C7">
        <w:rPr>
          <w:lang w:eastAsia="zh-CN"/>
        </w:rPr>
        <w:tab/>
      </w:r>
      <w:r w:rsidR="004D3860" w:rsidRPr="009257C7">
        <w:rPr>
          <w:lang w:eastAsia="zh-CN"/>
        </w:rPr>
        <w:t xml:space="preserve">Sistemas de </w:t>
      </w:r>
      <w:r w:rsidR="00E57066" w:rsidRPr="009257C7">
        <w:rPr>
          <w:lang w:eastAsia="zh-CN"/>
        </w:rPr>
        <w:t>información</w:t>
      </w:r>
      <w:r w:rsidRPr="009257C7">
        <w:rPr>
          <w:lang w:eastAsia="zh-CN"/>
        </w:rPr>
        <w:t xml:space="preserve"> geográfica (SIG) de la BR</w:t>
      </w:r>
    </w:p>
    <w:p w:rsidR="004D3860" w:rsidRPr="009257C7" w:rsidRDefault="004D3860" w:rsidP="00A57D4A">
      <w:r w:rsidRPr="009257C7">
        <w:t xml:space="preserve">La Oficina prosigue su proyecto de creación de una plataforma común de SIG y de datos, centrándose en las herramientas de código abierto. El Grupo de Tareas Especiales sobre el SIG de la BR </w:t>
      </w:r>
      <w:r w:rsidR="0069735D" w:rsidRPr="009257C7">
        <w:t>fue creado</w:t>
      </w:r>
      <w:r w:rsidRPr="009257C7">
        <w:t xml:space="preserve"> para estudiar las necesidades de la BR y proponer una plataforma común de SIG que se ajuste mejor a las necesidades de la Oficina</w:t>
      </w:r>
      <w:r w:rsidR="0069735D" w:rsidRPr="009257C7">
        <w:t xml:space="preserve">. </w:t>
      </w:r>
      <w:r w:rsidRPr="009257C7">
        <w:t xml:space="preserve">Entre los objetivos para 2019, la Oficina tiene previsto poner en marcha un geoportal que permita el acceso de los Miembros a </w:t>
      </w:r>
      <w:r w:rsidR="0069735D" w:rsidRPr="009257C7">
        <w:t xml:space="preserve">grupos de </w:t>
      </w:r>
      <w:r w:rsidRPr="009257C7">
        <w:t>datos pertinentes (por ejemplo, los datos radiometeorológicos de la Comisión de Estudio 3).</w:t>
      </w:r>
    </w:p>
    <w:p w:rsidR="00592099" w:rsidRPr="009257C7" w:rsidRDefault="0069735D" w:rsidP="00A57D4A">
      <w:r w:rsidRPr="009257C7">
        <w:t xml:space="preserve">En relación con </w:t>
      </w:r>
      <w:r w:rsidR="004D3860" w:rsidRPr="009257C7">
        <w:t xml:space="preserve">las actividades externas </w:t>
      </w:r>
      <w:r w:rsidRPr="009257C7">
        <w:t xml:space="preserve">relativas a </w:t>
      </w:r>
      <w:r w:rsidR="004D3860" w:rsidRPr="009257C7">
        <w:t xml:space="preserve">esta cuestión, se </w:t>
      </w:r>
      <w:r w:rsidRPr="009257C7">
        <w:t>ha venido</w:t>
      </w:r>
      <w:r w:rsidR="004D3860" w:rsidRPr="009257C7">
        <w:t xml:space="preserve"> fortaleciendo la </w:t>
      </w:r>
      <w:r w:rsidR="00DB0020" w:rsidRPr="009257C7">
        <w:t>colaboración c</w:t>
      </w:r>
      <w:r w:rsidR="004D3860" w:rsidRPr="009257C7">
        <w:t>on la Sección de Información Geoespacial de las Naciones Unidas. La BR ta</w:t>
      </w:r>
      <w:r w:rsidR="00DB0020" w:rsidRPr="009257C7">
        <w:t xml:space="preserve">mbién sigue participando en </w:t>
      </w:r>
      <w:r w:rsidR="004D3860" w:rsidRPr="009257C7">
        <w:t>debates con otros organismos pertinentes de las Naciones Unidas para el establecimiento de una red del sistema de las Naciones Unidas para la gestión de la información geoespacial.</w:t>
      </w:r>
    </w:p>
    <w:p w:rsidR="00E7660B" w:rsidRPr="009257C7" w:rsidRDefault="00592099" w:rsidP="00E7660B">
      <w:pPr>
        <w:pStyle w:val="Heading1"/>
      </w:pPr>
      <w:r w:rsidRPr="009257C7">
        <w:t>9</w:t>
      </w:r>
      <w:r w:rsidR="00E7660B" w:rsidRPr="009257C7">
        <w:tab/>
      </w:r>
      <w:bookmarkEnd w:id="52"/>
      <w:r w:rsidR="00E7660B" w:rsidRPr="009257C7">
        <w:t xml:space="preserve">Comunicación con los </w:t>
      </w:r>
      <w:r w:rsidR="00374359" w:rsidRPr="009257C7">
        <w:t>miembros</w:t>
      </w:r>
    </w:p>
    <w:p w:rsidR="00E7660B" w:rsidRPr="009257C7" w:rsidRDefault="00E7660B">
      <w:r w:rsidRPr="009257C7">
        <w:t xml:space="preserve">Las actividades de comunicación comprenden la </w:t>
      </w:r>
      <w:r w:rsidR="00DB0020" w:rsidRPr="009257C7">
        <w:t>divulgación</w:t>
      </w:r>
      <w:r w:rsidR="00E57066" w:rsidRPr="009257C7">
        <w:t xml:space="preserve"> de</w:t>
      </w:r>
      <w:r w:rsidR="00592099" w:rsidRPr="009257C7">
        <w:t xml:space="preserve"> </w:t>
      </w:r>
      <w:r w:rsidRPr="009257C7">
        <w:t xml:space="preserve">información y asistencia a los </w:t>
      </w:r>
      <w:r w:rsidR="00234521" w:rsidRPr="009257C7">
        <w:t>miembros</w:t>
      </w:r>
      <w:r w:rsidRPr="009257C7">
        <w:t xml:space="preserve">, la publicación de los productos del UIT-R, la organización de seminarios y talleres, además de la participación en los mismos, y la elaboración y mantenimiento de herramientas de comunicación y promoción. El objetivo de estas actividades es garantizar que los productos del Sector UIT-R (Reglamentos, Recomendaciones, Informes y Manuales) tienen una difusión mundial y están </w:t>
      </w:r>
      <w:r w:rsidR="00DB0020" w:rsidRPr="009257C7">
        <w:t xml:space="preserve">a disposición </w:t>
      </w:r>
      <w:r w:rsidRPr="009257C7">
        <w:t xml:space="preserve">de los </w:t>
      </w:r>
      <w:r w:rsidR="00234521" w:rsidRPr="009257C7">
        <w:t xml:space="preserve">miembros </w:t>
      </w:r>
      <w:r w:rsidRPr="009257C7">
        <w:t>de la UIT y demás interesados en el espectro; y, además, sirven de base para la formulación de políticas y decisiones en materia de gestión del espectro la utilización de las radiocomunicaciones en general. Para llevar a cabo estas actividades, la BR coopera estrechamente con las demás Oficinas y Sectores, las Oficinas Regionales y de Zona de la UIT, además de las organizaciones internacionales y auto</w:t>
      </w:r>
      <w:r w:rsidR="00234521" w:rsidRPr="009257C7">
        <w:t>ridades nacionales pertinentes.</w:t>
      </w:r>
    </w:p>
    <w:p w:rsidR="00E7660B" w:rsidRPr="009257C7" w:rsidRDefault="00592099" w:rsidP="00E7660B">
      <w:pPr>
        <w:pStyle w:val="Heading2"/>
      </w:pPr>
      <w:bookmarkStart w:id="53" w:name="_Toc418163376"/>
      <w:bookmarkStart w:id="54" w:name="_Toc418232294"/>
      <w:bookmarkStart w:id="55" w:name="_Toc424047595"/>
      <w:bookmarkStart w:id="56" w:name="_Toc446060777"/>
      <w:r w:rsidRPr="009257C7">
        <w:t>9</w:t>
      </w:r>
      <w:r w:rsidR="00E7660B" w:rsidRPr="009257C7">
        <w:t>.1</w:t>
      </w:r>
      <w:r w:rsidR="00E7660B" w:rsidRPr="009257C7">
        <w:tab/>
      </w:r>
      <w:bookmarkEnd w:id="53"/>
      <w:bookmarkEnd w:id="54"/>
      <w:bookmarkEnd w:id="55"/>
      <w:bookmarkEnd w:id="56"/>
      <w:r w:rsidR="00E7660B" w:rsidRPr="009257C7">
        <w:t>Publicaciones</w:t>
      </w:r>
    </w:p>
    <w:p w:rsidR="00E7660B" w:rsidRPr="009257C7" w:rsidRDefault="00592099" w:rsidP="00E7660B">
      <w:pPr>
        <w:pStyle w:val="Heading3"/>
      </w:pPr>
      <w:bookmarkStart w:id="57" w:name="_Toc424047596"/>
      <w:bookmarkStart w:id="58" w:name="_Toc446060778"/>
      <w:r w:rsidRPr="009257C7">
        <w:t>9</w:t>
      </w:r>
      <w:r w:rsidR="00E7660B" w:rsidRPr="009257C7">
        <w:t>.1.1</w:t>
      </w:r>
      <w:r w:rsidR="00E7660B" w:rsidRPr="009257C7">
        <w:tab/>
      </w:r>
      <w:bookmarkEnd w:id="57"/>
      <w:bookmarkEnd w:id="58"/>
      <w:r w:rsidR="00E7660B" w:rsidRPr="009257C7">
        <w:t>Publicaciones reglamentarias</w:t>
      </w:r>
    </w:p>
    <w:p w:rsidR="00E7660B" w:rsidRPr="009257C7" w:rsidRDefault="00E7660B">
      <w:r w:rsidRPr="009257C7">
        <w:t xml:space="preserve">Tras la publicación de la edición de 2016 del Reglamento de Radiocomunicaciones en diciembre de 2016, se publicó la versión refundida de las Reglas de Procedimiento en mayo de 2017. Se </w:t>
      </w:r>
      <w:r w:rsidR="00DB0020" w:rsidRPr="009257C7">
        <w:t>han publicado dos actualizaciones desde entonces (</w:t>
      </w:r>
      <w:r w:rsidRPr="009257C7">
        <w:t>noviembre de 2017</w:t>
      </w:r>
      <w:r w:rsidR="00DB0020" w:rsidRPr="009257C7">
        <w:t xml:space="preserve"> y agosto de 2018)</w:t>
      </w:r>
      <w:r w:rsidRPr="009257C7">
        <w:t>.</w:t>
      </w:r>
    </w:p>
    <w:p w:rsidR="00E7660B" w:rsidRPr="009257C7" w:rsidRDefault="00154C7F" w:rsidP="00E7660B">
      <w:pPr>
        <w:pStyle w:val="Heading3"/>
      </w:pPr>
      <w:bookmarkStart w:id="59" w:name="_Toc424047597"/>
      <w:bookmarkStart w:id="60" w:name="_Toc446060779"/>
      <w:r w:rsidRPr="009257C7">
        <w:t>9</w:t>
      </w:r>
      <w:r w:rsidR="00E7660B" w:rsidRPr="009257C7">
        <w:t>.1.2</w:t>
      </w:r>
      <w:r w:rsidR="00E7660B" w:rsidRPr="009257C7">
        <w:tab/>
      </w:r>
      <w:bookmarkEnd w:id="59"/>
      <w:bookmarkEnd w:id="60"/>
      <w:r w:rsidR="00E7660B" w:rsidRPr="009257C7">
        <w:t>Documentos de servicio</w:t>
      </w:r>
    </w:p>
    <w:p w:rsidR="00E7660B" w:rsidRPr="009257C7" w:rsidRDefault="00E7660B">
      <w:r w:rsidRPr="009257C7">
        <w:t xml:space="preserve">La Oficina elabora y publica </w:t>
      </w:r>
      <w:r w:rsidR="00AE7EF5" w:rsidRPr="009257C7">
        <w:t>los siguientes</w:t>
      </w:r>
      <w:r w:rsidR="00E57066" w:rsidRPr="009257C7">
        <w:t xml:space="preserve"> </w:t>
      </w:r>
      <w:r w:rsidRPr="009257C7">
        <w:t xml:space="preserve">documentos de servicio, </w:t>
      </w:r>
      <w:r w:rsidR="00E6677D" w:rsidRPr="009257C7">
        <w:t>tal como especifica el Articulo </w:t>
      </w:r>
      <w:r w:rsidRPr="009257C7">
        <w:rPr>
          <w:b/>
        </w:rPr>
        <w:t>20</w:t>
      </w:r>
      <w:r w:rsidRPr="009257C7">
        <w:t xml:space="preserve"> del Reglamento de Radiocomunicaciones.</w:t>
      </w:r>
    </w:p>
    <w:p w:rsidR="00154C7F" w:rsidRPr="009257C7" w:rsidRDefault="00F174BE" w:rsidP="00917447">
      <w:pPr>
        <w:pStyle w:val="enumlev1"/>
      </w:pPr>
      <w:r w:rsidRPr="009257C7">
        <w:t>–</w:t>
      </w:r>
      <w:r w:rsidRPr="009257C7">
        <w:tab/>
      </w:r>
      <w:r w:rsidR="00154C7F" w:rsidRPr="009257C7">
        <w:t>List</w:t>
      </w:r>
      <w:r w:rsidR="00AE7EF5" w:rsidRPr="009257C7">
        <w:t>a</w:t>
      </w:r>
      <w:r w:rsidR="00154C7F" w:rsidRPr="009257C7">
        <w:t xml:space="preserve"> I − Lista Internacional de Frecuencias</w:t>
      </w:r>
      <w:r w:rsidR="00917447" w:rsidRPr="009257C7">
        <w:t>.</w:t>
      </w:r>
    </w:p>
    <w:p w:rsidR="00154C7F" w:rsidRPr="009257C7" w:rsidRDefault="00F174BE" w:rsidP="00917447">
      <w:pPr>
        <w:pStyle w:val="enumlev1"/>
      </w:pPr>
      <w:r w:rsidRPr="009257C7">
        <w:t>–</w:t>
      </w:r>
      <w:r w:rsidRPr="009257C7">
        <w:tab/>
      </w:r>
      <w:r w:rsidR="00154C7F" w:rsidRPr="009257C7">
        <w:t>List</w:t>
      </w:r>
      <w:r w:rsidR="00AE7EF5" w:rsidRPr="009257C7">
        <w:t>a</w:t>
      </w:r>
      <w:r w:rsidR="00154C7F" w:rsidRPr="009257C7">
        <w:t xml:space="preserve"> IV − </w:t>
      </w:r>
      <w:r w:rsidR="00E43B9C" w:rsidRPr="009257C7">
        <w:t>Nomenclátor de estaciones costeras y estaciones que efectúan servicios especiales</w:t>
      </w:r>
      <w:r w:rsidR="00917447" w:rsidRPr="009257C7">
        <w:t>.</w:t>
      </w:r>
    </w:p>
    <w:p w:rsidR="00154C7F" w:rsidRPr="009257C7" w:rsidRDefault="00F174BE" w:rsidP="00917447">
      <w:pPr>
        <w:pStyle w:val="enumlev1"/>
      </w:pPr>
      <w:r w:rsidRPr="009257C7">
        <w:t>–</w:t>
      </w:r>
      <w:r w:rsidRPr="009257C7">
        <w:tab/>
      </w:r>
      <w:r w:rsidR="00154C7F" w:rsidRPr="009257C7">
        <w:t>List</w:t>
      </w:r>
      <w:r w:rsidR="00AE7EF5" w:rsidRPr="009257C7">
        <w:t>a</w:t>
      </w:r>
      <w:r w:rsidR="00154C7F" w:rsidRPr="009257C7">
        <w:t xml:space="preserve"> V − </w:t>
      </w:r>
      <w:r w:rsidR="00E43B9C" w:rsidRPr="009257C7">
        <w:t xml:space="preserve">Nomenclátor de las estaciones de barco y asignaciones </w:t>
      </w:r>
      <w:r w:rsidR="00AE7EF5" w:rsidRPr="009257C7">
        <w:t>de</w:t>
      </w:r>
      <w:r w:rsidR="00E43B9C" w:rsidRPr="009257C7">
        <w:t xml:space="preserve"> identidades del servicio móvil marítimo</w:t>
      </w:r>
      <w:r w:rsidR="00917447" w:rsidRPr="009257C7">
        <w:t>.</w:t>
      </w:r>
    </w:p>
    <w:p w:rsidR="00154C7F" w:rsidRPr="009257C7" w:rsidRDefault="00F174BE" w:rsidP="00917447">
      <w:pPr>
        <w:pStyle w:val="enumlev1"/>
      </w:pPr>
      <w:r w:rsidRPr="009257C7">
        <w:t>–</w:t>
      </w:r>
      <w:r w:rsidRPr="009257C7">
        <w:tab/>
      </w:r>
      <w:r w:rsidR="00154C7F" w:rsidRPr="009257C7">
        <w:t>List</w:t>
      </w:r>
      <w:r w:rsidR="00AE7EF5" w:rsidRPr="009257C7">
        <w:t>a</w:t>
      </w:r>
      <w:r w:rsidR="00154C7F" w:rsidRPr="009257C7">
        <w:t xml:space="preserve"> VIII − </w:t>
      </w:r>
      <w:r w:rsidR="00E43B9C" w:rsidRPr="009257C7">
        <w:t>Nomenclátor de las estaciones de comprobación técnica internacional de las emisiones</w:t>
      </w:r>
      <w:r w:rsidR="00917447" w:rsidRPr="009257C7">
        <w:t>.</w:t>
      </w:r>
    </w:p>
    <w:p w:rsidR="00154C7F" w:rsidRPr="009257C7" w:rsidRDefault="00F174BE" w:rsidP="00917447">
      <w:pPr>
        <w:pStyle w:val="enumlev1"/>
      </w:pPr>
      <w:r w:rsidRPr="009257C7">
        <w:t>–</w:t>
      </w:r>
      <w:r w:rsidRPr="009257C7">
        <w:tab/>
      </w:r>
      <w:r w:rsidR="00BC709C" w:rsidRPr="009257C7">
        <w:t>Manual para uso de los servicios móvil marítimo y móvil marítimo por satélite</w:t>
      </w:r>
      <w:r w:rsidR="00917447" w:rsidRPr="009257C7">
        <w:t>.</w:t>
      </w:r>
    </w:p>
    <w:p w:rsidR="00E7660B" w:rsidRPr="009257C7" w:rsidRDefault="00E7660B" w:rsidP="00E7660B">
      <w:bookmarkStart w:id="61" w:name="lt_pId458"/>
      <w:r w:rsidRPr="009257C7">
        <w:lastRenderedPageBreak/>
        <w:t xml:space="preserve">Habida cuenta de la importancia de la información operacional contenida en las publicaciones de servicio de los servicios marítimos, en particular lo relativo a la seguridad, las administraciones tienen la obligación de comunicar las modificaciones realizadas, tal como estipula el número </w:t>
      </w:r>
      <w:r w:rsidRPr="009257C7">
        <w:rPr>
          <w:b/>
        </w:rPr>
        <w:t>20.16</w:t>
      </w:r>
      <w:r w:rsidRPr="009257C7">
        <w:t xml:space="preserve"> del RR. No obstante, debe señalarse que sigue existiendo la preocupación expresada en reuniones anteriores del GAR sobre el hecho de que las administraciones no siempre proporcionan a la Oficina actualizaciones periódicas de la información pertinente.</w:t>
      </w:r>
      <w:bookmarkEnd w:id="61"/>
    </w:p>
    <w:p w:rsidR="00E7660B" w:rsidRPr="009257C7" w:rsidRDefault="00E7660B" w:rsidP="00E7660B">
      <w:bookmarkStart w:id="62" w:name="lt_pId459"/>
      <w:r w:rsidRPr="009257C7">
        <w:t>Además, la información contenida en las publicaciones de servicio de los servicios marítimos, en particular el Nomenclátor de las estaciones de barco y de las asignaciones a identidades del servicio móvil marítimo (Lista V) también se utiliza para otros procedimientos administrativos (por ejemplo, la admisibilidad para cifras de identidad marítima (MID) adicionales).</w:t>
      </w:r>
      <w:bookmarkEnd w:id="62"/>
    </w:p>
    <w:p w:rsidR="00E7660B" w:rsidRPr="009257C7" w:rsidRDefault="00BC709C">
      <w:pPr>
        <w:pStyle w:val="Heading4"/>
      </w:pPr>
      <w:r w:rsidRPr="009257C7">
        <w:t>9</w:t>
      </w:r>
      <w:r w:rsidR="00E7660B" w:rsidRPr="009257C7">
        <w:t>.1.2.</w:t>
      </w:r>
      <w:r w:rsidRPr="009257C7">
        <w:t>1</w:t>
      </w:r>
      <w:r w:rsidR="00E7660B" w:rsidRPr="009257C7">
        <w:tab/>
        <w:t>Nomenclátor de estaciones costeras y estaciones de servicios especiales (Lista IV)</w:t>
      </w:r>
    </w:p>
    <w:p w:rsidR="00BC709C" w:rsidRPr="009257C7" w:rsidRDefault="00AE7EF5">
      <w:r w:rsidRPr="009257C7">
        <w:t>No se ha preparado ninguna edición de la Lista IV desde la reunión del GAR de 2018</w:t>
      </w:r>
      <w:r w:rsidR="00A870CB" w:rsidRPr="009257C7">
        <w:t>.</w:t>
      </w:r>
    </w:p>
    <w:p w:rsidR="00E7660B" w:rsidRPr="009257C7" w:rsidRDefault="00E7660B">
      <w:pPr>
        <w:rPr>
          <w:szCs w:val="24"/>
        </w:rPr>
      </w:pPr>
      <w:bookmarkStart w:id="63" w:name="lt_pId464"/>
      <w:r w:rsidRPr="009257C7">
        <w:t xml:space="preserve">La información sobre </w:t>
      </w:r>
      <w:r w:rsidR="00AE7EF5" w:rsidRPr="009257C7">
        <w:t xml:space="preserve">la edición de 2017 de </w:t>
      </w:r>
      <w:r w:rsidRPr="009257C7">
        <w:t>esta Lista está disponible a través del sistema de información en línea de la UIT de acceso y consulta de la base de datos del servicio móvil marítimo (MARS).</w:t>
      </w:r>
      <w:bookmarkEnd w:id="63"/>
      <w:r w:rsidRPr="009257C7">
        <w:t xml:space="preserve"> </w:t>
      </w:r>
      <w:bookmarkStart w:id="64" w:name="lt_pId465"/>
      <w:r w:rsidRPr="009257C7">
        <w:t>Además, la Oficina sigue publicando cada seis meses una compilación de todos los cambios notificados a la UIT durante ese periodo</w:t>
      </w:r>
      <w:r w:rsidRPr="009257C7">
        <w:rPr>
          <w:szCs w:val="24"/>
        </w:rPr>
        <w:t>.</w:t>
      </w:r>
      <w:bookmarkEnd w:id="64"/>
    </w:p>
    <w:p w:rsidR="00E7660B" w:rsidRPr="009257C7" w:rsidRDefault="00BC709C">
      <w:pPr>
        <w:pStyle w:val="Heading4"/>
      </w:pPr>
      <w:r w:rsidRPr="009257C7">
        <w:t>9</w:t>
      </w:r>
      <w:r w:rsidR="00E7660B" w:rsidRPr="009257C7">
        <w:t>.1.2.</w:t>
      </w:r>
      <w:r w:rsidRPr="009257C7">
        <w:t>2</w:t>
      </w:r>
      <w:r w:rsidR="00E7660B" w:rsidRPr="009257C7">
        <w:tab/>
        <w:t xml:space="preserve">Nomenclátor de las estaciones de barco y asignaciones </w:t>
      </w:r>
      <w:r w:rsidR="00AE7EF5" w:rsidRPr="009257C7">
        <w:t>de</w:t>
      </w:r>
      <w:r w:rsidR="00E7660B" w:rsidRPr="009257C7">
        <w:t xml:space="preserve"> identidades del servicio móvil marítimo (Lista V)</w:t>
      </w:r>
    </w:p>
    <w:p w:rsidR="00E7660B" w:rsidRPr="009257C7" w:rsidRDefault="00AE7EF5">
      <w:bookmarkStart w:id="65" w:name="lt_pId468"/>
      <w:r w:rsidRPr="009257C7">
        <w:t>Se elaboró una edición de la Lista V en abril de 2018.</w:t>
      </w:r>
      <w:r w:rsidR="00E57066" w:rsidRPr="009257C7">
        <w:t xml:space="preserve"> </w:t>
      </w:r>
      <w:r w:rsidR="00E7660B" w:rsidRPr="009257C7">
        <w:t>La Lista está compuesta de un folleto en papel que contiene el Prefacio y los Cuadros de Referencia y un CD</w:t>
      </w:r>
      <w:r w:rsidR="00E7660B" w:rsidRPr="009257C7">
        <w:noBreakHyphen/>
        <w:t>ROM donde figura el contenido del folleto y la información notificada a la BR sobre estaciones de barco, aeronaves de búsqueda y salvamento (SAR) a las que se ha asignado una MMSI, etc.</w:t>
      </w:r>
      <w:bookmarkEnd w:id="65"/>
    </w:p>
    <w:p w:rsidR="00E7660B" w:rsidRPr="009257C7" w:rsidRDefault="00E7660B" w:rsidP="00E7660B">
      <w:bookmarkStart w:id="66" w:name="lt_pId470"/>
      <w:r w:rsidRPr="009257C7">
        <w:t>La información sobre esta Lista también está disponible diariamente a través del sistema de información en línea de la UIT de acceso y consulta de la base de datos del servicio móvil marítimo (MARS). La compilación de todos los cambios notificados a la UIT sigue estando disponible cada tres meses a través del sistema MARS de la UIT</w:t>
      </w:r>
      <w:bookmarkStart w:id="67" w:name="lt_pId471"/>
      <w:bookmarkEnd w:id="66"/>
      <w:r w:rsidRPr="009257C7">
        <w:rPr>
          <w:szCs w:val="24"/>
        </w:rPr>
        <w:t>.</w:t>
      </w:r>
      <w:bookmarkEnd w:id="67"/>
    </w:p>
    <w:p w:rsidR="00E7660B" w:rsidRPr="009257C7" w:rsidRDefault="00BC709C">
      <w:pPr>
        <w:pStyle w:val="Heading4"/>
      </w:pPr>
      <w:r w:rsidRPr="009257C7">
        <w:t>9</w:t>
      </w:r>
      <w:r w:rsidR="00E7660B" w:rsidRPr="009257C7">
        <w:t>.1.2.</w:t>
      </w:r>
      <w:r w:rsidRPr="009257C7">
        <w:t>3</w:t>
      </w:r>
      <w:r w:rsidR="00E7660B" w:rsidRPr="009257C7">
        <w:tab/>
        <w:t>Nomenclátor de las estaciones de comprobación técnica internaciona</w:t>
      </w:r>
      <w:r w:rsidR="0059241F" w:rsidRPr="009257C7">
        <w:t>l de las emisiones (Lista VIII)</w:t>
      </w:r>
    </w:p>
    <w:p w:rsidR="00BC709C" w:rsidRPr="009257C7" w:rsidRDefault="00AE7EF5" w:rsidP="0059241F">
      <w:pPr>
        <w:rPr>
          <w:bCs/>
        </w:rPr>
      </w:pPr>
      <w:r w:rsidRPr="009257C7">
        <w:t>No se ha preparado ninguna edición de esta Lista desde la reunión del GAR de 2018</w:t>
      </w:r>
      <w:r w:rsidR="0021049C" w:rsidRPr="009257C7">
        <w:t xml:space="preserve">. </w:t>
      </w:r>
      <w:r w:rsidRPr="009257C7">
        <w:t xml:space="preserve">La </w:t>
      </w:r>
      <w:r w:rsidR="003403CF" w:rsidRPr="009257C7">
        <w:t>última</w:t>
      </w:r>
      <w:r w:rsidRPr="009257C7">
        <w:t xml:space="preserve"> edición </w:t>
      </w:r>
      <w:r w:rsidR="003403CF" w:rsidRPr="009257C7">
        <w:t xml:space="preserve">de 2016 de esta Lista </w:t>
      </w:r>
      <w:r w:rsidR="0021049C" w:rsidRPr="009257C7">
        <w:t>contiene las direcciones y demás informaciones pertinentes de las oficinas centralizadoras, y detalles de las estaciones de comprobación técnica que miden emisiones terrenales y espaciales. Los miembros de la UIT (TIES) exclusivamente disponen de un servicio gratuito de telecarga directa.</w:t>
      </w:r>
    </w:p>
    <w:p w:rsidR="00E7660B" w:rsidRPr="009257C7" w:rsidRDefault="0021049C">
      <w:pPr>
        <w:pStyle w:val="Heading4"/>
      </w:pPr>
      <w:r w:rsidRPr="009257C7">
        <w:t>9</w:t>
      </w:r>
      <w:r w:rsidR="00E7660B" w:rsidRPr="009257C7">
        <w:t>.1.2.</w:t>
      </w:r>
      <w:r w:rsidRPr="009257C7">
        <w:t>4</w:t>
      </w:r>
      <w:r w:rsidR="00E7660B" w:rsidRPr="009257C7">
        <w:tab/>
        <w:t>Lista de documentos de servicio publicados</w:t>
      </w:r>
    </w:p>
    <w:p w:rsidR="00E7660B" w:rsidRPr="009257C7" w:rsidRDefault="00E7660B">
      <w:bookmarkStart w:id="68" w:name="_Toc418163378"/>
      <w:bookmarkStart w:id="69" w:name="_Toc418232296"/>
      <w:bookmarkStart w:id="70" w:name="_Toc424047598"/>
      <w:bookmarkStart w:id="71" w:name="_Toc446060780"/>
      <w:r w:rsidRPr="009257C7">
        <w:t xml:space="preserve">En el Cuadro </w:t>
      </w:r>
      <w:r w:rsidR="0021049C" w:rsidRPr="009257C7">
        <w:t>9</w:t>
      </w:r>
      <w:r w:rsidRPr="009257C7">
        <w:t xml:space="preserve">.1.2.5-1 se resumen las publicaciones elaboradas y publicadas durante el periodo </w:t>
      </w:r>
      <w:r w:rsidR="004E35B9" w:rsidRPr="009257C7">
        <w:t>2015-2018:</w:t>
      </w:r>
    </w:p>
    <w:p w:rsidR="00A21CA0" w:rsidRPr="009257C7" w:rsidRDefault="00A21CA0">
      <w:r w:rsidRPr="009257C7">
        <w:br w:type="page"/>
      </w:r>
    </w:p>
    <w:p w:rsidR="00E7660B" w:rsidRPr="009257C7" w:rsidRDefault="00E7660B" w:rsidP="00DF1AD3">
      <w:pPr>
        <w:pStyle w:val="TableNoBR"/>
      </w:pPr>
      <w:r w:rsidRPr="009257C7">
        <w:lastRenderedPageBreak/>
        <w:t xml:space="preserve">CUADRO </w:t>
      </w:r>
      <w:r w:rsidR="0021049C" w:rsidRPr="009257C7">
        <w:t>9</w:t>
      </w:r>
      <w:r w:rsidRPr="009257C7">
        <w:t>.1.2.5-1</w:t>
      </w:r>
    </w:p>
    <w:p w:rsidR="00E7660B" w:rsidRPr="009257C7" w:rsidRDefault="00E7660B">
      <w:pPr>
        <w:pStyle w:val="TabletitleBR"/>
      </w:pPr>
      <w:r w:rsidRPr="009257C7">
        <w:t xml:space="preserve">Información resumida sobre los documentos de servicio </w:t>
      </w:r>
      <w:r w:rsidR="00A21CA0" w:rsidRPr="009257C7">
        <w:br/>
      </w:r>
      <w:r w:rsidRPr="009257C7">
        <w:t xml:space="preserve">publicados en el periodo </w:t>
      </w:r>
      <w:r w:rsidR="0021049C" w:rsidRPr="009257C7">
        <w:t>2015-2018</w:t>
      </w:r>
    </w:p>
    <w:tbl>
      <w:tblPr>
        <w:tblW w:w="88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940"/>
        <w:gridCol w:w="1313"/>
        <w:gridCol w:w="1417"/>
        <w:gridCol w:w="1560"/>
        <w:gridCol w:w="1629"/>
      </w:tblGrid>
      <w:tr w:rsidR="00E7660B" w:rsidRPr="009257C7" w:rsidTr="00A21CA0">
        <w:trPr>
          <w:jc w:val="center"/>
        </w:trPr>
        <w:tc>
          <w:tcPr>
            <w:tcW w:w="2940" w:type="dxa"/>
            <w:tcBorders>
              <w:top w:val="nil"/>
              <w:left w:val="nil"/>
              <w:bottom w:val="single" w:sz="4" w:space="0" w:color="auto"/>
              <w:right w:val="single" w:sz="4" w:space="0" w:color="auto"/>
            </w:tcBorders>
            <w:vAlign w:val="center"/>
          </w:tcPr>
          <w:p w:rsidR="00E7660B" w:rsidRPr="009257C7" w:rsidRDefault="00E7660B" w:rsidP="00E7660B">
            <w:pPr>
              <w:tabs>
                <w:tab w:val="clear" w:pos="794"/>
                <w:tab w:val="clear" w:pos="1191"/>
                <w:tab w:val="clear" w:pos="1588"/>
                <w:tab w:val="clear" w:pos="1985"/>
              </w:tabs>
              <w:overflowPunct/>
              <w:autoSpaceDE/>
              <w:autoSpaceDN/>
              <w:adjustRightInd/>
              <w:spacing w:before="0" w:after="160"/>
              <w:jc w:val="center"/>
              <w:textAlignment w:val="auto"/>
              <w:rPr>
                <w:rFonts w:eastAsia="SimSun"/>
                <w:szCs w:val="24"/>
                <w:lang w:eastAsia="zh-CN"/>
              </w:rPr>
            </w:pPr>
          </w:p>
        </w:tc>
        <w:tc>
          <w:tcPr>
            <w:tcW w:w="1313" w:type="dxa"/>
            <w:tcBorders>
              <w:top w:val="single" w:sz="4" w:space="0" w:color="auto"/>
              <w:left w:val="single" w:sz="4" w:space="0" w:color="auto"/>
              <w:bottom w:val="single" w:sz="4" w:space="0" w:color="auto"/>
            </w:tcBorders>
            <w:vAlign w:val="center"/>
          </w:tcPr>
          <w:p w:rsidR="00E7660B" w:rsidRPr="009257C7" w:rsidRDefault="00DF1AD3" w:rsidP="00513575">
            <w:pPr>
              <w:pStyle w:val="Tablehead"/>
              <w:rPr>
                <w:rFonts w:eastAsia="SimSun"/>
                <w:szCs w:val="22"/>
                <w:lang w:eastAsia="zh-CN"/>
              </w:rPr>
            </w:pPr>
            <w:r w:rsidRPr="009257C7">
              <w:rPr>
                <w:rFonts w:eastAsia="SimSun"/>
              </w:rPr>
              <w:t>2015</w:t>
            </w:r>
          </w:p>
        </w:tc>
        <w:tc>
          <w:tcPr>
            <w:tcW w:w="1417" w:type="dxa"/>
            <w:tcBorders>
              <w:top w:val="single" w:sz="4" w:space="0" w:color="auto"/>
              <w:bottom w:val="single" w:sz="4" w:space="0" w:color="auto"/>
            </w:tcBorders>
            <w:vAlign w:val="center"/>
          </w:tcPr>
          <w:p w:rsidR="00E7660B" w:rsidRPr="009257C7" w:rsidRDefault="00DF1AD3" w:rsidP="00513575">
            <w:pPr>
              <w:pStyle w:val="Tablehead"/>
              <w:rPr>
                <w:rFonts w:eastAsia="SimSun"/>
                <w:szCs w:val="22"/>
                <w:lang w:eastAsia="zh-CN"/>
              </w:rPr>
            </w:pPr>
            <w:r w:rsidRPr="009257C7">
              <w:rPr>
                <w:rFonts w:eastAsia="SimSun"/>
              </w:rPr>
              <w:t>2016</w:t>
            </w:r>
          </w:p>
        </w:tc>
        <w:tc>
          <w:tcPr>
            <w:tcW w:w="1560" w:type="dxa"/>
            <w:tcBorders>
              <w:top w:val="single" w:sz="4" w:space="0" w:color="auto"/>
              <w:bottom w:val="single" w:sz="4" w:space="0" w:color="auto"/>
              <w:right w:val="single" w:sz="4" w:space="0" w:color="auto"/>
            </w:tcBorders>
            <w:vAlign w:val="center"/>
          </w:tcPr>
          <w:p w:rsidR="00E7660B" w:rsidRPr="009257C7" w:rsidRDefault="00DF1AD3" w:rsidP="00513575">
            <w:pPr>
              <w:pStyle w:val="Tablehead"/>
              <w:rPr>
                <w:rFonts w:eastAsia="SimSun"/>
                <w:szCs w:val="22"/>
                <w:lang w:eastAsia="zh-CN"/>
              </w:rPr>
            </w:pPr>
            <w:r w:rsidRPr="009257C7">
              <w:rPr>
                <w:rFonts w:eastAsia="SimSun"/>
              </w:rPr>
              <w:t>2017</w:t>
            </w:r>
          </w:p>
        </w:tc>
        <w:tc>
          <w:tcPr>
            <w:tcW w:w="1629" w:type="dxa"/>
            <w:tcBorders>
              <w:top w:val="single" w:sz="4" w:space="0" w:color="auto"/>
              <w:bottom w:val="single" w:sz="4" w:space="0" w:color="auto"/>
              <w:right w:val="single" w:sz="4" w:space="0" w:color="auto"/>
            </w:tcBorders>
            <w:vAlign w:val="center"/>
          </w:tcPr>
          <w:p w:rsidR="00E7660B" w:rsidRPr="009257C7" w:rsidRDefault="00DF1AD3" w:rsidP="00513575">
            <w:pPr>
              <w:pStyle w:val="Tablehead"/>
              <w:rPr>
                <w:rFonts w:eastAsia="SimSun"/>
                <w:szCs w:val="22"/>
                <w:lang w:eastAsia="zh-CN"/>
              </w:rPr>
            </w:pPr>
            <w:r w:rsidRPr="009257C7">
              <w:rPr>
                <w:rFonts w:eastAsia="SimSun"/>
                <w:szCs w:val="24"/>
                <w:lang w:eastAsia="zh-CN"/>
              </w:rPr>
              <w:t>2018</w:t>
            </w:r>
          </w:p>
        </w:tc>
      </w:tr>
      <w:tr w:rsidR="00E7660B" w:rsidRPr="009257C7" w:rsidTr="00586164">
        <w:trPr>
          <w:cantSplit/>
          <w:jc w:val="center"/>
        </w:trPr>
        <w:tc>
          <w:tcPr>
            <w:tcW w:w="2940" w:type="dxa"/>
            <w:tcBorders>
              <w:left w:val="single" w:sz="4" w:space="0" w:color="auto"/>
              <w:bottom w:val="single" w:sz="4" w:space="0" w:color="auto"/>
            </w:tcBorders>
          </w:tcPr>
          <w:p w:rsidR="00E7660B" w:rsidRPr="009257C7" w:rsidRDefault="00E7660B" w:rsidP="00513575">
            <w:pPr>
              <w:pStyle w:val="Tabletext"/>
            </w:pPr>
            <w:r w:rsidRPr="009257C7">
              <w:t>Lista IV (Nomenclátor de estaciones costeras y estaciones de servicios especiales)</w:t>
            </w:r>
          </w:p>
        </w:tc>
        <w:tc>
          <w:tcPr>
            <w:tcW w:w="1313" w:type="dxa"/>
            <w:tcBorders>
              <w:bottom w:val="single" w:sz="4" w:space="0" w:color="auto"/>
            </w:tcBorders>
          </w:tcPr>
          <w:p w:rsidR="00E7660B" w:rsidRPr="009257C7" w:rsidRDefault="00DF1AD3" w:rsidP="00586164">
            <w:pPr>
              <w:pStyle w:val="Tabletext"/>
              <w:jc w:val="center"/>
              <w:rPr>
                <w:rFonts w:eastAsia="SimSun"/>
                <w:szCs w:val="22"/>
                <w:lang w:eastAsia="zh-CN"/>
              </w:rPr>
            </w:pPr>
            <w:r w:rsidRPr="009257C7">
              <w:rPr>
                <w:rFonts w:eastAsia="SimSun"/>
                <w:szCs w:val="22"/>
                <w:lang w:eastAsia="zh-CN"/>
              </w:rPr>
              <w:t>Edición de 2015</w:t>
            </w:r>
            <w:r w:rsidRPr="009257C7">
              <w:rPr>
                <w:rFonts w:eastAsia="SimSun"/>
                <w:szCs w:val="22"/>
                <w:lang w:eastAsia="zh-CN"/>
              </w:rPr>
              <w:br/>
              <w:t>(noviembre)</w:t>
            </w:r>
          </w:p>
        </w:tc>
        <w:tc>
          <w:tcPr>
            <w:tcW w:w="1417" w:type="dxa"/>
            <w:tcBorders>
              <w:bottom w:val="single" w:sz="4" w:space="0" w:color="auto"/>
            </w:tcBorders>
          </w:tcPr>
          <w:p w:rsidR="00E7660B" w:rsidRPr="009257C7" w:rsidRDefault="00586164" w:rsidP="00586164">
            <w:pPr>
              <w:pStyle w:val="Tabletext"/>
              <w:jc w:val="center"/>
              <w:rPr>
                <w:rFonts w:eastAsia="SimSun"/>
                <w:szCs w:val="22"/>
                <w:lang w:eastAsia="zh-CN"/>
              </w:rPr>
            </w:pPr>
            <w:r w:rsidRPr="009257C7">
              <w:t>–</w:t>
            </w:r>
          </w:p>
        </w:tc>
        <w:tc>
          <w:tcPr>
            <w:tcW w:w="1560" w:type="dxa"/>
            <w:tcBorders>
              <w:bottom w:val="single" w:sz="4" w:space="0" w:color="auto"/>
              <w:right w:val="single" w:sz="4" w:space="0" w:color="auto"/>
            </w:tcBorders>
          </w:tcPr>
          <w:p w:rsidR="00E7660B" w:rsidRPr="009257C7" w:rsidRDefault="00DF1AD3" w:rsidP="00586164">
            <w:pPr>
              <w:pStyle w:val="Tabletext"/>
              <w:jc w:val="center"/>
              <w:rPr>
                <w:rFonts w:eastAsia="SimSun"/>
                <w:szCs w:val="22"/>
                <w:lang w:eastAsia="zh-CN"/>
              </w:rPr>
            </w:pPr>
            <w:r w:rsidRPr="009257C7">
              <w:rPr>
                <w:rFonts w:eastAsia="SimSun"/>
                <w:szCs w:val="22"/>
                <w:lang w:eastAsia="zh-CN"/>
              </w:rPr>
              <w:t>Edición de 2017</w:t>
            </w:r>
            <w:r w:rsidRPr="009257C7">
              <w:rPr>
                <w:rFonts w:eastAsia="SimSun"/>
                <w:szCs w:val="22"/>
                <w:lang w:eastAsia="zh-CN"/>
              </w:rPr>
              <w:br/>
              <w:t>(noviembre)</w:t>
            </w:r>
          </w:p>
        </w:tc>
        <w:tc>
          <w:tcPr>
            <w:tcW w:w="1629" w:type="dxa"/>
            <w:tcBorders>
              <w:bottom w:val="single" w:sz="4" w:space="0" w:color="auto"/>
              <w:right w:val="single" w:sz="4" w:space="0" w:color="auto"/>
            </w:tcBorders>
          </w:tcPr>
          <w:p w:rsidR="00E7660B" w:rsidRPr="009257C7" w:rsidRDefault="00586164" w:rsidP="00586164">
            <w:pPr>
              <w:pStyle w:val="Tabletext"/>
              <w:jc w:val="center"/>
              <w:rPr>
                <w:rFonts w:eastAsia="SimSun"/>
                <w:szCs w:val="22"/>
                <w:lang w:eastAsia="zh-CN"/>
              </w:rPr>
            </w:pPr>
            <w:r w:rsidRPr="009257C7">
              <w:t>–</w:t>
            </w:r>
          </w:p>
        </w:tc>
      </w:tr>
      <w:tr w:rsidR="00E7660B" w:rsidRPr="009257C7" w:rsidTr="00586164">
        <w:trPr>
          <w:cantSplit/>
          <w:jc w:val="center"/>
        </w:trPr>
        <w:tc>
          <w:tcPr>
            <w:tcW w:w="2940" w:type="dxa"/>
            <w:tcBorders>
              <w:top w:val="single" w:sz="4" w:space="0" w:color="auto"/>
              <w:left w:val="single" w:sz="4" w:space="0" w:color="auto"/>
              <w:bottom w:val="single" w:sz="4" w:space="0" w:color="auto"/>
              <w:right w:val="single" w:sz="4" w:space="0" w:color="auto"/>
            </w:tcBorders>
          </w:tcPr>
          <w:p w:rsidR="00E7660B" w:rsidRPr="009257C7" w:rsidRDefault="00E7660B" w:rsidP="00513575">
            <w:pPr>
              <w:pStyle w:val="Tabletext"/>
            </w:pPr>
            <w:r w:rsidRPr="009257C7">
              <w:t>Lista V (Nomenclátor de las estaciones de barco y de las asignaciones a identidades del servicio móvil marítimo)</w:t>
            </w:r>
          </w:p>
        </w:tc>
        <w:tc>
          <w:tcPr>
            <w:tcW w:w="1313" w:type="dxa"/>
            <w:tcBorders>
              <w:top w:val="single" w:sz="4" w:space="0" w:color="auto"/>
              <w:left w:val="single" w:sz="4" w:space="0" w:color="auto"/>
              <w:bottom w:val="single" w:sz="4" w:space="0" w:color="auto"/>
              <w:right w:val="single" w:sz="4" w:space="0" w:color="auto"/>
            </w:tcBorders>
          </w:tcPr>
          <w:p w:rsidR="00E7660B" w:rsidRPr="009257C7" w:rsidRDefault="00E7660B" w:rsidP="00586164">
            <w:pPr>
              <w:pStyle w:val="Tabletext"/>
              <w:jc w:val="center"/>
              <w:rPr>
                <w:rFonts w:eastAsia="SimSun"/>
                <w:szCs w:val="22"/>
                <w:lang w:eastAsia="zh-CN"/>
              </w:rPr>
            </w:pPr>
            <w:r w:rsidRPr="009257C7">
              <w:rPr>
                <w:rFonts w:eastAsia="SimSun"/>
                <w:szCs w:val="22"/>
                <w:lang w:eastAsia="zh-CN"/>
              </w:rPr>
              <w:t xml:space="preserve">Edición de </w:t>
            </w:r>
            <w:r w:rsidR="00DF1AD3" w:rsidRPr="009257C7">
              <w:rPr>
                <w:rFonts w:eastAsia="SimSun"/>
                <w:szCs w:val="24"/>
                <w:lang w:eastAsia="zh-CN"/>
              </w:rPr>
              <w:t>2015</w:t>
            </w:r>
            <w:r w:rsidRPr="009257C7">
              <w:rPr>
                <w:rFonts w:eastAsia="SimSun"/>
                <w:szCs w:val="22"/>
                <w:lang w:eastAsia="zh-CN"/>
              </w:rPr>
              <w:br/>
              <w:t>(marzo)</w:t>
            </w:r>
          </w:p>
        </w:tc>
        <w:tc>
          <w:tcPr>
            <w:tcW w:w="1417" w:type="dxa"/>
            <w:tcBorders>
              <w:top w:val="single" w:sz="4" w:space="0" w:color="auto"/>
              <w:left w:val="single" w:sz="4" w:space="0" w:color="auto"/>
              <w:bottom w:val="single" w:sz="4" w:space="0" w:color="auto"/>
              <w:right w:val="single" w:sz="4" w:space="0" w:color="auto"/>
            </w:tcBorders>
          </w:tcPr>
          <w:p w:rsidR="00E7660B" w:rsidRPr="009257C7" w:rsidRDefault="00E7660B" w:rsidP="00586164">
            <w:pPr>
              <w:pStyle w:val="Tabletext"/>
              <w:jc w:val="center"/>
              <w:rPr>
                <w:rFonts w:eastAsia="SimSun"/>
                <w:szCs w:val="22"/>
                <w:lang w:eastAsia="zh-CN"/>
              </w:rPr>
            </w:pPr>
            <w:r w:rsidRPr="009257C7">
              <w:rPr>
                <w:rFonts w:eastAsia="SimSun"/>
                <w:szCs w:val="22"/>
                <w:lang w:eastAsia="zh-CN"/>
              </w:rPr>
              <w:t xml:space="preserve">Edición de </w:t>
            </w:r>
            <w:r w:rsidR="00DF1AD3" w:rsidRPr="009257C7">
              <w:rPr>
                <w:rFonts w:eastAsia="SimSun"/>
                <w:szCs w:val="22"/>
                <w:lang w:eastAsia="zh-CN"/>
              </w:rPr>
              <w:t>2016</w:t>
            </w:r>
            <w:r w:rsidRPr="009257C7">
              <w:rPr>
                <w:rFonts w:eastAsia="SimSun"/>
                <w:szCs w:val="22"/>
                <w:lang w:eastAsia="zh-CN"/>
              </w:rPr>
              <w:br/>
              <w:t>(marzo)</w:t>
            </w:r>
          </w:p>
        </w:tc>
        <w:tc>
          <w:tcPr>
            <w:tcW w:w="1560" w:type="dxa"/>
            <w:tcBorders>
              <w:top w:val="single" w:sz="4" w:space="0" w:color="auto"/>
              <w:left w:val="single" w:sz="4" w:space="0" w:color="auto"/>
              <w:bottom w:val="single" w:sz="4" w:space="0" w:color="auto"/>
              <w:right w:val="single" w:sz="4" w:space="0" w:color="auto"/>
            </w:tcBorders>
          </w:tcPr>
          <w:p w:rsidR="00E7660B" w:rsidRPr="009257C7" w:rsidRDefault="00E7660B" w:rsidP="00586164">
            <w:pPr>
              <w:pStyle w:val="Tabletext"/>
              <w:jc w:val="center"/>
              <w:rPr>
                <w:rFonts w:eastAsia="SimSun"/>
                <w:szCs w:val="22"/>
                <w:lang w:eastAsia="zh-CN"/>
              </w:rPr>
            </w:pPr>
            <w:r w:rsidRPr="009257C7">
              <w:rPr>
                <w:rFonts w:eastAsia="SimSun"/>
                <w:szCs w:val="22"/>
                <w:lang w:eastAsia="zh-CN"/>
              </w:rPr>
              <w:t xml:space="preserve">Edición de </w:t>
            </w:r>
            <w:r w:rsidR="00DF1AD3" w:rsidRPr="009257C7">
              <w:rPr>
                <w:rFonts w:eastAsia="SimSun"/>
                <w:szCs w:val="22"/>
                <w:lang w:eastAsia="zh-CN"/>
              </w:rPr>
              <w:t>2017</w:t>
            </w:r>
            <w:r w:rsidRPr="009257C7">
              <w:rPr>
                <w:rFonts w:eastAsia="SimSun"/>
                <w:szCs w:val="22"/>
                <w:lang w:eastAsia="zh-CN"/>
              </w:rPr>
              <w:br/>
              <w:t>(marzo)</w:t>
            </w:r>
          </w:p>
          <w:p w:rsidR="00DF1AD3" w:rsidRPr="009257C7" w:rsidRDefault="00774682" w:rsidP="00586164">
            <w:pPr>
              <w:pStyle w:val="Tabletext"/>
              <w:jc w:val="center"/>
              <w:rPr>
                <w:rFonts w:eastAsia="SimSun"/>
                <w:szCs w:val="22"/>
                <w:lang w:eastAsia="zh-CN"/>
              </w:rPr>
            </w:pPr>
            <w:r w:rsidRPr="009257C7">
              <w:rPr>
                <w:rFonts w:eastAsia="SimSun"/>
                <w:szCs w:val="22"/>
                <w:lang w:eastAsia="zh-CN"/>
              </w:rPr>
              <w:t>Edición especial (</w:t>
            </w:r>
            <w:r w:rsidR="00586164" w:rsidRPr="009257C7">
              <w:rPr>
                <w:rFonts w:eastAsia="SimSun"/>
                <w:szCs w:val="22"/>
                <w:lang w:eastAsia="zh-CN"/>
              </w:rPr>
              <w:t>junio</w:t>
            </w:r>
            <w:r w:rsidR="00DF1AD3" w:rsidRPr="009257C7">
              <w:rPr>
                <w:rFonts w:eastAsia="SimSun"/>
                <w:szCs w:val="24"/>
                <w:lang w:eastAsia="zh-CN"/>
              </w:rPr>
              <w:t>)</w:t>
            </w:r>
          </w:p>
        </w:tc>
        <w:tc>
          <w:tcPr>
            <w:tcW w:w="1629" w:type="dxa"/>
            <w:tcBorders>
              <w:top w:val="single" w:sz="4" w:space="0" w:color="auto"/>
              <w:left w:val="single" w:sz="4" w:space="0" w:color="auto"/>
              <w:bottom w:val="single" w:sz="4" w:space="0" w:color="auto"/>
              <w:right w:val="single" w:sz="4" w:space="0" w:color="auto"/>
            </w:tcBorders>
          </w:tcPr>
          <w:p w:rsidR="00E7660B" w:rsidRPr="009257C7" w:rsidRDefault="00E7660B" w:rsidP="00586164">
            <w:pPr>
              <w:pStyle w:val="Tabletext"/>
              <w:jc w:val="center"/>
              <w:rPr>
                <w:rFonts w:eastAsia="SimSun"/>
                <w:szCs w:val="22"/>
                <w:lang w:eastAsia="zh-CN"/>
              </w:rPr>
            </w:pPr>
            <w:r w:rsidRPr="009257C7">
              <w:rPr>
                <w:rFonts w:eastAsia="SimSun"/>
                <w:szCs w:val="22"/>
                <w:lang w:eastAsia="zh-CN"/>
              </w:rPr>
              <w:t xml:space="preserve">Edición de </w:t>
            </w:r>
            <w:r w:rsidR="00DF1AD3" w:rsidRPr="009257C7">
              <w:rPr>
                <w:rFonts w:eastAsia="SimSun"/>
                <w:szCs w:val="22"/>
                <w:lang w:eastAsia="zh-CN"/>
              </w:rPr>
              <w:t>2018</w:t>
            </w:r>
            <w:r w:rsidR="00DF1AD3" w:rsidRPr="009257C7">
              <w:rPr>
                <w:rFonts w:eastAsia="SimSun"/>
                <w:szCs w:val="22"/>
                <w:lang w:eastAsia="zh-CN"/>
              </w:rPr>
              <w:br/>
            </w:r>
            <w:r w:rsidR="00774682" w:rsidRPr="009257C7">
              <w:rPr>
                <w:rFonts w:eastAsia="SimSun"/>
                <w:szCs w:val="22"/>
                <w:lang w:eastAsia="zh-CN"/>
              </w:rPr>
              <w:t>(</w:t>
            </w:r>
            <w:r w:rsidR="00DF1AD3" w:rsidRPr="009257C7">
              <w:rPr>
                <w:rFonts w:eastAsia="SimSun"/>
                <w:szCs w:val="22"/>
                <w:lang w:eastAsia="zh-CN"/>
              </w:rPr>
              <w:t>abril</w:t>
            </w:r>
            <w:r w:rsidRPr="009257C7">
              <w:rPr>
                <w:rFonts w:eastAsia="SimSun"/>
                <w:szCs w:val="22"/>
                <w:lang w:eastAsia="zh-CN"/>
              </w:rPr>
              <w:t>)</w:t>
            </w:r>
          </w:p>
        </w:tc>
      </w:tr>
      <w:tr w:rsidR="00E7660B" w:rsidRPr="009257C7" w:rsidTr="00586164">
        <w:trPr>
          <w:cantSplit/>
          <w:jc w:val="center"/>
        </w:trPr>
        <w:tc>
          <w:tcPr>
            <w:tcW w:w="2940" w:type="dxa"/>
            <w:tcBorders>
              <w:top w:val="single" w:sz="4" w:space="0" w:color="auto"/>
              <w:left w:val="single" w:sz="4" w:space="0" w:color="auto"/>
              <w:bottom w:val="single" w:sz="4" w:space="0" w:color="auto"/>
              <w:right w:val="single" w:sz="4" w:space="0" w:color="auto"/>
            </w:tcBorders>
          </w:tcPr>
          <w:p w:rsidR="00E7660B" w:rsidRPr="009257C7" w:rsidRDefault="00E7660B" w:rsidP="00513575">
            <w:pPr>
              <w:pStyle w:val="Tabletext"/>
            </w:pPr>
            <w:r w:rsidRPr="009257C7">
              <w:t>Lista VIII (Nomenclátor de las estaciones de comprobación técnica internacional de las emisiones)</w:t>
            </w:r>
          </w:p>
        </w:tc>
        <w:tc>
          <w:tcPr>
            <w:tcW w:w="1313" w:type="dxa"/>
            <w:tcBorders>
              <w:top w:val="single" w:sz="4" w:space="0" w:color="auto"/>
              <w:left w:val="single" w:sz="4" w:space="0" w:color="auto"/>
              <w:bottom w:val="single" w:sz="4" w:space="0" w:color="auto"/>
              <w:right w:val="single" w:sz="4" w:space="0" w:color="auto"/>
            </w:tcBorders>
          </w:tcPr>
          <w:p w:rsidR="00E7660B" w:rsidRPr="009257C7" w:rsidRDefault="00E7660B" w:rsidP="00586164">
            <w:pPr>
              <w:pStyle w:val="Tabletext"/>
              <w:jc w:val="center"/>
              <w:rPr>
                <w:rFonts w:eastAsia="SimSun"/>
                <w:szCs w:val="22"/>
                <w:lang w:eastAsia="zh-CN"/>
              </w:rPr>
            </w:pPr>
            <w:r w:rsidRPr="009257C7">
              <w:rPr>
                <w:rFonts w:eastAsia="SimSun"/>
                <w:szCs w:val="22"/>
                <w:lang w:eastAsia="zh-CN"/>
              </w:rPr>
              <w:t>-</w:t>
            </w:r>
          </w:p>
        </w:tc>
        <w:tc>
          <w:tcPr>
            <w:tcW w:w="1417" w:type="dxa"/>
            <w:tcBorders>
              <w:top w:val="single" w:sz="4" w:space="0" w:color="auto"/>
              <w:left w:val="single" w:sz="4" w:space="0" w:color="auto"/>
              <w:bottom w:val="single" w:sz="4" w:space="0" w:color="auto"/>
              <w:right w:val="single" w:sz="4" w:space="0" w:color="auto"/>
            </w:tcBorders>
          </w:tcPr>
          <w:p w:rsidR="00E7660B" w:rsidRPr="009257C7" w:rsidRDefault="00DF1AD3" w:rsidP="00586164">
            <w:pPr>
              <w:pStyle w:val="Tabletext"/>
              <w:jc w:val="center"/>
              <w:rPr>
                <w:rFonts w:eastAsia="SimSun"/>
                <w:szCs w:val="22"/>
                <w:lang w:eastAsia="zh-CN"/>
              </w:rPr>
            </w:pPr>
            <w:r w:rsidRPr="009257C7">
              <w:rPr>
                <w:rFonts w:eastAsia="SimSun"/>
                <w:szCs w:val="24"/>
                <w:lang w:eastAsia="zh-CN"/>
              </w:rPr>
              <w:t>Edi</w:t>
            </w:r>
            <w:r w:rsidR="00774682" w:rsidRPr="009257C7">
              <w:rPr>
                <w:rFonts w:eastAsia="SimSun"/>
                <w:szCs w:val="24"/>
                <w:lang w:eastAsia="zh-CN"/>
              </w:rPr>
              <w:t>c</w:t>
            </w:r>
            <w:r w:rsidRPr="009257C7">
              <w:rPr>
                <w:rFonts w:eastAsia="SimSun"/>
                <w:szCs w:val="24"/>
                <w:lang w:eastAsia="zh-CN"/>
              </w:rPr>
              <w:t>i</w:t>
            </w:r>
            <w:r w:rsidR="00774682" w:rsidRPr="009257C7">
              <w:rPr>
                <w:rFonts w:eastAsia="SimSun"/>
                <w:szCs w:val="24"/>
                <w:lang w:eastAsia="zh-CN"/>
              </w:rPr>
              <w:t>ó</w:t>
            </w:r>
            <w:r w:rsidRPr="009257C7">
              <w:rPr>
                <w:rFonts w:eastAsia="SimSun"/>
                <w:szCs w:val="24"/>
                <w:lang w:eastAsia="zh-CN"/>
              </w:rPr>
              <w:t xml:space="preserve">n </w:t>
            </w:r>
            <w:r w:rsidR="003403CF" w:rsidRPr="009257C7">
              <w:rPr>
                <w:rFonts w:eastAsia="SimSun"/>
                <w:szCs w:val="24"/>
                <w:lang w:eastAsia="zh-CN"/>
              </w:rPr>
              <w:t>de</w:t>
            </w:r>
            <w:r w:rsidRPr="009257C7">
              <w:rPr>
                <w:rFonts w:eastAsia="SimSun"/>
                <w:szCs w:val="24"/>
                <w:lang w:eastAsia="zh-CN"/>
              </w:rPr>
              <w:t xml:space="preserve"> 2016</w:t>
            </w:r>
            <w:r w:rsidRPr="009257C7">
              <w:rPr>
                <w:rFonts w:eastAsia="SimSun"/>
                <w:szCs w:val="24"/>
                <w:lang w:eastAsia="zh-CN"/>
              </w:rPr>
              <w:br/>
              <w:t>(diciembre)</w:t>
            </w:r>
          </w:p>
        </w:tc>
        <w:tc>
          <w:tcPr>
            <w:tcW w:w="1560" w:type="dxa"/>
            <w:tcBorders>
              <w:top w:val="single" w:sz="4" w:space="0" w:color="auto"/>
              <w:left w:val="single" w:sz="4" w:space="0" w:color="auto"/>
              <w:bottom w:val="single" w:sz="4" w:space="0" w:color="auto"/>
              <w:right w:val="single" w:sz="4" w:space="0" w:color="auto"/>
            </w:tcBorders>
          </w:tcPr>
          <w:p w:rsidR="00E7660B" w:rsidRPr="009257C7" w:rsidRDefault="00586164" w:rsidP="00586164">
            <w:pPr>
              <w:pStyle w:val="Tabletext"/>
              <w:jc w:val="center"/>
              <w:rPr>
                <w:rFonts w:eastAsia="SimSun"/>
                <w:szCs w:val="22"/>
                <w:lang w:eastAsia="zh-CN"/>
              </w:rPr>
            </w:pPr>
            <w:r w:rsidRPr="009257C7">
              <w:t>–</w:t>
            </w:r>
          </w:p>
        </w:tc>
        <w:tc>
          <w:tcPr>
            <w:tcW w:w="1629" w:type="dxa"/>
            <w:tcBorders>
              <w:top w:val="single" w:sz="4" w:space="0" w:color="auto"/>
              <w:left w:val="single" w:sz="4" w:space="0" w:color="auto"/>
              <w:bottom w:val="single" w:sz="4" w:space="0" w:color="auto"/>
              <w:right w:val="single" w:sz="4" w:space="0" w:color="auto"/>
            </w:tcBorders>
          </w:tcPr>
          <w:p w:rsidR="00E7660B" w:rsidRPr="009257C7" w:rsidRDefault="00586164" w:rsidP="00586164">
            <w:pPr>
              <w:pStyle w:val="Tabletext"/>
              <w:jc w:val="center"/>
              <w:rPr>
                <w:rFonts w:eastAsia="SimSun"/>
                <w:szCs w:val="22"/>
                <w:lang w:eastAsia="zh-CN"/>
              </w:rPr>
            </w:pPr>
            <w:r w:rsidRPr="009257C7">
              <w:t>–</w:t>
            </w:r>
          </w:p>
        </w:tc>
      </w:tr>
      <w:tr w:rsidR="00E7660B" w:rsidRPr="009257C7" w:rsidTr="00586164">
        <w:trPr>
          <w:cantSplit/>
          <w:jc w:val="center"/>
        </w:trPr>
        <w:tc>
          <w:tcPr>
            <w:tcW w:w="2940" w:type="dxa"/>
            <w:tcBorders>
              <w:top w:val="single" w:sz="4" w:space="0" w:color="auto"/>
              <w:left w:val="single" w:sz="4" w:space="0" w:color="auto"/>
              <w:bottom w:val="single" w:sz="4" w:space="0" w:color="auto"/>
              <w:right w:val="single" w:sz="4" w:space="0" w:color="auto"/>
            </w:tcBorders>
          </w:tcPr>
          <w:p w:rsidR="00E7660B" w:rsidRPr="009257C7" w:rsidRDefault="00E7660B" w:rsidP="00513575">
            <w:pPr>
              <w:pStyle w:val="Tabletext"/>
            </w:pPr>
            <w:r w:rsidRPr="009257C7">
              <w:t>Manual Marítimo</w:t>
            </w:r>
          </w:p>
        </w:tc>
        <w:tc>
          <w:tcPr>
            <w:tcW w:w="1313" w:type="dxa"/>
            <w:tcBorders>
              <w:top w:val="single" w:sz="4" w:space="0" w:color="auto"/>
              <w:left w:val="single" w:sz="4" w:space="0" w:color="auto"/>
              <w:bottom w:val="single" w:sz="4" w:space="0" w:color="auto"/>
              <w:right w:val="single" w:sz="4" w:space="0" w:color="auto"/>
            </w:tcBorders>
          </w:tcPr>
          <w:p w:rsidR="00E7660B" w:rsidRPr="009257C7" w:rsidRDefault="00E7660B" w:rsidP="00586164">
            <w:pPr>
              <w:pStyle w:val="Tabletext"/>
              <w:jc w:val="center"/>
              <w:rPr>
                <w:rFonts w:eastAsia="SimSun"/>
                <w:szCs w:val="22"/>
                <w:lang w:eastAsia="zh-CN"/>
              </w:rPr>
            </w:pPr>
            <w:r w:rsidRPr="009257C7">
              <w:rPr>
                <w:rFonts w:eastAsia="SimSun"/>
                <w:szCs w:val="22"/>
                <w:lang w:eastAsia="zh-CN"/>
              </w:rPr>
              <w:t>-</w:t>
            </w:r>
          </w:p>
        </w:tc>
        <w:tc>
          <w:tcPr>
            <w:tcW w:w="1417" w:type="dxa"/>
            <w:tcBorders>
              <w:top w:val="single" w:sz="4" w:space="0" w:color="auto"/>
              <w:left w:val="single" w:sz="4" w:space="0" w:color="auto"/>
              <w:bottom w:val="single" w:sz="4" w:space="0" w:color="auto"/>
              <w:right w:val="single" w:sz="4" w:space="0" w:color="auto"/>
            </w:tcBorders>
          </w:tcPr>
          <w:p w:rsidR="00E7660B" w:rsidRPr="009257C7" w:rsidRDefault="00DF1AD3" w:rsidP="00586164">
            <w:pPr>
              <w:pStyle w:val="Tabletext"/>
              <w:jc w:val="center"/>
              <w:rPr>
                <w:rFonts w:eastAsia="SimSun"/>
                <w:szCs w:val="22"/>
                <w:lang w:eastAsia="zh-CN"/>
              </w:rPr>
            </w:pPr>
            <w:r w:rsidRPr="009257C7">
              <w:rPr>
                <w:rFonts w:eastAsia="SimSun"/>
                <w:szCs w:val="24"/>
                <w:lang w:eastAsia="zh-CN"/>
              </w:rPr>
              <w:t>Edi</w:t>
            </w:r>
            <w:r w:rsidR="00774682" w:rsidRPr="009257C7">
              <w:rPr>
                <w:rFonts w:eastAsia="SimSun"/>
                <w:szCs w:val="24"/>
                <w:lang w:eastAsia="zh-CN"/>
              </w:rPr>
              <w:t>c</w:t>
            </w:r>
            <w:r w:rsidRPr="009257C7">
              <w:rPr>
                <w:rFonts w:eastAsia="SimSun"/>
                <w:szCs w:val="24"/>
                <w:lang w:eastAsia="zh-CN"/>
              </w:rPr>
              <w:t>i</w:t>
            </w:r>
            <w:r w:rsidR="00774682" w:rsidRPr="009257C7">
              <w:rPr>
                <w:rFonts w:eastAsia="SimSun"/>
                <w:szCs w:val="24"/>
                <w:lang w:eastAsia="zh-CN"/>
              </w:rPr>
              <w:t>ó</w:t>
            </w:r>
            <w:r w:rsidRPr="009257C7">
              <w:rPr>
                <w:rFonts w:eastAsia="SimSun"/>
                <w:szCs w:val="24"/>
                <w:lang w:eastAsia="zh-CN"/>
              </w:rPr>
              <w:t xml:space="preserve">n </w:t>
            </w:r>
            <w:r w:rsidR="003403CF" w:rsidRPr="009257C7">
              <w:rPr>
                <w:rFonts w:eastAsia="SimSun"/>
                <w:szCs w:val="24"/>
                <w:lang w:eastAsia="zh-CN"/>
              </w:rPr>
              <w:t>de</w:t>
            </w:r>
            <w:r w:rsidRPr="009257C7">
              <w:rPr>
                <w:rFonts w:eastAsia="SimSun"/>
                <w:szCs w:val="24"/>
                <w:lang w:eastAsia="zh-CN"/>
              </w:rPr>
              <w:t xml:space="preserve"> 2016</w:t>
            </w:r>
            <w:r w:rsidRPr="009257C7">
              <w:rPr>
                <w:rFonts w:eastAsia="SimSun"/>
                <w:szCs w:val="24"/>
                <w:lang w:eastAsia="zh-CN"/>
              </w:rPr>
              <w:br/>
              <w:t>(noviembre)</w:t>
            </w:r>
          </w:p>
        </w:tc>
        <w:tc>
          <w:tcPr>
            <w:tcW w:w="1560" w:type="dxa"/>
            <w:tcBorders>
              <w:top w:val="single" w:sz="4" w:space="0" w:color="auto"/>
              <w:left w:val="single" w:sz="4" w:space="0" w:color="auto"/>
              <w:bottom w:val="single" w:sz="4" w:space="0" w:color="auto"/>
              <w:right w:val="single" w:sz="4" w:space="0" w:color="auto"/>
            </w:tcBorders>
          </w:tcPr>
          <w:p w:rsidR="00E7660B" w:rsidRPr="009257C7" w:rsidRDefault="00586164" w:rsidP="00586164">
            <w:pPr>
              <w:pStyle w:val="Tabletext"/>
              <w:jc w:val="center"/>
              <w:rPr>
                <w:rFonts w:eastAsia="SimSun"/>
                <w:szCs w:val="22"/>
                <w:lang w:eastAsia="zh-CN"/>
              </w:rPr>
            </w:pPr>
            <w:r w:rsidRPr="009257C7">
              <w:t>–</w:t>
            </w:r>
          </w:p>
        </w:tc>
        <w:tc>
          <w:tcPr>
            <w:tcW w:w="1629" w:type="dxa"/>
            <w:tcBorders>
              <w:top w:val="single" w:sz="4" w:space="0" w:color="auto"/>
              <w:left w:val="single" w:sz="4" w:space="0" w:color="auto"/>
              <w:bottom w:val="single" w:sz="4" w:space="0" w:color="auto"/>
              <w:right w:val="single" w:sz="4" w:space="0" w:color="auto"/>
            </w:tcBorders>
          </w:tcPr>
          <w:p w:rsidR="00E7660B" w:rsidRPr="009257C7" w:rsidRDefault="00586164" w:rsidP="00586164">
            <w:pPr>
              <w:pStyle w:val="Tabletext"/>
              <w:jc w:val="center"/>
              <w:rPr>
                <w:rFonts w:eastAsia="SimSun"/>
                <w:szCs w:val="22"/>
                <w:lang w:eastAsia="zh-CN"/>
              </w:rPr>
            </w:pPr>
            <w:r w:rsidRPr="009257C7">
              <w:t>–</w:t>
            </w:r>
          </w:p>
        </w:tc>
      </w:tr>
    </w:tbl>
    <w:p w:rsidR="00E7660B" w:rsidRPr="009257C7" w:rsidRDefault="00774682" w:rsidP="00E7660B">
      <w:pPr>
        <w:pStyle w:val="Heading3"/>
      </w:pPr>
      <w:r w:rsidRPr="009257C7">
        <w:t>9</w:t>
      </w:r>
      <w:r w:rsidR="00E7660B" w:rsidRPr="009257C7">
        <w:t>.1.3</w:t>
      </w:r>
      <w:r w:rsidR="00E7660B" w:rsidRPr="009257C7">
        <w:tab/>
      </w:r>
      <w:bookmarkEnd w:id="68"/>
      <w:bookmarkEnd w:id="69"/>
      <w:bookmarkEnd w:id="70"/>
      <w:bookmarkEnd w:id="71"/>
      <w:r w:rsidR="00E7660B" w:rsidRPr="009257C7">
        <w:t>Comisiones de Estudio y otras publicaciones</w:t>
      </w:r>
    </w:p>
    <w:p w:rsidR="00E7660B" w:rsidRPr="009257C7" w:rsidRDefault="00E7660B" w:rsidP="00E7660B">
      <w:bookmarkStart w:id="72" w:name="_Toc424047599"/>
      <w:bookmarkStart w:id="73" w:name="_Toc446060781"/>
      <w:r w:rsidRPr="009257C7">
        <w:t>Desde la CMR-15, la preparación de las Comisiones de Estudio del UIT-R y otras publicaciones han seguido el patrón habitual, contemplado en el plan Operacional, en particular:</w:t>
      </w:r>
    </w:p>
    <w:p w:rsidR="00E7660B" w:rsidRPr="009257C7" w:rsidRDefault="00E7660B">
      <w:pPr>
        <w:pStyle w:val="enumlev1"/>
      </w:pPr>
      <w:r w:rsidRPr="009257C7">
        <w:t>–</w:t>
      </w:r>
      <w:r w:rsidRPr="009257C7">
        <w:tab/>
        <w:t>Todas las Recomend</w:t>
      </w:r>
      <w:r w:rsidR="006E5886" w:rsidRPr="009257C7">
        <w:t>aciones publicadas entre 2005 y</w:t>
      </w:r>
      <w:r w:rsidR="00F05B71" w:rsidRPr="009257C7">
        <w:t xml:space="preserve"> 2016 (540)</w:t>
      </w:r>
      <w:r w:rsidRPr="009257C7">
        <w:t xml:space="preserve"> están ahora disponibles en los seis </w:t>
      </w:r>
      <w:r w:rsidR="006E5886" w:rsidRPr="009257C7">
        <w:t>idiomas de la UIT (A/C/E/F/R/S).</w:t>
      </w:r>
    </w:p>
    <w:p w:rsidR="00E7660B" w:rsidRPr="009257C7" w:rsidRDefault="00E7660B">
      <w:pPr>
        <w:pStyle w:val="enumlev1"/>
      </w:pPr>
      <w:r w:rsidRPr="009257C7">
        <w:t>–</w:t>
      </w:r>
      <w:r w:rsidRPr="009257C7">
        <w:tab/>
        <w:t xml:space="preserve">Entre 2017 </w:t>
      </w:r>
      <w:r w:rsidR="003403CF" w:rsidRPr="009257C7">
        <w:t>y</w:t>
      </w:r>
      <w:r w:rsidR="00E57066" w:rsidRPr="009257C7">
        <w:t xml:space="preserve"> </w:t>
      </w:r>
      <w:r w:rsidR="00F05B71" w:rsidRPr="009257C7">
        <w:t xml:space="preserve">2018, </w:t>
      </w:r>
      <w:r w:rsidRPr="009257C7">
        <w:t xml:space="preserve">se publicaron </w:t>
      </w:r>
      <w:r w:rsidR="00F05B71" w:rsidRPr="009257C7">
        <w:t>107</w:t>
      </w:r>
      <w:r w:rsidRPr="009257C7">
        <w:t xml:space="preserve"> Recomendaciones UIT-R en el sitio web de la UIT en inglés (E), comprendidas nuevas y revisadas. La traducción a los otros cinco idiomas está en curso.</w:t>
      </w:r>
    </w:p>
    <w:p w:rsidR="00E7660B" w:rsidRPr="009257C7" w:rsidRDefault="00E7660B">
      <w:pPr>
        <w:pStyle w:val="enumlev1"/>
      </w:pPr>
      <w:r w:rsidRPr="009257C7">
        <w:t>–</w:t>
      </w:r>
      <w:r w:rsidRPr="009257C7">
        <w:tab/>
        <w:t xml:space="preserve">Informes UIT-R: se publicaron </w:t>
      </w:r>
      <w:r w:rsidR="00F05B71" w:rsidRPr="009257C7">
        <w:t xml:space="preserve">158 </w:t>
      </w:r>
      <w:r w:rsidR="003403CF" w:rsidRPr="009257C7">
        <w:t xml:space="preserve">informes </w:t>
      </w:r>
      <w:r w:rsidRPr="009257C7">
        <w:t xml:space="preserve">en el sitio web de la UIT (E) </w:t>
      </w:r>
      <w:r w:rsidR="003403CF" w:rsidRPr="009257C7">
        <w:t xml:space="preserve">en el </w:t>
      </w:r>
      <w:r w:rsidRPr="009257C7">
        <w:t>periodo</w:t>
      </w:r>
      <w:r w:rsidR="006D506D" w:rsidRPr="009257C7">
        <w:t> </w:t>
      </w:r>
      <w:r w:rsidR="00F05B71" w:rsidRPr="009257C7">
        <w:t>2015-2018</w:t>
      </w:r>
      <w:r w:rsidRPr="009257C7">
        <w:t>.</w:t>
      </w:r>
    </w:p>
    <w:p w:rsidR="00E7660B" w:rsidRPr="009257C7" w:rsidRDefault="00E7660B" w:rsidP="00261269">
      <w:pPr>
        <w:pStyle w:val="enumlev1"/>
      </w:pPr>
      <w:r w:rsidRPr="009257C7">
        <w:t>–</w:t>
      </w:r>
      <w:r w:rsidRPr="009257C7">
        <w:tab/>
        <w:t>Manuales UIT-R (</w:t>
      </w:r>
      <w:r w:rsidR="003403CF" w:rsidRPr="009257C7">
        <w:t xml:space="preserve">se publicaron </w:t>
      </w:r>
      <w:r w:rsidR="00183B28" w:rsidRPr="009257C7">
        <w:t>3</w:t>
      </w:r>
      <w:r w:rsidR="003403CF" w:rsidRPr="009257C7">
        <w:t xml:space="preserve"> manuales nuevos</w:t>
      </w:r>
      <w:r w:rsidR="00183B28" w:rsidRPr="009257C7">
        <w:t xml:space="preserve"> </w:t>
      </w:r>
      <w:r w:rsidR="003403CF" w:rsidRPr="009257C7">
        <w:t>y se actualizaron tres en el per</w:t>
      </w:r>
      <w:r w:rsidR="00261269" w:rsidRPr="009257C7">
        <w:t>i</w:t>
      </w:r>
      <w:r w:rsidR="006D506D" w:rsidRPr="009257C7">
        <w:t>odo </w:t>
      </w:r>
      <w:r w:rsidR="00183B28" w:rsidRPr="009257C7">
        <w:t>2015-2018)</w:t>
      </w:r>
      <w:r w:rsidRPr="009257C7">
        <w:t>.</w:t>
      </w:r>
    </w:p>
    <w:p w:rsidR="00E7660B" w:rsidRPr="009257C7" w:rsidRDefault="00183B28" w:rsidP="00E7660B">
      <w:pPr>
        <w:pStyle w:val="Heading3"/>
      </w:pPr>
      <w:r w:rsidRPr="009257C7">
        <w:t>9</w:t>
      </w:r>
      <w:r w:rsidR="00E7660B" w:rsidRPr="009257C7">
        <w:t>.1.4</w:t>
      </w:r>
      <w:r w:rsidR="00E7660B" w:rsidRPr="009257C7">
        <w:tab/>
        <w:t>Desc</w:t>
      </w:r>
      <w:r w:rsidR="00B65C0D" w:rsidRPr="009257C7">
        <w:t>arga de publicaciones del UIT-R</w:t>
      </w:r>
    </w:p>
    <w:p w:rsidR="00E7660B" w:rsidRPr="009257C7" w:rsidRDefault="00183B28" w:rsidP="00E7660B">
      <w:pPr>
        <w:pStyle w:val="Heading4"/>
      </w:pPr>
      <w:r w:rsidRPr="009257C7">
        <w:t>9</w:t>
      </w:r>
      <w:r w:rsidR="00E7660B" w:rsidRPr="009257C7">
        <w:t>.1.4.1</w:t>
      </w:r>
      <w:r w:rsidR="00E7660B" w:rsidRPr="009257C7">
        <w:tab/>
        <w:t>Reglamento de Radiocomunicaciones y Reglas de Procedimiento</w:t>
      </w:r>
    </w:p>
    <w:p w:rsidR="00E7660B" w:rsidRPr="009257C7" w:rsidRDefault="00E7660B" w:rsidP="00D11F16">
      <w:r w:rsidRPr="009257C7">
        <w:t xml:space="preserve">En relación con estos documentos reglamentarios, en el Cuadro </w:t>
      </w:r>
      <w:r w:rsidR="00183B28" w:rsidRPr="009257C7">
        <w:t>9</w:t>
      </w:r>
      <w:r w:rsidRPr="009257C7">
        <w:t xml:space="preserve">.1.4.1-1 se compara el número de ejemplares vendidos de la edición del RR de 2012 (publicado en diciembre de 2012) y de la versión de </w:t>
      </w:r>
      <w:r w:rsidR="00183B28" w:rsidRPr="009257C7">
        <w:t>2015</w:t>
      </w:r>
      <w:r w:rsidR="00D11F16" w:rsidRPr="009257C7">
        <w:t xml:space="preserve"> del RR</w:t>
      </w:r>
      <w:r w:rsidRPr="009257C7">
        <w:t xml:space="preserve"> (publicado en diciembre de 2016). </w:t>
      </w:r>
      <w:r w:rsidR="00D11F16" w:rsidRPr="009257C7">
        <w:t xml:space="preserve">El </w:t>
      </w:r>
      <w:r w:rsidRPr="009257C7">
        <w:t xml:space="preserve">gran número de descargas gratuitas (comparado con el número de ventas) muestra </w:t>
      </w:r>
      <w:r w:rsidR="003403CF" w:rsidRPr="009257C7">
        <w:t xml:space="preserve">los efectos </w:t>
      </w:r>
      <w:r w:rsidRPr="009257C7">
        <w:t>positivo</w:t>
      </w:r>
      <w:r w:rsidR="003403CF" w:rsidRPr="009257C7">
        <w:t>s</w:t>
      </w:r>
      <w:r w:rsidRPr="009257C7">
        <w:t xml:space="preserve"> de esta política</w:t>
      </w:r>
      <w:r w:rsidR="00183B28" w:rsidRPr="009257C7">
        <w:t xml:space="preserve"> </w:t>
      </w:r>
      <w:r w:rsidR="00042D90" w:rsidRPr="009257C7">
        <w:t>sobre</w:t>
      </w:r>
      <w:r w:rsidR="003403CF" w:rsidRPr="009257C7">
        <w:t xml:space="preserve"> la difusión mundial del Reglamento de Radiocomunicaciones</w:t>
      </w:r>
      <w:r w:rsidRPr="009257C7">
        <w:t>. También hay que decir que las descargas</w:t>
      </w:r>
      <w:r w:rsidR="00183B28" w:rsidRPr="009257C7">
        <w:t xml:space="preserve"> </w:t>
      </w:r>
      <w:r w:rsidR="003403CF" w:rsidRPr="009257C7">
        <w:t>de la versión de 2016 del RR</w:t>
      </w:r>
      <w:r w:rsidR="00E57066" w:rsidRPr="009257C7">
        <w:t xml:space="preserve"> </w:t>
      </w:r>
      <w:r w:rsidRPr="009257C7">
        <w:t xml:space="preserve">se realizaron desde </w:t>
      </w:r>
      <w:r w:rsidR="00183B28" w:rsidRPr="009257C7">
        <w:t>130</w:t>
      </w:r>
      <w:r w:rsidRPr="009257C7">
        <w:t xml:space="preserve"> países, lo que representa el </w:t>
      </w:r>
      <w:r w:rsidR="00183B28" w:rsidRPr="009257C7">
        <w:t>67</w:t>
      </w:r>
      <w:r w:rsidRPr="009257C7">
        <w:t xml:space="preserve">% de los </w:t>
      </w:r>
      <w:r w:rsidR="00D11F16" w:rsidRPr="009257C7">
        <w:t xml:space="preserve">miembros </w:t>
      </w:r>
      <w:r w:rsidRPr="009257C7">
        <w:t>de la UIT.</w:t>
      </w:r>
      <w:bookmarkEnd w:id="72"/>
      <w:bookmarkEnd w:id="73"/>
    </w:p>
    <w:p w:rsidR="00C80523" w:rsidRPr="009257C7" w:rsidRDefault="00C80523" w:rsidP="00C80523">
      <w:pPr>
        <w:pStyle w:val="TableNoBR"/>
        <w:spacing w:before="240"/>
      </w:pPr>
      <w:r w:rsidRPr="009257C7">
        <w:lastRenderedPageBreak/>
        <w:t>CUADRO 9.1.4.1-1</w:t>
      </w:r>
    </w:p>
    <w:tbl>
      <w:tblPr>
        <w:tblW w:w="0" w:type="auto"/>
        <w:jc w:val="center"/>
        <w:tblBorders>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69"/>
        <w:gridCol w:w="2268"/>
        <w:gridCol w:w="2268"/>
      </w:tblGrid>
      <w:tr w:rsidR="00C80523" w:rsidRPr="009257C7" w:rsidTr="005D0EF6">
        <w:trPr>
          <w:trHeight w:val="525"/>
          <w:jc w:val="center"/>
        </w:trPr>
        <w:tc>
          <w:tcPr>
            <w:tcW w:w="3969" w:type="dxa"/>
            <w:tcBorders>
              <w:bottom w:val="single" w:sz="8" w:space="0" w:color="auto"/>
            </w:tcBorders>
            <w:shd w:val="clear" w:color="auto" w:fill="auto"/>
            <w:vAlign w:val="center"/>
            <w:hideMark/>
          </w:tcPr>
          <w:p w:rsidR="00C80523" w:rsidRPr="009257C7" w:rsidRDefault="00C80523" w:rsidP="005D0EF6">
            <w:pPr>
              <w:overflowPunct/>
              <w:autoSpaceDE/>
              <w:autoSpaceDN/>
              <w:adjustRightInd/>
              <w:spacing w:before="0"/>
              <w:jc w:val="center"/>
              <w:textAlignment w:val="auto"/>
              <w:rPr>
                <w:rFonts w:ascii="Times" w:hAnsi="Times" w:cs="Times"/>
                <w:color w:val="000000"/>
                <w:sz w:val="20"/>
                <w:lang w:eastAsia="zh-CN"/>
              </w:rPr>
            </w:pPr>
          </w:p>
        </w:tc>
        <w:tc>
          <w:tcPr>
            <w:tcW w:w="2268" w:type="dxa"/>
            <w:tcBorders>
              <w:top w:val="single" w:sz="8" w:space="0" w:color="auto"/>
              <w:bottom w:val="single" w:sz="8" w:space="0" w:color="auto"/>
            </w:tcBorders>
            <w:shd w:val="clear" w:color="auto" w:fill="auto"/>
            <w:vAlign w:val="center"/>
            <w:hideMark/>
          </w:tcPr>
          <w:p w:rsidR="00C80523" w:rsidRPr="009257C7" w:rsidRDefault="00C80523" w:rsidP="005D0EF6">
            <w:pPr>
              <w:pStyle w:val="Tablehead"/>
              <w:rPr>
                <w:lang w:eastAsia="zh-CN"/>
              </w:rPr>
            </w:pPr>
            <w:r w:rsidRPr="009257C7">
              <w:rPr>
                <w:lang w:eastAsia="zh-CN"/>
              </w:rPr>
              <w:t>Ventas</w:t>
            </w:r>
          </w:p>
        </w:tc>
        <w:tc>
          <w:tcPr>
            <w:tcW w:w="2268" w:type="dxa"/>
            <w:tcBorders>
              <w:top w:val="single" w:sz="8" w:space="0" w:color="auto"/>
              <w:bottom w:val="single" w:sz="8" w:space="0" w:color="auto"/>
            </w:tcBorders>
            <w:shd w:val="clear" w:color="auto" w:fill="auto"/>
            <w:vAlign w:val="center"/>
            <w:hideMark/>
          </w:tcPr>
          <w:p w:rsidR="00C80523" w:rsidRPr="009257C7" w:rsidRDefault="00C80523" w:rsidP="005D0EF6">
            <w:pPr>
              <w:pStyle w:val="Tablehead"/>
              <w:rPr>
                <w:lang w:eastAsia="zh-CN"/>
              </w:rPr>
            </w:pPr>
            <w:r w:rsidRPr="009257C7">
              <w:rPr>
                <w:lang w:eastAsia="zh-CN"/>
              </w:rPr>
              <w:t>Descargas gratuitas*</w:t>
            </w:r>
          </w:p>
        </w:tc>
      </w:tr>
      <w:tr w:rsidR="00C80523" w:rsidRPr="009257C7" w:rsidTr="005D0EF6">
        <w:trPr>
          <w:trHeight w:val="315"/>
          <w:jc w:val="center"/>
        </w:trPr>
        <w:tc>
          <w:tcPr>
            <w:tcW w:w="3969" w:type="dxa"/>
            <w:tcBorders>
              <w:top w:val="single" w:sz="4" w:space="0" w:color="auto"/>
              <w:left w:val="single" w:sz="8" w:space="0" w:color="auto"/>
              <w:bottom w:val="single" w:sz="4" w:space="0" w:color="auto"/>
            </w:tcBorders>
            <w:shd w:val="clear" w:color="auto" w:fill="auto"/>
            <w:vAlign w:val="center"/>
            <w:hideMark/>
          </w:tcPr>
          <w:p w:rsidR="00C80523" w:rsidRPr="009257C7" w:rsidRDefault="00C80523" w:rsidP="00C80523">
            <w:pPr>
              <w:pStyle w:val="Tabletext"/>
              <w:jc w:val="center"/>
              <w:rPr>
                <w:i/>
                <w:iCs/>
                <w:lang w:eastAsia="zh-CN"/>
              </w:rPr>
            </w:pPr>
            <w:r w:rsidRPr="009257C7">
              <w:rPr>
                <w:i/>
                <w:iCs/>
                <w:lang w:eastAsia="zh-CN"/>
              </w:rPr>
              <w:t>RR-12 (48 meses)</w:t>
            </w:r>
          </w:p>
        </w:tc>
        <w:tc>
          <w:tcPr>
            <w:tcW w:w="2268" w:type="dxa"/>
            <w:tcBorders>
              <w:top w:val="single" w:sz="4" w:space="0" w:color="auto"/>
              <w:bottom w:val="single" w:sz="4" w:space="0" w:color="auto"/>
            </w:tcBorders>
            <w:shd w:val="clear" w:color="auto" w:fill="auto"/>
            <w:vAlign w:val="center"/>
            <w:hideMark/>
          </w:tcPr>
          <w:p w:rsidR="00C80523" w:rsidRPr="009257C7" w:rsidRDefault="00C80523" w:rsidP="005D0EF6">
            <w:pPr>
              <w:pStyle w:val="Tabletext"/>
              <w:jc w:val="center"/>
            </w:pPr>
            <w:r w:rsidRPr="009257C7">
              <w:t>19 594</w:t>
            </w:r>
          </w:p>
        </w:tc>
        <w:tc>
          <w:tcPr>
            <w:tcW w:w="2268" w:type="dxa"/>
            <w:tcBorders>
              <w:top w:val="single" w:sz="4" w:space="0" w:color="auto"/>
              <w:bottom w:val="single" w:sz="4" w:space="0" w:color="auto"/>
            </w:tcBorders>
            <w:shd w:val="clear" w:color="auto" w:fill="auto"/>
            <w:vAlign w:val="center"/>
            <w:hideMark/>
          </w:tcPr>
          <w:p w:rsidR="00C80523" w:rsidRPr="009257C7" w:rsidRDefault="00C80523" w:rsidP="005D0EF6">
            <w:pPr>
              <w:pStyle w:val="Tabletext"/>
              <w:jc w:val="center"/>
            </w:pPr>
            <w:r w:rsidRPr="009257C7">
              <w:t>39 653</w:t>
            </w:r>
          </w:p>
        </w:tc>
      </w:tr>
      <w:tr w:rsidR="00C80523" w:rsidRPr="009257C7" w:rsidTr="005D0EF6">
        <w:trPr>
          <w:trHeight w:val="315"/>
          <w:jc w:val="center"/>
        </w:trPr>
        <w:tc>
          <w:tcPr>
            <w:tcW w:w="3969" w:type="dxa"/>
            <w:tcBorders>
              <w:top w:val="single" w:sz="4" w:space="0" w:color="auto"/>
              <w:left w:val="single" w:sz="8" w:space="0" w:color="auto"/>
              <w:bottom w:val="single" w:sz="4" w:space="0" w:color="auto"/>
            </w:tcBorders>
            <w:shd w:val="clear" w:color="auto" w:fill="auto"/>
            <w:vAlign w:val="center"/>
          </w:tcPr>
          <w:p w:rsidR="00C80523" w:rsidRPr="009257C7" w:rsidRDefault="00C80523" w:rsidP="005D0EF6">
            <w:pPr>
              <w:pStyle w:val="Tabletext"/>
              <w:jc w:val="center"/>
              <w:rPr>
                <w:i/>
                <w:iCs/>
                <w:lang w:eastAsia="zh-CN"/>
              </w:rPr>
            </w:pPr>
            <w:r w:rsidRPr="009257C7">
              <w:rPr>
                <w:i/>
                <w:iCs/>
                <w:lang w:eastAsia="zh-CN"/>
              </w:rPr>
              <w:t>RR-16 (desde diciembre de 2016)</w:t>
            </w:r>
          </w:p>
        </w:tc>
        <w:tc>
          <w:tcPr>
            <w:tcW w:w="2268" w:type="dxa"/>
            <w:tcBorders>
              <w:top w:val="single" w:sz="4" w:space="0" w:color="auto"/>
              <w:bottom w:val="single" w:sz="4" w:space="0" w:color="auto"/>
            </w:tcBorders>
            <w:shd w:val="clear" w:color="auto" w:fill="auto"/>
            <w:vAlign w:val="center"/>
          </w:tcPr>
          <w:p w:rsidR="00C80523" w:rsidRPr="009257C7" w:rsidRDefault="00C80523" w:rsidP="005D0EF6">
            <w:pPr>
              <w:pStyle w:val="Tabletext"/>
              <w:jc w:val="center"/>
            </w:pPr>
            <w:r w:rsidRPr="009257C7">
              <w:t>6 565</w:t>
            </w:r>
          </w:p>
        </w:tc>
        <w:tc>
          <w:tcPr>
            <w:tcW w:w="2268" w:type="dxa"/>
            <w:tcBorders>
              <w:top w:val="single" w:sz="4" w:space="0" w:color="auto"/>
              <w:bottom w:val="single" w:sz="4" w:space="0" w:color="auto"/>
            </w:tcBorders>
            <w:shd w:val="clear" w:color="auto" w:fill="auto"/>
            <w:vAlign w:val="center"/>
          </w:tcPr>
          <w:p w:rsidR="00C80523" w:rsidRPr="009257C7" w:rsidRDefault="00C80523" w:rsidP="005D0EF6">
            <w:pPr>
              <w:pStyle w:val="Tabletext"/>
              <w:jc w:val="center"/>
            </w:pPr>
            <w:r w:rsidRPr="009257C7">
              <w:t>5 342</w:t>
            </w:r>
          </w:p>
        </w:tc>
      </w:tr>
      <w:tr w:rsidR="00C80523" w:rsidRPr="009257C7" w:rsidTr="005D0EF6">
        <w:trPr>
          <w:trHeight w:val="315"/>
          <w:jc w:val="center"/>
        </w:trPr>
        <w:tc>
          <w:tcPr>
            <w:tcW w:w="3969" w:type="dxa"/>
            <w:tcBorders>
              <w:top w:val="single" w:sz="4" w:space="0" w:color="auto"/>
              <w:left w:val="single" w:sz="8" w:space="0" w:color="auto"/>
              <w:bottom w:val="single" w:sz="4" w:space="0" w:color="auto"/>
            </w:tcBorders>
            <w:shd w:val="clear" w:color="auto" w:fill="auto"/>
            <w:vAlign w:val="center"/>
          </w:tcPr>
          <w:p w:rsidR="00C80523" w:rsidRPr="009257C7" w:rsidRDefault="00C80523" w:rsidP="005D0EF6">
            <w:pPr>
              <w:pStyle w:val="Tabletext"/>
              <w:jc w:val="center"/>
              <w:rPr>
                <w:i/>
                <w:iCs/>
                <w:lang w:eastAsia="zh-CN"/>
              </w:rPr>
            </w:pPr>
            <w:r w:rsidRPr="009257C7">
              <w:rPr>
                <w:i/>
                <w:iCs/>
                <w:lang w:eastAsia="zh-CN"/>
              </w:rPr>
              <w:t xml:space="preserve">RdP 2012 (desde la decisión </w:t>
            </w:r>
            <w:r w:rsidRPr="009257C7">
              <w:rPr>
                <w:i/>
                <w:iCs/>
                <w:lang w:eastAsia="zh-CN"/>
              </w:rPr>
              <w:br/>
              <w:t>del Consejo en 2014)</w:t>
            </w:r>
          </w:p>
        </w:tc>
        <w:tc>
          <w:tcPr>
            <w:tcW w:w="2268" w:type="dxa"/>
            <w:tcBorders>
              <w:top w:val="single" w:sz="4" w:space="0" w:color="auto"/>
              <w:bottom w:val="single" w:sz="4" w:space="0" w:color="auto"/>
            </w:tcBorders>
            <w:shd w:val="clear" w:color="auto" w:fill="auto"/>
            <w:vAlign w:val="center"/>
          </w:tcPr>
          <w:p w:rsidR="00C80523" w:rsidRPr="009257C7" w:rsidRDefault="00C80523" w:rsidP="005D0EF6">
            <w:pPr>
              <w:pStyle w:val="Tabletext"/>
              <w:jc w:val="center"/>
            </w:pPr>
            <w:r w:rsidRPr="009257C7">
              <w:t>26</w:t>
            </w:r>
          </w:p>
        </w:tc>
        <w:tc>
          <w:tcPr>
            <w:tcW w:w="2268" w:type="dxa"/>
            <w:tcBorders>
              <w:top w:val="single" w:sz="4" w:space="0" w:color="auto"/>
              <w:bottom w:val="single" w:sz="4" w:space="0" w:color="auto"/>
            </w:tcBorders>
            <w:shd w:val="clear" w:color="auto" w:fill="auto"/>
            <w:vAlign w:val="center"/>
          </w:tcPr>
          <w:p w:rsidR="00C80523" w:rsidRPr="009257C7" w:rsidRDefault="00C80523" w:rsidP="005D0EF6">
            <w:pPr>
              <w:pStyle w:val="Tabletext"/>
              <w:jc w:val="center"/>
            </w:pPr>
            <w:r w:rsidRPr="009257C7">
              <w:t>3 776</w:t>
            </w:r>
          </w:p>
        </w:tc>
      </w:tr>
      <w:tr w:rsidR="00C80523" w:rsidRPr="009257C7" w:rsidTr="005D0EF6">
        <w:trPr>
          <w:trHeight w:val="315"/>
          <w:jc w:val="center"/>
        </w:trPr>
        <w:tc>
          <w:tcPr>
            <w:tcW w:w="3969" w:type="dxa"/>
            <w:tcBorders>
              <w:top w:val="single" w:sz="4" w:space="0" w:color="auto"/>
              <w:left w:val="single" w:sz="8" w:space="0" w:color="auto"/>
            </w:tcBorders>
            <w:shd w:val="clear" w:color="auto" w:fill="auto"/>
            <w:vAlign w:val="center"/>
          </w:tcPr>
          <w:p w:rsidR="00C80523" w:rsidRPr="009257C7" w:rsidRDefault="00C80523" w:rsidP="005D0EF6">
            <w:pPr>
              <w:pStyle w:val="Tabletext"/>
              <w:jc w:val="center"/>
              <w:rPr>
                <w:i/>
                <w:iCs/>
                <w:lang w:eastAsia="zh-CN"/>
              </w:rPr>
            </w:pPr>
            <w:r w:rsidRPr="009257C7">
              <w:rPr>
                <w:i/>
                <w:iCs/>
                <w:lang w:eastAsia="zh-CN"/>
              </w:rPr>
              <w:t>RdP 2017</w:t>
            </w:r>
          </w:p>
        </w:tc>
        <w:tc>
          <w:tcPr>
            <w:tcW w:w="2268" w:type="dxa"/>
            <w:tcBorders>
              <w:top w:val="single" w:sz="4" w:space="0" w:color="auto"/>
            </w:tcBorders>
            <w:shd w:val="clear" w:color="auto" w:fill="auto"/>
            <w:vAlign w:val="center"/>
          </w:tcPr>
          <w:p w:rsidR="00C80523" w:rsidRPr="009257C7" w:rsidRDefault="00C80523" w:rsidP="005D0EF6">
            <w:pPr>
              <w:pStyle w:val="Tabletext"/>
              <w:jc w:val="center"/>
            </w:pPr>
            <w:r w:rsidRPr="009257C7">
              <w:t>–</w:t>
            </w:r>
          </w:p>
        </w:tc>
        <w:tc>
          <w:tcPr>
            <w:tcW w:w="2268" w:type="dxa"/>
            <w:tcBorders>
              <w:top w:val="single" w:sz="4" w:space="0" w:color="auto"/>
            </w:tcBorders>
            <w:shd w:val="clear" w:color="auto" w:fill="auto"/>
            <w:vAlign w:val="center"/>
          </w:tcPr>
          <w:p w:rsidR="00C80523" w:rsidRPr="009257C7" w:rsidRDefault="00C80523" w:rsidP="005D0EF6">
            <w:pPr>
              <w:pStyle w:val="Tabletext"/>
              <w:jc w:val="center"/>
            </w:pPr>
            <w:r w:rsidRPr="009257C7">
              <w:t>1 003</w:t>
            </w:r>
          </w:p>
        </w:tc>
      </w:tr>
    </w:tbl>
    <w:p w:rsidR="00C80523" w:rsidRPr="009257C7" w:rsidRDefault="00C80523" w:rsidP="00C80523">
      <w:pPr>
        <w:tabs>
          <w:tab w:val="left" w:pos="284"/>
        </w:tabs>
        <w:rPr>
          <w:rFonts w:asciiTheme="majorBidi" w:hAnsiTheme="majorBidi" w:cstheme="majorBidi"/>
          <w:i/>
          <w:iCs/>
          <w:szCs w:val="24"/>
        </w:rPr>
      </w:pPr>
      <w:r w:rsidRPr="009257C7">
        <w:rPr>
          <w:rFonts w:asciiTheme="majorBidi" w:hAnsiTheme="majorBidi" w:cstheme="majorBidi"/>
          <w:i/>
          <w:iCs/>
          <w:szCs w:val="24"/>
        </w:rPr>
        <w:t>*</w:t>
      </w:r>
      <w:r w:rsidRPr="009257C7">
        <w:rPr>
          <w:rFonts w:asciiTheme="majorBidi" w:hAnsiTheme="majorBidi" w:cstheme="majorBidi"/>
          <w:i/>
          <w:iCs/>
          <w:szCs w:val="24"/>
        </w:rPr>
        <w:tab/>
        <w:t>A septiembre de 2018.</w:t>
      </w:r>
    </w:p>
    <w:p w:rsidR="00E7660B" w:rsidRPr="009257C7" w:rsidRDefault="00183B28" w:rsidP="00E7660B">
      <w:pPr>
        <w:pStyle w:val="Heading4"/>
      </w:pPr>
      <w:r w:rsidRPr="009257C7">
        <w:t>9</w:t>
      </w:r>
      <w:r w:rsidR="00E7660B" w:rsidRPr="009257C7">
        <w:t>.1.4.2</w:t>
      </w:r>
      <w:r w:rsidR="00E7660B" w:rsidRPr="009257C7">
        <w:tab/>
        <w:t>Recomendaciones UIT-R</w:t>
      </w:r>
    </w:p>
    <w:p w:rsidR="00E7660B" w:rsidRPr="009257C7" w:rsidRDefault="00E7660B" w:rsidP="00B7668D">
      <w:r w:rsidRPr="009257C7">
        <w:t xml:space="preserve">A consecuencia de la política de acceso gratuito en línea, las Recomendaciones UIT-R </w:t>
      </w:r>
      <w:r w:rsidR="00E57066" w:rsidRPr="009257C7">
        <w:t xml:space="preserve">están disponibles </w:t>
      </w:r>
      <w:r w:rsidRPr="009257C7">
        <w:t>a escala mundial y se han convertido en una referencia universal. En el periodo de 48</w:t>
      </w:r>
      <w:r w:rsidR="00B7668D" w:rsidRPr="009257C7">
        <w:t> </w:t>
      </w:r>
      <w:r w:rsidRPr="009257C7">
        <w:t>meses (desde enero de 2014 a diciembre de</w:t>
      </w:r>
      <w:r w:rsidR="00B7668D" w:rsidRPr="009257C7">
        <w:t xml:space="preserve"> </w:t>
      </w:r>
      <w:r w:rsidR="00A476E2" w:rsidRPr="009257C7">
        <w:t>2018</w:t>
      </w:r>
      <w:r w:rsidRPr="009257C7">
        <w:t xml:space="preserve">) se han registrado más de </w:t>
      </w:r>
      <w:r w:rsidR="00A476E2" w:rsidRPr="009257C7">
        <w:t>s</w:t>
      </w:r>
      <w:r w:rsidR="00E57066" w:rsidRPr="009257C7">
        <w:t xml:space="preserve">eis </w:t>
      </w:r>
      <w:r w:rsidRPr="009257C7">
        <w:t xml:space="preserve">millones de descargas de Recomendaciones UIT-R desde el sitio web de la UIT. En el Cuadro </w:t>
      </w:r>
      <w:r w:rsidR="00A476E2" w:rsidRPr="009257C7">
        <w:t>9</w:t>
      </w:r>
      <w:r w:rsidRPr="009257C7">
        <w:t xml:space="preserve">.1.4.2-1 se resume su distribución por año y serie. Actualmente hay 1 </w:t>
      </w:r>
      <w:r w:rsidR="00A476E2" w:rsidRPr="009257C7">
        <w:t>181</w:t>
      </w:r>
      <w:r w:rsidRPr="009257C7">
        <w:t xml:space="preserve"> Recomendaciones UIT-R en vigor, por lo que la media de descargas es de más de mil por Recomendación.</w:t>
      </w:r>
    </w:p>
    <w:p w:rsidR="009C3AA8" w:rsidRPr="009257C7" w:rsidRDefault="009C3AA8" w:rsidP="009C3AA8">
      <w:pPr>
        <w:pStyle w:val="TableNoBR"/>
      </w:pPr>
      <w:r w:rsidRPr="009257C7">
        <w:t>CUADRO 9.1.4.2-1</w:t>
      </w:r>
    </w:p>
    <w:p w:rsidR="009C3AA8" w:rsidRPr="009257C7" w:rsidRDefault="009C3AA8" w:rsidP="009C3AA8">
      <w:pPr>
        <w:pStyle w:val="TabletitleBR"/>
      </w:pPr>
      <w:r w:rsidRPr="009257C7">
        <w:t>Distribución de Recomendaciones UIT-R</w:t>
      </w:r>
    </w:p>
    <w:tbl>
      <w:tblPr>
        <w:tblW w:w="7930" w:type="dxa"/>
        <w:jc w:val="center"/>
        <w:tblLook w:val="04A0" w:firstRow="1" w:lastRow="0" w:firstColumn="1" w:lastColumn="0" w:noHBand="0" w:noVBand="1"/>
      </w:tblPr>
      <w:tblGrid>
        <w:gridCol w:w="1070"/>
        <w:gridCol w:w="1176"/>
        <w:gridCol w:w="1176"/>
        <w:gridCol w:w="1176"/>
        <w:gridCol w:w="1176"/>
        <w:gridCol w:w="1176"/>
        <w:gridCol w:w="980"/>
      </w:tblGrid>
      <w:tr w:rsidR="009C3AA8" w:rsidRPr="009257C7" w:rsidTr="005D0EF6">
        <w:trPr>
          <w:trHeight w:val="330"/>
          <w:jc w:val="center"/>
        </w:trPr>
        <w:tc>
          <w:tcPr>
            <w:tcW w:w="10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C3AA8" w:rsidRPr="009257C7" w:rsidRDefault="009C3AA8" w:rsidP="005D0EF6">
            <w:pPr>
              <w:pStyle w:val="Tablehead"/>
            </w:pPr>
            <w:r w:rsidRPr="009257C7">
              <w:t>SERIES</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head"/>
            </w:pPr>
            <w:r w:rsidRPr="009257C7">
              <w:t>2015</w:t>
            </w:r>
          </w:p>
        </w:tc>
        <w:tc>
          <w:tcPr>
            <w:tcW w:w="1176" w:type="dxa"/>
            <w:tcBorders>
              <w:top w:val="single" w:sz="8" w:space="0" w:color="auto"/>
              <w:left w:val="nil"/>
              <w:bottom w:val="single" w:sz="8" w:space="0" w:color="auto"/>
              <w:right w:val="single" w:sz="8" w:space="0" w:color="auto"/>
            </w:tcBorders>
            <w:shd w:val="clear" w:color="auto" w:fill="auto"/>
            <w:vAlign w:val="center"/>
            <w:hideMark/>
          </w:tcPr>
          <w:p w:rsidR="009C3AA8" w:rsidRPr="009257C7" w:rsidRDefault="009C3AA8" w:rsidP="005D0EF6">
            <w:pPr>
              <w:pStyle w:val="Tablehead"/>
            </w:pPr>
            <w:r w:rsidRPr="009257C7">
              <w:t>2016</w:t>
            </w:r>
          </w:p>
        </w:tc>
        <w:tc>
          <w:tcPr>
            <w:tcW w:w="1176" w:type="dxa"/>
            <w:tcBorders>
              <w:top w:val="single" w:sz="8" w:space="0" w:color="auto"/>
              <w:left w:val="nil"/>
              <w:bottom w:val="single" w:sz="8" w:space="0" w:color="auto"/>
              <w:right w:val="single" w:sz="8" w:space="0" w:color="auto"/>
            </w:tcBorders>
            <w:shd w:val="clear" w:color="auto" w:fill="auto"/>
            <w:vAlign w:val="center"/>
            <w:hideMark/>
          </w:tcPr>
          <w:p w:rsidR="009C3AA8" w:rsidRPr="009257C7" w:rsidRDefault="009C3AA8" w:rsidP="005D0EF6">
            <w:pPr>
              <w:pStyle w:val="Tablehead"/>
            </w:pPr>
            <w:r w:rsidRPr="009257C7">
              <w:t>2017</w:t>
            </w:r>
          </w:p>
        </w:tc>
        <w:tc>
          <w:tcPr>
            <w:tcW w:w="1176" w:type="dxa"/>
            <w:tcBorders>
              <w:top w:val="single" w:sz="8" w:space="0" w:color="auto"/>
              <w:left w:val="nil"/>
              <w:bottom w:val="single" w:sz="8" w:space="0" w:color="auto"/>
              <w:right w:val="single" w:sz="8" w:space="0" w:color="auto"/>
            </w:tcBorders>
            <w:shd w:val="clear" w:color="auto" w:fill="auto"/>
            <w:vAlign w:val="center"/>
            <w:hideMark/>
          </w:tcPr>
          <w:p w:rsidR="009C3AA8" w:rsidRPr="009257C7" w:rsidRDefault="009C3AA8" w:rsidP="005D0EF6">
            <w:pPr>
              <w:pStyle w:val="Tablehead"/>
            </w:pPr>
            <w:r w:rsidRPr="009257C7">
              <w:t>2018*</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head"/>
            </w:pPr>
            <w:r w:rsidRPr="009257C7">
              <w:t>Total</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head"/>
            </w:pPr>
            <w:r w:rsidRPr="009257C7">
              <w:t>2018%</w:t>
            </w:r>
          </w:p>
        </w:tc>
      </w:tr>
      <w:tr w:rsidR="009C3AA8" w:rsidRPr="009257C7" w:rsidTr="005D0EF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9C3AA8" w:rsidRPr="009257C7" w:rsidRDefault="009C3AA8" w:rsidP="005D0EF6">
            <w:pPr>
              <w:pStyle w:val="Tabletext"/>
              <w:rPr>
                <w:b/>
                <w:bCs/>
              </w:rPr>
            </w:pPr>
            <w:r w:rsidRPr="009257C7">
              <w:rPr>
                <w:b/>
                <w:bCs/>
              </w:rPr>
              <w:t>P</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center"/>
            </w:pPr>
            <w:r w:rsidRPr="009257C7">
              <w:t>187 575</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364 869</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316 019</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280 201</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1 148 664</w:t>
            </w:r>
          </w:p>
        </w:tc>
        <w:tc>
          <w:tcPr>
            <w:tcW w:w="980"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20,6%</w:t>
            </w:r>
          </w:p>
        </w:tc>
      </w:tr>
      <w:tr w:rsidR="009C3AA8" w:rsidRPr="009257C7" w:rsidTr="005D0EF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9C3AA8" w:rsidRPr="009257C7" w:rsidRDefault="009C3AA8" w:rsidP="005D0EF6">
            <w:pPr>
              <w:pStyle w:val="Tabletext"/>
              <w:rPr>
                <w:b/>
                <w:bCs/>
              </w:rPr>
            </w:pPr>
            <w:r w:rsidRPr="009257C7">
              <w:rPr>
                <w:b/>
                <w:bCs/>
              </w:rPr>
              <w:t>M</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center"/>
            </w:pPr>
            <w:r w:rsidRPr="009257C7">
              <w:t>178 190</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301 869</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269 185</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254 048</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1 003 292</w:t>
            </w:r>
          </w:p>
        </w:tc>
        <w:tc>
          <w:tcPr>
            <w:tcW w:w="980"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18,0%</w:t>
            </w:r>
          </w:p>
        </w:tc>
      </w:tr>
      <w:tr w:rsidR="009C3AA8" w:rsidRPr="009257C7" w:rsidTr="005D0EF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9C3AA8" w:rsidRPr="009257C7" w:rsidRDefault="009C3AA8" w:rsidP="005D0EF6">
            <w:pPr>
              <w:pStyle w:val="Tabletext"/>
              <w:rPr>
                <w:b/>
                <w:bCs/>
              </w:rPr>
            </w:pPr>
            <w:r w:rsidRPr="009257C7">
              <w:rPr>
                <w:b/>
                <w:bCs/>
              </w:rPr>
              <w:t>BT</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center"/>
            </w:pPr>
            <w:r w:rsidRPr="009257C7">
              <w:t>155 065</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235 758</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208 528</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182 366</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781 717</w:t>
            </w:r>
          </w:p>
        </w:tc>
        <w:tc>
          <w:tcPr>
            <w:tcW w:w="980"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14,0%</w:t>
            </w:r>
          </w:p>
        </w:tc>
      </w:tr>
      <w:tr w:rsidR="009C3AA8" w:rsidRPr="009257C7" w:rsidTr="005D0EF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9C3AA8" w:rsidRPr="009257C7" w:rsidRDefault="009C3AA8" w:rsidP="005D0EF6">
            <w:pPr>
              <w:pStyle w:val="Tabletext"/>
              <w:rPr>
                <w:b/>
                <w:bCs/>
              </w:rPr>
            </w:pPr>
            <w:r w:rsidRPr="009257C7">
              <w:rPr>
                <w:b/>
                <w:bCs/>
              </w:rPr>
              <w:t>F</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center"/>
            </w:pPr>
            <w:r w:rsidRPr="009257C7">
              <w:t>109 187</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187 344</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147 502</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136 164</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580 197</w:t>
            </w:r>
          </w:p>
        </w:tc>
        <w:tc>
          <w:tcPr>
            <w:tcW w:w="980"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10,4%</w:t>
            </w:r>
          </w:p>
        </w:tc>
      </w:tr>
      <w:tr w:rsidR="009C3AA8" w:rsidRPr="009257C7" w:rsidTr="005D0EF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9C3AA8" w:rsidRPr="009257C7" w:rsidRDefault="009C3AA8" w:rsidP="005D0EF6">
            <w:pPr>
              <w:pStyle w:val="Tabletext"/>
              <w:rPr>
                <w:b/>
                <w:bCs/>
              </w:rPr>
            </w:pPr>
            <w:r w:rsidRPr="009257C7">
              <w:rPr>
                <w:b/>
                <w:bCs/>
              </w:rPr>
              <w:t>SM</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center"/>
            </w:pPr>
            <w:r w:rsidRPr="009257C7">
              <w:t>102 711</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187 123</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152 305</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135 637</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577 776</w:t>
            </w:r>
          </w:p>
        </w:tc>
        <w:tc>
          <w:tcPr>
            <w:tcW w:w="980"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10,4%</w:t>
            </w:r>
          </w:p>
        </w:tc>
      </w:tr>
      <w:tr w:rsidR="009C3AA8" w:rsidRPr="009257C7" w:rsidTr="005D0EF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9C3AA8" w:rsidRPr="009257C7" w:rsidRDefault="009C3AA8" w:rsidP="005D0EF6">
            <w:pPr>
              <w:pStyle w:val="Tabletext"/>
              <w:rPr>
                <w:b/>
                <w:bCs/>
              </w:rPr>
            </w:pPr>
            <w:r w:rsidRPr="009257C7">
              <w:rPr>
                <w:b/>
                <w:bCs/>
              </w:rPr>
              <w:t>BS</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center"/>
            </w:pPr>
            <w:r w:rsidRPr="009257C7">
              <w:t>77 553</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135 300</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131 647</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107 795</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452 295</w:t>
            </w:r>
          </w:p>
        </w:tc>
        <w:tc>
          <w:tcPr>
            <w:tcW w:w="980"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8,1%</w:t>
            </w:r>
          </w:p>
        </w:tc>
      </w:tr>
      <w:tr w:rsidR="009C3AA8" w:rsidRPr="009257C7" w:rsidTr="005D0EF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9C3AA8" w:rsidRPr="009257C7" w:rsidRDefault="009C3AA8" w:rsidP="005D0EF6">
            <w:pPr>
              <w:pStyle w:val="Tabletext"/>
              <w:rPr>
                <w:b/>
                <w:bCs/>
              </w:rPr>
            </w:pPr>
            <w:r w:rsidRPr="009257C7">
              <w:rPr>
                <w:b/>
                <w:bCs/>
              </w:rPr>
              <w:t>S</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center"/>
            </w:pPr>
            <w:r w:rsidRPr="009257C7">
              <w:t>63 020</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123 412</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103 445</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90 408</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380 285</w:t>
            </w:r>
          </w:p>
        </w:tc>
        <w:tc>
          <w:tcPr>
            <w:tcW w:w="980"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6,8%</w:t>
            </w:r>
          </w:p>
        </w:tc>
      </w:tr>
      <w:tr w:rsidR="009C3AA8" w:rsidRPr="009257C7" w:rsidTr="005D0EF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9C3AA8" w:rsidRPr="009257C7" w:rsidRDefault="009C3AA8" w:rsidP="005D0EF6">
            <w:pPr>
              <w:pStyle w:val="Tabletext"/>
              <w:rPr>
                <w:b/>
                <w:bCs/>
              </w:rPr>
            </w:pPr>
            <w:r w:rsidRPr="009257C7">
              <w:rPr>
                <w:b/>
                <w:bCs/>
              </w:rPr>
              <w:t>SA</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center"/>
            </w:pPr>
            <w:r w:rsidRPr="009257C7">
              <w:t>25 278</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36 547</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32 071</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34 735</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128 631</w:t>
            </w:r>
          </w:p>
        </w:tc>
        <w:tc>
          <w:tcPr>
            <w:tcW w:w="980"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2,3%</w:t>
            </w:r>
          </w:p>
        </w:tc>
      </w:tr>
      <w:tr w:rsidR="009C3AA8" w:rsidRPr="009257C7" w:rsidTr="005D0EF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9C3AA8" w:rsidRPr="009257C7" w:rsidRDefault="009C3AA8" w:rsidP="005D0EF6">
            <w:pPr>
              <w:pStyle w:val="Tabletext"/>
              <w:rPr>
                <w:b/>
                <w:bCs/>
              </w:rPr>
            </w:pPr>
            <w:r w:rsidRPr="009257C7">
              <w:rPr>
                <w:b/>
                <w:bCs/>
              </w:rPr>
              <w:t>V</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center"/>
            </w:pPr>
            <w:r w:rsidRPr="009257C7">
              <w:t>15 135</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22 757</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25 168</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25 301</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88 361</w:t>
            </w:r>
          </w:p>
        </w:tc>
        <w:tc>
          <w:tcPr>
            <w:tcW w:w="980"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1,6%</w:t>
            </w:r>
          </w:p>
        </w:tc>
      </w:tr>
      <w:tr w:rsidR="009C3AA8" w:rsidRPr="009257C7" w:rsidTr="005D0EF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9C3AA8" w:rsidRPr="009257C7" w:rsidRDefault="009C3AA8" w:rsidP="005D0EF6">
            <w:pPr>
              <w:pStyle w:val="Tabletext"/>
              <w:rPr>
                <w:b/>
                <w:bCs/>
              </w:rPr>
            </w:pPr>
            <w:r w:rsidRPr="009257C7">
              <w:rPr>
                <w:b/>
                <w:bCs/>
              </w:rPr>
              <w:t>BO</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center"/>
            </w:pPr>
            <w:r w:rsidRPr="009257C7">
              <w:t>18 651</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32 637</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28 578</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21 263</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101 129</w:t>
            </w:r>
          </w:p>
        </w:tc>
        <w:tc>
          <w:tcPr>
            <w:tcW w:w="980"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1,8%</w:t>
            </w:r>
          </w:p>
        </w:tc>
      </w:tr>
      <w:tr w:rsidR="009C3AA8" w:rsidRPr="009257C7" w:rsidTr="005D0EF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9C3AA8" w:rsidRPr="009257C7" w:rsidRDefault="009C3AA8" w:rsidP="005D0EF6">
            <w:pPr>
              <w:pStyle w:val="Tabletext"/>
              <w:rPr>
                <w:b/>
                <w:bCs/>
              </w:rPr>
            </w:pPr>
            <w:r w:rsidRPr="009257C7">
              <w:rPr>
                <w:b/>
                <w:bCs/>
              </w:rPr>
              <w:t>RS</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center"/>
            </w:pPr>
            <w:r w:rsidRPr="009257C7">
              <w:t>16 055</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20 044</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18 827</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19 778</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74 704</w:t>
            </w:r>
          </w:p>
        </w:tc>
        <w:tc>
          <w:tcPr>
            <w:tcW w:w="980"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1,3%</w:t>
            </w:r>
          </w:p>
        </w:tc>
      </w:tr>
      <w:tr w:rsidR="009C3AA8" w:rsidRPr="009257C7" w:rsidTr="005D0EF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9C3AA8" w:rsidRPr="009257C7" w:rsidRDefault="009C3AA8" w:rsidP="005D0EF6">
            <w:pPr>
              <w:pStyle w:val="Tabletext"/>
              <w:rPr>
                <w:b/>
                <w:bCs/>
              </w:rPr>
            </w:pPr>
            <w:r w:rsidRPr="009257C7">
              <w:rPr>
                <w:b/>
                <w:bCs/>
              </w:rPr>
              <w:t>SF</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center"/>
            </w:pPr>
            <w:r w:rsidRPr="009257C7">
              <w:t>13 704</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22 779</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18 354</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17 323</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72 160</w:t>
            </w:r>
          </w:p>
        </w:tc>
        <w:tc>
          <w:tcPr>
            <w:tcW w:w="980"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1,3%</w:t>
            </w:r>
          </w:p>
        </w:tc>
      </w:tr>
      <w:tr w:rsidR="009C3AA8" w:rsidRPr="009257C7" w:rsidTr="005D0EF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9C3AA8" w:rsidRPr="009257C7" w:rsidRDefault="009C3AA8" w:rsidP="005D0EF6">
            <w:pPr>
              <w:pStyle w:val="Tabletext"/>
              <w:rPr>
                <w:b/>
                <w:bCs/>
              </w:rPr>
            </w:pPr>
            <w:r w:rsidRPr="009257C7">
              <w:rPr>
                <w:b/>
                <w:bCs/>
              </w:rPr>
              <w:t>TF</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center"/>
            </w:pPr>
            <w:r w:rsidRPr="009257C7">
              <w:t>16 662</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20 511</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15 181</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15 584</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67 938</w:t>
            </w:r>
          </w:p>
        </w:tc>
        <w:tc>
          <w:tcPr>
            <w:tcW w:w="980"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1,2%</w:t>
            </w:r>
          </w:p>
        </w:tc>
      </w:tr>
      <w:tr w:rsidR="009C3AA8" w:rsidRPr="009257C7" w:rsidTr="005D0EF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9C3AA8" w:rsidRPr="009257C7" w:rsidRDefault="009C3AA8" w:rsidP="005D0EF6">
            <w:pPr>
              <w:pStyle w:val="Tabletext"/>
              <w:rPr>
                <w:b/>
                <w:bCs/>
              </w:rPr>
            </w:pPr>
            <w:r w:rsidRPr="009257C7">
              <w:rPr>
                <w:b/>
                <w:bCs/>
              </w:rPr>
              <w:t>BR</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center"/>
            </w:pPr>
            <w:r w:rsidRPr="009257C7">
              <w:t>11 240</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15 632</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16 844</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15 014</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58 730</w:t>
            </w:r>
          </w:p>
        </w:tc>
        <w:tc>
          <w:tcPr>
            <w:tcW w:w="980"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1,1%</w:t>
            </w:r>
          </w:p>
        </w:tc>
      </w:tr>
      <w:tr w:rsidR="009C3AA8" w:rsidRPr="009257C7" w:rsidTr="005D0EF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9C3AA8" w:rsidRPr="009257C7" w:rsidRDefault="009C3AA8" w:rsidP="005D0EF6">
            <w:pPr>
              <w:pStyle w:val="Tabletext"/>
              <w:rPr>
                <w:b/>
                <w:bCs/>
              </w:rPr>
            </w:pPr>
            <w:r w:rsidRPr="009257C7">
              <w:rPr>
                <w:b/>
                <w:bCs/>
              </w:rPr>
              <w:t>RA</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center"/>
            </w:pPr>
            <w:r w:rsidRPr="009257C7">
              <w:t>7 744</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12 514</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9 589</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9 100</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38 947</w:t>
            </w:r>
          </w:p>
        </w:tc>
        <w:tc>
          <w:tcPr>
            <w:tcW w:w="980"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0,7%</w:t>
            </w:r>
          </w:p>
        </w:tc>
      </w:tr>
      <w:tr w:rsidR="009C3AA8" w:rsidRPr="009257C7" w:rsidTr="005D0EF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9C3AA8" w:rsidRPr="009257C7" w:rsidRDefault="009C3AA8" w:rsidP="005D0EF6">
            <w:pPr>
              <w:pStyle w:val="Tabletext"/>
              <w:rPr>
                <w:b/>
                <w:bCs/>
              </w:rPr>
            </w:pPr>
            <w:r w:rsidRPr="009257C7">
              <w:rPr>
                <w:b/>
                <w:bCs/>
              </w:rPr>
              <w:t>SNG</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center"/>
            </w:pPr>
            <w:r w:rsidRPr="009257C7">
              <w:t>3 464</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4 809</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3 221</w:t>
            </w:r>
          </w:p>
        </w:tc>
        <w:tc>
          <w:tcPr>
            <w:tcW w:w="1176" w:type="dxa"/>
            <w:tcBorders>
              <w:top w:val="nil"/>
              <w:left w:val="nil"/>
              <w:bottom w:val="single" w:sz="8" w:space="0" w:color="auto"/>
              <w:right w:val="single" w:sz="8" w:space="0" w:color="auto"/>
            </w:tcBorders>
            <w:shd w:val="clear" w:color="auto" w:fill="auto"/>
            <w:vAlign w:val="center"/>
            <w:hideMark/>
          </w:tcPr>
          <w:p w:rsidR="009C3AA8" w:rsidRPr="009257C7" w:rsidRDefault="009C3AA8" w:rsidP="005D0EF6">
            <w:pPr>
              <w:pStyle w:val="Tabletext"/>
              <w:jc w:val="center"/>
            </w:pPr>
            <w:r w:rsidRPr="009257C7">
              <w:t>3 049</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14 543</w:t>
            </w:r>
          </w:p>
        </w:tc>
        <w:tc>
          <w:tcPr>
            <w:tcW w:w="980"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0,3%</w:t>
            </w:r>
          </w:p>
        </w:tc>
      </w:tr>
      <w:tr w:rsidR="009C3AA8" w:rsidRPr="009257C7" w:rsidTr="005D0EF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9C3AA8" w:rsidRPr="009257C7" w:rsidRDefault="009C3AA8" w:rsidP="005D0EF6">
            <w:pPr>
              <w:pStyle w:val="Tabletext"/>
              <w:rPr>
                <w:b/>
                <w:bCs/>
              </w:rPr>
            </w:pPr>
            <w:r w:rsidRPr="009257C7">
              <w:rPr>
                <w:b/>
                <w:bCs/>
              </w:rPr>
              <w:t>TOTAL</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1 001 234</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1 723 905</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1 496 464</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1 347 766</w:t>
            </w:r>
          </w:p>
        </w:tc>
        <w:tc>
          <w:tcPr>
            <w:tcW w:w="1176"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5 569 369</w:t>
            </w:r>
          </w:p>
        </w:tc>
        <w:tc>
          <w:tcPr>
            <w:tcW w:w="980" w:type="dxa"/>
            <w:tcBorders>
              <w:top w:val="nil"/>
              <w:left w:val="nil"/>
              <w:bottom w:val="single" w:sz="8" w:space="0" w:color="auto"/>
              <w:right w:val="single" w:sz="8" w:space="0" w:color="auto"/>
            </w:tcBorders>
            <w:shd w:val="clear" w:color="auto" w:fill="auto"/>
            <w:noWrap/>
            <w:vAlign w:val="center"/>
            <w:hideMark/>
          </w:tcPr>
          <w:p w:rsidR="009C3AA8" w:rsidRPr="009257C7" w:rsidRDefault="009C3AA8" w:rsidP="005D0EF6">
            <w:pPr>
              <w:pStyle w:val="Tabletext"/>
              <w:jc w:val="right"/>
              <w:rPr>
                <w:b/>
                <w:bCs/>
              </w:rPr>
            </w:pPr>
            <w:r w:rsidRPr="009257C7">
              <w:rPr>
                <w:b/>
                <w:bCs/>
              </w:rPr>
              <w:t>100,0%</w:t>
            </w:r>
          </w:p>
        </w:tc>
      </w:tr>
    </w:tbl>
    <w:p w:rsidR="009C3AA8" w:rsidRPr="009257C7" w:rsidRDefault="009C3AA8" w:rsidP="009C3AA8">
      <w:pPr>
        <w:tabs>
          <w:tab w:val="left" w:pos="284"/>
        </w:tabs>
        <w:rPr>
          <w:rFonts w:asciiTheme="majorBidi" w:hAnsiTheme="majorBidi" w:cstheme="majorBidi"/>
          <w:i/>
          <w:iCs/>
          <w:szCs w:val="24"/>
        </w:rPr>
      </w:pPr>
      <w:r w:rsidRPr="009257C7">
        <w:rPr>
          <w:rFonts w:asciiTheme="majorBidi" w:hAnsiTheme="majorBidi" w:cstheme="majorBidi"/>
          <w:i/>
          <w:iCs/>
          <w:szCs w:val="24"/>
        </w:rPr>
        <w:t>*</w:t>
      </w:r>
      <w:r w:rsidRPr="009257C7">
        <w:rPr>
          <w:rFonts w:asciiTheme="majorBidi" w:hAnsiTheme="majorBidi" w:cstheme="majorBidi"/>
          <w:i/>
          <w:iCs/>
          <w:szCs w:val="24"/>
        </w:rPr>
        <w:tab/>
        <w:t>A septiembre de 2018.</w:t>
      </w:r>
    </w:p>
    <w:p w:rsidR="00E7660B" w:rsidRPr="009257C7" w:rsidRDefault="00A476E2" w:rsidP="00E7660B">
      <w:pPr>
        <w:pStyle w:val="Heading4"/>
      </w:pPr>
      <w:r w:rsidRPr="009257C7">
        <w:lastRenderedPageBreak/>
        <w:t>9</w:t>
      </w:r>
      <w:r w:rsidR="00E7660B" w:rsidRPr="009257C7">
        <w:t>.</w:t>
      </w:r>
      <w:r w:rsidR="009C3AA8" w:rsidRPr="009257C7">
        <w:t>1.4.3</w:t>
      </w:r>
      <w:r w:rsidR="009C3AA8" w:rsidRPr="009257C7">
        <w:tab/>
        <w:t>Informes UIT-R</w:t>
      </w:r>
    </w:p>
    <w:p w:rsidR="00E7660B" w:rsidRPr="009257C7" w:rsidRDefault="00E7660B">
      <w:r w:rsidRPr="009257C7">
        <w:t>Al igual que en el caso de las Recomendaciones UIT-R, los Informes UIT-R</w:t>
      </w:r>
      <w:r w:rsidR="00531EAA" w:rsidRPr="009257C7">
        <w:t>, que</w:t>
      </w:r>
      <w:r w:rsidRPr="009257C7">
        <w:t xml:space="preserve"> se han </w:t>
      </w:r>
      <w:r w:rsidR="003403CF" w:rsidRPr="009257C7">
        <w:t xml:space="preserve">publicado </w:t>
      </w:r>
      <w:r w:rsidRPr="009257C7">
        <w:t xml:space="preserve">a escala mundial </w:t>
      </w:r>
      <w:r w:rsidR="00BC6F73" w:rsidRPr="009257C7">
        <w:t>y</w:t>
      </w:r>
      <w:r w:rsidR="003E683E" w:rsidRPr="009257C7">
        <w:t xml:space="preserve"> </w:t>
      </w:r>
      <w:r w:rsidR="00531EAA" w:rsidRPr="009257C7">
        <w:t>se han puesto a disposición de la mayoría de</w:t>
      </w:r>
      <w:r w:rsidR="003E683E" w:rsidRPr="009257C7">
        <w:t xml:space="preserve"> </w:t>
      </w:r>
      <w:r w:rsidRPr="009257C7">
        <w:t>las audiencias</w:t>
      </w:r>
      <w:r w:rsidR="00531EAA" w:rsidRPr="009257C7">
        <w:t>,</w:t>
      </w:r>
      <w:r w:rsidRPr="009257C7">
        <w:t xml:space="preserve"> </w:t>
      </w:r>
      <w:r w:rsidR="00531EAA" w:rsidRPr="009257C7">
        <w:t>han c</w:t>
      </w:r>
      <w:r w:rsidR="00280400" w:rsidRPr="009257C7">
        <w:t>ontribu</w:t>
      </w:r>
      <w:r w:rsidR="00531EAA" w:rsidRPr="009257C7">
        <w:t>ido</w:t>
      </w:r>
      <w:r w:rsidR="00280400" w:rsidRPr="009257C7">
        <w:t xml:space="preserve"> a la adopción de prácticas técnicas idóneas en </w:t>
      </w:r>
      <w:r w:rsidR="00531EAA" w:rsidRPr="009257C7">
        <w:t>diversos ámbitos</w:t>
      </w:r>
      <w:r w:rsidR="00280400" w:rsidRPr="009257C7">
        <w:t xml:space="preserve"> de las radiocomunicaciones</w:t>
      </w:r>
      <w:r w:rsidR="00BF482B" w:rsidRPr="009257C7">
        <w:t>.</w:t>
      </w:r>
      <w:r w:rsidR="00297D24" w:rsidRPr="009257C7">
        <w:t xml:space="preserve"> </w:t>
      </w:r>
      <w:r w:rsidRPr="009257C7">
        <w:t xml:space="preserve">En el periodo de </w:t>
      </w:r>
      <w:r w:rsidR="00A476E2" w:rsidRPr="009257C7">
        <w:t>60</w:t>
      </w:r>
      <w:r w:rsidRPr="009257C7">
        <w:t xml:space="preserve"> meses (desde enero de 2014 a diciembre de</w:t>
      </w:r>
      <w:r w:rsidR="00BF482B" w:rsidRPr="009257C7">
        <w:t xml:space="preserve"> </w:t>
      </w:r>
      <w:r w:rsidR="00A476E2" w:rsidRPr="009257C7">
        <w:t>2018</w:t>
      </w:r>
      <w:r w:rsidRPr="009257C7">
        <w:t xml:space="preserve">) se han registrado más de 1 millón de descargas de Informes UIT-R desde el sitio web de la UIT. En el Cuadro </w:t>
      </w:r>
      <w:r w:rsidR="00A476E2" w:rsidRPr="009257C7">
        <w:t>9</w:t>
      </w:r>
      <w:r w:rsidRPr="009257C7">
        <w:t xml:space="preserve">.1.4.3-1 se resume su distribución por año y serie. En la actualidad hay </w:t>
      </w:r>
      <w:r w:rsidR="00A476E2" w:rsidRPr="009257C7">
        <w:t>557</w:t>
      </w:r>
      <w:r w:rsidRPr="009257C7">
        <w:t xml:space="preserve"> Informes UIT-R en vigor, por lo que la media anual de descargas es de casi 500 por </w:t>
      </w:r>
      <w:r w:rsidR="00290812" w:rsidRPr="009257C7">
        <w:t>Informe</w:t>
      </w:r>
      <w:r w:rsidRPr="009257C7">
        <w:t>.</w:t>
      </w:r>
    </w:p>
    <w:p w:rsidR="00AF1C54" w:rsidRPr="009257C7" w:rsidRDefault="00AF1C54" w:rsidP="00AF1C54">
      <w:pPr>
        <w:pStyle w:val="TableNoBR"/>
      </w:pPr>
      <w:r w:rsidRPr="009257C7">
        <w:t>CUADRO 9.1.4.3-1</w:t>
      </w:r>
    </w:p>
    <w:p w:rsidR="00AF1C54" w:rsidRPr="009257C7" w:rsidRDefault="00AF1C54" w:rsidP="00AF1C54">
      <w:pPr>
        <w:pStyle w:val="TabletitleBR"/>
      </w:pPr>
      <w:r w:rsidRPr="009257C7">
        <w:t>Distribución de Informes UIT-R</w:t>
      </w:r>
    </w:p>
    <w:tbl>
      <w:tblPr>
        <w:tblW w:w="7286" w:type="dxa"/>
        <w:jc w:val="center"/>
        <w:tblLook w:val="04A0" w:firstRow="1" w:lastRow="0" w:firstColumn="1" w:lastColumn="0" w:noHBand="0" w:noVBand="1"/>
      </w:tblPr>
      <w:tblGrid>
        <w:gridCol w:w="1070"/>
        <w:gridCol w:w="996"/>
        <w:gridCol w:w="996"/>
        <w:gridCol w:w="996"/>
        <w:gridCol w:w="996"/>
        <w:gridCol w:w="1176"/>
        <w:gridCol w:w="1056"/>
      </w:tblGrid>
      <w:tr w:rsidR="00AF1C54" w:rsidRPr="009257C7" w:rsidTr="005D0EF6">
        <w:trPr>
          <w:trHeight w:val="330"/>
          <w:jc w:val="center"/>
        </w:trPr>
        <w:tc>
          <w:tcPr>
            <w:tcW w:w="10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F1C54" w:rsidRPr="009257C7" w:rsidRDefault="00AF1C54" w:rsidP="00AF1C54">
            <w:pPr>
              <w:pStyle w:val="Tablehead"/>
              <w:rPr>
                <w:lang w:eastAsia="zh-CN"/>
              </w:rPr>
            </w:pPr>
            <w:r w:rsidRPr="009257C7">
              <w:rPr>
                <w:lang w:eastAsia="zh-CN"/>
              </w:rPr>
              <w:t>SERIES</w:t>
            </w:r>
          </w:p>
        </w:tc>
        <w:tc>
          <w:tcPr>
            <w:tcW w:w="996" w:type="dxa"/>
            <w:tcBorders>
              <w:top w:val="single" w:sz="8" w:space="0" w:color="auto"/>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head"/>
              <w:rPr>
                <w:lang w:eastAsia="zh-CN"/>
              </w:rPr>
            </w:pPr>
            <w:r w:rsidRPr="009257C7">
              <w:rPr>
                <w:lang w:eastAsia="zh-CN"/>
              </w:rPr>
              <w:t>2015</w:t>
            </w:r>
          </w:p>
        </w:tc>
        <w:tc>
          <w:tcPr>
            <w:tcW w:w="996" w:type="dxa"/>
            <w:tcBorders>
              <w:top w:val="single" w:sz="8" w:space="0" w:color="auto"/>
              <w:left w:val="nil"/>
              <w:bottom w:val="single" w:sz="8" w:space="0" w:color="auto"/>
              <w:right w:val="single" w:sz="8" w:space="0" w:color="auto"/>
            </w:tcBorders>
            <w:shd w:val="clear" w:color="auto" w:fill="auto"/>
            <w:vAlign w:val="center"/>
            <w:hideMark/>
          </w:tcPr>
          <w:p w:rsidR="00AF1C54" w:rsidRPr="009257C7" w:rsidRDefault="00AF1C54" w:rsidP="005D0EF6">
            <w:pPr>
              <w:pStyle w:val="Tablehead"/>
              <w:rPr>
                <w:lang w:eastAsia="zh-CN"/>
              </w:rPr>
            </w:pPr>
            <w:r w:rsidRPr="009257C7">
              <w:rPr>
                <w:lang w:eastAsia="zh-CN"/>
              </w:rPr>
              <w:t>2016</w:t>
            </w:r>
          </w:p>
        </w:tc>
        <w:tc>
          <w:tcPr>
            <w:tcW w:w="996" w:type="dxa"/>
            <w:tcBorders>
              <w:top w:val="single" w:sz="8" w:space="0" w:color="auto"/>
              <w:left w:val="nil"/>
              <w:bottom w:val="single" w:sz="8" w:space="0" w:color="auto"/>
              <w:right w:val="single" w:sz="8" w:space="0" w:color="auto"/>
            </w:tcBorders>
            <w:shd w:val="clear" w:color="auto" w:fill="auto"/>
            <w:vAlign w:val="center"/>
            <w:hideMark/>
          </w:tcPr>
          <w:p w:rsidR="00AF1C54" w:rsidRPr="009257C7" w:rsidRDefault="00AF1C54" w:rsidP="005D0EF6">
            <w:pPr>
              <w:pStyle w:val="Tablehead"/>
              <w:rPr>
                <w:lang w:eastAsia="zh-CN"/>
              </w:rPr>
            </w:pPr>
            <w:r w:rsidRPr="009257C7">
              <w:rPr>
                <w:lang w:eastAsia="zh-CN"/>
              </w:rPr>
              <w:t>2017</w:t>
            </w:r>
          </w:p>
        </w:tc>
        <w:tc>
          <w:tcPr>
            <w:tcW w:w="996" w:type="dxa"/>
            <w:tcBorders>
              <w:top w:val="single" w:sz="8" w:space="0" w:color="auto"/>
              <w:left w:val="nil"/>
              <w:bottom w:val="single" w:sz="8" w:space="0" w:color="auto"/>
              <w:right w:val="single" w:sz="8" w:space="0" w:color="auto"/>
            </w:tcBorders>
            <w:shd w:val="clear" w:color="auto" w:fill="auto"/>
            <w:vAlign w:val="center"/>
            <w:hideMark/>
          </w:tcPr>
          <w:p w:rsidR="00AF1C54" w:rsidRPr="009257C7" w:rsidRDefault="00AF1C54" w:rsidP="005D0EF6">
            <w:pPr>
              <w:pStyle w:val="Tablehead"/>
              <w:rPr>
                <w:lang w:eastAsia="zh-CN"/>
              </w:rPr>
            </w:pPr>
            <w:r w:rsidRPr="009257C7">
              <w:rPr>
                <w:lang w:eastAsia="zh-CN"/>
              </w:rPr>
              <w:t>2018*</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head"/>
              <w:rPr>
                <w:lang w:eastAsia="zh-CN"/>
              </w:rPr>
            </w:pPr>
            <w:r w:rsidRPr="009257C7">
              <w:rPr>
                <w:lang w:eastAsia="zh-CN"/>
              </w:rPr>
              <w:t>TOTAL</w:t>
            </w:r>
          </w:p>
        </w:tc>
        <w:tc>
          <w:tcPr>
            <w:tcW w:w="1056" w:type="dxa"/>
            <w:tcBorders>
              <w:top w:val="single" w:sz="8" w:space="0" w:color="auto"/>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head"/>
              <w:rPr>
                <w:lang w:eastAsia="zh-CN"/>
              </w:rPr>
            </w:pPr>
            <w:r w:rsidRPr="009257C7">
              <w:rPr>
                <w:lang w:eastAsia="zh-CN"/>
              </w:rPr>
              <w:t>2018%</w:t>
            </w:r>
          </w:p>
        </w:tc>
      </w:tr>
      <w:tr w:rsidR="00AF1C54" w:rsidRPr="009257C7" w:rsidTr="005D0EF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AF1C54" w:rsidRPr="009257C7" w:rsidRDefault="00AF1C54" w:rsidP="005D0EF6">
            <w:pPr>
              <w:pStyle w:val="Tabletext"/>
              <w:rPr>
                <w:b/>
                <w:bCs/>
                <w:lang w:eastAsia="zh-CN"/>
              </w:rPr>
            </w:pPr>
            <w:r w:rsidRPr="009257C7">
              <w:rPr>
                <w:b/>
                <w:bCs/>
                <w:lang w:eastAsia="zh-CN"/>
              </w:rPr>
              <w:t>M</w:t>
            </w:r>
          </w:p>
        </w:tc>
        <w:tc>
          <w:tcPr>
            <w:tcW w:w="996" w:type="dxa"/>
            <w:tcBorders>
              <w:top w:val="nil"/>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text"/>
              <w:jc w:val="center"/>
              <w:rPr>
                <w:lang w:eastAsia="zh-CN"/>
              </w:rPr>
            </w:pPr>
            <w:r w:rsidRPr="009257C7">
              <w:rPr>
                <w:lang w:eastAsia="zh-CN"/>
              </w:rPr>
              <w:t>87 523</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112 794</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76 531</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63 114</w:t>
            </w:r>
          </w:p>
        </w:tc>
        <w:tc>
          <w:tcPr>
            <w:tcW w:w="117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right"/>
              <w:rPr>
                <w:b/>
                <w:bCs/>
                <w:lang w:eastAsia="zh-CN"/>
              </w:rPr>
            </w:pPr>
            <w:r w:rsidRPr="009257C7">
              <w:rPr>
                <w:b/>
                <w:bCs/>
                <w:lang w:eastAsia="zh-CN"/>
              </w:rPr>
              <w:t>339 962</w:t>
            </w:r>
          </w:p>
        </w:tc>
        <w:tc>
          <w:tcPr>
            <w:tcW w:w="1056" w:type="dxa"/>
            <w:tcBorders>
              <w:top w:val="nil"/>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text"/>
              <w:jc w:val="right"/>
              <w:rPr>
                <w:b/>
                <w:bCs/>
                <w:lang w:eastAsia="zh-CN"/>
              </w:rPr>
            </w:pPr>
            <w:r w:rsidRPr="009257C7">
              <w:rPr>
                <w:b/>
                <w:bCs/>
                <w:lang w:eastAsia="zh-CN"/>
              </w:rPr>
              <w:t>31,8%</w:t>
            </w:r>
          </w:p>
        </w:tc>
      </w:tr>
      <w:tr w:rsidR="00AF1C54" w:rsidRPr="009257C7" w:rsidTr="005D0EF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AF1C54" w:rsidRPr="009257C7" w:rsidRDefault="00AF1C54" w:rsidP="005D0EF6">
            <w:pPr>
              <w:pStyle w:val="Tabletext"/>
              <w:rPr>
                <w:b/>
                <w:bCs/>
                <w:lang w:eastAsia="zh-CN"/>
              </w:rPr>
            </w:pPr>
            <w:r w:rsidRPr="009257C7">
              <w:rPr>
                <w:b/>
                <w:bCs/>
                <w:lang w:eastAsia="zh-CN"/>
              </w:rPr>
              <w:t>SM</w:t>
            </w:r>
          </w:p>
        </w:tc>
        <w:tc>
          <w:tcPr>
            <w:tcW w:w="996" w:type="dxa"/>
            <w:tcBorders>
              <w:top w:val="nil"/>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text"/>
              <w:jc w:val="center"/>
              <w:rPr>
                <w:lang w:eastAsia="zh-CN"/>
              </w:rPr>
            </w:pPr>
            <w:r w:rsidRPr="009257C7">
              <w:rPr>
                <w:lang w:eastAsia="zh-CN"/>
              </w:rPr>
              <w:t>57 537</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79 217</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53 616</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45 439</w:t>
            </w:r>
          </w:p>
        </w:tc>
        <w:tc>
          <w:tcPr>
            <w:tcW w:w="117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right"/>
              <w:rPr>
                <w:b/>
                <w:bCs/>
                <w:lang w:eastAsia="zh-CN"/>
              </w:rPr>
            </w:pPr>
            <w:r w:rsidRPr="009257C7">
              <w:rPr>
                <w:b/>
                <w:bCs/>
                <w:lang w:eastAsia="zh-CN"/>
              </w:rPr>
              <w:t>235 809</w:t>
            </w:r>
          </w:p>
        </w:tc>
        <w:tc>
          <w:tcPr>
            <w:tcW w:w="1056" w:type="dxa"/>
            <w:tcBorders>
              <w:top w:val="nil"/>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text"/>
              <w:jc w:val="right"/>
              <w:rPr>
                <w:b/>
                <w:bCs/>
                <w:lang w:eastAsia="zh-CN"/>
              </w:rPr>
            </w:pPr>
            <w:r w:rsidRPr="009257C7">
              <w:rPr>
                <w:b/>
                <w:bCs/>
                <w:lang w:eastAsia="zh-CN"/>
              </w:rPr>
              <w:t>22,1%</w:t>
            </w:r>
          </w:p>
        </w:tc>
      </w:tr>
      <w:tr w:rsidR="00AF1C54" w:rsidRPr="009257C7" w:rsidTr="005D0EF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AF1C54" w:rsidRPr="009257C7" w:rsidRDefault="00AF1C54" w:rsidP="005D0EF6">
            <w:pPr>
              <w:pStyle w:val="Tabletext"/>
              <w:rPr>
                <w:b/>
                <w:bCs/>
                <w:lang w:eastAsia="zh-CN"/>
              </w:rPr>
            </w:pPr>
            <w:r w:rsidRPr="009257C7">
              <w:rPr>
                <w:b/>
                <w:bCs/>
                <w:lang w:eastAsia="zh-CN"/>
              </w:rPr>
              <w:t>BT</w:t>
            </w:r>
          </w:p>
        </w:tc>
        <w:tc>
          <w:tcPr>
            <w:tcW w:w="996" w:type="dxa"/>
            <w:tcBorders>
              <w:top w:val="nil"/>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text"/>
              <w:jc w:val="center"/>
              <w:rPr>
                <w:lang w:eastAsia="zh-CN"/>
              </w:rPr>
            </w:pPr>
            <w:r w:rsidRPr="009257C7">
              <w:rPr>
                <w:lang w:eastAsia="zh-CN"/>
              </w:rPr>
              <w:t>51 911</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57 135</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44 340</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40 327</w:t>
            </w:r>
          </w:p>
        </w:tc>
        <w:tc>
          <w:tcPr>
            <w:tcW w:w="117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right"/>
              <w:rPr>
                <w:b/>
                <w:bCs/>
                <w:lang w:eastAsia="zh-CN"/>
              </w:rPr>
            </w:pPr>
            <w:r w:rsidRPr="009257C7">
              <w:rPr>
                <w:b/>
                <w:bCs/>
                <w:lang w:eastAsia="zh-CN"/>
              </w:rPr>
              <w:t>193 713</w:t>
            </w:r>
          </w:p>
        </w:tc>
        <w:tc>
          <w:tcPr>
            <w:tcW w:w="1056" w:type="dxa"/>
            <w:tcBorders>
              <w:top w:val="nil"/>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text"/>
              <w:jc w:val="right"/>
              <w:rPr>
                <w:b/>
                <w:bCs/>
                <w:lang w:eastAsia="zh-CN"/>
              </w:rPr>
            </w:pPr>
            <w:r w:rsidRPr="009257C7">
              <w:rPr>
                <w:b/>
                <w:bCs/>
                <w:lang w:eastAsia="zh-CN"/>
              </w:rPr>
              <w:t>18,1%</w:t>
            </w:r>
          </w:p>
        </w:tc>
      </w:tr>
      <w:tr w:rsidR="00AF1C54" w:rsidRPr="009257C7" w:rsidTr="005D0EF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AF1C54" w:rsidRPr="009257C7" w:rsidRDefault="00AF1C54" w:rsidP="005D0EF6">
            <w:pPr>
              <w:pStyle w:val="Tabletext"/>
              <w:rPr>
                <w:b/>
                <w:bCs/>
                <w:lang w:eastAsia="zh-CN"/>
              </w:rPr>
            </w:pPr>
            <w:r w:rsidRPr="009257C7">
              <w:rPr>
                <w:b/>
                <w:bCs/>
                <w:lang w:eastAsia="zh-CN"/>
              </w:rPr>
              <w:t>BS</w:t>
            </w:r>
          </w:p>
        </w:tc>
        <w:tc>
          <w:tcPr>
            <w:tcW w:w="996" w:type="dxa"/>
            <w:tcBorders>
              <w:top w:val="nil"/>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text"/>
              <w:jc w:val="center"/>
              <w:rPr>
                <w:lang w:eastAsia="zh-CN"/>
              </w:rPr>
            </w:pPr>
            <w:r w:rsidRPr="009257C7">
              <w:rPr>
                <w:lang w:eastAsia="zh-CN"/>
              </w:rPr>
              <w:t>18 803</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25 988</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24 015</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15 503</w:t>
            </w:r>
          </w:p>
        </w:tc>
        <w:tc>
          <w:tcPr>
            <w:tcW w:w="117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right"/>
              <w:rPr>
                <w:b/>
                <w:bCs/>
                <w:lang w:eastAsia="zh-CN"/>
              </w:rPr>
            </w:pPr>
            <w:r w:rsidRPr="009257C7">
              <w:rPr>
                <w:b/>
                <w:bCs/>
                <w:lang w:eastAsia="zh-CN"/>
              </w:rPr>
              <w:t>84 309</w:t>
            </w:r>
          </w:p>
        </w:tc>
        <w:tc>
          <w:tcPr>
            <w:tcW w:w="1056" w:type="dxa"/>
            <w:tcBorders>
              <w:top w:val="nil"/>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text"/>
              <w:jc w:val="right"/>
              <w:rPr>
                <w:b/>
                <w:bCs/>
                <w:lang w:eastAsia="zh-CN"/>
              </w:rPr>
            </w:pPr>
            <w:r w:rsidRPr="009257C7">
              <w:rPr>
                <w:b/>
                <w:bCs/>
                <w:lang w:eastAsia="zh-CN"/>
              </w:rPr>
              <w:t>7,9%</w:t>
            </w:r>
          </w:p>
        </w:tc>
      </w:tr>
      <w:tr w:rsidR="00AF1C54" w:rsidRPr="009257C7" w:rsidTr="005D0EF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AF1C54" w:rsidRPr="009257C7" w:rsidRDefault="00AF1C54" w:rsidP="005D0EF6">
            <w:pPr>
              <w:pStyle w:val="Tabletext"/>
              <w:rPr>
                <w:b/>
                <w:bCs/>
                <w:lang w:eastAsia="zh-CN"/>
              </w:rPr>
            </w:pPr>
            <w:r w:rsidRPr="009257C7">
              <w:rPr>
                <w:b/>
                <w:bCs/>
                <w:lang w:eastAsia="zh-CN"/>
              </w:rPr>
              <w:t>P</w:t>
            </w:r>
          </w:p>
        </w:tc>
        <w:tc>
          <w:tcPr>
            <w:tcW w:w="996" w:type="dxa"/>
            <w:tcBorders>
              <w:top w:val="nil"/>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text"/>
              <w:jc w:val="center"/>
              <w:rPr>
                <w:lang w:eastAsia="zh-CN"/>
              </w:rPr>
            </w:pPr>
            <w:r w:rsidRPr="009257C7">
              <w:rPr>
                <w:lang w:eastAsia="zh-CN"/>
              </w:rPr>
              <w:t>12 828</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16 268</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12 572</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9 315</w:t>
            </w:r>
          </w:p>
        </w:tc>
        <w:tc>
          <w:tcPr>
            <w:tcW w:w="117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right"/>
              <w:rPr>
                <w:b/>
                <w:bCs/>
                <w:lang w:eastAsia="zh-CN"/>
              </w:rPr>
            </w:pPr>
            <w:r w:rsidRPr="009257C7">
              <w:rPr>
                <w:b/>
                <w:bCs/>
                <w:lang w:eastAsia="zh-CN"/>
              </w:rPr>
              <w:t>50 983</w:t>
            </w:r>
          </w:p>
        </w:tc>
        <w:tc>
          <w:tcPr>
            <w:tcW w:w="1056" w:type="dxa"/>
            <w:tcBorders>
              <w:top w:val="nil"/>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text"/>
              <w:jc w:val="right"/>
              <w:rPr>
                <w:b/>
                <w:bCs/>
                <w:lang w:eastAsia="zh-CN"/>
              </w:rPr>
            </w:pPr>
            <w:r w:rsidRPr="009257C7">
              <w:rPr>
                <w:b/>
                <w:bCs/>
                <w:lang w:eastAsia="zh-CN"/>
              </w:rPr>
              <w:t>4,8%</w:t>
            </w:r>
          </w:p>
        </w:tc>
      </w:tr>
      <w:tr w:rsidR="00AF1C54" w:rsidRPr="009257C7" w:rsidTr="005D0EF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AF1C54" w:rsidRPr="009257C7" w:rsidRDefault="00AF1C54" w:rsidP="005D0EF6">
            <w:pPr>
              <w:pStyle w:val="Tabletext"/>
              <w:rPr>
                <w:b/>
                <w:bCs/>
                <w:lang w:eastAsia="zh-CN"/>
              </w:rPr>
            </w:pPr>
            <w:r w:rsidRPr="009257C7">
              <w:rPr>
                <w:b/>
                <w:bCs/>
                <w:lang w:eastAsia="zh-CN"/>
              </w:rPr>
              <w:t>BO</w:t>
            </w:r>
          </w:p>
        </w:tc>
        <w:tc>
          <w:tcPr>
            <w:tcW w:w="996" w:type="dxa"/>
            <w:tcBorders>
              <w:top w:val="nil"/>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text"/>
              <w:jc w:val="center"/>
              <w:rPr>
                <w:lang w:eastAsia="zh-CN"/>
              </w:rPr>
            </w:pPr>
            <w:r w:rsidRPr="009257C7">
              <w:rPr>
                <w:lang w:eastAsia="zh-CN"/>
              </w:rPr>
              <w:t>12 567</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15 321</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10 541</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7 520</w:t>
            </w:r>
          </w:p>
        </w:tc>
        <w:tc>
          <w:tcPr>
            <w:tcW w:w="117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right"/>
              <w:rPr>
                <w:b/>
                <w:bCs/>
                <w:lang w:eastAsia="zh-CN"/>
              </w:rPr>
            </w:pPr>
            <w:r w:rsidRPr="009257C7">
              <w:rPr>
                <w:b/>
                <w:bCs/>
                <w:lang w:eastAsia="zh-CN"/>
              </w:rPr>
              <w:t>45 949</w:t>
            </w:r>
          </w:p>
        </w:tc>
        <w:tc>
          <w:tcPr>
            <w:tcW w:w="1056" w:type="dxa"/>
            <w:tcBorders>
              <w:top w:val="nil"/>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text"/>
              <w:jc w:val="right"/>
              <w:rPr>
                <w:b/>
                <w:bCs/>
                <w:lang w:eastAsia="zh-CN"/>
              </w:rPr>
            </w:pPr>
            <w:r w:rsidRPr="009257C7">
              <w:rPr>
                <w:b/>
                <w:bCs/>
                <w:lang w:eastAsia="zh-CN"/>
              </w:rPr>
              <w:t>4,3%</w:t>
            </w:r>
          </w:p>
        </w:tc>
      </w:tr>
      <w:tr w:rsidR="00AF1C54" w:rsidRPr="009257C7" w:rsidTr="005D0EF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AF1C54" w:rsidRPr="009257C7" w:rsidRDefault="00AF1C54" w:rsidP="005D0EF6">
            <w:pPr>
              <w:pStyle w:val="Tabletext"/>
              <w:rPr>
                <w:b/>
                <w:bCs/>
                <w:lang w:eastAsia="zh-CN"/>
              </w:rPr>
            </w:pPr>
            <w:r w:rsidRPr="009257C7">
              <w:rPr>
                <w:b/>
                <w:bCs/>
                <w:lang w:eastAsia="zh-CN"/>
              </w:rPr>
              <w:t>F</w:t>
            </w:r>
          </w:p>
        </w:tc>
        <w:tc>
          <w:tcPr>
            <w:tcW w:w="996" w:type="dxa"/>
            <w:tcBorders>
              <w:top w:val="nil"/>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text"/>
              <w:jc w:val="center"/>
              <w:rPr>
                <w:lang w:eastAsia="zh-CN"/>
              </w:rPr>
            </w:pPr>
            <w:r w:rsidRPr="009257C7">
              <w:rPr>
                <w:lang w:eastAsia="zh-CN"/>
              </w:rPr>
              <w:t>11 097</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15 330</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10 142</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7 282</w:t>
            </w:r>
          </w:p>
        </w:tc>
        <w:tc>
          <w:tcPr>
            <w:tcW w:w="117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right"/>
              <w:rPr>
                <w:b/>
                <w:bCs/>
                <w:lang w:eastAsia="zh-CN"/>
              </w:rPr>
            </w:pPr>
            <w:r w:rsidRPr="009257C7">
              <w:rPr>
                <w:b/>
                <w:bCs/>
                <w:lang w:eastAsia="zh-CN"/>
              </w:rPr>
              <w:t>43 851</w:t>
            </w:r>
          </w:p>
        </w:tc>
        <w:tc>
          <w:tcPr>
            <w:tcW w:w="1056" w:type="dxa"/>
            <w:tcBorders>
              <w:top w:val="nil"/>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text"/>
              <w:jc w:val="right"/>
              <w:rPr>
                <w:b/>
                <w:bCs/>
                <w:lang w:eastAsia="zh-CN"/>
              </w:rPr>
            </w:pPr>
            <w:r w:rsidRPr="009257C7">
              <w:rPr>
                <w:b/>
                <w:bCs/>
                <w:lang w:eastAsia="zh-CN"/>
              </w:rPr>
              <w:t>4,1%</w:t>
            </w:r>
          </w:p>
        </w:tc>
      </w:tr>
      <w:tr w:rsidR="00AF1C54" w:rsidRPr="009257C7" w:rsidTr="005D0EF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AF1C54" w:rsidRPr="009257C7" w:rsidRDefault="00AF1C54" w:rsidP="005D0EF6">
            <w:pPr>
              <w:pStyle w:val="Tabletext"/>
              <w:rPr>
                <w:b/>
                <w:bCs/>
                <w:lang w:eastAsia="zh-CN"/>
              </w:rPr>
            </w:pPr>
            <w:r w:rsidRPr="009257C7">
              <w:rPr>
                <w:b/>
                <w:bCs/>
                <w:lang w:eastAsia="zh-CN"/>
              </w:rPr>
              <w:t>S</w:t>
            </w:r>
          </w:p>
        </w:tc>
        <w:tc>
          <w:tcPr>
            <w:tcW w:w="996" w:type="dxa"/>
            <w:tcBorders>
              <w:top w:val="nil"/>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text"/>
              <w:jc w:val="center"/>
              <w:rPr>
                <w:lang w:eastAsia="zh-CN"/>
              </w:rPr>
            </w:pPr>
            <w:r w:rsidRPr="009257C7">
              <w:rPr>
                <w:lang w:eastAsia="zh-CN"/>
              </w:rPr>
              <w:t>6 701</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8 330</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6 152</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5 177</w:t>
            </w:r>
          </w:p>
        </w:tc>
        <w:tc>
          <w:tcPr>
            <w:tcW w:w="117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right"/>
              <w:rPr>
                <w:b/>
                <w:bCs/>
                <w:lang w:eastAsia="zh-CN"/>
              </w:rPr>
            </w:pPr>
            <w:r w:rsidRPr="009257C7">
              <w:rPr>
                <w:b/>
                <w:bCs/>
                <w:lang w:eastAsia="zh-CN"/>
              </w:rPr>
              <w:t>26 360</w:t>
            </w:r>
          </w:p>
        </w:tc>
        <w:tc>
          <w:tcPr>
            <w:tcW w:w="1056" w:type="dxa"/>
            <w:tcBorders>
              <w:top w:val="nil"/>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text"/>
              <w:jc w:val="right"/>
              <w:rPr>
                <w:b/>
                <w:bCs/>
                <w:lang w:eastAsia="zh-CN"/>
              </w:rPr>
            </w:pPr>
            <w:r w:rsidRPr="009257C7">
              <w:rPr>
                <w:b/>
                <w:bCs/>
                <w:lang w:eastAsia="zh-CN"/>
              </w:rPr>
              <w:t>2,5%</w:t>
            </w:r>
          </w:p>
        </w:tc>
      </w:tr>
      <w:tr w:rsidR="00AF1C54" w:rsidRPr="009257C7" w:rsidTr="005D0EF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AF1C54" w:rsidRPr="009257C7" w:rsidRDefault="00AF1C54" w:rsidP="005D0EF6">
            <w:pPr>
              <w:pStyle w:val="Tabletext"/>
              <w:rPr>
                <w:b/>
                <w:bCs/>
                <w:lang w:eastAsia="zh-CN"/>
              </w:rPr>
            </w:pPr>
            <w:r w:rsidRPr="009257C7">
              <w:rPr>
                <w:b/>
                <w:bCs/>
                <w:lang w:eastAsia="zh-CN"/>
              </w:rPr>
              <w:t>SA</w:t>
            </w:r>
          </w:p>
        </w:tc>
        <w:tc>
          <w:tcPr>
            <w:tcW w:w="996" w:type="dxa"/>
            <w:tcBorders>
              <w:top w:val="nil"/>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text"/>
              <w:jc w:val="center"/>
              <w:rPr>
                <w:lang w:eastAsia="zh-CN"/>
              </w:rPr>
            </w:pPr>
            <w:r w:rsidRPr="009257C7">
              <w:rPr>
                <w:lang w:eastAsia="zh-CN"/>
              </w:rPr>
              <w:t>4 557</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5 886</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3 764</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2 966</w:t>
            </w:r>
          </w:p>
        </w:tc>
        <w:tc>
          <w:tcPr>
            <w:tcW w:w="117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right"/>
              <w:rPr>
                <w:b/>
                <w:bCs/>
                <w:lang w:eastAsia="zh-CN"/>
              </w:rPr>
            </w:pPr>
            <w:r w:rsidRPr="009257C7">
              <w:rPr>
                <w:b/>
                <w:bCs/>
                <w:lang w:eastAsia="zh-CN"/>
              </w:rPr>
              <w:t>17 173</w:t>
            </w:r>
          </w:p>
        </w:tc>
        <w:tc>
          <w:tcPr>
            <w:tcW w:w="1056" w:type="dxa"/>
            <w:tcBorders>
              <w:top w:val="nil"/>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text"/>
              <w:jc w:val="right"/>
              <w:rPr>
                <w:b/>
                <w:bCs/>
                <w:lang w:eastAsia="zh-CN"/>
              </w:rPr>
            </w:pPr>
            <w:r w:rsidRPr="009257C7">
              <w:rPr>
                <w:b/>
                <w:bCs/>
                <w:lang w:eastAsia="zh-CN"/>
              </w:rPr>
              <w:t>1,6%</w:t>
            </w:r>
          </w:p>
        </w:tc>
      </w:tr>
      <w:tr w:rsidR="00AF1C54" w:rsidRPr="009257C7" w:rsidTr="005D0EF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AF1C54" w:rsidRPr="009257C7" w:rsidRDefault="00AF1C54" w:rsidP="005D0EF6">
            <w:pPr>
              <w:pStyle w:val="Tabletext"/>
              <w:rPr>
                <w:b/>
                <w:bCs/>
                <w:lang w:eastAsia="zh-CN"/>
              </w:rPr>
            </w:pPr>
            <w:r w:rsidRPr="009257C7">
              <w:rPr>
                <w:b/>
                <w:bCs/>
                <w:lang w:eastAsia="zh-CN"/>
              </w:rPr>
              <w:t>RS</w:t>
            </w:r>
          </w:p>
        </w:tc>
        <w:tc>
          <w:tcPr>
            <w:tcW w:w="996" w:type="dxa"/>
            <w:tcBorders>
              <w:top w:val="nil"/>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text"/>
              <w:jc w:val="center"/>
              <w:rPr>
                <w:lang w:eastAsia="zh-CN"/>
              </w:rPr>
            </w:pPr>
            <w:r w:rsidRPr="009257C7">
              <w:rPr>
                <w:lang w:eastAsia="zh-CN"/>
              </w:rPr>
              <w:t>4 274</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4 148</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3 292</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2 502</w:t>
            </w:r>
          </w:p>
        </w:tc>
        <w:tc>
          <w:tcPr>
            <w:tcW w:w="117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right"/>
              <w:rPr>
                <w:b/>
                <w:bCs/>
                <w:lang w:eastAsia="zh-CN"/>
              </w:rPr>
            </w:pPr>
            <w:r w:rsidRPr="009257C7">
              <w:rPr>
                <w:b/>
                <w:bCs/>
                <w:lang w:eastAsia="zh-CN"/>
              </w:rPr>
              <w:t>14 216</w:t>
            </w:r>
          </w:p>
        </w:tc>
        <w:tc>
          <w:tcPr>
            <w:tcW w:w="1056" w:type="dxa"/>
            <w:tcBorders>
              <w:top w:val="nil"/>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text"/>
              <w:jc w:val="right"/>
              <w:rPr>
                <w:b/>
                <w:bCs/>
                <w:lang w:eastAsia="zh-CN"/>
              </w:rPr>
            </w:pPr>
            <w:r w:rsidRPr="009257C7">
              <w:rPr>
                <w:b/>
                <w:bCs/>
                <w:lang w:eastAsia="zh-CN"/>
              </w:rPr>
              <w:t>1,3%</w:t>
            </w:r>
          </w:p>
        </w:tc>
      </w:tr>
      <w:tr w:rsidR="00AF1C54" w:rsidRPr="009257C7" w:rsidTr="005D0EF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AF1C54" w:rsidRPr="009257C7" w:rsidRDefault="00AF1C54" w:rsidP="005D0EF6">
            <w:pPr>
              <w:pStyle w:val="Tabletext"/>
              <w:rPr>
                <w:b/>
                <w:bCs/>
                <w:lang w:eastAsia="zh-CN"/>
              </w:rPr>
            </w:pPr>
            <w:r w:rsidRPr="009257C7">
              <w:rPr>
                <w:b/>
                <w:bCs/>
                <w:lang w:eastAsia="zh-CN"/>
              </w:rPr>
              <w:t>RA</w:t>
            </w:r>
          </w:p>
        </w:tc>
        <w:tc>
          <w:tcPr>
            <w:tcW w:w="996" w:type="dxa"/>
            <w:tcBorders>
              <w:top w:val="nil"/>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text"/>
              <w:jc w:val="center"/>
              <w:rPr>
                <w:lang w:eastAsia="zh-CN"/>
              </w:rPr>
            </w:pPr>
            <w:r w:rsidRPr="009257C7">
              <w:rPr>
                <w:lang w:eastAsia="zh-CN"/>
              </w:rPr>
              <w:t>3 196</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4 316</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3 106</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2 860</w:t>
            </w:r>
          </w:p>
        </w:tc>
        <w:tc>
          <w:tcPr>
            <w:tcW w:w="117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right"/>
              <w:rPr>
                <w:b/>
                <w:bCs/>
                <w:lang w:eastAsia="zh-CN"/>
              </w:rPr>
            </w:pPr>
            <w:r w:rsidRPr="009257C7">
              <w:rPr>
                <w:b/>
                <w:bCs/>
                <w:lang w:eastAsia="zh-CN"/>
              </w:rPr>
              <w:t>13 478</w:t>
            </w:r>
          </w:p>
        </w:tc>
        <w:tc>
          <w:tcPr>
            <w:tcW w:w="1056" w:type="dxa"/>
            <w:tcBorders>
              <w:top w:val="nil"/>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text"/>
              <w:jc w:val="right"/>
              <w:rPr>
                <w:b/>
                <w:bCs/>
                <w:lang w:eastAsia="zh-CN"/>
              </w:rPr>
            </w:pPr>
            <w:r w:rsidRPr="009257C7">
              <w:rPr>
                <w:b/>
                <w:bCs/>
                <w:lang w:eastAsia="zh-CN"/>
              </w:rPr>
              <w:t>1,3%</w:t>
            </w:r>
          </w:p>
        </w:tc>
      </w:tr>
      <w:tr w:rsidR="00AF1C54" w:rsidRPr="009257C7" w:rsidTr="005D0EF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AF1C54" w:rsidRPr="009257C7" w:rsidRDefault="00AF1C54" w:rsidP="005D0EF6">
            <w:pPr>
              <w:pStyle w:val="Tabletext"/>
              <w:rPr>
                <w:b/>
                <w:bCs/>
                <w:lang w:eastAsia="zh-CN"/>
              </w:rPr>
            </w:pPr>
            <w:r w:rsidRPr="009257C7">
              <w:rPr>
                <w:b/>
                <w:bCs/>
                <w:lang w:eastAsia="zh-CN"/>
              </w:rPr>
              <w:t>SF</w:t>
            </w:r>
          </w:p>
        </w:tc>
        <w:tc>
          <w:tcPr>
            <w:tcW w:w="996" w:type="dxa"/>
            <w:tcBorders>
              <w:top w:val="nil"/>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text"/>
              <w:jc w:val="center"/>
              <w:rPr>
                <w:lang w:eastAsia="zh-CN"/>
              </w:rPr>
            </w:pPr>
            <w:r w:rsidRPr="009257C7">
              <w:rPr>
                <w:lang w:eastAsia="zh-CN"/>
              </w:rPr>
              <w:t>545</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506</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303</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266</w:t>
            </w:r>
          </w:p>
        </w:tc>
        <w:tc>
          <w:tcPr>
            <w:tcW w:w="117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right"/>
              <w:rPr>
                <w:b/>
                <w:bCs/>
                <w:lang w:eastAsia="zh-CN"/>
              </w:rPr>
            </w:pPr>
            <w:r w:rsidRPr="009257C7">
              <w:rPr>
                <w:b/>
                <w:bCs/>
                <w:lang w:eastAsia="zh-CN"/>
              </w:rPr>
              <w:t>1 620</w:t>
            </w:r>
          </w:p>
        </w:tc>
        <w:tc>
          <w:tcPr>
            <w:tcW w:w="1056" w:type="dxa"/>
            <w:tcBorders>
              <w:top w:val="nil"/>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text"/>
              <w:jc w:val="right"/>
              <w:rPr>
                <w:b/>
                <w:bCs/>
                <w:lang w:eastAsia="zh-CN"/>
              </w:rPr>
            </w:pPr>
            <w:r w:rsidRPr="009257C7">
              <w:rPr>
                <w:b/>
                <w:bCs/>
                <w:lang w:eastAsia="zh-CN"/>
              </w:rPr>
              <w:t>0,2%</w:t>
            </w:r>
          </w:p>
        </w:tc>
      </w:tr>
      <w:tr w:rsidR="00AF1C54" w:rsidRPr="009257C7" w:rsidTr="005D0EF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AF1C54" w:rsidRPr="009257C7" w:rsidRDefault="00AF1C54" w:rsidP="005D0EF6">
            <w:pPr>
              <w:pStyle w:val="Tabletext"/>
              <w:rPr>
                <w:b/>
                <w:bCs/>
                <w:lang w:eastAsia="zh-CN"/>
              </w:rPr>
            </w:pPr>
            <w:r w:rsidRPr="009257C7">
              <w:rPr>
                <w:b/>
                <w:bCs/>
                <w:lang w:eastAsia="zh-CN"/>
              </w:rPr>
              <w:t>BR</w:t>
            </w:r>
          </w:p>
        </w:tc>
        <w:tc>
          <w:tcPr>
            <w:tcW w:w="996" w:type="dxa"/>
            <w:tcBorders>
              <w:top w:val="nil"/>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text"/>
              <w:jc w:val="center"/>
              <w:rPr>
                <w:lang w:eastAsia="zh-CN"/>
              </w:rPr>
            </w:pPr>
            <w:r w:rsidRPr="009257C7">
              <w:rPr>
                <w:lang w:eastAsia="zh-CN"/>
              </w:rPr>
              <w:t>65</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66</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65</w:t>
            </w:r>
          </w:p>
        </w:tc>
        <w:tc>
          <w:tcPr>
            <w:tcW w:w="99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center"/>
              <w:rPr>
                <w:lang w:eastAsia="zh-CN"/>
              </w:rPr>
            </w:pPr>
            <w:r w:rsidRPr="009257C7">
              <w:rPr>
                <w:lang w:eastAsia="zh-CN"/>
              </w:rPr>
              <w:t>35</w:t>
            </w:r>
          </w:p>
        </w:tc>
        <w:tc>
          <w:tcPr>
            <w:tcW w:w="1176" w:type="dxa"/>
            <w:tcBorders>
              <w:top w:val="nil"/>
              <w:left w:val="nil"/>
              <w:bottom w:val="single" w:sz="8" w:space="0" w:color="auto"/>
              <w:right w:val="single" w:sz="8" w:space="0" w:color="auto"/>
            </w:tcBorders>
            <w:shd w:val="clear" w:color="auto" w:fill="auto"/>
            <w:vAlign w:val="center"/>
            <w:hideMark/>
          </w:tcPr>
          <w:p w:rsidR="00AF1C54" w:rsidRPr="009257C7" w:rsidRDefault="00AF1C54" w:rsidP="005D0EF6">
            <w:pPr>
              <w:pStyle w:val="Tabletext"/>
              <w:jc w:val="right"/>
              <w:rPr>
                <w:b/>
                <w:bCs/>
                <w:lang w:eastAsia="zh-CN"/>
              </w:rPr>
            </w:pPr>
            <w:r w:rsidRPr="009257C7">
              <w:rPr>
                <w:b/>
                <w:bCs/>
                <w:lang w:eastAsia="zh-CN"/>
              </w:rPr>
              <w:t>231</w:t>
            </w:r>
          </w:p>
        </w:tc>
        <w:tc>
          <w:tcPr>
            <w:tcW w:w="1056" w:type="dxa"/>
            <w:tcBorders>
              <w:top w:val="nil"/>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text"/>
              <w:jc w:val="right"/>
              <w:rPr>
                <w:b/>
                <w:bCs/>
                <w:lang w:eastAsia="zh-CN"/>
              </w:rPr>
            </w:pPr>
            <w:r w:rsidRPr="009257C7">
              <w:rPr>
                <w:b/>
                <w:bCs/>
                <w:lang w:eastAsia="zh-CN"/>
              </w:rPr>
              <w:t>0,0%</w:t>
            </w:r>
          </w:p>
        </w:tc>
      </w:tr>
      <w:tr w:rsidR="00AF1C54" w:rsidRPr="009257C7" w:rsidTr="005D0EF6">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AF1C54" w:rsidRPr="009257C7" w:rsidRDefault="00AF1C54" w:rsidP="005D0EF6">
            <w:pPr>
              <w:pStyle w:val="Tabletext"/>
              <w:rPr>
                <w:b/>
                <w:bCs/>
                <w:lang w:eastAsia="zh-CN"/>
              </w:rPr>
            </w:pPr>
            <w:r w:rsidRPr="009257C7">
              <w:rPr>
                <w:b/>
                <w:bCs/>
                <w:lang w:eastAsia="zh-CN"/>
              </w:rPr>
              <w:t>TOTAL</w:t>
            </w:r>
          </w:p>
        </w:tc>
        <w:tc>
          <w:tcPr>
            <w:tcW w:w="996" w:type="dxa"/>
            <w:tcBorders>
              <w:top w:val="nil"/>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text"/>
              <w:jc w:val="right"/>
              <w:rPr>
                <w:b/>
                <w:bCs/>
                <w:lang w:eastAsia="zh-CN"/>
              </w:rPr>
            </w:pPr>
            <w:r w:rsidRPr="009257C7">
              <w:rPr>
                <w:b/>
                <w:bCs/>
                <w:lang w:eastAsia="zh-CN"/>
              </w:rPr>
              <w:t>271 604</w:t>
            </w:r>
          </w:p>
        </w:tc>
        <w:tc>
          <w:tcPr>
            <w:tcW w:w="996" w:type="dxa"/>
            <w:tcBorders>
              <w:top w:val="nil"/>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text"/>
              <w:jc w:val="right"/>
              <w:rPr>
                <w:b/>
                <w:bCs/>
                <w:lang w:eastAsia="zh-CN"/>
              </w:rPr>
            </w:pPr>
            <w:r w:rsidRPr="009257C7">
              <w:rPr>
                <w:b/>
                <w:bCs/>
                <w:lang w:eastAsia="zh-CN"/>
              </w:rPr>
              <w:t>345 305</w:t>
            </w:r>
          </w:p>
        </w:tc>
        <w:tc>
          <w:tcPr>
            <w:tcW w:w="996" w:type="dxa"/>
            <w:tcBorders>
              <w:top w:val="nil"/>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text"/>
              <w:jc w:val="right"/>
              <w:rPr>
                <w:b/>
                <w:bCs/>
                <w:lang w:eastAsia="zh-CN"/>
              </w:rPr>
            </w:pPr>
            <w:r w:rsidRPr="009257C7">
              <w:rPr>
                <w:b/>
                <w:bCs/>
                <w:lang w:eastAsia="zh-CN"/>
              </w:rPr>
              <w:t>248 439</w:t>
            </w:r>
          </w:p>
        </w:tc>
        <w:tc>
          <w:tcPr>
            <w:tcW w:w="996" w:type="dxa"/>
            <w:tcBorders>
              <w:top w:val="nil"/>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text"/>
              <w:jc w:val="right"/>
              <w:rPr>
                <w:b/>
                <w:bCs/>
                <w:lang w:eastAsia="zh-CN"/>
              </w:rPr>
            </w:pPr>
            <w:r w:rsidRPr="009257C7">
              <w:rPr>
                <w:b/>
                <w:bCs/>
                <w:lang w:eastAsia="zh-CN"/>
              </w:rPr>
              <w:t>202 306</w:t>
            </w:r>
          </w:p>
        </w:tc>
        <w:tc>
          <w:tcPr>
            <w:tcW w:w="1176" w:type="dxa"/>
            <w:tcBorders>
              <w:top w:val="nil"/>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text"/>
              <w:jc w:val="right"/>
              <w:rPr>
                <w:b/>
                <w:bCs/>
                <w:lang w:eastAsia="zh-CN"/>
              </w:rPr>
            </w:pPr>
            <w:r w:rsidRPr="009257C7">
              <w:rPr>
                <w:b/>
                <w:bCs/>
                <w:lang w:eastAsia="zh-CN"/>
              </w:rPr>
              <w:t>1 067 654</w:t>
            </w:r>
          </w:p>
        </w:tc>
        <w:tc>
          <w:tcPr>
            <w:tcW w:w="1056" w:type="dxa"/>
            <w:tcBorders>
              <w:top w:val="nil"/>
              <w:left w:val="nil"/>
              <w:bottom w:val="single" w:sz="8" w:space="0" w:color="auto"/>
              <w:right w:val="single" w:sz="8" w:space="0" w:color="auto"/>
            </w:tcBorders>
            <w:shd w:val="clear" w:color="auto" w:fill="auto"/>
            <w:noWrap/>
            <w:vAlign w:val="center"/>
            <w:hideMark/>
          </w:tcPr>
          <w:p w:rsidR="00AF1C54" w:rsidRPr="009257C7" w:rsidRDefault="00AF1C54" w:rsidP="005D0EF6">
            <w:pPr>
              <w:pStyle w:val="Tabletext"/>
              <w:jc w:val="right"/>
              <w:rPr>
                <w:b/>
                <w:bCs/>
                <w:lang w:eastAsia="zh-CN"/>
              </w:rPr>
            </w:pPr>
            <w:r w:rsidRPr="009257C7">
              <w:rPr>
                <w:b/>
                <w:bCs/>
                <w:lang w:eastAsia="zh-CN"/>
              </w:rPr>
              <w:t>100,0%</w:t>
            </w:r>
          </w:p>
        </w:tc>
      </w:tr>
    </w:tbl>
    <w:p w:rsidR="00AF1C54" w:rsidRPr="009257C7" w:rsidRDefault="00AF1C54" w:rsidP="00AF1C54">
      <w:pPr>
        <w:tabs>
          <w:tab w:val="left" w:pos="284"/>
        </w:tabs>
        <w:rPr>
          <w:rFonts w:asciiTheme="majorBidi" w:hAnsiTheme="majorBidi" w:cstheme="majorBidi"/>
          <w:i/>
          <w:iCs/>
          <w:szCs w:val="24"/>
        </w:rPr>
      </w:pPr>
      <w:r w:rsidRPr="009257C7">
        <w:rPr>
          <w:rFonts w:asciiTheme="majorBidi" w:hAnsiTheme="majorBidi" w:cstheme="majorBidi"/>
          <w:i/>
          <w:iCs/>
          <w:szCs w:val="24"/>
        </w:rPr>
        <w:t>*</w:t>
      </w:r>
      <w:r w:rsidRPr="009257C7">
        <w:rPr>
          <w:rFonts w:asciiTheme="majorBidi" w:hAnsiTheme="majorBidi" w:cstheme="majorBidi"/>
          <w:i/>
          <w:iCs/>
          <w:szCs w:val="24"/>
        </w:rPr>
        <w:tab/>
        <w:t>A septiembre de 2018.</w:t>
      </w:r>
    </w:p>
    <w:p w:rsidR="00E7660B" w:rsidRPr="009257C7" w:rsidRDefault="002E694E" w:rsidP="00AF1C54">
      <w:pPr>
        <w:pStyle w:val="Heading4"/>
      </w:pPr>
      <w:r w:rsidRPr="009257C7">
        <w:t>9</w:t>
      </w:r>
      <w:r w:rsidR="00E7660B" w:rsidRPr="009257C7">
        <w:t>.1.4.4</w:t>
      </w:r>
      <w:r w:rsidR="00E7660B" w:rsidRPr="009257C7">
        <w:tab/>
        <w:t xml:space="preserve">Manuales </w:t>
      </w:r>
      <w:r w:rsidR="00393DAF" w:rsidRPr="009257C7">
        <w:t xml:space="preserve">del </w:t>
      </w:r>
      <w:r w:rsidR="00AF1C54" w:rsidRPr="009257C7">
        <w:t>UIT-R</w:t>
      </w:r>
    </w:p>
    <w:p w:rsidR="00AF1C54" w:rsidRPr="009257C7" w:rsidRDefault="00E7660B" w:rsidP="00AF1C54">
      <w:bookmarkStart w:id="74" w:name="_Toc424047600"/>
      <w:bookmarkStart w:id="75" w:name="_Toc446060782"/>
      <w:r w:rsidRPr="009257C7">
        <w:t xml:space="preserve">En el Cuadro </w:t>
      </w:r>
      <w:r w:rsidR="002E694E" w:rsidRPr="009257C7">
        <w:t>9</w:t>
      </w:r>
      <w:r w:rsidRPr="009257C7">
        <w:t xml:space="preserve">.1.4.4 se indica el número de descargas de </w:t>
      </w:r>
      <w:r w:rsidR="00393DAF" w:rsidRPr="009257C7">
        <w:t xml:space="preserve">los </w:t>
      </w:r>
      <w:r w:rsidRPr="009257C7">
        <w:t xml:space="preserve">Manuales </w:t>
      </w:r>
      <w:r w:rsidR="00393DAF" w:rsidRPr="009257C7">
        <w:t xml:space="preserve">del </w:t>
      </w:r>
      <w:r w:rsidRPr="009257C7">
        <w:t xml:space="preserve">UIT-R desde la decisión del Consejo en 2013. Conforme a la decisión del Director de la BR, adoptada en enero de 2017, de ampliar el acceso gratuito a todos los Manuales </w:t>
      </w:r>
      <w:r w:rsidR="00393DAF" w:rsidRPr="009257C7">
        <w:t xml:space="preserve">del </w:t>
      </w:r>
      <w:r w:rsidRPr="009257C7">
        <w:t xml:space="preserve">UIT-R, se han registrado más de </w:t>
      </w:r>
      <w:r w:rsidR="00AF1C54" w:rsidRPr="009257C7">
        <w:t>16 000 </w:t>
      </w:r>
      <w:r w:rsidRPr="009257C7">
        <w:t>descargas. Además, se descargaron desde 193 países de la UIT.</w:t>
      </w:r>
      <w:r w:rsidR="00AF1C54" w:rsidRPr="009257C7">
        <w:t xml:space="preserve"> </w:t>
      </w:r>
      <w:r w:rsidR="00393DAF" w:rsidRPr="009257C7">
        <w:t>Hasta la fecha</w:t>
      </w:r>
      <w:r w:rsidR="00280400" w:rsidRPr="009257C7">
        <w:t xml:space="preserve"> </w:t>
      </w:r>
      <w:r w:rsidR="00393DAF" w:rsidRPr="009257C7">
        <w:t xml:space="preserve">se han publicado </w:t>
      </w:r>
      <w:r w:rsidR="00280400" w:rsidRPr="009257C7">
        <w:t>42 Manuales del UIT-R, de los cuales 38 están en vigor, 1 se ha fusionado y 3 se han suprimido, pero siguen disponibles en el sitio web de la UIT</w:t>
      </w:r>
      <w:r w:rsidR="00393DAF" w:rsidRPr="009257C7">
        <w:t>.</w:t>
      </w:r>
    </w:p>
    <w:p w:rsidR="005723BA" w:rsidRPr="009257C7" w:rsidRDefault="005723BA" w:rsidP="00AF1C54">
      <w:r w:rsidRPr="009257C7">
        <w:br w:type="page"/>
      </w:r>
    </w:p>
    <w:p w:rsidR="005D0EF6" w:rsidRPr="009257C7" w:rsidRDefault="005D0EF6" w:rsidP="005D0EF6">
      <w:pPr>
        <w:pStyle w:val="TableNoBR"/>
      </w:pPr>
      <w:r w:rsidRPr="009257C7">
        <w:lastRenderedPageBreak/>
        <w:t>CUADRO 9.1.4.4</w:t>
      </w:r>
    </w:p>
    <w:p w:rsidR="005D0EF6" w:rsidRPr="009257C7" w:rsidRDefault="005D0EF6" w:rsidP="005D0EF6">
      <w:pPr>
        <w:pStyle w:val="TabletitleBR"/>
      </w:pPr>
      <w:r w:rsidRPr="009257C7">
        <w:t>Distribución de Manuales UIT-R 2014-2018</w:t>
      </w: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9"/>
        <w:gridCol w:w="1366"/>
        <w:gridCol w:w="893"/>
        <w:gridCol w:w="860"/>
        <w:gridCol w:w="1152"/>
        <w:gridCol w:w="1039"/>
        <w:gridCol w:w="917"/>
      </w:tblGrid>
      <w:tr w:rsidR="005D0EF6" w:rsidRPr="009257C7" w:rsidTr="004F65BC">
        <w:trPr>
          <w:trHeight w:val="325"/>
          <w:jc w:val="center"/>
        </w:trPr>
        <w:tc>
          <w:tcPr>
            <w:tcW w:w="2409" w:type="dxa"/>
            <w:tcMar>
              <w:top w:w="0" w:type="dxa"/>
              <w:left w:w="108" w:type="dxa"/>
              <w:bottom w:w="0" w:type="dxa"/>
              <w:right w:w="108" w:type="dxa"/>
            </w:tcMar>
            <w:vAlign w:val="center"/>
          </w:tcPr>
          <w:p w:rsidR="005D0EF6" w:rsidRPr="009257C7" w:rsidRDefault="005D0EF6" w:rsidP="005D0EF6">
            <w:pPr>
              <w:pStyle w:val="Tablehead"/>
            </w:pPr>
          </w:p>
        </w:tc>
        <w:tc>
          <w:tcPr>
            <w:tcW w:w="3119" w:type="dxa"/>
            <w:gridSpan w:val="3"/>
            <w:tcMar>
              <w:top w:w="0" w:type="dxa"/>
              <w:left w:w="108" w:type="dxa"/>
              <w:bottom w:w="0" w:type="dxa"/>
              <w:right w:w="108" w:type="dxa"/>
            </w:tcMar>
            <w:hideMark/>
          </w:tcPr>
          <w:p w:rsidR="005D0EF6" w:rsidRPr="009257C7" w:rsidRDefault="004F65BC" w:rsidP="005D0EF6">
            <w:pPr>
              <w:pStyle w:val="Tablehead"/>
            </w:pPr>
            <w:r w:rsidRPr="009257C7">
              <w:t>Ventas</w:t>
            </w:r>
          </w:p>
        </w:tc>
        <w:tc>
          <w:tcPr>
            <w:tcW w:w="3108" w:type="dxa"/>
            <w:gridSpan w:val="3"/>
            <w:hideMark/>
          </w:tcPr>
          <w:p w:rsidR="005D0EF6" w:rsidRPr="009257C7" w:rsidRDefault="004F65BC" w:rsidP="005D0EF6">
            <w:pPr>
              <w:pStyle w:val="Tablehead"/>
            </w:pPr>
            <w:r w:rsidRPr="009257C7">
              <w:t>Descargas gratuitas</w:t>
            </w:r>
          </w:p>
        </w:tc>
      </w:tr>
      <w:tr w:rsidR="005D0EF6" w:rsidRPr="009257C7" w:rsidTr="004F65BC">
        <w:trPr>
          <w:trHeight w:val="387"/>
          <w:jc w:val="center"/>
        </w:trPr>
        <w:tc>
          <w:tcPr>
            <w:tcW w:w="2409" w:type="dxa"/>
            <w:tcMar>
              <w:top w:w="0" w:type="dxa"/>
              <w:left w:w="108" w:type="dxa"/>
              <w:bottom w:w="0" w:type="dxa"/>
              <w:right w:w="108" w:type="dxa"/>
            </w:tcMar>
            <w:hideMark/>
          </w:tcPr>
          <w:p w:rsidR="005D0EF6" w:rsidRPr="009257C7" w:rsidRDefault="004F65BC" w:rsidP="005D0EF6">
            <w:pPr>
              <w:pStyle w:val="Tablehead"/>
            </w:pPr>
            <w:r w:rsidRPr="009257C7">
              <w:t>Manual</w:t>
            </w:r>
          </w:p>
        </w:tc>
        <w:tc>
          <w:tcPr>
            <w:tcW w:w="1366" w:type="dxa"/>
            <w:tcMar>
              <w:top w:w="0" w:type="dxa"/>
              <w:left w:w="108" w:type="dxa"/>
              <w:bottom w:w="0" w:type="dxa"/>
              <w:right w:w="108" w:type="dxa"/>
            </w:tcMar>
            <w:vAlign w:val="center"/>
            <w:hideMark/>
          </w:tcPr>
          <w:p w:rsidR="005D0EF6" w:rsidRPr="009257C7" w:rsidRDefault="005D0EF6" w:rsidP="005D0EF6">
            <w:pPr>
              <w:pStyle w:val="Tablehead"/>
            </w:pPr>
            <w:r w:rsidRPr="009257C7">
              <w:t>2014-2016</w:t>
            </w:r>
          </w:p>
        </w:tc>
        <w:tc>
          <w:tcPr>
            <w:tcW w:w="893" w:type="dxa"/>
            <w:tcMar>
              <w:top w:w="0" w:type="dxa"/>
              <w:left w:w="108" w:type="dxa"/>
              <w:bottom w:w="0" w:type="dxa"/>
              <w:right w:w="108" w:type="dxa"/>
            </w:tcMar>
            <w:vAlign w:val="center"/>
            <w:hideMark/>
          </w:tcPr>
          <w:p w:rsidR="005D0EF6" w:rsidRPr="009257C7" w:rsidRDefault="005D0EF6" w:rsidP="005D0EF6">
            <w:pPr>
              <w:pStyle w:val="Tablehead"/>
            </w:pPr>
            <w:r w:rsidRPr="009257C7">
              <w:t>2017</w:t>
            </w:r>
          </w:p>
        </w:tc>
        <w:tc>
          <w:tcPr>
            <w:tcW w:w="860" w:type="dxa"/>
          </w:tcPr>
          <w:p w:rsidR="005D0EF6" w:rsidRPr="009257C7" w:rsidRDefault="005D0EF6" w:rsidP="005D0EF6">
            <w:pPr>
              <w:pStyle w:val="Tablehead"/>
            </w:pPr>
            <w:r w:rsidRPr="009257C7">
              <w:t>2018</w:t>
            </w:r>
          </w:p>
        </w:tc>
        <w:tc>
          <w:tcPr>
            <w:tcW w:w="1152" w:type="dxa"/>
            <w:vAlign w:val="center"/>
            <w:hideMark/>
          </w:tcPr>
          <w:p w:rsidR="005D0EF6" w:rsidRPr="009257C7" w:rsidRDefault="005D0EF6" w:rsidP="005D0EF6">
            <w:pPr>
              <w:pStyle w:val="Tablehead"/>
            </w:pPr>
            <w:r w:rsidRPr="009257C7">
              <w:t>2014-2016</w:t>
            </w:r>
          </w:p>
        </w:tc>
        <w:tc>
          <w:tcPr>
            <w:tcW w:w="1039" w:type="dxa"/>
            <w:hideMark/>
          </w:tcPr>
          <w:p w:rsidR="005D0EF6" w:rsidRPr="009257C7" w:rsidRDefault="005D0EF6" w:rsidP="005D0EF6">
            <w:pPr>
              <w:pStyle w:val="Tablehead"/>
            </w:pPr>
            <w:r w:rsidRPr="009257C7">
              <w:t xml:space="preserve">2017 </w:t>
            </w:r>
          </w:p>
        </w:tc>
        <w:tc>
          <w:tcPr>
            <w:tcW w:w="917" w:type="dxa"/>
          </w:tcPr>
          <w:p w:rsidR="005D0EF6" w:rsidRPr="009257C7" w:rsidRDefault="005D0EF6" w:rsidP="005D0EF6">
            <w:pPr>
              <w:pStyle w:val="Tablehead"/>
            </w:pPr>
            <w:r w:rsidRPr="009257C7">
              <w:t>2018*</w:t>
            </w:r>
          </w:p>
        </w:tc>
      </w:tr>
      <w:tr w:rsidR="005D0EF6" w:rsidRPr="009257C7" w:rsidTr="004F65BC">
        <w:trPr>
          <w:trHeight w:val="227"/>
          <w:jc w:val="center"/>
        </w:trPr>
        <w:tc>
          <w:tcPr>
            <w:tcW w:w="2409" w:type="dxa"/>
            <w:tcMar>
              <w:top w:w="0" w:type="dxa"/>
              <w:left w:w="108" w:type="dxa"/>
              <w:bottom w:w="0" w:type="dxa"/>
              <w:right w:w="108" w:type="dxa"/>
            </w:tcMar>
            <w:hideMark/>
          </w:tcPr>
          <w:p w:rsidR="005D0EF6" w:rsidRPr="009257C7" w:rsidRDefault="004F65BC" w:rsidP="005D0EF6">
            <w:pPr>
              <w:pStyle w:val="Tabletext"/>
            </w:pPr>
            <w:r w:rsidRPr="009257C7">
              <w:t>Serie de gestión del espectro</w:t>
            </w:r>
          </w:p>
        </w:tc>
        <w:tc>
          <w:tcPr>
            <w:tcW w:w="1366" w:type="dxa"/>
            <w:tcMar>
              <w:top w:w="0" w:type="dxa"/>
              <w:left w:w="108" w:type="dxa"/>
              <w:bottom w:w="0" w:type="dxa"/>
              <w:right w:w="108" w:type="dxa"/>
            </w:tcMar>
            <w:hideMark/>
          </w:tcPr>
          <w:p w:rsidR="005D0EF6" w:rsidRPr="009257C7" w:rsidRDefault="005D0EF6" w:rsidP="005D0EF6">
            <w:pPr>
              <w:pStyle w:val="Tabletext"/>
              <w:jc w:val="center"/>
            </w:pPr>
            <w:r w:rsidRPr="009257C7">
              <w:t>96</w:t>
            </w:r>
          </w:p>
        </w:tc>
        <w:tc>
          <w:tcPr>
            <w:tcW w:w="893" w:type="dxa"/>
            <w:tcMar>
              <w:top w:w="0" w:type="dxa"/>
              <w:left w:w="108" w:type="dxa"/>
              <w:bottom w:w="0" w:type="dxa"/>
              <w:right w:w="108" w:type="dxa"/>
            </w:tcMar>
            <w:hideMark/>
          </w:tcPr>
          <w:p w:rsidR="005D0EF6" w:rsidRPr="009257C7" w:rsidRDefault="005D0EF6" w:rsidP="005D0EF6">
            <w:pPr>
              <w:pStyle w:val="Tabletext"/>
              <w:jc w:val="center"/>
            </w:pPr>
            <w:r w:rsidRPr="009257C7">
              <w:t>31</w:t>
            </w:r>
          </w:p>
        </w:tc>
        <w:tc>
          <w:tcPr>
            <w:tcW w:w="860" w:type="dxa"/>
          </w:tcPr>
          <w:p w:rsidR="005D0EF6" w:rsidRPr="009257C7" w:rsidRDefault="005D0EF6" w:rsidP="005D0EF6">
            <w:pPr>
              <w:pStyle w:val="Tabletext"/>
              <w:jc w:val="center"/>
            </w:pPr>
            <w:r w:rsidRPr="009257C7">
              <w:t>9</w:t>
            </w:r>
          </w:p>
        </w:tc>
        <w:tc>
          <w:tcPr>
            <w:tcW w:w="1152" w:type="dxa"/>
            <w:hideMark/>
          </w:tcPr>
          <w:p w:rsidR="005D0EF6" w:rsidRPr="009257C7" w:rsidRDefault="005D0EF6" w:rsidP="005D0EF6">
            <w:pPr>
              <w:pStyle w:val="Tabletext"/>
              <w:jc w:val="center"/>
              <w:rPr>
                <w:color w:val="000000"/>
              </w:rPr>
            </w:pPr>
            <w:r w:rsidRPr="009257C7">
              <w:t>4 750</w:t>
            </w:r>
          </w:p>
        </w:tc>
        <w:tc>
          <w:tcPr>
            <w:tcW w:w="1039" w:type="dxa"/>
            <w:hideMark/>
          </w:tcPr>
          <w:p w:rsidR="005D0EF6" w:rsidRPr="009257C7" w:rsidRDefault="005D0EF6" w:rsidP="005D0EF6">
            <w:pPr>
              <w:pStyle w:val="Tabletext"/>
              <w:jc w:val="center"/>
              <w:rPr>
                <w:color w:val="000000"/>
              </w:rPr>
            </w:pPr>
            <w:r w:rsidRPr="009257C7">
              <w:t>1 162</w:t>
            </w:r>
          </w:p>
        </w:tc>
        <w:tc>
          <w:tcPr>
            <w:tcW w:w="917" w:type="dxa"/>
          </w:tcPr>
          <w:p w:rsidR="005D0EF6" w:rsidRPr="009257C7" w:rsidRDefault="005D0EF6" w:rsidP="005D0EF6">
            <w:pPr>
              <w:pStyle w:val="Tabletext"/>
              <w:jc w:val="center"/>
            </w:pPr>
            <w:r w:rsidRPr="009257C7">
              <w:t>4 839</w:t>
            </w:r>
          </w:p>
        </w:tc>
      </w:tr>
      <w:tr w:rsidR="005D0EF6" w:rsidRPr="009257C7" w:rsidTr="004F65BC">
        <w:trPr>
          <w:trHeight w:val="307"/>
          <w:jc w:val="center"/>
        </w:trPr>
        <w:tc>
          <w:tcPr>
            <w:tcW w:w="2409" w:type="dxa"/>
            <w:tcMar>
              <w:top w:w="0" w:type="dxa"/>
              <w:left w:w="108" w:type="dxa"/>
              <w:bottom w:w="0" w:type="dxa"/>
              <w:right w:w="108" w:type="dxa"/>
            </w:tcMar>
            <w:hideMark/>
          </w:tcPr>
          <w:p w:rsidR="005D0EF6" w:rsidRPr="009257C7" w:rsidRDefault="004F65BC" w:rsidP="005D0EF6">
            <w:pPr>
              <w:pStyle w:val="Tabletext"/>
            </w:pPr>
            <w:r w:rsidRPr="009257C7">
              <w:t>Otro manuales</w:t>
            </w:r>
          </w:p>
        </w:tc>
        <w:tc>
          <w:tcPr>
            <w:tcW w:w="1366" w:type="dxa"/>
            <w:tcMar>
              <w:top w:w="0" w:type="dxa"/>
              <w:left w:w="108" w:type="dxa"/>
              <w:bottom w:w="0" w:type="dxa"/>
              <w:right w:w="108" w:type="dxa"/>
            </w:tcMar>
            <w:hideMark/>
          </w:tcPr>
          <w:p w:rsidR="005D0EF6" w:rsidRPr="009257C7" w:rsidRDefault="005D0EF6" w:rsidP="005D0EF6">
            <w:pPr>
              <w:pStyle w:val="Tabletext"/>
              <w:jc w:val="center"/>
            </w:pPr>
            <w:r w:rsidRPr="009257C7">
              <w:t>503</w:t>
            </w:r>
          </w:p>
        </w:tc>
        <w:tc>
          <w:tcPr>
            <w:tcW w:w="893" w:type="dxa"/>
            <w:tcMar>
              <w:top w:w="0" w:type="dxa"/>
              <w:left w:w="108" w:type="dxa"/>
              <w:bottom w:w="0" w:type="dxa"/>
              <w:right w:w="108" w:type="dxa"/>
            </w:tcMar>
            <w:hideMark/>
          </w:tcPr>
          <w:p w:rsidR="005D0EF6" w:rsidRPr="009257C7" w:rsidRDefault="005D0EF6" w:rsidP="005D0EF6">
            <w:pPr>
              <w:pStyle w:val="Tabletext"/>
              <w:jc w:val="center"/>
            </w:pPr>
            <w:r w:rsidRPr="009257C7">
              <w:t>80</w:t>
            </w:r>
          </w:p>
        </w:tc>
        <w:tc>
          <w:tcPr>
            <w:tcW w:w="860" w:type="dxa"/>
          </w:tcPr>
          <w:p w:rsidR="005D0EF6" w:rsidRPr="009257C7" w:rsidRDefault="005D0EF6" w:rsidP="005D0EF6">
            <w:pPr>
              <w:pStyle w:val="Tabletext"/>
              <w:jc w:val="center"/>
            </w:pPr>
            <w:r w:rsidRPr="009257C7">
              <w:t>21</w:t>
            </w:r>
          </w:p>
        </w:tc>
        <w:tc>
          <w:tcPr>
            <w:tcW w:w="1152" w:type="dxa"/>
            <w:hideMark/>
          </w:tcPr>
          <w:p w:rsidR="005D0EF6" w:rsidRPr="009257C7" w:rsidRDefault="005D0EF6" w:rsidP="005D0EF6">
            <w:pPr>
              <w:pStyle w:val="Tabletext"/>
              <w:jc w:val="center"/>
              <w:rPr>
                <w:color w:val="000000"/>
              </w:rPr>
            </w:pPr>
            <w:r w:rsidRPr="009257C7">
              <w:t>–</w:t>
            </w:r>
          </w:p>
        </w:tc>
        <w:tc>
          <w:tcPr>
            <w:tcW w:w="1039" w:type="dxa"/>
            <w:hideMark/>
          </w:tcPr>
          <w:p w:rsidR="005D0EF6" w:rsidRPr="009257C7" w:rsidRDefault="005D0EF6" w:rsidP="005D0EF6">
            <w:pPr>
              <w:pStyle w:val="Tabletext"/>
              <w:jc w:val="center"/>
              <w:rPr>
                <w:color w:val="000000"/>
              </w:rPr>
            </w:pPr>
            <w:r w:rsidRPr="009257C7">
              <w:t>2 084</w:t>
            </w:r>
          </w:p>
        </w:tc>
        <w:tc>
          <w:tcPr>
            <w:tcW w:w="917" w:type="dxa"/>
          </w:tcPr>
          <w:p w:rsidR="005D0EF6" w:rsidRPr="009257C7" w:rsidRDefault="005D0EF6" w:rsidP="005D0EF6">
            <w:pPr>
              <w:pStyle w:val="Tabletext"/>
              <w:jc w:val="center"/>
            </w:pPr>
            <w:r w:rsidRPr="009257C7">
              <w:t>8 180</w:t>
            </w:r>
          </w:p>
        </w:tc>
      </w:tr>
      <w:tr w:rsidR="005D0EF6" w:rsidRPr="009257C7" w:rsidTr="004F65BC">
        <w:trPr>
          <w:trHeight w:val="342"/>
          <w:jc w:val="center"/>
        </w:trPr>
        <w:tc>
          <w:tcPr>
            <w:tcW w:w="2409" w:type="dxa"/>
            <w:tcMar>
              <w:top w:w="0" w:type="dxa"/>
              <w:left w:w="108" w:type="dxa"/>
              <w:bottom w:w="0" w:type="dxa"/>
              <w:right w:w="108" w:type="dxa"/>
            </w:tcMar>
            <w:hideMark/>
          </w:tcPr>
          <w:p w:rsidR="005D0EF6" w:rsidRPr="009257C7" w:rsidRDefault="004F65BC" w:rsidP="005D0EF6">
            <w:pPr>
              <w:pStyle w:val="Tablehead"/>
            </w:pPr>
            <w:r w:rsidRPr="009257C7">
              <w:t>Total</w:t>
            </w:r>
          </w:p>
        </w:tc>
        <w:tc>
          <w:tcPr>
            <w:tcW w:w="1366" w:type="dxa"/>
            <w:tcMar>
              <w:top w:w="0" w:type="dxa"/>
              <w:left w:w="108" w:type="dxa"/>
              <w:bottom w:w="0" w:type="dxa"/>
              <w:right w:w="108" w:type="dxa"/>
            </w:tcMar>
            <w:hideMark/>
          </w:tcPr>
          <w:p w:rsidR="005D0EF6" w:rsidRPr="009257C7" w:rsidRDefault="005D0EF6" w:rsidP="005D0EF6">
            <w:pPr>
              <w:pStyle w:val="Tablehead"/>
            </w:pPr>
            <w:r w:rsidRPr="009257C7">
              <w:t>96</w:t>
            </w:r>
          </w:p>
        </w:tc>
        <w:tc>
          <w:tcPr>
            <w:tcW w:w="893" w:type="dxa"/>
            <w:tcMar>
              <w:top w:w="0" w:type="dxa"/>
              <w:left w:w="108" w:type="dxa"/>
              <w:bottom w:w="0" w:type="dxa"/>
              <w:right w:w="108" w:type="dxa"/>
            </w:tcMar>
            <w:hideMark/>
          </w:tcPr>
          <w:p w:rsidR="005D0EF6" w:rsidRPr="009257C7" w:rsidRDefault="005D0EF6" w:rsidP="005D0EF6">
            <w:pPr>
              <w:pStyle w:val="Tablehead"/>
            </w:pPr>
            <w:r w:rsidRPr="009257C7">
              <w:t>31</w:t>
            </w:r>
          </w:p>
        </w:tc>
        <w:tc>
          <w:tcPr>
            <w:tcW w:w="860" w:type="dxa"/>
          </w:tcPr>
          <w:p w:rsidR="005D0EF6" w:rsidRPr="009257C7" w:rsidRDefault="005D0EF6" w:rsidP="005D0EF6">
            <w:pPr>
              <w:pStyle w:val="Tablehead"/>
            </w:pPr>
            <w:r w:rsidRPr="009257C7">
              <w:t>30</w:t>
            </w:r>
          </w:p>
        </w:tc>
        <w:tc>
          <w:tcPr>
            <w:tcW w:w="1152" w:type="dxa"/>
            <w:hideMark/>
          </w:tcPr>
          <w:p w:rsidR="005D0EF6" w:rsidRPr="009257C7" w:rsidRDefault="005D0EF6" w:rsidP="005D0EF6">
            <w:pPr>
              <w:pStyle w:val="Tablehead"/>
              <w:rPr>
                <w:color w:val="000000"/>
              </w:rPr>
            </w:pPr>
            <w:r w:rsidRPr="009257C7">
              <w:t>4 750</w:t>
            </w:r>
          </w:p>
        </w:tc>
        <w:tc>
          <w:tcPr>
            <w:tcW w:w="1039" w:type="dxa"/>
            <w:hideMark/>
          </w:tcPr>
          <w:p w:rsidR="005D0EF6" w:rsidRPr="009257C7" w:rsidRDefault="005D0EF6" w:rsidP="005D0EF6">
            <w:pPr>
              <w:pStyle w:val="Tablehead"/>
              <w:rPr>
                <w:color w:val="000000"/>
              </w:rPr>
            </w:pPr>
            <w:r w:rsidRPr="009257C7">
              <w:t>3 246</w:t>
            </w:r>
          </w:p>
        </w:tc>
        <w:tc>
          <w:tcPr>
            <w:tcW w:w="917" w:type="dxa"/>
          </w:tcPr>
          <w:p w:rsidR="005D0EF6" w:rsidRPr="009257C7" w:rsidRDefault="005D0EF6" w:rsidP="005D0EF6">
            <w:pPr>
              <w:pStyle w:val="Tablehead"/>
            </w:pPr>
            <w:r w:rsidRPr="009257C7">
              <w:t>13 019</w:t>
            </w:r>
          </w:p>
        </w:tc>
      </w:tr>
    </w:tbl>
    <w:p w:rsidR="005D0EF6" w:rsidRPr="009257C7" w:rsidRDefault="005D0EF6" w:rsidP="004F65BC">
      <w:pPr>
        <w:tabs>
          <w:tab w:val="left" w:pos="284"/>
        </w:tabs>
        <w:rPr>
          <w:rFonts w:asciiTheme="majorBidi" w:hAnsiTheme="majorBidi" w:cstheme="majorBidi"/>
          <w:i/>
          <w:iCs/>
          <w:szCs w:val="24"/>
        </w:rPr>
      </w:pPr>
      <w:r w:rsidRPr="009257C7">
        <w:rPr>
          <w:rFonts w:asciiTheme="majorBidi" w:hAnsiTheme="majorBidi" w:cstheme="majorBidi"/>
          <w:i/>
          <w:iCs/>
          <w:szCs w:val="24"/>
        </w:rPr>
        <w:t>*</w:t>
      </w:r>
      <w:r w:rsidRPr="009257C7">
        <w:rPr>
          <w:rFonts w:asciiTheme="majorBidi" w:hAnsiTheme="majorBidi" w:cstheme="majorBidi"/>
          <w:i/>
          <w:iCs/>
          <w:szCs w:val="24"/>
        </w:rPr>
        <w:tab/>
      </w:r>
      <w:r w:rsidR="004F65BC" w:rsidRPr="009257C7">
        <w:rPr>
          <w:rFonts w:asciiTheme="majorBidi" w:hAnsiTheme="majorBidi" w:cstheme="majorBidi"/>
          <w:i/>
          <w:iCs/>
          <w:szCs w:val="24"/>
        </w:rPr>
        <w:t>A septiembre de 2018</w:t>
      </w:r>
      <w:r w:rsidRPr="009257C7">
        <w:rPr>
          <w:rFonts w:asciiTheme="majorBidi" w:hAnsiTheme="majorBidi" w:cstheme="majorBidi"/>
          <w:i/>
          <w:iCs/>
          <w:szCs w:val="24"/>
        </w:rPr>
        <w:t>.</w:t>
      </w:r>
    </w:p>
    <w:p w:rsidR="00E7660B" w:rsidRPr="009257C7" w:rsidRDefault="002E694E" w:rsidP="00E7660B">
      <w:pPr>
        <w:pStyle w:val="Heading3"/>
      </w:pPr>
      <w:r w:rsidRPr="009257C7">
        <w:t>9</w:t>
      </w:r>
      <w:r w:rsidR="00E7660B" w:rsidRPr="009257C7">
        <w:t>.</w:t>
      </w:r>
      <w:r w:rsidR="00E7660B" w:rsidRPr="009257C7">
        <w:t>1.5</w:t>
      </w:r>
      <w:r w:rsidR="00E7660B" w:rsidRPr="009257C7">
        <w:tab/>
        <w:t>Herramientas de análisis y utilización del Reglamen</w:t>
      </w:r>
      <w:r w:rsidR="00DA256C" w:rsidRPr="009257C7">
        <w:t>to de Radiocomunicaciones de la </w:t>
      </w:r>
      <w:r w:rsidR="00E7660B" w:rsidRPr="009257C7">
        <w:t>UIT</w:t>
      </w:r>
      <w:bookmarkEnd w:id="74"/>
      <w:bookmarkEnd w:id="75"/>
    </w:p>
    <w:p w:rsidR="00E7660B" w:rsidRPr="009257C7" w:rsidRDefault="00E7660B">
      <w:r w:rsidRPr="009257C7">
        <w:t xml:space="preserve">La Oficina </w:t>
      </w:r>
      <w:r w:rsidR="00280400" w:rsidRPr="009257C7">
        <w:t xml:space="preserve">sigue actualizando y manteniendo </w:t>
      </w:r>
      <w:r w:rsidRPr="009257C7">
        <w:t>herramientas informáticas para facilitar la utilización y análisis del Reglamento de Radiocomunicaciones:</w:t>
      </w:r>
    </w:p>
    <w:p w:rsidR="00E7660B" w:rsidRPr="009257C7" w:rsidRDefault="00E7660B">
      <w:pPr>
        <w:pStyle w:val="enumlev1"/>
      </w:pPr>
      <w:r w:rsidRPr="009257C7">
        <w:t>a)</w:t>
      </w:r>
      <w:r w:rsidRPr="009257C7">
        <w:tab/>
        <w:t xml:space="preserve">La herramienta de utilización del Reglamento de Radiocomunicaciones se publicó el segundo trimestre de 2017 (RR Tool-16 v.1.0) para la nueva versión del RR. Se ofrece una actualización gratuita a quienes hayan adquirido la versión anterior (RR Tool-12). Esta nueva versión está disponible en inglés para Windows, </w:t>
      </w:r>
      <w:r w:rsidR="00310285" w:rsidRPr="009257C7">
        <w:t xml:space="preserve">MacOS </w:t>
      </w:r>
      <w:r w:rsidRPr="009257C7">
        <w:t xml:space="preserve">y Linux. </w:t>
      </w:r>
      <w:r w:rsidR="00310285" w:rsidRPr="009257C7">
        <w:t xml:space="preserve">Se </w:t>
      </w:r>
      <w:r w:rsidRPr="009257C7">
        <w:t>publicarán actualizaciones gratuitas para ir incorporando las últimas RdP disponibles cada año hasta 2020, cuando se publique la nueva versión del RR, con arreglo a las decisiones de la CMR</w:t>
      </w:r>
      <w:r w:rsidRPr="009257C7">
        <w:noBreakHyphen/>
        <w:t>19.</w:t>
      </w:r>
    </w:p>
    <w:p w:rsidR="00E7660B" w:rsidRPr="009257C7" w:rsidRDefault="00E7660B" w:rsidP="00E7660B">
      <w:pPr>
        <w:pStyle w:val="enumlev1"/>
      </w:pPr>
      <w:r w:rsidRPr="009257C7">
        <w:t>b)</w:t>
      </w:r>
      <w:r w:rsidRPr="009257C7">
        <w:tab/>
        <w:t>Herramienta informática para la búsqueda y el análisis detallado en el Cuadro de atribución de bandas de frecuencias del Artículo 5 del Reglamento de Radiocomunicaciones, que permita el filtrado y la reconfiguración en función de la gama de frecuencias, el servicio, la categoría de servicio, un número, un país, etc. Esta herramienta se basa en la edición de 2016 del RR y las RdP-17 v.1. Participaron en la prueba de la versión beta 50 voluntarios de 15 países, prueba que concluyó en noviembre de 2017. La herramienta está disponible en el sitio web de publicaciones de la UIT y se proporciona gratuitamente a los abonados actualizacion</w:t>
      </w:r>
      <w:r w:rsidR="00430239" w:rsidRPr="009257C7">
        <w:t>es del software y de los datos.</w:t>
      </w:r>
    </w:p>
    <w:p w:rsidR="00E7660B" w:rsidRPr="009257C7" w:rsidRDefault="002E694E" w:rsidP="00E7660B">
      <w:pPr>
        <w:pStyle w:val="Heading2"/>
      </w:pPr>
      <w:bookmarkStart w:id="76" w:name="_Toc424047601"/>
      <w:bookmarkStart w:id="77" w:name="_Toc446060783"/>
      <w:r w:rsidRPr="009257C7">
        <w:t>9</w:t>
      </w:r>
      <w:r w:rsidR="00E7660B" w:rsidRPr="009257C7">
        <w:t>.2</w:t>
      </w:r>
      <w:r w:rsidR="00E7660B" w:rsidRPr="009257C7">
        <w:tab/>
        <w:t xml:space="preserve">Seminarios </w:t>
      </w:r>
      <w:bookmarkEnd w:id="76"/>
      <w:bookmarkEnd w:id="77"/>
      <w:r w:rsidR="00E7660B" w:rsidRPr="009257C7">
        <w:t>y talleres</w:t>
      </w:r>
    </w:p>
    <w:p w:rsidR="002E694E" w:rsidRPr="009257C7" w:rsidRDefault="002E694E" w:rsidP="00844C2F">
      <w:pPr>
        <w:pStyle w:val="Heading3"/>
      </w:pPr>
      <w:r w:rsidRPr="009257C7">
        <w:t>9.2.1</w:t>
      </w:r>
      <w:r w:rsidRPr="009257C7">
        <w:tab/>
      </w:r>
      <w:r w:rsidR="0050046C" w:rsidRPr="009257C7">
        <w:t>Seminarios Mundiales y Regionales de Radiocomunicaciones</w:t>
      </w:r>
    </w:p>
    <w:p w:rsidR="00E7660B" w:rsidRPr="009257C7" w:rsidRDefault="00E7660B" w:rsidP="00F42932">
      <w:r w:rsidRPr="009257C7">
        <w:t>Tras la CMR-15, la BR comenzó (en enero de 2016) un nuevo ciclo de Seminarios Mundiales y Regionales de Radiocomunicaciones entre dos CMR, destinados a divulgar en todo el mundo la revisión del Reglamento de Radiocomunicaciones efectuada en la CMR-15 y de las correspondientes Reglas de Proced</w:t>
      </w:r>
      <w:r w:rsidR="00CE536C" w:rsidRPr="009257C7">
        <w:t>imiento.</w:t>
      </w:r>
    </w:p>
    <w:p w:rsidR="00CE536C" w:rsidRPr="009257C7" w:rsidRDefault="0050046C" w:rsidP="009E1460">
      <w:r w:rsidRPr="009257C7">
        <w:t>Este ciclo comprende los Seminarios Mundiales de Radiocomunicaciones (SMR)</w:t>
      </w:r>
      <w:r w:rsidR="00797B05" w:rsidRPr="009257C7">
        <w:t>,</w:t>
      </w:r>
      <w:r w:rsidRPr="009257C7">
        <w:t xml:space="preserve"> </w:t>
      </w:r>
      <w:r w:rsidR="00797B05" w:rsidRPr="009257C7">
        <w:t>que se celebran cada dos años y son</w:t>
      </w:r>
      <w:r w:rsidR="00CE536C" w:rsidRPr="009257C7">
        <w:t xml:space="preserve"> </w:t>
      </w:r>
      <w:r w:rsidRPr="009257C7">
        <w:t xml:space="preserve">complementados por </w:t>
      </w:r>
      <w:r w:rsidR="00844C2F" w:rsidRPr="009257C7">
        <w:t xml:space="preserve">una serie de </w:t>
      </w:r>
      <w:r w:rsidRPr="009257C7">
        <w:t>Seminarios Regionales de Radiocomunicaciones (SRR)</w:t>
      </w:r>
      <w:r w:rsidR="00CE536C" w:rsidRPr="009257C7">
        <w:t>.</w:t>
      </w:r>
    </w:p>
    <w:p w:rsidR="00CE536C" w:rsidRPr="009257C7" w:rsidRDefault="00797B05" w:rsidP="009E1460">
      <w:r w:rsidRPr="009257C7">
        <w:t>Las siguientes cifras dan cuenta de la participación en los SMR y los SRR entre 2016 y 2018</w:t>
      </w:r>
      <w:r w:rsidR="00CE536C" w:rsidRPr="009257C7">
        <w:t>:</w:t>
      </w:r>
    </w:p>
    <w:p w:rsidR="00797B05" w:rsidRPr="009257C7" w:rsidRDefault="00797B05" w:rsidP="00B81251">
      <w:pPr>
        <w:pStyle w:val="enumlev1"/>
      </w:pPr>
      <w:r w:rsidRPr="009257C7">
        <w:t>–</w:t>
      </w:r>
      <w:r w:rsidRPr="009257C7">
        <w:tab/>
        <w:t>En dos SMR: 940 participantes de más de 110 países.</w:t>
      </w:r>
    </w:p>
    <w:p w:rsidR="00CE536C" w:rsidRPr="009257C7" w:rsidRDefault="00797B05" w:rsidP="00B81251">
      <w:pPr>
        <w:pStyle w:val="enumlev1"/>
      </w:pPr>
      <w:r w:rsidRPr="009257C7">
        <w:t>–</w:t>
      </w:r>
      <w:r w:rsidRPr="009257C7">
        <w:tab/>
        <w:t>En 8 SRR: 787 participantes de más de 120 países</w:t>
      </w:r>
      <w:r w:rsidR="00393DAF" w:rsidRPr="009257C7">
        <w:t>.</w:t>
      </w:r>
      <w:r w:rsidR="00C82CE6" w:rsidRPr="009257C7">
        <w:t xml:space="preserve"> </w:t>
      </w:r>
      <w:r w:rsidRPr="009257C7">
        <w:t>Durante este per</w:t>
      </w:r>
      <w:r w:rsidR="00B81251" w:rsidRPr="009257C7">
        <w:t>i</w:t>
      </w:r>
      <w:r w:rsidRPr="009257C7">
        <w:t>odo</w:t>
      </w:r>
      <w:r w:rsidR="00393DAF" w:rsidRPr="009257C7">
        <w:t>,</w:t>
      </w:r>
      <w:r w:rsidR="00844C2F" w:rsidRPr="009257C7">
        <w:t xml:space="preserve"> </w:t>
      </w:r>
      <w:r w:rsidRPr="009257C7">
        <w:t>la BR concedió más de 10</w:t>
      </w:r>
      <w:r w:rsidR="00CE7280" w:rsidRPr="009257C7">
        <w:t>0</w:t>
      </w:r>
      <w:r w:rsidRPr="009257C7">
        <w:t xml:space="preserve"> becas parciales para la asistencia al SRR y </w:t>
      </w:r>
      <w:r w:rsidR="00CE7280" w:rsidRPr="009257C7">
        <w:t>más de 6</w:t>
      </w:r>
      <w:r w:rsidRPr="009257C7">
        <w:t xml:space="preserve">0 </w:t>
      </w:r>
      <w:r w:rsidR="00CE7280" w:rsidRPr="009257C7">
        <w:t xml:space="preserve">becas </w:t>
      </w:r>
      <w:r w:rsidRPr="009257C7">
        <w:t>completas para los SMR (una por administración de países elegibles).</w:t>
      </w:r>
    </w:p>
    <w:p w:rsidR="000C1B4C" w:rsidRPr="009257C7" w:rsidRDefault="00CE536C" w:rsidP="00777B73">
      <w:pPr>
        <w:pStyle w:val="Heading4"/>
      </w:pPr>
      <w:r w:rsidRPr="009257C7">
        <w:lastRenderedPageBreak/>
        <w:t>9.2.1.1</w:t>
      </w:r>
      <w:r w:rsidRPr="009257C7">
        <w:tab/>
      </w:r>
      <w:r w:rsidR="000C1B4C" w:rsidRPr="009257C7">
        <w:t>Seminarios Mundiales de Radiocomunicaciones</w:t>
      </w:r>
    </w:p>
    <w:p w:rsidR="00CE536C" w:rsidRPr="009257C7" w:rsidRDefault="00CE7280" w:rsidP="00777B73">
      <w:r w:rsidRPr="009257C7">
        <w:t>El Seminario Mundial de Radiocomunicaciones de 2018 (SMR-18)</w:t>
      </w:r>
      <w:r w:rsidR="00393DAF" w:rsidRPr="009257C7">
        <w:t>, que</w:t>
      </w:r>
      <w:r w:rsidR="00777B73" w:rsidRPr="009257C7">
        <w:t xml:space="preserve"> se celebró en Ginebra del 3 </w:t>
      </w:r>
      <w:r w:rsidRPr="009257C7">
        <w:t xml:space="preserve">al 7 de diciembre, </w:t>
      </w:r>
      <w:r w:rsidR="00393DAF" w:rsidRPr="009257C7">
        <w:t xml:space="preserve">contó </w:t>
      </w:r>
      <w:r w:rsidRPr="009257C7">
        <w:t xml:space="preserve">con la asistencia de 485 participantes </w:t>
      </w:r>
      <w:r w:rsidR="00777B73" w:rsidRPr="009257C7">
        <w:t>de 98 Estados Miembros y 40 </w:t>
      </w:r>
      <w:r w:rsidRPr="009257C7">
        <w:t>entidades. El SMR-18 se centró en los aspectos reglamentarios de la utilización del espectro de radiofrecuencias y las órbitas de los satélites, en particular la aplicación de las disposiciones del Reglamento de Radiocomunicaciones de la UIT</w:t>
      </w:r>
      <w:r w:rsidR="00777B73" w:rsidRPr="009257C7">
        <w:t>.</w:t>
      </w:r>
    </w:p>
    <w:p w:rsidR="00CE536C" w:rsidRPr="009257C7" w:rsidRDefault="00CE536C">
      <w:r w:rsidRPr="009257C7">
        <w:t xml:space="preserve">Se celebraron </w:t>
      </w:r>
      <w:r w:rsidR="00CE7280" w:rsidRPr="009257C7">
        <w:t xml:space="preserve">en paralelo </w:t>
      </w:r>
      <w:r w:rsidRPr="009257C7">
        <w:t>talleres de tres días sobre servicios terrenales y espaciales.</w:t>
      </w:r>
      <w:r w:rsidR="00844C2F" w:rsidRPr="009257C7">
        <w:t xml:space="preserve"> </w:t>
      </w:r>
      <w:r w:rsidRPr="009257C7">
        <w:t>Los documentos de los seminarios están disponibles en el sitio web de la UIT</w:t>
      </w:r>
      <w:r w:rsidR="000C1B4C" w:rsidRPr="009257C7">
        <w:t xml:space="preserve"> en:</w:t>
      </w:r>
      <w:r w:rsidR="00777B73" w:rsidRPr="009257C7">
        <w:t xml:space="preserve"> </w:t>
      </w:r>
      <w:hyperlink r:id="rId23" w:history="1">
        <w:r w:rsidR="000C1B4C" w:rsidRPr="009257C7">
          <w:rPr>
            <w:color w:val="0000FF"/>
            <w:szCs w:val="24"/>
            <w:u w:val="single"/>
          </w:rPr>
          <w:t>http://www.itu.int/ITU-R/go/seminars</w:t>
        </w:r>
      </w:hyperlink>
      <w:r w:rsidR="000C1B4C" w:rsidRPr="009257C7">
        <w:rPr>
          <w:szCs w:val="24"/>
        </w:rPr>
        <w:t>.</w:t>
      </w:r>
    </w:p>
    <w:p w:rsidR="000C1B4C" w:rsidRPr="009257C7" w:rsidRDefault="000C1B4C" w:rsidP="00297D24">
      <w:pPr>
        <w:pStyle w:val="Heading4"/>
      </w:pPr>
      <w:r w:rsidRPr="009257C7">
        <w:t>9.2.1.2</w:t>
      </w:r>
      <w:r w:rsidRPr="009257C7">
        <w:tab/>
        <w:t xml:space="preserve">Seminarios Regionales de Radiocomunicaciones (SRR) </w:t>
      </w:r>
    </w:p>
    <w:p w:rsidR="00E7660B" w:rsidRPr="009257C7" w:rsidRDefault="00E7660B">
      <w:r w:rsidRPr="009257C7">
        <w:t xml:space="preserve">Como complemento de los Seminarios Mundiales de Radiocomunicaciones de carácter bienal, la Oficina siguió </w:t>
      </w:r>
      <w:r w:rsidR="00CE7280" w:rsidRPr="009257C7">
        <w:t>manteniendo</w:t>
      </w:r>
      <w:r w:rsidR="0074486E" w:rsidRPr="009257C7">
        <w:t xml:space="preserve"> </w:t>
      </w:r>
      <w:r w:rsidRPr="009257C7">
        <w:t>la estrategia de divulgación regional mediante la organización de ciclos anuales de Seminarios Regionales de Radiocomunicaciones (SRR) celebrados en distintas regiones del mundo, e impulsar así la creación de capacidad sobre la utilización del espectro radioeléctrico y las órbitas de los satélites y, en particular, la aplicación de las disposiciones del Reglamento de Radiocomunicaciones de la UIT.</w:t>
      </w:r>
    </w:p>
    <w:p w:rsidR="00E7660B" w:rsidRPr="009257C7" w:rsidRDefault="00E7660B" w:rsidP="00E7660B">
      <w:r w:rsidRPr="009257C7">
        <w:t>Los SRR incluyen dos días de sesiones teóricas y uno o dos días de talleres sobre servicios terrenales y espaciales. Se complementan con un foro de uno o dos días dedicado a asuntos sobre el espectro que sean de especial interés para la región.</w:t>
      </w:r>
    </w:p>
    <w:p w:rsidR="00E7660B" w:rsidRPr="009257C7" w:rsidRDefault="00E7660B" w:rsidP="001C0811">
      <w:pPr>
        <w:rPr>
          <w:szCs w:val="24"/>
        </w:rPr>
      </w:pPr>
      <w:r w:rsidRPr="009257C7">
        <w:t xml:space="preserve">En el Cuadro </w:t>
      </w:r>
      <w:r w:rsidR="0074486E" w:rsidRPr="009257C7">
        <w:t>9</w:t>
      </w:r>
      <w:r w:rsidRPr="009257C7">
        <w:t>.2.2-1 se resumen los SRR celebrados</w:t>
      </w:r>
      <w:r w:rsidR="0074486E" w:rsidRPr="009257C7">
        <w:t xml:space="preserve"> </w:t>
      </w:r>
      <w:r w:rsidR="00797B05" w:rsidRPr="009257C7">
        <w:t>durante el actual ciclo</w:t>
      </w:r>
      <w:r w:rsidRPr="009257C7">
        <w:t xml:space="preserve">. La organización de estos seminarios estuvo a cargo de gobiernos, reguladores o autoridades de gestión del espectro de los países anfitriones acogieron, en colaboración con las organizaciones regionales pertinentes y las Oficinas </w:t>
      </w:r>
      <w:r w:rsidR="001C0811" w:rsidRPr="009257C7">
        <w:t xml:space="preserve">Regionales y Zonales </w:t>
      </w:r>
      <w:r w:rsidRPr="009257C7">
        <w:t xml:space="preserve">de la UIT. Los SRR se realizan sin hacer uso del papel. Puede consultarse más información al respecto en el sitio web de la UIT: </w:t>
      </w:r>
      <w:hyperlink r:id="rId24" w:history="1">
        <w:r w:rsidRPr="009257C7">
          <w:rPr>
            <w:color w:val="0000FF"/>
            <w:szCs w:val="24"/>
            <w:u w:val="single"/>
          </w:rPr>
          <w:t>http://www.itu.int/ITU-R/go/seminars</w:t>
        </w:r>
      </w:hyperlink>
      <w:r w:rsidR="001C0811" w:rsidRPr="009257C7">
        <w:t>.</w:t>
      </w:r>
    </w:p>
    <w:p w:rsidR="009A2C98" w:rsidRPr="009257C7" w:rsidRDefault="00D20F8A">
      <w:r w:rsidRPr="009257C7">
        <w:t xml:space="preserve">Los </w:t>
      </w:r>
      <w:r w:rsidR="00E7660B" w:rsidRPr="009257C7">
        <w:t xml:space="preserve">SRR </w:t>
      </w:r>
      <w:r w:rsidRPr="009257C7">
        <w:t xml:space="preserve">previstos en 2019 son los </w:t>
      </w:r>
      <w:r w:rsidR="00797B05" w:rsidRPr="009257C7">
        <w:t>siguientes</w:t>
      </w:r>
      <w:r w:rsidRPr="009257C7">
        <w:t>:</w:t>
      </w:r>
    </w:p>
    <w:p w:rsidR="00DF5C56" w:rsidRPr="009257C7" w:rsidRDefault="00DF5C56" w:rsidP="000759D5">
      <w:pPr>
        <w:pStyle w:val="enumlev1"/>
      </w:pPr>
      <w:r w:rsidRPr="009257C7">
        <w:t>–</w:t>
      </w:r>
      <w:r w:rsidRPr="009257C7">
        <w:tab/>
        <w:t>SRR-19-África</w:t>
      </w:r>
      <w:r w:rsidRPr="009257C7" w:rsidDel="00034ACE">
        <w:t xml:space="preserve">: 13-17 </w:t>
      </w:r>
      <w:r w:rsidRPr="009257C7">
        <w:t>de mayo</w:t>
      </w:r>
      <w:r w:rsidRPr="009257C7" w:rsidDel="00034ACE">
        <w:t>, Johan</w:t>
      </w:r>
      <w:r w:rsidRPr="009257C7">
        <w:t>nesburgo</w:t>
      </w:r>
      <w:r w:rsidRPr="009257C7">
        <w:t xml:space="preserve"> (</w:t>
      </w:r>
      <w:r w:rsidR="000759D5" w:rsidRPr="009257C7">
        <w:t>República</w:t>
      </w:r>
      <w:r w:rsidR="000759D5" w:rsidRPr="009257C7">
        <w:t xml:space="preserve"> Sudafricana</w:t>
      </w:r>
      <w:r w:rsidRPr="009257C7">
        <w:t>).</w:t>
      </w:r>
    </w:p>
    <w:p w:rsidR="00DF5C56" w:rsidRPr="009257C7" w:rsidRDefault="00DF5C56" w:rsidP="00DF5C56">
      <w:pPr>
        <w:pStyle w:val="enumlev1"/>
        <w:rPr>
          <w:szCs w:val="24"/>
        </w:rPr>
      </w:pPr>
      <w:r w:rsidRPr="009257C7">
        <w:t>–</w:t>
      </w:r>
      <w:r w:rsidRPr="009257C7">
        <w:tab/>
        <w:t>SRR-19-CRC</w:t>
      </w:r>
      <w:r w:rsidRPr="009257C7" w:rsidDel="00034ACE">
        <w:rPr>
          <w:szCs w:val="24"/>
        </w:rPr>
        <w:t xml:space="preserve">: 10-14 </w:t>
      </w:r>
      <w:r w:rsidRPr="009257C7">
        <w:rPr>
          <w:szCs w:val="24"/>
        </w:rPr>
        <w:t>de junio, Tashkent (Uzbekistán).</w:t>
      </w:r>
    </w:p>
    <w:p w:rsidR="00DF5C56" w:rsidRPr="009257C7" w:rsidDel="00034ACE" w:rsidRDefault="00DF5C56" w:rsidP="00DF5C56">
      <w:pPr>
        <w:pStyle w:val="enumlev1"/>
        <w:rPr>
          <w:szCs w:val="24"/>
        </w:rPr>
      </w:pPr>
      <w:r w:rsidRPr="009257C7">
        <w:rPr>
          <w:szCs w:val="24"/>
        </w:rPr>
        <w:t>–</w:t>
      </w:r>
      <w:r w:rsidRPr="009257C7">
        <w:rPr>
          <w:szCs w:val="24"/>
        </w:rPr>
        <w:tab/>
        <w:t>SRR-19-Europa</w:t>
      </w:r>
      <w:r w:rsidRPr="009257C7" w:rsidDel="00034ACE">
        <w:rPr>
          <w:szCs w:val="24"/>
        </w:rPr>
        <w:t xml:space="preserve">: 24-27 </w:t>
      </w:r>
      <w:r w:rsidRPr="009257C7">
        <w:rPr>
          <w:szCs w:val="24"/>
        </w:rPr>
        <w:t>de junio, Tirana (</w:t>
      </w:r>
      <w:r w:rsidRPr="009257C7">
        <w:rPr>
          <w:szCs w:val="24"/>
        </w:rPr>
        <w:t>Albania</w:t>
      </w:r>
      <w:r w:rsidRPr="009257C7">
        <w:rPr>
          <w:szCs w:val="24"/>
        </w:rPr>
        <w:t>).</w:t>
      </w:r>
    </w:p>
    <w:p w:rsidR="00DF5C56" w:rsidRPr="009257C7" w:rsidRDefault="00DF5C56">
      <w:pPr>
        <w:rPr>
          <w:szCs w:val="24"/>
        </w:rPr>
      </w:pPr>
    </w:p>
    <w:p w:rsidR="00DF5C56" w:rsidRPr="009257C7" w:rsidRDefault="00DF5C56">
      <w:pPr>
        <w:rPr>
          <w:szCs w:val="24"/>
        </w:rPr>
        <w:sectPr w:rsidR="00DF5C56" w:rsidRPr="009257C7" w:rsidSect="00E7660B">
          <w:headerReference w:type="default" r:id="rId25"/>
          <w:footerReference w:type="default" r:id="rId26"/>
          <w:footerReference w:type="first" r:id="rId27"/>
          <w:pgSz w:w="11907" w:h="16834"/>
          <w:pgMar w:top="1418" w:right="1134" w:bottom="1418" w:left="1134" w:header="720" w:footer="720" w:gutter="0"/>
          <w:paperSrc w:first="15" w:other="15"/>
          <w:cols w:space="720"/>
          <w:titlePg/>
          <w:docGrid w:linePitch="326"/>
        </w:sectPr>
      </w:pPr>
    </w:p>
    <w:p w:rsidR="00E7660B" w:rsidRPr="009257C7" w:rsidRDefault="00E7660B" w:rsidP="0074486E">
      <w:pPr>
        <w:pStyle w:val="TableNo"/>
        <w:rPr>
          <w:lang w:val="es-ES_tradnl"/>
        </w:rPr>
      </w:pPr>
      <w:r w:rsidRPr="009257C7">
        <w:rPr>
          <w:lang w:val="es-ES_tradnl"/>
        </w:rPr>
        <w:lastRenderedPageBreak/>
        <w:t xml:space="preserve">Cuadro </w:t>
      </w:r>
      <w:r w:rsidR="0074486E" w:rsidRPr="009257C7">
        <w:rPr>
          <w:lang w:val="es-ES_tradnl"/>
        </w:rPr>
        <w:t>9</w:t>
      </w:r>
      <w:r w:rsidRPr="009257C7">
        <w:rPr>
          <w:lang w:val="es-ES_tradnl"/>
        </w:rPr>
        <w:t>.2.2-1</w:t>
      </w:r>
    </w:p>
    <w:p w:rsidR="00E7660B" w:rsidRPr="009257C7" w:rsidRDefault="00E7660B" w:rsidP="00A3166C">
      <w:pPr>
        <w:pStyle w:val="TabletitleBR"/>
      </w:pPr>
      <w:r w:rsidRPr="009257C7">
        <w:t xml:space="preserve">Seminarios Regionales de Radiocomunicaciones </w:t>
      </w:r>
      <w:r w:rsidR="00A3166C" w:rsidRPr="009257C7">
        <w:t xml:space="preserve">de la </w:t>
      </w:r>
      <w:r w:rsidRPr="009257C7">
        <w:t>UIT (201</w:t>
      </w:r>
      <w:r w:rsidR="00A3166C" w:rsidRPr="009257C7">
        <w:t>6</w:t>
      </w:r>
      <w:r w:rsidRPr="009257C7">
        <w:t>-201</w:t>
      </w:r>
      <w:r w:rsidR="00A3166C" w:rsidRPr="009257C7">
        <w:t>8</w:t>
      </w:r>
      <w:r w:rsidRPr="009257C7">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1"/>
        <w:gridCol w:w="23"/>
        <w:gridCol w:w="1989"/>
        <w:gridCol w:w="1141"/>
        <w:gridCol w:w="34"/>
        <w:gridCol w:w="2313"/>
        <w:gridCol w:w="1706"/>
        <w:gridCol w:w="1833"/>
        <w:gridCol w:w="8"/>
        <w:gridCol w:w="1254"/>
        <w:gridCol w:w="21"/>
        <w:gridCol w:w="1566"/>
      </w:tblGrid>
      <w:tr w:rsidR="00E7660B" w:rsidRPr="009257C7" w:rsidTr="007C1CE2">
        <w:trPr>
          <w:tblHeader/>
          <w:jc w:val="center"/>
        </w:trPr>
        <w:tc>
          <w:tcPr>
            <w:tcW w:w="2174" w:type="dxa"/>
            <w:gridSpan w:val="2"/>
            <w:vAlign w:val="center"/>
          </w:tcPr>
          <w:p w:rsidR="00E7660B" w:rsidRPr="009257C7" w:rsidRDefault="009D53C6" w:rsidP="009D53C6">
            <w:pPr>
              <w:pStyle w:val="Tablehead"/>
              <w:rPr>
                <w:sz w:val="18"/>
                <w:szCs w:val="18"/>
              </w:rPr>
            </w:pPr>
            <w:r w:rsidRPr="009257C7">
              <w:rPr>
                <w:sz w:val="18"/>
                <w:szCs w:val="18"/>
              </w:rPr>
              <w:t>Fecha</w:t>
            </w:r>
          </w:p>
        </w:tc>
        <w:tc>
          <w:tcPr>
            <w:tcW w:w="1989" w:type="dxa"/>
            <w:vAlign w:val="center"/>
          </w:tcPr>
          <w:p w:rsidR="00E7660B" w:rsidRPr="009257C7" w:rsidRDefault="00196304" w:rsidP="009D53C6">
            <w:pPr>
              <w:pStyle w:val="Tablehead"/>
              <w:rPr>
                <w:sz w:val="18"/>
                <w:szCs w:val="18"/>
              </w:rPr>
            </w:pPr>
            <w:r w:rsidRPr="009257C7">
              <w:rPr>
                <w:sz w:val="18"/>
                <w:szCs w:val="18"/>
              </w:rPr>
              <w:t>SRR</w:t>
            </w:r>
          </w:p>
        </w:tc>
        <w:tc>
          <w:tcPr>
            <w:tcW w:w="1175" w:type="dxa"/>
            <w:gridSpan w:val="2"/>
            <w:vAlign w:val="center"/>
          </w:tcPr>
          <w:p w:rsidR="00E7660B" w:rsidRPr="009257C7" w:rsidRDefault="009D53C6" w:rsidP="009D53C6">
            <w:pPr>
              <w:pStyle w:val="Tablehead"/>
              <w:rPr>
                <w:sz w:val="18"/>
                <w:szCs w:val="18"/>
              </w:rPr>
            </w:pPr>
            <w:r w:rsidRPr="009257C7">
              <w:rPr>
                <w:sz w:val="18"/>
                <w:szCs w:val="18"/>
              </w:rPr>
              <w:t>Lugar</w:t>
            </w:r>
          </w:p>
        </w:tc>
        <w:tc>
          <w:tcPr>
            <w:tcW w:w="2313" w:type="dxa"/>
            <w:vAlign w:val="center"/>
          </w:tcPr>
          <w:p w:rsidR="00E7660B" w:rsidRPr="009257C7" w:rsidRDefault="009D53C6" w:rsidP="009D53C6">
            <w:pPr>
              <w:pStyle w:val="Tablehead"/>
              <w:rPr>
                <w:sz w:val="18"/>
                <w:szCs w:val="18"/>
              </w:rPr>
            </w:pPr>
            <w:r w:rsidRPr="009257C7">
              <w:rPr>
                <w:sz w:val="18"/>
                <w:szCs w:val="18"/>
              </w:rPr>
              <w:t>Organizador</w:t>
            </w:r>
          </w:p>
        </w:tc>
        <w:tc>
          <w:tcPr>
            <w:tcW w:w="1706" w:type="dxa"/>
            <w:vAlign w:val="center"/>
          </w:tcPr>
          <w:p w:rsidR="00E7660B" w:rsidRPr="009257C7" w:rsidRDefault="00E7660B" w:rsidP="009D53C6">
            <w:pPr>
              <w:pStyle w:val="Tablehead"/>
              <w:rPr>
                <w:sz w:val="18"/>
                <w:szCs w:val="18"/>
              </w:rPr>
            </w:pPr>
            <w:r w:rsidRPr="009257C7">
              <w:rPr>
                <w:sz w:val="18"/>
                <w:szCs w:val="18"/>
              </w:rPr>
              <w:t>Cooperación</w:t>
            </w:r>
          </w:p>
        </w:tc>
        <w:tc>
          <w:tcPr>
            <w:tcW w:w="1841" w:type="dxa"/>
            <w:gridSpan w:val="2"/>
            <w:vAlign w:val="center"/>
          </w:tcPr>
          <w:p w:rsidR="00E7660B" w:rsidRPr="009257C7" w:rsidRDefault="00E7660B" w:rsidP="009D53C6">
            <w:pPr>
              <w:pStyle w:val="Tablehead"/>
              <w:rPr>
                <w:sz w:val="18"/>
                <w:szCs w:val="18"/>
              </w:rPr>
            </w:pPr>
            <w:r w:rsidRPr="009257C7">
              <w:rPr>
                <w:sz w:val="18"/>
                <w:szCs w:val="18"/>
              </w:rPr>
              <w:t>Temas del Foro</w:t>
            </w:r>
          </w:p>
        </w:tc>
        <w:tc>
          <w:tcPr>
            <w:tcW w:w="1275" w:type="dxa"/>
            <w:gridSpan w:val="2"/>
            <w:vAlign w:val="center"/>
          </w:tcPr>
          <w:p w:rsidR="00E7660B" w:rsidRPr="009257C7" w:rsidRDefault="00E7660B" w:rsidP="009D53C6">
            <w:pPr>
              <w:pStyle w:val="Tablehead"/>
              <w:rPr>
                <w:sz w:val="18"/>
                <w:szCs w:val="18"/>
              </w:rPr>
            </w:pPr>
            <w:r w:rsidRPr="009257C7">
              <w:rPr>
                <w:sz w:val="18"/>
                <w:szCs w:val="18"/>
              </w:rPr>
              <w:t>Idiomas</w:t>
            </w:r>
          </w:p>
        </w:tc>
        <w:tc>
          <w:tcPr>
            <w:tcW w:w="1566" w:type="dxa"/>
            <w:vAlign w:val="center"/>
          </w:tcPr>
          <w:p w:rsidR="00E7660B" w:rsidRPr="009257C7" w:rsidRDefault="00E7660B" w:rsidP="009D53C6">
            <w:pPr>
              <w:pStyle w:val="Tablehead"/>
              <w:rPr>
                <w:sz w:val="18"/>
                <w:szCs w:val="18"/>
              </w:rPr>
            </w:pPr>
            <w:r w:rsidRPr="009257C7">
              <w:rPr>
                <w:sz w:val="18"/>
                <w:szCs w:val="18"/>
              </w:rPr>
              <w:t>Participantes/</w:t>
            </w:r>
            <w:r w:rsidRPr="009257C7">
              <w:rPr>
                <w:sz w:val="18"/>
                <w:szCs w:val="18"/>
              </w:rPr>
              <w:br/>
              <w:t>administra</w:t>
            </w:r>
            <w:r w:rsidR="009D53C6" w:rsidRPr="009257C7">
              <w:rPr>
                <w:sz w:val="18"/>
                <w:szCs w:val="18"/>
              </w:rPr>
              <w:t>-</w:t>
            </w:r>
            <w:r w:rsidRPr="009257C7">
              <w:rPr>
                <w:sz w:val="18"/>
                <w:szCs w:val="18"/>
              </w:rPr>
              <w:t>ciones</w:t>
            </w:r>
          </w:p>
        </w:tc>
      </w:tr>
      <w:tr w:rsidR="00E7660B" w:rsidRPr="009257C7" w:rsidTr="007C1CE2">
        <w:trPr>
          <w:jc w:val="center"/>
        </w:trPr>
        <w:tc>
          <w:tcPr>
            <w:tcW w:w="14039" w:type="dxa"/>
            <w:gridSpan w:val="12"/>
            <w:vAlign w:val="center"/>
          </w:tcPr>
          <w:p w:rsidR="00E7660B" w:rsidRPr="009257C7" w:rsidRDefault="00E7660B" w:rsidP="00196304">
            <w:pPr>
              <w:pStyle w:val="Tabletext"/>
              <w:rPr>
                <w:b/>
                <w:bCs/>
                <w:sz w:val="18"/>
                <w:szCs w:val="18"/>
              </w:rPr>
            </w:pPr>
            <w:r w:rsidRPr="009257C7">
              <w:rPr>
                <w:b/>
                <w:bCs/>
                <w:sz w:val="18"/>
                <w:szCs w:val="18"/>
              </w:rPr>
              <w:t>2016</w:t>
            </w:r>
          </w:p>
        </w:tc>
      </w:tr>
      <w:tr w:rsidR="00E7660B" w:rsidRPr="009257C7" w:rsidTr="007C1CE2">
        <w:trPr>
          <w:jc w:val="center"/>
        </w:trPr>
        <w:tc>
          <w:tcPr>
            <w:tcW w:w="2174" w:type="dxa"/>
            <w:gridSpan w:val="2"/>
            <w:vAlign w:val="center"/>
          </w:tcPr>
          <w:p w:rsidR="00E7660B" w:rsidRPr="009257C7" w:rsidRDefault="00E7660B" w:rsidP="00E7660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rPr>
            </w:pPr>
          </w:p>
        </w:tc>
        <w:tc>
          <w:tcPr>
            <w:tcW w:w="1989" w:type="dxa"/>
            <w:vAlign w:val="center"/>
          </w:tcPr>
          <w:p w:rsidR="00E7660B" w:rsidRPr="009257C7" w:rsidRDefault="00E7660B" w:rsidP="00196304">
            <w:pPr>
              <w:pStyle w:val="Tabletext"/>
              <w:jc w:val="center"/>
              <w:rPr>
                <w:b/>
                <w:bCs/>
                <w:sz w:val="18"/>
                <w:szCs w:val="18"/>
              </w:rPr>
            </w:pPr>
            <w:r w:rsidRPr="009257C7">
              <w:rPr>
                <w:b/>
                <w:bCs/>
                <w:sz w:val="18"/>
                <w:szCs w:val="18"/>
              </w:rPr>
              <w:t>SRR-16 Américas</w:t>
            </w:r>
          </w:p>
        </w:tc>
        <w:tc>
          <w:tcPr>
            <w:tcW w:w="1175" w:type="dxa"/>
            <w:gridSpan w:val="2"/>
            <w:vAlign w:val="center"/>
          </w:tcPr>
          <w:p w:rsidR="00E7660B" w:rsidRPr="009257C7" w:rsidRDefault="00E7660B" w:rsidP="00196304">
            <w:pPr>
              <w:pStyle w:val="Tabletext"/>
              <w:jc w:val="center"/>
              <w:rPr>
                <w:sz w:val="18"/>
                <w:szCs w:val="18"/>
              </w:rPr>
            </w:pPr>
            <w:r w:rsidRPr="009257C7">
              <w:rPr>
                <w:sz w:val="18"/>
                <w:szCs w:val="18"/>
              </w:rPr>
              <w:t>Puerto España, Trinidad y T</w:t>
            </w:r>
            <w:r w:rsidR="00196304" w:rsidRPr="009257C7">
              <w:rPr>
                <w:sz w:val="18"/>
                <w:szCs w:val="18"/>
              </w:rPr>
              <w:t>a</w:t>
            </w:r>
            <w:r w:rsidRPr="009257C7">
              <w:rPr>
                <w:sz w:val="18"/>
                <w:szCs w:val="18"/>
              </w:rPr>
              <w:t>bago</w:t>
            </w:r>
          </w:p>
        </w:tc>
        <w:tc>
          <w:tcPr>
            <w:tcW w:w="2313" w:type="dxa"/>
            <w:vAlign w:val="center"/>
          </w:tcPr>
          <w:p w:rsidR="00E7660B" w:rsidRPr="009257C7" w:rsidRDefault="00E7660B" w:rsidP="00196304">
            <w:pPr>
              <w:pStyle w:val="Tabletext"/>
              <w:jc w:val="center"/>
              <w:rPr>
                <w:sz w:val="18"/>
                <w:szCs w:val="18"/>
              </w:rPr>
            </w:pPr>
            <w:r w:rsidRPr="009257C7">
              <w:rPr>
                <w:sz w:val="18"/>
                <w:szCs w:val="18"/>
              </w:rPr>
              <w:t>Unión de Telecomunicaciones del Caribe (CTU)</w:t>
            </w:r>
          </w:p>
        </w:tc>
        <w:tc>
          <w:tcPr>
            <w:tcW w:w="1706" w:type="dxa"/>
            <w:vAlign w:val="center"/>
          </w:tcPr>
          <w:p w:rsidR="00E7660B" w:rsidRPr="009257C7" w:rsidRDefault="00E7660B" w:rsidP="00196304">
            <w:pPr>
              <w:pStyle w:val="Tabletext"/>
              <w:jc w:val="center"/>
              <w:rPr>
                <w:sz w:val="18"/>
                <w:szCs w:val="18"/>
              </w:rPr>
            </w:pPr>
            <w:r w:rsidRPr="009257C7">
              <w:rPr>
                <w:sz w:val="18"/>
                <w:szCs w:val="18"/>
              </w:rPr>
              <w:t>Oficina de la UIT de las Américas</w:t>
            </w:r>
          </w:p>
        </w:tc>
        <w:tc>
          <w:tcPr>
            <w:tcW w:w="1841" w:type="dxa"/>
            <w:gridSpan w:val="2"/>
            <w:vAlign w:val="center"/>
          </w:tcPr>
          <w:p w:rsidR="00E7660B" w:rsidRPr="009257C7" w:rsidRDefault="00E7660B" w:rsidP="00196304">
            <w:pPr>
              <w:pStyle w:val="Tabletext"/>
              <w:jc w:val="center"/>
              <w:rPr>
                <w:sz w:val="18"/>
                <w:szCs w:val="18"/>
              </w:rPr>
            </w:pPr>
            <w:r w:rsidRPr="009257C7">
              <w:rPr>
                <w:sz w:val="18"/>
                <w:szCs w:val="18"/>
              </w:rPr>
              <w:t>Resultados de la CMR</w:t>
            </w:r>
            <w:r w:rsidRPr="009257C7">
              <w:rPr>
                <w:sz w:val="18"/>
                <w:szCs w:val="18"/>
              </w:rPr>
              <w:noBreakHyphen/>
              <w:t>15 y orden del día de la CMR-19: retos y oportunidades regionales de armonización del espectro</w:t>
            </w:r>
          </w:p>
        </w:tc>
        <w:tc>
          <w:tcPr>
            <w:tcW w:w="1275" w:type="dxa"/>
            <w:gridSpan w:val="2"/>
            <w:vAlign w:val="center"/>
          </w:tcPr>
          <w:p w:rsidR="00E7660B" w:rsidRPr="009257C7" w:rsidRDefault="00E7660B" w:rsidP="00196304">
            <w:pPr>
              <w:pStyle w:val="Tabletext"/>
              <w:jc w:val="center"/>
              <w:rPr>
                <w:sz w:val="18"/>
                <w:szCs w:val="18"/>
              </w:rPr>
            </w:pPr>
            <w:r w:rsidRPr="009257C7">
              <w:rPr>
                <w:sz w:val="18"/>
                <w:szCs w:val="18"/>
              </w:rPr>
              <w:t>E</w:t>
            </w:r>
          </w:p>
        </w:tc>
        <w:tc>
          <w:tcPr>
            <w:tcW w:w="1566" w:type="dxa"/>
            <w:vAlign w:val="center"/>
          </w:tcPr>
          <w:p w:rsidR="00E7660B" w:rsidRPr="009257C7" w:rsidRDefault="00E7660B" w:rsidP="00196304">
            <w:pPr>
              <w:pStyle w:val="Tabletext"/>
              <w:jc w:val="center"/>
              <w:rPr>
                <w:sz w:val="18"/>
                <w:szCs w:val="18"/>
              </w:rPr>
            </w:pPr>
            <w:r w:rsidRPr="009257C7">
              <w:rPr>
                <w:sz w:val="18"/>
                <w:szCs w:val="18"/>
              </w:rPr>
              <w:t>31/14</w:t>
            </w:r>
          </w:p>
        </w:tc>
      </w:tr>
      <w:tr w:rsidR="00E7660B" w:rsidRPr="009257C7" w:rsidTr="007C1CE2">
        <w:trPr>
          <w:jc w:val="center"/>
        </w:trPr>
        <w:tc>
          <w:tcPr>
            <w:tcW w:w="2174" w:type="dxa"/>
            <w:gridSpan w:val="2"/>
            <w:vAlign w:val="center"/>
          </w:tcPr>
          <w:p w:rsidR="00E7660B" w:rsidRPr="009257C7" w:rsidRDefault="00E7660B" w:rsidP="00E7660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rPr>
            </w:pPr>
          </w:p>
        </w:tc>
        <w:tc>
          <w:tcPr>
            <w:tcW w:w="1989" w:type="dxa"/>
            <w:vAlign w:val="center"/>
          </w:tcPr>
          <w:p w:rsidR="00E7660B" w:rsidRPr="009257C7" w:rsidRDefault="00E7660B" w:rsidP="00196304">
            <w:pPr>
              <w:pStyle w:val="Tabletext"/>
              <w:jc w:val="center"/>
              <w:rPr>
                <w:b/>
                <w:bCs/>
                <w:sz w:val="18"/>
                <w:szCs w:val="18"/>
              </w:rPr>
            </w:pPr>
            <w:r w:rsidRPr="009257C7">
              <w:rPr>
                <w:b/>
                <w:bCs/>
                <w:sz w:val="18"/>
                <w:szCs w:val="18"/>
              </w:rPr>
              <w:t>SRR-16 Asia-Pacífico</w:t>
            </w:r>
          </w:p>
        </w:tc>
        <w:tc>
          <w:tcPr>
            <w:tcW w:w="1175" w:type="dxa"/>
            <w:gridSpan w:val="2"/>
            <w:vAlign w:val="center"/>
          </w:tcPr>
          <w:p w:rsidR="00E7660B" w:rsidRPr="009257C7" w:rsidRDefault="00E7660B" w:rsidP="00196304">
            <w:pPr>
              <w:pStyle w:val="Tabletext"/>
              <w:jc w:val="center"/>
              <w:rPr>
                <w:sz w:val="18"/>
                <w:szCs w:val="18"/>
              </w:rPr>
            </w:pPr>
            <w:r w:rsidRPr="009257C7">
              <w:rPr>
                <w:sz w:val="18"/>
                <w:szCs w:val="18"/>
              </w:rPr>
              <w:t>Apia, Samoa</w:t>
            </w:r>
          </w:p>
        </w:tc>
        <w:tc>
          <w:tcPr>
            <w:tcW w:w="2313" w:type="dxa"/>
            <w:vAlign w:val="center"/>
          </w:tcPr>
          <w:p w:rsidR="00E7660B" w:rsidRPr="009257C7" w:rsidRDefault="00E7660B" w:rsidP="00196304">
            <w:pPr>
              <w:pStyle w:val="Tabletext"/>
              <w:jc w:val="center"/>
              <w:rPr>
                <w:sz w:val="18"/>
                <w:szCs w:val="18"/>
              </w:rPr>
            </w:pPr>
            <w:r w:rsidRPr="009257C7">
              <w:rPr>
                <w:sz w:val="18"/>
                <w:szCs w:val="18"/>
              </w:rPr>
              <w:t>Ministerio de TIC de Samoa</w:t>
            </w:r>
          </w:p>
        </w:tc>
        <w:tc>
          <w:tcPr>
            <w:tcW w:w="1706" w:type="dxa"/>
            <w:vAlign w:val="center"/>
          </w:tcPr>
          <w:p w:rsidR="00E7660B" w:rsidRPr="009257C7" w:rsidRDefault="00E7660B" w:rsidP="00196304">
            <w:pPr>
              <w:pStyle w:val="Tabletext"/>
              <w:jc w:val="center"/>
              <w:rPr>
                <w:sz w:val="18"/>
                <w:szCs w:val="18"/>
              </w:rPr>
            </w:pPr>
            <w:r w:rsidRPr="009257C7">
              <w:rPr>
                <w:sz w:val="18"/>
                <w:szCs w:val="18"/>
              </w:rPr>
              <w:t>Oficina de la UIT de Asia y el Pacífico</w:t>
            </w:r>
          </w:p>
        </w:tc>
        <w:tc>
          <w:tcPr>
            <w:tcW w:w="1841" w:type="dxa"/>
            <w:gridSpan w:val="2"/>
            <w:vAlign w:val="center"/>
          </w:tcPr>
          <w:p w:rsidR="00E7660B" w:rsidRPr="009257C7" w:rsidRDefault="00E7660B" w:rsidP="00196304">
            <w:pPr>
              <w:pStyle w:val="Tabletext"/>
              <w:jc w:val="center"/>
              <w:rPr>
                <w:sz w:val="18"/>
                <w:szCs w:val="18"/>
              </w:rPr>
            </w:pPr>
            <w:r w:rsidRPr="009257C7">
              <w:rPr>
                <w:sz w:val="18"/>
                <w:szCs w:val="18"/>
              </w:rPr>
              <w:t>Reducción de la brecha digital en la región: función de las tecnologías de radiocomunicaciones</w:t>
            </w:r>
          </w:p>
        </w:tc>
        <w:tc>
          <w:tcPr>
            <w:tcW w:w="1275" w:type="dxa"/>
            <w:gridSpan w:val="2"/>
            <w:vAlign w:val="center"/>
          </w:tcPr>
          <w:p w:rsidR="00E7660B" w:rsidRPr="009257C7" w:rsidRDefault="00E7660B" w:rsidP="00196304">
            <w:pPr>
              <w:pStyle w:val="Tabletext"/>
              <w:jc w:val="center"/>
              <w:rPr>
                <w:sz w:val="18"/>
                <w:szCs w:val="18"/>
              </w:rPr>
            </w:pPr>
            <w:r w:rsidRPr="009257C7">
              <w:rPr>
                <w:sz w:val="18"/>
                <w:szCs w:val="18"/>
              </w:rPr>
              <w:t>E</w:t>
            </w:r>
          </w:p>
        </w:tc>
        <w:tc>
          <w:tcPr>
            <w:tcW w:w="1566" w:type="dxa"/>
            <w:vAlign w:val="center"/>
          </w:tcPr>
          <w:p w:rsidR="00E7660B" w:rsidRPr="009257C7" w:rsidRDefault="00E7660B" w:rsidP="00196304">
            <w:pPr>
              <w:pStyle w:val="Tabletext"/>
              <w:jc w:val="center"/>
              <w:rPr>
                <w:sz w:val="18"/>
                <w:szCs w:val="18"/>
              </w:rPr>
            </w:pPr>
            <w:r w:rsidRPr="009257C7">
              <w:rPr>
                <w:sz w:val="18"/>
                <w:szCs w:val="18"/>
              </w:rPr>
              <w:t>78/15</w:t>
            </w:r>
          </w:p>
        </w:tc>
      </w:tr>
      <w:tr w:rsidR="00E7660B" w:rsidRPr="009257C7" w:rsidTr="007C1CE2">
        <w:trPr>
          <w:jc w:val="center"/>
        </w:trPr>
        <w:tc>
          <w:tcPr>
            <w:tcW w:w="14039" w:type="dxa"/>
            <w:gridSpan w:val="12"/>
            <w:vAlign w:val="center"/>
          </w:tcPr>
          <w:p w:rsidR="00E7660B" w:rsidRPr="009257C7" w:rsidRDefault="00E7660B" w:rsidP="00196304">
            <w:pPr>
              <w:pStyle w:val="Tabletext"/>
              <w:rPr>
                <w:b/>
                <w:bCs/>
                <w:sz w:val="18"/>
                <w:szCs w:val="18"/>
              </w:rPr>
            </w:pPr>
            <w:r w:rsidRPr="009257C7">
              <w:rPr>
                <w:b/>
                <w:bCs/>
                <w:sz w:val="18"/>
                <w:szCs w:val="18"/>
              </w:rPr>
              <w:t>2017</w:t>
            </w:r>
          </w:p>
        </w:tc>
      </w:tr>
      <w:tr w:rsidR="00E7660B" w:rsidRPr="009257C7" w:rsidTr="007C1CE2">
        <w:trPr>
          <w:jc w:val="center"/>
        </w:trPr>
        <w:tc>
          <w:tcPr>
            <w:tcW w:w="2174" w:type="dxa"/>
            <w:gridSpan w:val="2"/>
            <w:vAlign w:val="center"/>
          </w:tcPr>
          <w:p w:rsidR="00E7660B" w:rsidRPr="009257C7" w:rsidRDefault="00E7660B" w:rsidP="00E7660B">
            <w:pPr>
              <w:rPr>
                <w:rFonts w:asciiTheme="majorBidi" w:hAnsiTheme="majorBidi" w:cstheme="majorBidi"/>
                <w:sz w:val="18"/>
                <w:szCs w:val="18"/>
              </w:rPr>
            </w:pPr>
          </w:p>
        </w:tc>
        <w:tc>
          <w:tcPr>
            <w:tcW w:w="1989" w:type="dxa"/>
            <w:vAlign w:val="center"/>
          </w:tcPr>
          <w:p w:rsidR="00E7660B" w:rsidRPr="009257C7" w:rsidRDefault="00E7660B" w:rsidP="00E6743F">
            <w:pPr>
              <w:pStyle w:val="Tabletext"/>
              <w:jc w:val="center"/>
              <w:rPr>
                <w:b/>
                <w:bCs/>
                <w:sz w:val="18"/>
                <w:szCs w:val="18"/>
              </w:rPr>
            </w:pPr>
            <w:r w:rsidRPr="009257C7">
              <w:rPr>
                <w:b/>
                <w:bCs/>
                <w:sz w:val="18"/>
                <w:szCs w:val="18"/>
              </w:rPr>
              <w:t>SRR-17 África</w:t>
            </w:r>
          </w:p>
        </w:tc>
        <w:tc>
          <w:tcPr>
            <w:tcW w:w="1175" w:type="dxa"/>
            <w:gridSpan w:val="2"/>
            <w:vAlign w:val="center"/>
          </w:tcPr>
          <w:p w:rsidR="00E7660B" w:rsidRPr="009257C7" w:rsidRDefault="00E7660B" w:rsidP="007C1CE2">
            <w:pPr>
              <w:pStyle w:val="Tabletext"/>
              <w:jc w:val="center"/>
              <w:rPr>
                <w:sz w:val="18"/>
                <w:szCs w:val="18"/>
              </w:rPr>
            </w:pPr>
            <w:r w:rsidRPr="009257C7">
              <w:rPr>
                <w:sz w:val="18"/>
                <w:szCs w:val="18"/>
              </w:rPr>
              <w:t>Senegal</w:t>
            </w:r>
          </w:p>
        </w:tc>
        <w:tc>
          <w:tcPr>
            <w:tcW w:w="2313" w:type="dxa"/>
            <w:vAlign w:val="center"/>
          </w:tcPr>
          <w:p w:rsidR="00E7660B" w:rsidRPr="009257C7" w:rsidRDefault="00E7660B" w:rsidP="007C1CE2">
            <w:pPr>
              <w:pStyle w:val="Tabletext"/>
              <w:jc w:val="center"/>
              <w:rPr>
                <w:sz w:val="18"/>
                <w:szCs w:val="18"/>
              </w:rPr>
            </w:pPr>
            <w:r w:rsidRPr="009257C7">
              <w:rPr>
                <w:sz w:val="18"/>
                <w:szCs w:val="18"/>
              </w:rPr>
              <w:t xml:space="preserve">Ministère des Postes et </w:t>
            </w:r>
            <w:r w:rsidR="00446EC2" w:rsidRPr="009257C7">
              <w:rPr>
                <w:sz w:val="18"/>
                <w:szCs w:val="18"/>
              </w:rPr>
              <w:t xml:space="preserve">Télécommunications </w:t>
            </w:r>
            <w:r w:rsidRPr="009257C7">
              <w:rPr>
                <w:sz w:val="18"/>
                <w:szCs w:val="18"/>
              </w:rPr>
              <w:t>(MPT) y Autorité de Régulation des Télécommunications et de la Poste (ARTP)</w:t>
            </w:r>
          </w:p>
        </w:tc>
        <w:tc>
          <w:tcPr>
            <w:tcW w:w="1706" w:type="dxa"/>
            <w:vAlign w:val="center"/>
          </w:tcPr>
          <w:p w:rsidR="00E7660B" w:rsidRPr="009257C7" w:rsidRDefault="00E7660B" w:rsidP="007C1CE2">
            <w:pPr>
              <w:pStyle w:val="Tabletext"/>
              <w:jc w:val="center"/>
              <w:rPr>
                <w:sz w:val="18"/>
                <w:szCs w:val="18"/>
              </w:rPr>
            </w:pPr>
            <w:r w:rsidRPr="009257C7">
              <w:rPr>
                <w:sz w:val="18"/>
                <w:szCs w:val="18"/>
              </w:rPr>
              <w:t>Unión Afric</w:t>
            </w:r>
            <w:r w:rsidR="00E6743F" w:rsidRPr="009257C7">
              <w:rPr>
                <w:sz w:val="18"/>
                <w:szCs w:val="18"/>
              </w:rPr>
              <w:t>ana de Telecomunicaciones (ATU)</w:t>
            </w:r>
          </w:p>
        </w:tc>
        <w:tc>
          <w:tcPr>
            <w:tcW w:w="1841" w:type="dxa"/>
            <w:gridSpan w:val="2"/>
            <w:vAlign w:val="center"/>
          </w:tcPr>
          <w:p w:rsidR="00E7660B" w:rsidRPr="009257C7" w:rsidRDefault="00E7660B" w:rsidP="007C1CE2">
            <w:pPr>
              <w:pStyle w:val="Tabletext"/>
              <w:jc w:val="center"/>
              <w:rPr>
                <w:sz w:val="18"/>
                <w:szCs w:val="18"/>
              </w:rPr>
            </w:pPr>
            <w:r w:rsidRPr="009257C7">
              <w:rPr>
                <w:sz w:val="18"/>
                <w:szCs w:val="18"/>
              </w:rPr>
              <w:t>Orden del día de la CMR-19: retos y oportunidades para África</w:t>
            </w:r>
          </w:p>
        </w:tc>
        <w:tc>
          <w:tcPr>
            <w:tcW w:w="1275" w:type="dxa"/>
            <w:gridSpan w:val="2"/>
            <w:vAlign w:val="center"/>
          </w:tcPr>
          <w:p w:rsidR="00E7660B" w:rsidRPr="009257C7" w:rsidRDefault="00E7660B" w:rsidP="007C1CE2">
            <w:pPr>
              <w:pStyle w:val="Tabletext"/>
              <w:jc w:val="center"/>
              <w:rPr>
                <w:sz w:val="18"/>
                <w:szCs w:val="18"/>
              </w:rPr>
            </w:pPr>
            <w:r w:rsidRPr="009257C7">
              <w:rPr>
                <w:sz w:val="18"/>
                <w:szCs w:val="18"/>
              </w:rPr>
              <w:t>E/F</w:t>
            </w:r>
          </w:p>
        </w:tc>
        <w:tc>
          <w:tcPr>
            <w:tcW w:w="1566" w:type="dxa"/>
            <w:vAlign w:val="center"/>
          </w:tcPr>
          <w:p w:rsidR="00E7660B" w:rsidRPr="009257C7" w:rsidRDefault="00E7660B" w:rsidP="007C1CE2">
            <w:pPr>
              <w:pStyle w:val="Tabletext"/>
              <w:jc w:val="center"/>
              <w:rPr>
                <w:sz w:val="18"/>
                <w:szCs w:val="18"/>
              </w:rPr>
            </w:pPr>
            <w:r w:rsidRPr="009257C7">
              <w:rPr>
                <w:sz w:val="18"/>
                <w:szCs w:val="18"/>
              </w:rPr>
              <w:t>185/35</w:t>
            </w:r>
          </w:p>
        </w:tc>
      </w:tr>
      <w:tr w:rsidR="00E7660B" w:rsidRPr="009257C7" w:rsidTr="007C1CE2">
        <w:trPr>
          <w:jc w:val="center"/>
        </w:trPr>
        <w:tc>
          <w:tcPr>
            <w:tcW w:w="2174" w:type="dxa"/>
            <w:gridSpan w:val="2"/>
            <w:vAlign w:val="center"/>
          </w:tcPr>
          <w:p w:rsidR="00E7660B" w:rsidRPr="009257C7" w:rsidRDefault="00E7660B" w:rsidP="00E7660B">
            <w:pPr>
              <w:rPr>
                <w:rFonts w:asciiTheme="majorBidi" w:hAnsiTheme="majorBidi" w:cstheme="majorBidi"/>
                <w:sz w:val="18"/>
                <w:szCs w:val="18"/>
              </w:rPr>
            </w:pPr>
          </w:p>
        </w:tc>
        <w:tc>
          <w:tcPr>
            <w:tcW w:w="1989" w:type="dxa"/>
            <w:vAlign w:val="center"/>
          </w:tcPr>
          <w:p w:rsidR="00E7660B" w:rsidRPr="009257C7" w:rsidRDefault="00E7660B" w:rsidP="00E6743F">
            <w:pPr>
              <w:pStyle w:val="Tabletext"/>
              <w:jc w:val="center"/>
              <w:rPr>
                <w:b/>
                <w:bCs/>
                <w:sz w:val="18"/>
                <w:szCs w:val="18"/>
              </w:rPr>
            </w:pPr>
            <w:r w:rsidRPr="009257C7">
              <w:rPr>
                <w:b/>
                <w:bCs/>
                <w:sz w:val="18"/>
                <w:szCs w:val="18"/>
              </w:rPr>
              <w:t>SRR-17 Américas</w:t>
            </w:r>
          </w:p>
        </w:tc>
        <w:tc>
          <w:tcPr>
            <w:tcW w:w="1175" w:type="dxa"/>
            <w:gridSpan w:val="2"/>
            <w:vAlign w:val="center"/>
          </w:tcPr>
          <w:p w:rsidR="00E7660B" w:rsidRPr="009257C7" w:rsidRDefault="00E7660B" w:rsidP="007C1CE2">
            <w:pPr>
              <w:pStyle w:val="Tabletext"/>
              <w:jc w:val="center"/>
              <w:rPr>
                <w:sz w:val="18"/>
                <w:szCs w:val="18"/>
              </w:rPr>
            </w:pPr>
            <w:r w:rsidRPr="009257C7">
              <w:rPr>
                <w:sz w:val="18"/>
                <w:szCs w:val="18"/>
              </w:rPr>
              <w:t>Perú</w:t>
            </w:r>
          </w:p>
        </w:tc>
        <w:tc>
          <w:tcPr>
            <w:tcW w:w="2313" w:type="dxa"/>
            <w:vAlign w:val="center"/>
          </w:tcPr>
          <w:p w:rsidR="00E7660B" w:rsidRPr="009257C7" w:rsidRDefault="00E7660B" w:rsidP="007C1CE2">
            <w:pPr>
              <w:pStyle w:val="Tabletext"/>
              <w:jc w:val="center"/>
              <w:rPr>
                <w:sz w:val="18"/>
                <w:szCs w:val="18"/>
              </w:rPr>
            </w:pPr>
            <w:r w:rsidRPr="009257C7">
              <w:rPr>
                <w:sz w:val="18"/>
                <w:szCs w:val="18"/>
              </w:rPr>
              <w:t>Ministerio de Transportes y Comunicaciones (MTC)</w:t>
            </w:r>
          </w:p>
        </w:tc>
        <w:tc>
          <w:tcPr>
            <w:tcW w:w="1706" w:type="dxa"/>
            <w:vAlign w:val="center"/>
          </w:tcPr>
          <w:p w:rsidR="00E7660B" w:rsidRPr="009257C7" w:rsidRDefault="00E7660B" w:rsidP="007C1CE2">
            <w:pPr>
              <w:pStyle w:val="Tabletext"/>
              <w:jc w:val="center"/>
              <w:rPr>
                <w:sz w:val="18"/>
                <w:szCs w:val="18"/>
              </w:rPr>
            </w:pPr>
            <w:r w:rsidRPr="009257C7">
              <w:rPr>
                <w:sz w:val="18"/>
                <w:szCs w:val="18"/>
              </w:rPr>
              <w:t>Comisión Interamericana de Telecomunicaciones (CITEL)</w:t>
            </w:r>
          </w:p>
        </w:tc>
        <w:tc>
          <w:tcPr>
            <w:tcW w:w="1841" w:type="dxa"/>
            <w:gridSpan w:val="2"/>
            <w:vAlign w:val="center"/>
          </w:tcPr>
          <w:p w:rsidR="00E7660B" w:rsidRPr="009257C7" w:rsidRDefault="00E7660B" w:rsidP="007C1CE2">
            <w:pPr>
              <w:pStyle w:val="Tabletext"/>
              <w:jc w:val="center"/>
              <w:rPr>
                <w:sz w:val="18"/>
                <w:szCs w:val="18"/>
              </w:rPr>
            </w:pPr>
            <w:r w:rsidRPr="009257C7">
              <w:rPr>
                <w:sz w:val="18"/>
                <w:szCs w:val="18"/>
              </w:rPr>
              <w:t>Transición a 5G: Presente y futuro en América Latina</w:t>
            </w:r>
          </w:p>
        </w:tc>
        <w:tc>
          <w:tcPr>
            <w:tcW w:w="1275" w:type="dxa"/>
            <w:gridSpan w:val="2"/>
            <w:vAlign w:val="center"/>
          </w:tcPr>
          <w:p w:rsidR="00E7660B" w:rsidRPr="009257C7" w:rsidRDefault="00E7660B" w:rsidP="007C1CE2">
            <w:pPr>
              <w:pStyle w:val="Tabletext"/>
              <w:jc w:val="center"/>
              <w:rPr>
                <w:sz w:val="18"/>
                <w:szCs w:val="18"/>
              </w:rPr>
            </w:pPr>
            <w:r w:rsidRPr="009257C7">
              <w:rPr>
                <w:sz w:val="18"/>
                <w:szCs w:val="18"/>
              </w:rPr>
              <w:t>S</w:t>
            </w:r>
          </w:p>
        </w:tc>
        <w:tc>
          <w:tcPr>
            <w:tcW w:w="1566" w:type="dxa"/>
            <w:vAlign w:val="center"/>
          </w:tcPr>
          <w:p w:rsidR="00E7660B" w:rsidRPr="009257C7" w:rsidRDefault="00E7660B" w:rsidP="007C1CE2">
            <w:pPr>
              <w:pStyle w:val="Tabletext"/>
              <w:jc w:val="center"/>
              <w:rPr>
                <w:sz w:val="18"/>
                <w:szCs w:val="18"/>
              </w:rPr>
            </w:pPr>
            <w:r w:rsidRPr="009257C7">
              <w:rPr>
                <w:sz w:val="18"/>
                <w:szCs w:val="18"/>
              </w:rPr>
              <w:t>70/12</w:t>
            </w:r>
          </w:p>
        </w:tc>
      </w:tr>
      <w:tr w:rsidR="00E7660B" w:rsidRPr="009257C7" w:rsidTr="007C1CE2">
        <w:trPr>
          <w:jc w:val="center"/>
        </w:trPr>
        <w:tc>
          <w:tcPr>
            <w:tcW w:w="2174" w:type="dxa"/>
            <w:gridSpan w:val="2"/>
            <w:vAlign w:val="center"/>
          </w:tcPr>
          <w:p w:rsidR="00E7660B" w:rsidRPr="009257C7" w:rsidRDefault="00E7660B" w:rsidP="00E7660B">
            <w:pPr>
              <w:rPr>
                <w:rFonts w:asciiTheme="majorBidi" w:hAnsiTheme="majorBidi" w:cstheme="majorBidi"/>
                <w:sz w:val="18"/>
                <w:szCs w:val="18"/>
              </w:rPr>
            </w:pPr>
          </w:p>
        </w:tc>
        <w:tc>
          <w:tcPr>
            <w:tcW w:w="1989" w:type="dxa"/>
            <w:vAlign w:val="center"/>
          </w:tcPr>
          <w:p w:rsidR="00E7660B" w:rsidRPr="009257C7" w:rsidRDefault="00E7660B" w:rsidP="00E6743F">
            <w:pPr>
              <w:pStyle w:val="Tabletext"/>
              <w:jc w:val="center"/>
              <w:rPr>
                <w:b/>
                <w:bCs/>
                <w:sz w:val="18"/>
                <w:szCs w:val="18"/>
              </w:rPr>
            </w:pPr>
            <w:r w:rsidRPr="009257C7">
              <w:rPr>
                <w:b/>
                <w:bCs/>
                <w:sz w:val="18"/>
                <w:szCs w:val="18"/>
              </w:rPr>
              <w:t>SRR-17 Asia-Pacífico</w:t>
            </w:r>
          </w:p>
        </w:tc>
        <w:tc>
          <w:tcPr>
            <w:tcW w:w="1175" w:type="dxa"/>
            <w:gridSpan w:val="2"/>
            <w:vAlign w:val="center"/>
          </w:tcPr>
          <w:p w:rsidR="00E7660B" w:rsidRPr="009257C7" w:rsidRDefault="00E7660B" w:rsidP="007C1CE2">
            <w:pPr>
              <w:pStyle w:val="Tabletext"/>
              <w:jc w:val="center"/>
              <w:rPr>
                <w:sz w:val="18"/>
                <w:szCs w:val="18"/>
              </w:rPr>
            </w:pPr>
            <w:r w:rsidRPr="009257C7">
              <w:rPr>
                <w:sz w:val="18"/>
                <w:szCs w:val="18"/>
              </w:rPr>
              <w:t>Camboya</w:t>
            </w:r>
          </w:p>
        </w:tc>
        <w:tc>
          <w:tcPr>
            <w:tcW w:w="2313" w:type="dxa"/>
            <w:vAlign w:val="center"/>
          </w:tcPr>
          <w:p w:rsidR="00E7660B" w:rsidRPr="009257C7" w:rsidRDefault="009A2C98" w:rsidP="007C1CE2">
            <w:pPr>
              <w:pStyle w:val="Tabletext"/>
              <w:jc w:val="center"/>
              <w:rPr>
                <w:sz w:val="18"/>
                <w:szCs w:val="18"/>
              </w:rPr>
            </w:pPr>
            <w:hyperlink r:id="rId28" w:history="1">
              <w:r w:rsidR="00E7660B" w:rsidRPr="009257C7">
                <w:rPr>
                  <w:sz w:val="18"/>
                  <w:szCs w:val="18"/>
                </w:rPr>
                <w:t>Ministerios de Correos y telecomunicaciones de Camboya (MPTC)</w:t>
              </w:r>
            </w:hyperlink>
          </w:p>
        </w:tc>
        <w:tc>
          <w:tcPr>
            <w:tcW w:w="1706" w:type="dxa"/>
            <w:vAlign w:val="center"/>
          </w:tcPr>
          <w:p w:rsidR="00E7660B" w:rsidRPr="009257C7" w:rsidRDefault="00E7660B" w:rsidP="007C1CE2">
            <w:pPr>
              <w:pStyle w:val="Tabletext"/>
              <w:jc w:val="center"/>
              <w:rPr>
                <w:sz w:val="18"/>
                <w:szCs w:val="18"/>
              </w:rPr>
            </w:pPr>
          </w:p>
        </w:tc>
        <w:tc>
          <w:tcPr>
            <w:tcW w:w="1841" w:type="dxa"/>
            <w:gridSpan w:val="2"/>
            <w:vAlign w:val="center"/>
          </w:tcPr>
          <w:p w:rsidR="00E7660B" w:rsidRPr="009257C7" w:rsidRDefault="00E7660B" w:rsidP="007C1CE2">
            <w:pPr>
              <w:pStyle w:val="Tabletext"/>
              <w:jc w:val="center"/>
              <w:rPr>
                <w:sz w:val="18"/>
                <w:szCs w:val="18"/>
              </w:rPr>
            </w:pPr>
            <w:r w:rsidRPr="009257C7">
              <w:rPr>
                <w:sz w:val="18"/>
                <w:szCs w:val="18"/>
              </w:rPr>
              <w:t xml:space="preserve">Transición a 5G en la </w:t>
            </w:r>
            <w:r w:rsidR="00E6743F" w:rsidRPr="009257C7">
              <w:rPr>
                <w:sz w:val="18"/>
                <w:szCs w:val="18"/>
              </w:rPr>
              <w:t>región</w:t>
            </w:r>
          </w:p>
        </w:tc>
        <w:tc>
          <w:tcPr>
            <w:tcW w:w="1275" w:type="dxa"/>
            <w:gridSpan w:val="2"/>
            <w:vAlign w:val="center"/>
          </w:tcPr>
          <w:p w:rsidR="00E7660B" w:rsidRPr="009257C7" w:rsidRDefault="00E7660B" w:rsidP="007C1CE2">
            <w:pPr>
              <w:pStyle w:val="Tabletext"/>
              <w:jc w:val="center"/>
              <w:rPr>
                <w:sz w:val="18"/>
                <w:szCs w:val="18"/>
              </w:rPr>
            </w:pPr>
            <w:r w:rsidRPr="009257C7">
              <w:rPr>
                <w:sz w:val="18"/>
                <w:szCs w:val="18"/>
              </w:rPr>
              <w:t>E</w:t>
            </w:r>
          </w:p>
        </w:tc>
        <w:tc>
          <w:tcPr>
            <w:tcW w:w="1566" w:type="dxa"/>
            <w:vAlign w:val="center"/>
          </w:tcPr>
          <w:p w:rsidR="00E7660B" w:rsidRPr="009257C7" w:rsidRDefault="00E7660B" w:rsidP="007C1CE2">
            <w:pPr>
              <w:pStyle w:val="Tabletext"/>
              <w:jc w:val="center"/>
              <w:rPr>
                <w:sz w:val="18"/>
                <w:szCs w:val="18"/>
              </w:rPr>
            </w:pPr>
            <w:r w:rsidRPr="009257C7">
              <w:rPr>
                <w:sz w:val="18"/>
                <w:szCs w:val="18"/>
              </w:rPr>
              <w:t>140/22</w:t>
            </w:r>
          </w:p>
        </w:tc>
      </w:tr>
      <w:tr w:rsidR="00E7660B" w:rsidRPr="009257C7" w:rsidTr="007C1CE2">
        <w:trPr>
          <w:jc w:val="center"/>
        </w:trPr>
        <w:tc>
          <w:tcPr>
            <w:tcW w:w="2174" w:type="dxa"/>
            <w:gridSpan w:val="2"/>
            <w:tcBorders>
              <w:bottom w:val="single" w:sz="4" w:space="0" w:color="auto"/>
            </w:tcBorders>
            <w:vAlign w:val="center"/>
          </w:tcPr>
          <w:p w:rsidR="00E7660B" w:rsidRPr="009257C7" w:rsidRDefault="00E7660B" w:rsidP="00E7660B">
            <w:pPr>
              <w:rPr>
                <w:rFonts w:asciiTheme="majorBidi" w:hAnsiTheme="majorBidi" w:cstheme="majorBidi"/>
                <w:sz w:val="18"/>
                <w:szCs w:val="18"/>
              </w:rPr>
            </w:pPr>
          </w:p>
        </w:tc>
        <w:tc>
          <w:tcPr>
            <w:tcW w:w="1989" w:type="dxa"/>
            <w:tcBorders>
              <w:bottom w:val="single" w:sz="4" w:space="0" w:color="auto"/>
            </w:tcBorders>
            <w:vAlign w:val="center"/>
          </w:tcPr>
          <w:p w:rsidR="00E7660B" w:rsidRPr="009257C7" w:rsidRDefault="00E7660B" w:rsidP="00E6743F">
            <w:pPr>
              <w:pStyle w:val="Tabletext"/>
              <w:jc w:val="center"/>
              <w:rPr>
                <w:b/>
                <w:bCs/>
                <w:sz w:val="18"/>
                <w:szCs w:val="18"/>
              </w:rPr>
            </w:pPr>
            <w:r w:rsidRPr="009257C7">
              <w:rPr>
                <w:b/>
                <w:bCs/>
                <w:sz w:val="18"/>
                <w:szCs w:val="18"/>
              </w:rPr>
              <w:t>SRR-17 Árabe</w:t>
            </w:r>
          </w:p>
        </w:tc>
        <w:tc>
          <w:tcPr>
            <w:tcW w:w="1175" w:type="dxa"/>
            <w:gridSpan w:val="2"/>
            <w:tcBorders>
              <w:bottom w:val="single" w:sz="4" w:space="0" w:color="auto"/>
            </w:tcBorders>
            <w:vAlign w:val="center"/>
          </w:tcPr>
          <w:p w:rsidR="00E7660B" w:rsidRPr="009257C7" w:rsidRDefault="00E7660B" w:rsidP="007C1CE2">
            <w:pPr>
              <w:pStyle w:val="Tabletext"/>
              <w:jc w:val="center"/>
              <w:rPr>
                <w:sz w:val="18"/>
                <w:szCs w:val="18"/>
              </w:rPr>
            </w:pPr>
            <w:r w:rsidRPr="009257C7">
              <w:rPr>
                <w:sz w:val="18"/>
                <w:szCs w:val="18"/>
              </w:rPr>
              <w:t>Omán</w:t>
            </w:r>
          </w:p>
        </w:tc>
        <w:tc>
          <w:tcPr>
            <w:tcW w:w="2313" w:type="dxa"/>
            <w:tcBorders>
              <w:bottom w:val="single" w:sz="4" w:space="0" w:color="auto"/>
            </w:tcBorders>
            <w:vAlign w:val="center"/>
          </w:tcPr>
          <w:p w:rsidR="00E7660B" w:rsidRPr="009257C7" w:rsidRDefault="00E7660B" w:rsidP="007C1CE2">
            <w:pPr>
              <w:pStyle w:val="Tabletext"/>
              <w:jc w:val="center"/>
              <w:rPr>
                <w:sz w:val="18"/>
                <w:szCs w:val="18"/>
              </w:rPr>
            </w:pPr>
            <w:r w:rsidRPr="009257C7">
              <w:rPr>
                <w:sz w:val="18"/>
                <w:szCs w:val="18"/>
              </w:rPr>
              <w:t>Autoridad de Reglamentación de las Telecomunicaciones de Omán</w:t>
            </w:r>
            <w:hyperlink r:id="rId29" w:tgtFrame="_blank" w:history="1">
              <w:r w:rsidRPr="009257C7">
                <w:rPr>
                  <w:sz w:val="18"/>
                  <w:szCs w:val="18"/>
                </w:rPr>
                <w:t xml:space="preserve"> (TRA)</w:t>
              </w:r>
            </w:hyperlink>
          </w:p>
        </w:tc>
        <w:tc>
          <w:tcPr>
            <w:tcW w:w="1706" w:type="dxa"/>
            <w:tcBorders>
              <w:bottom w:val="single" w:sz="4" w:space="0" w:color="auto"/>
            </w:tcBorders>
            <w:vAlign w:val="center"/>
          </w:tcPr>
          <w:p w:rsidR="00E7660B" w:rsidRPr="009257C7" w:rsidRDefault="00E7660B" w:rsidP="007C1CE2">
            <w:pPr>
              <w:pStyle w:val="Tabletext"/>
              <w:jc w:val="center"/>
              <w:rPr>
                <w:sz w:val="18"/>
                <w:szCs w:val="18"/>
              </w:rPr>
            </w:pPr>
            <w:r w:rsidRPr="009257C7">
              <w:rPr>
                <w:sz w:val="18"/>
                <w:szCs w:val="18"/>
              </w:rPr>
              <w:t>ASMG</w:t>
            </w:r>
          </w:p>
        </w:tc>
        <w:tc>
          <w:tcPr>
            <w:tcW w:w="1841" w:type="dxa"/>
            <w:gridSpan w:val="2"/>
            <w:tcBorders>
              <w:bottom w:val="single" w:sz="4" w:space="0" w:color="auto"/>
            </w:tcBorders>
            <w:vAlign w:val="center"/>
          </w:tcPr>
          <w:p w:rsidR="00E7660B" w:rsidRPr="009257C7" w:rsidRDefault="00E7660B" w:rsidP="007C1CE2">
            <w:pPr>
              <w:pStyle w:val="Tabletext"/>
              <w:jc w:val="center"/>
              <w:rPr>
                <w:sz w:val="18"/>
                <w:szCs w:val="18"/>
              </w:rPr>
            </w:pPr>
            <w:r w:rsidRPr="009257C7">
              <w:rPr>
                <w:sz w:val="18"/>
                <w:szCs w:val="18"/>
              </w:rPr>
              <w:t>Orden del día de la CMR-19: retos y oportunidades para la Región Árabe</w:t>
            </w:r>
          </w:p>
        </w:tc>
        <w:tc>
          <w:tcPr>
            <w:tcW w:w="1275" w:type="dxa"/>
            <w:gridSpan w:val="2"/>
            <w:tcBorders>
              <w:bottom w:val="single" w:sz="4" w:space="0" w:color="auto"/>
            </w:tcBorders>
            <w:vAlign w:val="center"/>
          </w:tcPr>
          <w:p w:rsidR="00E7660B" w:rsidRPr="009257C7" w:rsidRDefault="00E7660B" w:rsidP="007C1CE2">
            <w:pPr>
              <w:pStyle w:val="Tabletext"/>
              <w:jc w:val="center"/>
              <w:rPr>
                <w:sz w:val="18"/>
                <w:szCs w:val="18"/>
              </w:rPr>
            </w:pPr>
            <w:r w:rsidRPr="009257C7">
              <w:rPr>
                <w:sz w:val="18"/>
                <w:szCs w:val="18"/>
              </w:rPr>
              <w:t>A/E</w:t>
            </w:r>
          </w:p>
        </w:tc>
        <w:tc>
          <w:tcPr>
            <w:tcW w:w="1566" w:type="dxa"/>
            <w:tcBorders>
              <w:bottom w:val="single" w:sz="4" w:space="0" w:color="auto"/>
            </w:tcBorders>
            <w:vAlign w:val="center"/>
          </w:tcPr>
          <w:p w:rsidR="00E7660B" w:rsidRPr="009257C7" w:rsidRDefault="00E7660B" w:rsidP="007C1CE2">
            <w:pPr>
              <w:pStyle w:val="Tabletext"/>
              <w:jc w:val="center"/>
              <w:rPr>
                <w:sz w:val="18"/>
                <w:szCs w:val="18"/>
              </w:rPr>
            </w:pPr>
            <w:r w:rsidRPr="009257C7">
              <w:rPr>
                <w:sz w:val="18"/>
                <w:szCs w:val="18"/>
              </w:rPr>
              <w:t>153/15</w:t>
            </w:r>
          </w:p>
        </w:tc>
      </w:tr>
      <w:tr w:rsidR="00446EC2" w:rsidRPr="009257C7" w:rsidTr="007C1CE2">
        <w:trPr>
          <w:jc w:val="center"/>
        </w:trPr>
        <w:tc>
          <w:tcPr>
            <w:tcW w:w="14039" w:type="dxa"/>
            <w:gridSpan w:val="12"/>
            <w:vAlign w:val="center"/>
          </w:tcPr>
          <w:p w:rsidR="00446EC2" w:rsidRPr="009257C7" w:rsidRDefault="00446EC2" w:rsidP="00196304">
            <w:pPr>
              <w:pStyle w:val="Tabletext"/>
              <w:keepNext/>
              <w:keepLines/>
              <w:rPr>
                <w:b/>
                <w:bCs/>
                <w:sz w:val="18"/>
                <w:szCs w:val="18"/>
              </w:rPr>
            </w:pPr>
            <w:r w:rsidRPr="009257C7">
              <w:rPr>
                <w:b/>
                <w:bCs/>
                <w:sz w:val="18"/>
                <w:szCs w:val="18"/>
              </w:rPr>
              <w:lastRenderedPageBreak/>
              <w:t>2018</w:t>
            </w:r>
          </w:p>
        </w:tc>
      </w:tr>
      <w:tr w:rsidR="007C1CE2" w:rsidRPr="009257C7" w:rsidTr="007C1CE2">
        <w:trPr>
          <w:jc w:val="center"/>
        </w:trPr>
        <w:tc>
          <w:tcPr>
            <w:tcW w:w="2151" w:type="dxa"/>
            <w:vAlign w:val="center"/>
          </w:tcPr>
          <w:p w:rsidR="007C1CE2" w:rsidRPr="009257C7" w:rsidRDefault="007C1CE2" w:rsidP="007C1CE2">
            <w:pPr>
              <w:pStyle w:val="Tabletext"/>
              <w:keepNext/>
              <w:keepLines/>
              <w:rPr>
                <w:b/>
                <w:bCs/>
                <w:sz w:val="18"/>
                <w:szCs w:val="18"/>
              </w:rPr>
            </w:pPr>
          </w:p>
        </w:tc>
        <w:tc>
          <w:tcPr>
            <w:tcW w:w="2012" w:type="dxa"/>
            <w:gridSpan w:val="2"/>
            <w:vAlign w:val="center"/>
          </w:tcPr>
          <w:p w:rsidR="007C1CE2" w:rsidRPr="009257C7" w:rsidRDefault="007C1CE2" w:rsidP="007C1CE2">
            <w:pPr>
              <w:pStyle w:val="Tabletext"/>
              <w:jc w:val="center"/>
              <w:rPr>
                <w:b/>
                <w:bCs/>
                <w:sz w:val="18"/>
                <w:szCs w:val="18"/>
              </w:rPr>
            </w:pPr>
            <w:r w:rsidRPr="009257C7">
              <w:rPr>
                <w:b/>
                <w:bCs/>
                <w:sz w:val="18"/>
                <w:szCs w:val="18"/>
              </w:rPr>
              <w:t xml:space="preserve">SRR-18 Asía y el Pacífico </w:t>
            </w:r>
          </w:p>
        </w:tc>
        <w:tc>
          <w:tcPr>
            <w:tcW w:w="1141" w:type="dxa"/>
            <w:vAlign w:val="center"/>
          </w:tcPr>
          <w:p w:rsidR="007C1CE2" w:rsidRPr="009257C7" w:rsidRDefault="007C1CE2" w:rsidP="007C1CE2">
            <w:pPr>
              <w:pStyle w:val="Tabletext"/>
              <w:jc w:val="center"/>
              <w:rPr>
                <w:sz w:val="18"/>
                <w:szCs w:val="18"/>
              </w:rPr>
            </w:pPr>
            <w:r w:rsidRPr="009257C7">
              <w:rPr>
                <w:sz w:val="18"/>
                <w:szCs w:val="18"/>
              </w:rPr>
              <w:t xml:space="preserve">Bhután </w:t>
            </w:r>
          </w:p>
        </w:tc>
        <w:tc>
          <w:tcPr>
            <w:tcW w:w="2347" w:type="dxa"/>
            <w:gridSpan w:val="2"/>
            <w:vAlign w:val="center"/>
          </w:tcPr>
          <w:p w:rsidR="007C1CE2" w:rsidRPr="009257C7" w:rsidRDefault="007C1CE2" w:rsidP="007C1CE2">
            <w:pPr>
              <w:pStyle w:val="Tabletext"/>
              <w:jc w:val="center"/>
              <w:rPr>
                <w:sz w:val="18"/>
                <w:szCs w:val="18"/>
              </w:rPr>
            </w:pPr>
            <w:r w:rsidRPr="009257C7">
              <w:rPr>
                <w:sz w:val="18"/>
                <w:szCs w:val="18"/>
              </w:rPr>
              <w:t xml:space="preserve">Ministerio de Información y Comunicaciones (MoIC) de Bhután </w:t>
            </w:r>
          </w:p>
        </w:tc>
        <w:tc>
          <w:tcPr>
            <w:tcW w:w="1706" w:type="dxa"/>
            <w:vAlign w:val="center"/>
          </w:tcPr>
          <w:p w:rsidR="007C1CE2" w:rsidRPr="009257C7" w:rsidRDefault="007C1CE2" w:rsidP="007C1CE2">
            <w:pPr>
              <w:pStyle w:val="Tabletext"/>
              <w:jc w:val="center"/>
              <w:rPr>
                <w:sz w:val="18"/>
                <w:szCs w:val="18"/>
              </w:rPr>
            </w:pPr>
            <w:r w:rsidRPr="009257C7">
              <w:rPr>
                <w:sz w:val="18"/>
                <w:szCs w:val="18"/>
              </w:rPr>
              <w:t xml:space="preserve">Telecomunidad Asia-Pacífico (APT) </w:t>
            </w:r>
          </w:p>
        </w:tc>
        <w:tc>
          <w:tcPr>
            <w:tcW w:w="1833" w:type="dxa"/>
            <w:vAlign w:val="center"/>
          </w:tcPr>
          <w:p w:rsidR="007C1CE2" w:rsidRPr="009257C7" w:rsidRDefault="007C1CE2" w:rsidP="007C1CE2">
            <w:pPr>
              <w:pStyle w:val="Tabletext"/>
              <w:jc w:val="center"/>
              <w:rPr>
                <w:sz w:val="18"/>
                <w:szCs w:val="18"/>
              </w:rPr>
            </w:pPr>
            <w:r w:rsidRPr="009257C7">
              <w:rPr>
                <w:sz w:val="18"/>
                <w:szCs w:val="18"/>
              </w:rPr>
              <w:t>La evolución de los sistemas de radiocomunicación: desafíos y oportunidades para la región</w:t>
            </w:r>
          </w:p>
        </w:tc>
        <w:tc>
          <w:tcPr>
            <w:tcW w:w="1262" w:type="dxa"/>
            <w:gridSpan w:val="2"/>
            <w:vAlign w:val="center"/>
          </w:tcPr>
          <w:p w:rsidR="007C1CE2" w:rsidRPr="009257C7" w:rsidRDefault="007C1CE2" w:rsidP="007C1CE2">
            <w:pPr>
              <w:pStyle w:val="Tabletext"/>
              <w:jc w:val="center"/>
              <w:rPr>
                <w:sz w:val="18"/>
                <w:szCs w:val="18"/>
              </w:rPr>
            </w:pPr>
            <w:r w:rsidRPr="009257C7">
              <w:rPr>
                <w:sz w:val="18"/>
                <w:szCs w:val="18"/>
              </w:rPr>
              <w:t>E</w:t>
            </w:r>
          </w:p>
        </w:tc>
        <w:tc>
          <w:tcPr>
            <w:tcW w:w="1587" w:type="dxa"/>
            <w:gridSpan w:val="2"/>
            <w:vAlign w:val="center"/>
          </w:tcPr>
          <w:p w:rsidR="007C1CE2" w:rsidRPr="009257C7" w:rsidRDefault="007C1CE2" w:rsidP="007C1CE2">
            <w:pPr>
              <w:pStyle w:val="Tabletext"/>
              <w:jc w:val="center"/>
              <w:rPr>
                <w:sz w:val="18"/>
                <w:szCs w:val="18"/>
              </w:rPr>
            </w:pPr>
            <w:r w:rsidRPr="009257C7">
              <w:rPr>
                <w:sz w:val="18"/>
                <w:szCs w:val="18"/>
              </w:rPr>
              <w:t>70/15</w:t>
            </w:r>
          </w:p>
        </w:tc>
      </w:tr>
      <w:tr w:rsidR="007C1CE2" w:rsidRPr="009257C7" w:rsidTr="007C1CE2">
        <w:trPr>
          <w:jc w:val="center"/>
        </w:trPr>
        <w:tc>
          <w:tcPr>
            <w:tcW w:w="2151" w:type="dxa"/>
            <w:vAlign w:val="center"/>
          </w:tcPr>
          <w:p w:rsidR="007C1CE2" w:rsidRPr="009257C7" w:rsidRDefault="007C1CE2" w:rsidP="007C1CE2">
            <w:pPr>
              <w:pStyle w:val="Tabletext"/>
              <w:keepNext/>
              <w:keepLines/>
              <w:rPr>
                <w:b/>
                <w:bCs/>
                <w:sz w:val="18"/>
                <w:szCs w:val="18"/>
              </w:rPr>
            </w:pPr>
          </w:p>
        </w:tc>
        <w:tc>
          <w:tcPr>
            <w:tcW w:w="2012" w:type="dxa"/>
            <w:gridSpan w:val="2"/>
            <w:vAlign w:val="center"/>
          </w:tcPr>
          <w:p w:rsidR="007C1CE2" w:rsidRPr="009257C7" w:rsidRDefault="007C1CE2" w:rsidP="007C1CE2">
            <w:pPr>
              <w:pStyle w:val="Tabletext"/>
              <w:jc w:val="center"/>
              <w:rPr>
                <w:b/>
                <w:bCs/>
                <w:sz w:val="18"/>
                <w:szCs w:val="18"/>
              </w:rPr>
            </w:pPr>
            <w:r w:rsidRPr="009257C7">
              <w:rPr>
                <w:b/>
                <w:bCs/>
                <w:sz w:val="18"/>
                <w:szCs w:val="18"/>
              </w:rPr>
              <w:t>SRR-18 Américas</w:t>
            </w:r>
          </w:p>
        </w:tc>
        <w:tc>
          <w:tcPr>
            <w:tcW w:w="1141" w:type="dxa"/>
            <w:vAlign w:val="center"/>
          </w:tcPr>
          <w:p w:rsidR="007C1CE2" w:rsidRPr="009257C7" w:rsidRDefault="007C1CE2" w:rsidP="007C1CE2">
            <w:pPr>
              <w:pStyle w:val="Tabletext"/>
              <w:jc w:val="center"/>
              <w:rPr>
                <w:sz w:val="18"/>
                <w:szCs w:val="18"/>
              </w:rPr>
            </w:pPr>
            <w:r w:rsidRPr="009257C7">
              <w:rPr>
                <w:sz w:val="18"/>
                <w:szCs w:val="18"/>
              </w:rPr>
              <w:t>Costa Rica</w:t>
            </w:r>
          </w:p>
        </w:tc>
        <w:tc>
          <w:tcPr>
            <w:tcW w:w="2347" w:type="dxa"/>
            <w:gridSpan w:val="2"/>
            <w:vAlign w:val="center"/>
          </w:tcPr>
          <w:p w:rsidR="007C1CE2" w:rsidRPr="009257C7" w:rsidRDefault="007C1CE2" w:rsidP="007C1CE2">
            <w:pPr>
              <w:pStyle w:val="Tabletext"/>
              <w:jc w:val="center"/>
              <w:rPr>
                <w:sz w:val="18"/>
                <w:szCs w:val="18"/>
              </w:rPr>
            </w:pPr>
            <w:r w:rsidRPr="009257C7">
              <w:rPr>
                <w:sz w:val="18"/>
                <w:szCs w:val="18"/>
              </w:rPr>
              <w:t>Ministerio de Ciencia Tecnología y Telecomunicaciones of Costa Rica (MICITT)</w:t>
            </w:r>
          </w:p>
        </w:tc>
        <w:tc>
          <w:tcPr>
            <w:tcW w:w="1706" w:type="dxa"/>
            <w:vAlign w:val="center"/>
          </w:tcPr>
          <w:p w:rsidR="007C1CE2" w:rsidRPr="009257C7" w:rsidRDefault="007C1CE2" w:rsidP="007C1CE2">
            <w:pPr>
              <w:pStyle w:val="Tabletext"/>
              <w:jc w:val="center"/>
              <w:rPr>
                <w:sz w:val="18"/>
                <w:szCs w:val="18"/>
              </w:rPr>
            </w:pPr>
            <w:r w:rsidRPr="009257C7">
              <w:rPr>
                <w:sz w:val="18"/>
                <w:szCs w:val="18"/>
              </w:rPr>
              <w:t xml:space="preserve">Comisión Interamericana de Telecomunicaciones (CITEL) </w:t>
            </w:r>
          </w:p>
        </w:tc>
        <w:tc>
          <w:tcPr>
            <w:tcW w:w="1833" w:type="dxa"/>
            <w:vAlign w:val="center"/>
          </w:tcPr>
          <w:p w:rsidR="007C1CE2" w:rsidRPr="009257C7" w:rsidRDefault="007C1CE2" w:rsidP="007C1CE2">
            <w:pPr>
              <w:pStyle w:val="Tabletext"/>
              <w:jc w:val="center"/>
              <w:rPr>
                <w:sz w:val="18"/>
                <w:szCs w:val="18"/>
              </w:rPr>
            </w:pPr>
            <w:r w:rsidRPr="009257C7">
              <w:rPr>
                <w:sz w:val="18"/>
                <w:szCs w:val="18"/>
              </w:rPr>
              <w:t xml:space="preserve">Gestión del espectro: desafíos futuros </w:t>
            </w:r>
          </w:p>
        </w:tc>
        <w:tc>
          <w:tcPr>
            <w:tcW w:w="1262" w:type="dxa"/>
            <w:gridSpan w:val="2"/>
            <w:vAlign w:val="center"/>
          </w:tcPr>
          <w:p w:rsidR="007C1CE2" w:rsidRPr="009257C7" w:rsidRDefault="007C1CE2" w:rsidP="007C1CE2">
            <w:pPr>
              <w:pStyle w:val="Tabletext"/>
              <w:jc w:val="center"/>
              <w:rPr>
                <w:sz w:val="18"/>
                <w:szCs w:val="18"/>
              </w:rPr>
            </w:pPr>
            <w:r w:rsidRPr="009257C7">
              <w:rPr>
                <w:sz w:val="18"/>
                <w:szCs w:val="18"/>
              </w:rPr>
              <w:t>S</w:t>
            </w:r>
          </w:p>
        </w:tc>
        <w:tc>
          <w:tcPr>
            <w:tcW w:w="1587" w:type="dxa"/>
            <w:gridSpan w:val="2"/>
            <w:vAlign w:val="center"/>
          </w:tcPr>
          <w:p w:rsidR="007C1CE2" w:rsidRPr="009257C7" w:rsidRDefault="007C1CE2" w:rsidP="007C1CE2">
            <w:pPr>
              <w:pStyle w:val="Tabletext"/>
              <w:jc w:val="center"/>
              <w:rPr>
                <w:sz w:val="18"/>
                <w:szCs w:val="18"/>
              </w:rPr>
            </w:pPr>
            <w:r w:rsidRPr="009257C7">
              <w:rPr>
                <w:sz w:val="18"/>
                <w:szCs w:val="18"/>
              </w:rPr>
              <w:t>60/13</w:t>
            </w:r>
          </w:p>
        </w:tc>
      </w:tr>
    </w:tbl>
    <w:p w:rsidR="00446EC2" w:rsidRPr="009257C7" w:rsidRDefault="00446EC2" w:rsidP="00E7660B">
      <w:pPr>
        <w:rPr>
          <w:rFonts w:asciiTheme="majorBidi" w:hAnsiTheme="majorBidi" w:cstheme="majorBidi"/>
        </w:rPr>
      </w:pPr>
    </w:p>
    <w:p w:rsidR="00446EC2" w:rsidRPr="009257C7" w:rsidRDefault="00446EC2" w:rsidP="00E7660B">
      <w:pPr>
        <w:rPr>
          <w:rFonts w:asciiTheme="majorBidi" w:hAnsiTheme="majorBidi" w:cstheme="majorBidi"/>
        </w:rPr>
        <w:sectPr w:rsidR="00446EC2" w:rsidRPr="009257C7" w:rsidSect="00E7660B">
          <w:headerReference w:type="default" r:id="rId30"/>
          <w:footerReference w:type="default" r:id="rId31"/>
          <w:pgSz w:w="16840" w:h="11907" w:orient="landscape" w:code="9"/>
          <w:pgMar w:top="1134" w:right="1418" w:bottom="1134" w:left="851" w:header="720" w:footer="720" w:gutter="0"/>
          <w:paperSrc w:first="15" w:other="15"/>
          <w:cols w:space="720"/>
          <w:docGrid w:linePitch="326"/>
        </w:sectPr>
      </w:pPr>
    </w:p>
    <w:p w:rsidR="00E7660B" w:rsidRPr="009257C7" w:rsidRDefault="00150948" w:rsidP="00E7660B">
      <w:pPr>
        <w:pStyle w:val="Heading3"/>
      </w:pPr>
      <w:bookmarkStart w:id="78" w:name="_Toc424047604"/>
      <w:bookmarkStart w:id="79" w:name="_Toc446060787"/>
      <w:bookmarkStart w:id="80" w:name="_Toc446060786"/>
      <w:r w:rsidRPr="009257C7">
        <w:lastRenderedPageBreak/>
        <w:t>9</w:t>
      </w:r>
      <w:r w:rsidR="00E7660B" w:rsidRPr="009257C7">
        <w:t>.2</w:t>
      </w:r>
      <w:r w:rsidR="00E7660B" w:rsidRPr="009257C7">
        <w:t>.2</w:t>
      </w:r>
      <w:r w:rsidR="00E7660B" w:rsidRPr="009257C7">
        <w:tab/>
      </w:r>
      <w:bookmarkEnd w:id="78"/>
      <w:bookmarkEnd w:id="79"/>
      <w:r w:rsidR="007C1CE2" w:rsidRPr="009257C7">
        <w:t>Otros eventos</w:t>
      </w:r>
    </w:p>
    <w:p w:rsidR="00E7660B" w:rsidRPr="009257C7" w:rsidRDefault="00E7660B" w:rsidP="00844C2F">
      <w:pPr>
        <w:rPr>
          <w:rFonts w:asciiTheme="minorHAnsi" w:hAnsiTheme="minorHAnsi" w:cs="Calibri"/>
          <w:szCs w:val="24"/>
        </w:rPr>
      </w:pPr>
      <w:r w:rsidRPr="009257C7">
        <w:t xml:space="preserve">La BR también prestó apoyo a otros seminarios de la UIT sobre temas tales como la gestión del espectro, las aplicaciones de las radiocomunicaciones espaciales, </w:t>
      </w:r>
      <w:r w:rsidR="0016345F" w:rsidRPr="009257C7">
        <w:t xml:space="preserve">la preparación de la CMR-19, entre otros. </w:t>
      </w:r>
      <w:r w:rsidRPr="009257C7">
        <w:t xml:space="preserve">Los eventos organizados en el UIT-R figuran en: </w:t>
      </w:r>
      <w:hyperlink r:id="rId32" w:history="1">
        <w:r w:rsidRPr="009257C7">
          <w:rPr>
            <w:rStyle w:val="Hyperlink"/>
          </w:rPr>
          <w:t>http://www.itu.int/ITU-R/go/seminars</w:t>
        </w:r>
      </w:hyperlink>
      <w:r w:rsidRPr="009257C7">
        <w:t xml:space="preserve">. En el Cuadro </w:t>
      </w:r>
      <w:r w:rsidR="00150948" w:rsidRPr="009257C7">
        <w:t>9</w:t>
      </w:r>
      <w:r w:rsidRPr="009257C7">
        <w:t xml:space="preserve">.2.2-1 se ilustra esta actividad. Algunos eventos importantes en el periodo </w:t>
      </w:r>
      <w:bookmarkEnd w:id="80"/>
      <w:r w:rsidR="00150948" w:rsidRPr="009257C7">
        <w:t>2018</w:t>
      </w:r>
      <w:r w:rsidRPr="009257C7">
        <w:t xml:space="preserve"> fueron:</w:t>
      </w:r>
    </w:p>
    <w:p w:rsidR="00150948" w:rsidRPr="009257C7" w:rsidRDefault="00150948" w:rsidP="00844C2F">
      <w:pPr>
        <w:pStyle w:val="enumlev1"/>
      </w:pPr>
      <w:bookmarkStart w:id="81" w:name="_Toc424047610"/>
      <w:bookmarkStart w:id="82" w:name="_Toc446060788"/>
      <w:r w:rsidRPr="009257C7">
        <w:t>–</w:t>
      </w:r>
      <w:r w:rsidRPr="009257C7">
        <w:tab/>
      </w:r>
      <w:r w:rsidR="0016345F" w:rsidRPr="009257C7">
        <w:t>Taller Regional de la UIT sobre la CMR-19 para la Región 2</w:t>
      </w:r>
      <w:r w:rsidRPr="009257C7">
        <w:t xml:space="preserve">; 21-23 </w:t>
      </w:r>
      <w:r w:rsidR="00DE79C5" w:rsidRPr="009257C7">
        <w:t>de marzo de 2018, La </w:t>
      </w:r>
      <w:r w:rsidR="00220ACB" w:rsidRPr="009257C7">
        <w:t>Habana (</w:t>
      </w:r>
      <w:r w:rsidR="0016345F" w:rsidRPr="009257C7">
        <w:t>Cuba</w:t>
      </w:r>
      <w:r w:rsidR="00220ACB" w:rsidRPr="009257C7">
        <w:t>).</w:t>
      </w:r>
    </w:p>
    <w:p w:rsidR="00150948" w:rsidRPr="009257C7" w:rsidRDefault="00150948" w:rsidP="004270DD">
      <w:pPr>
        <w:pStyle w:val="enumlev1"/>
      </w:pPr>
      <w:r w:rsidRPr="009257C7">
        <w:t>–</w:t>
      </w:r>
      <w:r w:rsidRPr="009257C7">
        <w:tab/>
      </w:r>
      <w:r w:rsidR="0016345F" w:rsidRPr="009257C7">
        <w:t xml:space="preserve">Seminario Regional de la UIT para la CEI y Europa </w:t>
      </w:r>
      <w:r w:rsidR="004270DD" w:rsidRPr="009257C7">
        <w:t>«</w:t>
      </w:r>
      <w:r w:rsidR="0016345F" w:rsidRPr="009257C7">
        <w:rPr>
          <w:i/>
          <w:iCs/>
        </w:rPr>
        <w:t>Desarrollo de ecosistemas modernos de radiocomunicaciones</w:t>
      </w:r>
      <w:r w:rsidR="004270DD" w:rsidRPr="009257C7">
        <w:t>»</w:t>
      </w:r>
      <w:r w:rsidR="0016345F" w:rsidRPr="009257C7">
        <w:t>, 6-8 de junio de 2018, San Petersburgo</w:t>
      </w:r>
      <w:r w:rsidR="004270DD" w:rsidRPr="009257C7">
        <w:t xml:space="preserve"> (</w:t>
      </w:r>
      <w:r w:rsidR="0016345F" w:rsidRPr="009257C7">
        <w:t>Federación de Rusia</w:t>
      </w:r>
      <w:r w:rsidR="004270DD" w:rsidRPr="009257C7">
        <w:t>).</w:t>
      </w:r>
    </w:p>
    <w:p w:rsidR="00150948" w:rsidRPr="009257C7" w:rsidRDefault="00150948">
      <w:pPr>
        <w:pStyle w:val="enumlev1"/>
      </w:pPr>
      <w:r w:rsidRPr="009257C7">
        <w:t>–</w:t>
      </w:r>
      <w:r w:rsidRPr="009257C7">
        <w:tab/>
      </w:r>
      <w:r w:rsidR="0016345F" w:rsidRPr="009257C7">
        <w:t>Simposio de la UIT sobre satélites; 28-</w:t>
      </w:r>
      <w:r w:rsidR="004A5F9B" w:rsidRPr="009257C7">
        <w:t>30 de noviembre, Ginebra (Suiza).</w:t>
      </w:r>
    </w:p>
    <w:p w:rsidR="00150948" w:rsidRPr="009257C7" w:rsidRDefault="00150948" w:rsidP="0056796D">
      <w:pPr>
        <w:pStyle w:val="enumlev1"/>
        <w:rPr>
          <w:b/>
          <w:bCs/>
        </w:rPr>
      </w:pPr>
      <w:r w:rsidRPr="009257C7">
        <w:t>–</w:t>
      </w:r>
      <w:r w:rsidRPr="009257C7">
        <w:tab/>
      </w:r>
      <w:r w:rsidR="0016345F" w:rsidRPr="009257C7">
        <w:t xml:space="preserve">Taller regional de la UIT sobre </w:t>
      </w:r>
      <w:r w:rsidR="0056796D" w:rsidRPr="009257C7">
        <w:t>«</w:t>
      </w:r>
      <w:r w:rsidR="0016345F" w:rsidRPr="009257C7">
        <w:rPr>
          <w:i/>
          <w:iCs/>
        </w:rPr>
        <w:t xml:space="preserve">Fomento del desarrollo de las IMT: </w:t>
      </w:r>
      <w:r w:rsidR="00642398" w:rsidRPr="009257C7">
        <w:rPr>
          <w:i/>
          <w:iCs/>
        </w:rPr>
        <w:t xml:space="preserve">políticas, </w:t>
      </w:r>
      <w:r w:rsidR="001F2159" w:rsidRPr="009257C7">
        <w:rPr>
          <w:i/>
          <w:iCs/>
        </w:rPr>
        <w:t xml:space="preserve">valoración del espectro y </w:t>
      </w:r>
      <w:r w:rsidR="00642398" w:rsidRPr="009257C7">
        <w:rPr>
          <w:i/>
          <w:iCs/>
        </w:rPr>
        <w:t>subastas en la Región Árabe</w:t>
      </w:r>
      <w:r w:rsidR="0056796D" w:rsidRPr="009257C7">
        <w:t>»</w:t>
      </w:r>
      <w:r w:rsidR="0016345F" w:rsidRPr="009257C7">
        <w:t xml:space="preserve"> 18-19 </w:t>
      </w:r>
      <w:r w:rsidR="00642398" w:rsidRPr="009257C7">
        <w:t>de diciembre</w:t>
      </w:r>
      <w:r w:rsidR="0016345F" w:rsidRPr="009257C7">
        <w:t>, Riad</w:t>
      </w:r>
      <w:r w:rsidR="0056796D" w:rsidRPr="009257C7">
        <w:t xml:space="preserve"> (</w:t>
      </w:r>
      <w:r w:rsidR="00FD6A6E" w:rsidRPr="009257C7">
        <w:t>Reino de Arabia </w:t>
      </w:r>
      <w:r w:rsidR="0056796D" w:rsidRPr="009257C7">
        <w:t>Saudita).</w:t>
      </w:r>
    </w:p>
    <w:p w:rsidR="00E7660B" w:rsidRPr="009257C7" w:rsidRDefault="00150948" w:rsidP="00E7660B">
      <w:pPr>
        <w:pStyle w:val="Heading2"/>
      </w:pPr>
      <w:r w:rsidRPr="009257C7">
        <w:t>9.</w:t>
      </w:r>
      <w:r w:rsidR="00E7660B" w:rsidRPr="009257C7">
        <w:t>3</w:t>
      </w:r>
      <w:r w:rsidR="00E7660B" w:rsidRPr="009257C7">
        <w:tab/>
      </w:r>
      <w:bookmarkEnd w:id="81"/>
      <w:bookmarkEnd w:id="82"/>
      <w:r w:rsidR="00E7660B" w:rsidRPr="009257C7">
        <w:t>Asistencia a los Estados Miembros</w:t>
      </w:r>
    </w:p>
    <w:p w:rsidR="00E7660B" w:rsidRPr="009257C7" w:rsidRDefault="00150948" w:rsidP="00E7660B">
      <w:pPr>
        <w:pStyle w:val="Heading3"/>
      </w:pPr>
      <w:bookmarkStart w:id="83" w:name="_Toc424047611"/>
      <w:bookmarkStart w:id="84" w:name="_Toc446060789"/>
      <w:r w:rsidRPr="009257C7">
        <w:t>9</w:t>
      </w:r>
      <w:r w:rsidR="00E7660B" w:rsidRPr="009257C7">
        <w:t>.3.1</w:t>
      </w:r>
      <w:r w:rsidR="00E7660B" w:rsidRPr="009257C7">
        <w:tab/>
      </w:r>
      <w:bookmarkEnd w:id="83"/>
      <w:bookmarkEnd w:id="84"/>
      <w:r w:rsidR="00E7660B" w:rsidRPr="009257C7">
        <w:t>Asistencia a las administraciones de países en desarrollo</w:t>
      </w:r>
    </w:p>
    <w:p w:rsidR="00E7660B" w:rsidRPr="009257C7" w:rsidRDefault="00E7660B">
      <w:r w:rsidRPr="009257C7">
        <w:t>Desde</w:t>
      </w:r>
      <w:r w:rsidR="00A07929" w:rsidRPr="009257C7">
        <w:t xml:space="preserve"> </w:t>
      </w:r>
      <w:r w:rsidR="00150948" w:rsidRPr="009257C7">
        <w:rPr>
          <w:bCs/>
        </w:rPr>
        <w:t>2015</w:t>
      </w:r>
      <w:r w:rsidRPr="009257C7">
        <w:t xml:space="preserve">, la Oficina ha prestado asistencia a administraciones de países en desarrollo en más de </w:t>
      </w:r>
      <w:r w:rsidR="00150948" w:rsidRPr="009257C7">
        <w:t>36</w:t>
      </w:r>
      <w:r w:rsidRPr="009257C7">
        <w:t xml:space="preserve"> </w:t>
      </w:r>
      <w:r w:rsidRPr="009257C7">
        <w:t>ocasiones y en ámbitos tales como:</w:t>
      </w:r>
    </w:p>
    <w:p w:rsidR="00E7660B" w:rsidRPr="009257C7" w:rsidRDefault="00E7660B">
      <w:pPr>
        <w:pStyle w:val="enumlev1"/>
      </w:pPr>
      <w:r w:rsidRPr="009257C7">
        <w:t>–</w:t>
      </w:r>
      <w:r w:rsidRPr="009257C7">
        <w:tab/>
        <w:t>Ayuda en las actividades de las unidades de gestión nacional del espectro en un entorno regulatorio que cambia a gran velocidad (véase la Resolución 7 (Rev.CMR-03)) y asistencia técnica en el campo de las radiocomunicaciones espaciales (Resolución 15 (Rev.CMR-03)); para ello, se han llevado a cabo misiones a petición de las propias administraciones o con carácter de misiones especiales organizadas conjuntamente con la BDT</w:t>
      </w:r>
      <w:r w:rsidR="00BE48A5" w:rsidRPr="009257C7">
        <w:t>.</w:t>
      </w:r>
      <w:r w:rsidR="00642398" w:rsidRPr="009257C7">
        <w:t xml:space="preserve"> Para esto se contó con </w:t>
      </w:r>
      <w:r w:rsidRPr="009257C7">
        <w:t xml:space="preserve">la participación de expertos de la Oficina de Radiocomunicaciones en seminarios regionales para la creación de capacidad organizados por la BDT o por organizaciones regionales. Además, se concedieron becas a expertos de administraciones de países menos adelantados para que pudieran asistir a los cursillos y seminarios de radiocomunicaciones impartidos por la Oficina. Igualmente se impartió a varios expertos formación individual o en grupo sobre procedimientos de reglamentación de las radiocomunicaciones en la </w:t>
      </w:r>
      <w:r w:rsidR="00FD1019" w:rsidRPr="009257C7">
        <w:t xml:space="preserve">Sede </w:t>
      </w:r>
      <w:r w:rsidRPr="009257C7">
        <w:t>de la UIT.</w:t>
      </w:r>
    </w:p>
    <w:p w:rsidR="00E7660B" w:rsidRPr="009257C7" w:rsidRDefault="00E7660B" w:rsidP="00E7660B">
      <w:pPr>
        <w:pStyle w:val="enumlev1"/>
      </w:pPr>
      <w:r w:rsidRPr="009257C7">
        <w:t>–</w:t>
      </w:r>
      <w:r w:rsidRPr="009257C7">
        <w:tab/>
        <w:t>Participación en las reuniones de los grupos de coordinación regional, como se estipula en el Artículo 12 del Reglamento de Radiocomunicaciones.</w:t>
      </w:r>
    </w:p>
    <w:p w:rsidR="00E7660B" w:rsidRPr="009257C7" w:rsidRDefault="00E7660B" w:rsidP="00E7660B">
      <w:pPr>
        <w:pStyle w:val="enumlev1"/>
      </w:pPr>
      <w:r w:rsidRPr="009257C7">
        <w:t>–</w:t>
      </w:r>
      <w:r w:rsidRPr="009257C7">
        <w:tab/>
        <w:t>Participación en los seminarios de capacitación sobre comunicaciones por satélite.</w:t>
      </w:r>
    </w:p>
    <w:p w:rsidR="00E7660B" w:rsidRPr="009257C7" w:rsidRDefault="00E7660B">
      <w:pPr>
        <w:pStyle w:val="enumlev1"/>
      </w:pPr>
      <w:r w:rsidRPr="009257C7">
        <w:t>–</w:t>
      </w:r>
      <w:r w:rsidRPr="009257C7">
        <w:tab/>
      </w:r>
      <w:r w:rsidR="00BE48A5" w:rsidRPr="009257C7">
        <w:t>Pr</w:t>
      </w:r>
      <w:r w:rsidR="00642398" w:rsidRPr="009257C7">
        <w:t>estación de</w:t>
      </w:r>
      <w:r w:rsidR="00421386" w:rsidRPr="009257C7">
        <w:t xml:space="preserve"> </w:t>
      </w:r>
      <w:r w:rsidR="00642398" w:rsidRPr="009257C7">
        <w:t>a</w:t>
      </w:r>
      <w:r w:rsidRPr="009257C7">
        <w:t>sistencia sobre la gestión de frecuencias a largo plazo para la banda ancha móvil (IMT).</w:t>
      </w:r>
    </w:p>
    <w:p w:rsidR="00E7660B" w:rsidRPr="009257C7" w:rsidRDefault="00E7660B">
      <w:pPr>
        <w:pStyle w:val="enumlev1"/>
      </w:pPr>
      <w:r w:rsidRPr="009257C7">
        <w:t>–</w:t>
      </w:r>
      <w:r w:rsidRPr="009257C7">
        <w:tab/>
      </w:r>
      <w:r w:rsidR="001F2159" w:rsidRPr="009257C7">
        <w:t>O</w:t>
      </w:r>
      <w:r w:rsidR="00642398" w:rsidRPr="009257C7">
        <w:t xml:space="preserve">rientaciones </w:t>
      </w:r>
      <w:r w:rsidRPr="009257C7">
        <w:t>y apoyo técnico para la transición a la televisión digital y la atribución del dividendo digital.</w:t>
      </w:r>
    </w:p>
    <w:p w:rsidR="00BE48A5" w:rsidRPr="009257C7" w:rsidRDefault="00642398" w:rsidP="005F0350">
      <w:r w:rsidRPr="009257C7">
        <w:t xml:space="preserve">A petición de las </w:t>
      </w:r>
      <w:r w:rsidR="005F0350" w:rsidRPr="009257C7">
        <w:t>administraciones</w:t>
      </w:r>
      <w:r w:rsidRPr="009257C7">
        <w:t>, se prestó asistencia directa a varios países, entre ellos Bhután, República Dominicana y El Salvador, para apoyar sus actividades nacionales de gestión del espectro, incluido el mecanismo de gestión de frecuencias a largo plazo para la banda ancha móvil.</w:t>
      </w:r>
    </w:p>
    <w:p w:rsidR="00E7660B" w:rsidRPr="009257C7" w:rsidRDefault="00E7660B">
      <w:r w:rsidRPr="009257C7">
        <w:t xml:space="preserve">En el Cuadro </w:t>
      </w:r>
      <w:r w:rsidR="00BE48A5" w:rsidRPr="009257C7">
        <w:t>9</w:t>
      </w:r>
      <w:r w:rsidRPr="009257C7">
        <w:t>.2.</w:t>
      </w:r>
      <w:r w:rsidR="001E115C" w:rsidRPr="009257C7">
        <w:t>2 se ilustra esta actividad.</w:t>
      </w:r>
    </w:p>
    <w:p w:rsidR="00E7660B" w:rsidRPr="009257C7" w:rsidRDefault="00E7660B" w:rsidP="00E7660B"/>
    <w:p w:rsidR="00E7660B" w:rsidRPr="009257C7" w:rsidRDefault="00E7660B" w:rsidP="00E7660B">
      <w:pPr>
        <w:sectPr w:rsidR="00E7660B" w:rsidRPr="009257C7" w:rsidSect="00E7660B">
          <w:headerReference w:type="default" r:id="rId33"/>
          <w:pgSz w:w="11907" w:h="16840" w:code="9"/>
          <w:pgMar w:top="1418" w:right="1134" w:bottom="851" w:left="1134" w:header="720" w:footer="720" w:gutter="0"/>
          <w:paperSrc w:first="15" w:other="15"/>
          <w:cols w:space="720"/>
          <w:docGrid w:linePitch="326"/>
        </w:sectPr>
      </w:pPr>
    </w:p>
    <w:p w:rsidR="00A1713F" w:rsidRPr="009257C7" w:rsidRDefault="00A1713F" w:rsidP="00A1713F">
      <w:pPr>
        <w:pStyle w:val="TableNoBR"/>
        <w:rPr>
          <w:lang w:eastAsia="zh-CN"/>
        </w:rPr>
      </w:pPr>
      <w:r w:rsidRPr="009257C7">
        <w:rPr>
          <w:lang w:eastAsia="zh-CN"/>
        </w:rPr>
        <w:lastRenderedPageBreak/>
        <w:t xml:space="preserve">CUADRO </w:t>
      </w:r>
      <w:r w:rsidRPr="009257C7">
        <w:rPr>
          <w:lang w:eastAsia="zh-CN"/>
        </w:rPr>
        <w:t>9.2.2</w:t>
      </w:r>
    </w:p>
    <w:p w:rsidR="00A1713F" w:rsidRPr="009257C7" w:rsidRDefault="00A1713F" w:rsidP="00A1713F">
      <w:pPr>
        <w:pStyle w:val="TabletitleBR"/>
        <w:ind w:left="360"/>
        <w:rPr>
          <w:lang w:eastAsia="zh-CN"/>
        </w:rPr>
      </w:pPr>
      <w:r w:rsidRPr="009257C7">
        <w:rPr>
          <w:lang w:eastAsia="zh-CN"/>
        </w:rPr>
        <w:t>Participación del personal de la BR en eventos de divulgación de información</w:t>
      </w:r>
    </w:p>
    <w:tbl>
      <w:tblPr>
        <w:tblW w:w="12046" w:type="dxa"/>
        <w:jc w:val="center"/>
        <w:tblLayout w:type="fixed"/>
        <w:tblCellMar>
          <w:left w:w="0" w:type="dxa"/>
          <w:right w:w="0" w:type="dxa"/>
        </w:tblCellMar>
        <w:tblLook w:val="04A0" w:firstRow="1" w:lastRow="0" w:firstColumn="1" w:lastColumn="0" w:noHBand="0" w:noVBand="1"/>
      </w:tblPr>
      <w:tblGrid>
        <w:gridCol w:w="2827"/>
        <w:gridCol w:w="939"/>
        <w:gridCol w:w="1066"/>
        <w:gridCol w:w="945"/>
        <w:gridCol w:w="1070"/>
        <w:gridCol w:w="940"/>
        <w:gridCol w:w="992"/>
        <w:gridCol w:w="992"/>
        <w:gridCol w:w="992"/>
        <w:gridCol w:w="1283"/>
      </w:tblGrid>
      <w:tr w:rsidR="00A1713F" w:rsidRPr="009257C7" w:rsidTr="0062689F">
        <w:trPr>
          <w:trHeight w:val="315"/>
          <w:jc w:val="center"/>
        </w:trPr>
        <w:tc>
          <w:tcPr>
            <w:tcW w:w="2827" w:type="dxa"/>
            <w:vMerge w:val="restart"/>
            <w:tcBorders>
              <w:top w:val="single" w:sz="8" w:space="0" w:color="auto"/>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head"/>
              <w:rPr>
                <w:sz w:val="18"/>
                <w:szCs w:val="18"/>
              </w:rPr>
            </w:pPr>
            <w:r w:rsidRPr="009257C7">
              <w:rPr>
                <w:sz w:val="18"/>
                <w:szCs w:val="18"/>
              </w:rPr>
              <w:t> </w:t>
            </w:r>
          </w:p>
        </w:tc>
        <w:tc>
          <w:tcPr>
            <w:tcW w:w="2005"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A1713F" w:rsidRPr="009257C7" w:rsidRDefault="00A1713F" w:rsidP="0062689F">
            <w:pPr>
              <w:pStyle w:val="Tablehead"/>
              <w:rPr>
                <w:sz w:val="18"/>
                <w:szCs w:val="18"/>
              </w:rPr>
            </w:pPr>
            <w:r w:rsidRPr="009257C7">
              <w:rPr>
                <w:sz w:val="18"/>
                <w:szCs w:val="18"/>
              </w:rPr>
              <w:t>2015</w:t>
            </w:r>
          </w:p>
        </w:tc>
        <w:tc>
          <w:tcPr>
            <w:tcW w:w="2015"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head"/>
              <w:rPr>
                <w:sz w:val="18"/>
                <w:szCs w:val="18"/>
              </w:rPr>
            </w:pPr>
            <w:r w:rsidRPr="009257C7">
              <w:rPr>
                <w:sz w:val="18"/>
                <w:szCs w:val="18"/>
              </w:rPr>
              <w:t>2016</w:t>
            </w:r>
          </w:p>
        </w:tc>
        <w:tc>
          <w:tcPr>
            <w:tcW w:w="19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713F" w:rsidRPr="009257C7" w:rsidRDefault="00A1713F" w:rsidP="0062689F">
            <w:pPr>
              <w:pStyle w:val="Tablehead"/>
              <w:rPr>
                <w:sz w:val="18"/>
                <w:szCs w:val="18"/>
              </w:rPr>
            </w:pPr>
            <w:r w:rsidRPr="009257C7">
              <w:rPr>
                <w:sz w:val="18"/>
                <w:szCs w:val="18"/>
              </w:rPr>
              <w:t>2017</w:t>
            </w:r>
          </w:p>
        </w:tc>
        <w:tc>
          <w:tcPr>
            <w:tcW w:w="198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713F" w:rsidRPr="009257C7" w:rsidRDefault="00A1713F" w:rsidP="0062689F">
            <w:pPr>
              <w:pStyle w:val="Tablehead"/>
              <w:rPr>
                <w:sz w:val="18"/>
                <w:szCs w:val="18"/>
              </w:rPr>
            </w:pPr>
            <w:r w:rsidRPr="009257C7">
              <w:rPr>
                <w:sz w:val="18"/>
                <w:szCs w:val="18"/>
              </w:rPr>
              <w:t>2018</w:t>
            </w:r>
          </w:p>
        </w:tc>
        <w:tc>
          <w:tcPr>
            <w:tcW w:w="1283" w:type="dxa"/>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A1713F" w:rsidRPr="009257C7" w:rsidRDefault="00A1713F" w:rsidP="0062689F">
            <w:pPr>
              <w:pStyle w:val="Tablehead"/>
              <w:rPr>
                <w:sz w:val="18"/>
                <w:szCs w:val="18"/>
              </w:rPr>
            </w:pPr>
            <w:r w:rsidRPr="009257C7">
              <w:rPr>
                <w:sz w:val="18"/>
                <w:szCs w:val="18"/>
              </w:rPr>
              <w:t>TOTAL</w:t>
            </w:r>
          </w:p>
        </w:tc>
      </w:tr>
      <w:tr w:rsidR="00A1713F" w:rsidRPr="009257C7" w:rsidTr="00666E1C">
        <w:trPr>
          <w:trHeight w:val="315"/>
          <w:jc w:val="center"/>
        </w:trPr>
        <w:tc>
          <w:tcPr>
            <w:tcW w:w="2827" w:type="dxa"/>
            <w:vMerge/>
            <w:tcBorders>
              <w:top w:val="single" w:sz="8" w:space="0" w:color="auto"/>
              <w:left w:val="single" w:sz="8" w:space="0" w:color="auto"/>
              <w:bottom w:val="single" w:sz="8" w:space="0" w:color="000000"/>
              <w:right w:val="single" w:sz="8" w:space="0" w:color="auto"/>
            </w:tcBorders>
            <w:vAlign w:val="center"/>
            <w:hideMark/>
          </w:tcPr>
          <w:p w:rsidR="00A1713F" w:rsidRPr="009257C7" w:rsidRDefault="00A1713F" w:rsidP="00A1713F">
            <w:pPr>
              <w:pStyle w:val="Tablehead"/>
              <w:rPr>
                <w:rFonts w:eastAsiaTheme="minorEastAsia"/>
                <w:sz w:val="18"/>
                <w:szCs w:val="18"/>
              </w:rPr>
            </w:pPr>
          </w:p>
        </w:tc>
        <w:tc>
          <w:tcPr>
            <w:tcW w:w="9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A1713F">
            <w:pPr>
              <w:pStyle w:val="Tablehead"/>
              <w:rPr>
                <w:sz w:val="18"/>
                <w:szCs w:val="18"/>
              </w:rPr>
            </w:pPr>
            <w:r w:rsidRPr="009257C7">
              <w:rPr>
                <w:sz w:val="18"/>
                <w:szCs w:val="18"/>
              </w:rPr>
              <w:t>Misiones</w:t>
            </w:r>
          </w:p>
        </w:tc>
        <w:tc>
          <w:tcPr>
            <w:tcW w:w="10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A1713F">
            <w:pPr>
              <w:pStyle w:val="Tablehead"/>
              <w:rPr>
                <w:sz w:val="18"/>
                <w:szCs w:val="18"/>
              </w:rPr>
            </w:pPr>
            <w:r w:rsidRPr="009257C7">
              <w:rPr>
                <w:sz w:val="18"/>
                <w:szCs w:val="18"/>
              </w:rPr>
              <w:t>Países</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A1713F">
            <w:pPr>
              <w:pStyle w:val="Tablehead"/>
              <w:rPr>
                <w:sz w:val="18"/>
                <w:szCs w:val="18"/>
              </w:rPr>
            </w:pPr>
            <w:r w:rsidRPr="009257C7">
              <w:rPr>
                <w:sz w:val="18"/>
                <w:szCs w:val="18"/>
              </w:rPr>
              <w:t>Misiones</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A1713F">
            <w:pPr>
              <w:pStyle w:val="Tablehead"/>
              <w:rPr>
                <w:sz w:val="18"/>
                <w:szCs w:val="18"/>
              </w:rPr>
            </w:pPr>
            <w:r w:rsidRPr="009257C7">
              <w:rPr>
                <w:sz w:val="18"/>
                <w:szCs w:val="18"/>
              </w:rPr>
              <w:t>Países</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13F" w:rsidRPr="009257C7" w:rsidRDefault="00A1713F" w:rsidP="00A1713F">
            <w:pPr>
              <w:pStyle w:val="Tablehead"/>
              <w:rPr>
                <w:sz w:val="18"/>
                <w:szCs w:val="18"/>
              </w:rPr>
            </w:pPr>
            <w:r w:rsidRPr="009257C7">
              <w:rPr>
                <w:sz w:val="18"/>
                <w:szCs w:val="18"/>
              </w:rPr>
              <w:t>Misiones</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13F" w:rsidRPr="009257C7" w:rsidRDefault="00A1713F" w:rsidP="00A1713F">
            <w:pPr>
              <w:pStyle w:val="Tablehead"/>
              <w:rPr>
                <w:sz w:val="18"/>
                <w:szCs w:val="18"/>
              </w:rPr>
            </w:pPr>
            <w:r w:rsidRPr="009257C7">
              <w:rPr>
                <w:sz w:val="18"/>
                <w:szCs w:val="18"/>
              </w:rPr>
              <w:t>Países</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13F" w:rsidRPr="009257C7" w:rsidRDefault="00A1713F" w:rsidP="00A1713F">
            <w:pPr>
              <w:pStyle w:val="Tablehead"/>
              <w:rPr>
                <w:sz w:val="18"/>
                <w:szCs w:val="18"/>
              </w:rPr>
            </w:pPr>
            <w:r w:rsidRPr="009257C7">
              <w:rPr>
                <w:sz w:val="18"/>
                <w:szCs w:val="18"/>
              </w:rPr>
              <w:t>Misiones</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13F" w:rsidRPr="009257C7" w:rsidRDefault="00A1713F" w:rsidP="00A1713F">
            <w:pPr>
              <w:pStyle w:val="Tablehead"/>
              <w:rPr>
                <w:sz w:val="18"/>
                <w:szCs w:val="18"/>
              </w:rPr>
            </w:pPr>
            <w:r w:rsidRPr="009257C7">
              <w:rPr>
                <w:sz w:val="18"/>
                <w:szCs w:val="18"/>
              </w:rPr>
              <w:t>Países</w:t>
            </w:r>
          </w:p>
        </w:tc>
        <w:tc>
          <w:tcPr>
            <w:tcW w:w="1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A1713F">
            <w:pPr>
              <w:pStyle w:val="Tablehead"/>
              <w:rPr>
                <w:sz w:val="18"/>
                <w:szCs w:val="18"/>
              </w:rPr>
            </w:pPr>
            <w:r w:rsidRPr="009257C7">
              <w:rPr>
                <w:sz w:val="18"/>
                <w:szCs w:val="18"/>
              </w:rPr>
              <w:t>MISIONES</w:t>
            </w:r>
          </w:p>
        </w:tc>
      </w:tr>
      <w:tr w:rsidR="00A1713F" w:rsidRPr="009257C7" w:rsidTr="0062689F">
        <w:trPr>
          <w:trHeight w:val="315"/>
          <w:jc w:val="center"/>
        </w:trPr>
        <w:tc>
          <w:tcPr>
            <w:tcW w:w="2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1713F" w:rsidRPr="009257C7" w:rsidRDefault="00A1713F" w:rsidP="0062689F">
            <w:pPr>
              <w:pStyle w:val="Tabletext"/>
              <w:rPr>
                <w:b/>
                <w:bCs/>
                <w:i/>
                <w:iCs/>
                <w:sz w:val="18"/>
                <w:szCs w:val="18"/>
              </w:rPr>
            </w:pPr>
            <w:r w:rsidRPr="009257C7">
              <w:rPr>
                <w:b/>
                <w:bCs/>
                <w:i/>
                <w:iCs/>
                <w:sz w:val="18"/>
                <w:szCs w:val="18"/>
              </w:rPr>
              <w:t>ORGANISMOS ESPECIALIZADOS DE NACIONES UNIDAS</w:t>
            </w:r>
          </w:p>
        </w:tc>
        <w:tc>
          <w:tcPr>
            <w:tcW w:w="9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sz w:val="18"/>
                <w:szCs w:val="18"/>
              </w:rPr>
            </w:pPr>
            <w:r w:rsidRPr="009257C7">
              <w:rPr>
                <w:sz w:val="18"/>
                <w:szCs w:val="18"/>
              </w:rPr>
              <w:t>24</w:t>
            </w:r>
          </w:p>
        </w:tc>
        <w:tc>
          <w:tcPr>
            <w:tcW w:w="10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sz w:val="18"/>
                <w:szCs w:val="18"/>
              </w:rPr>
            </w:pPr>
            <w:r w:rsidRPr="009257C7">
              <w:rPr>
                <w:sz w:val="18"/>
                <w:szCs w:val="18"/>
              </w:rPr>
              <w:t>9</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sz w:val="18"/>
                <w:szCs w:val="18"/>
              </w:rPr>
            </w:pPr>
            <w:r w:rsidRPr="009257C7">
              <w:rPr>
                <w:sz w:val="18"/>
                <w:szCs w:val="18"/>
              </w:rPr>
              <w:t>33</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13</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23</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11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21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11</w:t>
            </w:r>
          </w:p>
        </w:tc>
        <w:tc>
          <w:tcPr>
            <w:tcW w:w="1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101</w:t>
            </w:r>
          </w:p>
        </w:tc>
      </w:tr>
      <w:tr w:rsidR="00A1713F" w:rsidRPr="009257C7" w:rsidTr="0062689F">
        <w:trPr>
          <w:trHeight w:val="315"/>
          <w:jc w:val="center"/>
        </w:trPr>
        <w:tc>
          <w:tcPr>
            <w:tcW w:w="2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1713F" w:rsidRPr="009257C7" w:rsidRDefault="00A1713F" w:rsidP="0062689F">
            <w:pPr>
              <w:pStyle w:val="Tabletext"/>
              <w:rPr>
                <w:b/>
                <w:bCs/>
                <w:i/>
                <w:iCs/>
                <w:sz w:val="18"/>
                <w:szCs w:val="18"/>
              </w:rPr>
            </w:pPr>
            <w:r w:rsidRPr="009257C7">
              <w:rPr>
                <w:b/>
                <w:bCs/>
                <w:i/>
                <w:iCs/>
                <w:sz w:val="18"/>
                <w:szCs w:val="18"/>
              </w:rPr>
              <w:t>ORGANIZACIONES REGIONALES DE TELECOMUNICACIONES</w:t>
            </w:r>
          </w:p>
        </w:tc>
        <w:tc>
          <w:tcPr>
            <w:tcW w:w="9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sz w:val="18"/>
                <w:szCs w:val="18"/>
              </w:rPr>
            </w:pPr>
            <w:r w:rsidRPr="009257C7">
              <w:rPr>
                <w:sz w:val="18"/>
                <w:szCs w:val="18"/>
              </w:rPr>
              <w:t>74</w:t>
            </w:r>
          </w:p>
        </w:tc>
        <w:tc>
          <w:tcPr>
            <w:tcW w:w="10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sz w:val="18"/>
                <w:szCs w:val="18"/>
              </w:rPr>
            </w:pPr>
            <w:r w:rsidRPr="009257C7">
              <w:rPr>
                <w:sz w:val="18"/>
                <w:szCs w:val="18"/>
              </w:rPr>
              <w:t>34</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sz w:val="18"/>
                <w:szCs w:val="18"/>
              </w:rPr>
            </w:pPr>
            <w:r w:rsidRPr="009257C7">
              <w:rPr>
                <w:sz w:val="18"/>
                <w:szCs w:val="18"/>
              </w:rPr>
              <w:t>57</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32</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49</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37</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46</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37</w:t>
            </w:r>
          </w:p>
        </w:tc>
        <w:tc>
          <w:tcPr>
            <w:tcW w:w="1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226</w:t>
            </w:r>
          </w:p>
        </w:tc>
      </w:tr>
      <w:tr w:rsidR="00A1713F" w:rsidRPr="009257C7" w:rsidTr="0062689F">
        <w:trPr>
          <w:trHeight w:val="315"/>
          <w:jc w:val="center"/>
        </w:trPr>
        <w:tc>
          <w:tcPr>
            <w:tcW w:w="2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1713F" w:rsidRPr="009257C7" w:rsidRDefault="00A1713F" w:rsidP="0062689F">
            <w:pPr>
              <w:pStyle w:val="Tabletext"/>
              <w:rPr>
                <w:b/>
                <w:bCs/>
                <w:i/>
                <w:iCs/>
                <w:sz w:val="18"/>
                <w:szCs w:val="18"/>
              </w:rPr>
            </w:pPr>
            <w:r w:rsidRPr="009257C7">
              <w:rPr>
                <w:b/>
                <w:bCs/>
                <w:i/>
                <w:iCs/>
                <w:sz w:val="18"/>
                <w:szCs w:val="18"/>
              </w:rPr>
              <w:t>CONFERENCIAS Y SIMPOSIOS AJENOS A LA UIT</w:t>
            </w:r>
          </w:p>
        </w:tc>
        <w:tc>
          <w:tcPr>
            <w:tcW w:w="9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sz w:val="18"/>
                <w:szCs w:val="18"/>
              </w:rPr>
            </w:pPr>
            <w:r w:rsidRPr="009257C7">
              <w:rPr>
                <w:sz w:val="18"/>
                <w:szCs w:val="18"/>
              </w:rPr>
              <w:t>57</w:t>
            </w:r>
          </w:p>
        </w:tc>
        <w:tc>
          <w:tcPr>
            <w:tcW w:w="10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sz w:val="18"/>
                <w:szCs w:val="18"/>
              </w:rPr>
            </w:pPr>
            <w:r w:rsidRPr="009257C7">
              <w:rPr>
                <w:sz w:val="18"/>
                <w:szCs w:val="18"/>
              </w:rPr>
              <w:t>45</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sz w:val="18"/>
                <w:szCs w:val="18"/>
              </w:rPr>
            </w:pPr>
            <w:r w:rsidRPr="009257C7">
              <w:rPr>
                <w:sz w:val="18"/>
                <w:szCs w:val="18"/>
              </w:rPr>
              <w:t>83</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40</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51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32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58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44</w:t>
            </w:r>
          </w:p>
        </w:tc>
        <w:tc>
          <w:tcPr>
            <w:tcW w:w="1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249</w:t>
            </w:r>
          </w:p>
        </w:tc>
      </w:tr>
      <w:tr w:rsidR="00A1713F" w:rsidRPr="009257C7" w:rsidTr="0062689F">
        <w:trPr>
          <w:trHeight w:val="315"/>
          <w:jc w:val="center"/>
        </w:trPr>
        <w:tc>
          <w:tcPr>
            <w:tcW w:w="2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1713F" w:rsidRPr="009257C7" w:rsidRDefault="00A1713F" w:rsidP="0062689F">
            <w:pPr>
              <w:pStyle w:val="Tabletext"/>
              <w:rPr>
                <w:b/>
                <w:bCs/>
                <w:i/>
                <w:iCs/>
                <w:sz w:val="18"/>
                <w:szCs w:val="18"/>
              </w:rPr>
            </w:pPr>
            <w:r w:rsidRPr="009257C7">
              <w:rPr>
                <w:b/>
                <w:bCs/>
                <w:i/>
                <w:iCs/>
                <w:sz w:val="18"/>
                <w:szCs w:val="18"/>
              </w:rPr>
              <w:t>SEMINARIOS, TALLERES Y REUNIONES DE LA UIT</w:t>
            </w:r>
          </w:p>
        </w:tc>
        <w:tc>
          <w:tcPr>
            <w:tcW w:w="9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sz w:val="18"/>
                <w:szCs w:val="18"/>
              </w:rPr>
            </w:pPr>
            <w:r w:rsidRPr="009257C7">
              <w:rPr>
                <w:sz w:val="18"/>
                <w:szCs w:val="18"/>
              </w:rPr>
              <w:t>33</w:t>
            </w:r>
          </w:p>
        </w:tc>
        <w:tc>
          <w:tcPr>
            <w:tcW w:w="10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sz w:val="18"/>
                <w:szCs w:val="18"/>
              </w:rPr>
            </w:pPr>
            <w:r w:rsidRPr="009257C7">
              <w:rPr>
                <w:sz w:val="18"/>
                <w:szCs w:val="18"/>
              </w:rPr>
              <w:t>19</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sz w:val="18"/>
                <w:szCs w:val="18"/>
              </w:rPr>
            </w:pPr>
            <w:r w:rsidRPr="009257C7">
              <w:rPr>
                <w:sz w:val="18"/>
                <w:szCs w:val="18"/>
              </w:rPr>
              <w:t>39</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19</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27</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26</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21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19</w:t>
            </w:r>
          </w:p>
        </w:tc>
        <w:tc>
          <w:tcPr>
            <w:tcW w:w="1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120</w:t>
            </w:r>
          </w:p>
        </w:tc>
      </w:tr>
      <w:tr w:rsidR="00A1713F" w:rsidRPr="009257C7" w:rsidTr="0062689F">
        <w:trPr>
          <w:trHeight w:val="315"/>
          <w:jc w:val="center"/>
        </w:trPr>
        <w:tc>
          <w:tcPr>
            <w:tcW w:w="2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1713F" w:rsidRPr="009257C7" w:rsidRDefault="00A1713F" w:rsidP="0062689F">
            <w:pPr>
              <w:pStyle w:val="Tabletext"/>
              <w:rPr>
                <w:b/>
                <w:bCs/>
                <w:i/>
                <w:iCs/>
                <w:sz w:val="18"/>
                <w:szCs w:val="18"/>
              </w:rPr>
            </w:pPr>
            <w:r w:rsidRPr="009257C7">
              <w:rPr>
                <w:b/>
                <w:bCs/>
                <w:i/>
                <w:iCs/>
                <w:sz w:val="18"/>
                <w:szCs w:val="18"/>
              </w:rPr>
              <w:t>SOLICITUDES DE ASISTENCIA</w:t>
            </w:r>
          </w:p>
        </w:tc>
        <w:tc>
          <w:tcPr>
            <w:tcW w:w="9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sz w:val="18"/>
                <w:szCs w:val="18"/>
              </w:rPr>
            </w:pPr>
            <w:r w:rsidRPr="009257C7">
              <w:rPr>
                <w:sz w:val="18"/>
                <w:szCs w:val="18"/>
              </w:rPr>
              <w:t>14</w:t>
            </w:r>
          </w:p>
        </w:tc>
        <w:tc>
          <w:tcPr>
            <w:tcW w:w="10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sz w:val="18"/>
                <w:szCs w:val="18"/>
              </w:rPr>
            </w:pPr>
            <w:r w:rsidRPr="009257C7">
              <w:rPr>
                <w:sz w:val="18"/>
                <w:szCs w:val="18"/>
              </w:rPr>
              <w:t>7</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sz w:val="18"/>
                <w:szCs w:val="18"/>
              </w:rPr>
            </w:pPr>
            <w:r w:rsidRPr="009257C7">
              <w:rPr>
                <w:sz w:val="18"/>
                <w:szCs w:val="18"/>
              </w:rPr>
              <w:t>8</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5</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6</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5</w:t>
            </w:r>
          </w:p>
        </w:tc>
        <w:tc>
          <w:tcPr>
            <w:tcW w:w="1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36</w:t>
            </w:r>
          </w:p>
        </w:tc>
      </w:tr>
      <w:tr w:rsidR="00A1713F" w:rsidRPr="009257C7" w:rsidTr="0062689F">
        <w:trPr>
          <w:trHeight w:val="315"/>
          <w:jc w:val="center"/>
        </w:trPr>
        <w:tc>
          <w:tcPr>
            <w:tcW w:w="2827"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A1713F" w:rsidRPr="009257C7" w:rsidRDefault="00A1713F" w:rsidP="0062689F">
            <w:pPr>
              <w:pStyle w:val="Tabletext"/>
              <w:rPr>
                <w:b/>
                <w:bCs/>
                <w:i/>
                <w:iCs/>
                <w:sz w:val="18"/>
                <w:szCs w:val="18"/>
              </w:rPr>
            </w:pPr>
            <w:r w:rsidRPr="009257C7">
              <w:rPr>
                <w:b/>
                <w:bCs/>
                <w:i/>
                <w:iCs/>
                <w:sz w:val="18"/>
                <w:szCs w:val="18"/>
              </w:rPr>
              <w:t>OTROS EVENTOS</w:t>
            </w:r>
          </w:p>
        </w:tc>
        <w:tc>
          <w:tcPr>
            <w:tcW w:w="939" w:type="dxa"/>
            <w:tcBorders>
              <w:top w:val="nil"/>
              <w:left w:val="nil"/>
              <w:bottom w:val="nil"/>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sz w:val="18"/>
                <w:szCs w:val="18"/>
              </w:rPr>
            </w:pPr>
            <w:r w:rsidRPr="009257C7">
              <w:rPr>
                <w:sz w:val="18"/>
                <w:szCs w:val="18"/>
              </w:rPr>
              <w:t>31</w:t>
            </w:r>
          </w:p>
        </w:tc>
        <w:tc>
          <w:tcPr>
            <w:tcW w:w="1066" w:type="dxa"/>
            <w:tcBorders>
              <w:top w:val="nil"/>
              <w:left w:val="nil"/>
              <w:bottom w:val="nil"/>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sz w:val="18"/>
                <w:szCs w:val="18"/>
              </w:rPr>
            </w:pPr>
            <w:r w:rsidRPr="009257C7">
              <w:rPr>
                <w:sz w:val="18"/>
                <w:szCs w:val="18"/>
              </w:rPr>
              <w:t>14</w:t>
            </w:r>
          </w:p>
        </w:tc>
        <w:tc>
          <w:tcPr>
            <w:tcW w:w="945" w:type="dxa"/>
            <w:tcBorders>
              <w:top w:val="nil"/>
              <w:left w:val="nil"/>
              <w:bottom w:val="nil"/>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sz w:val="18"/>
                <w:szCs w:val="18"/>
              </w:rPr>
            </w:pPr>
            <w:r w:rsidRPr="009257C7">
              <w:rPr>
                <w:sz w:val="18"/>
                <w:szCs w:val="18"/>
              </w:rPr>
              <w:t>14</w:t>
            </w:r>
          </w:p>
        </w:tc>
        <w:tc>
          <w:tcPr>
            <w:tcW w:w="1070" w:type="dxa"/>
            <w:tcBorders>
              <w:top w:val="nil"/>
              <w:left w:val="nil"/>
              <w:bottom w:val="nil"/>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10</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15</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11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20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6</w:t>
            </w:r>
          </w:p>
        </w:tc>
        <w:tc>
          <w:tcPr>
            <w:tcW w:w="1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80</w:t>
            </w:r>
          </w:p>
        </w:tc>
      </w:tr>
      <w:tr w:rsidR="00A1713F" w:rsidRPr="009257C7" w:rsidTr="0062689F">
        <w:trPr>
          <w:trHeight w:val="315"/>
          <w:jc w:val="center"/>
        </w:trPr>
        <w:tc>
          <w:tcPr>
            <w:tcW w:w="28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1713F" w:rsidRPr="009257C7" w:rsidRDefault="00A1713F" w:rsidP="0062689F">
            <w:pPr>
              <w:pStyle w:val="Tabletext"/>
              <w:rPr>
                <w:b/>
                <w:bCs/>
                <w:sz w:val="18"/>
                <w:szCs w:val="18"/>
              </w:rPr>
            </w:pPr>
            <w:r w:rsidRPr="009257C7">
              <w:rPr>
                <w:b/>
                <w:bCs/>
                <w:sz w:val="18"/>
                <w:szCs w:val="18"/>
              </w:rPr>
              <w:t>TOTAL</w:t>
            </w:r>
          </w:p>
        </w:tc>
        <w:tc>
          <w:tcPr>
            <w:tcW w:w="93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233</w:t>
            </w:r>
          </w:p>
        </w:tc>
        <w:tc>
          <w:tcPr>
            <w:tcW w:w="106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128</w:t>
            </w:r>
          </w:p>
        </w:tc>
        <w:tc>
          <w:tcPr>
            <w:tcW w:w="94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234</w:t>
            </w:r>
          </w:p>
        </w:tc>
        <w:tc>
          <w:tcPr>
            <w:tcW w:w="10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119</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173</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125</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172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122</w:t>
            </w:r>
          </w:p>
        </w:tc>
        <w:tc>
          <w:tcPr>
            <w:tcW w:w="1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1713F" w:rsidRPr="009257C7" w:rsidRDefault="00A1713F" w:rsidP="0062689F">
            <w:pPr>
              <w:pStyle w:val="Tabletext"/>
              <w:jc w:val="center"/>
              <w:rPr>
                <w:b/>
                <w:bCs/>
                <w:sz w:val="18"/>
                <w:szCs w:val="18"/>
              </w:rPr>
            </w:pPr>
            <w:r w:rsidRPr="009257C7">
              <w:rPr>
                <w:b/>
                <w:bCs/>
                <w:sz w:val="18"/>
                <w:szCs w:val="18"/>
              </w:rPr>
              <w:t>812</w:t>
            </w:r>
          </w:p>
        </w:tc>
      </w:tr>
    </w:tbl>
    <w:p w:rsidR="00E7660B" w:rsidRPr="009257C7" w:rsidRDefault="00E7660B" w:rsidP="00E7660B"/>
    <w:p w:rsidR="00E7660B" w:rsidRPr="009257C7" w:rsidRDefault="00E7660B" w:rsidP="00E7660B">
      <w:pPr>
        <w:sectPr w:rsidR="00E7660B" w:rsidRPr="009257C7" w:rsidSect="00E7660B">
          <w:headerReference w:type="even" r:id="rId34"/>
          <w:headerReference w:type="default" r:id="rId35"/>
          <w:footerReference w:type="even" r:id="rId36"/>
          <w:footerReference w:type="default" r:id="rId37"/>
          <w:headerReference w:type="first" r:id="rId38"/>
          <w:pgSz w:w="16834" w:h="11907" w:orient="landscape"/>
          <w:pgMar w:top="1134" w:right="1418" w:bottom="1134" w:left="1418" w:header="720" w:footer="720" w:gutter="0"/>
          <w:paperSrc w:first="15" w:other="15"/>
          <w:cols w:space="720"/>
          <w:titlePg/>
          <w:docGrid w:linePitch="326"/>
        </w:sectPr>
      </w:pPr>
    </w:p>
    <w:p w:rsidR="00BE48A5" w:rsidRPr="009257C7" w:rsidRDefault="00BE48A5">
      <w:pPr>
        <w:pStyle w:val="Heading3"/>
      </w:pPr>
      <w:bookmarkStart w:id="85" w:name="_Toc424047616"/>
      <w:bookmarkStart w:id="86" w:name="_Toc446060791"/>
      <w:r w:rsidRPr="009257C7">
        <w:lastRenderedPageBreak/>
        <w:t>9.3.2</w:t>
      </w:r>
      <w:r w:rsidRPr="009257C7">
        <w:tab/>
      </w:r>
      <w:r w:rsidR="007027AB" w:rsidRPr="009257C7">
        <w:t>Asi</w:t>
      </w:r>
      <w:r w:rsidR="00E87C6E" w:rsidRPr="009257C7">
        <w:t>stencia a los grupos regionales</w:t>
      </w:r>
    </w:p>
    <w:p w:rsidR="001E115C" w:rsidRPr="009257C7" w:rsidRDefault="007027AB" w:rsidP="006E62CC">
      <w:r w:rsidRPr="009257C7">
        <w:t>La Oficina siguió participando en las reuniones de los grupos de coordinación regionales (por ejemplo</w:t>
      </w:r>
      <w:r w:rsidR="00844C2F" w:rsidRPr="009257C7">
        <w:t>,</w:t>
      </w:r>
      <w:r w:rsidRPr="009257C7">
        <w:t xml:space="preserve"> la HFCC) </w:t>
      </w:r>
      <w:r w:rsidR="00312ADD" w:rsidRPr="009257C7">
        <w:t xml:space="preserve">conforme </w:t>
      </w:r>
      <w:r w:rsidR="00D83531" w:rsidRPr="009257C7">
        <w:t xml:space="preserve">a </w:t>
      </w:r>
      <w:r w:rsidR="00312ADD" w:rsidRPr="009257C7">
        <w:t>lo estipulado en el Artículo 12 del Reglamento de Radiocomunicaciones, prestando la necesaria asistencia y colaboración.</w:t>
      </w:r>
      <w:r w:rsidR="001E115C" w:rsidRPr="009257C7">
        <w:t xml:space="preserve"> </w:t>
      </w:r>
      <w:r w:rsidRPr="009257C7">
        <w:t xml:space="preserve">Véase también </w:t>
      </w:r>
      <w:r w:rsidR="006E62CC" w:rsidRPr="009257C7">
        <w:t>el §</w:t>
      </w:r>
      <w:r w:rsidR="00E87C6E" w:rsidRPr="009257C7">
        <w:t> </w:t>
      </w:r>
      <w:r w:rsidR="001E115C" w:rsidRPr="009257C7">
        <w:t>9.5.</w:t>
      </w:r>
    </w:p>
    <w:p w:rsidR="00D960DA" w:rsidRPr="009257C7" w:rsidRDefault="00757163" w:rsidP="00D960DA">
      <w:pPr>
        <w:pStyle w:val="Heading3"/>
      </w:pPr>
      <w:r w:rsidRPr="009257C7">
        <w:t>9</w:t>
      </w:r>
      <w:r w:rsidR="00E7660B" w:rsidRPr="009257C7">
        <w:t>.</w:t>
      </w:r>
      <w:r w:rsidR="00E7660B" w:rsidRPr="009257C7">
        <w:t>3.3</w:t>
      </w:r>
      <w:r w:rsidR="00E7660B" w:rsidRPr="009257C7">
        <w:tab/>
      </w:r>
      <w:bookmarkEnd w:id="85"/>
      <w:bookmarkEnd w:id="86"/>
      <w:r w:rsidR="00E7660B" w:rsidRPr="009257C7">
        <w:t>Asistencia a otros grupos de países</w:t>
      </w:r>
    </w:p>
    <w:p w:rsidR="00D1118E" w:rsidRPr="009257C7" w:rsidRDefault="00D1118E" w:rsidP="00D1118E">
      <w:r w:rsidRPr="009257C7">
        <w:t>La Oficina organizó las siguientes reuniones de coordinación de frecuencias:</w:t>
      </w:r>
    </w:p>
    <w:p w:rsidR="00D960DA" w:rsidRPr="009257C7" w:rsidRDefault="00755076" w:rsidP="00755076">
      <w:pPr>
        <w:pStyle w:val="enumlev1"/>
        <w:rPr>
          <w:rFonts w:asciiTheme="majorBidi" w:hAnsiTheme="majorBidi" w:cstheme="majorBidi"/>
          <w:szCs w:val="24"/>
        </w:rPr>
      </w:pPr>
      <w:r w:rsidRPr="009257C7">
        <w:t>–</w:t>
      </w:r>
      <w:r w:rsidRPr="009257C7">
        <w:tab/>
      </w:r>
      <w:r w:rsidR="00D83531" w:rsidRPr="009257C7">
        <w:t>Se organizó u</w:t>
      </w:r>
      <w:r w:rsidR="00E7660B" w:rsidRPr="009257C7">
        <w:t xml:space="preserve">na serie de reuniones regionales de coordinación de frecuencias sobre la utilización de las bandas VHF/UHF </w:t>
      </w:r>
      <w:r w:rsidR="00D83531" w:rsidRPr="009257C7">
        <w:t>en América Central y el Caribe</w:t>
      </w:r>
      <w:r w:rsidR="00757163" w:rsidRPr="009257C7">
        <w:rPr>
          <w:rFonts w:asciiTheme="majorBidi" w:hAnsiTheme="majorBidi" w:cstheme="majorBidi"/>
          <w:szCs w:val="24"/>
        </w:rPr>
        <w:t xml:space="preserve">. </w:t>
      </w:r>
      <w:r w:rsidR="00D83531" w:rsidRPr="009257C7">
        <w:rPr>
          <w:rFonts w:asciiTheme="majorBidi" w:hAnsiTheme="majorBidi" w:cstheme="majorBidi"/>
          <w:szCs w:val="24"/>
        </w:rPr>
        <w:t xml:space="preserve">Esas reuniones se organizaron en colaboración con </w:t>
      </w:r>
      <w:r w:rsidR="00757163" w:rsidRPr="009257C7">
        <w:rPr>
          <w:rFonts w:asciiTheme="majorBidi" w:hAnsiTheme="majorBidi" w:cstheme="majorBidi"/>
          <w:szCs w:val="24"/>
        </w:rPr>
        <w:t>CITEL, COMTELCA</w:t>
      </w:r>
      <w:r w:rsidR="00D83531" w:rsidRPr="009257C7">
        <w:rPr>
          <w:rFonts w:asciiTheme="majorBidi" w:hAnsiTheme="majorBidi" w:cstheme="majorBidi"/>
          <w:szCs w:val="24"/>
        </w:rPr>
        <w:t xml:space="preserve"> y </w:t>
      </w:r>
      <w:r w:rsidR="00757163" w:rsidRPr="009257C7">
        <w:rPr>
          <w:rFonts w:asciiTheme="majorBidi" w:hAnsiTheme="majorBidi" w:cstheme="majorBidi"/>
          <w:szCs w:val="24"/>
        </w:rPr>
        <w:t>CTU</w:t>
      </w:r>
      <w:r w:rsidR="00E7660B" w:rsidRPr="009257C7">
        <w:t>. La primera reunión tuvo lugar del 8 al 10 de marzo de 2017 en Managua (Nicaragua)</w:t>
      </w:r>
      <w:r w:rsidR="00757163" w:rsidRPr="009257C7">
        <w:rPr>
          <w:rFonts w:asciiTheme="majorBidi" w:hAnsiTheme="majorBidi" w:cstheme="majorBidi"/>
          <w:szCs w:val="24"/>
        </w:rPr>
        <w:t xml:space="preserve">. </w:t>
      </w:r>
      <w:r w:rsidR="00D83531" w:rsidRPr="009257C7">
        <w:rPr>
          <w:rFonts w:asciiTheme="majorBidi" w:hAnsiTheme="majorBidi" w:cstheme="majorBidi"/>
          <w:szCs w:val="24"/>
        </w:rPr>
        <w:t xml:space="preserve">El proceso duró 18 meses y se concluyó en </w:t>
      </w:r>
      <w:r w:rsidR="00E7660B" w:rsidRPr="009257C7">
        <w:t xml:space="preserve">la </w:t>
      </w:r>
      <w:r w:rsidR="00D83531" w:rsidRPr="009257C7">
        <w:t>cuarta</w:t>
      </w:r>
      <w:r w:rsidR="00757163" w:rsidRPr="009257C7">
        <w:t xml:space="preserve"> </w:t>
      </w:r>
      <w:r w:rsidR="00E7660B" w:rsidRPr="009257C7">
        <w:t xml:space="preserve">reunión </w:t>
      </w:r>
      <w:r w:rsidR="00D83531" w:rsidRPr="009257C7">
        <w:t xml:space="preserve">celebrada en Belice del 11 </w:t>
      </w:r>
      <w:r w:rsidR="00E7660B" w:rsidRPr="009257C7">
        <w:t xml:space="preserve">al </w:t>
      </w:r>
      <w:r w:rsidR="00757163" w:rsidRPr="009257C7">
        <w:t>14</w:t>
      </w:r>
      <w:r w:rsidR="00E7660B" w:rsidRPr="009257C7">
        <w:t xml:space="preserve"> de septiembre</w:t>
      </w:r>
      <w:r w:rsidRPr="009257C7">
        <w:t xml:space="preserve"> </w:t>
      </w:r>
      <w:r w:rsidR="00D83531" w:rsidRPr="009257C7">
        <w:t xml:space="preserve">de 2018, con el 94% de los canales asignables para las necesidades digitales en la banda </w:t>
      </w:r>
      <w:r w:rsidR="001F2159" w:rsidRPr="009257C7">
        <w:t>UHF</w:t>
      </w:r>
      <w:r w:rsidR="00D83531" w:rsidRPr="009257C7">
        <w:t xml:space="preserve"> </w:t>
      </w:r>
      <w:r w:rsidR="00E7660B" w:rsidRPr="009257C7">
        <w:t xml:space="preserve">y </w:t>
      </w:r>
      <w:r w:rsidR="00D83531" w:rsidRPr="009257C7">
        <w:t xml:space="preserve">el </w:t>
      </w:r>
      <w:r w:rsidR="00757163" w:rsidRPr="009257C7">
        <w:rPr>
          <w:rFonts w:asciiTheme="majorBidi" w:hAnsiTheme="majorBidi" w:cstheme="majorBidi"/>
          <w:szCs w:val="24"/>
        </w:rPr>
        <w:t xml:space="preserve">96% </w:t>
      </w:r>
      <w:r w:rsidR="001F2159" w:rsidRPr="009257C7">
        <w:rPr>
          <w:rFonts w:asciiTheme="majorBidi" w:hAnsiTheme="majorBidi" w:cstheme="majorBidi"/>
          <w:szCs w:val="24"/>
        </w:rPr>
        <w:t xml:space="preserve">en </w:t>
      </w:r>
      <w:r w:rsidR="00D83531" w:rsidRPr="009257C7">
        <w:rPr>
          <w:rFonts w:asciiTheme="majorBidi" w:hAnsiTheme="majorBidi" w:cstheme="majorBidi"/>
          <w:szCs w:val="24"/>
        </w:rPr>
        <w:t xml:space="preserve">la banda </w:t>
      </w:r>
      <w:r w:rsidR="001F2159" w:rsidRPr="009257C7">
        <w:rPr>
          <w:rFonts w:asciiTheme="majorBidi" w:hAnsiTheme="majorBidi" w:cstheme="majorBidi"/>
          <w:szCs w:val="24"/>
        </w:rPr>
        <w:t>VHF</w:t>
      </w:r>
      <w:r w:rsidR="00757163" w:rsidRPr="009257C7">
        <w:rPr>
          <w:rFonts w:asciiTheme="majorBidi" w:hAnsiTheme="majorBidi" w:cstheme="majorBidi"/>
          <w:szCs w:val="24"/>
        </w:rPr>
        <w:t xml:space="preserve">. </w:t>
      </w:r>
      <w:r w:rsidR="00D83531" w:rsidRPr="009257C7">
        <w:rPr>
          <w:rFonts w:asciiTheme="majorBidi" w:hAnsiTheme="majorBidi" w:cstheme="majorBidi"/>
          <w:szCs w:val="24"/>
        </w:rPr>
        <w:t xml:space="preserve">Los resultados se basan en un </w:t>
      </w:r>
      <w:r w:rsidR="001F2159" w:rsidRPr="009257C7">
        <w:rPr>
          <w:rFonts w:asciiTheme="majorBidi" w:hAnsiTheme="majorBidi" w:cstheme="majorBidi"/>
          <w:szCs w:val="24"/>
        </w:rPr>
        <w:t xml:space="preserve">número </w:t>
      </w:r>
      <w:r w:rsidR="00D83531" w:rsidRPr="009257C7">
        <w:rPr>
          <w:rFonts w:asciiTheme="majorBidi" w:hAnsiTheme="majorBidi" w:cstheme="majorBidi"/>
          <w:szCs w:val="24"/>
        </w:rPr>
        <w:t xml:space="preserve">mínimo </w:t>
      </w:r>
      <w:r w:rsidR="00E7660B" w:rsidRPr="009257C7">
        <w:t xml:space="preserve">de </w:t>
      </w:r>
      <w:r w:rsidR="00D83531" w:rsidRPr="009257C7">
        <w:t xml:space="preserve">4 capas nacionales (MUX) en </w:t>
      </w:r>
      <w:r w:rsidR="001F2159" w:rsidRPr="009257C7">
        <w:t>UHF</w:t>
      </w:r>
      <w:r w:rsidR="00D83531" w:rsidRPr="009257C7">
        <w:t xml:space="preserve"> y 1-2 en la banda </w:t>
      </w:r>
      <w:r w:rsidR="001F2159" w:rsidRPr="009257C7">
        <w:t>VHF</w:t>
      </w:r>
      <w:r w:rsidR="00D83531" w:rsidRPr="009257C7">
        <w:t xml:space="preserve"> para las administraciones</w:t>
      </w:r>
      <w:r w:rsidRPr="009257C7">
        <w:rPr>
          <w:rFonts w:asciiTheme="majorBidi" w:hAnsiTheme="majorBidi" w:cstheme="majorBidi"/>
          <w:szCs w:val="24"/>
        </w:rPr>
        <w:t>.</w:t>
      </w:r>
    </w:p>
    <w:p w:rsidR="00E13817" w:rsidRPr="009257C7" w:rsidRDefault="00792162">
      <w:pPr>
        <w:pStyle w:val="enumlev1"/>
        <w:rPr>
          <w:rFonts w:asciiTheme="majorBidi" w:hAnsiTheme="majorBidi" w:cstheme="majorBidi"/>
          <w:szCs w:val="24"/>
        </w:rPr>
      </w:pPr>
      <w:r w:rsidRPr="009257C7">
        <w:t>–</w:t>
      </w:r>
      <w:r w:rsidRPr="009257C7">
        <w:tab/>
      </w:r>
      <w:r w:rsidR="00446E6F" w:rsidRPr="009257C7">
        <w:t>La r</w:t>
      </w:r>
      <w:r w:rsidR="00E7660B" w:rsidRPr="009257C7">
        <w:t>eunión de coordinación multilateral entre Italia y los países vecinos para resolver casos de interferencia perjudicial entre estaciones de radiodifusión sonora FM</w:t>
      </w:r>
      <w:r w:rsidR="00627BA0" w:rsidRPr="009257C7">
        <w:t xml:space="preserve"> se</w:t>
      </w:r>
      <w:r w:rsidR="00446E6F" w:rsidRPr="009257C7">
        <w:t xml:space="preserve"> celebró el 20 de junio de 2018 con la asistencia de la Oficina</w:t>
      </w:r>
      <w:r w:rsidRPr="009257C7">
        <w:rPr>
          <w:rFonts w:asciiTheme="majorBidi" w:hAnsiTheme="majorBidi" w:cstheme="majorBidi"/>
          <w:szCs w:val="24"/>
        </w:rPr>
        <w:t>.</w:t>
      </w:r>
    </w:p>
    <w:p w:rsidR="00E13817" w:rsidRPr="009257C7" w:rsidRDefault="00792162">
      <w:pPr>
        <w:pStyle w:val="enumlev1"/>
        <w:rPr>
          <w:rFonts w:asciiTheme="majorBidi" w:hAnsiTheme="majorBidi" w:cstheme="majorBidi"/>
          <w:szCs w:val="24"/>
        </w:rPr>
      </w:pPr>
      <w:r w:rsidRPr="009257C7">
        <w:t>–</w:t>
      </w:r>
      <w:r w:rsidRPr="009257C7">
        <w:tab/>
      </w:r>
      <w:r w:rsidR="00446E6F" w:rsidRPr="009257C7">
        <w:rPr>
          <w:rFonts w:asciiTheme="majorBidi" w:hAnsiTheme="majorBidi" w:cstheme="majorBidi"/>
          <w:szCs w:val="24"/>
        </w:rPr>
        <w:t>La Oficina organizó una reunión bilateral de coordinación entre Armenia y Azerbaiyán sobre radiodifusión sonora y televisiva del 12 al 14 de marzo de 2019 en la Sede de la UIT en Ginebra. La Oficina prestó la asistencia técnica pertinente a ambas administraciones</w:t>
      </w:r>
      <w:r w:rsidRPr="009257C7">
        <w:rPr>
          <w:rFonts w:asciiTheme="majorBidi" w:hAnsiTheme="majorBidi" w:cstheme="majorBidi"/>
          <w:szCs w:val="24"/>
        </w:rPr>
        <w:t>.</w:t>
      </w:r>
    </w:p>
    <w:p w:rsidR="00E7660B" w:rsidRPr="009257C7" w:rsidRDefault="00792162">
      <w:pPr>
        <w:pStyle w:val="enumlev1"/>
      </w:pPr>
      <w:r w:rsidRPr="009257C7">
        <w:t>–</w:t>
      </w:r>
      <w:r w:rsidRPr="009257C7">
        <w:tab/>
      </w:r>
      <w:r w:rsidR="00E7660B" w:rsidRPr="009257C7">
        <w:t xml:space="preserve">Cuatro talleres de capacitación UIT/ITSO sobre comunicaciones de satélites en </w:t>
      </w:r>
      <w:r w:rsidR="00D1118E" w:rsidRPr="009257C7">
        <w:t xml:space="preserve">Dakar (Senegal) </w:t>
      </w:r>
      <w:r w:rsidR="00E7660B" w:rsidRPr="009257C7">
        <w:t xml:space="preserve">del </w:t>
      </w:r>
      <w:r w:rsidR="00D1118E" w:rsidRPr="009257C7">
        <w:t>23</w:t>
      </w:r>
      <w:r w:rsidR="00E7660B" w:rsidRPr="009257C7">
        <w:t xml:space="preserve"> al </w:t>
      </w:r>
      <w:r w:rsidR="00D1118E" w:rsidRPr="009257C7">
        <w:t>27</w:t>
      </w:r>
      <w:r w:rsidR="00E7660B" w:rsidRPr="009257C7">
        <w:t xml:space="preserve"> de julio de </w:t>
      </w:r>
      <w:r w:rsidR="00D1118E" w:rsidRPr="009257C7">
        <w:t>2018</w:t>
      </w:r>
      <w:r w:rsidR="00E7660B" w:rsidRPr="009257C7">
        <w:t xml:space="preserve"> (para países africanos de habla francesa), en </w:t>
      </w:r>
      <w:r w:rsidR="00D1118E" w:rsidRPr="009257C7">
        <w:t xml:space="preserve">Quito (Ecuador) </w:t>
      </w:r>
      <w:r w:rsidR="00446E6F" w:rsidRPr="009257C7">
        <w:t xml:space="preserve">del 10 al 14 de septiembre de 2018 en </w:t>
      </w:r>
      <w:r w:rsidR="00D1118E" w:rsidRPr="009257C7">
        <w:t xml:space="preserve">Abuja (Nigeria) </w:t>
      </w:r>
      <w:r w:rsidR="00446E6F" w:rsidRPr="009257C7">
        <w:t xml:space="preserve">del 22 al 27 de octubre de 2018 </w:t>
      </w:r>
      <w:r w:rsidR="00E7660B" w:rsidRPr="009257C7">
        <w:t>(países africanos de habla inglesa</w:t>
      </w:r>
      <w:r w:rsidR="00D1118E" w:rsidRPr="009257C7">
        <w:t xml:space="preserve">) </w:t>
      </w:r>
      <w:r w:rsidR="00446E6F" w:rsidRPr="009257C7">
        <w:t>y</w:t>
      </w:r>
      <w:r w:rsidR="00E7660B" w:rsidRPr="009257C7">
        <w:t xml:space="preserve"> en </w:t>
      </w:r>
      <w:r w:rsidR="00D1118E" w:rsidRPr="009257C7">
        <w:t>Rabat (M</w:t>
      </w:r>
      <w:r w:rsidR="00446E6F" w:rsidRPr="009257C7">
        <w:t>arruecos</w:t>
      </w:r>
      <w:r w:rsidRPr="009257C7">
        <w:t>)</w:t>
      </w:r>
      <w:r w:rsidR="00297D24" w:rsidRPr="009257C7">
        <w:t xml:space="preserve"> </w:t>
      </w:r>
      <w:r w:rsidR="00E7660B" w:rsidRPr="009257C7">
        <w:t xml:space="preserve">del </w:t>
      </w:r>
      <w:r w:rsidR="00D1118E" w:rsidRPr="009257C7">
        <w:t>26</w:t>
      </w:r>
      <w:r w:rsidR="00E7660B" w:rsidRPr="009257C7">
        <w:t xml:space="preserve"> al</w:t>
      </w:r>
      <w:r w:rsidRPr="009257C7">
        <w:t xml:space="preserve"> </w:t>
      </w:r>
      <w:r w:rsidR="00D1118E" w:rsidRPr="009257C7">
        <w:t xml:space="preserve">30 </w:t>
      </w:r>
      <w:r w:rsidR="00446E6F" w:rsidRPr="009257C7">
        <w:t xml:space="preserve">de noviembre de </w:t>
      </w:r>
      <w:r w:rsidR="00D1118E" w:rsidRPr="009257C7">
        <w:t>2018</w:t>
      </w:r>
      <w:r w:rsidR="00E7660B" w:rsidRPr="009257C7">
        <w:t>. Estos talleres forman parte de la alianza sobre capacitación entre la UIT e ITSO para impartir formación en materia de comunicaciones por satélite.</w:t>
      </w:r>
      <w:r w:rsidR="00D1118E" w:rsidRPr="009257C7">
        <w:t xml:space="preserve"> </w:t>
      </w:r>
      <w:r w:rsidR="00446E6F" w:rsidRPr="009257C7">
        <w:t>Además, a petición de las administraciones notificantes, la Oficina organizó reuniones de coordinación de satélite</w:t>
      </w:r>
      <w:r w:rsidRPr="009257C7">
        <w:t>s</w:t>
      </w:r>
      <w:r w:rsidR="00446E6F" w:rsidRPr="009257C7">
        <w:t xml:space="preserve"> en la Sede de la UIT en Ginebra</w:t>
      </w:r>
      <w:r w:rsidR="00D1118E" w:rsidRPr="009257C7">
        <w:t>.</w:t>
      </w:r>
    </w:p>
    <w:p w:rsidR="00E7660B" w:rsidRPr="009257C7" w:rsidRDefault="00D1118E" w:rsidP="0045331E">
      <w:pPr>
        <w:pStyle w:val="Heading2"/>
      </w:pPr>
      <w:bookmarkStart w:id="87" w:name="_Toc418163382"/>
      <w:bookmarkStart w:id="88" w:name="_Toc418232300"/>
      <w:bookmarkStart w:id="89" w:name="_Toc424047620"/>
      <w:bookmarkStart w:id="90" w:name="_Toc446060792"/>
      <w:r w:rsidRPr="009257C7">
        <w:t>9</w:t>
      </w:r>
      <w:r w:rsidR="00E7660B" w:rsidRPr="009257C7">
        <w:t>.4</w:t>
      </w:r>
      <w:r w:rsidR="00E7660B" w:rsidRPr="009257C7">
        <w:tab/>
      </w:r>
      <w:bookmarkEnd w:id="87"/>
      <w:bookmarkEnd w:id="88"/>
      <w:bookmarkEnd w:id="89"/>
      <w:bookmarkEnd w:id="90"/>
      <w:r w:rsidR="00E7660B" w:rsidRPr="009257C7">
        <w:t>Cooperación intersectorial</w:t>
      </w:r>
      <w:r w:rsidRPr="009257C7">
        <w:t xml:space="preserve"> (</w:t>
      </w:r>
      <w:r w:rsidR="00627BA0" w:rsidRPr="009257C7">
        <w:t xml:space="preserve">véase también el Addéndum </w:t>
      </w:r>
      <w:r w:rsidR="00262DF4" w:rsidRPr="009257C7">
        <w:t xml:space="preserve">1 </w:t>
      </w:r>
      <w:r w:rsidR="00627BA0" w:rsidRPr="009257C7">
        <w:t>al presente documento</w:t>
      </w:r>
      <w:r w:rsidRPr="009257C7">
        <w:t>)</w:t>
      </w:r>
    </w:p>
    <w:p w:rsidR="00E7660B" w:rsidRPr="009257C7" w:rsidRDefault="00D1118E" w:rsidP="00E7660B">
      <w:pPr>
        <w:pStyle w:val="Heading3"/>
      </w:pPr>
      <w:bookmarkStart w:id="91" w:name="_Toc424047621"/>
      <w:bookmarkStart w:id="92" w:name="_Toc446060793"/>
      <w:r w:rsidRPr="009257C7">
        <w:t>9</w:t>
      </w:r>
      <w:r w:rsidR="00262DF4" w:rsidRPr="009257C7">
        <w:t>.4.1</w:t>
      </w:r>
      <w:r w:rsidR="00262DF4" w:rsidRPr="009257C7">
        <w:tab/>
        <w:t>Cooperación con el UIT</w:t>
      </w:r>
      <w:r w:rsidR="00E7660B" w:rsidRPr="009257C7">
        <w:noBreakHyphen/>
        <w:t>D</w:t>
      </w:r>
      <w:bookmarkEnd w:id="91"/>
      <w:bookmarkEnd w:id="92"/>
    </w:p>
    <w:p w:rsidR="00E7660B" w:rsidRPr="009257C7" w:rsidRDefault="00E7660B" w:rsidP="00262DF4">
      <w:r w:rsidRPr="009257C7">
        <w:t xml:space="preserve">Tal como se ha señalado en </w:t>
      </w:r>
      <w:r w:rsidR="00262DF4" w:rsidRPr="009257C7">
        <w:t xml:space="preserve">los </w:t>
      </w:r>
      <w:r w:rsidR="00262DF4" w:rsidRPr="009257C7">
        <w:t>§ </w:t>
      </w:r>
      <w:r w:rsidR="00D1118E" w:rsidRPr="009257C7">
        <w:t>9</w:t>
      </w:r>
      <w:r w:rsidRPr="009257C7">
        <w:t xml:space="preserve">.1 a </w:t>
      </w:r>
      <w:r w:rsidR="00D1118E" w:rsidRPr="009257C7">
        <w:t>9</w:t>
      </w:r>
      <w:r w:rsidRPr="009257C7">
        <w:t xml:space="preserve">.3 anteriores, la BR continúa cumpliendo su objetivo de informar y asistir a los </w:t>
      </w:r>
      <w:r w:rsidR="00262DF4" w:rsidRPr="009257C7">
        <w:t xml:space="preserve">miembros </w:t>
      </w:r>
      <w:r w:rsidRPr="009257C7">
        <w:t>de la UIT, en particular a los países en desarrollo, en materia de radiocomunicaciones. A tal fin, la BR organiza y participa en talleres, seminarios, reuniones y actividades de capacitación sobre el espectro radioeléctrico. Estas acciones se realizan en estrecha cooperación con la BDT y las Oficinas Regionales y Zonales de la UIT, así como con las organizaciones internacionales y autoridades nacionales pertinentes.</w:t>
      </w:r>
    </w:p>
    <w:p w:rsidR="00D30757" w:rsidRPr="009257C7" w:rsidRDefault="00627BA0" w:rsidP="00262DF4">
      <w:bookmarkStart w:id="93" w:name="_Toc424047622"/>
      <w:bookmarkStart w:id="94" w:name="_Toc424047625"/>
      <w:r w:rsidRPr="009257C7">
        <w:t>La Oficina también participó en el programa de asistencia de la BDT relativo a la elaboración de reglamentos sobre las comunicaciones marítimas inalámbricas para el Ministerio de Comunicaciones y Tecnología de la Información (MCIT) de Indonesia</w:t>
      </w:r>
      <w:r w:rsidR="0045331E" w:rsidRPr="009257C7">
        <w:t>.</w:t>
      </w:r>
    </w:p>
    <w:p w:rsidR="00E7660B" w:rsidRPr="009257C7" w:rsidRDefault="00D30757" w:rsidP="00E7660B">
      <w:pPr>
        <w:pStyle w:val="Heading4"/>
      </w:pPr>
      <w:r w:rsidRPr="009257C7">
        <w:rPr>
          <w:bCs/>
        </w:rPr>
        <w:t>9</w:t>
      </w:r>
      <w:r w:rsidRPr="009257C7">
        <w:rPr>
          <w:bCs/>
        </w:rPr>
        <w:t>.</w:t>
      </w:r>
      <w:r w:rsidR="00E7660B" w:rsidRPr="009257C7">
        <w:t>4.1.1</w:t>
      </w:r>
      <w:r w:rsidR="00E7660B" w:rsidRPr="009257C7">
        <w:tab/>
        <w:t>GSR</w:t>
      </w:r>
      <w:bookmarkEnd w:id="93"/>
    </w:p>
    <w:p w:rsidR="00E7660B" w:rsidRPr="009257C7" w:rsidRDefault="00E7660B" w:rsidP="00E7660B">
      <w:bookmarkStart w:id="95" w:name="_Toc424047623"/>
      <w:r w:rsidRPr="009257C7">
        <w:t xml:space="preserve">Reconociendo la importancia que para los Estados Miembros tiene disponer de información de expertos, la Oficina de Radiocomunicaciones continua apoyando a la BDT mediante conocimientos técnicos en materia de gestión del espectro, la radiodifusión digital y el dividendo digital. La Oficina ha contribuido a los Simposios Mundiales para Organismos Reguladores de 2014, 2015 y </w:t>
      </w:r>
      <w:r w:rsidRPr="009257C7">
        <w:lastRenderedPageBreak/>
        <w:t>2017, con la organización y participación en sesiones sobre gestión del espectro, en particular en las relacionadas con 5G y las nuevas tendencias de gestión del espectro.</w:t>
      </w:r>
    </w:p>
    <w:p w:rsidR="00D30757" w:rsidRPr="009257C7" w:rsidRDefault="001F2159">
      <w:r w:rsidRPr="009257C7">
        <w:t>En e</w:t>
      </w:r>
      <w:r w:rsidR="00627BA0" w:rsidRPr="009257C7">
        <w:t>l orden del día de</w:t>
      </w:r>
      <w:r w:rsidRPr="009257C7">
        <w:t xml:space="preserve"> la reunión de</w:t>
      </w:r>
      <w:r w:rsidR="00627BA0" w:rsidRPr="009257C7">
        <w:t xml:space="preserve">l GSR </w:t>
      </w:r>
      <w:r w:rsidRPr="009257C7">
        <w:t xml:space="preserve">de 2018 </w:t>
      </w:r>
      <w:r w:rsidR="00627BA0" w:rsidRPr="009257C7">
        <w:t xml:space="preserve">no </w:t>
      </w:r>
      <w:r w:rsidRPr="009257C7">
        <w:t>se previó</w:t>
      </w:r>
      <w:r w:rsidR="00627BA0" w:rsidRPr="009257C7">
        <w:t xml:space="preserve"> una sesión </w:t>
      </w:r>
      <w:r w:rsidRPr="009257C7">
        <w:t xml:space="preserve">para cuestiones </w:t>
      </w:r>
      <w:r w:rsidR="00627BA0" w:rsidRPr="009257C7">
        <w:t>relacionad</w:t>
      </w:r>
      <w:r w:rsidRPr="009257C7">
        <w:t>a</w:t>
      </w:r>
      <w:r w:rsidR="00627BA0" w:rsidRPr="009257C7">
        <w:t xml:space="preserve">s con el espectro. La BR </w:t>
      </w:r>
      <w:r w:rsidR="00EA0252" w:rsidRPr="009257C7">
        <w:t xml:space="preserve">se </w:t>
      </w:r>
      <w:r w:rsidR="00627BA0" w:rsidRPr="009257C7">
        <w:t xml:space="preserve">está coordinando actualmente con la BDT </w:t>
      </w:r>
      <w:r w:rsidR="00EA0252" w:rsidRPr="009257C7">
        <w:t>para incluir</w:t>
      </w:r>
      <w:r w:rsidR="00627BA0" w:rsidRPr="009257C7">
        <w:t xml:space="preserve"> este tema en el orden del día del GSR-19</w:t>
      </w:r>
      <w:r w:rsidR="00627BA0" w:rsidRPr="009257C7">
        <w:rPr>
          <w:b/>
          <w:bCs/>
        </w:rPr>
        <w:t>.</w:t>
      </w:r>
    </w:p>
    <w:p w:rsidR="00E7660B" w:rsidRPr="009257C7" w:rsidRDefault="00D30757" w:rsidP="00E7660B">
      <w:pPr>
        <w:pStyle w:val="Heading4"/>
      </w:pPr>
      <w:r w:rsidRPr="009257C7">
        <w:t>9</w:t>
      </w:r>
      <w:r w:rsidR="00E7660B" w:rsidRPr="009257C7">
        <w:t>.4.1.2</w:t>
      </w:r>
      <w:r w:rsidR="00E7660B" w:rsidRPr="009257C7">
        <w:tab/>
      </w:r>
      <w:bookmarkEnd w:id="95"/>
      <w:r w:rsidR="00E7660B" w:rsidRPr="009257C7">
        <w:t>Encuesta sobre las TIC y el Observatorio TIC</w:t>
      </w:r>
    </w:p>
    <w:p w:rsidR="00E7660B" w:rsidRPr="009257C7" w:rsidRDefault="00E7660B" w:rsidP="00397832">
      <w:r w:rsidRPr="009257C7">
        <w:t xml:space="preserve">El Observatorio TIC y sus encuestas constituyen una herramienta fundamental para la recopilación de datos de las administraciones sobre métricas clave de las TIC. La BDT realiza anualmente el seguimiento de dichos datos y muestra los resultados de manera relevante en el portal de estadísticas. A fin de aprovechar la plataforma Observatorio TIC, la BR colabora con la BDT para ampliar las encuestas anuales e incluye un capítulo sobre información clave del espectro (subastas, topes de espectro, tecnologías/normas móviles, concesión de licencias de espectro). El capítulo sobre asuntos </w:t>
      </w:r>
      <w:r w:rsidRPr="009257C7">
        <w:t>del espectro preparado por la BR se publicó por primera vez en la Encuesta sobre las TIC de 2013. La BR siguió trabajando estrechamente con la BDT en la recopilación, tramitación y divulgación de este capítulo. Se está revisando</w:t>
      </w:r>
      <w:r w:rsidR="007D41EF" w:rsidRPr="009257C7">
        <w:t xml:space="preserve"> el capítulo con el fin de ajustarlo al método que utilizan los reguladores para clasificar</w:t>
      </w:r>
      <w:r w:rsidR="00397832" w:rsidRPr="009257C7">
        <w:t xml:space="preserve"> </w:t>
      </w:r>
      <w:r w:rsidRPr="009257C7">
        <w:t>las tecnologías móviles de banda ancha, y para incluir una nueva sección sobre atribución y asignación nacional de frecuencias a las IMT</w:t>
      </w:r>
      <w:r w:rsidR="00D30757" w:rsidRPr="009257C7">
        <w:t xml:space="preserve">, </w:t>
      </w:r>
      <w:r w:rsidR="007D41EF" w:rsidRPr="009257C7">
        <w:t xml:space="preserve">considerando la posibilidad de utilizar indicadores fundamentales de rendimiento </w:t>
      </w:r>
      <w:r w:rsidR="00674727" w:rsidRPr="009257C7">
        <w:t>para</w:t>
      </w:r>
      <w:r w:rsidR="007D41EF" w:rsidRPr="009257C7">
        <w:t xml:space="preserve"> las atribuciones y asignaciones nacionales de espectro a las IMT (véase </w:t>
      </w:r>
      <w:r w:rsidR="00397832" w:rsidRPr="009257C7">
        <w:t xml:space="preserve">el </w:t>
      </w:r>
      <w:r w:rsidR="00397832" w:rsidRPr="009257C7">
        <w:t>§ </w:t>
      </w:r>
      <w:r w:rsidR="00397832" w:rsidRPr="009257C7">
        <w:t>9</w:t>
      </w:r>
      <w:r w:rsidR="007D41EF" w:rsidRPr="009257C7">
        <w:t>.4.1.3)</w:t>
      </w:r>
      <w:r w:rsidR="00397832" w:rsidRPr="009257C7">
        <w:t>.</w:t>
      </w:r>
    </w:p>
    <w:p w:rsidR="00E7660B" w:rsidRPr="009257C7" w:rsidRDefault="00D30757" w:rsidP="002A2C31">
      <w:pPr>
        <w:pStyle w:val="Heading4"/>
      </w:pPr>
      <w:r w:rsidRPr="009257C7">
        <w:t>9</w:t>
      </w:r>
      <w:r w:rsidR="00E7660B" w:rsidRPr="009257C7">
        <w:t>.4.1.3</w:t>
      </w:r>
      <w:r w:rsidR="002A2C31" w:rsidRPr="009257C7">
        <w:tab/>
      </w:r>
      <w:r w:rsidR="00E7660B" w:rsidRPr="009257C7">
        <w:t>Simposio Mundial sobre Indicadores de Telecomunicaciones/TIC (SMIT)</w:t>
      </w:r>
    </w:p>
    <w:p w:rsidR="00E7660B" w:rsidRPr="009257C7" w:rsidRDefault="00E7660B" w:rsidP="002A2C31">
      <w:r w:rsidRPr="009257C7">
        <w:t xml:space="preserve">La BR colabora con la BDT en lo que respecta a los indicadores y las definiciones para la recopilación de datos sobre tecnologías móviles de banda ancha, en particular </w:t>
      </w:r>
      <w:r w:rsidR="008D2C4B" w:rsidRPr="009257C7">
        <w:t>cuando se refiere a las normas.</w:t>
      </w:r>
    </w:p>
    <w:p w:rsidR="00D30757" w:rsidRPr="009257C7" w:rsidRDefault="007D41EF" w:rsidP="002A2C31">
      <w:bookmarkStart w:id="96" w:name="_Toc424047624"/>
      <w:r w:rsidRPr="009257C7">
        <w:t>E</w:t>
      </w:r>
      <w:r w:rsidR="00D30757" w:rsidRPr="009257C7">
        <w:t xml:space="preserve">n 2018, </w:t>
      </w:r>
      <w:r w:rsidRPr="009257C7">
        <w:t xml:space="preserve">la BR participó en las reuniones del </w:t>
      </w:r>
      <w:r w:rsidR="00D30757" w:rsidRPr="009257C7">
        <w:t>Grupo de Expertos en Indicadores de Telecomunicaciones/TIC (GETI)</w:t>
      </w:r>
      <w:r w:rsidR="0045331E" w:rsidRPr="009257C7">
        <w:t xml:space="preserve"> </w:t>
      </w:r>
      <w:r w:rsidR="00674727" w:rsidRPr="009257C7">
        <w:t xml:space="preserve">y contribuyó a impulsar los debates del Grupo </w:t>
      </w:r>
      <w:r w:rsidR="008D2C4B" w:rsidRPr="009257C7">
        <w:t xml:space="preserve">ad hoc </w:t>
      </w:r>
      <w:r w:rsidR="00674727" w:rsidRPr="009257C7">
        <w:t>sobre la elaboración de un nuevo indicador para la atribuci</w:t>
      </w:r>
      <w:r w:rsidR="00966833" w:rsidRPr="009257C7">
        <w:t>ón</w:t>
      </w:r>
      <w:r w:rsidR="00674727" w:rsidRPr="009257C7">
        <w:t xml:space="preserve"> y asignaci</w:t>
      </w:r>
      <w:r w:rsidR="00966833" w:rsidRPr="009257C7">
        <w:t>ón</w:t>
      </w:r>
      <w:r w:rsidR="00674727" w:rsidRPr="009257C7">
        <w:t xml:space="preserve"> nacional de espectro a las IMT</w:t>
      </w:r>
      <w:r w:rsidR="008D2C4B" w:rsidRPr="009257C7">
        <w:t>.</w:t>
      </w:r>
    </w:p>
    <w:p w:rsidR="00D30757" w:rsidRPr="009257C7" w:rsidRDefault="00674727" w:rsidP="002A2C31">
      <w:r w:rsidRPr="009257C7">
        <w:t xml:space="preserve">La BR </w:t>
      </w:r>
      <w:r w:rsidR="00966833" w:rsidRPr="009257C7">
        <w:t>intervino en el SMIT</w:t>
      </w:r>
      <w:r w:rsidRPr="009257C7">
        <w:t xml:space="preserve">-15, </w:t>
      </w:r>
      <w:r w:rsidR="00966833" w:rsidRPr="009257C7">
        <w:t>el SMIT</w:t>
      </w:r>
      <w:r w:rsidRPr="009257C7">
        <w:t xml:space="preserve">-16 y </w:t>
      </w:r>
      <w:r w:rsidR="00966833" w:rsidRPr="009257C7">
        <w:t>el SMIT</w:t>
      </w:r>
      <w:r w:rsidRPr="009257C7">
        <w:t xml:space="preserve">-17. Durante </w:t>
      </w:r>
      <w:r w:rsidR="00966833" w:rsidRPr="009257C7">
        <w:t>el SMIT</w:t>
      </w:r>
      <w:r w:rsidRPr="009257C7">
        <w:t>-18, la BR participó en los debates relativos a la</w:t>
      </w:r>
      <w:r w:rsidR="00966833" w:rsidRPr="009257C7">
        <w:t xml:space="preserve"> atribución y asignación </w:t>
      </w:r>
      <w:r w:rsidRPr="009257C7">
        <w:t xml:space="preserve">nacional de espectro </w:t>
      </w:r>
      <w:r w:rsidR="001F3A2B" w:rsidRPr="009257C7">
        <w:t>a</w:t>
      </w:r>
      <w:r w:rsidRPr="009257C7">
        <w:t xml:space="preserve"> las IMT, </w:t>
      </w:r>
      <w:r w:rsidR="00966833" w:rsidRPr="009257C7">
        <w:t xml:space="preserve">en los </w:t>
      </w:r>
      <w:r w:rsidRPr="009257C7">
        <w:t xml:space="preserve">que </w:t>
      </w:r>
      <w:r w:rsidR="00966833" w:rsidRPr="009257C7">
        <w:t>se aprobaron</w:t>
      </w:r>
      <w:r w:rsidRPr="009257C7">
        <w:t xml:space="preserve"> las recomendaciones del GETI.</w:t>
      </w:r>
    </w:p>
    <w:p w:rsidR="00E7660B" w:rsidRPr="009257C7" w:rsidRDefault="00D30757" w:rsidP="00E7660B">
      <w:pPr>
        <w:pStyle w:val="Heading4"/>
        <w:jc w:val="both"/>
      </w:pPr>
      <w:r w:rsidRPr="009257C7">
        <w:t>9</w:t>
      </w:r>
      <w:r w:rsidR="00E7660B" w:rsidRPr="009257C7">
        <w:t>.4.1.4</w:t>
      </w:r>
      <w:r w:rsidR="00E7660B" w:rsidRPr="009257C7">
        <w:tab/>
        <w:t>Programa de formación en gestión del espectro (SMTP)</w:t>
      </w:r>
      <w:bookmarkEnd w:id="96"/>
    </w:p>
    <w:p w:rsidR="00E7660B" w:rsidRPr="009257C7" w:rsidRDefault="00966833">
      <w:r w:rsidRPr="009257C7">
        <w:t xml:space="preserve">La BR ha mantenido una estrecha colaboración </w:t>
      </w:r>
      <w:r w:rsidR="00E7660B" w:rsidRPr="009257C7">
        <w:t xml:space="preserve">con la BDT </w:t>
      </w:r>
      <w:r w:rsidR="00E7660B" w:rsidRPr="009257C7">
        <w:t>en asuntos de interés común al UIT-R y el UIT</w:t>
      </w:r>
      <w:r w:rsidR="00E7660B" w:rsidRPr="009257C7">
        <w:noBreakHyphen/>
        <w:t>D. La BR ha participado en las reuniones de las Comisiones de Estudio del UIT-D, Grupos de Relator y GADT pertinentes, en las que las actividades de coordinación han incluido asuntos como la gestión del espectro, la radiodifusión digital y la transición desde sistemas analógicos, la transición hacia las IMT y su implantación, y las tecnologías de acceso inalámbrico de banda ancha. Estos asuntos se suman a la colaboración llevada a cabo en el marco de la Cuestión 9-3/2 del UIT</w:t>
      </w:r>
      <w:r w:rsidR="00E7660B" w:rsidRPr="009257C7">
        <w:noBreakHyphen/>
        <w:t>D, que solicita la identificación de temas de estudio en el UIT-R (y el UIT-T) de particular interés para los países en desarrollo.</w:t>
      </w:r>
    </w:p>
    <w:p w:rsidR="00E7660B" w:rsidRPr="009257C7" w:rsidRDefault="00E7660B" w:rsidP="006E48A0">
      <w:r w:rsidRPr="009257C7">
        <w:t xml:space="preserve">En respuesta a solicitudes de la BDT, expertos del UIT-R y la BR han participado en seminarios y talleres de la UIT organizados por el UIT-D (véase también </w:t>
      </w:r>
      <w:r w:rsidR="006E48A0" w:rsidRPr="009257C7">
        <w:t>el § </w:t>
      </w:r>
      <w:r w:rsidR="002A7A01" w:rsidRPr="009257C7">
        <w:t>9</w:t>
      </w:r>
      <w:r w:rsidRPr="009257C7">
        <w:t>.2.4). En el marco de la Resolución UIT</w:t>
      </w:r>
      <w:r w:rsidRPr="009257C7">
        <w:noBreakHyphen/>
        <w:t xml:space="preserve">R 11-4 (Perfeccionamiento del Sistema de gestión del espectro para los países en desarrollo), la Oficina ha participado en el diseño, las pruebas y la capacitación asociada al paquete informático SMS4DC (Sistema de gestión del espectro para países en desarrollo), y ha asesorado sobre la aplicación de las Recomendaciones UIT-R pertinentes. Además, la Comisión de Estudio 1 </w:t>
      </w:r>
      <w:r w:rsidRPr="009257C7">
        <w:lastRenderedPageBreak/>
        <w:t>del UIT-R ha continuado su estrecha colaboración con las Comisiones de Estudio del UIT-D en relación con los trabajos sobre la utilización del espectro con arreglo a la Resolución UIT</w:t>
      </w:r>
      <w:r w:rsidRPr="009257C7">
        <w:noBreakHyphen/>
        <w:t>D 9.</w:t>
      </w:r>
    </w:p>
    <w:p w:rsidR="00E7660B" w:rsidRPr="009257C7" w:rsidRDefault="001F3A2B" w:rsidP="00966833">
      <w:r w:rsidRPr="009257C7">
        <w:t xml:space="preserve">Teniendo en cuenta algunas de </w:t>
      </w:r>
      <w:r w:rsidR="00E7660B" w:rsidRPr="009257C7">
        <w:t xml:space="preserve">las necesidades de los países en desarrollo, la elaboración de Manuales sigue </w:t>
      </w:r>
      <w:r w:rsidRPr="009257C7">
        <w:t xml:space="preserve">considerándose </w:t>
      </w:r>
      <w:r w:rsidR="00E7660B" w:rsidRPr="009257C7">
        <w:t>una de las actividades principales de las Comisiones de Estudio. A ese respecto se han elaborado nuevos Manuales o se han revisado Manuales existentes sobre asuntos como la comprobación técnica del espectro, la propagación por microondas para el diseño de sistemas terrenales punto a punto, los servicios de aficionados y de aficionados por satélite, la transición a sistemas IMT-2000 y la utilización del espectro radioeléctrico en meteorología: observación y predicción del clima, de los fenómenos meteorológicos y de los recursos hídricos.</w:t>
      </w:r>
    </w:p>
    <w:p w:rsidR="00E7660B" w:rsidRPr="009257C7" w:rsidRDefault="00E7660B" w:rsidP="00966833">
      <w:r w:rsidRPr="009257C7">
        <w:t xml:space="preserve">La BR participa activamente desde 2013 en un proyecto conjunto con la BDT de desarrollo del </w:t>
      </w:r>
      <w:r w:rsidRPr="009257C7">
        <w:rPr>
          <w:i/>
          <w:iCs/>
        </w:rPr>
        <w:t>Programa de capacitación en gestión del espectro (SMTP</w:t>
      </w:r>
      <w:r w:rsidRPr="009257C7">
        <w:t xml:space="preserve">) en sus distintas fases: diseño, preparación material, arbitraje y prueba piloto (realizada en 2015). En 2016 se integraron las mejoras basadas en los comentarios recibidos. En 2017 se llevó a cabo una revisión </w:t>
      </w:r>
      <w:r w:rsidR="001F3A2B" w:rsidRPr="009257C7">
        <w:t xml:space="preserve">exhaustiva </w:t>
      </w:r>
      <w:r w:rsidR="00083B12" w:rsidRPr="009257C7">
        <w:t>que brindó a</w:t>
      </w:r>
      <w:r w:rsidR="00966833" w:rsidRPr="009257C7">
        <w:t xml:space="preserve"> </w:t>
      </w:r>
      <w:r w:rsidRPr="009257C7">
        <w:t xml:space="preserve">la UIT </w:t>
      </w:r>
      <w:r w:rsidR="001F3A2B" w:rsidRPr="009257C7">
        <w:t xml:space="preserve">la oportunidad de entablar una relación de trabajo </w:t>
      </w:r>
      <w:r w:rsidRPr="009257C7">
        <w:t>con algunos reguladores de América Latina interesados en una edición del SMTP adaptada específicamente a su per</w:t>
      </w:r>
      <w:r w:rsidR="00083B12" w:rsidRPr="009257C7">
        <w:t>sonal.</w:t>
      </w:r>
    </w:p>
    <w:p w:rsidR="002A7A01" w:rsidRPr="009257C7" w:rsidRDefault="001F3A2B" w:rsidP="005B25AF">
      <w:bookmarkStart w:id="97" w:name="_Toc446060794"/>
      <w:bookmarkEnd w:id="94"/>
      <w:r w:rsidRPr="009257C7">
        <w:t xml:space="preserve">En 2018, la BR y la BDT adoptaron medidas </w:t>
      </w:r>
      <w:r w:rsidR="00D27F50" w:rsidRPr="009257C7">
        <w:t xml:space="preserve">para poner en marcha ediciones especiales del </w:t>
      </w:r>
      <w:r w:rsidR="00D27F50" w:rsidRPr="009257C7">
        <w:rPr>
          <w:color w:val="000000"/>
        </w:rPr>
        <w:t>programa de formación en gestión del espectro (SMTP)</w:t>
      </w:r>
      <w:r w:rsidR="00D27F50" w:rsidRPr="009257C7">
        <w:t>. Esas medidas siguen en curso. En 2019, la BR tiene previsto examinar y revisar el material que contiene el actual SMTP</w:t>
      </w:r>
      <w:r w:rsidR="002A7A01" w:rsidRPr="009257C7">
        <w:t>.</w:t>
      </w:r>
    </w:p>
    <w:p w:rsidR="00E7660B" w:rsidRPr="009257C7" w:rsidRDefault="002A7A01" w:rsidP="00E7660B">
      <w:pPr>
        <w:pStyle w:val="Heading3"/>
      </w:pPr>
      <w:r w:rsidRPr="009257C7">
        <w:t>9</w:t>
      </w:r>
      <w:r w:rsidR="00E7660B" w:rsidRPr="009257C7">
        <w:t>.4.2</w:t>
      </w:r>
      <w:r w:rsidR="00E7660B" w:rsidRPr="009257C7">
        <w:tab/>
        <w:t>Cooperación con el UIT-T</w:t>
      </w:r>
      <w:bookmarkEnd w:id="97"/>
    </w:p>
    <w:p w:rsidR="00E7660B" w:rsidRPr="009257C7" w:rsidRDefault="00E7660B" w:rsidP="00E7660B">
      <w:r w:rsidRPr="009257C7">
        <w:t>Además del cambio climático y las comunicaciones de emergencia, los temas de interés común del UIT-R y del UIT-T incluyen las IMT-2020, los efectos de la exposición de las personas a las frecuencias radioeléctricas, los sistemas de transmisión por líneas eléctricas, los sistemas de transporte inteligente, los derechos de propiedad intelectual y la política común de patentes y la accesibilidad a los medios audiovisuales.</w:t>
      </w:r>
    </w:p>
    <w:p w:rsidR="00E7660B" w:rsidRPr="009257C7" w:rsidRDefault="00D27F50" w:rsidP="00966833">
      <w:r w:rsidRPr="009257C7">
        <w:t>Por consiguiente, s</w:t>
      </w:r>
      <w:r w:rsidR="00E7660B" w:rsidRPr="009257C7">
        <w:t xml:space="preserve">igue siendo necesaria una estrecha coordinación sobre diversos temas que estudia el UIT-T relacionados con las radiocomunicaciones a fin de reducir la posibilidad de solapamiento, duplicación y </w:t>
      </w:r>
      <w:r w:rsidRPr="009257C7">
        <w:t>redundancias</w:t>
      </w:r>
      <w:r w:rsidR="00365475" w:rsidRPr="009257C7">
        <w:t>.</w:t>
      </w:r>
    </w:p>
    <w:p w:rsidR="00E7660B" w:rsidRPr="009257C7" w:rsidRDefault="002A7A01">
      <w:pPr>
        <w:pStyle w:val="Heading3"/>
      </w:pPr>
      <w:bookmarkStart w:id="98" w:name="_Toc446060796"/>
      <w:r w:rsidRPr="009257C7">
        <w:t>9.5</w:t>
      </w:r>
      <w:r w:rsidR="00E7660B" w:rsidRPr="009257C7">
        <w:tab/>
        <w:t>Cooperación con organizaciones internacionales y regionales</w:t>
      </w:r>
    </w:p>
    <w:p w:rsidR="00E7660B" w:rsidRPr="009257C7" w:rsidRDefault="00E7660B" w:rsidP="006B7E83">
      <w:r w:rsidRPr="009257C7">
        <w:t xml:space="preserve">La Oficina siguió manteniendo una estrecha cooperación con numerosas organizaciones internacionales y regionales, con los objetivos siguientes: 1) promover el diálogo entre organismos que tienen intereses comunes; 2) </w:t>
      </w:r>
      <w:r w:rsidR="00D27F50" w:rsidRPr="009257C7">
        <w:t xml:space="preserve">mejorar </w:t>
      </w:r>
      <w:r w:rsidRPr="009257C7">
        <w:t xml:space="preserve">la coordinación </w:t>
      </w:r>
      <w:r w:rsidR="00D27F50" w:rsidRPr="009257C7">
        <w:t xml:space="preserve">de tal forma </w:t>
      </w:r>
      <w:r w:rsidRPr="009257C7">
        <w:t>que conduzca a una preparación más eficaz de eventos tales como las CMR; y 3) mantener al UIT</w:t>
      </w:r>
      <w:r w:rsidRPr="009257C7">
        <w:noBreakHyphen/>
        <w:t xml:space="preserve">R al tanto de las actividades pertinentes realizadas en otras organizaciones, a fin de planificar </w:t>
      </w:r>
      <w:r w:rsidR="00D27F50" w:rsidRPr="009257C7">
        <w:t xml:space="preserve">de manera más estratégica </w:t>
      </w:r>
      <w:r w:rsidRPr="009257C7">
        <w:t>los programas de trabajo.</w:t>
      </w:r>
    </w:p>
    <w:p w:rsidR="00E7660B" w:rsidRPr="009257C7" w:rsidRDefault="00E7660B" w:rsidP="0047374C">
      <w:pPr>
        <w:rPr>
          <w:szCs w:val="24"/>
        </w:rPr>
      </w:pPr>
      <w:r w:rsidRPr="009257C7">
        <w:t>La Oficina continua su estrecha colaboración con las organizaciones internacionales y regionales que tratan de la utilización de espectro (la APT, el ASMG, la ATU, la CEPT, la CITEL y la CRC), organizaciones de radiodifusión (ABU, ASBU</w:t>
      </w:r>
      <w:r w:rsidR="002A7A01" w:rsidRPr="009257C7">
        <w:t>, EBU</w:t>
      </w:r>
      <w:r w:rsidRPr="009257C7">
        <w:t xml:space="preserve"> y HFCC) o de forma más en general, de la utilización de los servicios de radiocomunicaciones (por ejemplo, la Organización Internacional de Telecomunicaciones por Satélite (ITSO), la Asociación Europea de Operadores de Satélites (ESOA), el Foro Mundial de VSAT (GVF), la Asociación GSMA y la </w:t>
      </w:r>
      <w:r w:rsidR="0047374C" w:rsidRPr="009257C7">
        <w:t>Unión Europea de Radiodifusión</w:t>
      </w:r>
      <w:r w:rsidRPr="009257C7">
        <w:t xml:space="preserve">) mediante la organización, promoción y participación en eventos de creación de capacidad sobre la aplicación del Reglamento de Radiocomunicaciones, incluyendo los SMR y los SRR, tal como se indica en </w:t>
      </w:r>
      <w:r w:rsidR="0047374C" w:rsidRPr="009257C7">
        <w:t>el § </w:t>
      </w:r>
      <w:r w:rsidR="002A7A01" w:rsidRPr="009257C7">
        <w:rPr>
          <w:szCs w:val="24"/>
        </w:rPr>
        <w:t>9</w:t>
      </w:r>
      <w:r w:rsidRPr="009257C7">
        <w:rPr>
          <w:szCs w:val="24"/>
        </w:rPr>
        <w:t>.2.</w:t>
      </w:r>
    </w:p>
    <w:p w:rsidR="00204580" w:rsidRPr="009257C7" w:rsidRDefault="00204580" w:rsidP="006B7E83">
      <w:r w:rsidRPr="009257C7">
        <w:br w:type="page"/>
      </w:r>
    </w:p>
    <w:p w:rsidR="00E7660B" w:rsidRPr="009257C7" w:rsidRDefault="00E7660B" w:rsidP="00204580">
      <w:r w:rsidRPr="009257C7">
        <w:lastRenderedPageBreak/>
        <w:t xml:space="preserve">La Oficina sigue participando en las actividades de la </w:t>
      </w:r>
      <w:r w:rsidRPr="009257C7">
        <w:rPr>
          <w:szCs w:val="24"/>
        </w:rPr>
        <w:t xml:space="preserve">Global Standards Collaboration </w:t>
      </w:r>
      <w:r w:rsidRPr="009257C7">
        <w:t xml:space="preserve">(GSC). Se ha mantenido la participación en los de la Asociación </w:t>
      </w:r>
      <w:r w:rsidR="002A7A01" w:rsidRPr="009257C7">
        <w:t>3GPP</w:t>
      </w:r>
      <w:r w:rsidRPr="009257C7">
        <w:t xml:space="preserve"> y la colaboración con el</w:t>
      </w:r>
      <w:r w:rsidR="00312ADD" w:rsidRPr="009257C7">
        <w:t> </w:t>
      </w:r>
      <w:r w:rsidRPr="009257C7">
        <w:t>IEEE, dada su importancia y pertinencia para los trabajos de la Comisión de Estudio 5. Otras áreas importantes de coordinación de las actividades de las Comisiones de Estudio incluyen en particular las existentes con la Organización Meteorológica Mundial, el Comité Internacional Especial de Perturbaciones Radioeléctricas</w:t>
      </w:r>
      <w:r w:rsidR="00204580" w:rsidRPr="009257C7">
        <w:t>,</w:t>
      </w:r>
      <w:r w:rsidRPr="009257C7">
        <w:t xml:space="preserve"> la Organización Mundial de la Salud</w:t>
      </w:r>
      <w:r w:rsidR="0030663E" w:rsidRPr="009257C7">
        <w:t xml:space="preserve">, </w:t>
      </w:r>
      <w:r w:rsidR="00EC2EA8" w:rsidRPr="009257C7">
        <w:t>la ISO, la CEI (incluido el CISPR)</w:t>
      </w:r>
      <w:r w:rsidRPr="009257C7">
        <w:t xml:space="preserve">, </w:t>
      </w:r>
      <w:r w:rsidRPr="009257C7">
        <w:t xml:space="preserve">el Grupo de Coordinación de Frecuencias Espaciales </w:t>
      </w:r>
      <w:r w:rsidR="00EC2EA8" w:rsidRPr="009257C7">
        <w:t>y varias otras organizaciones en función de las necesidades</w:t>
      </w:r>
      <w:r w:rsidR="00204580" w:rsidRPr="009257C7">
        <w:t>.</w:t>
      </w:r>
    </w:p>
    <w:p w:rsidR="00E7660B" w:rsidRPr="009257C7" w:rsidRDefault="00E7660B" w:rsidP="00E7660B">
      <w:r w:rsidRPr="009257C7">
        <w:t>La Oficina ha velado por la coordinación y cooperación con la Comisión de las Naciones Unidas sobre la Utilización del Espacio Ultraterrestre con Fines Pacíficos (UN COPUOS), la Organización Marítima Internacional (OMI), las Organización Internacional de Telecomunicaciones Móviles Satélite (IMSO), la Organización Internacional de Telecomunicaciones por Satélite (ITSO), COSPAS SARSAT, el Comité Internacional de la Cruz Roja (CICR) y la Organización de Aviación Civil Internacional (OACI) con respecto a la aplicación de los textos de la UIT con carácter de tratado. Expertos de la Oficina también participaron en diversas reuniones de esas organizaciones.</w:t>
      </w:r>
    </w:p>
    <w:p w:rsidR="00E7660B" w:rsidRPr="009257C7" w:rsidRDefault="0030663E" w:rsidP="00E7660B">
      <w:pPr>
        <w:pStyle w:val="Heading2"/>
      </w:pPr>
      <w:r w:rsidRPr="009257C7">
        <w:t>9.6</w:t>
      </w:r>
      <w:r w:rsidR="00E7660B" w:rsidRPr="009257C7">
        <w:tab/>
      </w:r>
      <w:bookmarkEnd w:id="98"/>
      <w:r w:rsidR="00E7660B" w:rsidRPr="009257C7">
        <w:t>Evolución de los Miembros de Sector, Asociados e Instituciones Académicas del UIT</w:t>
      </w:r>
      <w:r w:rsidR="00E7660B" w:rsidRPr="009257C7">
        <w:noBreakHyphen/>
        <w:t>R</w:t>
      </w:r>
    </w:p>
    <w:p w:rsidR="00E7660B" w:rsidRPr="009257C7" w:rsidRDefault="00E7660B">
      <w:r w:rsidRPr="009257C7">
        <w:t xml:space="preserve">En el Cuadro </w:t>
      </w:r>
      <w:r w:rsidR="0030663E" w:rsidRPr="009257C7">
        <w:t>9.6</w:t>
      </w:r>
      <w:r w:rsidRPr="009257C7">
        <w:t>-1 se muestra la estabilidad del número de Miembros del Sector, Asociados e Instituciones Académicas del UIT-R desde 2015.</w:t>
      </w:r>
    </w:p>
    <w:p w:rsidR="00472BAD" w:rsidRPr="009257C7" w:rsidRDefault="00472BAD" w:rsidP="00472BAD">
      <w:pPr>
        <w:pStyle w:val="TableNoBR"/>
      </w:pPr>
      <w:r w:rsidRPr="009257C7">
        <w:t xml:space="preserve">CUADRO </w:t>
      </w:r>
      <w:r w:rsidRPr="009257C7">
        <w:t>9.6-1</w:t>
      </w:r>
    </w:p>
    <w:p w:rsidR="00472BAD" w:rsidRPr="009257C7" w:rsidRDefault="00472BAD" w:rsidP="00472BAD">
      <w:pPr>
        <w:pStyle w:val="TabletitleBR"/>
        <w:spacing w:after="240"/>
      </w:pPr>
      <w:r w:rsidRPr="009257C7">
        <w:t xml:space="preserve">Evolución de los Miembros del UIT-R desde </w:t>
      </w:r>
      <w:r w:rsidRPr="009257C7">
        <w:t>2015</w:t>
      </w:r>
    </w:p>
    <w:tbl>
      <w:tblPr>
        <w:tblW w:w="9639" w:type="dxa"/>
        <w:jc w:val="center"/>
        <w:tblCellMar>
          <w:left w:w="0" w:type="dxa"/>
          <w:right w:w="0" w:type="dxa"/>
        </w:tblCellMar>
        <w:tblLook w:val="04A0" w:firstRow="1" w:lastRow="0" w:firstColumn="1" w:lastColumn="0" w:noHBand="0" w:noVBand="1"/>
      </w:tblPr>
      <w:tblGrid>
        <w:gridCol w:w="2126"/>
        <w:gridCol w:w="940"/>
        <w:gridCol w:w="820"/>
        <w:gridCol w:w="940"/>
        <w:gridCol w:w="930"/>
        <w:gridCol w:w="904"/>
        <w:gridCol w:w="1418"/>
        <w:gridCol w:w="1561"/>
      </w:tblGrid>
      <w:tr w:rsidR="00472BAD" w:rsidRPr="009257C7" w:rsidTr="0062689F">
        <w:trPr>
          <w:trHeight w:val="315"/>
          <w:jc w:val="center"/>
        </w:trPr>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72BAD" w:rsidRPr="009257C7" w:rsidRDefault="00472BAD" w:rsidP="0062689F">
            <w:pPr>
              <w:pStyle w:val="Tablehead"/>
              <w:rPr>
                <w:lang w:eastAsia="zh-CN"/>
              </w:rPr>
            </w:pPr>
            <w:r w:rsidRPr="009257C7">
              <w:t> </w:t>
            </w:r>
          </w:p>
        </w:tc>
        <w:tc>
          <w:tcPr>
            <w:tcW w:w="9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72BAD" w:rsidRPr="009257C7" w:rsidRDefault="00472BAD" w:rsidP="0062689F">
            <w:pPr>
              <w:pStyle w:val="Tablehead"/>
              <w:rPr>
                <w:bCs/>
              </w:rPr>
            </w:pPr>
            <w:r w:rsidRPr="009257C7">
              <w:rPr>
                <w:bCs/>
              </w:rPr>
              <w:t>2014</w:t>
            </w:r>
          </w:p>
        </w:tc>
        <w:tc>
          <w:tcPr>
            <w:tcW w:w="8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72BAD" w:rsidRPr="009257C7" w:rsidRDefault="00472BAD" w:rsidP="0062689F">
            <w:pPr>
              <w:pStyle w:val="Tablehead"/>
              <w:rPr>
                <w:bCs/>
              </w:rPr>
            </w:pPr>
            <w:r w:rsidRPr="009257C7">
              <w:rPr>
                <w:bCs/>
              </w:rPr>
              <w:t>2015</w:t>
            </w:r>
          </w:p>
        </w:tc>
        <w:tc>
          <w:tcPr>
            <w:tcW w:w="9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72BAD" w:rsidRPr="009257C7" w:rsidRDefault="00472BAD" w:rsidP="0062689F">
            <w:pPr>
              <w:pStyle w:val="Tablehead"/>
              <w:rPr>
                <w:bCs/>
              </w:rPr>
            </w:pPr>
            <w:r w:rsidRPr="009257C7">
              <w:rPr>
                <w:bCs/>
              </w:rPr>
              <w:t>2016</w:t>
            </w:r>
          </w:p>
        </w:tc>
        <w:tc>
          <w:tcPr>
            <w:tcW w:w="9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72BAD" w:rsidRPr="009257C7" w:rsidRDefault="00472BAD" w:rsidP="0062689F">
            <w:pPr>
              <w:pStyle w:val="Tablehead"/>
              <w:rPr>
                <w:bCs/>
              </w:rPr>
            </w:pPr>
            <w:r w:rsidRPr="009257C7">
              <w:rPr>
                <w:bCs/>
              </w:rPr>
              <w:t>2017</w:t>
            </w:r>
          </w:p>
        </w:tc>
        <w:tc>
          <w:tcPr>
            <w:tcW w:w="904" w:type="dxa"/>
            <w:tcBorders>
              <w:top w:val="single" w:sz="8" w:space="0" w:color="auto"/>
              <w:left w:val="nil"/>
              <w:bottom w:val="single" w:sz="8" w:space="0" w:color="auto"/>
              <w:right w:val="single" w:sz="8" w:space="0" w:color="auto"/>
            </w:tcBorders>
            <w:vAlign w:val="center"/>
            <w:hideMark/>
          </w:tcPr>
          <w:p w:rsidR="00472BAD" w:rsidRPr="009257C7" w:rsidRDefault="00472BAD" w:rsidP="0062689F">
            <w:pPr>
              <w:pStyle w:val="Tablehead"/>
              <w:rPr>
                <w:bCs/>
              </w:rPr>
            </w:pPr>
            <w:r w:rsidRPr="009257C7">
              <w:rPr>
                <w:bCs/>
              </w:rPr>
              <w:t>2018</w:t>
            </w:r>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72BAD" w:rsidRPr="009257C7" w:rsidRDefault="00472BAD" w:rsidP="0062689F">
            <w:pPr>
              <w:pStyle w:val="Tablehead"/>
              <w:rPr>
                <w:bCs/>
              </w:rPr>
            </w:pPr>
            <w:r w:rsidRPr="009257C7">
              <w:rPr>
                <w:bCs/>
              </w:rPr>
              <w:t>201</w:t>
            </w:r>
            <w:r w:rsidRPr="009257C7">
              <w:rPr>
                <w:bCs/>
                <w:color w:val="1F497D"/>
              </w:rPr>
              <w:t>8</w:t>
            </w:r>
            <w:r w:rsidRPr="009257C7">
              <w:rPr>
                <w:bCs/>
              </w:rPr>
              <w:t xml:space="preserve"> vs 2014</w:t>
            </w:r>
          </w:p>
        </w:tc>
        <w:tc>
          <w:tcPr>
            <w:tcW w:w="156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72BAD" w:rsidRPr="009257C7" w:rsidRDefault="00472BAD" w:rsidP="0062689F">
            <w:pPr>
              <w:pStyle w:val="Tablehead"/>
              <w:rPr>
                <w:bCs/>
              </w:rPr>
            </w:pPr>
            <w:r w:rsidRPr="009257C7">
              <w:rPr>
                <w:rFonts w:asciiTheme="majorBidi" w:hAnsiTheme="majorBidi" w:cstheme="majorBidi"/>
                <w:bCs/>
                <w:lang w:eastAsia="zh-CN"/>
              </w:rPr>
              <w:t xml:space="preserve">Aumento </w:t>
            </w:r>
            <w:r w:rsidRPr="009257C7">
              <w:rPr>
                <w:rFonts w:asciiTheme="majorBidi" w:hAnsiTheme="majorBidi" w:cstheme="majorBidi"/>
                <w:bCs/>
                <w:lang w:eastAsia="zh-CN"/>
              </w:rPr>
              <w:t>(en %)</w:t>
            </w:r>
          </w:p>
        </w:tc>
      </w:tr>
      <w:tr w:rsidR="00472BAD" w:rsidRPr="009257C7" w:rsidTr="0062689F">
        <w:trPr>
          <w:trHeight w:val="315"/>
          <w:jc w:val="center"/>
        </w:trPr>
        <w:tc>
          <w:tcPr>
            <w:tcW w:w="2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72BAD" w:rsidRPr="009257C7" w:rsidRDefault="00472BAD" w:rsidP="0062689F">
            <w:pPr>
              <w:pStyle w:val="Tabletext"/>
              <w:rPr>
                <w:rFonts w:asciiTheme="majorBidi" w:hAnsiTheme="majorBidi" w:cstheme="majorBidi"/>
                <w:b/>
                <w:bCs/>
                <w:color w:val="000000"/>
                <w:lang w:eastAsia="zh-CN"/>
              </w:rPr>
            </w:pPr>
            <w:r w:rsidRPr="009257C7">
              <w:rPr>
                <w:b/>
                <w:bCs/>
              </w:rPr>
              <w:t>Miembros de Sector</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hideMark/>
          </w:tcPr>
          <w:p w:rsidR="00472BAD" w:rsidRPr="009257C7" w:rsidRDefault="00472BAD" w:rsidP="0062689F">
            <w:pPr>
              <w:pStyle w:val="Tabletext"/>
              <w:jc w:val="center"/>
            </w:pPr>
            <w:r w:rsidRPr="009257C7">
              <w:t>258</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hideMark/>
          </w:tcPr>
          <w:p w:rsidR="00472BAD" w:rsidRPr="009257C7" w:rsidRDefault="00472BAD" w:rsidP="0062689F">
            <w:pPr>
              <w:pStyle w:val="Tabletext"/>
              <w:jc w:val="center"/>
            </w:pPr>
            <w:r w:rsidRPr="009257C7">
              <w:t>269</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hideMark/>
          </w:tcPr>
          <w:p w:rsidR="00472BAD" w:rsidRPr="009257C7" w:rsidRDefault="00472BAD" w:rsidP="0062689F">
            <w:pPr>
              <w:pStyle w:val="Tabletext"/>
              <w:jc w:val="center"/>
            </w:pPr>
            <w:r w:rsidRPr="009257C7">
              <w:t>266</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472BAD" w:rsidRPr="009257C7" w:rsidRDefault="00472BAD" w:rsidP="0062689F">
            <w:pPr>
              <w:pStyle w:val="Tabletext"/>
              <w:jc w:val="center"/>
            </w:pPr>
            <w:r w:rsidRPr="009257C7">
              <w:t>264</w:t>
            </w:r>
          </w:p>
        </w:tc>
        <w:tc>
          <w:tcPr>
            <w:tcW w:w="904" w:type="dxa"/>
            <w:tcBorders>
              <w:top w:val="nil"/>
              <w:left w:val="nil"/>
              <w:bottom w:val="single" w:sz="8" w:space="0" w:color="auto"/>
              <w:right w:val="single" w:sz="8" w:space="0" w:color="auto"/>
            </w:tcBorders>
            <w:hideMark/>
          </w:tcPr>
          <w:p w:rsidR="00472BAD" w:rsidRPr="009257C7" w:rsidRDefault="00472BAD" w:rsidP="0062689F">
            <w:pPr>
              <w:pStyle w:val="Tabletext"/>
              <w:jc w:val="center"/>
            </w:pPr>
            <w:r w:rsidRPr="009257C7">
              <w:t>264</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hideMark/>
          </w:tcPr>
          <w:p w:rsidR="00472BAD" w:rsidRPr="009257C7" w:rsidRDefault="00472BAD" w:rsidP="0062689F">
            <w:pPr>
              <w:pStyle w:val="Tabletext"/>
              <w:jc w:val="center"/>
            </w:pPr>
            <w:r w:rsidRPr="009257C7">
              <w:t>+6</w:t>
            </w:r>
          </w:p>
        </w:tc>
        <w:tc>
          <w:tcPr>
            <w:tcW w:w="1561" w:type="dxa"/>
            <w:tcBorders>
              <w:top w:val="nil"/>
              <w:left w:val="nil"/>
              <w:bottom w:val="single" w:sz="8" w:space="0" w:color="auto"/>
              <w:right w:val="single" w:sz="8" w:space="0" w:color="auto"/>
            </w:tcBorders>
            <w:noWrap/>
            <w:tcMar>
              <w:top w:w="0" w:type="dxa"/>
              <w:left w:w="108" w:type="dxa"/>
              <w:bottom w:w="0" w:type="dxa"/>
              <w:right w:w="108" w:type="dxa"/>
            </w:tcMar>
            <w:hideMark/>
          </w:tcPr>
          <w:p w:rsidR="00472BAD" w:rsidRPr="009257C7" w:rsidRDefault="00472BAD" w:rsidP="0062689F">
            <w:pPr>
              <w:pStyle w:val="Tabletext"/>
              <w:jc w:val="center"/>
            </w:pPr>
            <w:r w:rsidRPr="009257C7">
              <w:t>+2%</w:t>
            </w:r>
          </w:p>
        </w:tc>
      </w:tr>
      <w:tr w:rsidR="00472BAD" w:rsidRPr="009257C7" w:rsidTr="0062689F">
        <w:trPr>
          <w:trHeight w:val="315"/>
          <w:jc w:val="center"/>
        </w:trPr>
        <w:tc>
          <w:tcPr>
            <w:tcW w:w="2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72BAD" w:rsidRPr="009257C7" w:rsidRDefault="00472BAD" w:rsidP="0062689F">
            <w:pPr>
              <w:pStyle w:val="Tabletext"/>
              <w:rPr>
                <w:rFonts w:asciiTheme="majorBidi" w:hAnsiTheme="majorBidi" w:cstheme="majorBidi"/>
                <w:b/>
                <w:bCs/>
                <w:color w:val="000000"/>
                <w:lang w:eastAsia="zh-CN"/>
              </w:rPr>
            </w:pPr>
            <w:r w:rsidRPr="009257C7">
              <w:rPr>
                <w:rFonts w:asciiTheme="majorBidi" w:hAnsiTheme="majorBidi" w:cstheme="majorBidi"/>
                <w:b/>
                <w:bCs/>
                <w:color w:val="000000"/>
                <w:lang w:eastAsia="zh-CN"/>
              </w:rPr>
              <w:t>Asociados</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hideMark/>
          </w:tcPr>
          <w:p w:rsidR="00472BAD" w:rsidRPr="009257C7" w:rsidRDefault="00472BAD" w:rsidP="0062689F">
            <w:pPr>
              <w:pStyle w:val="Tabletext"/>
              <w:jc w:val="center"/>
            </w:pPr>
            <w:r w:rsidRPr="009257C7">
              <w:t>15</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hideMark/>
          </w:tcPr>
          <w:p w:rsidR="00472BAD" w:rsidRPr="009257C7" w:rsidRDefault="00472BAD" w:rsidP="0062689F">
            <w:pPr>
              <w:pStyle w:val="Tabletext"/>
              <w:jc w:val="center"/>
            </w:pPr>
            <w:r w:rsidRPr="009257C7">
              <w:t>18</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hideMark/>
          </w:tcPr>
          <w:p w:rsidR="00472BAD" w:rsidRPr="009257C7" w:rsidRDefault="00472BAD" w:rsidP="0062689F">
            <w:pPr>
              <w:pStyle w:val="Tabletext"/>
              <w:jc w:val="center"/>
            </w:pPr>
            <w:r w:rsidRPr="009257C7">
              <w:t>19</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472BAD" w:rsidRPr="009257C7" w:rsidRDefault="00472BAD" w:rsidP="0062689F">
            <w:pPr>
              <w:pStyle w:val="Tabletext"/>
              <w:jc w:val="center"/>
            </w:pPr>
            <w:r w:rsidRPr="009257C7">
              <w:t>21</w:t>
            </w:r>
          </w:p>
        </w:tc>
        <w:tc>
          <w:tcPr>
            <w:tcW w:w="904" w:type="dxa"/>
            <w:tcBorders>
              <w:top w:val="nil"/>
              <w:left w:val="nil"/>
              <w:bottom w:val="single" w:sz="8" w:space="0" w:color="auto"/>
              <w:right w:val="single" w:sz="8" w:space="0" w:color="auto"/>
            </w:tcBorders>
            <w:hideMark/>
          </w:tcPr>
          <w:p w:rsidR="00472BAD" w:rsidRPr="009257C7" w:rsidRDefault="00472BAD" w:rsidP="0062689F">
            <w:pPr>
              <w:pStyle w:val="Tabletext"/>
              <w:jc w:val="center"/>
            </w:pPr>
            <w:r w:rsidRPr="009257C7">
              <w:t>21</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hideMark/>
          </w:tcPr>
          <w:p w:rsidR="00472BAD" w:rsidRPr="009257C7" w:rsidRDefault="00472BAD" w:rsidP="0062689F">
            <w:pPr>
              <w:pStyle w:val="Tabletext"/>
              <w:jc w:val="center"/>
            </w:pPr>
            <w:r w:rsidRPr="009257C7">
              <w:t>+6</w:t>
            </w:r>
          </w:p>
        </w:tc>
        <w:tc>
          <w:tcPr>
            <w:tcW w:w="1561" w:type="dxa"/>
            <w:tcBorders>
              <w:top w:val="nil"/>
              <w:left w:val="nil"/>
              <w:bottom w:val="single" w:sz="8" w:space="0" w:color="auto"/>
              <w:right w:val="single" w:sz="8" w:space="0" w:color="auto"/>
            </w:tcBorders>
            <w:noWrap/>
            <w:tcMar>
              <w:top w:w="0" w:type="dxa"/>
              <w:left w:w="108" w:type="dxa"/>
              <w:bottom w:w="0" w:type="dxa"/>
              <w:right w:w="108" w:type="dxa"/>
            </w:tcMar>
            <w:hideMark/>
          </w:tcPr>
          <w:p w:rsidR="00472BAD" w:rsidRPr="009257C7" w:rsidRDefault="00472BAD" w:rsidP="0062689F">
            <w:pPr>
              <w:pStyle w:val="Tabletext"/>
              <w:jc w:val="center"/>
            </w:pPr>
            <w:r w:rsidRPr="009257C7">
              <w:t>+40%</w:t>
            </w:r>
          </w:p>
        </w:tc>
      </w:tr>
      <w:tr w:rsidR="00472BAD" w:rsidRPr="009257C7" w:rsidTr="0062689F">
        <w:trPr>
          <w:trHeight w:val="315"/>
          <w:jc w:val="center"/>
        </w:trPr>
        <w:tc>
          <w:tcPr>
            <w:tcW w:w="2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72BAD" w:rsidRPr="009257C7" w:rsidRDefault="00472BAD" w:rsidP="0062689F">
            <w:pPr>
              <w:pStyle w:val="Tabletext"/>
              <w:rPr>
                <w:rFonts w:asciiTheme="majorBidi" w:hAnsiTheme="majorBidi" w:cstheme="majorBidi"/>
                <w:b/>
                <w:bCs/>
                <w:color w:val="000000"/>
                <w:lang w:eastAsia="zh-CN"/>
              </w:rPr>
            </w:pPr>
            <w:r w:rsidRPr="009257C7">
              <w:rPr>
                <w:rFonts w:asciiTheme="majorBidi" w:hAnsiTheme="majorBidi" w:cstheme="majorBidi"/>
                <w:b/>
                <w:bCs/>
                <w:color w:val="000000"/>
                <w:lang w:eastAsia="zh-CN"/>
              </w:rPr>
              <w:t>Instituciones Académicas</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hideMark/>
          </w:tcPr>
          <w:p w:rsidR="00472BAD" w:rsidRPr="009257C7" w:rsidRDefault="00472BAD" w:rsidP="0062689F">
            <w:pPr>
              <w:pStyle w:val="Tabletext"/>
              <w:jc w:val="center"/>
            </w:pPr>
            <w:r w:rsidRPr="009257C7">
              <w:t>73</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hideMark/>
          </w:tcPr>
          <w:p w:rsidR="00472BAD" w:rsidRPr="009257C7" w:rsidRDefault="00472BAD" w:rsidP="0062689F">
            <w:pPr>
              <w:pStyle w:val="Tabletext"/>
              <w:jc w:val="center"/>
            </w:pPr>
            <w:r w:rsidRPr="009257C7">
              <w:t>95</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hideMark/>
          </w:tcPr>
          <w:p w:rsidR="00472BAD" w:rsidRPr="009257C7" w:rsidRDefault="00472BAD" w:rsidP="0062689F">
            <w:pPr>
              <w:pStyle w:val="Tabletext"/>
              <w:jc w:val="center"/>
            </w:pPr>
            <w:r w:rsidRPr="009257C7">
              <w:t>107</w:t>
            </w:r>
          </w:p>
        </w:tc>
        <w:tc>
          <w:tcPr>
            <w:tcW w:w="930" w:type="dxa"/>
            <w:tcBorders>
              <w:top w:val="nil"/>
              <w:left w:val="nil"/>
              <w:bottom w:val="single" w:sz="8" w:space="0" w:color="auto"/>
              <w:right w:val="single" w:sz="8" w:space="0" w:color="auto"/>
            </w:tcBorders>
            <w:tcMar>
              <w:top w:w="0" w:type="dxa"/>
              <w:left w:w="108" w:type="dxa"/>
              <w:bottom w:w="0" w:type="dxa"/>
              <w:right w:w="108" w:type="dxa"/>
            </w:tcMar>
            <w:hideMark/>
          </w:tcPr>
          <w:p w:rsidR="00472BAD" w:rsidRPr="009257C7" w:rsidRDefault="00472BAD" w:rsidP="0062689F">
            <w:pPr>
              <w:pStyle w:val="Tabletext"/>
              <w:jc w:val="center"/>
            </w:pPr>
            <w:r w:rsidRPr="009257C7">
              <w:t>125</w:t>
            </w:r>
          </w:p>
        </w:tc>
        <w:tc>
          <w:tcPr>
            <w:tcW w:w="904" w:type="dxa"/>
            <w:tcBorders>
              <w:top w:val="nil"/>
              <w:left w:val="nil"/>
              <w:bottom w:val="single" w:sz="8" w:space="0" w:color="auto"/>
              <w:right w:val="single" w:sz="8" w:space="0" w:color="auto"/>
            </w:tcBorders>
            <w:hideMark/>
          </w:tcPr>
          <w:p w:rsidR="00472BAD" w:rsidRPr="009257C7" w:rsidRDefault="00472BAD" w:rsidP="0062689F">
            <w:pPr>
              <w:pStyle w:val="Tabletext"/>
              <w:jc w:val="center"/>
            </w:pPr>
            <w:r w:rsidRPr="009257C7">
              <w:t>155</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hideMark/>
          </w:tcPr>
          <w:p w:rsidR="00472BAD" w:rsidRPr="009257C7" w:rsidRDefault="00472BAD" w:rsidP="0062689F">
            <w:pPr>
              <w:pStyle w:val="Tabletext"/>
              <w:jc w:val="center"/>
            </w:pPr>
            <w:r w:rsidRPr="009257C7">
              <w:t>+82</w:t>
            </w:r>
          </w:p>
        </w:tc>
        <w:tc>
          <w:tcPr>
            <w:tcW w:w="1561" w:type="dxa"/>
            <w:tcBorders>
              <w:top w:val="nil"/>
              <w:left w:val="nil"/>
              <w:bottom w:val="single" w:sz="8" w:space="0" w:color="auto"/>
              <w:right w:val="single" w:sz="8" w:space="0" w:color="auto"/>
            </w:tcBorders>
            <w:noWrap/>
            <w:tcMar>
              <w:top w:w="0" w:type="dxa"/>
              <w:left w:w="108" w:type="dxa"/>
              <w:bottom w:w="0" w:type="dxa"/>
              <w:right w:w="108" w:type="dxa"/>
            </w:tcMar>
            <w:hideMark/>
          </w:tcPr>
          <w:p w:rsidR="00472BAD" w:rsidRPr="009257C7" w:rsidRDefault="00472BAD" w:rsidP="0062689F">
            <w:pPr>
              <w:pStyle w:val="Tabletext"/>
              <w:jc w:val="center"/>
            </w:pPr>
            <w:r w:rsidRPr="009257C7">
              <w:t>+112%</w:t>
            </w:r>
          </w:p>
        </w:tc>
      </w:tr>
    </w:tbl>
    <w:p w:rsidR="00E7660B" w:rsidRPr="009257C7" w:rsidRDefault="0030663E" w:rsidP="00E7660B">
      <w:pPr>
        <w:pStyle w:val="Heading2"/>
      </w:pPr>
      <w:bookmarkStart w:id="99" w:name="_Toc424047608"/>
      <w:bookmarkStart w:id="100" w:name="_Toc446060798"/>
      <w:r w:rsidRPr="009257C7">
        <w:t>9.7</w:t>
      </w:r>
      <w:r w:rsidR="00E7660B" w:rsidRPr="009257C7">
        <w:tab/>
        <w:t>Comunicación y promoción</w:t>
      </w:r>
    </w:p>
    <w:p w:rsidR="00E7660B" w:rsidRPr="009257C7" w:rsidRDefault="00E7660B" w:rsidP="006B7E83">
      <w:r w:rsidRPr="009257C7">
        <w:t xml:space="preserve">A fin de posicionar al UIT-R en el marco de sus objetivos estratégicos (creación de un valor de marca, fortalecer su reputación, movilizar a las partes interesadas internas y externas, lograr la participación de las entidades que lo apoyan y el interés de los Miembros), la Oficina trabaja en estrecha colaboración con la División de Comunicación Corporativa (CCD) y con la Oficina de prensa de la UIT, el Departamento de Miembros y </w:t>
      </w:r>
      <w:r w:rsidR="00EC2EA8" w:rsidRPr="009257C7">
        <w:t xml:space="preserve">otros departamentos pertinentes </w:t>
      </w:r>
      <w:r w:rsidRPr="009257C7">
        <w:t>de la Secretaría General. En el marco de estos trabajos se han celebrado varias reuniones intersectoriales de la UIT: el Grupo Especial de la CMSI, los grupos de Comunicación, la Junta Editorial de la Web y el Grupo Especial sobre cuestiones de género y tendencias emergentes.</w:t>
      </w:r>
    </w:p>
    <w:p w:rsidR="00E7660B" w:rsidRPr="009257C7" w:rsidRDefault="0030663E" w:rsidP="00E7660B">
      <w:pPr>
        <w:pStyle w:val="Heading3"/>
      </w:pPr>
      <w:r w:rsidRPr="009257C7">
        <w:t>9.7</w:t>
      </w:r>
      <w:r w:rsidR="00E7660B" w:rsidRPr="009257C7">
        <w:t>.1</w:t>
      </w:r>
      <w:r w:rsidR="00E7660B" w:rsidRPr="009257C7">
        <w:tab/>
      </w:r>
      <w:bookmarkEnd w:id="99"/>
      <w:bookmarkEnd w:id="100"/>
      <w:r w:rsidR="00E7660B" w:rsidRPr="009257C7">
        <w:t>Sitio web</w:t>
      </w:r>
    </w:p>
    <w:p w:rsidR="00E7660B" w:rsidRPr="009257C7" w:rsidRDefault="00E7660B" w:rsidP="00E7660B">
      <w:bookmarkStart w:id="101" w:name="_Toc446060799"/>
      <w:r w:rsidRPr="009257C7">
        <w:t xml:space="preserve">La BR siguió apoyando las metas estratégicas del UIT-R y emitió comunicaciones desde el sitio web de la BR </w:t>
      </w:r>
      <w:r w:rsidR="004F0ACF" w:rsidRPr="009257C7">
        <w:t>(</w:t>
      </w:r>
      <w:hyperlink r:id="rId39" w:history="1">
        <w:r w:rsidRPr="009257C7">
          <w:rPr>
            <w:color w:val="0000FF"/>
            <w:u w:val="single"/>
          </w:rPr>
          <w:t>www.itu.int/ITU-R/</w:t>
        </w:r>
      </w:hyperlink>
      <w:r w:rsidR="004F0ACF" w:rsidRPr="009257C7">
        <w:t>)</w:t>
      </w:r>
      <w:r w:rsidRPr="009257C7">
        <w:t>, que se actualiza periódicamente para indicar los trabajos que realiza el Sector y, en la medida de lo posible, en los seis idiomas oficiales de la UIT.</w:t>
      </w:r>
    </w:p>
    <w:p w:rsidR="005D3584" w:rsidRPr="009257C7" w:rsidRDefault="00E7660B">
      <w:pPr>
        <w:rPr>
          <w:color w:val="000000"/>
        </w:rPr>
      </w:pPr>
      <w:bookmarkStart w:id="102" w:name="lt_pId1404"/>
      <w:r w:rsidRPr="009257C7">
        <w:rPr>
          <w:szCs w:val="24"/>
        </w:rPr>
        <w:lastRenderedPageBreak/>
        <w:t>Las comunicaciones del UIT-R siguen distribuyendo información a través de la</w:t>
      </w:r>
      <w:r w:rsidR="00EC2EA8" w:rsidRPr="009257C7">
        <w:rPr>
          <w:szCs w:val="24"/>
        </w:rPr>
        <w:t>s redes sociales</w:t>
      </w:r>
      <w:r w:rsidRPr="009257C7">
        <w:rPr>
          <w:szCs w:val="24"/>
        </w:rPr>
        <w:t xml:space="preserve"> </w:t>
      </w:r>
      <w:r w:rsidR="00EC2EA8" w:rsidRPr="009257C7">
        <w:rPr>
          <w:szCs w:val="24"/>
        </w:rPr>
        <w:t xml:space="preserve">en la </w:t>
      </w:r>
      <w:bookmarkEnd w:id="102"/>
      <w:r w:rsidR="0022628F" w:rsidRPr="009257C7">
        <w:fldChar w:fldCharType="begin"/>
      </w:r>
      <w:r w:rsidR="0022628F" w:rsidRPr="009257C7">
        <w:instrText xml:space="preserve"> HYPERLINK "https://twitter.com/ITU_R" </w:instrText>
      </w:r>
      <w:r w:rsidR="0022628F" w:rsidRPr="009257C7">
        <w:fldChar w:fldCharType="separate"/>
      </w:r>
      <w:r w:rsidR="0030663E" w:rsidRPr="009257C7">
        <w:rPr>
          <w:rStyle w:val="Hyperlink"/>
        </w:rPr>
        <w:t>ITU-R Newsroom</w:t>
      </w:r>
      <w:r w:rsidR="0022628F" w:rsidRPr="009257C7">
        <w:fldChar w:fldCharType="end"/>
      </w:r>
      <w:r w:rsidR="0022628F" w:rsidRPr="009257C7">
        <w:t xml:space="preserve"> </w:t>
      </w:r>
      <w:r w:rsidRPr="009257C7">
        <w:t>destinad</w:t>
      </w:r>
      <w:r w:rsidR="00EC2EA8" w:rsidRPr="009257C7">
        <w:t>a</w:t>
      </w:r>
      <w:r w:rsidRPr="009257C7">
        <w:t xml:space="preserve"> a los miembros de la UIT, los participantes y delegados en las Comisiones de Estudio del UIT-R, </w:t>
      </w:r>
      <w:r w:rsidR="00EC2EA8" w:rsidRPr="009257C7">
        <w:t xml:space="preserve">miembros del sector académico, </w:t>
      </w:r>
      <w:r w:rsidRPr="009257C7">
        <w:t>las publicaciones técnicas especializadas, las instituciones de investigación, los medios de comunicaciones, el personal de la UIT y el público en general</w:t>
      </w:r>
      <w:r w:rsidR="006B7E83" w:rsidRPr="009257C7">
        <w:t>.</w:t>
      </w:r>
    </w:p>
    <w:p w:rsidR="00E7660B" w:rsidRPr="009257C7" w:rsidRDefault="00EC2EA8">
      <w:pPr>
        <w:rPr>
          <w:color w:val="000000"/>
        </w:rPr>
      </w:pPr>
      <w:r w:rsidRPr="009257C7">
        <w:rPr>
          <w:color w:val="000000"/>
        </w:rPr>
        <w:t xml:space="preserve">El Rincón del Director de la BR fue rediseñado para incluir una sección para visitantes con </w:t>
      </w:r>
      <w:r w:rsidR="00740C0A" w:rsidRPr="009257C7">
        <w:rPr>
          <w:color w:val="000000"/>
        </w:rPr>
        <w:t xml:space="preserve">fotos, </w:t>
      </w:r>
      <w:r w:rsidRPr="009257C7">
        <w:rPr>
          <w:color w:val="000000"/>
        </w:rPr>
        <w:t xml:space="preserve">los discursos </w:t>
      </w:r>
      <w:r w:rsidR="006B7E83" w:rsidRPr="009257C7">
        <w:rPr>
          <w:color w:val="000000"/>
        </w:rPr>
        <w:t>y las intervenciones</w:t>
      </w:r>
      <w:r w:rsidR="00740C0A" w:rsidRPr="009257C7">
        <w:rPr>
          <w:color w:val="000000"/>
        </w:rPr>
        <w:t xml:space="preserve"> del Director, el calendario de las reuniones y </w:t>
      </w:r>
      <w:r w:rsidR="0054260D" w:rsidRPr="009257C7">
        <w:rPr>
          <w:color w:val="000000"/>
        </w:rPr>
        <w:t>ví</w:t>
      </w:r>
      <w:r w:rsidR="00740C0A" w:rsidRPr="009257C7">
        <w:rPr>
          <w:color w:val="000000"/>
        </w:rPr>
        <w:t>deos.</w:t>
      </w:r>
    </w:p>
    <w:p w:rsidR="00E7660B" w:rsidRPr="009257C7" w:rsidRDefault="005D3584" w:rsidP="00E7660B">
      <w:pPr>
        <w:pStyle w:val="Heading3"/>
        <w:rPr>
          <w:szCs w:val="21"/>
        </w:rPr>
      </w:pPr>
      <w:r w:rsidRPr="009257C7">
        <w:t>9.7</w:t>
      </w:r>
      <w:r w:rsidR="00E7660B" w:rsidRPr="009257C7">
        <w:t>.2</w:t>
      </w:r>
      <w:r w:rsidR="00E7660B" w:rsidRPr="009257C7">
        <w:tab/>
      </w:r>
      <w:bookmarkEnd w:id="101"/>
      <w:r w:rsidR="00E7660B" w:rsidRPr="009257C7">
        <w:t>Promoción y relaciones con los medios</w:t>
      </w:r>
    </w:p>
    <w:p w:rsidR="00E7660B" w:rsidRPr="009257C7" w:rsidRDefault="005D3584" w:rsidP="00E7660B">
      <w:pPr>
        <w:pStyle w:val="Heading4"/>
      </w:pPr>
      <w:r w:rsidRPr="009257C7">
        <w:t>9.7</w:t>
      </w:r>
      <w:r w:rsidR="00E7660B" w:rsidRPr="009257C7">
        <w:t>.2.1</w:t>
      </w:r>
      <w:r w:rsidR="00E7660B" w:rsidRPr="009257C7">
        <w:tab/>
        <w:t>Medios de comunicación</w:t>
      </w:r>
    </w:p>
    <w:p w:rsidR="00E7660B" w:rsidRPr="009257C7" w:rsidRDefault="00740C0A">
      <w:r w:rsidRPr="009257C7">
        <w:rPr>
          <w:rFonts w:asciiTheme="majorBidi" w:hAnsiTheme="majorBidi" w:cstheme="majorBidi"/>
          <w:szCs w:val="24"/>
        </w:rPr>
        <w:t>En 2018</w:t>
      </w:r>
      <w:r w:rsidR="006B7E83" w:rsidRPr="009257C7">
        <w:rPr>
          <w:rFonts w:asciiTheme="majorBidi" w:hAnsiTheme="majorBidi" w:cstheme="majorBidi"/>
          <w:szCs w:val="24"/>
        </w:rPr>
        <w:t>, s</w:t>
      </w:r>
      <w:r w:rsidR="00E7660B" w:rsidRPr="009257C7">
        <w:t>e respondió a los asuntos que suscitaron el interés de los medios de comunicación, después de una meticulosa coordinación con la BR y la Oficina de Comunicaciones de la UIT, la dirección de la BR y otros expertos en r</w:t>
      </w:r>
      <w:r w:rsidR="00594E73" w:rsidRPr="009257C7">
        <w:t>adiocomunicaciones pertinentes.</w:t>
      </w:r>
    </w:p>
    <w:p w:rsidR="00E7660B" w:rsidRPr="009257C7" w:rsidRDefault="00E7660B">
      <w:r w:rsidRPr="009257C7">
        <w:t>En</w:t>
      </w:r>
      <w:r w:rsidR="00594E73" w:rsidRPr="009257C7">
        <w:t xml:space="preserve"> </w:t>
      </w:r>
      <w:r w:rsidR="005D3584" w:rsidRPr="009257C7">
        <w:t>2018</w:t>
      </w:r>
      <w:r w:rsidRPr="009257C7">
        <w:t>, la BR siguió cumpliendo con las metas estratégicas del UIT-R, publicando las siguientes comunicaciones por conducto de la Oficina de Comunicaciones y Prensa de la UIT y en los medios sociales, en la Sala de prensa</w:t>
      </w:r>
      <w:r w:rsidRPr="009257C7">
        <w:rPr>
          <w:smallCaps/>
        </w:rPr>
        <w:t xml:space="preserve"> </w:t>
      </w:r>
      <w:r w:rsidRPr="009257C7">
        <w:t>del</w:t>
      </w:r>
      <w:r w:rsidRPr="009257C7">
        <w:rPr>
          <w:smallCaps/>
        </w:rPr>
        <w:t xml:space="preserve"> UIT-R</w:t>
      </w:r>
      <w:r w:rsidRPr="009257C7">
        <w:t xml:space="preserve"> </w:t>
      </w:r>
      <w:r w:rsidR="00594E73" w:rsidRPr="009257C7">
        <w:t>(</w:t>
      </w:r>
      <w:hyperlink r:id="rId40" w:history="1">
        <w:r w:rsidRPr="009257C7">
          <w:rPr>
            <w:rStyle w:val="Hyperlink"/>
            <w:rFonts w:asciiTheme="majorBidi" w:hAnsiTheme="majorBidi" w:cstheme="majorBidi"/>
            <w:szCs w:val="24"/>
          </w:rPr>
          <w:t>https://twitter.com/ITU_R</w:t>
        </w:r>
      </w:hyperlink>
      <w:r w:rsidR="00594E73" w:rsidRPr="009257C7">
        <w:t>)</w:t>
      </w:r>
      <w:r w:rsidRPr="009257C7">
        <w:t xml:space="preserve"> y en el sitio web de la BR </w:t>
      </w:r>
      <w:r w:rsidR="00594E73" w:rsidRPr="009257C7">
        <w:t>(</w:t>
      </w:r>
      <w:hyperlink r:id="rId41" w:history="1">
        <w:r w:rsidRPr="009257C7">
          <w:rPr>
            <w:rStyle w:val="Hyperlink"/>
            <w:rFonts w:asciiTheme="majorBidi" w:hAnsiTheme="majorBidi" w:cstheme="majorBidi"/>
            <w:szCs w:val="24"/>
          </w:rPr>
          <w:t>www.itu.int/ITU-R/</w:t>
        </w:r>
      </w:hyperlink>
      <w:r w:rsidR="00594E73" w:rsidRPr="009257C7">
        <w:t>)</w:t>
      </w:r>
      <w:r w:rsidRPr="009257C7">
        <w:t>:</w:t>
      </w:r>
    </w:p>
    <w:p w:rsidR="00E7660B" w:rsidRPr="009257C7" w:rsidRDefault="00740C0A">
      <w:r w:rsidRPr="009257C7">
        <w:t>En 2018, s</w:t>
      </w:r>
      <w:r w:rsidR="00E7660B" w:rsidRPr="009257C7">
        <w:t xml:space="preserve">e publicaron </w:t>
      </w:r>
      <w:r w:rsidR="00FC620E" w:rsidRPr="009257C7">
        <w:t>10</w:t>
      </w:r>
      <w:r w:rsidR="00E7660B" w:rsidRPr="009257C7">
        <w:t xml:space="preserve"> comunicados de prensa y </w:t>
      </w:r>
      <w:r w:rsidR="006B7E83" w:rsidRPr="009257C7">
        <w:t xml:space="preserve">otros </w:t>
      </w:r>
      <w:r w:rsidR="00E7660B" w:rsidRPr="009257C7">
        <w:t>comunicados</w:t>
      </w:r>
      <w:r w:rsidR="006B7E83" w:rsidRPr="009257C7">
        <w:t>,</w:t>
      </w:r>
      <w:r w:rsidR="00E7660B" w:rsidRPr="009257C7">
        <w:t xml:space="preserve"> </w:t>
      </w:r>
      <w:r w:rsidRPr="009257C7">
        <w:t xml:space="preserve">así como contribuciones semanales a la edición semanal de Actualidades de la UIT </w:t>
      </w:r>
      <w:r w:rsidR="00366E2F" w:rsidRPr="009257C7">
        <w:t>relacionadas con</w:t>
      </w:r>
      <w:r w:rsidR="00642C4A" w:rsidRPr="009257C7">
        <w:t xml:space="preserve"> </w:t>
      </w:r>
      <w:r w:rsidRPr="009257C7">
        <w:t>nuevas tecnologías</w:t>
      </w:r>
      <w:r w:rsidR="00366E2F" w:rsidRPr="009257C7">
        <w:t xml:space="preserve"> y</w:t>
      </w:r>
      <w:r w:rsidR="00642C4A" w:rsidRPr="009257C7">
        <w:t xml:space="preserve"> nuevos</w:t>
      </w:r>
      <w:r w:rsidRPr="009257C7">
        <w:t xml:space="preserve"> temas de actualidad</w:t>
      </w:r>
      <w:r w:rsidR="00642C4A" w:rsidRPr="009257C7">
        <w:t>,</w:t>
      </w:r>
      <w:r w:rsidRPr="009257C7">
        <w:t xml:space="preserve"> </w:t>
      </w:r>
      <w:r w:rsidR="00366E2F" w:rsidRPr="009257C7">
        <w:t>además de</w:t>
      </w:r>
      <w:r w:rsidRPr="009257C7">
        <w:t xml:space="preserve"> los</w:t>
      </w:r>
      <w:r w:rsidR="00297D24" w:rsidRPr="009257C7">
        <w:t xml:space="preserve"> </w:t>
      </w:r>
      <w:r w:rsidR="00E7660B" w:rsidRPr="009257C7">
        <w:t>eventos importantes del UIT-R.</w:t>
      </w:r>
    </w:p>
    <w:p w:rsidR="00E7660B" w:rsidRPr="009257C7" w:rsidRDefault="00E7660B">
      <w:r w:rsidRPr="009257C7">
        <w:t>En</w:t>
      </w:r>
      <w:r w:rsidR="00354F8B" w:rsidRPr="009257C7">
        <w:t xml:space="preserve"> </w:t>
      </w:r>
      <w:r w:rsidR="009F7553" w:rsidRPr="009257C7">
        <w:t>2018</w:t>
      </w:r>
      <w:r w:rsidRPr="009257C7">
        <w:t xml:space="preserve">, los medios de comunicación formularon más de </w:t>
      </w:r>
      <w:r w:rsidR="009F7553" w:rsidRPr="009257C7">
        <w:t>90</w:t>
      </w:r>
      <w:r w:rsidRPr="009257C7">
        <w:t xml:space="preserve"> preguntas, principalmente en respuesta a los comunicados mencionados. Se respondió por correspondencia o en una entrevista dada por expertos de la BR, los Presidentes de las Comisiones de Estudio del UIT-R o el Director de la BR</w:t>
      </w:r>
      <w:r w:rsidR="00354F8B" w:rsidRPr="009257C7">
        <w:t>.</w:t>
      </w:r>
    </w:p>
    <w:p w:rsidR="00E7660B" w:rsidRPr="009257C7" w:rsidRDefault="009F7553">
      <w:pPr>
        <w:pStyle w:val="Heading4"/>
      </w:pPr>
      <w:r w:rsidRPr="009257C7">
        <w:t>9.7</w:t>
      </w:r>
      <w:r w:rsidR="00E7660B" w:rsidRPr="009257C7">
        <w:t>.2.2</w:t>
      </w:r>
      <w:r w:rsidR="00E7660B" w:rsidRPr="009257C7">
        <w:tab/>
        <w:t>Preguntas más frecuentes</w:t>
      </w:r>
    </w:p>
    <w:p w:rsidR="00E7660B" w:rsidRPr="009257C7" w:rsidRDefault="00E7660B" w:rsidP="00E7660B">
      <w:r w:rsidRPr="009257C7">
        <w:t>La BR sigue actualizando periódicamente varios conjuntos de «preguntas más frecuentes» (FAQ), que están disponibles para los medios, la industria y el público en general, y en la actualidad abarcan los asuntos siguientes:</w:t>
      </w:r>
    </w:p>
    <w:p w:rsidR="00E7660B" w:rsidRPr="009257C7" w:rsidRDefault="00E7660B" w:rsidP="00E7660B">
      <w:pPr>
        <w:pStyle w:val="enumlev1"/>
      </w:pPr>
      <w:r w:rsidRPr="009257C7">
        <w:t>–</w:t>
      </w:r>
      <w:r w:rsidRPr="009257C7">
        <w:tab/>
        <w:t>Reglamento de Radiocomunicaciones (RR), Comisiones de Estudio (CE) del UIT-R, RRB, GAR, BR.</w:t>
      </w:r>
    </w:p>
    <w:p w:rsidR="00E7660B" w:rsidRPr="009257C7" w:rsidRDefault="00E7660B" w:rsidP="00E7660B">
      <w:pPr>
        <w:pStyle w:val="enumlev1"/>
      </w:pPr>
      <w:r w:rsidRPr="009257C7">
        <w:t>–</w:t>
      </w:r>
      <w:r w:rsidRPr="009257C7">
        <w:tab/>
        <w:t>Telecomunicaciones Móviles Internacionales (IMT) y banda ancha inalámbrica.</w:t>
      </w:r>
    </w:p>
    <w:p w:rsidR="00E7660B" w:rsidRPr="009257C7" w:rsidRDefault="00E7660B" w:rsidP="00E7660B">
      <w:pPr>
        <w:pStyle w:val="enumlev1"/>
      </w:pPr>
      <w:r w:rsidRPr="009257C7">
        <w:t>–</w:t>
      </w:r>
      <w:r w:rsidRPr="009257C7">
        <w:tab/>
        <w:t>El dividendo digital y la transición a digital (DSO).</w:t>
      </w:r>
    </w:p>
    <w:p w:rsidR="00E7660B" w:rsidRPr="009257C7" w:rsidRDefault="00E7660B" w:rsidP="00E7660B">
      <w:pPr>
        <w:pStyle w:val="enumlev1"/>
      </w:pPr>
      <w:r w:rsidRPr="009257C7">
        <w:t>–</w:t>
      </w:r>
      <w:r w:rsidRPr="009257C7">
        <w:tab/>
        <w:t>Escala de tiempo universal (UTC) – segundo intercalar.</w:t>
      </w:r>
    </w:p>
    <w:p w:rsidR="00E7660B" w:rsidRPr="009257C7" w:rsidRDefault="00E7660B" w:rsidP="00E7660B">
      <w:pPr>
        <w:pStyle w:val="enumlev1"/>
      </w:pPr>
      <w:r w:rsidRPr="009257C7">
        <w:t>–</w:t>
      </w:r>
      <w:r w:rsidRPr="009257C7">
        <w:tab/>
        <w:t>Notificación de satélites y procedimientos conexos.</w:t>
      </w:r>
    </w:p>
    <w:p w:rsidR="00E7660B" w:rsidRPr="009257C7" w:rsidRDefault="00E7660B" w:rsidP="00E7660B">
      <w:r w:rsidRPr="009257C7">
        <w:t>Las preguntas pueden encontrarse online en la parte superior derecha de la página principal del UIT-R (</w:t>
      </w:r>
      <w:hyperlink r:id="rId42" w:history="1">
        <w:r w:rsidRPr="009257C7">
          <w:rPr>
            <w:rStyle w:val="Hyperlink"/>
            <w:szCs w:val="24"/>
          </w:rPr>
          <w:t>http://www.itu.int/en/ITU-R/Pages/default.aspx</w:t>
        </w:r>
      </w:hyperlink>
      <w:r w:rsidR="00AC10EA" w:rsidRPr="009257C7">
        <w:t>)</w:t>
      </w:r>
      <w:r w:rsidRPr="009257C7">
        <w:t>.</w:t>
      </w:r>
    </w:p>
    <w:p w:rsidR="00E7660B" w:rsidRPr="009257C7" w:rsidRDefault="009F7553">
      <w:pPr>
        <w:pStyle w:val="Heading4"/>
      </w:pPr>
      <w:r w:rsidRPr="009257C7">
        <w:t>9.7</w:t>
      </w:r>
      <w:r w:rsidR="00E7660B" w:rsidRPr="009257C7">
        <w:t>.2.3</w:t>
      </w:r>
      <w:r w:rsidR="00E7660B" w:rsidRPr="009257C7">
        <w:tab/>
        <w:t>Comunicaciones publicitarias</w:t>
      </w:r>
    </w:p>
    <w:p w:rsidR="00E7660B" w:rsidRPr="009257C7" w:rsidRDefault="00E7660B" w:rsidP="00366E2F">
      <w:bookmarkStart w:id="103" w:name="lt_pId1437"/>
      <w:r w:rsidRPr="009257C7">
        <w:t>En</w:t>
      </w:r>
      <w:r w:rsidR="00310A3A" w:rsidRPr="009257C7">
        <w:t xml:space="preserve"> </w:t>
      </w:r>
      <w:r w:rsidR="009F7553" w:rsidRPr="009257C7">
        <w:t>2018</w:t>
      </w:r>
      <w:r w:rsidRPr="009257C7">
        <w:t xml:space="preserve">, se prepararon comunicaciones publicitarias (pancartas, letreros virtuales, posters electrónicos, certificados electrónicos, anuncios en medios sociales, etc.), fotos, vídeos y multimedios para los Seminarios </w:t>
      </w:r>
      <w:r w:rsidR="0089761C" w:rsidRPr="009257C7">
        <w:t xml:space="preserve">Mundiales y </w:t>
      </w:r>
      <w:r w:rsidRPr="009257C7">
        <w:t xml:space="preserve">Regionales de Radiocomunicaciones y </w:t>
      </w:r>
      <w:r w:rsidR="0089761C" w:rsidRPr="009257C7">
        <w:t xml:space="preserve">Espaciales y </w:t>
      </w:r>
      <w:r w:rsidRPr="009257C7">
        <w:t>las reuniones importantes, así como para los eventos organizados por la BR.</w:t>
      </w:r>
      <w:bookmarkStart w:id="104" w:name="lt_pId1438"/>
      <w:bookmarkEnd w:id="103"/>
    </w:p>
    <w:p w:rsidR="00E7660B" w:rsidRPr="009257C7" w:rsidRDefault="00E7660B" w:rsidP="00310A3A">
      <w:r w:rsidRPr="009257C7">
        <w:t xml:space="preserve">En </w:t>
      </w:r>
      <w:r w:rsidR="009F7553" w:rsidRPr="009257C7">
        <w:t>2018</w:t>
      </w:r>
      <w:r w:rsidRPr="009257C7">
        <w:t xml:space="preserve"> </w:t>
      </w:r>
      <w:r w:rsidR="0089761C" w:rsidRPr="009257C7">
        <w:t xml:space="preserve">se produjo </w:t>
      </w:r>
      <w:r w:rsidRPr="009257C7">
        <w:t>un</w:t>
      </w:r>
      <w:r w:rsidR="00297D24" w:rsidRPr="009257C7">
        <w:t xml:space="preserve"> </w:t>
      </w:r>
      <w:r w:rsidRPr="009257C7">
        <w:t xml:space="preserve">cambio de imagen importante de las comunicaciones visuales de </w:t>
      </w:r>
      <w:r w:rsidR="00310A3A" w:rsidRPr="009257C7">
        <w:t>«</w:t>
      </w:r>
      <w:r w:rsidRPr="009257C7">
        <w:t>una UIT</w:t>
      </w:r>
      <w:r w:rsidR="00310A3A" w:rsidRPr="009257C7">
        <w:t>»</w:t>
      </w:r>
      <w:r w:rsidRPr="009257C7">
        <w:t xml:space="preserve"> en todos los Sectores de la UIT con plantillas, y se utilizó el color azul de Naciones Unidas de base para todos los logotipos de alto nivel, pero se mantuvo el rojo del Reglamento de Radiocomunicaciones para los seminarios y talleres de la BR.</w:t>
      </w:r>
    </w:p>
    <w:bookmarkEnd w:id="104"/>
    <w:p w:rsidR="00E7660B" w:rsidRPr="009257C7" w:rsidRDefault="008057EA">
      <w:pPr>
        <w:pStyle w:val="Heading4"/>
      </w:pPr>
      <w:r w:rsidRPr="009257C7">
        <w:lastRenderedPageBreak/>
        <w:t>9.7</w:t>
      </w:r>
      <w:r w:rsidR="00E7660B" w:rsidRPr="009257C7">
        <w:t>.2.4</w:t>
      </w:r>
      <w:r w:rsidR="00E7660B" w:rsidRPr="009257C7">
        <w:tab/>
        <w:t>Exposiciones y demostraciones</w:t>
      </w:r>
    </w:p>
    <w:p w:rsidR="005F14FE" w:rsidRPr="009257C7" w:rsidRDefault="005F14FE" w:rsidP="005F14FE">
      <w:r w:rsidRPr="009257C7">
        <w:t>Durante el Simposio de la UIT sobre Satélites de 2018 se organizó una demostración técnica de tres terminales de muy pequeña apertura (VSAT) en la banda Ka que funcionan con el satélite Eutelsat Ka-Sat, situado a 9</w:t>
      </w:r>
      <w:r w:rsidRPr="009257C7">
        <w:t>°</w:t>
      </w:r>
      <w:r w:rsidRPr="009257C7">
        <w:t xml:space="preserve"> Este. Se publicó un artículo en la revista Actualidades de la UIT y se organizó una exposición durante el Seminario Mundial de Radiocomunicaciones (SMR-18), que tuvo lugar en la Sede de la UIT en Ginebra (Suiza).</w:t>
      </w:r>
    </w:p>
    <w:p w:rsidR="0001330E" w:rsidRPr="009257C7" w:rsidRDefault="0001330E">
      <w:pPr>
        <w:tabs>
          <w:tab w:val="clear" w:pos="794"/>
          <w:tab w:val="clear" w:pos="1191"/>
          <w:tab w:val="clear" w:pos="1588"/>
          <w:tab w:val="clear" w:pos="1985"/>
        </w:tabs>
        <w:overflowPunct/>
        <w:autoSpaceDE/>
        <w:autoSpaceDN/>
        <w:adjustRightInd/>
        <w:spacing w:before="0"/>
        <w:textAlignment w:val="auto"/>
        <w:rPr>
          <w:rFonts w:eastAsiaTheme="minorEastAsia"/>
          <w:sz w:val="28"/>
        </w:rPr>
      </w:pPr>
      <w:r w:rsidRPr="009257C7">
        <w:rPr>
          <w:caps/>
        </w:rPr>
        <w:br w:type="page"/>
      </w:r>
    </w:p>
    <w:p w:rsidR="0001330E" w:rsidRPr="009257C7" w:rsidRDefault="0001330E" w:rsidP="005B3439">
      <w:pPr>
        <w:pStyle w:val="AnnexNo"/>
        <w:rPr>
          <w:lang w:val="es-ES_tradnl"/>
        </w:rPr>
      </w:pPr>
      <w:r w:rsidRPr="009257C7">
        <w:rPr>
          <w:lang w:val="es-ES_tradnl"/>
        </w:rPr>
        <w:lastRenderedPageBreak/>
        <w:t>ANEXO 1</w:t>
      </w:r>
    </w:p>
    <w:p w:rsidR="0001330E" w:rsidRPr="009257C7" w:rsidRDefault="0001330E" w:rsidP="005B3439">
      <w:pPr>
        <w:pStyle w:val="Annextitle"/>
        <w:rPr>
          <w:lang w:val="es-ES_tradnl"/>
        </w:rPr>
      </w:pPr>
      <w:r w:rsidRPr="009257C7">
        <w:rPr>
          <w:lang w:val="es-ES_tradnl"/>
        </w:rPr>
        <w:t xml:space="preserve">Informe sobre el avance de los trabajos de la BR </w:t>
      </w:r>
      <w:r w:rsidR="005B3439" w:rsidRPr="009257C7">
        <w:rPr>
          <w:lang w:val="es-ES_tradnl"/>
        </w:rPr>
        <w:br/>
      </w:r>
      <w:r w:rsidRPr="009257C7">
        <w:rPr>
          <w:lang w:val="es-ES_tradnl"/>
        </w:rPr>
        <w:t>para los sistemas de información espacial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4"/>
      </w:tblGrid>
      <w:tr w:rsidR="0001330E" w:rsidRPr="009257C7" w:rsidTr="00775FBA">
        <w:tc>
          <w:tcPr>
            <w:tcW w:w="9184" w:type="dxa"/>
          </w:tcPr>
          <w:p w:rsidR="0001330E" w:rsidRPr="009257C7" w:rsidRDefault="0001330E" w:rsidP="00256F2A">
            <w:pPr>
              <w:pStyle w:val="Headingb"/>
              <w:spacing w:after="120"/>
              <w:rPr>
                <w:szCs w:val="24"/>
              </w:rPr>
            </w:pPr>
            <w:r w:rsidRPr="009257C7">
              <w:t>Fase 2: 1 de abril de 2012 – 31 de diciembre de 2015</w:t>
            </w:r>
          </w:p>
        </w:tc>
      </w:tr>
      <w:tr w:rsidR="0001330E" w:rsidRPr="009257C7" w:rsidTr="00775FBA">
        <w:tc>
          <w:tcPr>
            <w:tcW w:w="9184" w:type="dxa"/>
          </w:tcPr>
          <w:p w:rsidR="0001330E" w:rsidRPr="009257C7" w:rsidRDefault="0001330E" w:rsidP="0001330E">
            <w:pPr>
              <w:pStyle w:val="Headingb"/>
              <w:keepNext w:val="0"/>
            </w:pPr>
            <w:r w:rsidRPr="009257C7">
              <w:t>Continuidad de las actividades y recuperación en caso de catástrofe</w:t>
            </w:r>
            <w:r w:rsidRPr="009257C7">
              <w:rPr>
                <w:rStyle w:val="FootnoteReference"/>
                <w:b w:val="0"/>
              </w:rPr>
              <w:t>*</w:t>
            </w:r>
          </w:p>
          <w:p w:rsidR="0001330E" w:rsidRPr="009257C7" w:rsidRDefault="009A2C98" w:rsidP="00256F2A">
            <w:r w:rsidRPr="009257C7">
              <w:t xml:space="preserve">En 2018, la UIT </w:t>
            </w:r>
            <w:r w:rsidR="00366E2F" w:rsidRPr="009257C7">
              <w:t xml:space="preserve">decidió establecer </w:t>
            </w:r>
            <w:r w:rsidRPr="009257C7">
              <w:t>un Sistema de Gestión de la Resiliencia Institucional con la a</w:t>
            </w:r>
            <w:r w:rsidR="00437CEF" w:rsidRPr="009257C7">
              <w:t>sistencia</w:t>
            </w:r>
            <w:r w:rsidRPr="009257C7">
              <w:t xml:space="preserve"> de consultores de seguridad externos. Esta actividad</w:t>
            </w:r>
            <w:r w:rsidR="00366E2F" w:rsidRPr="009257C7">
              <w:t>, que</w:t>
            </w:r>
            <w:r w:rsidRPr="009257C7">
              <w:t xml:space="preserve"> alcanzó su </w:t>
            </w:r>
            <w:r w:rsidR="00437CEF" w:rsidRPr="009257C7">
              <w:t>ecuador</w:t>
            </w:r>
            <w:r w:rsidRPr="009257C7">
              <w:t xml:space="preserve"> a finales de año, con</w:t>
            </w:r>
            <w:r w:rsidR="00437CEF" w:rsidRPr="009257C7">
              <w:t>t</w:t>
            </w:r>
            <w:r w:rsidR="00366E2F" w:rsidRPr="009257C7">
              <w:t>ó</w:t>
            </w:r>
            <w:r w:rsidR="00437CEF" w:rsidRPr="009257C7">
              <w:t xml:space="preserve"> con</w:t>
            </w:r>
            <w:r w:rsidRPr="009257C7">
              <w:t xml:space="preserve"> la participación activa de todos los niveles de la </w:t>
            </w:r>
            <w:r w:rsidR="00437CEF" w:rsidRPr="009257C7">
              <w:t>Oficina</w:t>
            </w:r>
            <w:r w:rsidR="00642C4A" w:rsidRPr="009257C7">
              <w:t xml:space="preserve"> y</w:t>
            </w:r>
            <w:r w:rsidRPr="009257C7">
              <w:t xml:space="preserve"> s</w:t>
            </w:r>
            <w:r w:rsidR="00366E2F" w:rsidRPr="009257C7">
              <w:t xml:space="preserve">e basó en la </w:t>
            </w:r>
            <w:r w:rsidRPr="009257C7">
              <w:t xml:space="preserve">labor realizada anteriormente para establecer planes y procedimientos </w:t>
            </w:r>
            <w:r w:rsidR="00366E2F" w:rsidRPr="009257C7">
              <w:t>para asegurar la</w:t>
            </w:r>
            <w:r w:rsidRPr="009257C7">
              <w:t xml:space="preserve"> continuidad de las </w:t>
            </w:r>
            <w:r w:rsidR="00437CEF" w:rsidRPr="009257C7">
              <w:t xml:space="preserve">actividades </w:t>
            </w:r>
            <w:r w:rsidRPr="009257C7">
              <w:t xml:space="preserve">y </w:t>
            </w:r>
            <w:r w:rsidR="00366E2F" w:rsidRPr="009257C7">
              <w:t xml:space="preserve">la </w:t>
            </w:r>
            <w:r w:rsidRPr="009257C7">
              <w:t xml:space="preserve">recuperación </w:t>
            </w:r>
            <w:r w:rsidR="00366E2F" w:rsidRPr="009257C7">
              <w:t>en caso de</w:t>
            </w:r>
            <w:r w:rsidRPr="009257C7">
              <w:t xml:space="preserve"> desastre</w:t>
            </w:r>
            <w:r w:rsidR="00366E2F" w:rsidRPr="009257C7">
              <w:t>.</w:t>
            </w:r>
          </w:p>
          <w:p w:rsidR="0001330E" w:rsidRPr="009257C7" w:rsidRDefault="0001330E" w:rsidP="00086632">
            <w:pPr>
              <w:tabs>
                <w:tab w:val="clear" w:pos="794"/>
                <w:tab w:val="left" w:pos="313"/>
              </w:tabs>
            </w:pPr>
            <w:r w:rsidRPr="009257C7">
              <w:rPr>
                <w:rStyle w:val="FootnoteReference"/>
              </w:rPr>
              <w:t>*</w:t>
            </w:r>
            <w:r w:rsidRPr="009257C7">
              <w:tab/>
              <w:t>Esta labor atañe tanto a los servicios espaciales como a los servicios terrenales.</w:t>
            </w:r>
          </w:p>
          <w:p w:rsidR="001031F9" w:rsidRPr="009257C7" w:rsidRDefault="001031F9" w:rsidP="00965993">
            <w:pPr>
              <w:pStyle w:val="Headingb"/>
              <w:keepNext w:val="0"/>
            </w:pPr>
            <w:r w:rsidRPr="009257C7">
              <w:t>Reescritura del software existente para los exámenes técnicos</w:t>
            </w:r>
          </w:p>
          <w:p w:rsidR="0001330E" w:rsidRPr="009257C7" w:rsidRDefault="002C55DB" w:rsidP="00962B95">
            <w:pPr>
              <w:pStyle w:val="enumlev1"/>
            </w:pPr>
            <w:r w:rsidRPr="009257C7">
              <w:t>–</w:t>
            </w:r>
            <w:r w:rsidRPr="009257C7">
              <w:tab/>
            </w:r>
            <w:r w:rsidR="0001330E" w:rsidRPr="009257C7">
              <w:t>Reescribir el software de cálculo de la DFP para la protección de los servicios terrenales: en curso</w:t>
            </w:r>
            <w:r w:rsidR="00962B95" w:rsidRPr="009257C7">
              <w:t>.</w:t>
            </w:r>
          </w:p>
          <w:p w:rsidR="008D120E" w:rsidRPr="009257C7" w:rsidRDefault="002C55DB" w:rsidP="00962B95">
            <w:pPr>
              <w:pStyle w:val="enumlev1"/>
            </w:pPr>
            <w:r w:rsidRPr="009257C7">
              <w:t>–</w:t>
            </w:r>
            <w:r w:rsidRPr="009257C7">
              <w:tab/>
            </w:r>
            <w:r w:rsidR="006316FF" w:rsidRPr="009257C7">
              <w:t xml:space="preserve">Reescribir el cálculo de AP8: </w:t>
            </w:r>
            <w:r w:rsidR="00F94477" w:rsidRPr="009257C7">
              <w:t xml:space="preserve">las </w:t>
            </w:r>
            <w:r w:rsidR="006316FF" w:rsidRPr="009257C7">
              <w:t>prueba</w:t>
            </w:r>
            <w:r w:rsidR="00F94477" w:rsidRPr="009257C7">
              <w:t>s</w:t>
            </w:r>
            <w:r w:rsidR="006316FF" w:rsidRPr="009257C7">
              <w:t xml:space="preserve"> interna</w:t>
            </w:r>
            <w:r w:rsidR="00F94477" w:rsidRPr="009257C7">
              <w:t xml:space="preserve">s del nuevo software de examen AP8 se iniciaron en el cuarto trimestre de 2018. Se está trabajando en </w:t>
            </w:r>
            <w:r w:rsidR="00642C4A" w:rsidRPr="009257C7">
              <w:t xml:space="preserve">la creación de </w:t>
            </w:r>
            <w:r w:rsidR="00F94477" w:rsidRPr="009257C7">
              <w:t>una nueva herramienta de notificaci</w:t>
            </w:r>
            <w:r w:rsidR="00962B95" w:rsidRPr="009257C7">
              <w:t>ón</w:t>
            </w:r>
            <w:r w:rsidR="008D120E" w:rsidRPr="009257C7">
              <w:t>.</w:t>
            </w:r>
          </w:p>
          <w:p w:rsidR="0001330E" w:rsidRPr="009257C7" w:rsidRDefault="002C55DB" w:rsidP="00962B95">
            <w:pPr>
              <w:pStyle w:val="enumlev1"/>
            </w:pPr>
            <w:r w:rsidRPr="009257C7">
              <w:t>–</w:t>
            </w:r>
            <w:r w:rsidRPr="009257C7">
              <w:tab/>
            </w:r>
            <w:r w:rsidR="0001330E" w:rsidRPr="009257C7">
              <w:t>Reescribir el software de cálculo de la DFP para la protección de los servicios espaciales: en curso</w:t>
            </w:r>
            <w:r w:rsidRPr="009257C7">
              <w:t>.</w:t>
            </w:r>
          </w:p>
          <w:p w:rsidR="0001330E" w:rsidRPr="009257C7" w:rsidRDefault="002C55DB" w:rsidP="00962B95">
            <w:pPr>
              <w:pStyle w:val="enumlev1"/>
            </w:pPr>
            <w:r w:rsidRPr="009257C7">
              <w:t>–</w:t>
            </w:r>
            <w:r w:rsidRPr="009257C7">
              <w:tab/>
            </w:r>
            <w:r w:rsidR="0001330E" w:rsidRPr="009257C7">
              <w:t>Migrar el software para los exámenes técnicos escrito en Fortran del compilador Compaq Visual Fortran al compilador Intel Fortran</w:t>
            </w:r>
            <w:r w:rsidRPr="009257C7">
              <w:t>.</w:t>
            </w:r>
          </w:p>
          <w:p w:rsidR="0001330E" w:rsidRPr="009257C7" w:rsidRDefault="002C55DB" w:rsidP="002C55DB">
            <w:pPr>
              <w:pStyle w:val="enumlev2"/>
            </w:pPr>
            <w:r w:rsidRPr="009257C7">
              <w:t>•</w:t>
            </w:r>
            <w:r w:rsidRPr="009257C7">
              <w:tab/>
            </w:r>
            <w:r w:rsidR="0001330E" w:rsidRPr="009257C7">
              <w:t>Componentes Fortran del GIMS: aún no se ha empezado</w:t>
            </w:r>
            <w:r w:rsidRPr="009257C7">
              <w:t>.</w:t>
            </w:r>
          </w:p>
          <w:p w:rsidR="00621814" w:rsidRPr="009257C7" w:rsidRDefault="002C55DB" w:rsidP="00962B95">
            <w:pPr>
              <w:pStyle w:val="enumlev1"/>
            </w:pPr>
            <w:r w:rsidRPr="009257C7">
              <w:t>–</w:t>
            </w:r>
            <w:r w:rsidRPr="009257C7">
              <w:tab/>
            </w:r>
            <w:r w:rsidR="00621814" w:rsidRPr="009257C7">
              <w:t xml:space="preserve">Mspace – </w:t>
            </w:r>
            <w:r w:rsidR="00F94477" w:rsidRPr="009257C7">
              <w:t xml:space="preserve">Migrar los componentes de Visual Basic 6 a </w:t>
            </w:r>
            <w:r w:rsidR="00621814" w:rsidRPr="009257C7">
              <w:t xml:space="preserve">.NET: </w:t>
            </w:r>
            <w:r w:rsidR="00F94477" w:rsidRPr="009257C7">
              <w:t>en curso</w:t>
            </w:r>
            <w:r w:rsidRPr="009257C7">
              <w:t>.</w:t>
            </w:r>
          </w:p>
          <w:p w:rsidR="00F846A9" w:rsidRPr="009257C7" w:rsidRDefault="00F846A9" w:rsidP="006B7D9B">
            <w:pPr>
              <w:pStyle w:val="Headingb"/>
              <w:keepNext w:val="0"/>
            </w:pPr>
            <w:r w:rsidRPr="009257C7">
              <w:t xml:space="preserve">Diseño y elaboración del </w:t>
            </w:r>
            <w:r w:rsidR="00835506" w:rsidRPr="009257C7">
              <w:t xml:space="preserve">sistema </w:t>
            </w:r>
            <w:r w:rsidRPr="009257C7">
              <w:t>de información espacial de la BR (BR SIS)</w:t>
            </w:r>
          </w:p>
          <w:p w:rsidR="00F846A9" w:rsidRPr="009257C7" w:rsidRDefault="00B30592" w:rsidP="00B30592">
            <w:pPr>
              <w:pStyle w:val="enumlev1"/>
            </w:pPr>
            <w:r w:rsidRPr="009257C7">
              <w:t>–</w:t>
            </w:r>
            <w:r w:rsidRPr="009257C7">
              <w:tab/>
            </w:r>
            <w:r w:rsidR="00F846A9" w:rsidRPr="009257C7">
              <w:t>Reescritura de SpaceVal en Visual Basic 6</w:t>
            </w:r>
          </w:p>
          <w:p w:rsidR="00F846A9" w:rsidRPr="009257C7" w:rsidRDefault="00F846A9" w:rsidP="00B30592">
            <w:pPr>
              <w:pStyle w:val="enumlev1"/>
            </w:pPr>
            <w:r w:rsidRPr="009257C7">
              <w:tab/>
            </w:r>
            <w:r w:rsidR="002B02C5" w:rsidRPr="009257C7">
              <w:t>En el SMR-18 se presentó una versión beta del nuevo B</w:t>
            </w:r>
            <w:r w:rsidR="00B30592" w:rsidRPr="009257C7">
              <w:t>R </w:t>
            </w:r>
            <w:r w:rsidR="002B02C5" w:rsidRPr="009257C7">
              <w:t>SIS Validation. La reescritura de SpaceVal exigió la automatización de 2</w:t>
            </w:r>
            <w:r w:rsidR="00B30592" w:rsidRPr="009257C7">
              <w:t> </w:t>
            </w:r>
            <w:r w:rsidR="002B02C5" w:rsidRPr="009257C7">
              <w:t>000 casos de prueba y la automatización de la comparación de los resultados de validación de la antigua y la nueva aplicación, teniendo en cuenta las cientos de mejoras que se efectuaron durante la migración. La versión de producción del</w:t>
            </w:r>
            <w:r w:rsidR="00B30592" w:rsidRPr="009257C7">
              <w:t xml:space="preserve"> BR </w:t>
            </w:r>
            <w:r w:rsidR="002B02C5" w:rsidRPr="009257C7">
              <w:t>SIS Validation está prevista para el segundo trimestre de 2019</w:t>
            </w:r>
            <w:r w:rsidR="00B30592" w:rsidRPr="009257C7">
              <w:t>.</w:t>
            </w:r>
          </w:p>
          <w:p w:rsidR="00F846A9" w:rsidRPr="009257C7" w:rsidRDefault="0062070C" w:rsidP="00B30592">
            <w:pPr>
              <w:pStyle w:val="enumlev1"/>
            </w:pPr>
            <w:r w:rsidRPr="009257C7">
              <w:t>–</w:t>
            </w:r>
            <w:r w:rsidRPr="009257C7">
              <w:tab/>
            </w:r>
            <w:r w:rsidR="00F846A9" w:rsidRPr="009257C7">
              <w:t>Reescritura de la aplicación SpaceCap escrita en Visual Basic 6</w:t>
            </w:r>
          </w:p>
          <w:p w:rsidR="00F846A9" w:rsidRPr="009257C7" w:rsidRDefault="0062070C" w:rsidP="00B30592">
            <w:pPr>
              <w:pStyle w:val="enumlev1"/>
              <w:rPr>
                <w:highlight w:val="lightGray"/>
              </w:rPr>
            </w:pPr>
            <w:r w:rsidRPr="009257C7">
              <w:tab/>
            </w:r>
            <w:r w:rsidR="00F846A9" w:rsidRPr="009257C7">
              <w:t>Se ha come</w:t>
            </w:r>
            <w:r w:rsidRPr="009257C7">
              <w:t>nzado a integrar SpaceCap en BR </w:t>
            </w:r>
            <w:r w:rsidR="00F846A9" w:rsidRPr="009257C7">
              <w:t>SIS; se integra un tipo de notificación tras otro.</w:t>
            </w:r>
          </w:p>
          <w:p w:rsidR="002A22D2" w:rsidRPr="009257C7" w:rsidRDefault="00681CC1" w:rsidP="00B30592">
            <w:pPr>
              <w:pStyle w:val="enumlev1"/>
              <w:rPr>
                <w:highlight w:val="lightGray"/>
              </w:rPr>
            </w:pPr>
            <w:r w:rsidRPr="009257C7">
              <w:t>–</w:t>
            </w:r>
            <w:r w:rsidRPr="009257C7">
              <w:tab/>
            </w:r>
            <w:r w:rsidR="002A22D2" w:rsidRPr="009257C7">
              <w:t xml:space="preserve">Migración de </w:t>
            </w:r>
            <w:r w:rsidRPr="009257C7">
              <w:t xml:space="preserve">SRS.mdb </w:t>
            </w:r>
            <w:r w:rsidR="002A22D2" w:rsidRPr="009257C7">
              <w:t>a tecnologías más modernas</w:t>
            </w:r>
          </w:p>
          <w:p w:rsidR="002A22D2" w:rsidRPr="009257C7" w:rsidRDefault="002A22D2" w:rsidP="00B30592">
            <w:pPr>
              <w:pStyle w:val="enumlev1"/>
            </w:pPr>
            <w:r w:rsidRPr="009257C7">
              <w:tab/>
            </w:r>
            <w:r w:rsidR="002B02C5" w:rsidRPr="009257C7">
              <w:t>La continuación de los trabajos sobre la aplicación de las decisiones de la CMR-15 y otras cuestiones de mayor prioridad impidió la introducción de SQLite en 2018</w:t>
            </w:r>
            <w:r w:rsidR="00C82342" w:rsidRPr="009257C7">
              <w:t xml:space="preserve">. </w:t>
            </w:r>
            <w:r w:rsidRPr="009257C7">
              <w:t>Las bases de datos SQLite para pruebas, que se pondrán a disposición de los usuarios externos en el primer trimestre de 201</w:t>
            </w:r>
            <w:r w:rsidR="00033782" w:rsidRPr="009257C7">
              <w:t>9</w:t>
            </w:r>
            <w:r w:rsidRPr="009257C7">
              <w:t>, y las aplicaciones incluidas en el DVD de la BR IFIC serán compatibles con SQLite a partir de la versión 9 de la base de datos SNS a más tardar, que aplicará las decisiones de la CMR-19</w:t>
            </w:r>
          </w:p>
          <w:p w:rsidR="00B33E21" w:rsidRPr="009257C7" w:rsidRDefault="00B33E21" w:rsidP="00B30592">
            <w:pPr>
              <w:pStyle w:val="enumlev1"/>
              <w:rPr>
                <w:highlight w:val="cyan"/>
              </w:rPr>
            </w:pPr>
            <w:r w:rsidRPr="009257C7">
              <w:lastRenderedPageBreak/>
              <w:tab/>
            </w:r>
            <w:r w:rsidR="00FB1325" w:rsidRPr="009257C7">
              <w:t xml:space="preserve">La compatibilidad del software espacial de la BR con el formato MDB, así como las herramientas de conversión, se mantendrán en </w:t>
            </w:r>
            <w:r w:rsidR="003573F0" w:rsidRPr="009257C7">
              <w:t>el</w:t>
            </w:r>
            <w:r w:rsidR="00FB1325" w:rsidRPr="009257C7">
              <w:t xml:space="preserve"> futuro pr</w:t>
            </w:r>
            <w:r w:rsidR="003573F0" w:rsidRPr="009257C7">
              <w:t>óximo</w:t>
            </w:r>
            <w:r w:rsidR="00FB1325" w:rsidRPr="009257C7">
              <w:t xml:space="preserve">, </w:t>
            </w:r>
            <w:r w:rsidRPr="009257C7">
              <w:t>a fin de que los usuarios externos dispongan de tiempo suficiente para adoptar la nueva tecnología.</w:t>
            </w:r>
          </w:p>
          <w:p w:rsidR="00B33E21" w:rsidRPr="009257C7" w:rsidRDefault="00EF14B3" w:rsidP="00B30592">
            <w:pPr>
              <w:pStyle w:val="enumlev1"/>
            </w:pPr>
            <w:r w:rsidRPr="009257C7">
              <w:t>–</w:t>
            </w:r>
            <w:r w:rsidRPr="009257C7">
              <w:tab/>
            </w:r>
            <w:r w:rsidR="00B33E21" w:rsidRPr="009257C7">
              <w:t>Migración de la base de datos SNS de Ingres a SQL Server</w:t>
            </w:r>
          </w:p>
          <w:p w:rsidR="00B33E21" w:rsidRPr="009257C7" w:rsidRDefault="00B33E21" w:rsidP="00B30592">
            <w:pPr>
              <w:pStyle w:val="enumlev1"/>
            </w:pPr>
            <w:r w:rsidRPr="009257C7">
              <w:tab/>
            </w:r>
            <w:r w:rsidR="002B02C5" w:rsidRPr="009257C7">
              <w:t xml:space="preserve">La migración de las </w:t>
            </w:r>
            <w:r w:rsidR="003573F0" w:rsidRPr="009257C7">
              <w:t xml:space="preserve">aplicaciones de tramitación interna del entorno Ingres </w:t>
            </w:r>
            <w:r w:rsidR="002B02C5" w:rsidRPr="009257C7">
              <w:t>continuó en 2018</w:t>
            </w:r>
            <w:r w:rsidRPr="009257C7">
              <w:t>. El resto de aplicaciones de tramitación interna se reescribirán o adaptarán en 2019.</w:t>
            </w:r>
          </w:p>
          <w:p w:rsidR="00B33E21" w:rsidRPr="009257C7" w:rsidRDefault="00B33E21" w:rsidP="00B30592">
            <w:pPr>
              <w:pStyle w:val="enumlev1"/>
            </w:pPr>
            <w:r w:rsidRPr="009257C7">
              <w:tab/>
            </w:r>
            <w:r w:rsidR="002B02C5" w:rsidRPr="009257C7">
              <w:t xml:space="preserve">La futura versión de SNS </w:t>
            </w:r>
            <w:r w:rsidR="003573F0" w:rsidRPr="009257C7">
              <w:t>en línea</w:t>
            </w:r>
            <w:r w:rsidR="002B02C5" w:rsidRPr="009257C7">
              <w:t xml:space="preserve">, que se </w:t>
            </w:r>
            <w:r w:rsidR="003573F0" w:rsidRPr="009257C7">
              <w:t>elaborar</w:t>
            </w:r>
            <w:r w:rsidR="002B02C5" w:rsidRPr="009257C7">
              <w:t xml:space="preserve">á para satisfacer el </w:t>
            </w:r>
            <w:r w:rsidR="002B02C5" w:rsidRPr="009257C7">
              <w:rPr>
                <w:i/>
                <w:iCs/>
              </w:rPr>
              <w:t>resuelve</w:t>
            </w:r>
            <w:r w:rsidR="002B02C5" w:rsidRPr="009257C7">
              <w:t xml:space="preserve"> 4 de la Resolución 186 (Rev. </w:t>
            </w:r>
            <w:r w:rsidR="003573F0" w:rsidRPr="009257C7">
              <w:t>Dubái</w:t>
            </w:r>
            <w:r w:rsidR="00391BDE" w:rsidRPr="009257C7">
              <w:t>, 2018</w:t>
            </w:r>
            <w:r w:rsidR="002B02C5" w:rsidRPr="009257C7">
              <w:t>)</w:t>
            </w:r>
            <w:r w:rsidR="003573F0" w:rsidRPr="009257C7">
              <w:t xml:space="preserve"> de la PP</w:t>
            </w:r>
            <w:r w:rsidR="002B02C5" w:rsidRPr="009257C7">
              <w:t xml:space="preserve">, se ejecutará en la base de datos </w:t>
            </w:r>
            <w:r w:rsidR="00391BDE" w:rsidRPr="009257C7">
              <w:t xml:space="preserve">del servidor </w:t>
            </w:r>
            <w:r w:rsidR="002B02C5" w:rsidRPr="009257C7">
              <w:t>SQL</w:t>
            </w:r>
            <w:r w:rsidR="00391BDE" w:rsidRPr="009257C7">
              <w:t xml:space="preserve"> </w:t>
            </w:r>
            <w:r w:rsidR="002B02C5" w:rsidRPr="009257C7">
              <w:t xml:space="preserve">y se basará en la tecnología ASP.NET MVC, que se ha utilizado para las </w:t>
            </w:r>
            <w:r w:rsidR="00391BDE" w:rsidRPr="009257C7">
              <w:t>aplicaciones de presentación</w:t>
            </w:r>
            <w:r w:rsidR="002B02C5" w:rsidRPr="009257C7">
              <w:t xml:space="preserve"> electrónica y SIRRS</w:t>
            </w:r>
            <w:r w:rsidRPr="009257C7">
              <w:t>.</w:t>
            </w:r>
          </w:p>
          <w:p w:rsidR="00B33E21" w:rsidRPr="009257C7" w:rsidRDefault="0032156B" w:rsidP="00B30592">
            <w:pPr>
              <w:pStyle w:val="enumlev1"/>
            </w:pPr>
            <w:r w:rsidRPr="009257C7">
              <w:t>–</w:t>
            </w:r>
            <w:r w:rsidRPr="009257C7">
              <w:tab/>
            </w:r>
            <w:r w:rsidR="001C5A54" w:rsidRPr="009257C7">
              <w:t>Examen de SNTrack</w:t>
            </w:r>
          </w:p>
          <w:p w:rsidR="00F846A9" w:rsidRPr="009257C7" w:rsidRDefault="001031F9" w:rsidP="000C1C96">
            <w:pPr>
              <w:pStyle w:val="enumlev1"/>
              <w:spacing w:after="120"/>
            </w:pPr>
            <w:r w:rsidRPr="009257C7">
              <w:tab/>
            </w:r>
            <w:r w:rsidR="00391BDE" w:rsidRPr="009257C7">
              <w:t xml:space="preserve">El </w:t>
            </w:r>
            <w:r w:rsidR="002B02C5" w:rsidRPr="009257C7">
              <w:t xml:space="preserve">SNTrack será reemplazado </w:t>
            </w:r>
            <w:r w:rsidR="00391BDE" w:rsidRPr="009257C7">
              <w:t xml:space="preserve">en 2019 </w:t>
            </w:r>
            <w:r w:rsidR="002B02C5" w:rsidRPr="009257C7">
              <w:t>por un Sistema de Inf</w:t>
            </w:r>
            <w:r w:rsidR="00391BDE" w:rsidRPr="009257C7">
              <w:t>ormación de Gestión del Espacio,</w:t>
            </w:r>
            <w:r w:rsidR="003632F1" w:rsidRPr="009257C7">
              <w:t xml:space="preserve"> que complementará</w:t>
            </w:r>
            <w:r w:rsidR="002B02C5" w:rsidRPr="009257C7">
              <w:t xml:space="preserve"> la funcionalidad de </w:t>
            </w:r>
            <w:r w:rsidR="003632F1" w:rsidRPr="009257C7">
              <w:t xml:space="preserve">administración </w:t>
            </w:r>
            <w:r w:rsidR="002B02C5" w:rsidRPr="009257C7">
              <w:t xml:space="preserve">del sistema </w:t>
            </w:r>
            <w:r w:rsidR="003632F1" w:rsidRPr="009257C7">
              <w:t>de presentación electrónica</w:t>
            </w:r>
            <w:r w:rsidR="0032156B" w:rsidRPr="009257C7">
              <w:t>.</w:t>
            </w:r>
          </w:p>
        </w:tc>
      </w:tr>
      <w:tr w:rsidR="000C1C96" w:rsidRPr="009257C7" w:rsidTr="00775FBA">
        <w:tc>
          <w:tcPr>
            <w:tcW w:w="9184" w:type="dxa"/>
          </w:tcPr>
          <w:p w:rsidR="000C1C96" w:rsidRPr="009257C7" w:rsidRDefault="000C1C96" w:rsidP="000C1C96">
            <w:pPr>
              <w:pStyle w:val="Headingb"/>
              <w:keepNext w:val="0"/>
              <w:spacing w:after="120"/>
            </w:pPr>
            <w:r w:rsidRPr="009257C7">
              <w:lastRenderedPageBreak/>
              <w:t>Fase 3: 1 de enero de 2016 – 31 de diciembre de 2018</w:t>
            </w:r>
          </w:p>
        </w:tc>
      </w:tr>
      <w:tr w:rsidR="000C1C96" w:rsidRPr="009257C7" w:rsidTr="00775FBA">
        <w:tc>
          <w:tcPr>
            <w:tcW w:w="9184" w:type="dxa"/>
          </w:tcPr>
          <w:p w:rsidR="000C1C96" w:rsidRPr="009257C7" w:rsidRDefault="000C1C96" w:rsidP="000C1C96">
            <w:r w:rsidRPr="009257C7">
              <w:t>Las tareas más importantes de la Fase 3 son las siguientes:</w:t>
            </w:r>
          </w:p>
          <w:p w:rsidR="000C1C96" w:rsidRPr="009257C7" w:rsidRDefault="000C1C96" w:rsidP="000C1C96">
            <w:pPr>
              <w:pStyle w:val="enumlev1"/>
            </w:pPr>
            <w:r w:rsidRPr="009257C7">
              <w:t>–</w:t>
            </w:r>
            <w:r w:rsidRPr="009257C7">
              <w:tab/>
              <w:t>Diseño de una base de datos conceptual común para servicios espaciales y terrenales.</w:t>
            </w:r>
          </w:p>
          <w:p w:rsidR="000C1C96" w:rsidRPr="009257C7" w:rsidRDefault="000C1C96" w:rsidP="000C1C96">
            <w:pPr>
              <w:pStyle w:val="enumlev1"/>
            </w:pPr>
            <w:r w:rsidRPr="009257C7">
              <w:t>–</w:t>
            </w:r>
            <w:r w:rsidRPr="009257C7">
              <w:tab/>
              <w:t>Definición de un marco de aplicación normalizado para los sistemas espaciales y terrenales, incluido el sistema marítimo (MARS), basado en las bases de datos marítimas de la UIT.</w:t>
            </w:r>
          </w:p>
          <w:p w:rsidR="000C1C96" w:rsidRPr="009257C7" w:rsidRDefault="000C1C96" w:rsidP="000C1C96">
            <w:pPr>
              <w:pStyle w:val="enumlev1"/>
            </w:pPr>
            <w:r w:rsidRPr="009257C7">
              <w:t>–</w:t>
            </w:r>
            <w:r w:rsidRPr="009257C7">
              <w:tab/>
              <w:t>Nuevo diseño del sistema espacial (aplicación de la arquitectura orientada al servicio.</w:t>
            </w:r>
          </w:p>
          <w:p w:rsidR="000C1C96" w:rsidRPr="009257C7" w:rsidRDefault="000C1C96" w:rsidP="000C1C96">
            <w:pPr>
              <w:pStyle w:val="enumlev1"/>
            </w:pPr>
            <w:r w:rsidRPr="009257C7">
              <w:t>–</w:t>
            </w:r>
            <w:r w:rsidRPr="009257C7">
              <w:tab/>
              <w:t>Considerar la gestión centralizada de riesgos, recuperación y seguridad</w:t>
            </w:r>
            <w:r w:rsidRPr="009257C7">
              <w:t>.</w:t>
            </w:r>
          </w:p>
          <w:p w:rsidR="000C1C96" w:rsidRPr="009257C7" w:rsidRDefault="000C1C96" w:rsidP="000C1C96">
            <w:r w:rsidRPr="009257C7">
              <w:t>El trabajo realizado durante las fases anteriores, así como las opciones tecnológicas y de diseño adoptadas, son una excelente base para la satisfactoria finalización de la Fase 3:</w:t>
            </w:r>
          </w:p>
          <w:p w:rsidR="000C1C96" w:rsidRPr="009257C7" w:rsidRDefault="005555BD" w:rsidP="000C1C96">
            <w:pPr>
              <w:pStyle w:val="enumlev1"/>
            </w:pPr>
            <w:r w:rsidRPr="009257C7">
              <w:t>–</w:t>
            </w:r>
            <w:r w:rsidRPr="009257C7">
              <w:tab/>
            </w:r>
            <w:r w:rsidR="000C1C96" w:rsidRPr="009257C7">
              <w:t>Las bases de datos espaciales migrarán a la plataforma SQL Server a finales de 2019.</w:t>
            </w:r>
          </w:p>
          <w:p w:rsidR="000C1C96" w:rsidRPr="009257C7" w:rsidRDefault="005555BD" w:rsidP="000C1C96">
            <w:pPr>
              <w:pStyle w:val="enumlev1"/>
            </w:pPr>
            <w:r w:rsidRPr="009257C7">
              <w:t>–</w:t>
            </w:r>
            <w:r w:rsidRPr="009257C7">
              <w:tab/>
            </w:r>
            <w:r w:rsidR="000C1C96" w:rsidRPr="009257C7">
              <w:t>Será posible rediseñar la arquitectura, conservando la equivalencia de los datos, a fin de eliminar ciertas redundancias y lograr la armonización espacial/terrenal, junto con otros cambios necesarios para aplicar las decisiones de la CMR-19.</w:t>
            </w:r>
          </w:p>
          <w:p w:rsidR="000C1C96" w:rsidRPr="009257C7" w:rsidRDefault="005555BD" w:rsidP="000C1C96">
            <w:pPr>
              <w:pStyle w:val="enumlev1"/>
            </w:pPr>
            <w:r w:rsidRPr="009257C7">
              <w:t>–</w:t>
            </w:r>
            <w:r w:rsidRPr="009257C7">
              <w:tab/>
            </w:r>
            <w:r w:rsidR="000C1C96" w:rsidRPr="009257C7">
              <w:t>Tradicionalmente, los marcos de aplicación escritorio del sistema terrenal, el sistema espacial y el MARS han sido muy distintos y es posible que lo sigan siendo por ahora. Cada vez resulta menos necesario normalizar un marco único a medida que se van ofreciendo más funcionalidades a través de aplicaciones web.</w:t>
            </w:r>
          </w:p>
          <w:p w:rsidR="000C1C96" w:rsidRPr="009257C7" w:rsidRDefault="005555BD" w:rsidP="000C1C96">
            <w:pPr>
              <w:pStyle w:val="enumlev1"/>
            </w:pPr>
            <w:r w:rsidRPr="009257C7">
              <w:t>–</w:t>
            </w:r>
            <w:r w:rsidRPr="009257C7">
              <w:tab/>
            </w:r>
            <w:r w:rsidR="000C1C96" w:rsidRPr="009257C7">
              <w:t>El marco de aplicación web normalizado utilizado para las nuevas creaciones (por ejemplo, SIRRS, presentación electrónica) y para el rediseño de las aplicaciones web del sistema espacial existentes (SNS Online) será ASP.NET MVC, que también ha recibido el beneplácito del Departamento IS y es el marco de aplicación web en el que se ha basado el proyecto MARS.</w:t>
            </w:r>
          </w:p>
          <w:p w:rsidR="000C1C96" w:rsidRPr="009257C7" w:rsidRDefault="005555BD" w:rsidP="008459C0">
            <w:pPr>
              <w:pStyle w:val="enumlev1"/>
              <w:keepNext/>
              <w:keepLines/>
            </w:pPr>
            <w:r w:rsidRPr="009257C7">
              <w:lastRenderedPageBreak/>
              <w:t>–</w:t>
            </w:r>
            <w:r w:rsidRPr="009257C7">
              <w:tab/>
            </w:r>
            <w:r w:rsidR="000C1C96" w:rsidRPr="009257C7">
              <w:t>La adopción de la plataforma .Net y de la arquitectura de diseño Prism facilitará la transición de las aplicaciones escritorio a las aplicaciones web, sabiendo que el marco de desarrollo de aplicaciones web preferido se basa en la misma tecnología base y el mismo lenguaje de programación.</w:t>
            </w:r>
          </w:p>
          <w:p w:rsidR="000C1C96" w:rsidRPr="009257C7" w:rsidRDefault="005555BD" w:rsidP="000463BC">
            <w:pPr>
              <w:pStyle w:val="enumlev1"/>
              <w:spacing w:after="120"/>
            </w:pPr>
            <w:r w:rsidRPr="009257C7">
              <w:t>–</w:t>
            </w:r>
            <w:r w:rsidRPr="009257C7">
              <w:tab/>
            </w:r>
            <w:r w:rsidR="000C1C96" w:rsidRPr="009257C7">
              <w:t>Las actividades para la centralización y racionalización de la gestión de riesgos, recuperación y seguridad están en curso.</w:t>
            </w:r>
          </w:p>
        </w:tc>
      </w:tr>
    </w:tbl>
    <w:p w:rsidR="00E51BDC" w:rsidRPr="009257C7" w:rsidRDefault="00E51BDC" w:rsidP="0032202E">
      <w:pPr>
        <w:pStyle w:val="Reasons"/>
        <w:rPr>
          <w:lang w:val="es-ES_tradnl"/>
        </w:rPr>
      </w:pPr>
    </w:p>
    <w:p w:rsidR="00E51BDC" w:rsidRPr="009257C7" w:rsidRDefault="00E51BDC">
      <w:pPr>
        <w:jc w:val="center"/>
      </w:pPr>
      <w:r w:rsidRPr="009257C7">
        <w:t>______________</w:t>
      </w:r>
    </w:p>
    <w:sectPr w:rsidR="00E51BDC" w:rsidRPr="009257C7" w:rsidSect="004D6C09">
      <w:headerReference w:type="default" r:id="rId43"/>
      <w:footerReference w:type="default" r:id="rId44"/>
      <w:footerReference w:type="first" r:id="rId4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EF6" w:rsidRDefault="005D0EF6">
      <w:r>
        <w:separator/>
      </w:r>
    </w:p>
    <w:p w:rsidR="005D0EF6" w:rsidRDefault="005D0EF6"/>
  </w:endnote>
  <w:endnote w:type="continuationSeparator" w:id="0">
    <w:p w:rsidR="005D0EF6" w:rsidRDefault="005D0EF6">
      <w:r>
        <w:continuationSeparator/>
      </w:r>
    </w:p>
    <w:p w:rsidR="005D0EF6" w:rsidRDefault="005D0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41D" w:rsidRPr="00C84AF5" w:rsidRDefault="0019641D" w:rsidP="0019641D">
    <w:pPr>
      <w:pStyle w:val="Footer"/>
      <w:rPr>
        <w:lang w:val="en-US"/>
      </w:rPr>
    </w:pPr>
    <w:r w:rsidRPr="00C84AF5">
      <w:rPr>
        <w:lang w:val="en-US"/>
      </w:rPr>
      <w:fldChar w:fldCharType="begin"/>
    </w:r>
    <w:r w:rsidRPr="00C84AF5">
      <w:rPr>
        <w:lang w:val="en-US"/>
      </w:rPr>
      <w:instrText xml:space="preserve"> FILENAME \p  \* MERGEFORMAT </w:instrText>
    </w:r>
    <w:r w:rsidRPr="00C84AF5">
      <w:rPr>
        <w:lang w:val="en-US"/>
      </w:rPr>
      <w:fldChar w:fldCharType="separate"/>
    </w:r>
    <w:r>
      <w:rPr>
        <w:lang w:val="en-US"/>
      </w:rPr>
      <w:t>P:\ESP\ITU-R\AG\RAG\RAG19\000\001S.docx</w:t>
    </w:r>
    <w:r w:rsidRPr="00C84AF5">
      <w:rPr>
        <w:lang w:val="en-US"/>
      </w:rPr>
      <w:fldChar w:fldCharType="end"/>
    </w:r>
    <w:r>
      <w:rPr>
        <w:lang w:val="en-US"/>
      </w:rPr>
      <w:t xml:space="preserve"> (444319</w:t>
    </w:r>
    <w:r w:rsidRPr="00C84AF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41D" w:rsidRPr="00C84AF5" w:rsidRDefault="0019641D" w:rsidP="0019641D">
    <w:pPr>
      <w:pStyle w:val="Footer"/>
      <w:rPr>
        <w:lang w:val="en-US"/>
      </w:rPr>
    </w:pPr>
    <w:r w:rsidRPr="00C84AF5">
      <w:rPr>
        <w:lang w:val="en-US"/>
      </w:rPr>
      <w:fldChar w:fldCharType="begin"/>
    </w:r>
    <w:r w:rsidRPr="00C84AF5">
      <w:rPr>
        <w:lang w:val="en-US"/>
      </w:rPr>
      <w:instrText xml:space="preserve"> FILENAME \p  \* MERGEFORMAT </w:instrText>
    </w:r>
    <w:r w:rsidRPr="00C84AF5">
      <w:rPr>
        <w:lang w:val="en-US"/>
      </w:rPr>
      <w:fldChar w:fldCharType="separate"/>
    </w:r>
    <w:r>
      <w:rPr>
        <w:lang w:val="en-US"/>
      </w:rPr>
      <w:t>P:\ESP\ITU-R\AG\RAG\RAG19\000\001S.docx</w:t>
    </w:r>
    <w:r w:rsidRPr="00C84AF5">
      <w:rPr>
        <w:lang w:val="en-US"/>
      </w:rPr>
      <w:fldChar w:fldCharType="end"/>
    </w:r>
    <w:r>
      <w:rPr>
        <w:lang w:val="en-US"/>
      </w:rPr>
      <w:t xml:space="preserve"> (444319</w:t>
    </w:r>
    <w:r w:rsidRPr="00C84AF5">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41D" w:rsidRPr="00C84AF5" w:rsidRDefault="0019641D" w:rsidP="0019641D">
    <w:pPr>
      <w:pStyle w:val="Footer"/>
      <w:rPr>
        <w:lang w:val="en-US"/>
      </w:rPr>
    </w:pPr>
    <w:r w:rsidRPr="00C84AF5">
      <w:rPr>
        <w:lang w:val="en-US"/>
      </w:rPr>
      <w:fldChar w:fldCharType="begin"/>
    </w:r>
    <w:r w:rsidRPr="00C84AF5">
      <w:rPr>
        <w:lang w:val="en-US"/>
      </w:rPr>
      <w:instrText xml:space="preserve"> FILENAME \p  \* MERGEFORMAT </w:instrText>
    </w:r>
    <w:r w:rsidRPr="00C84AF5">
      <w:rPr>
        <w:lang w:val="en-US"/>
      </w:rPr>
      <w:fldChar w:fldCharType="separate"/>
    </w:r>
    <w:r>
      <w:rPr>
        <w:lang w:val="en-US"/>
      </w:rPr>
      <w:t>P:\ESP\ITU-R\AG\RAG\RAG19\000\001S.docx</w:t>
    </w:r>
    <w:r w:rsidRPr="00C84AF5">
      <w:rPr>
        <w:lang w:val="en-US"/>
      </w:rPr>
      <w:fldChar w:fldCharType="end"/>
    </w:r>
    <w:r>
      <w:rPr>
        <w:lang w:val="en-US"/>
      </w:rPr>
      <w:t xml:space="preserve"> (444319</w:t>
    </w:r>
    <w:r w:rsidRPr="00C84AF5">
      <w:rPr>
        <w:lang w:val="en-US"/>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EF6" w:rsidRDefault="005D0EF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EF6" w:rsidRPr="00C84AF5" w:rsidRDefault="005D0EF6" w:rsidP="00E7660B">
    <w:pPr>
      <w:pStyle w:val="Footer"/>
      <w:rPr>
        <w:lang w:val="sv-SE"/>
      </w:rPr>
    </w:pPr>
    <w:r>
      <w:fldChar w:fldCharType="begin"/>
    </w:r>
    <w:r w:rsidRPr="00C84AF5">
      <w:rPr>
        <w:lang w:val="sv-SE"/>
      </w:rPr>
      <w:instrText xml:space="preserve"> FILENAME  \p  \* MERGEFORMAT </w:instrText>
    </w:r>
    <w:r>
      <w:fldChar w:fldCharType="separate"/>
    </w:r>
    <w:r>
      <w:rPr>
        <w:lang w:val="sv-SE"/>
      </w:rPr>
      <w:t>P:\TRAD\S\ITU-R\AG\RAG\RAG19\000\001S_Montaje.docx</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41D" w:rsidRPr="00C84AF5" w:rsidRDefault="0019641D" w:rsidP="0019641D">
    <w:pPr>
      <w:pStyle w:val="Footer"/>
      <w:rPr>
        <w:lang w:val="en-US"/>
      </w:rPr>
    </w:pPr>
    <w:r w:rsidRPr="00C84AF5">
      <w:rPr>
        <w:lang w:val="en-US"/>
      </w:rPr>
      <w:fldChar w:fldCharType="begin"/>
    </w:r>
    <w:r w:rsidRPr="00C84AF5">
      <w:rPr>
        <w:lang w:val="en-US"/>
      </w:rPr>
      <w:instrText xml:space="preserve"> FILENAME \p  \* MERGEFORMAT </w:instrText>
    </w:r>
    <w:r w:rsidRPr="00C84AF5">
      <w:rPr>
        <w:lang w:val="en-US"/>
      </w:rPr>
      <w:fldChar w:fldCharType="separate"/>
    </w:r>
    <w:r>
      <w:rPr>
        <w:lang w:val="en-US"/>
      </w:rPr>
      <w:t>P:\ESP\ITU-R\AG\RAG\RAG19\000\001S.docx</w:t>
    </w:r>
    <w:r w:rsidRPr="00C84AF5">
      <w:rPr>
        <w:lang w:val="en-US"/>
      </w:rPr>
      <w:fldChar w:fldCharType="end"/>
    </w:r>
    <w:r>
      <w:rPr>
        <w:lang w:val="en-US"/>
      </w:rPr>
      <w:t xml:space="preserve"> (444319</w:t>
    </w:r>
    <w:r w:rsidRPr="00C84AF5">
      <w:rPr>
        <w:lang w:val="en-US"/>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41D" w:rsidRPr="00C84AF5" w:rsidRDefault="0019641D" w:rsidP="0019641D">
    <w:pPr>
      <w:pStyle w:val="Footer"/>
      <w:rPr>
        <w:lang w:val="en-US"/>
      </w:rPr>
    </w:pPr>
    <w:r w:rsidRPr="00C84AF5">
      <w:rPr>
        <w:lang w:val="en-US"/>
      </w:rPr>
      <w:fldChar w:fldCharType="begin"/>
    </w:r>
    <w:r w:rsidRPr="00C84AF5">
      <w:rPr>
        <w:lang w:val="en-US"/>
      </w:rPr>
      <w:instrText xml:space="preserve"> FILENAME \p  \* MERGEFORMAT </w:instrText>
    </w:r>
    <w:r w:rsidRPr="00C84AF5">
      <w:rPr>
        <w:lang w:val="en-US"/>
      </w:rPr>
      <w:fldChar w:fldCharType="separate"/>
    </w:r>
    <w:r>
      <w:rPr>
        <w:lang w:val="en-US"/>
      </w:rPr>
      <w:t>P:\ESP\ITU-R\AG\RAG\RAG19\000\001S.docx</w:t>
    </w:r>
    <w:r w:rsidRPr="00C84AF5">
      <w:rPr>
        <w:lang w:val="en-US"/>
      </w:rPr>
      <w:fldChar w:fldCharType="end"/>
    </w:r>
    <w:r>
      <w:rPr>
        <w:lang w:val="en-US"/>
      </w:rPr>
      <w:t xml:space="preserve"> (444319</w:t>
    </w:r>
    <w:r w:rsidRPr="00C84AF5">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EF6" w:rsidRDefault="005D0EF6">
      <w:r>
        <w:t>____________________</w:t>
      </w:r>
    </w:p>
    <w:p w:rsidR="005D0EF6" w:rsidRDefault="005D0EF6"/>
  </w:footnote>
  <w:footnote w:type="continuationSeparator" w:id="0">
    <w:p w:rsidR="005D0EF6" w:rsidRDefault="005D0EF6">
      <w:r>
        <w:continuationSeparator/>
      </w:r>
    </w:p>
    <w:p w:rsidR="005D0EF6" w:rsidRDefault="005D0E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362451"/>
      <w:docPartObj>
        <w:docPartGallery w:val="Page Numbers (Top of Page)"/>
        <w:docPartUnique/>
      </w:docPartObj>
    </w:sdtPr>
    <w:sdtEndPr>
      <w:rPr>
        <w:noProof/>
      </w:rPr>
    </w:sdtEndPr>
    <w:sdtContent>
      <w:p w:rsidR="005D0EF6" w:rsidRDefault="005D0EF6" w:rsidP="00E7660B">
        <w:pPr>
          <w:pStyle w:val="Header"/>
        </w:pPr>
        <w:r>
          <w:fldChar w:fldCharType="begin"/>
        </w:r>
        <w:r>
          <w:instrText xml:space="preserve"> PAGE   \* MERGEFORMAT </w:instrText>
        </w:r>
        <w:r>
          <w:fldChar w:fldCharType="separate"/>
        </w:r>
        <w:r w:rsidR="00A16436">
          <w:rPr>
            <w:noProof/>
          </w:rPr>
          <w:t>12</w:t>
        </w:r>
        <w:r>
          <w:rPr>
            <w:noProof/>
          </w:rPr>
          <w:fldChar w:fldCharType="end"/>
        </w:r>
      </w:p>
      <w:p w:rsidR="005D0EF6" w:rsidRPr="00800972" w:rsidRDefault="005D0EF6" w:rsidP="005723BA">
        <w:pPr>
          <w:pStyle w:val="Header"/>
        </w:pPr>
        <w:r>
          <w:t>RAG19/1-S</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694272"/>
      <w:docPartObj>
        <w:docPartGallery w:val="Page Numbers (Top of Page)"/>
        <w:docPartUnique/>
      </w:docPartObj>
    </w:sdtPr>
    <w:sdtEndPr>
      <w:rPr>
        <w:noProof/>
      </w:rPr>
    </w:sdtEndPr>
    <w:sdtContent>
      <w:sdt>
        <w:sdtPr>
          <w:id w:val="2029052922"/>
          <w:docPartObj>
            <w:docPartGallery w:val="Page Numbers (Top of Page)"/>
            <w:docPartUnique/>
          </w:docPartObj>
        </w:sdtPr>
        <w:sdtEndPr>
          <w:rPr>
            <w:noProof/>
          </w:rPr>
        </w:sdtEndPr>
        <w:sdtContent>
          <w:p w:rsidR="005D0EF6" w:rsidRDefault="005D0EF6" w:rsidP="00E7660B">
            <w:pPr>
              <w:pStyle w:val="Header"/>
            </w:pPr>
            <w:r>
              <w:fldChar w:fldCharType="begin"/>
            </w:r>
            <w:r>
              <w:instrText xml:space="preserve"> PAGE   \* MERGEFORMAT </w:instrText>
            </w:r>
            <w:r>
              <w:fldChar w:fldCharType="separate"/>
            </w:r>
            <w:r w:rsidR="00A16436">
              <w:rPr>
                <w:noProof/>
              </w:rPr>
              <w:t>21</w:t>
            </w:r>
            <w:r>
              <w:rPr>
                <w:noProof/>
              </w:rPr>
              <w:fldChar w:fldCharType="end"/>
            </w:r>
          </w:p>
          <w:p w:rsidR="005D0EF6" w:rsidRPr="00800972" w:rsidRDefault="005D0EF6" w:rsidP="00AC5A5D">
            <w:pPr>
              <w:pStyle w:val="Header"/>
            </w:pPr>
            <w:r>
              <w:t>RAG19/1-S</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841590"/>
      <w:docPartObj>
        <w:docPartGallery w:val="Page Numbers (Top of Page)"/>
        <w:docPartUnique/>
      </w:docPartObj>
    </w:sdtPr>
    <w:sdtEndPr>
      <w:rPr>
        <w:noProof/>
      </w:rPr>
    </w:sdtEndPr>
    <w:sdtContent>
      <w:p w:rsidR="005D0EF6" w:rsidRDefault="005D0EF6" w:rsidP="00E7660B">
        <w:pPr>
          <w:pStyle w:val="Header"/>
        </w:pPr>
        <w:r>
          <w:fldChar w:fldCharType="begin"/>
        </w:r>
        <w:r>
          <w:instrText xml:space="preserve"> PAGE   \* MERGEFORMAT </w:instrText>
        </w:r>
        <w:r>
          <w:fldChar w:fldCharType="separate"/>
        </w:r>
        <w:r w:rsidR="00A16436">
          <w:rPr>
            <w:noProof/>
          </w:rPr>
          <w:t>22</w:t>
        </w:r>
        <w:r>
          <w:rPr>
            <w:noProof/>
          </w:rPr>
          <w:fldChar w:fldCharType="end"/>
        </w:r>
      </w:p>
      <w:p w:rsidR="005D0EF6" w:rsidRPr="00800972" w:rsidRDefault="005D0EF6" w:rsidP="007C1CE2">
        <w:pPr>
          <w:pStyle w:val="Header"/>
        </w:pPr>
        <w:r>
          <w:t>RAG19/1-S</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EF6" w:rsidRDefault="005D0EF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EF6" w:rsidRDefault="005D0EF6" w:rsidP="00E7660B">
    <w:pPr>
      <w:pStyle w:val="Header"/>
      <w:rPr>
        <w:lang w:val="es-ES"/>
      </w:rPr>
    </w:pPr>
    <w:r>
      <w:fldChar w:fldCharType="begin"/>
    </w:r>
    <w:r>
      <w:instrText xml:space="preserve"> PAGE </w:instrText>
    </w:r>
    <w:r>
      <w:fldChar w:fldCharType="separate"/>
    </w:r>
    <w:r w:rsidR="00A1713F">
      <w:rPr>
        <w:noProof/>
      </w:rPr>
      <w:t>24</w:t>
    </w:r>
    <w:r>
      <w:rPr>
        <w:noProof/>
      </w:rPr>
      <w:fldChar w:fldCharType="end"/>
    </w:r>
  </w:p>
  <w:p w:rsidR="005D0EF6" w:rsidRDefault="005D0EF6" w:rsidP="00E7660B">
    <w:pPr>
      <w:pStyle w:val="Header"/>
      <w:rPr>
        <w:lang w:val="es-ES"/>
      </w:rPr>
    </w:pPr>
    <w:r>
      <w:t>RAG18/1-E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575127"/>
      <w:docPartObj>
        <w:docPartGallery w:val="Page Numbers (Top of Page)"/>
        <w:docPartUnique/>
      </w:docPartObj>
    </w:sdtPr>
    <w:sdtEndPr>
      <w:rPr>
        <w:noProof/>
      </w:rPr>
    </w:sdtEndPr>
    <w:sdtContent>
      <w:p w:rsidR="005D0EF6" w:rsidRDefault="005D0EF6" w:rsidP="00E7660B">
        <w:pPr>
          <w:pStyle w:val="Header"/>
        </w:pPr>
        <w:r>
          <w:fldChar w:fldCharType="begin"/>
        </w:r>
        <w:r>
          <w:instrText xml:space="preserve"> PAGE   \* MERGEFORMAT </w:instrText>
        </w:r>
        <w:r>
          <w:fldChar w:fldCharType="separate"/>
        </w:r>
        <w:r w:rsidR="0019641D">
          <w:rPr>
            <w:noProof/>
          </w:rPr>
          <w:t>24</w:t>
        </w:r>
        <w:r>
          <w:rPr>
            <w:noProof/>
          </w:rPr>
          <w:fldChar w:fldCharType="end"/>
        </w:r>
      </w:p>
      <w:p w:rsidR="005D0EF6" w:rsidRDefault="005D0EF6" w:rsidP="00E7660B">
        <w:pPr>
          <w:pStyle w:val="Header"/>
        </w:pPr>
        <w:r>
          <w:t>RAG19/1-S</w:t>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EF6" w:rsidRDefault="005D0EF6">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19641D">
      <w:rPr>
        <w:rStyle w:val="PageNumber"/>
        <w:noProof/>
      </w:rPr>
      <w:t>26</w:t>
    </w:r>
    <w:r>
      <w:rPr>
        <w:rStyle w:val="PageNumber"/>
      </w:rPr>
      <w:fldChar w:fldCharType="end"/>
    </w:r>
  </w:p>
  <w:p w:rsidR="005D0EF6" w:rsidRPr="009F680E" w:rsidRDefault="005D0EF6" w:rsidP="009F680E">
    <w:pPr>
      <w:pStyle w:val="Header"/>
      <w:rPr>
        <w:lang w:val="es-ES"/>
      </w:rPr>
    </w:pPr>
    <w:r>
      <w:rPr>
        <w:lang w:val="es-ES"/>
      </w:rPr>
      <w:t>RAG19/1-S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C5FFE"/>
    <w:multiLevelType w:val="hybridMultilevel"/>
    <w:tmpl w:val="DDD60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5D62EC"/>
    <w:multiLevelType w:val="hybridMultilevel"/>
    <w:tmpl w:val="78BE6D8C"/>
    <w:lvl w:ilvl="0" w:tplc="D3E6C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08137A"/>
    <w:multiLevelType w:val="hybridMultilevel"/>
    <w:tmpl w:val="E3EE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C57900"/>
    <w:multiLevelType w:val="hybridMultilevel"/>
    <w:tmpl w:val="A2D41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10E54875"/>
    <w:multiLevelType w:val="hybridMultilevel"/>
    <w:tmpl w:val="FDB6E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586D35"/>
    <w:multiLevelType w:val="hybridMultilevel"/>
    <w:tmpl w:val="D216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187E6C"/>
    <w:multiLevelType w:val="multilevel"/>
    <w:tmpl w:val="B2C475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098288D"/>
    <w:multiLevelType w:val="hybridMultilevel"/>
    <w:tmpl w:val="C58A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50275F"/>
    <w:multiLevelType w:val="hybridMultilevel"/>
    <w:tmpl w:val="301E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A8353B"/>
    <w:multiLevelType w:val="hybridMultilevel"/>
    <w:tmpl w:val="93BADE0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187C8C"/>
    <w:multiLevelType w:val="hybridMultilevel"/>
    <w:tmpl w:val="4BD47962"/>
    <w:lvl w:ilvl="0" w:tplc="04090001">
      <w:start w:val="1"/>
      <w:numFmt w:val="bullet"/>
      <w:lvlText w:val=""/>
      <w:lvlJc w:val="left"/>
      <w:pPr>
        <w:ind w:left="720" w:hanging="360"/>
      </w:pPr>
      <w:rPr>
        <w:rFonts w:ascii="Symbol" w:hAnsi="Symbol"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33A205B9"/>
    <w:multiLevelType w:val="hybridMultilevel"/>
    <w:tmpl w:val="565A26BC"/>
    <w:lvl w:ilvl="0" w:tplc="CDDE7946">
      <w:start w:val="8"/>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72229C"/>
    <w:multiLevelType w:val="multilevel"/>
    <w:tmpl w:val="9BE8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232ADA"/>
    <w:multiLevelType w:val="hybridMultilevel"/>
    <w:tmpl w:val="68CCB3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94F4E"/>
    <w:multiLevelType w:val="hybridMultilevel"/>
    <w:tmpl w:val="3926F0D8"/>
    <w:lvl w:ilvl="0" w:tplc="7E42355C">
      <w:numFmt w:val="bullet"/>
      <w:lvlText w:val="-"/>
      <w:lvlJc w:val="left"/>
      <w:pPr>
        <w:ind w:left="752" w:hanging="360"/>
      </w:pPr>
      <w:rPr>
        <w:rFonts w:ascii="Verdana" w:eastAsia="SimSun" w:hAnsi="Verdana" w:cs="Times New Roman" w:hint="default"/>
      </w:rPr>
    </w:lvl>
    <w:lvl w:ilvl="1" w:tplc="08090003">
      <w:start w:val="1"/>
      <w:numFmt w:val="bullet"/>
      <w:lvlText w:val="o"/>
      <w:lvlJc w:val="left"/>
      <w:pPr>
        <w:ind w:left="1472" w:hanging="360"/>
      </w:pPr>
      <w:rPr>
        <w:rFonts w:ascii="Courier New" w:hAnsi="Courier New" w:cs="Courier New" w:hint="default"/>
      </w:rPr>
    </w:lvl>
    <w:lvl w:ilvl="2" w:tplc="08090005">
      <w:start w:val="1"/>
      <w:numFmt w:val="bullet"/>
      <w:lvlText w:val=""/>
      <w:lvlJc w:val="left"/>
      <w:pPr>
        <w:ind w:left="2192" w:hanging="360"/>
      </w:pPr>
      <w:rPr>
        <w:rFonts w:ascii="Wingdings" w:hAnsi="Wingdings" w:hint="default"/>
      </w:rPr>
    </w:lvl>
    <w:lvl w:ilvl="3" w:tplc="08090001">
      <w:start w:val="1"/>
      <w:numFmt w:val="bullet"/>
      <w:lvlText w:val=""/>
      <w:lvlJc w:val="left"/>
      <w:pPr>
        <w:ind w:left="2912" w:hanging="360"/>
      </w:pPr>
      <w:rPr>
        <w:rFonts w:ascii="Symbol" w:hAnsi="Symbol" w:hint="default"/>
      </w:rPr>
    </w:lvl>
    <w:lvl w:ilvl="4" w:tplc="08090003">
      <w:start w:val="1"/>
      <w:numFmt w:val="bullet"/>
      <w:lvlText w:val="o"/>
      <w:lvlJc w:val="left"/>
      <w:pPr>
        <w:ind w:left="3632" w:hanging="360"/>
      </w:pPr>
      <w:rPr>
        <w:rFonts w:ascii="Courier New" w:hAnsi="Courier New" w:cs="Courier New" w:hint="default"/>
      </w:rPr>
    </w:lvl>
    <w:lvl w:ilvl="5" w:tplc="08090005">
      <w:start w:val="1"/>
      <w:numFmt w:val="bullet"/>
      <w:lvlText w:val=""/>
      <w:lvlJc w:val="left"/>
      <w:pPr>
        <w:ind w:left="4352" w:hanging="360"/>
      </w:pPr>
      <w:rPr>
        <w:rFonts w:ascii="Wingdings" w:hAnsi="Wingdings" w:hint="default"/>
      </w:rPr>
    </w:lvl>
    <w:lvl w:ilvl="6" w:tplc="08090001">
      <w:start w:val="1"/>
      <w:numFmt w:val="bullet"/>
      <w:lvlText w:val=""/>
      <w:lvlJc w:val="left"/>
      <w:pPr>
        <w:ind w:left="5072" w:hanging="360"/>
      </w:pPr>
      <w:rPr>
        <w:rFonts w:ascii="Symbol" w:hAnsi="Symbol" w:hint="default"/>
      </w:rPr>
    </w:lvl>
    <w:lvl w:ilvl="7" w:tplc="08090003">
      <w:start w:val="1"/>
      <w:numFmt w:val="bullet"/>
      <w:lvlText w:val="o"/>
      <w:lvlJc w:val="left"/>
      <w:pPr>
        <w:ind w:left="5792" w:hanging="360"/>
      </w:pPr>
      <w:rPr>
        <w:rFonts w:ascii="Courier New" w:hAnsi="Courier New" w:cs="Courier New" w:hint="default"/>
      </w:rPr>
    </w:lvl>
    <w:lvl w:ilvl="8" w:tplc="08090005">
      <w:start w:val="1"/>
      <w:numFmt w:val="bullet"/>
      <w:lvlText w:val=""/>
      <w:lvlJc w:val="left"/>
      <w:pPr>
        <w:ind w:left="6512" w:hanging="360"/>
      </w:pPr>
      <w:rPr>
        <w:rFonts w:ascii="Wingdings" w:hAnsi="Wingdings" w:hint="default"/>
      </w:rPr>
    </w:lvl>
  </w:abstractNum>
  <w:abstractNum w:abstractNumId="25" w15:restartNumberingAfterBreak="0">
    <w:nsid w:val="4B9A1AC3"/>
    <w:multiLevelType w:val="hybridMultilevel"/>
    <w:tmpl w:val="D6645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061DF8"/>
    <w:multiLevelType w:val="hybridMultilevel"/>
    <w:tmpl w:val="0484A6DC"/>
    <w:lvl w:ilvl="0" w:tplc="040A48E6">
      <w:start w:val="13"/>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DCB35E7"/>
    <w:multiLevelType w:val="hybridMultilevel"/>
    <w:tmpl w:val="15607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4F19DF"/>
    <w:multiLevelType w:val="hybridMultilevel"/>
    <w:tmpl w:val="5078A184"/>
    <w:lvl w:ilvl="0" w:tplc="B63829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E35611"/>
    <w:multiLevelType w:val="hybridMultilevel"/>
    <w:tmpl w:val="37F87BE8"/>
    <w:lvl w:ilvl="0" w:tplc="6650986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3E2A0B"/>
    <w:multiLevelType w:val="hybridMultilevel"/>
    <w:tmpl w:val="5D68C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A00463"/>
    <w:multiLevelType w:val="hybridMultilevel"/>
    <w:tmpl w:val="E0B644C8"/>
    <w:lvl w:ilvl="0" w:tplc="CDDE7946">
      <w:start w:val="8"/>
      <w:numFmt w:val="bullet"/>
      <w:lvlText w:val="-"/>
      <w:lvlJc w:val="left"/>
      <w:pPr>
        <w:ind w:left="1154" w:hanging="360"/>
      </w:pPr>
      <w:rPr>
        <w:rFonts w:ascii="Times New Roman" w:eastAsia="Times New Roma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32" w15:restartNumberingAfterBreak="0">
    <w:nsid w:val="6E795C5C"/>
    <w:multiLevelType w:val="hybridMultilevel"/>
    <w:tmpl w:val="7ED40998"/>
    <w:lvl w:ilvl="0" w:tplc="FD32EFD6">
      <w:numFmt w:val="bullet"/>
      <w:lvlText w:val="–"/>
      <w:lvlJc w:val="left"/>
      <w:pPr>
        <w:ind w:left="1184" w:hanging="390"/>
      </w:pPr>
      <w:rPr>
        <w:rFonts w:ascii="Times New Roman" w:eastAsia="Times New Roma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33" w15:restartNumberingAfterBreak="0">
    <w:nsid w:val="7C2A357C"/>
    <w:multiLevelType w:val="hybridMultilevel"/>
    <w:tmpl w:val="35847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5"/>
  </w:num>
  <w:num w:numId="13">
    <w:abstractNumId w:val="26"/>
  </w:num>
  <w:num w:numId="14">
    <w:abstractNumId w:val="25"/>
  </w:num>
  <w:num w:numId="15">
    <w:abstractNumId w:val="23"/>
  </w:num>
  <w:num w:numId="16">
    <w:abstractNumId w:val="33"/>
  </w:num>
  <w:num w:numId="17">
    <w:abstractNumId w:val="30"/>
  </w:num>
  <w:num w:numId="18">
    <w:abstractNumId w:val="14"/>
  </w:num>
  <w:num w:numId="19">
    <w:abstractNumId w:val="31"/>
  </w:num>
  <w:num w:numId="20">
    <w:abstractNumId w:val="22"/>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7"/>
  </w:num>
  <w:num w:numId="33">
    <w:abstractNumId w:val="29"/>
  </w:num>
  <w:num w:numId="34">
    <w:abstractNumId w:val="28"/>
  </w:num>
  <w:num w:numId="35">
    <w:abstractNumId w:val="32"/>
  </w:num>
  <w:num w:numId="36">
    <w:abstractNumId w:val="24"/>
  </w:num>
  <w:num w:numId="37">
    <w:abstractNumId w:val="18"/>
  </w:num>
  <w:num w:numId="38">
    <w:abstractNumId w:val="20"/>
  </w:num>
  <w:num w:numId="39">
    <w:abstractNumId w:val="13"/>
  </w:num>
  <w:num w:numId="40">
    <w:abstractNumId w:val="10"/>
  </w:num>
  <w:num w:numId="41">
    <w:abstractNumId w:val="11"/>
  </w:num>
  <w:num w:numId="42">
    <w:abstractNumId w:val="21"/>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1CD"/>
    <w:rsid w:val="000043B6"/>
    <w:rsid w:val="00010CFB"/>
    <w:rsid w:val="0001330E"/>
    <w:rsid w:val="000142B6"/>
    <w:rsid w:val="000160ED"/>
    <w:rsid w:val="000200CE"/>
    <w:rsid w:val="00027771"/>
    <w:rsid w:val="000310C7"/>
    <w:rsid w:val="00033782"/>
    <w:rsid w:val="00042D90"/>
    <w:rsid w:val="0004554F"/>
    <w:rsid w:val="00045AEC"/>
    <w:rsid w:val="000463BC"/>
    <w:rsid w:val="000759D5"/>
    <w:rsid w:val="00080BEB"/>
    <w:rsid w:val="00083B12"/>
    <w:rsid w:val="00086632"/>
    <w:rsid w:val="00087F14"/>
    <w:rsid w:val="0009276E"/>
    <w:rsid w:val="00094814"/>
    <w:rsid w:val="00097EC9"/>
    <w:rsid w:val="000B0D20"/>
    <w:rsid w:val="000C1B4C"/>
    <w:rsid w:val="000C1C96"/>
    <w:rsid w:val="000C62BA"/>
    <w:rsid w:val="000D0428"/>
    <w:rsid w:val="000D5E10"/>
    <w:rsid w:val="000D756D"/>
    <w:rsid w:val="000E6748"/>
    <w:rsid w:val="000E6D14"/>
    <w:rsid w:val="000F32A9"/>
    <w:rsid w:val="000F5537"/>
    <w:rsid w:val="000F719B"/>
    <w:rsid w:val="000F745C"/>
    <w:rsid w:val="001031F9"/>
    <w:rsid w:val="001061F2"/>
    <w:rsid w:val="0010771B"/>
    <w:rsid w:val="0011119B"/>
    <w:rsid w:val="00121E15"/>
    <w:rsid w:val="00124510"/>
    <w:rsid w:val="0012592F"/>
    <w:rsid w:val="0013143A"/>
    <w:rsid w:val="00136C49"/>
    <w:rsid w:val="00136F4F"/>
    <w:rsid w:val="00140C9B"/>
    <w:rsid w:val="00142D8D"/>
    <w:rsid w:val="00147A76"/>
    <w:rsid w:val="00150948"/>
    <w:rsid w:val="00151675"/>
    <w:rsid w:val="00154C7F"/>
    <w:rsid w:val="001571C2"/>
    <w:rsid w:val="0016345F"/>
    <w:rsid w:val="00173C47"/>
    <w:rsid w:val="00175BA9"/>
    <w:rsid w:val="00183B28"/>
    <w:rsid w:val="00186E99"/>
    <w:rsid w:val="00193A35"/>
    <w:rsid w:val="00196282"/>
    <w:rsid w:val="00196304"/>
    <w:rsid w:val="0019641D"/>
    <w:rsid w:val="001A105E"/>
    <w:rsid w:val="001B5024"/>
    <w:rsid w:val="001B7EF4"/>
    <w:rsid w:val="001C0223"/>
    <w:rsid w:val="001C0811"/>
    <w:rsid w:val="001C4292"/>
    <w:rsid w:val="001C5A54"/>
    <w:rsid w:val="001D035D"/>
    <w:rsid w:val="001D4972"/>
    <w:rsid w:val="001E115C"/>
    <w:rsid w:val="001E39AE"/>
    <w:rsid w:val="001E5E67"/>
    <w:rsid w:val="001E6C88"/>
    <w:rsid w:val="001E6FC1"/>
    <w:rsid w:val="001F2159"/>
    <w:rsid w:val="001F2F50"/>
    <w:rsid w:val="001F3A2B"/>
    <w:rsid w:val="001F3D62"/>
    <w:rsid w:val="001F75D4"/>
    <w:rsid w:val="002008F5"/>
    <w:rsid w:val="00204580"/>
    <w:rsid w:val="0020534C"/>
    <w:rsid w:val="00206BC4"/>
    <w:rsid w:val="0021049C"/>
    <w:rsid w:val="00213D8B"/>
    <w:rsid w:val="00215B12"/>
    <w:rsid w:val="00220ACB"/>
    <w:rsid w:val="00222AA0"/>
    <w:rsid w:val="00222DEF"/>
    <w:rsid w:val="00225A8D"/>
    <w:rsid w:val="0022628F"/>
    <w:rsid w:val="00227B66"/>
    <w:rsid w:val="00230A82"/>
    <w:rsid w:val="00234521"/>
    <w:rsid w:val="00237821"/>
    <w:rsid w:val="00252EC7"/>
    <w:rsid w:val="002550CE"/>
    <w:rsid w:val="00256F2A"/>
    <w:rsid w:val="00261269"/>
    <w:rsid w:val="00262DF4"/>
    <w:rsid w:val="002642D2"/>
    <w:rsid w:val="002656D3"/>
    <w:rsid w:val="0028023C"/>
    <w:rsid w:val="00280400"/>
    <w:rsid w:val="00286EEF"/>
    <w:rsid w:val="00290812"/>
    <w:rsid w:val="00297D24"/>
    <w:rsid w:val="002A22D2"/>
    <w:rsid w:val="002A2C31"/>
    <w:rsid w:val="002A57DE"/>
    <w:rsid w:val="002A7A01"/>
    <w:rsid w:val="002B02C5"/>
    <w:rsid w:val="002B3859"/>
    <w:rsid w:val="002B3E45"/>
    <w:rsid w:val="002B6CAE"/>
    <w:rsid w:val="002C2BBA"/>
    <w:rsid w:val="002C55DB"/>
    <w:rsid w:val="002C6F49"/>
    <w:rsid w:val="002C7AC8"/>
    <w:rsid w:val="002D35A0"/>
    <w:rsid w:val="002D6E94"/>
    <w:rsid w:val="002E694E"/>
    <w:rsid w:val="0030663E"/>
    <w:rsid w:val="00310285"/>
    <w:rsid w:val="00310A3A"/>
    <w:rsid w:val="00312ADD"/>
    <w:rsid w:val="0031432E"/>
    <w:rsid w:val="00316160"/>
    <w:rsid w:val="0032156B"/>
    <w:rsid w:val="00326F1E"/>
    <w:rsid w:val="00331D77"/>
    <w:rsid w:val="0033378F"/>
    <w:rsid w:val="00335D89"/>
    <w:rsid w:val="003403CF"/>
    <w:rsid w:val="0034043B"/>
    <w:rsid w:val="003461AE"/>
    <w:rsid w:val="003545F5"/>
    <w:rsid w:val="00354F8B"/>
    <w:rsid w:val="003573F0"/>
    <w:rsid w:val="00357EFA"/>
    <w:rsid w:val="00362FB0"/>
    <w:rsid w:val="003632F1"/>
    <w:rsid w:val="00365475"/>
    <w:rsid w:val="00366E2F"/>
    <w:rsid w:val="00374359"/>
    <w:rsid w:val="003804DC"/>
    <w:rsid w:val="00381DF1"/>
    <w:rsid w:val="00381F7C"/>
    <w:rsid w:val="00383EF6"/>
    <w:rsid w:val="00390B8E"/>
    <w:rsid w:val="00391BDE"/>
    <w:rsid w:val="00393056"/>
    <w:rsid w:val="00393DAF"/>
    <w:rsid w:val="00397832"/>
    <w:rsid w:val="00397CC5"/>
    <w:rsid w:val="003C0AE1"/>
    <w:rsid w:val="003C23A6"/>
    <w:rsid w:val="003C28E4"/>
    <w:rsid w:val="003C3FE1"/>
    <w:rsid w:val="003C66A1"/>
    <w:rsid w:val="003D758A"/>
    <w:rsid w:val="003E3D31"/>
    <w:rsid w:val="003E683E"/>
    <w:rsid w:val="003F2F02"/>
    <w:rsid w:val="003F4D46"/>
    <w:rsid w:val="004101C8"/>
    <w:rsid w:val="00410361"/>
    <w:rsid w:val="00411348"/>
    <w:rsid w:val="00411AB4"/>
    <w:rsid w:val="00414D8B"/>
    <w:rsid w:val="00421386"/>
    <w:rsid w:val="004270DD"/>
    <w:rsid w:val="00430239"/>
    <w:rsid w:val="00436E7E"/>
    <w:rsid w:val="00437CEF"/>
    <w:rsid w:val="00441A3D"/>
    <w:rsid w:val="00443B05"/>
    <w:rsid w:val="00446E6F"/>
    <w:rsid w:val="00446EC2"/>
    <w:rsid w:val="0045243D"/>
    <w:rsid w:val="004524C7"/>
    <w:rsid w:val="0045331E"/>
    <w:rsid w:val="004547E7"/>
    <w:rsid w:val="004571CF"/>
    <w:rsid w:val="0046680C"/>
    <w:rsid w:val="0047042D"/>
    <w:rsid w:val="004725CA"/>
    <w:rsid w:val="00472BAD"/>
    <w:rsid w:val="0047374C"/>
    <w:rsid w:val="00481141"/>
    <w:rsid w:val="00482905"/>
    <w:rsid w:val="00483B10"/>
    <w:rsid w:val="00484B06"/>
    <w:rsid w:val="0048573C"/>
    <w:rsid w:val="00487775"/>
    <w:rsid w:val="0049205F"/>
    <w:rsid w:val="00492BAA"/>
    <w:rsid w:val="00493139"/>
    <w:rsid w:val="004961CD"/>
    <w:rsid w:val="004A4C5E"/>
    <w:rsid w:val="004A5F9B"/>
    <w:rsid w:val="004B1D13"/>
    <w:rsid w:val="004B205B"/>
    <w:rsid w:val="004B49E2"/>
    <w:rsid w:val="004D3860"/>
    <w:rsid w:val="004D3B66"/>
    <w:rsid w:val="004D6C09"/>
    <w:rsid w:val="004E35B9"/>
    <w:rsid w:val="004E4AB8"/>
    <w:rsid w:val="004F0ACF"/>
    <w:rsid w:val="004F3832"/>
    <w:rsid w:val="004F4D7C"/>
    <w:rsid w:val="004F65BC"/>
    <w:rsid w:val="0050046C"/>
    <w:rsid w:val="00506A6A"/>
    <w:rsid w:val="00507EED"/>
    <w:rsid w:val="00512C86"/>
    <w:rsid w:val="00513575"/>
    <w:rsid w:val="005206EF"/>
    <w:rsid w:val="00524C64"/>
    <w:rsid w:val="005256AC"/>
    <w:rsid w:val="00525DC8"/>
    <w:rsid w:val="00531EAA"/>
    <w:rsid w:val="005374D4"/>
    <w:rsid w:val="00540DBC"/>
    <w:rsid w:val="0054260D"/>
    <w:rsid w:val="0054336C"/>
    <w:rsid w:val="00543CC1"/>
    <w:rsid w:val="005555BD"/>
    <w:rsid w:val="00557465"/>
    <w:rsid w:val="00561B33"/>
    <w:rsid w:val="0056796D"/>
    <w:rsid w:val="005720FB"/>
    <w:rsid w:val="005723BA"/>
    <w:rsid w:val="0057336B"/>
    <w:rsid w:val="00586164"/>
    <w:rsid w:val="00586A98"/>
    <w:rsid w:val="00587E31"/>
    <w:rsid w:val="00592099"/>
    <w:rsid w:val="0059241F"/>
    <w:rsid w:val="00592F10"/>
    <w:rsid w:val="00594E73"/>
    <w:rsid w:val="005A2195"/>
    <w:rsid w:val="005A4039"/>
    <w:rsid w:val="005A453D"/>
    <w:rsid w:val="005A7613"/>
    <w:rsid w:val="005A7E03"/>
    <w:rsid w:val="005B07D7"/>
    <w:rsid w:val="005B25AF"/>
    <w:rsid w:val="005B3439"/>
    <w:rsid w:val="005C3142"/>
    <w:rsid w:val="005C3D92"/>
    <w:rsid w:val="005C4F4C"/>
    <w:rsid w:val="005C513E"/>
    <w:rsid w:val="005C7478"/>
    <w:rsid w:val="005C75CD"/>
    <w:rsid w:val="005D0EF6"/>
    <w:rsid w:val="005D3584"/>
    <w:rsid w:val="005D3E02"/>
    <w:rsid w:val="005F0350"/>
    <w:rsid w:val="005F14FE"/>
    <w:rsid w:val="005F619B"/>
    <w:rsid w:val="0060421D"/>
    <w:rsid w:val="00610642"/>
    <w:rsid w:val="00610AEA"/>
    <w:rsid w:val="00611F82"/>
    <w:rsid w:val="00616601"/>
    <w:rsid w:val="00617420"/>
    <w:rsid w:val="0062070C"/>
    <w:rsid w:val="00621814"/>
    <w:rsid w:val="00625B2E"/>
    <w:rsid w:val="00627BA0"/>
    <w:rsid w:val="00631195"/>
    <w:rsid w:val="006311E0"/>
    <w:rsid w:val="006316FF"/>
    <w:rsid w:val="006318CD"/>
    <w:rsid w:val="0063548B"/>
    <w:rsid w:val="00642398"/>
    <w:rsid w:val="00642C4A"/>
    <w:rsid w:val="00646EEF"/>
    <w:rsid w:val="00650704"/>
    <w:rsid w:val="006573F2"/>
    <w:rsid w:val="00657D74"/>
    <w:rsid w:val="00661818"/>
    <w:rsid w:val="00663829"/>
    <w:rsid w:val="00665251"/>
    <w:rsid w:val="00672B03"/>
    <w:rsid w:val="00674727"/>
    <w:rsid w:val="00681CC1"/>
    <w:rsid w:val="006821C8"/>
    <w:rsid w:val="006837E4"/>
    <w:rsid w:val="00685179"/>
    <w:rsid w:val="0068615B"/>
    <w:rsid w:val="00691466"/>
    <w:rsid w:val="00695072"/>
    <w:rsid w:val="00696EB0"/>
    <w:rsid w:val="0069735D"/>
    <w:rsid w:val="006A42AB"/>
    <w:rsid w:val="006A68BA"/>
    <w:rsid w:val="006B72A8"/>
    <w:rsid w:val="006B7AD2"/>
    <w:rsid w:val="006B7D9B"/>
    <w:rsid w:val="006B7E83"/>
    <w:rsid w:val="006D23A9"/>
    <w:rsid w:val="006D2461"/>
    <w:rsid w:val="006D506D"/>
    <w:rsid w:val="006D7142"/>
    <w:rsid w:val="006E291F"/>
    <w:rsid w:val="006E4633"/>
    <w:rsid w:val="006E48A0"/>
    <w:rsid w:val="006E5886"/>
    <w:rsid w:val="006E62CC"/>
    <w:rsid w:val="006E78CF"/>
    <w:rsid w:val="006F4BB0"/>
    <w:rsid w:val="00701134"/>
    <w:rsid w:val="007027AB"/>
    <w:rsid w:val="007036DC"/>
    <w:rsid w:val="00704F19"/>
    <w:rsid w:val="00710DD6"/>
    <w:rsid w:val="00711133"/>
    <w:rsid w:val="00716E8D"/>
    <w:rsid w:val="007228FC"/>
    <w:rsid w:val="00730815"/>
    <w:rsid w:val="00740C0A"/>
    <w:rsid w:val="0074486E"/>
    <w:rsid w:val="00755076"/>
    <w:rsid w:val="00757163"/>
    <w:rsid w:val="00763C64"/>
    <w:rsid w:val="00764E0A"/>
    <w:rsid w:val="00767071"/>
    <w:rsid w:val="0077146D"/>
    <w:rsid w:val="00774682"/>
    <w:rsid w:val="00775FBA"/>
    <w:rsid w:val="00777B73"/>
    <w:rsid w:val="00784832"/>
    <w:rsid w:val="00790044"/>
    <w:rsid w:val="00791880"/>
    <w:rsid w:val="00792162"/>
    <w:rsid w:val="007940EE"/>
    <w:rsid w:val="00797B05"/>
    <w:rsid w:val="007A03BB"/>
    <w:rsid w:val="007A0832"/>
    <w:rsid w:val="007A3808"/>
    <w:rsid w:val="007A472C"/>
    <w:rsid w:val="007A504E"/>
    <w:rsid w:val="007B5361"/>
    <w:rsid w:val="007B7166"/>
    <w:rsid w:val="007C1CE2"/>
    <w:rsid w:val="007D07CC"/>
    <w:rsid w:val="007D41EF"/>
    <w:rsid w:val="007E7BBD"/>
    <w:rsid w:val="007F0CB8"/>
    <w:rsid w:val="007F4AA0"/>
    <w:rsid w:val="00803AEE"/>
    <w:rsid w:val="008057EA"/>
    <w:rsid w:val="008162EA"/>
    <w:rsid w:val="00820985"/>
    <w:rsid w:val="008225BB"/>
    <w:rsid w:val="008232DA"/>
    <w:rsid w:val="00824884"/>
    <w:rsid w:val="00835506"/>
    <w:rsid w:val="008421CF"/>
    <w:rsid w:val="00844C2F"/>
    <w:rsid w:val="008453F2"/>
    <w:rsid w:val="008459C0"/>
    <w:rsid w:val="008506C9"/>
    <w:rsid w:val="00865EC6"/>
    <w:rsid w:val="0087282E"/>
    <w:rsid w:val="00881989"/>
    <w:rsid w:val="00886B02"/>
    <w:rsid w:val="0089761C"/>
    <w:rsid w:val="008B4CFC"/>
    <w:rsid w:val="008C28E7"/>
    <w:rsid w:val="008C2FA4"/>
    <w:rsid w:val="008C5C96"/>
    <w:rsid w:val="008D120E"/>
    <w:rsid w:val="008D1B4C"/>
    <w:rsid w:val="008D1EA0"/>
    <w:rsid w:val="008D2C4B"/>
    <w:rsid w:val="008D3A63"/>
    <w:rsid w:val="008E3C3A"/>
    <w:rsid w:val="008E697F"/>
    <w:rsid w:val="008E6D1F"/>
    <w:rsid w:val="008E78BB"/>
    <w:rsid w:val="008F0106"/>
    <w:rsid w:val="00902A11"/>
    <w:rsid w:val="00904381"/>
    <w:rsid w:val="00917447"/>
    <w:rsid w:val="00922B87"/>
    <w:rsid w:val="00923CC9"/>
    <w:rsid w:val="00924B63"/>
    <w:rsid w:val="009257C7"/>
    <w:rsid w:val="00926459"/>
    <w:rsid w:val="00933712"/>
    <w:rsid w:val="009361E6"/>
    <w:rsid w:val="009440F8"/>
    <w:rsid w:val="009466A2"/>
    <w:rsid w:val="009467E0"/>
    <w:rsid w:val="00962B95"/>
    <w:rsid w:val="00963417"/>
    <w:rsid w:val="00965993"/>
    <w:rsid w:val="00966833"/>
    <w:rsid w:val="00966F00"/>
    <w:rsid w:val="0096732F"/>
    <w:rsid w:val="00970991"/>
    <w:rsid w:val="00972E41"/>
    <w:rsid w:val="009737C7"/>
    <w:rsid w:val="009746D2"/>
    <w:rsid w:val="00982618"/>
    <w:rsid w:val="00997933"/>
    <w:rsid w:val="00997C6C"/>
    <w:rsid w:val="009A2C98"/>
    <w:rsid w:val="009A320C"/>
    <w:rsid w:val="009A5EA0"/>
    <w:rsid w:val="009A6F1C"/>
    <w:rsid w:val="009B20A7"/>
    <w:rsid w:val="009C205E"/>
    <w:rsid w:val="009C3AA8"/>
    <w:rsid w:val="009D21D9"/>
    <w:rsid w:val="009D3A0A"/>
    <w:rsid w:val="009D53C6"/>
    <w:rsid w:val="009E1460"/>
    <w:rsid w:val="009E2FD1"/>
    <w:rsid w:val="009E5A3E"/>
    <w:rsid w:val="009E67B0"/>
    <w:rsid w:val="009F019C"/>
    <w:rsid w:val="009F5143"/>
    <w:rsid w:val="009F680E"/>
    <w:rsid w:val="009F7553"/>
    <w:rsid w:val="00A008B6"/>
    <w:rsid w:val="00A024A8"/>
    <w:rsid w:val="00A02AB8"/>
    <w:rsid w:val="00A0579C"/>
    <w:rsid w:val="00A0750C"/>
    <w:rsid w:val="00A07929"/>
    <w:rsid w:val="00A148C0"/>
    <w:rsid w:val="00A16436"/>
    <w:rsid w:val="00A17092"/>
    <w:rsid w:val="00A1713F"/>
    <w:rsid w:val="00A21CA0"/>
    <w:rsid w:val="00A23863"/>
    <w:rsid w:val="00A2424B"/>
    <w:rsid w:val="00A3166C"/>
    <w:rsid w:val="00A31BFA"/>
    <w:rsid w:val="00A4304C"/>
    <w:rsid w:val="00A476E2"/>
    <w:rsid w:val="00A51EC7"/>
    <w:rsid w:val="00A57A5D"/>
    <w:rsid w:val="00A57D4A"/>
    <w:rsid w:val="00A61E83"/>
    <w:rsid w:val="00A870CB"/>
    <w:rsid w:val="00A9368D"/>
    <w:rsid w:val="00AA3432"/>
    <w:rsid w:val="00AB1BA8"/>
    <w:rsid w:val="00AC10EA"/>
    <w:rsid w:val="00AC26EE"/>
    <w:rsid w:val="00AC5A5D"/>
    <w:rsid w:val="00AD7322"/>
    <w:rsid w:val="00AE0789"/>
    <w:rsid w:val="00AE2EDC"/>
    <w:rsid w:val="00AE7DA3"/>
    <w:rsid w:val="00AE7EF5"/>
    <w:rsid w:val="00AF1C54"/>
    <w:rsid w:val="00AF6B41"/>
    <w:rsid w:val="00AF7398"/>
    <w:rsid w:val="00B10798"/>
    <w:rsid w:val="00B16300"/>
    <w:rsid w:val="00B30592"/>
    <w:rsid w:val="00B32E51"/>
    <w:rsid w:val="00B33E21"/>
    <w:rsid w:val="00B34016"/>
    <w:rsid w:val="00B428ED"/>
    <w:rsid w:val="00B460BC"/>
    <w:rsid w:val="00B46140"/>
    <w:rsid w:val="00B50916"/>
    <w:rsid w:val="00B61BF1"/>
    <w:rsid w:val="00B651F6"/>
    <w:rsid w:val="00B65C0D"/>
    <w:rsid w:val="00B67C30"/>
    <w:rsid w:val="00B71AAD"/>
    <w:rsid w:val="00B72AFD"/>
    <w:rsid w:val="00B7668D"/>
    <w:rsid w:val="00B81251"/>
    <w:rsid w:val="00B821BE"/>
    <w:rsid w:val="00B82644"/>
    <w:rsid w:val="00B91B86"/>
    <w:rsid w:val="00B92EBB"/>
    <w:rsid w:val="00BA3E0B"/>
    <w:rsid w:val="00BB54A7"/>
    <w:rsid w:val="00BC431D"/>
    <w:rsid w:val="00BC5181"/>
    <w:rsid w:val="00BC6602"/>
    <w:rsid w:val="00BC6F73"/>
    <w:rsid w:val="00BC709C"/>
    <w:rsid w:val="00BE3206"/>
    <w:rsid w:val="00BE48A5"/>
    <w:rsid w:val="00BF482B"/>
    <w:rsid w:val="00C007AC"/>
    <w:rsid w:val="00C155F8"/>
    <w:rsid w:val="00C22176"/>
    <w:rsid w:val="00C341D8"/>
    <w:rsid w:val="00C371D9"/>
    <w:rsid w:val="00C37610"/>
    <w:rsid w:val="00C37F76"/>
    <w:rsid w:val="00C4495D"/>
    <w:rsid w:val="00C46BAE"/>
    <w:rsid w:val="00C51738"/>
    <w:rsid w:val="00C67413"/>
    <w:rsid w:val="00C74885"/>
    <w:rsid w:val="00C761F8"/>
    <w:rsid w:val="00C77D65"/>
    <w:rsid w:val="00C80523"/>
    <w:rsid w:val="00C820A8"/>
    <w:rsid w:val="00C82342"/>
    <w:rsid w:val="00C82CE6"/>
    <w:rsid w:val="00C837F0"/>
    <w:rsid w:val="00C93F83"/>
    <w:rsid w:val="00CB6104"/>
    <w:rsid w:val="00CB7A43"/>
    <w:rsid w:val="00CC48B3"/>
    <w:rsid w:val="00CC7633"/>
    <w:rsid w:val="00CD121A"/>
    <w:rsid w:val="00CD2EA0"/>
    <w:rsid w:val="00CD6272"/>
    <w:rsid w:val="00CD6C4A"/>
    <w:rsid w:val="00CE26F6"/>
    <w:rsid w:val="00CE536C"/>
    <w:rsid w:val="00CE7280"/>
    <w:rsid w:val="00CF0AF5"/>
    <w:rsid w:val="00CF4CAC"/>
    <w:rsid w:val="00CF7B9D"/>
    <w:rsid w:val="00D014BF"/>
    <w:rsid w:val="00D04950"/>
    <w:rsid w:val="00D0505A"/>
    <w:rsid w:val="00D1118E"/>
    <w:rsid w:val="00D11F16"/>
    <w:rsid w:val="00D20F8A"/>
    <w:rsid w:val="00D21716"/>
    <w:rsid w:val="00D27B8A"/>
    <w:rsid w:val="00D27F50"/>
    <w:rsid w:val="00D30757"/>
    <w:rsid w:val="00D335B5"/>
    <w:rsid w:val="00D34C6E"/>
    <w:rsid w:val="00D430E1"/>
    <w:rsid w:val="00D46B82"/>
    <w:rsid w:val="00D51E1E"/>
    <w:rsid w:val="00D55F7A"/>
    <w:rsid w:val="00D62DE5"/>
    <w:rsid w:val="00D64768"/>
    <w:rsid w:val="00D8087C"/>
    <w:rsid w:val="00D83531"/>
    <w:rsid w:val="00D901DE"/>
    <w:rsid w:val="00D960DA"/>
    <w:rsid w:val="00DA256C"/>
    <w:rsid w:val="00DA3E5E"/>
    <w:rsid w:val="00DB0020"/>
    <w:rsid w:val="00DB2D90"/>
    <w:rsid w:val="00DB40E6"/>
    <w:rsid w:val="00DB5F01"/>
    <w:rsid w:val="00DC3473"/>
    <w:rsid w:val="00DD5C2B"/>
    <w:rsid w:val="00DE19DE"/>
    <w:rsid w:val="00DE77E6"/>
    <w:rsid w:val="00DE79C5"/>
    <w:rsid w:val="00DF1AD3"/>
    <w:rsid w:val="00DF5C56"/>
    <w:rsid w:val="00E0101C"/>
    <w:rsid w:val="00E02195"/>
    <w:rsid w:val="00E13486"/>
    <w:rsid w:val="00E13817"/>
    <w:rsid w:val="00E16060"/>
    <w:rsid w:val="00E163F9"/>
    <w:rsid w:val="00E3102C"/>
    <w:rsid w:val="00E3154F"/>
    <w:rsid w:val="00E35FE5"/>
    <w:rsid w:val="00E36A86"/>
    <w:rsid w:val="00E37186"/>
    <w:rsid w:val="00E43B9C"/>
    <w:rsid w:val="00E51BDC"/>
    <w:rsid w:val="00E57066"/>
    <w:rsid w:val="00E63130"/>
    <w:rsid w:val="00E6677D"/>
    <w:rsid w:val="00E6743F"/>
    <w:rsid w:val="00E71C22"/>
    <w:rsid w:val="00E72EA7"/>
    <w:rsid w:val="00E7660B"/>
    <w:rsid w:val="00E87C6E"/>
    <w:rsid w:val="00E93BE5"/>
    <w:rsid w:val="00EA0252"/>
    <w:rsid w:val="00EA336E"/>
    <w:rsid w:val="00EA4101"/>
    <w:rsid w:val="00EA5C5F"/>
    <w:rsid w:val="00EA6FFA"/>
    <w:rsid w:val="00EC0291"/>
    <w:rsid w:val="00EC2EA8"/>
    <w:rsid w:val="00EC486B"/>
    <w:rsid w:val="00EC5F43"/>
    <w:rsid w:val="00ED60FD"/>
    <w:rsid w:val="00EE65EC"/>
    <w:rsid w:val="00EF02EC"/>
    <w:rsid w:val="00EF14B3"/>
    <w:rsid w:val="00EF27EA"/>
    <w:rsid w:val="00F047BC"/>
    <w:rsid w:val="00F0504E"/>
    <w:rsid w:val="00F05B71"/>
    <w:rsid w:val="00F11013"/>
    <w:rsid w:val="00F174BE"/>
    <w:rsid w:val="00F23715"/>
    <w:rsid w:val="00F30A8A"/>
    <w:rsid w:val="00F33FF0"/>
    <w:rsid w:val="00F34745"/>
    <w:rsid w:val="00F34A37"/>
    <w:rsid w:val="00F402E3"/>
    <w:rsid w:val="00F4096E"/>
    <w:rsid w:val="00F42932"/>
    <w:rsid w:val="00F45DCE"/>
    <w:rsid w:val="00F55B15"/>
    <w:rsid w:val="00F77D5F"/>
    <w:rsid w:val="00F81A26"/>
    <w:rsid w:val="00F83B26"/>
    <w:rsid w:val="00F846A9"/>
    <w:rsid w:val="00F921DD"/>
    <w:rsid w:val="00F94477"/>
    <w:rsid w:val="00F971F1"/>
    <w:rsid w:val="00FA076C"/>
    <w:rsid w:val="00FA6403"/>
    <w:rsid w:val="00FA6C3C"/>
    <w:rsid w:val="00FA73D2"/>
    <w:rsid w:val="00FB10E9"/>
    <w:rsid w:val="00FB1325"/>
    <w:rsid w:val="00FC5F6E"/>
    <w:rsid w:val="00FC620E"/>
    <w:rsid w:val="00FD1019"/>
    <w:rsid w:val="00FD2C81"/>
    <w:rsid w:val="00FD2D1D"/>
    <w:rsid w:val="00FD5C8C"/>
    <w:rsid w:val="00FD6A6E"/>
    <w:rsid w:val="00FD7832"/>
    <w:rsid w:val="00FF3A29"/>
    <w:rsid w:val="00FF5A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AFA687A6-FF35-4543-AE56-201B6D16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basedOn w:val="Heading1"/>
    <w:next w:val="Normal"/>
    <w:link w:val="Heading3Char"/>
    <w:qFormat/>
    <w:rsid w:val="004D6C09"/>
    <w:pPr>
      <w:spacing w:before="160"/>
      <w:outlineLvl w:val="2"/>
    </w:pPr>
  </w:style>
  <w:style w:type="paragraph" w:styleId="Heading4">
    <w:name w:val="heading 4"/>
    <w:basedOn w:val="Heading3"/>
    <w:next w:val="Normal"/>
    <w:link w:val="Heading4Char"/>
    <w:qFormat/>
    <w:rsid w:val="004D6C09"/>
    <w:pPr>
      <w:tabs>
        <w:tab w:val="clear" w:pos="794"/>
        <w:tab w:val="left" w:pos="1021"/>
      </w:tabs>
      <w:ind w:left="1021" w:hanging="1021"/>
      <w:outlineLvl w:val="3"/>
    </w:pPr>
  </w:style>
  <w:style w:type="paragraph" w:styleId="Heading5">
    <w:name w:val="heading 5"/>
    <w:basedOn w:val="Heading4"/>
    <w:next w:val="Normal"/>
    <w:link w:val="Heading5Char"/>
    <w:qFormat/>
    <w:rsid w:val="004D6C09"/>
    <w:pPr>
      <w:outlineLvl w:val="4"/>
    </w:pPr>
  </w:style>
  <w:style w:type="paragraph" w:styleId="Heading6">
    <w:name w:val="heading 6"/>
    <w:basedOn w:val="Heading4"/>
    <w:next w:val="Normal"/>
    <w:link w:val="Heading6Char"/>
    <w:qFormat/>
    <w:rsid w:val="004D6C09"/>
    <w:pPr>
      <w:tabs>
        <w:tab w:val="clear" w:pos="1021"/>
        <w:tab w:val="clear" w:pos="1191"/>
      </w:tabs>
      <w:ind w:left="1588" w:hanging="1588"/>
      <w:outlineLvl w:val="5"/>
    </w:pPr>
  </w:style>
  <w:style w:type="paragraph" w:styleId="Heading7">
    <w:name w:val="heading 7"/>
    <w:basedOn w:val="Heading6"/>
    <w:next w:val="Normal"/>
    <w:link w:val="Heading7Char"/>
    <w:qFormat/>
    <w:rsid w:val="004D6C09"/>
    <w:pPr>
      <w:outlineLvl w:val="6"/>
    </w:pPr>
  </w:style>
  <w:style w:type="paragraph" w:styleId="Heading8">
    <w:name w:val="heading 8"/>
    <w:basedOn w:val="Heading6"/>
    <w:next w:val="Normal"/>
    <w:link w:val="Heading8Char"/>
    <w:qFormat/>
    <w:rsid w:val="004D6C09"/>
    <w:pPr>
      <w:outlineLvl w:val="7"/>
    </w:pPr>
  </w:style>
  <w:style w:type="paragraph" w:styleId="Heading9">
    <w:name w:val="heading 9"/>
    <w:basedOn w:val="Heading6"/>
    <w:next w:val="Normal"/>
    <w:link w:val="Heading9Char"/>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660B"/>
    <w:rPr>
      <w:rFonts w:ascii="Times New Roman" w:hAnsi="Times New Roman"/>
      <w:b/>
      <w:sz w:val="24"/>
      <w:lang w:val="es-ES_tradnl" w:eastAsia="en-US"/>
    </w:rPr>
  </w:style>
  <w:style w:type="character" w:customStyle="1" w:styleId="Heading2Char">
    <w:name w:val="Heading 2 Char"/>
    <w:basedOn w:val="DefaultParagraphFont"/>
    <w:link w:val="Heading2"/>
    <w:rsid w:val="00E7660B"/>
    <w:rPr>
      <w:rFonts w:ascii="Times New Roman" w:hAnsi="Times New Roman"/>
      <w:b/>
      <w:sz w:val="24"/>
      <w:lang w:val="es-ES_tradnl" w:eastAsia="en-US"/>
    </w:rPr>
  </w:style>
  <w:style w:type="character" w:customStyle="1" w:styleId="Heading3Char">
    <w:name w:val="Heading 3 Char"/>
    <w:basedOn w:val="DefaultParagraphFont"/>
    <w:link w:val="Heading3"/>
    <w:rsid w:val="00E7660B"/>
    <w:rPr>
      <w:rFonts w:ascii="Times New Roman" w:hAnsi="Times New Roman"/>
      <w:b/>
      <w:sz w:val="24"/>
      <w:lang w:val="es-ES_tradnl" w:eastAsia="en-US"/>
    </w:rPr>
  </w:style>
  <w:style w:type="character" w:customStyle="1" w:styleId="Heading4Char">
    <w:name w:val="Heading 4 Char"/>
    <w:basedOn w:val="DefaultParagraphFont"/>
    <w:link w:val="Heading4"/>
    <w:rsid w:val="00E7660B"/>
    <w:rPr>
      <w:rFonts w:ascii="Times New Roman" w:hAnsi="Times New Roman"/>
      <w:b/>
      <w:sz w:val="24"/>
      <w:lang w:val="es-ES_tradnl" w:eastAsia="en-US"/>
    </w:rPr>
  </w:style>
  <w:style w:type="character" w:customStyle="1" w:styleId="Heading5Char">
    <w:name w:val="Heading 5 Char"/>
    <w:basedOn w:val="DefaultParagraphFont"/>
    <w:link w:val="Heading5"/>
    <w:rsid w:val="00E7660B"/>
    <w:rPr>
      <w:rFonts w:ascii="Times New Roman" w:hAnsi="Times New Roman"/>
      <w:b/>
      <w:sz w:val="24"/>
      <w:lang w:val="es-ES_tradnl" w:eastAsia="en-US"/>
    </w:rPr>
  </w:style>
  <w:style w:type="character" w:customStyle="1" w:styleId="Heading6Char">
    <w:name w:val="Heading 6 Char"/>
    <w:basedOn w:val="DefaultParagraphFont"/>
    <w:link w:val="Heading6"/>
    <w:rsid w:val="00E7660B"/>
    <w:rPr>
      <w:rFonts w:ascii="Times New Roman" w:hAnsi="Times New Roman"/>
      <w:b/>
      <w:sz w:val="24"/>
      <w:lang w:val="es-ES_tradnl" w:eastAsia="en-US"/>
    </w:rPr>
  </w:style>
  <w:style w:type="character" w:customStyle="1" w:styleId="Heading7Char">
    <w:name w:val="Heading 7 Char"/>
    <w:basedOn w:val="DefaultParagraphFont"/>
    <w:link w:val="Heading7"/>
    <w:rsid w:val="00E7660B"/>
    <w:rPr>
      <w:rFonts w:ascii="Times New Roman" w:hAnsi="Times New Roman"/>
      <w:b/>
      <w:sz w:val="24"/>
      <w:lang w:val="es-ES_tradnl" w:eastAsia="en-US"/>
    </w:rPr>
  </w:style>
  <w:style w:type="character" w:customStyle="1" w:styleId="Heading8Char">
    <w:name w:val="Heading 8 Char"/>
    <w:basedOn w:val="DefaultParagraphFont"/>
    <w:link w:val="Heading8"/>
    <w:rsid w:val="00E7660B"/>
    <w:rPr>
      <w:rFonts w:ascii="Times New Roman" w:hAnsi="Times New Roman"/>
      <w:b/>
      <w:sz w:val="24"/>
      <w:lang w:val="es-ES_tradnl" w:eastAsia="en-US"/>
    </w:rPr>
  </w:style>
  <w:style w:type="character" w:customStyle="1" w:styleId="Heading9Char">
    <w:name w:val="Heading 9 Char"/>
    <w:basedOn w:val="DefaultParagraphFont"/>
    <w:link w:val="Heading9"/>
    <w:rsid w:val="00E7660B"/>
    <w:rPr>
      <w:rFonts w:ascii="Times New Roman" w:hAnsi="Times New Roman"/>
      <w:b/>
      <w:sz w:val="24"/>
      <w:lang w:val="es-ES_tradnl" w:eastAsia="en-US"/>
    </w:rPr>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link w:val="TableheadChar"/>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locked/>
    <w:rsid w:val="00E7660B"/>
    <w:rPr>
      <w:rFonts w:ascii="Times New Roman" w:hAnsi="Times New Roman"/>
      <w:sz w:val="22"/>
      <w:lang w:val="es-ES_tradnl" w:eastAsia="en-US"/>
    </w:rPr>
  </w:style>
  <w:style w:type="character" w:customStyle="1" w:styleId="TableheadChar">
    <w:name w:val="Table_head Char"/>
    <w:basedOn w:val="DefaultParagraphFont"/>
    <w:link w:val="Tablehead"/>
    <w:rsid w:val="00E7660B"/>
    <w:rPr>
      <w:rFonts w:ascii="Times New Roman" w:hAnsi="Times New Roman"/>
      <w:b/>
      <w:sz w:val="22"/>
      <w:lang w:val="es-ES_tradnl" w:eastAsia="en-US"/>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link w:val="CallChar"/>
    <w:rsid w:val="004D6C09"/>
    <w:pPr>
      <w:keepNext/>
      <w:keepLines/>
      <w:spacing w:before="160"/>
      <w:ind w:left="794"/>
    </w:pPr>
    <w:rPr>
      <w:i/>
    </w:rPr>
  </w:style>
  <w:style w:type="character" w:customStyle="1" w:styleId="CallChar">
    <w:name w:val="Call Char"/>
    <w:basedOn w:val="DefaultParagraphFont"/>
    <w:link w:val="Call"/>
    <w:locked/>
    <w:rsid w:val="00E7660B"/>
    <w:rPr>
      <w:rFonts w:ascii="Times New Roman" w:hAnsi="Times New Roman"/>
      <w:i/>
      <w:sz w:val="24"/>
      <w:lang w:val="es-ES_tradnl" w:eastAsia="en-US"/>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uiPriority w:val="99"/>
    <w:rsid w:val="004D6C09"/>
    <w:rPr>
      <w:vertAlign w:val="superscript"/>
    </w:rPr>
  </w:style>
  <w:style w:type="paragraph" w:customStyle="1" w:styleId="enumlev1">
    <w:name w:val="enumlev1"/>
    <w:basedOn w:val="Normal"/>
    <w:link w:val="enumlev1Char"/>
    <w:qFormat/>
    <w:rsid w:val="004D6C09"/>
    <w:pPr>
      <w:spacing w:before="80"/>
      <w:ind w:left="794" w:hanging="794"/>
    </w:pPr>
  </w:style>
  <w:style w:type="character" w:customStyle="1" w:styleId="enumlev1Char">
    <w:name w:val="enumlev1 Char"/>
    <w:basedOn w:val="DefaultParagraphFont"/>
    <w:link w:val="enumlev1"/>
    <w:locked/>
    <w:rsid w:val="00E7660B"/>
    <w:rPr>
      <w:rFonts w:ascii="Times New Roman" w:hAnsi="Times New Roman"/>
      <w:sz w:val="24"/>
      <w:lang w:val="es-ES_tradnl" w:eastAsia="en-US"/>
    </w:rPr>
  </w:style>
  <w:style w:type="paragraph" w:customStyle="1" w:styleId="enumlev2">
    <w:name w:val="enumlev2"/>
    <w:basedOn w:val="enumlev1"/>
    <w:uiPriority w:val="99"/>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character" w:customStyle="1" w:styleId="RestitleChar">
    <w:name w:val="Res_title Char"/>
    <w:basedOn w:val="DefaultParagraphFont"/>
    <w:link w:val="Restitle"/>
    <w:locked/>
    <w:rsid w:val="00E7660B"/>
    <w:rPr>
      <w:rFonts w:ascii="Times New Roman" w:hAnsi="Times New Roman"/>
      <w:b/>
      <w:sz w:val="28"/>
      <w:lang w:val="es-ES_tradnl" w:eastAsia="en-US"/>
    </w:rPr>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E7660B"/>
    <w:rPr>
      <w:rFonts w:ascii="Times New Roman" w:hAnsi="Times New Roman"/>
      <w:caps/>
      <w:noProof/>
      <w:sz w:val="16"/>
      <w:lang w:val="es-ES_tradnl" w:eastAsia="en-US"/>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uiPriority w:val="99"/>
    <w:rsid w:val="004D6C09"/>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FT"/>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E7660B"/>
    <w:rPr>
      <w:rFonts w:ascii="Times New Roman" w:hAnsi="Times New Roman"/>
      <w:sz w:val="24"/>
      <w:lang w:val="es-ES_tradnl" w:eastAsia="en-US"/>
    </w:rPr>
  </w:style>
  <w:style w:type="paragraph" w:styleId="Header">
    <w:name w:val="header"/>
    <w:aliases w:val="encabezado,he"/>
    <w:basedOn w:val="Normal"/>
    <w:link w:val="HeaderChar"/>
    <w:uiPriority w:val="99"/>
    <w:rsid w:val="004D6C09"/>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E7660B"/>
    <w:rPr>
      <w:rFonts w:ascii="Times New Roman" w:hAnsi="Times New Roman"/>
      <w:sz w:val="18"/>
      <w:lang w:val="es-ES_tradnl" w:eastAsia="en-US"/>
    </w:rPr>
  </w:style>
  <w:style w:type="paragraph" w:customStyle="1" w:styleId="Headingb">
    <w:name w:val="Heading_b"/>
    <w:basedOn w:val="Normal"/>
    <w:next w:val="Normal"/>
    <w:link w:val="HeadingbChar"/>
    <w:qFormat/>
    <w:rsid w:val="004D6C09"/>
    <w:pPr>
      <w:keepNext/>
      <w:spacing w:before="160"/>
    </w:pPr>
    <w:rPr>
      <w:b/>
    </w:rPr>
  </w:style>
  <w:style w:type="character" w:customStyle="1" w:styleId="HeadingbChar">
    <w:name w:val="Heading_b Char"/>
    <w:link w:val="Headingb"/>
    <w:locked/>
    <w:rsid w:val="00E7660B"/>
    <w:rPr>
      <w:rFonts w:ascii="Times New Roman" w:hAnsi="Times New Roman"/>
      <w:b/>
      <w:sz w:val="24"/>
      <w:lang w:val="es-ES_tradnl" w:eastAsia="en-US"/>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rsid w:val="004D6C09"/>
  </w:style>
  <w:style w:type="paragraph" w:styleId="Index2">
    <w:name w:val="index 2"/>
    <w:basedOn w:val="Normal"/>
    <w:next w:val="Normal"/>
    <w:rsid w:val="004D6C09"/>
    <w:pPr>
      <w:ind w:left="283"/>
    </w:pPr>
  </w:style>
  <w:style w:type="paragraph" w:styleId="Index3">
    <w:name w:val="index 3"/>
    <w:basedOn w:val="Normal"/>
    <w:next w:val="Normal"/>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uiPriority w:val="99"/>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uiPriority w:val="39"/>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4D6C09"/>
    <w:pPr>
      <w:spacing w:before="80"/>
      <w:ind w:left="1531" w:hanging="851"/>
    </w:pPr>
  </w:style>
  <w:style w:type="paragraph" w:styleId="TOC3">
    <w:name w:val="toc 3"/>
    <w:basedOn w:val="TOC2"/>
    <w:uiPriority w:val="39"/>
    <w:rsid w:val="004D6C09"/>
  </w:style>
  <w:style w:type="paragraph" w:styleId="TOC4">
    <w:name w:val="toc 4"/>
    <w:basedOn w:val="TOC3"/>
    <w:rsid w:val="004D6C09"/>
  </w:style>
  <w:style w:type="paragraph" w:styleId="TOC5">
    <w:name w:val="toc 5"/>
    <w:basedOn w:val="TOC4"/>
    <w:rsid w:val="004D6C09"/>
  </w:style>
  <w:style w:type="paragraph" w:styleId="TOC6">
    <w:name w:val="toc 6"/>
    <w:basedOn w:val="TOC4"/>
    <w:rsid w:val="004D6C09"/>
  </w:style>
  <w:style w:type="paragraph" w:styleId="TOC7">
    <w:name w:val="toc 7"/>
    <w:basedOn w:val="TOC4"/>
    <w:rsid w:val="004D6C09"/>
  </w:style>
  <w:style w:type="paragraph" w:styleId="TOC8">
    <w:name w:val="toc 8"/>
    <w:basedOn w:val="TOC4"/>
    <w:rsid w:val="004D6C09"/>
  </w:style>
  <w:style w:type="character" w:styleId="PageNumber">
    <w:name w:val="page number"/>
    <w:basedOn w:val="DefaultParagraphFont"/>
    <w:uiPriority w:val="99"/>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E7660B"/>
    <w:pPr>
      <w:spacing w:before="0"/>
    </w:pPr>
    <w:rPr>
      <w:rFonts w:ascii="Tahoma" w:eastAsiaTheme="minorEastAsia" w:hAnsi="Tahoma" w:cs="Tahoma"/>
      <w:sz w:val="16"/>
      <w:szCs w:val="16"/>
      <w:lang w:val="en-GB"/>
    </w:rPr>
  </w:style>
  <w:style w:type="character" w:customStyle="1" w:styleId="BalloonTextChar">
    <w:name w:val="Balloon Text Char"/>
    <w:basedOn w:val="DefaultParagraphFont"/>
    <w:link w:val="BalloonText"/>
    <w:rsid w:val="00E7660B"/>
    <w:rPr>
      <w:rFonts w:ascii="Tahoma" w:eastAsiaTheme="minorEastAsia" w:hAnsi="Tahoma" w:cs="Tahoma"/>
      <w:sz w:val="16"/>
      <w:szCs w:val="16"/>
      <w:lang w:val="en-GB" w:eastAsia="en-US"/>
    </w:rPr>
  </w:style>
  <w:style w:type="paragraph" w:styleId="ListParagraph">
    <w:name w:val="List Paragraph"/>
    <w:basedOn w:val="Normal"/>
    <w:link w:val="ListParagraphChar"/>
    <w:uiPriority w:val="34"/>
    <w:qFormat/>
    <w:rsid w:val="00E7660B"/>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eastAsiaTheme="minorEastAsia" w:cstheme="minorBidi"/>
      <w:szCs w:val="22"/>
      <w:lang w:val="en-US" w:eastAsia="zh-CN"/>
    </w:rPr>
  </w:style>
  <w:style w:type="character" w:customStyle="1" w:styleId="ListParagraphChar">
    <w:name w:val="List Paragraph Char"/>
    <w:basedOn w:val="DefaultParagraphFont"/>
    <w:link w:val="ListParagraph"/>
    <w:uiPriority w:val="34"/>
    <w:locked/>
    <w:rsid w:val="00E7660B"/>
    <w:rPr>
      <w:rFonts w:ascii="Times New Roman" w:eastAsiaTheme="minorEastAsia" w:hAnsi="Times New Roman" w:cstheme="minorBidi"/>
      <w:sz w:val="24"/>
      <w:szCs w:val="22"/>
    </w:rPr>
  </w:style>
  <w:style w:type="character" w:styleId="Hyperlink">
    <w:name w:val="Hyperlink"/>
    <w:basedOn w:val="DefaultParagraphFont"/>
    <w:unhideWhenUsed/>
    <w:rsid w:val="00E7660B"/>
    <w:rPr>
      <w:color w:val="0000FF"/>
      <w:u w:val="single"/>
    </w:rPr>
  </w:style>
  <w:style w:type="paragraph" w:styleId="PlainText">
    <w:name w:val="Plain Text"/>
    <w:basedOn w:val="Normal"/>
    <w:link w:val="PlainTextChar"/>
    <w:uiPriority w:val="99"/>
    <w:unhideWhenUsed/>
    <w:rsid w:val="00E7660B"/>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E7660B"/>
    <w:rPr>
      <w:rFonts w:ascii="Consolas" w:eastAsiaTheme="minorEastAsia" w:hAnsi="Consolas" w:cstheme="minorBidi"/>
      <w:sz w:val="21"/>
      <w:szCs w:val="21"/>
    </w:rPr>
  </w:style>
  <w:style w:type="paragraph" w:styleId="NoSpacing">
    <w:name w:val="No Spacing"/>
    <w:uiPriority w:val="1"/>
    <w:qFormat/>
    <w:rsid w:val="00E7660B"/>
    <w:rPr>
      <w:rFonts w:asciiTheme="minorHAnsi" w:eastAsiaTheme="minorEastAsia" w:hAnsiTheme="minorHAnsi" w:cstheme="minorBidi"/>
      <w:sz w:val="22"/>
      <w:szCs w:val="22"/>
    </w:rPr>
  </w:style>
  <w:style w:type="character" w:styleId="Strong">
    <w:name w:val="Strong"/>
    <w:basedOn w:val="DefaultParagraphFont"/>
    <w:uiPriority w:val="22"/>
    <w:qFormat/>
    <w:rsid w:val="00E7660B"/>
    <w:rPr>
      <w:b/>
      <w:bCs/>
    </w:rPr>
  </w:style>
  <w:style w:type="paragraph" w:customStyle="1" w:styleId="AnnexNo">
    <w:name w:val="Annex_No"/>
    <w:basedOn w:val="Normal"/>
    <w:next w:val="Normal"/>
    <w:rsid w:val="00E7660B"/>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character" w:styleId="FollowedHyperlink">
    <w:name w:val="FollowedHyperlink"/>
    <w:basedOn w:val="DefaultParagraphFont"/>
    <w:unhideWhenUsed/>
    <w:rsid w:val="00E7660B"/>
    <w:rPr>
      <w:color w:val="606420"/>
      <w:u w:val="single"/>
    </w:rPr>
  </w:style>
  <w:style w:type="paragraph" w:styleId="NormalWeb">
    <w:name w:val="Normal (Web)"/>
    <w:basedOn w:val="Normal"/>
    <w:uiPriority w:val="99"/>
    <w:unhideWhenUsed/>
    <w:rsid w:val="00E7660B"/>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E7660B"/>
    <w:pPr>
      <w:spacing w:before="0"/>
      <w:textAlignment w:val="auto"/>
    </w:pPr>
    <w:rPr>
      <w:rFonts w:eastAsiaTheme="minorEastAsia"/>
      <w:sz w:val="20"/>
      <w:lang w:val="en-GB"/>
    </w:rPr>
  </w:style>
  <w:style w:type="character" w:customStyle="1" w:styleId="EndnoteTextChar">
    <w:name w:val="Endnote Text Char"/>
    <w:basedOn w:val="DefaultParagraphFont"/>
    <w:link w:val="EndnoteText"/>
    <w:uiPriority w:val="99"/>
    <w:rsid w:val="00E7660B"/>
    <w:rPr>
      <w:rFonts w:ascii="Times New Roman" w:eastAsiaTheme="minorEastAsia" w:hAnsi="Times New Roman"/>
      <w:lang w:val="en-GB" w:eastAsia="en-US"/>
    </w:rPr>
  </w:style>
  <w:style w:type="paragraph" w:styleId="Title">
    <w:name w:val="Title"/>
    <w:basedOn w:val="Normal"/>
    <w:next w:val="Normal"/>
    <w:link w:val="TitleChar"/>
    <w:qFormat/>
    <w:rsid w:val="00E7660B"/>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E7660B"/>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E7660B"/>
    <w:pPr>
      <w:textAlignment w:val="auto"/>
    </w:pPr>
    <w:rPr>
      <w:rFonts w:eastAsiaTheme="minorEastAsia"/>
      <w:b/>
      <w:bCs/>
      <w:i/>
      <w:iCs/>
      <w:szCs w:val="24"/>
      <w:lang w:val="en-GB"/>
    </w:rPr>
  </w:style>
  <w:style w:type="character" w:customStyle="1" w:styleId="BodyTextChar">
    <w:name w:val="Body Text Char"/>
    <w:basedOn w:val="DefaultParagraphFont"/>
    <w:link w:val="BodyText"/>
    <w:rsid w:val="00E7660B"/>
    <w:rPr>
      <w:rFonts w:ascii="Times New Roman" w:eastAsiaTheme="minorEastAsia" w:hAnsi="Times New Roman"/>
      <w:b/>
      <w:bCs/>
      <w:i/>
      <w:iCs/>
      <w:sz w:val="24"/>
      <w:szCs w:val="24"/>
      <w:lang w:val="en-GB" w:eastAsia="en-US"/>
    </w:rPr>
  </w:style>
  <w:style w:type="paragraph" w:styleId="BodyTextIndent">
    <w:name w:val="Body Text Indent"/>
    <w:basedOn w:val="Normal"/>
    <w:link w:val="BodyTextIndentChar"/>
    <w:unhideWhenUsed/>
    <w:rsid w:val="00E7660B"/>
    <w:pPr>
      <w:spacing w:after="120"/>
      <w:ind w:left="360"/>
      <w:textAlignment w:val="auto"/>
    </w:pPr>
    <w:rPr>
      <w:rFonts w:eastAsiaTheme="minorEastAsia"/>
      <w:lang w:val="en-GB"/>
    </w:rPr>
  </w:style>
  <w:style w:type="character" w:customStyle="1" w:styleId="BodyTextIndentChar">
    <w:name w:val="Body Text Indent Char"/>
    <w:basedOn w:val="DefaultParagraphFont"/>
    <w:link w:val="BodyTextIndent"/>
    <w:rsid w:val="00E7660B"/>
    <w:rPr>
      <w:rFonts w:ascii="Times New Roman" w:eastAsiaTheme="minorEastAsia" w:hAnsi="Times New Roman"/>
      <w:sz w:val="24"/>
      <w:lang w:val="en-GB" w:eastAsia="en-US"/>
    </w:rPr>
  </w:style>
  <w:style w:type="paragraph" w:styleId="Subtitle">
    <w:name w:val="Subtitle"/>
    <w:basedOn w:val="Normal"/>
    <w:next w:val="Normal"/>
    <w:link w:val="SubtitleChar"/>
    <w:uiPriority w:val="11"/>
    <w:qFormat/>
    <w:rsid w:val="00E7660B"/>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E7660B"/>
    <w:rPr>
      <w:rFonts w:ascii="Cambria" w:eastAsia="SimSun" w:hAnsi="Cambria"/>
      <w:i/>
      <w:iCs/>
      <w:color w:val="4F81BD"/>
      <w:spacing w:val="15"/>
      <w:sz w:val="24"/>
      <w:szCs w:val="24"/>
    </w:rPr>
  </w:style>
  <w:style w:type="paragraph" w:styleId="BodyText2">
    <w:name w:val="Body Text 2"/>
    <w:basedOn w:val="Normal"/>
    <w:link w:val="BodyText2Char"/>
    <w:unhideWhenUsed/>
    <w:rsid w:val="00E7660B"/>
    <w:pPr>
      <w:spacing w:after="120" w:line="480" w:lineRule="auto"/>
      <w:textAlignment w:val="auto"/>
    </w:pPr>
    <w:rPr>
      <w:rFonts w:eastAsiaTheme="minorEastAsia"/>
      <w:lang w:val="en-GB"/>
    </w:rPr>
  </w:style>
  <w:style w:type="character" w:customStyle="1" w:styleId="BodyText2Char">
    <w:name w:val="Body Text 2 Char"/>
    <w:basedOn w:val="DefaultParagraphFont"/>
    <w:link w:val="BodyText2"/>
    <w:rsid w:val="00E7660B"/>
    <w:rPr>
      <w:rFonts w:ascii="Times New Roman" w:eastAsiaTheme="minorEastAsia" w:hAnsi="Times New Roman"/>
      <w:sz w:val="24"/>
      <w:lang w:val="en-GB" w:eastAsia="en-US"/>
    </w:rPr>
  </w:style>
  <w:style w:type="character" w:customStyle="1" w:styleId="CommentTextChar">
    <w:name w:val="Comment Text Char"/>
    <w:basedOn w:val="DefaultParagraphFont"/>
    <w:link w:val="CommentText"/>
    <w:semiHidden/>
    <w:rsid w:val="00E7660B"/>
    <w:rPr>
      <w:rFonts w:ascii="Times New Roman" w:eastAsiaTheme="minorEastAsia" w:hAnsi="Times New Roman"/>
      <w:lang w:val="en-GB" w:eastAsia="en-US"/>
    </w:rPr>
  </w:style>
  <w:style w:type="paragraph" w:styleId="CommentText">
    <w:name w:val="annotation text"/>
    <w:basedOn w:val="Normal"/>
    <w:link w:val="CommentTextChar"/>
    <w:semiHidden/>
    <w:unhideWhenUsed/>
    <w:rsid w:val="00E7660B"/>
    <w:rPr>
      <w:rFonts w:eastAsiaTheme="minorEastAsia"/>
      <w:sz w:val="20"/>
      <w:lang w:val="en-GB"/>
    </w:rPr>
  </w:style>
  <w:style w:type="character" w:customStyle="1" w:styleId="CommentSubjectChar">
    <w:name w:val="Comment Subject Char"/>
    <w:basedOn w:val="CommentTextChar"/>
    <w:link w:val="CommentSubject"/>
    <w:semiHidden/>
    <w:rsid w:val="00E7660B"/>
    <w:rPr>
      <w:rFonts w:ascii="Times New Roman" w:eastAsiaTheme="minorEastAsia" w:hAnsi="Times New Roman"/>
      <w:b/>
      <w:bCs/>
      <w:lang w:val="en-GB" w:eastAsia="en-US"/>
    </w:rPr>
  </w:style>
  <w:style w:type="paragraph" w:styleId="CommentSubject">
    <w:name w:val="annotation subject"/>
    <w:basedOn w:val="CommentText"/>
    <w:next w:val="CommentText"/>
    <w:link w:val="CommentSubjectChar"/>
    <w:semiHidden/>
    <w:unhideWhenUsed/>
    <w:rsid w:val="00E7660B"/>
    <w:rPr>
      <w:b/>
      <w:bCs/>
    </w:rPr>
  </w:style>
  <w:style w:type="paragraph" w:customStyle="1" w:styleId="Reasons">
    <w:name w:val="Reasons"/>
    <w:basedOn w:val="Normal"/>
    <w:qFormat/>
    <w:rsid w:val="00E7660B"/>
    <w:pPr>
      <w:tabs>
        <w:tab w:val="clear" w:pos="794"/>
        <w:tab w:val="clear" w:pos="1191"/>
        <w:tab w:val="clear" w:pos="1588"/>
        <w:tab w:val="clear" w:pos="1985"/>
      </w:tabs>
      <w:overflowPunct/>
      <w:autoSpaceDE/>
      <w:autoSpaceDN/>
      <w:adjustRightInd/>
      <w:spacing w:before="0"/>
      <w:textAlignment w:val="auto"/>
    </w:pPr>
    <w:rPr>
      <w:rFonts w:eastAsiaTheme="minorEastAsia"/>
      <w:lang w:val="en-US"/>
    </w:rPr>
  </w:style>
  <w:style w:type="paragraph" w:customStyle="1" w:styleId="TableNo">
    <w:name w:val="Table_No"/>
    <w:basedOn w:val="Normal"/>
    <w:next w:val="Normal"/>
    <w:uiPriority w:val="99"/>
    <w:rsid w:val="00E7660B"/>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lang w:val="en-GB"/>
    </w:rPr>
  </w:style>
  <w:style w:type="paragraph" w:customStyle="1" w:styleId="Tabletitle">
    <w:name w:val="Table_title"/>
    <w:basedOn w:val="Normal"/>
    <w:next w:val="Tabletext"/>
    <w:uiPriority w:val="99"/>
    <w:rsid w:val="00E7660B"/>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eastAsiaTheme="minorEastAsia" w:hAnsi="Times New Roman Bold"/>
      <w:b/>
      <w:sz w:val="20"/>
      <w:lang w:val="en-GB"/>
    </w:rPr>
  </w:style>
  <w:style w:type="paragraph" w:styleId="Index4">
    <w:name w:val="index 4"/>
    <w:basedOn w:val="Normal"/>
    <w:next w:val="Normal"/>
    <w:autoRedefine/>
    <w:uiPriority w:val="99"/>
    <w:unhideWhenUsed/>
    <w:rsid w:val="00E7660B"/>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E7660B"/>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E7660B"/>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E7660B"/>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E7660B"/>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E7660B"/>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E7660B"/>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E7660B"/>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character" w:customStyle="1" w:styleId="DocumentMapChar">
    <w:name w:val="Document Map Char"/>
    <w:basedOn w:val="DefaultParagraphFont"/>
    <w:link w:val="DocumentMap"/>
    <w:semiHidden/>
    <w:rsid w:val="00E7660B"/>
    <w:rPr>
      <w:rFonts w:ascii="Times New Roman" w:eastAsiaTheme="minorEastAsia" w:hAnsi="Times New Roman"/>
      <w:sz w:val="24"/>
      <w:szCs w:val="24"/>
      <w:lang w:val="en-GB" w:eastAsia="en-US"/>
    </w:rPr>
  </w:style>
  <w:style w:type="paragraph" w:styleId="DocumentMap">
    <w:name w:val="Document Map"/>
    <w:basedOn w:val="Normal"/>
    <w:link w:val="DocumentMapChar"/>
    <w:semiHidden/>
    <w:unhideWhenUsed/>
    <w:rsid w:val="00E7660B"/>
    <w:pPr>
      <w:spacing w:before="0"/>
    </w:pPr>
    <w:rPr>
      <w:rFonts w:eastAsiaTheme="minorEastAsia"/>
      <w:szCs w:val="24"/>
      <w:lang w:val="en-GB"/>
    </w:rPr>
  </w:style>
  <w:style w:type="character" w:customStyle="1" w:styleId="ms-rtefontsize-1">
    <w:name w:val="ms-rtefontsize-1"/>
    <w:basedOn w:val="DefaultParagraphFont"/>
    <w:rsid w:val="00E7660B"/>
  </w:style>
  <w:style w:type="character" w:customStyle="1" w:styleId="ms-rtethemeforecolor-3-0">
    <w:name w:val="ms-rtethemeforecolor-3-0"/>
    <w:basedOn w:val="DefaultParagraphFont"/>
    <w:rsid w:val="00E7660B"/>
  </w:style>
  <w:style w:type="character" w:styleId="IntenseReference">
    <w:name w:val="Intense Reference"/>
    <w:basedOn w:val="DefaultParagraphFont"/>
    <w:uiPriority w:val="32"/>
    <w:qFormat/>
    <w:rsid w:val="00E7660B"/>
    <w:rPr>
      <w:b/>
      <w:bCs/>
      <w:smallCaps/>
      <w:color w:val="4F81BD" w:themeColor="accent1"/>
      <w:spacing w:val="5"/>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Char Char1,Fußn Char1"/>
    <w:uiPriority w:val="99"/>
    <w:locked/>
    <w:rsid w:val="00E7660B"/>
    <w:rPr>
      <w:rFonts w:ascii="Times New Roman" w:hAnsi="Times New Roman"/>
      <w:sz w:val="24"/>
      <w:lang w:val="es-ES_tradnl" w:eastAsia="en-US"/>
    </w:rPr>
  </w:style>
  <w:style w:type="table" w:customStyle="1" w:styleId="TableGrid9">
    <w:name w:val="Table Grid9"/>
    <w:basedOn w:val="TableNormal"/>
    <w:next w:val="TableGrid"/>
    <w:uiPriority w:val="59"/>
    <w:rsid w:val="00E7660B"/>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7660B"/>
    <w:rPr>
      <w:rFonts w:ascii="Times" w:eastAsiaTheme="minorEastAsia"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_title"/>
    <w:basedOn w:val="Normal"/>
    <w:next w:val="Normal"/>
    <w:rsid w:val="008057E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styleId="Revision">
    <w:name w:val="Revision"/>
    <w:hidden/>
    <w:uiPriority w:val="99"/>
    <w:semiHidden/>
    <w:rsid w:val="00256F2A"/>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council/Pages/eg-d482.aspx" TargetMode="External"/><Relationship Id="rId18" Type="http://schemas.openxmlformats.org/officeDocument/2006/relationships/hyperlink" Target="http://www.itu.int/go/wrc-19" TargetMode="External"/><Relationship Id="rId26" Type="http://schemas.openxmlformats.org/officeDocument/2006/relationships/footer" Target="footer1.xml"/><Relationship Id="rId39" Type="http://schemas.openxmlformats.org/officeDocument/2006/relationships/hyperlink" Target="http://www.itu.int/ITU-R/" TargetMode="External"/><Relationship Id="rId3" Type="http://schemas.openxmlformats.org/officeDocument/2006/relationships/styles" Target="styles.xml"/><Relationship Id="rId21" Type="http://schemas.openxmlformats.org/officeDocument/2006/relationships/hyperlink" Target="https://www.itu.int/md/R00-CR-CIR-0435/es" TargetMode="External"/><Relationship Id="rId34" Type="http://schemas.openxmlformats.org/officeDocument/2006/relationships/header" Target="header4.xml"/><Relationship Id="rId42" Type="http://schemas.openxmlformats.org/officeDocument/2006/relationships/hyperlink" Target="http://www.itu.int/en/ITU-R/Pages/default.aspx"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8-CL-C-0114/es" TargetMode="External"/><Relationship Id="rId17" Type="http://schemas.openxmlformats.org/officeDocument/2006/relationships/hyperlink" Target="http://www.itu.int/en/ITU-R/conferences/wrc/2019/irwsp/Pages/default.aspx" TargetMode="External"/><Relationship Id="rId25" Type="http://schemas.openxmlformats.org/officeDocument/2006/relationships/header" Target="header1.xml"/><Relationship Id="rId33" Type="http://schemas.openxmlformats.org/officeDocument/2006/relationships/header" Target="header3.xml"/><Relationship Id="rId38" Type="http://schemas.openxmlformats.org/officeDocument/2006/relationships/header" Target="header6.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go/wrc-19-regional" TargetMode="External"/><Relationship Id="rId20" Type="http://schemas.openxmlformats.org/officeDocument/2006/relationships/hyperlink" Target="https://www.itu.int/md/R00-CA-CIR-0245/es" TargetMode="External"/><Relationship Id="rId29" Type="http://schemas.openxmlformats.org/officeDocument/2006/relationships/hyperlink" Target="https://www.tra.gov.om/" TargetMode="External"/><Relationship Id="rId41" Type="http://schemas.openxmlformats.org/officeDocument/2006/relationships/hyperlink" Target="http://www.itu.int/ITU-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s/council/2017/Pages/default.aspx" TargetMode="External"/><Relationship Id="rId24" Type="http://schemas.openxmlformats.org/officeDocument/2006/relationships/hyperlink" Target="http://www.itu.int/ITU-R/go/seminars" TargetMode="External"/><Relationship Id="rId32" Type="http://schemas.openxmlformats.org/officeDocument/2006/relationships/hyperlink" Target="http://www.itu.int/ITU-R/go/seminars" TargetMode="External"/><Relationship Id="rId37" Type="http://schemas.openxmlformats.org/officeDocument/2006/relationships/footer" Target="footer5.xml"/><Relationship Id="rId40" Type="http://schemas.openxmlformats.org/officeDocument/2006/relationships/hyperlink" Target="https://twitter.com/ITU_R" TargetMode="External"/><Relationship Id="rId45"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www.itu.int/go/ITU-R/CPM" TargetMode="External"/><Relationship Id="rId23" Type="http://schemas.openxmlformats.org/officeDocument/2006/relationships/hyperlink" Target="http://www.itu.int/ITU-R/go/seminars" TargetMode="External"/><Relationship Id="rId28" Type="http://schemas.openxmlformats.org/officeDocument/2006/relationships/hyperlink" Target="http://www.mptc.gov.kh/" TargetMode="External"/><Relationship Id="rId36" Type="http://schemas.openxmlformats.org/officeDocument/2006/relationships/footer" Target="footer4.xml"/><Relationship Id="rId10" Type="http://schemas.openxmlformats.org/officeDocument/2006/relationships/hyperlink" Target="https://www.itu.int/es/ITU-R/conferences/RRB/Pages/default.aspx" TargetMode="External"/><Relationship Id="rId19" Type="http://schemas.openxmlformats.org/officeDocument/2006/relationships/hyperlink" Target="https://www.itu.int/md/R00-CACE-CIR-0889/es" TargetMode="External"/><Relationship Id="rId31" Type="http://schemas.openxmlformats.org/officeDocument/2006/relationships/footer" Target="footer3.xml"/><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www.itu.int/es/council/Pages/overview.aspx" TargetMode="External"/><Relationship Id="rId14" Type="http://schemas.openxmlformats.org/officeDocument/2006/relationships/hyperlink" Target="https://www.itu.int/en/ITU-R/space/Pages/Statistics.aspx" TargetMode="External"/><Relationship Id="rId22" Type="http://schemas.openxmlformats.org/officeDocument/2006/relationships/hyperlink" Target="https://www.itu.int/md/R00-CR-CIR-0428/es" TargetMode="External"/><Relationship Id="rId27" Type="http://schemas.openxmlformats.org/officeDocument/2006/relationships/footer" Target="footer2.xml"/><Relationship Id="rId30" Type="http://schemas.openxmlformats.org/officeDocument/2006/relationships/header" Target="header2.xml"/><Relationship Id="rId35" Type="http://schemas.openxmlformats.org/officeDocument/2006/relationships/header" Target="header5.xml"/><Relationship Id="rId43"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RAG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45BDA-A750-4619-8991-2F65DFDF3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PS_RAG19.dotm</Template>
  <TotalTime>4146</TotalTime>
  <Pages>32</Pages>
  <Words>13321</Words>
  <Characters>71411</Characters>
  <Application>Microsoft Office Word</Application>
  <DocSecurity>0</DocSecurity>
  <Lines>595</Lines>
  <Paragraphs>169</Paragraphs>
  <ScaleCrop>false</ScaleCrop>
  <HeadingPairs>
    <vt:vector size="2" baseType="variant">
      <vt:variant>
        <vt:lpstr>Title</vt:lpstr>
      </vt:variant>
      <vt:variant>
        <vt:i4>1</vt:i4>
      </vt:variant>
    </vt:vector>
  </HeadingPairs>
  <TitlesOfParts>
    <vt:vector size="1" baseType="lpstr">
      <vt:lpstr>INFORME A LA VIGÉSIMA QUINTA SIXTH REUNIÓN DEL GRUPO ASESOR DE RADIOCOMUNICACIONES</vt:lpstr>
    </vt:vector>
  </TitlesOfParts>
  <Manager>General Secretariat - Pool</Manager>
  <Company>International Telecommunication Union (ITU)</Company>
  <LinksUpToDate>false</LinksUpToDate>
  <CharactersWithSpaces>84563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 LA VIGÉSIMA QUINTA SIXTH REUNIÓN DEL GRUPO ASESOR DE RADIOCOMUNICACIONES</dc:title>
  <dc:subject>GRUPO ASESOR DE RADIOCOMUNICACIONES</dc:subject>
  <dc:creator>Director de la Oficina de Radiocomunicaciones</dc:creator>
  <cp:keywords>RAG03-1</cp:keywords>
  <dc:description>Documento RAG19/1-S  For: _x000d_Document date: 11 de marzo de 2019_x000d_Saved by ITU51012676 at 4:52:30 PM on 25-Mar-19</dc:description>
  <cp:lastModifiedBy>Spanish</cp:lastModifiedBy>
  <cp:revision>321</cp:revision>
  <cp:lastPrinted>2019-03-25T14:41:00Z</cp:lastPrinted>
  <dcterms:created xsi:type="dcterms:W3CDTF">2019-03-29T15:06:00Z</dcterms:created>
  <dcterms:modified xsi:type="dcterms:W3CDTF">2019-04-01T12:15:00Z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RAG19/1-S</vt:lpwstr>
  </property>
  <property fmtid="{D5CDD505-2E9C-101B-9397-08002B2CF9AE}" pid="3" name="Docdate">
    <vt:lpwstr>11 de marzo de 2019</vt:lpwstr>
  </property>
  <property fmtid="{D5CDD505-2E9C-101B-9397-08002B2CF9AE}" pid="4" name="Docorlang">
    <vt:lpwstr>Original: inglés</vt:lpwstr>
  </property>
  <property fmtid="{D5CDD505-2E9C-101B-9397-08002B2CF9AE}" pid="5" name="Docauthor">
    <vt:lpwstr>Director de la Oficina de Radiocomunicaciones</vt:lpwstr>
  </property>
</Properties>
</file>