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CF31F8" w14:paraId="20F90245" w14:textId="77777777" w:rsidTr="00EC0BE3">
        <w:trPr>
          <w:cantSplit/>
        </w:trPr>
        <w:tc>
          <w:tcPr>
            <w:tcW w:w="6477" w:type="dxa"/>
            <w:vAlign w:val="center"/>
          </w:tcPr>
          <w:p w14:paraId="3E293DE0" w14:textId="532420B3" w:rsidR="00CF31F8" w:rsidRPr="0051782D" w:rsidRDefault="00CF31F8" w:rsidP="00CF31F8">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15-17 April 2019</w:t>
            </w:r>
          </w:p>
        </w:tc>
        <w:tc>
          <w:tcPr>
            <w:tcW w:w="3412" w:type="dxa"/>
            <w:gridSpan w:val="2"/>
            <w:vAlign w:val="center"/>
          </w:tcPr>
          <w:p w14:paraId="4F378BBF" w14:textId="2C0763CC" w:rsidR="00CF31F8" w:rsidRDefault="00CF31F8" w:rsidP="00CF31F8">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328C4ABF" wp14:editId="4B1C5FB9">
                  <wp:extent cx="1765300" cy="742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CF31F8" w:rsidRPr="0051782D" w14:paraId="06B75FE8" w14:textId="77777777" w:rsidTr="00B35BE4">
        <w:trPr>
          <w:cantSplit/>
        </w:trPr>
        <w:tc>
          <w:tcPr>
            <w:tcW w:w="6487" w:type="dxa"/>
            <w:gridSpan w:val="2"/>
            <w:tcBorders>
              <w:bottom w:val="single" w:sz="12" w:space="0" w:color="auto"/>
            </w:tcBorders>
          </w:tcPr>
          <w:p w14:paraId="0BD8C96A" w14:textId="77777777" w:rsidR="00CF31F8" w:rsidRPr="0051782D" w:rsidRDefault="00CF31F8" w:rsidP="00CF31F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B3B1C4" w14:textId="77777777" w:rsidR="00CF31F8" w:rsidRPr="0051782D" w:rsidRDefault="00CF31F8" w:rsidP="00CF31F8">
            <w:pPr>
              <w:shd w:val="solid" w:color="FFFFFF" w:fill="FFFFFF"/>
              <w:spacing w:before="0" w:after="48" w:line="240" w:lineRule="atLeast"/>
              <w:rPr>
                <w:sz w:val="22"/>
                <w:szCs w:val="22"/>
                <w:lang w:val="en-US"/>
              </w:rPr>
            </w:pPr>
          </w:p>
        </w:tc>
      </w:tr>
      <w:tr w:rsidR="00CF31F8" w14:paraId="48D0FA9B" w14:textId="77777777" w:rsidTr="00B35BE4">
        <w:trPr>
          <w:cantSplit/>
        </w:trPr>
        <w:tc>
          <w:tcPr>
            <w:tcW w:w="6487" w:type="dxa"/>
            <w:gridSpan w:val="2"/>
            <w:tcBorders>
              <w:top w:val="single" w:sz="12" w:space="0" w:color="auto"/>
            </w:tcBorders>
          </w:tcPr>
          <w:p w14:paraId="43E7077F" w14:textId="77777777" w:rsidR="00CF31F8" w:rsidRPr="0051782D" w:rsidRDefault="00CF31F8" w:rsidP="00CF31F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117602B" w14:textId="77777777" w:rsidR="00CF31F8" w:rsidRPr="00710D66" w:rsidRDefault="00CF31F8" w:rsidP="00CF31F8">
            <w:pPr>
              <w:shd w:val="solid" w:color="FFFFFF" w:fill="FFFFFF"/>
              <w:spacing w:before="0" w:after="48" w:line="240" w:lineRule="atLeast"/>
              <w:rPr>
                <w:lang w:val="en-US"/>
              </w:rPr>
            </w:pPr>
          </w:p>
        </w:tc>
      </w:tr>
      <w:tr w:rsidR="00CF31F8" w14:paraId="201D00B4" w14:textId="77777777" w:rsidTr="00B35BE4">
        <w:trPr>
          <w:cantSplit/>
        </w:trPr>
        <w:tc>
          <w:tcPr>
            <w:tcW w:w="6487" w:type="dxa"/>
            <w:gridSpan w:val="2"/>
            <w:vMerge w:val="restart"/>
          </w:tcPr>
          <w:p w14:paraId="142AF3DD" w14:textId="77777777" w:rsidR="00CF31F8" w:rsidRDefault="00CF31F8" w:rsidP="00CF31F8">
            <w:pPr>
              <w:shd w:val="solid" w:color="FFFFFF" w:fill="FFFFFF"/>
              <w:spacing w:after="240"/>
              <w:rPr>
                <w:sz w:val="20"/>
              </w:rPr>
            </w:pPr>
            <w:bookmarkStart w:id="0" w:name="dnum" w:colFirst="1" w:colLast="1"/>
          </w:p>
        </w:tc>
        <w:tc>
          <w:tcPr>
            <w:tcW w:w="3402" w:type="dxa"/>
          </w:tcPr>
          <w:p w14:paraId="4EDA19CF" w14:textId="0CE3A131" w:rsidR="00CF31F8" w:rsidRPr="0015513D" w:rsidRDefault="00CF31F8" w:rsidP="001C1DB7">
            <w:pPr>
              <w:shd w:val="solid" w:color="FFFFFF" w:fill="FFFFFF"/>
              <w:spacing w:before="0" w:line="240" w:lineRule="atLeast"/>
              <w:rPr>
                <w:rFonts w:ascii="Verdana" w:hAnsi="Verdana"/>
                <w:sz w:val="20"/>
              </w:rPr>
            </w:pPr>
            <w:r>
              <w:rPr>
                <w:rFonts w:ascii="Verdana" w:hAnsi="Verdana"/>
                <w:b/>
                <w:bCs/>
                <w:sz w:val="20"/>
              </w:rPr>
              <w:t>Document RAG19/</w:t>
            </w:r>
            <w:r w:rsidR="001C1DB7">
              <w:rPr>
                <w:rFonts w:ascii="Verdana" w:hAnsi="Verdana"/>
                <w:b/>
                <w:bCs/>
                <w:sz w:val="20"/>
              </w:rPr>
              <w:t>1</w:t>
            </w:r>
            <w:r w:rsidRPr="003567C9">
              <w:rPr>
                <w:rFonts w:ascii="Verdana" w:hAnsi="Verdana"/>
                <w:b/>
                <w:bCs/>
                <w:sz w:val="20"/>
              </w:rPr>
              <w:t>-E</w:t>
            </w:r>
          </w:p>
        </w:tc>
      </w:tr>
      <w:tr w:rsidR="00CF31F8" w14:paraId="5F04C210" w14:textId="77777777" w:rsidTr="00B35BE4">
        <w:trPr>
          <w:cantSplit/>
        </w:trPr>
        <w:tc>
          <w:tcPr>
            <w:tcW w:w="6487" w:type="dxa"/>
            <w:gridSpan w:val="2"/>
            <w:vMerge/>
          </w:tcPr>
          <w:p w14:paraId="13B0BF74" w14:textId="77777777" w:rsidR="00CF31F8" w:rsidRDefault="00CF31F8" w:rsidP="00CF31F8">
            <w:pPr>
              <w:spacing w:before="60"/>
              <w:jc w:val="center"/>
              <w:rPr>
                <w:b/>
                <w:smallCaps/>
                <w:sz w:val="32"/>
              </w:rPr>
            </w:pPr>
            <w:bookmarkStart w:id="1" w:name="ddate" w:colFirst="1" w:colLast="1"/>
            <w:bookmarkEnd w:id="0"/>
          </w:p>
        </w:tc>
        <w:tc>
          <w:tcPr>
            <w:tcW w:w="3402" w:type="dxa"/>
          </w:tcPr>
          <w:p w14:paraId="741BF9D2" w14:textId="77777777" w:rsidR="00CF31F8" w:rsidRDefault="00C04B88" w:rsidP="001C1DB7">
            <w:pPr>
              <w:shd w:val="solid" w:color="FFFFFF" w:fill="FFFFFF"/>
              <w:spacing w:before="0" w:line="240" w:lineRule="atLeast"/>
              <w:rPr>
                <w:rFonts w:ascii="Verdana" w:hAnsi="Verdana"/>
                <w:b/>
                <w:bCs/>
                <w:sz w:val="20"/>
              </w:rPr>
            </w:pPr>
            <w:r>
              <w:rPr>
                <w:rFonts w:ascii="Verdana" w:hAnsi="Verdana"/>
                <w:b/>
                <w:bCs/>
                <w:sz w:val="20"/>
              </w:rPr>
              <w:t>11</w:t>
            </w:r>
            <w:r w:rsidR="001C1DB7">
              <w:rPr>
                <w:rFonts w:ascii="Verdana" w:hAnsi="Verdana"/>
                <w:b/>
                <w:bCs/>
                <w:sz w:val="20"/>
              </w:rPr>
              <w:t xml:space="preserve"> March</w:t>
            </w:r>
            <w:r w:rsidR="00CF31F8" w:rsidRPr="003567C9">
              <w:rPr>
                <w:rFonts w:ascii="Verdana" w:hAnsi="Verdana"/>
                <w:b/>
                <w:bCs/>
                <w:sz w:val="20"/>
              </w:rPr>
              <w:t xml:space="preserve"> 201</w:t>
            </w:r>
            <w:r w:rsidR="001C1DB7">
              <w:rPr>
                <w:rFonts w:ascii="Verdana" w:hAnsi="Verdana"/>
                <w:b/>
                <w:bCs/>
                <w:sz w:val="20"/>
              </w:rPr>
              <w:t>9</w:t>
            </w:r>
          </w:p>
          <w:p w14:paraId="7EAD723E" w14:textId="3EE9C62B" w:rsidR="005D0F41" w:rsidRPr="0015513D" w:rsidRDefault="005D0F41" w:rsidP="001C1DB7">
            <w:pPr>
              <w:shd w:val="solid" w:color="FFFFFF" w:fill="FFFFFF"/>
              <w:spacing w:before="0" w:line="240" w:lineRule="atLeast"/>
              <w:rPr>
                <w:rFonts w:ascii="Verdana" w:hAnsi="Verdana"/>
                <w:sz w:val="20"/>
              </w:rPr>
            </w:pPr>
            <w:r>
              <w:rPr>
                <w:rFonts w:ascii="Verdana" w:hAnsi="Verdana"/>
                <w:b/>
                <w:bCs/>
                <w:sz w:val="20"/>
              </w:rPr>
              <w:t>Original: English</w:t>
            </w:r>
          </w:p>
        </w:tc>
      </w:tr>
      <w:tr w:rsidR="00CF31F8" w14:paraId="451A4137" w14:textId="77777777" w:rsidTr="00B35BE4">
        <w:trPr>
          <w:cantSplit/>
        </w:trPr>
        <w:tc>
          <w:tcPr>
            <w:tcW w:w="6487" w:type="dxa"/>
            <w:gridSpan w:val="2"/>
            <w:vMerge/>
          </w:tcPr>
          <w:p w14:paraId="5495BE4C" w14:textId="77777777" w:rsidR="00CF31F8" w:rsidRDefault="00CF31F8" w:rsidP="00CF31F8">
            <w:pPr>
              <w:spacing w:before="60"/>
              <w:jc w:val="center"/>
              <w:rPr>
                <w:b/>
                <w:smallCaps/>
                <w:sz w:val="32"/>
              </w:rPr>
            </w:pPr>
            <w:bookmarkStart w:id="2" w:name="dorlang" w:colFirst="1" w:colLast="1"/>
            <w:bookmarkEnd w:id="1"/>
          </w:p>
        </w:tc>
        <w:tc>
          <w:tcPr>
            <w:tcW w:w="3402" w:type="dxa"/>
          </w:tcPr>
          <w:p w14:paraId="0FB24553" w14:textId="29D876A3" w:rsidR="00CF31F8" w:rsidRPr="0015513D" w:rsidRDefault="00CF31F8" w:rsidP="00CF31F8">
            <w:pPr>
              <w:shd w:val="solid" w:color="FFFFFF" w:fill="FFFFFF"/>
              <w:spacing w:before="0" w:after="120" w:line="240" w:lineRule="atLeast"/>
              <w:rPr>
                <w:rFonts w:ascii="Verdana" w:hAnsi="Verdana"/>
                <w:sz w:val="20"/>
              </w:rPr>
            </w:pPr>
          </w:p>
        </w:tc>
      </w:tr>
      <w:tr w:rsidR="00093C73" w14:paraId="379739EB" w14:textId="77777777" w:rsidTr="00B35BE4">
        <w:trPr>
          <w:cantSplit/>
        </w:trPr>
        <w:tc>
          <w:tcPr>
            <w:tcW w:w="9889" w:type="dxa"/>
            <w:gridSpan w:val="3"/>
          </w:tcPr>
          <w:p w14:paraId="1B44C070" w14:textId="77777777" w:rsidR="00093C73" w:rsidRDefault="0015513D" w:rsidP="005B2C58">
            <w:pPr>
              <w:pStyle w:val="Source"/>
            </w:pPr>
            <w:bookmarkStart w:id="3" w:name="dsource" w:colFirst="0" w:colLast="0"/>
            <w:bookmarkEnd w:id="2"/>
            <w:r>
              <w:t>Director, Radioco</w:t>
            </w:r>
            <w:bookmarkStart w:id="4" w:name="_GoBack"/>
            <w:bookmarkEnd w:id="4"/>
            <w:r>
              <w:t>mmunication Bureau</w:t>
            </w:r>
          </w:p>
        </w:tc>
      </w:tr>
      <w:tr w:rsidR="00093C73" w14:paraId="6C136321" w14:textId="77777777" w:rsidTr="00B35BE4">
        <w:trPr>
          <w:cantSplit/>
        </w:trPr>
        <w:tc>
          <w:tcPr>
            <w:tcW w:w="9889" w:type="dxa"/>
            <w:gridSpan w:val="3"/>
          </w:tcPr>
          <w:p w14:paraId="6FE3FF55" w14:textId="77777777" w:rsidR="00093C73" w:rsidRDefault="0015513D" w:rsidP="00CA7306">
            <w:pPr>
              <w:pStyle w:val="Title1"/>
            </w:pPr>
            <w:bookmarkStart w:id="5" w:name="dtitle1" w:colFirst="0" w:colLast="0"/>
            <w:bookmarkEnd w:id="3"/>
            <w:r>
              <w:t>REPORT TO THE TWENTY-</w:t>
            </w:r>
            <w:r w:rsidR="00CA7306">
              <w:t>SIXTH</w:t>
            </w:r>
            <w:r>
              <w:t xml:space="preserve"> MEETING OF THE RADIOCOMMUNICATION ADVISORY GROUP</w:t>
            </w:r>
          </w:p>
          <w:p w14:paraId="3F95ACCF" w14:textId="61AE2FD6" w:rsidR="00CF31F8" w:rsidRPr="00CF31F8" w:rsidRDefault="00CF31F8" w:rsidP="00CF31F8"/>
        </w:tc>
      </w:tr>
    </w:tbl>
    <w:p w14:paraId="3ECED256" w14:textId="04E076D6" w:rsidR="007833A0" w:rsidRPr="005D0F41" w:rsidRDefault="005D0F41" w:rsidP="005D0F41">
      <w:pPr>
        <w:pStyle w:val="Heading1"/>
      </w:pPr>
      <w:bookmarkStart w:id="6" w:name="_Toc446060751"/>
      <w:bookmarkEnd w:id="5"/>
      <w:r>
        <w:t>1</w:t>
      </w:r>
      <w:r>
        <w:tab/>
      </w:r>
      <w:r w:rsidR="0015513D" w:rsidRPr="005D0F41">
        <w:t>Introductio</w:t>
      </w:r>
      <w:bookmarkEnd w:id="6"/>
      <w:r w:rsidR="007833A0" w:rsidRPr="005D0F41">
        <w:t>n</w:t>
      </w:r>
    </w:p>
    <w:p w14:paraId="79E621F6" w14:textId="52B380C7" w:rsidR="00CC7EEB" w:rsidRPr="00CC7EEB" w:rsidRDefault="00CC7EEB" w:rsidP="00CC7EEB">
      <w:pPr>
        <w:rPr>
          <w:lang w:val="en-US"/>
        </w:rPr>
      </w:pPr>
      <w:r w:rsidRPr="00CC7EEB">
        <w:rPr>
          <w:lang w:val="en-US"/>
        </w:rPr>
        <w:t>This document provides status reports and background information on some of the issues that appear on the draft agenda for the 2</w:t>
      </w:r>
      <w:r>
        <w:rPr>
          <w:lang w:val="en-US"/>
        </w:rPr>
        <w:t>6</w:t>
      </w:r>
      <w:r w:rsidRPr="00CC7EEB">
        <w:rPr>
          <w:vertAlign w:val="superscript"/>
          <w:lang w:val="en-US"/>
        </w:rPr>
        <w:t>th</w:t>
      </w:r>
      <w:r>
        <w:rPr>
          <w:lang w:val="en-US"/>
        </w:rPr>
        <w:t xml:space="preserve"> </w:t>
      </w:r>
      <w:r w:rsidRPr="00CC7EEB">
        <w:rPr>
          <w:lang w:val="en-US"/>
        </w:rPr>
        <w:t>meeting of RAG (see CA/236 of 30.10.2017). This document is intended to assist the meeting in considering the relevant agenda items.</w:t>
      </w:r>
    </w:p>
    <w:p w14:paraId="52C4A962" w14:textId="0CB1D421" w:rsidR="00CC7EEB" w:rsidRPr="00CC7EEB" w:rsidRDefault="00CC7EEB" w:rsidP="00CC7EEB">
      <w:pPr>
        <w:rPr>
          <w:lang w:val="en-US"/>
        </w:rPr>
      </w:pPr>
      <w:r w:rsidRPr="00CC7EEB">
        <w:rPr>
          <w:lang w:val="en-US"/>
        </w:rPr>
        <w:t>Separate reports will be submitted for some of the agenda items.</w:t>
      </w:r>
    </w:p>
    <w:p w14:paraId="1F681612" w14:textId="77777777" w:rsidR="00F14318" w:rsidRDefault="007833A0" w:rsidP="007833A0">
      <w:pPr>
        <w:pStyle w:val="Heading1"/>
      </w:pPr>
      <w:r>
        <w:t>2</w:t>
      </w:r>
      <w:r>
        <w:tab/>
        <w:t>PP-18</w:t>
      </w:r>
      <w:r w:rsidR="00F56064">
        <w:t xml:space="preserve"> results</w:t>
      </w:r>
    </w:p>
    <w:p w14:paraId="5CC42542" w14:textId="77777777" w:rsidR="00CA7306" w:rsidRDefault="00CA7306" w:rsidP="00CA7306">
      <w:pPr>
        <w:spacing w:before="240" w:after="240"/>
        <w:jc w:val="both"/>
        <w:rPr>
          <w:sz w:val="22"/>
          <w:shd w:val="clear" w:color="auto" w:fill="FFFFFF"/>
          <w:lang w:eastAsia="zh-CN"/>
        </w:rPr>
      </w:pPr>
      <w:r>
        <w:rPr>
          <w:shd w:val="clear" w:color="auto" w:fill="FFFFFF"/>
        </w:rPr>
        <w:t xml:space="preserve">PP-18 elected the senior management team of the organization, the Member States of the </w:t>
      </w:r>
      <w:hyperlink r:id="rId12" w:history="1">
        <w:r>
          <w:rPr>
            <w:rStyle w:val="Hyperlink"/>
            <w:shd w:val="clear" w:color="auto" w:fill="FFFFFF"/>
          </w:rPr>
          <w:t>Council</w:t>
        </w:r>
      </w:hyperlink>
      <w:r>
        <w:rPr>
          <w:shd w:val="clear" w:color="auto" w:fill="FFFFFF"/>
        </w:rPr>
        <w:t xml:space="preserve">, and the twelve members of the </w:t>
      </w:r>
      <w:hyperlink r:id="rId13" w:history="1">
        <w:r>
          <w:rPr>
            <w:rStyle w:val="Hyperlink"/>
            <w:shd w:val="clear" w:color="auto" w:fill="FFFFFF"/>
          </w:rPr>
          <w:t>Radio Regulations Board</w:t>
        </w:r>
      </w:hyperlink>
      <w:r>
        <w:rPr>
          <w:shd w:val="clear" w:color="auto" w:fill="FFFFFF"/>
        </w:rPr>
        <w:t>.</w:t>
      </w:r>
    </w:p>
    <w:p w14:paraId="6BD644FE" w14:textId="2CB39312" w:rsidR="00CA7306" w:rsidRDefault="00CA7306" w:rsidP="00B44E37">
      <w:pPr>
        <w:spacing w:before="240" w:after="240"/>
        <w:jc w:val="both"/>
        <w:rPr>
          <w:shd w:val="clear" w:color="auto" w:fill="FFFFFF"/>
        </w:rPr>
      </w:pPr>
      <w:r>
        <w:rPr>
          <w:shd w:val="clear" w:color="auto" w:fill="FFFFFF"/>
        </w:rPr>
        <w:t xml:space="preserve">It also set the Union’s policies in various areas, including the Union’s strategic and financial plans, through new </w:t>
      </w:r>
      <w:r w:rsidR="00B44E37">
        <w:rPr>
          <w:shd w:val="clear" w:color="auto" w:fill="FFFFFF"/>
        </w:rPr>
        <w:t xml:space="preserve">and revision of existing </w:t>
      </w:r>
      <w:r>
        <w:rPr>
          <w:shd w:val="clear" w:color="auto" w:fill="FFFFFF"/>
        </w:rPr>
        <w:t xml:space="preserve">resolutions and decisions. </w:t>
      </w:r>
    </w:p>
    <w:p w14:paraId="1621B352" w14:textId="5989958D" w:rsidR="00CA7306" w:rsidRPr="00F6490F" w:rsidRDefault="00CA7306" w:rsidP="00CF31F8">
      <w:pPr>
        <w:jc w:val="both"/>
      </w:pPr>
      <w:r w:rsidRPr="00F6490F">
        <w:t xml:space="preserve">The Plenipotentiary has approved a set of new Resolutions and revised </w:t>
      </w:r>
      <w:r w:rsidR="00B44E37">
        <w:t xml:space="preserve">some </w:t>
      </w:r>
      <w:r w:rsidRPr="00F6490F">
        <w:t>Resolutions related to the Radiocommunication Sector:</w:t>
      </w:r>
    </w:p>
    <w:p w14:paraId="25E90BC2" w14:textId="77777777" w:rsidR="00CA7306" w:rsidRPr="00F6490F" w:rsidRDefault="00CA7306" w:rsidP="004A6500">
      <w:pPr>
        <w:pStyle w:val="ListParagraph"/>
        <w:numPr>
          <w:ilvl w:val="0"/>
          <w:numId w:val="14"/>
        </w:numPr>
        <w:spacing w:before="120" w:after="120" w:line="240" w:lineRule="auto"/>
        <w:jc w:val="both"/>
        <w:rPr>
          <w:lang w:eastAsia="en-US"/>
        </w:rPr>
      </w:pPr>
      <w:r w:rsidRPr="00F6490F">
        <w:rPr>
          <w:lang w:eastAsia="en-US"/>
        </w:rPr>
        <w:t xml:space="preserve">Resolution 136, on the use of ICTs in emergency and disaster situations, </w:t>
      </w:r>
    </w:p>
    <w:p w14:paraId="7874E970" w14:textId="77777777" w:rsidR="00CA7306" w:rsidRPr="00F6490F" w:rsidRDefault="00CA7306" w:rsidP="004A6500">
      <w:pPr>
        <w:pStyle w:val="ListParagraph"/>
        <w:numPr>
          <w:ilvl w:val="0"/>
          <w:numId w:val="14"/>
        </w:numPr>
        <w:spacing w:before="120" w:after="120" w:line="240" w:lineRule="auto"/>
        <w:jc w:val="both"/>
        <w:rPr>
          <w:lang w:eastAsia="en-US"/>
        </w:rPr>
      </w:pPr>
      <w:r w:rsidRPr="00F6490F">
        <w:rPr>
          <w:lang w:eastAsia="en-US"/>
        </w:rPr>
        <w:t xml:space="preserve">Resolution 137, on the Deployment of future networks in developing countries, including IMT-2020 (5G) networks. </w:t>
      </w:r>
    </w:p>
    <w:p w14:paraId="382C7755" w14:textId="77777777" w:rsidR="00CA7306" w:rsidRPr="00F6490F" w:rsidRDefault="00CA7306" w:rsidP="004A6500">
      <w:pPr>
        <w:pStyle w:val="ListParagraph"/>
        <w:numPr>
          <w:ilvl w:val="0"/>
          <w:numId w:val="14"/>
        </w:numPr>
        <w:spacing w:before="120" w:after="120" w:line="240" w:lineRule="auto"/>
        <w:jc w:val="both"/>
        <w:rPr>
          <w:lang w:eastAsia="en-US"/>
        </w:rPr>
      </w:pPr>
      <w:r w:rsidRPr="00F6490F">
        <w:rPr>
          <w:lang w:eastAsia="en-US"/>
        </w:rPr>
        <w:t>Resolution 139, on the Digital Divide;</w:t>
      </w:r>
    </w:p>
    <w:p w14:paraId="1CEAC548" w14:textId="77777777" w:rsidR="00CA7306" w:rsidRPr="00F6490F" w:rsidRDefault="00CA7306" w:rsidP="004A6500">
      <w:pPr>
        <w:pStyle w:val="ListParagraph"/>
        <w:numPr>
          <w:ilvl w:val="0"/>
          <w:numId w:val="14"/>
        </w:numPr>
        <w:spacing w:before="120" w:after="120" w:line="240" w:lineRule="auto"/>
        <w:jc w:val="both"/>
        <w:rPr>
          <w:lang w:eastAsia="en-US"/>
        </w:rPr>
      </w:pPr>
      <w:r w:rsidRPr="00F6490F">
        <w:rPr>
          <w:lang w:eastAsia="en-US"/>
        </w:rPr>
        <w:t xml:space="preserve">Resolution 176, on Human exposure to electromagnetic fields, instructs the Directors of the three </w:t>
      </w:r>
      <w:proofErr w:type="spellStart"/>
      <w:r w:rsidRPr="00F6490F">
        <w:rPr>
          <w:lang w:eastAsia="en-US"/>
        </w:rPr>
        <w:t>Bureaux</w:t>
      </w:r>
      <w:proofErr w:type="spellEnd"/>
      <w:r w:rsidRPr="00F6490F">
        <w:rPr>
          <w:lang w:eastAsia="en-US"/>
        </w:rPr>
        <w:t xml:space="preserve"> to collect and disseminate information concerning exposure to EMF; </w:t>
      </w:r>
    </w:p>
    <w:p w14:paraId="759F26FB" w14:textId="77777777" w:rsidR="00CA7306" w:rsidRPr="00F6490F" w:rsidRDefault="00CA7306" w:rsidP="004A6500">
      <w:pPr>
        <w:pStyle w:val="ListParagraph"/>
        <w:numPr>
          <w:ilvl w:val="0"/>
          <w:numId w:val="14"/>
        </w:numPr>
        <w:spacing w:before="120" w:after="120" w:line="240" w:lineRule="auto"/>
        <w:jc w:val="both"/>
        <w:rPr>
          <w:lang w:eastAsia="en-US"/>
        </w:rPr>
      </w:pPr>
      <w:r w:rsidRPr="00F6490F">
        <w:rPr>
          <w:lang w:eastAsia="en-US"/>
        </w:rPr>
        <w:t>Resolution 186, on Outer space activities, encourages the dissemination of information, capacity building and the sharing of best practices in the use and development of satellite systems;</w:t>
      </w:r>
    </w:p>
    <w:p w14:paraId="75A7647D" w14:textId="77777777" w:rsidR="00CA7306" w:rsidRPr="00F6490F" w:rsidRDefault="00CA7306" w:rsidP="004A6500">
      <w:pPr>
        <w:pStyle w:val="ListParagraph"/>
        <w:numPr>
          <w:ilvl w:val="0"/>
          <w:numId w:val="14"/>
        </w:numPr>
        <w:spacing w:before="120" w:after="120" w:line="240" w:lineRule="auto"/>
        <w:jc w:val="both"/>
        <w:rPr>
          <w:lang w:eastAsia="en-US"/>
        </w:rPr>
      </w:pPr>
      <w:r w:rsidRPr="00F6490F">
        <w:rPr>
          <w:lang w:eastAsia="en-US"/>
        </w:rPr>
        <w:t>Resolution 197, on the Internet of Things, promotes investment in the development of the Internet of Things (</w:t>
      </w:r>
      <w:proofErr w:type="spellStart"/>
      <w:r w:rsidRPr="00F6490F">
        <w:rPr>
          <w:lang w:eastAsia="en-US"/>
        </w:rPr>
        <w:t>IoT</w:t>
      </w:r>
      <w:proofErr w:type="spellEnd"/>
      <w:r w:rsidRPr="00F6490F">
        <w:rPr>
          <w:lang w:eastAsia="en-US"/>
        </w:rPr>
        <w:t>) and smart sustainable cities and communities (SSCCs);</w:t>
      </w:r>
    </w:p>
    <w:p w14:paraId="31C7129C" w14:textId="29451B02" w:rsidR="00CA7306" w:rsidRDefault="00CA7306" w:rsidP="004A6500">
      <w:pPr>
        <w:pStyle w:val="ListParagraph"/>
        <w:numPr>
          <w:ilvl w:val="0"/>
          <w:numId w:val="14"/>
        </w:numPr>
        <w:spacing w:before="120" w:after="120" w:line="240" w:lineRule="auto"/>
        <w:jc w:val="both"/>
        <w:rPr>
          <w:lang w:eastAsia="en-US"/>
        </w:rPr>
      </w:pPr>
      <w:r w:rsidRPr="00F6490F">
        <w:rPr>
          <w:lang w:eastAsia="en-US"/>
        </w:rPr>
        <w:t>Resolution 203, on Connectivity to broadband networks address the need for further improved broadband networks, including wireless broadband networks;</w:t>
      </w:r>
    </w:p>
    <w:p w14:paraId="7597D49B" w14:textId="669EF006" w:rsidR="00CA7306" w:rsidRPr="00CA7306" w:rsidRDefault="00CA7306" w:rsidP="00144D82">
      <w:pPr>
        <w:pStyle w:val="ListParagraph"/>
        <w:numPr>
          <w:ilvl w:val="0"/>
          <w:numId w:val="14"/>
        </w:numPr>
        <w:spacing w:before="120" w:after="120" w:line="240" w:lineRule="auto"/>
        <w:jc w:val="both"/>
      </w:pPr>
      <w:r w:rsidRPr="00F6490F">
        <w:t xml:space="preserve">Resolution on Innovation, </w:t>
      </w:r>
      <w:r w:rsidR="00144D82">
        <w:t xml:space="preserve">which </w:t>
      </w:r>
      <w:r w:rsidRPr="00F6490F">
        <w:t>promotes an enabling environment for telecommunication/</w:t>
      </w:r>
      <w:r w:rsidR="00144D82">
        <w:t xml:space="preserve"> I</w:t>
      </w:r>
      <w:r w:rsidRPr="00F6490F">
        <w:t xml:space="preserve">CT-centric innovation by small- and medium-sized enterprises (SMEs), start-ups, incubation </w:t>
      </w:r>
      <w:proofErr w:type="spellStart"/>
      <w:r w:rsidRPr="00F6490F">
        <w:t>centres</w:t>
      </w:r>
      <w:proofErr w:type="spellEnd"/>
      <w:r w:rsidRPr="00F6490F">
        <w:t xml:space="preserve"> and young entrepreneurs and encourages participation of SMEs in study groups and relevant ITU activities;</w:t>
      </w:r>
    </w:p>
    <w:p w14:paraId="7723686F" w14:textId="7366D5FE" w:rsidR="0015513D" w:rsidRDefault="007833A0" w:rsidP="007833A0">
      <w:pPr>
        <w:pStyle w:val="Heading1"/>
      </w:pPr>
      <w:r>
        <w:lastRenderedPageBreak/>
        <w:t>3</w:t>
      </w:r>
      <w:r w:rsidR="0015513D" w:rsidRPr="00ED04B0">
        <w:tab/>
      </w:r>
      <w:bookmarkStart w:id="7" w:name="_Toc446060752"/>
      <w:r w:rsidR="0015513D" w:rsidRPr="006B63C0">
        <w:t>Council</w:t>
      </w:r>
      <w:r w:rsidR="0015513D" w:rsidRPr="00ED04B0">
        <w:t xml:space="preserve"> issues</w:t>
      </w:r>
      <w:bookmarkEnd w:id="7"/>
    </w:p>
    <w:p w14:paraId="002F2C9C" w14:textId="30AB9165" w:rsidR="00144D82" w:rsidRPr="00144D82" w:rsidRDefault="00144D82" w:rsidP="00144D82">
      <w:pPr>
        <w:jc w:val="both"/>
      </w:pPr>
      <w:r w:rsidRPr="00144D82">
        <w:t>This section covers and updates the issues addressed by the 201</w:t>
      </w:r>
      <w:r>
        <w:t>8</w:t>
      </w:r>
      <w:r w:rsidRPr="00144D82">
        <w:t xml:space="preserve"> session of the Council (see: </w:t>
      </w:r>
      <w:hyperlink r:id="rId14" w:history="1">
        <w:r w:rsidRPr="00144D82">
          <w:rPr>
            <w:rStyle w:val="Hyperlink"/>
          </w:rPr>
          <w:t>https://www.itu.int/en/council/201</w:t>
        </w:r>
        <w:r>
          <w:rPr>
            <w:rStyle w:val="Hyperlink"/>
          </w:rPr>
          <w:t>8</w:t>
        </w:r>
        <w:r w:rsidRPr="00144D82">
          <w:rPr>
            <w:rStyle w:val="Hyperlink"/>
          </w:rPr>
          <w:t>/Pages/default.aspx</w:t>
        </w:r>
      </w:hyperlink>
      <w:r w:rsidRPr="00144D82">
        <w:t>).</w:t>
      </w:r>
    </w:p>
    <w:p w14:paraId="4FB7D770" w14:textId="77777777" w:rsidR="00C75F79" w:rsidRPr="00C75F79" w:rsidRDefault="00C75F79" w:rsidP="00C75F79">
      <w:pPr>
        <w:pStyle w:val="Heading2"/>
      </w:pPr>
      <w:r w:rsidRPr="00C75F79">
        <w:t>3.1</w:t>
      </w:r>
      <w:r w:rsidRPr="00C75F79">
        <w:tab/>
        <w:t>Free on-line access to ITU-R Publications</w:t>
      </w:r>
    </w:p>
    <w:p w14:paraId="0E90E99C" w14:textId="77777777" w:rsidR="00CA7306" w:rsidRPr="00CA7306" w:rsidRDefault="00CA7306" w:rsidP="00CA7306">
      <w:pPr>
        <w:jc w:val="both"/>
      </w:pPr>
      <w:r w:rsidRPr="00CA7306">
        <w:t>The free online access policy continues to provide a very large dissemination of ITU standards to a broader public, especially in developing countries with financial and technical constraints. This wide outreach via free online access is helping to build the visibility of ITU’s mission and mandate and reinforce ITU as a global telecommunication authority.</w:t>
      </w:r>
    </w:p>
    <w:p w14:paraId="685EBC71" w14:textId="77777777" w:rsidR="00CA7306" w:rsidRPr="00CA7306" w:rsidRDefault="00CA7306" w:rsidP="00CA7306">
      <w:pPr>
        <w:jc w:val="both"/>
      </w:pPr>
      <w:r w:rsidRPr="00CA7306">
        <w:t>By Decision 12 (Guadalajara, 2010), PP-10 adopted a free online access policy to include, inter alia, ITU R Recommendations and Reports. This policy was expanded by Council 2012 Decision 571, revised by Council 2013 and 2014 , and confirmed by PP-14 revised Decision 12, which provides free online access for the general public, on a permanent basis, to ITU-R, ITU-T and ITU-D Recommendations and Reports; ITU-R handbooks on radio-frequency spectrum management ; ITU publications concerning the use of telecommunications/ICTs for ensuring disaster preparedness, early warning, rescue, mitigation, relief and response; the International Telecommunication Regulations (ITRs); the Radio Regulations; the Rules of Procedure; the basic texts of the Union (Constitution, Convention, General Rules of conferences, assemblies and meetings of the Union, decisions, resolutions and Recommendations); the final acts of plenipotentiary conferences; the final reports of WTDCs; the ITU Council resolutions and decisions; the final acts of world and regional radiocommunication conferences; and the final acts of world conferences on international telecommunications.</w:t>
      </w:r>
    </w:p>
    <w:p w14:paraId="388B86DA" w14:textId="34178117" w:rsidR="00C75F79" w:rsidRDefault="00CA7306" w:rsidP="00144D82">
      <w:pPr>
        <w:jc w:val="both"/>
      </w:pPr>
      <w:r w:rsidRPr="00CA7306">
        <w:t xml:space="preserve">Additionally, in response to requests from </w:t>
      </w:r>
      <w:r w:rsidR="00144D82">
        <w:t>Member S</w:t>
      </w:r>
      <w:r w:rsidRPr="00CA7306">
        <w:t>tate</w:t>
      </w:r>
      <w:r w:rsidR="00144D82">
        <w:t>s</w:t>
      </w:r>
      <w:r w:rsidRPr="00CA7306">
        <w:t>, in particular developing countries, in January 2017 the free access policy has been extended by the BR Director to include all ITU-R Handbooks. The impact of these Decisions is well reflected by the large number of downloads of these publications, as shown in Section 9.1.4.</w:t>
      </w:r>
      <w:r w:rsidR="00C75F79" w:rsidRPr="00CA7306">
        <w:t xml:space="preserve"> </w:t>
      </w:r>
    </w:p>
    <w:p w14:paraId="1EAB6FA4" w14:textId="77777777" w:rsidR="0015513D" w:rsidRDefault="00F56064" w:rsidP="00F56064">
      <w:pPr>
        <w:pStyle w:val="Heading2"/>
        <w:rPr>
          <w:color w:val="548DD4" w:themeColor="text2" w:themeTint="99"/>
        </w:rPr>
      </w:pPr>
      <w:bookmarkStart w:id="8" w:name="_Toc446060754"/>
      <w:r>
        <w:t>3</w:t>
      </w:r>
      <w:r w:rsidR="0015513D" w:rsidRPr="00ED04B0">
        <w:t>.2</w:t>
      </w:r>
      <w:r w:rsidR="0015513D" w:rsidRPr="00ED04B0">
        <w:tab/>
        <w:t>Cost recovery for satellite network filings</w:t>
      </w:r>
      <w:bookmarkEnd w:id="8"/>
      <w:r w:rsidR="0015513D" w:rsidRPr="00B46EBC">
        <w:rPr>
          <w:color w:val="548DD4" w:themeColor="text2" w:themeTint="99"/>
        </w:rPr>
        <w:t xml:space="preserve"> </w:t>
      </w:r>
    </w:p>
    <w:p w14:paraId="57B5874F" w14:textId="77777777" w:rsidR="008E4308" w:rsidRDefault="008E4308" w:rsidP="008E4308">
      <w:pPr>
        <w:tabs>
          <w:tab w:val="left" w:pos="7797"/>
        </w:tabs>
        <w:spacing w:after="120"/>
        <w:jc w:val="both"/>
      </w:pPr>
      <w:r>
        <w:t>It was reported to Council 2018 that t</w:t>
      </w:r>
      <w:r w:rsidRPr="00FE6A59">
        <w:t>he implementation of Decision 482 by the Radiocommunication Bureau did not give rise to any administrative or operational difficulty either internally or with administrations notifying satellite network filings.</w:t>
      </w:r>
    </w:p>
    <w:p w14:paraId="6A14B385" w14:textId="6B38511A" w:rsidR="008E4308" w:rsidRDefault="008E4308" w:rsidP="00B44E37">
      <w:pPr>
        <w:tabs>
          <w:tab w:val="left" w:pos="0"/>
          <w:tab w:val="left" w:pos="2835"/>
        </w:tabs>
        <w:jc w:val="both"/>
      </w:pPr>
      <w:r>
        <w:t xml:space="preserve">At its 2018 session, Council also considered the main conclusions of the study carried out by the Radiocommunication Bureau on the technical issues arising in connection with processing of complex non-geostationary satellite (non-GSO) systems as well as analysis of the main technical and regulatory issues associated with the proposal of splitting non-GSO filings containing non-homogeneous satellite orbits. Three possible, non-mutually exclusive, procedures were proposed for improving the cost recovery scheme of non-GSO satellite systems: </w:t>
      </w:r>
    </w:p>
    <w:p w14:paraId="3737DCA5" w14:textId="77777777" w:rsidR="008E4308" w:rsidRDefault="008E4308" w:rsidP="004A6500">
      <w:pPr>
        <w:pStyle w:val="ListParagraph"/>
        <w:numPr>
          <w:ilvl w:val="0"/>
          <w:numId w:val="3"/>
        </w:numPr>
        <w:tabs>
          <w:tab w:val="left" w:pos="0"/>
          <w:tab w:val="left" w:pos="2835"/>
        </w:tabs>
        <w:jc w:val="both"/>
      </w:pPr>
      <w:r>
        <w:t>Procedure A:  Separately computing charges for mutually exclusive configurations and adding them.</w:t>
      </w:r>
    </w:p>
    <w:p w14:paraId="75186BEC" w14:textId="77777777" w:rsidR="008E4308" w:rsidRDefault="008E4308" w:rsidP="004A6500">
      <w:pPr>
        <w:pStyle w:val="ListParagraph"/>
        <w:numPr>
          <w:ilvl w:val="0"/>
          <w:numId w:val="3"/>
        </w:numPr>
        <w:tabs>
          <w:tab w:val="left" w:pos="0"/>
          <w:tab w:val="left" w:pos="2835"/>
        </w:tabs>
        <w:jc w:val="both"/>
      </w:pPr>
      <w:r>
        <w:t>Procedure B:  Limiting the flat fee to a maximum number of units.</w:t>
      </w:r>
    </w:p>
    <w:p w14:paraId="44F12F99" w14:textId="77777777" w:rsidR="008E4308" w:rsidRDefault="008E4308" w:rsidP="004A6500">
      <w:pPr>
        <w:pStyle w:val="ListParagraph"/>
        <w:numPr>
          <w:ilvl w:val="0"/>
          <w:numId w:val="3"/>
        </w:numPr>
        <w:tabs>
          <w:tab w:val="left" w:pos="0"/>
          <w:tab w:val="left" w:pos="2835"/>
        </w:tabs>
        <w:jc w:val="both"/>
      </w:pPr>
      <w:r>
        <w:t xml:space="preserve">Procedure C:  Introducing an additional fee for cases subject to Article 22 </w:t>
      </w:r>
      <w:proofErr w:type="spellStart"/>
      <w:r>
        <w:t>epfd</w:t>
      </w:r>
      <w:proofErr w:type="spellEnd"/>
      <w:r>
        <w:t xml:space="preserve"> limits.</w:t>
      </w:r>
    </w:p>
    <w:p w14:paraId="73BBEBF4" w14:textId="6369F138" w:rsidR="008E4308" w:rsidRDefault="008E4308" w:rsidP="00B44E37">
      <w:pPr>
        <w:tabs>
          <w:tab w:val="clear" w:pos="794"/>
          <w:tab w:val="clear" w:pos="1191"/>
          <w:tab w:val="clear" w:pos="1588"/>
          <w:tab w:val="clear" w:pos="1985"/>
          <w:tab w:val="left" w:pos="0"/>
          <w:tab w:val="left" w:pos="2835"/>
        </w:tabs>
        <w:jc w:val="both"/>
      </w:pPr>
      <w:r>
        <w:t xml:space="preserve">Views expressed by the Radio Regulations Board and ITU-R Working Parties on these three procedures were communicated to Council in an addendum to the Bureau’s document. </w:t>
      </w:r>
    </w:p>
    <w:p w14:paraId="0B57D4A6" w14:textId="77777777" w:rsidR="008E4308" w:rsidRDefault="008E4308" w:rsidP="008E4308">
      <w:pPr>
        <w:tabs>
          <w:tab w:val="clear" w:pos="794"/>
          <w:tab w:val="clear" w:pos="1191"/>
          <w:tab w:val="clear" w:pos="1588"/>
          <w:tab w:val="clear" w:pos="1985"/>
          <w:tab w:val="left" w:pos="0"/>
          <w:tab w:val="left" w:pos="2835"/>
        </w:tabs>
        <w:jc w:val="both"/>
      </w:pPr>
      <w:r w:rsidRPr="00260D0C">
        <w:t xml:space="preserve">After discussion of this and other input documents, </w:t>
      </w:r>
      <w:r w:rsidRPr="00D93DAC">
        <w:t>Council</w:t>
      </w:r>
      <w:r>
        <w:t xml:space="preserve"> adopted a revision to Decision 482 to implement Procedure A (this revised version of the Decision came into force on 1</w:t>
      </w:r>
      <w:r w:rsidRPr="009026E5">
        <w:rPr>
          <w:vertAlign w:val="superscript"/>
        </w:rPr>
        <w:t>st</w:t>
      </w:r>
      <w:r>
        <w:t xml:space="preserve"> July 2018, see </w:t>
      </w:r>
      <w:hyperlink r:id="rId15" w:history="1">
        <w:r w:rsidRPr="000D7BA2">
          <w:rPr>
            <w:rStyle w:val="Hyperlink"/>
          </w:rPr>
          <w:t>Document C18/114</w:t>
        </w:r>
      </w:hyperlink>
      <w:r>
        <w:t xml:space="preserve">) and agreed to establish a Council Expert Group on Decision 482. The terms of reference of this group contain three tasks: </w:t>
      </w:r>
    </w:p>
    <w:p w14:paraId="43859216" w14:textId="0371960B" w:rsidR="008E4308" w:rsidRPr="007D2880" w:rsidRDefault="008E4308" w:rsidP="004A6500">
      <w:pPr>
        <w:pStyle w:val="ListParagraph"/>
        <w:numPr>
          <w:ilvl w:val="0"/>
          <w:numId w:val="2"/>
        </w:numPr>
        <w:tabs>
          <w:tab w:val="left" w:pos="0"/>
          <w:tab w:val="left" w:pos="2835"/>
        </w:tabs>
        <w:overflowPunct w:val="0"/>
        <w:autoSpaceDE w:val="0"/>
        <w:autoSpaceDN w:val="0"/>
        <w:adjustRightInd w:val="0"/>
        <w:spacing w:before="120" w:after="0" w:line="240" w:lineRule="auto"/>
        <w:jc w:val="both"/>
        <w:textAlignment w:val="baseline"/>
      </w:pPr>
      <w:r w:rsidRPr="007D2880">
        <w:t xml:space="preserve">to further examine Procedures B and C described in Document C18/36, while taking into account considerations contained in Documents C18/36 (Addendum 1), C18/75, C18/83 and C18/90 as well as contributions submitted to its meetings; </w:t>
      </w:r>
    </w:p>
    <w:p w14:paraId="76422F27" w14:textId="77777777" w:rsidR="008E4308" w:rsidRPr="007D2880" w:rsidRDefault="008E4308" w:rsidP="004A6500">
      <w:pPr>
        <w:pStyle w:val="ListParagraph"/>
        <w:numPr>
          <w:ilvl w:val="0"/>
          <w:numId w:val="2"/>
        </w:numPr>
        <w:tabs>
          <w:tab w:val="left" w:pos="0"/>
          <w:tab w:val="left" w:pos="2835"/>
        </w:tabs>
        <w:overflowPunct w:val="0"/>
        <w:autoSpaceDE w:val="0"/>
        <w:autoSpaceDN w:val="0"/>
        <w:adjustRightInd w:val="0"/>
        <w:spacing w:before="120" w:after="0" w:line="240" w:lineRule="auto"/>
        <w:jc w:val="both"/>
        <w:textAlignment w:val="baseline"/>
      </w:pPr>
      <w:r w:rsidRPr="007D2880">
        <w:lastRenderedPageBreak/>
        <w:t>to focus its examination of Procedure B on the cases of complex non-GSO satellite filings and to prepare a report containing recommendations about the possible revision of Decision 482 with regard to complex non-GSO satellite filings for submission to the 2019 ITU Council for action;</w:t>
      </w:r>
    </w:p>
    <w:p w14:paraId="6417F136" w14:textId="77777777" w:rsidR="008E4308" w:rsidRPr="009026E5" w:rsidRDefault="008E4308" w:rsidP="004A6500">
      <w:pPr>
        <w:pStyle w:val="ListParagraph"/>
        <w:numPr>
          <w:ilvl w:val="0"/>
          <w:numId w:val="2"/>
        </w:numPr>
        <w:tabs>
          <w:tab w:val="left" w:pos="0"/>
          <w:tab w:val="left" w:pos="2835"/>
        </w:tabs>
        <w:overflowPunct w:val="0"/>
        <w:autoSpaceDE w:val="0"/>
        <w:autoSpaceDN w:val="0"/>
        <w:adjustRightInd w:val="0"/>
        <w:spacing w:before="120" w:after="0" w:line="240" w:lineRule="auto"/>
        <w:jc w:val="both"/>
        <w:textAlignment w:val="baseline"/>
      </w:pPr>
      <w:r w:rsidRPr="009026E5">
        <w:t>o</w:t>
      </w:r>
      <w:r w:rsidRPr="007D2880">
        <w:t>nce studies of complex non-GSO satellite filings have been completed, and subject to the Bureau providing information to this Council Expert Group that support the need to take action, to consider whether the approach of Procedure B should also be applicable to the cases of exceptionally complex GSO satellite filings (i.e. filings that require a very significant amount of additional time and resources to process). The results of the studies on these GSO filings should be reported to the 2019 ITU Council in a separate report, for action as appropriate.</w:t>
      </w:r>
      <w:r w:rsidRPr="009026E5">
        <w:t xml:space="preserve"> </w:t>
      </w:r>
    </w:p>
    <w:p w14:paraId="058DA32D" w14:textId="0B7F1AF0" w:rsidR="008E4308" w:rsidRDefault="008E4308" w:rsidP="00144D82">
      <w:pPr>
        <w:tabs>
          <w:tab w:val="clear" w:pos="794"/>
          <w:tab w:val="clear" w:pos="1191"/>
          <w:tab w:val="clear" w:pos="1588"/>
          <w:tab w:val="clear" w:pos="1985"/>
          <w:tab w:val="left" w:pos="0"/>
          <w:tab w:val="left" w:pos="2835"/>
        </w:tabs>
        <w:jc w:val="both"/>
      </w:pPr>
      <w:r w:rsidRPr="00A33F4A">
        <w:t>This group</w:t>
      </w:r>
      <w:r>
        <w:t>, chaired by Mr Nikolay VARLAMOV (Russian Fe</w:t>
      </w:r>
      <w:r w:rsidR="00B44E37">
        <w:t>deration), held two meetings on</w:t>
      </w:r>
      <w:r w:rsidR="00B44E37">
        <w:br/>
      </w:r>
      <w:r w:rsidRPr="00A33F4A">
        <w:t>27-28</w:t>
      </w:r>
      <w:r>
        <w:t> </w:t>
      </w:r>
      <w:r w:rsidRPr="00A33F4A">
        <w:t xml:space="preserve">September 2018 </w:t>
      </w:r>
      <w:r>
        <w:t xml:space="preserve">and 28 February–1 March 2019 </w:t>
      </w:r>
      <w:r w:rsidR="00144D82">
        <w:t>at</w:t>
      </w:r>
      <w:r w:rsidRPr="00A33F4A">
        <w:t xml:space="preserve"> ITU headquarters in Geneva.</w:t>
      </w:r>
      <w:r>
        <w:t xml:space="preserve"> These meetings focused on a more detailed examination of Procedu</w:t>
      </w:r>
      <w:r w:rsidR="00B44E37">
        <w:t xml:space="preserve">res B and C. A draft report to </w:t>
      </w:r>
      <w:r>
        <w:t xml:space="preserve">Council is currently being developed by the Expert Group to provide recommendations to Council with regards to these two procedures. </w:t>
      </w:r>
      <w:r w:rsidRPr="00661418">
        <w:t>Information about exceptionally complex GSO satellite filings</w:t>
      </w:r>
      <w:r>
        <w:t xml:space="preserve"> was also considered. </w:t>
      </w:r>
    </w:p>
    <w:p w14:paraId="75DB1D2D" w14:textId="25B9A0CF" w:rsidR="008E4308" w:rsidRPr="008E4308" w:rsidRDefault="008E4308" w:rsidP="008E4308">
      <w:r>
        <w:rPr>
          <w:rFonts w:cstheme="majorBidi"/>
          <w:bCs/>
        </w:rPr>
        <w:t xml:space="preserve">All documents related to this Council Expert Group are available at the following webpage: </w:t>
      </w:r>
      <w:hyperlink r:id="rId16" w:history="1">
        <w:r w:rsidRPr="00DF6BB0">
          <w:rPr>
            <w:rStyle w:val="Hyperlink"/>
            <w:rFonts w:cstheme="majorBidi"/>
            <w:bCs/>
          </w:rPr>
          <w:t>https://www.itu.int/en/council/Pages/eg-d482.aspx</w:t>
        </w:r>
      </w:hyperlink>
      <w:r>
        <w:rPr>
          <w:rFonts w:cstheme="majorBidi"/>
          <w:bCs/>
        </w:rPr>
        <w:t>. T</w:t>
      </w:r>
      <w:r w:rsidRPr="008F6CB6">
        <w:rPr>
          <w:rFonts w:cstheme="majorBidi"/>
          <w:bCs/>
        </w:rPr>
        <w:t xml:space="preserve">he </w:t>
      </w:r>
      <w:r>
        <w:rPr>
          <w:rFonts w:cstheme="majorBidi"/>
          <w:bCs/>
        </w:rPr>
        <w:t xml:space="preserve">next </w:t>
      </w:r>
      <w:r w:rsidRPr="008F6CB6">
        <w:rPr>
          <w:rFonts w:cstheme="majorBidi"/>
          <w:bCs/>
        </w:rPr>
        <w:t xml:space="preserve">meeting </w:t>
      </w:r>
      <w:r>
        <w:rPr>
          <w:rFonts w:cstheme="majorBidi"/>
          <w:bCs/>
        </w:rPr>
        <w:t xml:space="preserve">of the </w:t>
      </w:r>
      <w:r w:rsidRPr="008F6CB6">
        <w:rPr>
          <w:rFonts w:cstheme="majorBidi"/>
          <w:bCs/>
          <w:lang w:val="en-AU"/>
        </w:rPr>
        <w:t>Council Expert Group on Council Decision 482</w:t>
      </w:r>
      <w:r>
        <w:rPr>
          <w:rFonts w:cstheme="majorBidi"/>
          <w:bCs/>
          <w:lang w:val="en-AU"/>
        </w:rPr>
        <w:t xml:space="preserve"> </w:t>
      </w:r>
      <w:r w:rsidRPr="008F6CB6">
        <w:rPr>
          <w:rFonts w:cstheme="majorBidi"/>
          <w:bCs/>
        </w:rPr>
        <w:t xml:space="preserve">will take place on </w:t>
      </w:r>
      <w:r>
        <w:rPr>
          <w:rFonts w:cstheme="majorBidi"/>
          <w:bCs/>
        </w:rPr>
        <w:t xml:space="preserve">6 and 7 June </w:t>
      </w:r>
      <w:r w:rsidRPr="008F6CB6">
        <w:rPr>
          <w:rFonts w:cstheme="majorBidi"/>
          <w:bCs/>
        </w:rPr>
        <w:t>201</w:t>
      </w:r>
      <w:r>
        <w:rPr>
          <w:rFonts w:cstheme="majorBidi"/>
          <w:bCs/>
        </w:rPr>
        <w:t>9.</w:t>
      </w:r>
    </w:p>
    <w:p w14:paraId="31E6AB83" w14:textId="77777777" w:rsidR="0015513D" w:rsidRDefault="00F56064" w:rsidP="0015513D">
      <w:pPr>
        <w:pStyle w:val="Heading2"/>
      </w:pPr>
      <w:bookmarkStart w:id="9" w:name="_Toc446060755"/>
      <w:r>
        <w:t>3</w:t>
      </w:r>
      <w:r w:rsidR="0015513D" w:rsidRPr="00B84D11">
        <w:t>.3</w:t>
      </w:r>
      <w:r w:rsidR="0015513D" w:rsidRPr="00A50264">
        <w:tab/>
        <w:t>P</w:t>
      </w:r>
      <w:r w:rsidR="0015513D" w:rsidRPr="00B84D11">
        <w:t>rocessing of satellite filings</w:t>
      </w:r>
    </w:p>
    <w:p w14:paraId="7A560788" w14:textId="296438B6" w:rsidR="003E7ED4" w:rsidRDefault="003E7ED4" w:rsidP="00B44E37">
      <w:pPr>
        <w:tabs>
          <w:tab w:val="left" w:pos="7797"/>
        </w:tabs>
        <w:spacing w:after="120"/>
        <w:jc w:val="both"/>
      </w:pPr>
      <w:r>
        <w:t xml:space="preserve">Since the </w:t>
      </w:r>
      <w:r w:rsidR="00B44E37">
        <w:t>last session</w:t>
      </w:r>
      <w:r>
        <w:t xml:space="preserve"> of the Radiocommunication Advisory Group, the time for processing satellite filings has been decreased to meet the regulatory timeframes set f</w:t>
      </w:r>
      <w:r w:rsidR="00E0315A">
        <w:t>orth in the Radio Regulations and</w:t>
      </w:r>
      <w:r>
        <w:t xml:space="preserve"> the key performance indicators of the Operational Plan. The p</w:t>
      </w:r>
      <w:r w:rsidRPr="00F52BE2">
        <w:t xml:space="preserve">rocessing </w:t>
      </w:r>
      <w:r>
        <w:t xml:space="preserve">time </w:t>
      </w:r>
      <w:r w:rsidRPr="00F52BE2">
        <w:t xml:space="preserve">of </w:t>
      </w:r>
      <w:r>
        <w:t xml:space="preserve">satellite </w:t>
      </w:r>
      <w:r w:rsidRPr="00F52BE2">
        <w:t>networks under Articles 6 and 7 of Appendix 30B</w:t>
      </w:r>
      <w:r>
        <w:t xml:space="preserve"> of the Radio Regulations still remains slightly above the 6-month objective</w:t>
      </w:r>
      <w:r w:rsidR="00B44E37">
        <w:t>; however, this has also been on the decrease.</w:t>
      </w:r>
      <w:r>
        <w:t xml:space="preserve"> The evolution of the processing times for satellite filings is reported to each meeting of the Radio Regulations Board and is also updated on a monthly basis at the following webpage: </w:t>
      </w:r>
      <w:hyperlink r:id="rId17" w:history="1">
        <w:r w:rsidRPr="001F474C">
          <w:rPr>
            <w:rStyle w:val="Hyperlink"/>
          </w:rPr>
          <w:t>https://www.itu.int/en/ITU-R/space/Pages/Statistics.aspx</w:t>
        </w:r>
      </w:hyperlink>
      <w:r>
        <w:t xml:space="preserve">. </w:t>
      </w:r>
    </w:p>
    <w:p w14:paraId="24013069" w14:textId="77777777" w:rsidR="00B13BAD" w:rsidRDefault="00B13BAD" w:rsidP="00B13BAD">
      <w:pPr>
        <w:pStyle w:val="Heading2"/>
      </w:pPr>
      <w:r>
        <w:t>3</w:t>
      </w:r>
      <w:r w:rsidRPr="00ED04B0">
        <w:t>.</w:t>
      </w:r>
      <w:r>
        <w:t>4</w:t>
      </w:r>
      <w:r w:rsidRPr="00ED04B0">
        <w:tab/>
        <w:t>Conformance and interoperability (C&amp;I)</w:t>
      </w:r>
    </w:p>
    <w:p w14:paraId="15163B22" w14:textId="77777777" w:rsidR="004F183B" w:rsidRPr="00BB206E" w:rsidRDefault="004F183B" w:rsidP="004F183B">
      <w:pPr>
        <w:jc w:val="both"/>
      </w:pPr>
      <w:r>
        <w:t xml:space="preserve">PP </w:t>
      </w:r>
      <w:r w:rsidRPr="00BB206E">
        <w:t xml:space="preserve">Resolution 177 (Rev. </w:t>
      </w:r>
      <w:r>
        <w:t>Dubai</w:t>
      </w:r>
      <w:r w:rsidRPr="00BB206E">
        <w:t>, 201</w:t>
      </w:r>
      <w:r>
        <w:t>8</w:t>
      </w:r>
      <w:r w:rsidRPr="00BB206E">
        <w:t>) endorsed the objectives of WTSA Resolution 76</w:t>
      </w:r>
      <w:r>
        <w:t xml:space="preserve"> </w:t>
      </w:r>
      <w:r w:rsidRPr="00433332">
        <w:t>(Rev. </w:t>
      </w:r>
      <w:proofErr w:type="spellStart"/>
      <w:r w:rsidRPr="00433332">
        <w:t>Hammamet</w:t>
      </w:r>
      <w:proofErr w:type="spellEnd"/>
      <w:r w:rsidRPr="00433332">
        <w:t>, 2016)</w:t>
      </w:r>
      <w:r w:rsidRPr="00BB206E">
        <w:t>, RA Resolution 62</w:t>
      </w:r>
      <w:r>
        <w:t xml:space="preserve"> </w:t>
      </w:r>
      <w:r w:rsidRPr="00433332">
        <w:t>(Rev. Geneva, 2015)</w:t>
      </w:r>
      <w:r w:rsidRPr="00BB206E">
        <w:t>, WTDC Resolution 47</w:t>
      </w:r>
      <w:r>
        <w:t xml:space="preserve"> </w:t>
      </w:r>
      <w:r w:rsidRPr="00433332">
        <w:t>(Rev. Buenos Aires, 2017)</w:t>
      </w:r>
      <w:r w:rsidRPr="00BB206E">
        <w:t xml:space="preserve">, recognizing that “widespread </w:t>
      </w:r>
      <w:r w:rsidRPr="00735662">
        <w:t xml:space="preserve">C&amp;I </w:t>
      </w:r>
      <w:r w:rsidRPr="00BB206E">
        <w:t xml:space="preserve">of telecommunication/ICT equipment and systems </w:t>
      </w:r>
      <w:r w:rsidRPr="001E3D8B">
        <w:t xml:space="preserve">through seamless transfer of data and </w:t>
      </w:r>
      <w:r w:rsidRPr="00BB206E">
        <w:t xml:space="preserve">through the implementation of relevant programmes, policies and decisions can increase market opportunities and reliability and encourage global integration and trade”, and resolved to continue implementing the ITU Action Plan </w:t>
      </w:r>
      <w:r>
        <w:t xml:space="preserve">for the </w:t>
      </w:r>
      <w:r w:rsidRPr="00BB206E">
        <w:t xml:space="preserve">C&amp;I </w:t>
      </w:r>
      <w:r>
        <w:t>P</w:t>
      </w:r>
      <w:r w:rsidRPr="007850E5">
        <w:t xml:space="preserve">rogramme </w:t>
      </w:r>
      <w:r w:rsidRPr="00BB206E">
        <w:t>reviewed by the ITU Council.</w:t>
      </w:r>
    </w:p>
    <w:p w14:paraId="10E75702" w14:textId="77777777" w:rsidR="004F183B" w:rsidRPr="00BB206E" w:rsidRDefault="004F183B" w:rsidP="004F183B">
      <w:pPr>
        <w:jc w:val="both"/>
      </w:pPr>
      <w:r w:rsidRPr="00BB206E">
        <w:t xml:space="preserve">The ITU </w:t>
      </w:r>
      <w:r w:rsidRPr="0080329B">
        <w:t xml:space="preserve">Action Plan for the </w:t>
      </w:r>
      <w:r w:rsidRPr="00BB206E">
        <w:t xml:space="preserve">C&amp;I </w:t>
      </w:r>
      <w:r>
        <w:t>P</w:t>
      </w:r>
      <w:r w:rsidRPr="00BB206E">
        <w:t xml:space="preserve">rogramme mandated by Resolution 177 (Rev. </w:t>
      </w:r>
      <w:r w:rsidRPr="00F67FD6">
        <w:t>Dubai, 2018</w:t>
      </w:r>
      <w:r w:rsidRPr="00BB206E">
        <w:t xml:space="preserve">) is still based on four pillars: Pillar 1: Conformity assessment; Pillar 2: Interoperability events; Pillar 3: </w:t>
      </w:r>
      <w:r>
        <w:t>C</w:t>
      </w:r>
      <w:r w:rsidRPr="00BB206E">
        <w:t xml:space="preserve">apacity building; and Pillar 4: </w:t>
      </w:r>
      <w:r>
        <w:t>E</w:t>
      </w:r>
      <w:r w:rsidRPr="00BB206E">
        <w:t>stablishment of test cent</w:t>
      </w:r>
      <w:r>
        <w:t>re</w:t>
      </w:r>
      <w:r w:rsidRPr="00BB206E">
        <w:t xml:space="preserve">s and </w:t>
      </w:r>
      <w:r>
        <w:t xml:space="preserve">a </w:t>
      </w:r>
      <w:r w:rsidRPr="00BB206E">
        <w:t>C&amp;I programme in developing countries.</w:t>
      </w:r>
    </w:p>
    <w:p w14:paraId="16018F11" w14:textId="77777777" w:rsidR="004F183B" w:rsidRPr="007B4886" w:rsidRDefault="004F183B" w:rsidP="004F183B">
      <w:pPr>
        <w:jc w:val="both"/>
      </w:pPr>
      <w:r w:rsidRPr="00BB206E">
        <w:t>Actions under Pillars 1 and 2 are led by the Telecommunication Standardization Bureau (TSB), actions under Pillars 3 and 4 by the Telecommunication Development Bureau (BDT). ITU</w:t>
      </w:r>
      <w:r w:rsidRPr="00BB206E">
        <w:noBreakHyphen/>
        <w:t>R continues to collaborate with, and provide information when requested by, ITU</w:t>
      </w:r>
      <w:r w:rsidRPr="00BB206E">
        <w:noBreakHyphen/>
        <w:t>T and ITU</w:t>
      </w:r>
      <w:r w:rsidRPr="00BB206E">
        <w:noBreakHyphen/>
        <w:t xml:space="preserve">D on </w:t>
      </w:r>
      <w:proofErr w:type="gramStart"/>
      <w:r w:rsidRPr="00BB206E">
        <w:t>C&amp;I</w:t>
      </w:r>
      <w:proofErr w:type="gramEnd"/>
      <w:r w:rsidRPr="00BB206E">
        <w:t xml:space="preserve"> testing, as indicated in the resolves section of Resolution ITU</w:t>
      </w:r>
      <w:r w:rsidRPr="00BB206E">
        <w:noBreakHyphen/>
        <w:t>R 62. There have been no inputs to the ITU-R Study Groups on this topic since the last RAG.</w:t>
      </w:r>
    </w:p>
    <w:p w14:paraId="63AD3301" w14:textId="77777777" w:rsidR="00B13BAD" w:rsidRDefault="00B13BAD" w:rsidP="00B13BAD">
      <w:pPr>
        <w:pStyle w:val="Heading2"/>
      </w:pPr>
      <w:r>
        <w:t>3</w:t>
      </w:r>
      <w:r w:rsidRPr="00ED04B0">
        <w:t>.</w:t>
      </w:r>
      <w:r>
        <w:t>5</w:t>
      </w:r>
      <w:r w:rsidRPr="00ED04B0">
        <w:tab/>
        <w:t>Space Protocol</w:t>
      </w:r>
      <w:r w:rsidRPr="00621EC7">
        <w:t xml:space="preserve"> </w:t>
      </w:r>
    </w:p>
    <w:p w14:paraId="068A978A" w14:textId="0CE50000" w:rsidR="00B13BAD" w:rsidRPr="00A21098" w:rsidRDefault="00B13BAD" w:rsidP="00E0315A">
      <w:pPr>
        <w:pStyle w:val="Heading2"/>
        <w:ind w:left="0" w:firstLine="0"/>
        <w:jc w:val="both"/>
        <w:rPr>
          <w:b w:val="0"/>
        </w:rPr>
      </w:pPr>
      <w:r w:rsidRPr="00A21098">
        <w:rPr>
          <w:b w:val="0"/>
        </w:rPr>
        <w:t>Based on the recommendations of Council 2017, the Plenipotentiary Conference</w:t>
      </w:r>
      <w:r w:rsidR="00B44E37">
        <w:rPr>
          <w:b w:val="0"/>
        </w:rPr>
        <w:t>,</w:t>
      </w:r>
      <w:r w:rsidRPr="00A21098">
        <w:rPr>
          <w:b w:val="0"/>
        </w:rPr>
        <w:t xml:space="preserve"> held in Dubai (UAE) from 29 October to 16 November 2018</w:t>
      </w:r>
      <w:r w:rsidR="00E0315A">
        <w:rPr>
          <w:b w:val="0"/>
        </w:rPr>
        <w:t>, was</w:t>
      </w:r>
      <w:r w:rsidR="00B44E37">
        <w:rPr>
          <w:b w:val="0"/>
        </w:rPr>
        <w:t xml:space="preserve"> </w:t>
      </w:r>
      <w:r w:rsidRPr="00A21098">
        <w:rPr>
          <w:b w:val="0"/>
        </w:rPr>
        <w:t>invited to decide whether ITU should become the Supervisory Authority of the International Registration System for Space Assets under the Space Protocol.</w:t>
      </w:r>
    </w:p>
    <w:p w14:paraId="64D0AB3A" w14:textId="4AA31420" w:rsidR="00B13BAD" w:rsidRDefault="00B13BAD" w:rsidP="00B44E37">
      <w:pPr>
        <w:tabs>
          <w:tab w:val="left" w:pos="7797"/>
        </w:tabs>
        <w:spacing w:after="120"/>
        <w:jc w:val="both"/>
        <w:rPr>
          <w:bCs/>
        </w:rPr>
      </w:pPr>
      <w:r w:rsidRPr="00B52B18">
        <w:rPr>
          <w:bCs/>
        </w:rPr>
        <w:t xml:space="preserve">Three input documents on this topic, in addition to the report from the Secretary General, were considered. On their basis, the Plenipotentiary Conference adopted Resolution 210 (Dubai, 2018), which resolves “at this conference, </w:t>
      </w:r>
      <w:r w:rsidR="00B44E37">
        <w:rPr>
          <w:bCs/>
        </w:rPr>
        <w:t xml:space="preserve">not to </w:t>
      </w:r>
      <w:r w:rsidRPr="00B52B18">
        <w:rPr>
          <w:bCs/>
        </w:rPr>
        <w:t>accept the role of Supervisory Authority under the Space</w:t>
      </w:r>
      <w:r w:rsidR="00B52B18" w:rsidRPr="00B52B18">
        <w:rPr>
          <w:b/>
        </w:rPr>
        <w:t xml:space="preserve"> </w:t>
      </w:r>
      <w:r w:rsidR="00B52B18" w:rsidRPr="00B52B18">
        <w:rPr>
          <w:bCs/>
        </w:rPr>
        <w:t xml:space="preserve">Protocol but, should there </w:t>
      </w:r>
      <w:r w:rsidR="00B52B18" w:rsidRPr="00B52B18">
        <w:rPr>
          <w:bCs/>
        </w:rPr>
        <w:lastRenderedPageBreak/>
        <w:t>be further invitation by UNIDROIT to ITU, through the Secretary-General, to accept this role, a future plenipotentiary conference would reconsider this matter”. This Resolution also instructs the Council “to prepare, upon receipt of the invitation referred to in the resolves above, and submit to the following plenipotentiary conference, a report on this matter” and the Secretary-General “to bring this resolution to the attention of the Secretary-General of UNIDROIT” and “to participate in the work of the Preparatory Commission and its working groups and to report to the Council accordingly”.</w:t>
      </w:r>
    </w:p>
    <w:bookmarkEnd w:id="9"/>
    <w:p w14:paraId="65958594" w14:textId="587CEDF8" w:rsidR="00A21098" w:rsidRDefault="00A21098" w:rsidP="00A21098">
      <w:pPr>
        <w:jc w:val="both"/>
      </w:pPr>
      <w:r w:rsidRPr="00A21098">
        <w:t>No meeting of the Preparatory Commission has been held since the decision of the Plenipotentiary Conference.</w:t>
      </w:r>
    </w:p>
    <w:p w14:paraId="1A082D45" w14:textId="57062B1C" w:rsidR="0015513D" w:rsidRDefault="00F56064" w:rsidP="00F56064">
      <w:pPr>
        <w:pStyle w:val="Heading2"/>
      </w:pPr>
      <w:r>
        <w:t>3</w:t>
      </w:r>
      <w:r w:rsidR="0015513D">
        <w:t>.6</w:t>
      </w:r>
      <w:r w:rsidR="0015513D">
        <w:tab/>
        <w:t xml:space="preserve">Budget for </w:t>
      </w:r>
      <w:r>
        <w:t xml:space="preserve">the </w:t>
      </w:r>
      <w:r w:rsidR="0015513D">
        <w:t>20</w:t>
      </w:r>
      <w:r>
        <w:t>20</w:t>
      </w:r>
      <w:r w:rsidR="0015513D" w:rsidRPr="00392D1F">
        <w:t>-20</w:t>
      </w:r>
      <w:r>
        <w:t>2</w:t>
      </w:r>
      <w:r w:rsidR="0015513D" w:rsidRPr="00392D1F">
        <w:t>1 period</w:t>
      </w:r>
    </w:p>
    <w:p w14:paraId="66B2F356" w14:textId="3E850C8F" w:rsidR="00B13BAD" w:rsidRDefault="00B13BAD" w:rsidP="00431205">
      <w:pPr>
        <w:jc w:val="center"/>
      </w:pPr>
      <w:r>
        <w:rPr>
          <w:noProof/>
          <w:lang w:val="en-US" w:eastAsia="zh-CN"/>
        </w:rPr>
        <w:drawing>
          <wp:anchor distT="0" distB="0" distL="114300" distR="114300" simplePos="0" relativeHeight="251658240" behindDoc="0" locked="0" layoutInCell="1" allowOverlap="1" wp14:anchorId="5ABDD63A" wp14:editId="6B287E9C">
            <wp:simplePos x="0" y="0"/>
            <wp:positionH relativeFrom="margin">
              <wp:posOffset>-175565</wp:posOffset>
            </wp:positionH>
            <wp:positionV relativeFrom="paragraph">
              <wp:posOffset>328219</wp:posOffset>
            </wp:positionV>
            <wp:extent cx="6517843" cy="408962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517843" cy="4089627"/>
                    </a:xfrm>
                    <a:prstGeom prst="rect">
                      <a:avLst/>
                    </a:prstGeom>
                  </pic:spPr>
                </pic:pic>
              </a:graphicData>
            </a:graphic>
            <wp14:sizeRelH relativeFrom="page">
              <wp14:pctWidth>0</wp14:pctWidth>
            </wp14:sizeRelH>
            <wp14:sizeRelV relativeFrom="page">
              <wp14:pctHeight>0</wp14:pctHeight>
            </wp14:sizeRelV>
          </wp:anchor>
        </w:drawing>
      </w:r>
      <w:bookmarkStart w:id="10" w:name="_Toc446060758"/>
    </w:p>
    <w:p w14:paraId="51D04A56" w14:textId="77777777" w:rsidR="00B13BAD" w:rsidRDefault="00B13BAD" w:rsidP="00B13BAD"/>
    <w:p w14:paraId="71094D85" w14:textId="77777777" w:rsidR="00B13BAD" w:rsidRDefault="00B13BAD" w:rsidP="00B13BAD"/>
    <w:p w14:paraId="1DD5009D" w14:textId="77777777" w:rsidR="00B13BAD" w:rsidRDefault="00B13BAD" w:rsidP="00B13BAD"/>
    <w:p w14:paraId="7D6833C9" w14:textId="77777777" w:rsidR="00B13BAD" w:rsidRDefault="00B13BAD" w:rsidP="00B13BAD"/>
    <w:p w14:paraId="473CA223" w14:textId="77777777" w:rsidR="00B13BAD" w:rsidRDefault="00B13BAD" w:rsidP="00B13BAD"/>
    <w:p w14:paraId="63BF60EE" w14:textId="77777777" w:rsidR="00B13BAD" w:rsidRDefault="00B13BAD" w:rsidP="00B13BAD"/>
    <w:p w14:paraId="440439F9" w14:textId="77777777" w:rsidR="00B13BAD" w:rsidRDefault="00B13BAD" w:rsidP="00B13BAD"/>
    <w:p w14:paraId="3D630903" w14:textId="77777777" w:rsidR="00B13BAD" w:rsidRDefault="00B13BAD" w:rsidP="00B13BAD"/>
    <w:p w14:paraId="536361FC" w14:textId="77777777" w:rsidR="00B13BAD" w:rsidRDefault="00B13BAD" w:rsidP="00B13BAD"/>
    <w:p w14:paraId="23EDCA77" w14:textId="77777777" w:rsidR="00B13BAD" w:rsidRDefault="00B13BAD" w:rsidP="00B13BAD"/>
    <w:p w14:paraId="220387D5" w14:textId="77777777" w:rsidR="00B13BAD" w:rsidRDefault="00B13BAD" w:rsidP="00B13BAD"/>
    <w:p w14:paraId="50722D10" w14:textId="4C2AD357" w:rsidR="00043B65" w:rsidRDefault="00F309B1" w:rsidP="00B44E37">
      <w:pPr>
        <w:pStyle w:val="Heading1"/>
      </w:pPr>
      <w:r w:rsidRPr="00F309B1">
        <w:rPr>
          <w:noProof/>
          <w:lang w:val="en-US" w:eastAsia="zh-CN"/>
        </w:rPr>
        <w:drawing>
          <wp:inline distT="0" distB="0" distL="0" distR="0" wp14:anchorId="34482527" wp14:editId="05080BA6">
            <wp:extent cx="6120765" cy="3043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3043929"/>
                    </a:xfrm>
                    <a:prstGeom prst="rect">
                      <a:avLst/>
                    </a:prstGeom>
                    <a:noFill/>
                    <a:ln>
                      <a:noFill/>
                    </a:ln>
                  </pic:spPr>
                </pic:pic>
              </a:graphicData>
            </a:graphic>
          </wp:inline>
        </w:drawing>
      </w:r>
    </w:p>
    <w:p w14:paraId="46BD7AD8" w14:textId="77777777" w:rsidR="0015513D" w:rsidRDefault="00F56064" w:rsidP="00F56064">
      <w:pPr>
        <w:pStyle w:val="Heading1"/>
      </w:pPr>
      <w:r>
        <w:t>4</w:t>
      </w:r>
      <w:r w:rsidR="0015513D" w:rsidRPr="00ED04B0">
        <w:tab/>
      </w:r>
      <w:bookmarkEnd w:id="10"/>
      <w:r w:rsidR="0015513D" w:rsidRPr="00E94CD2">
        <w:t>Implementation</w:t>
      </w:r>
      <w:r w:rsidR="0015513D">
        <w:t xml:space="preserve"> of WRC-15 decisions</w:t>
      </w:r>
    </w:p>
    <w:p w14:paraId="3AD0EF91" w14:textId="77777777" w:rsidR="00431205" w:rsidRPr="006A2D77" w:rsidRDefault="00431205" w:rsidP="00431205">
      <w:pPr>
        <w:pStyle w:val="Heading2"/>
      </w:pPr>
      <w:bookmarkStart w:id="11" w:name="_Toc446060759"/>
      <w:r>
        <w:t>4</w:t>
      </w:r>
      <w:r w:rsidRPr="00ED04B0">
        <w:t>.1</w:t>
      </w:r>
      <w:r w:rsidRPr="00ED04B0">
        <w:tab/>
      </w:r>
      <w:bookmarkStart w:id="12" w:name="_Toc446060764"/>
      <w:bookmarkEnd w:id="11"/>
      <w:r w:rsidRPr="00ED04B0">
        <w:t>Software development to implement WRC-15 decisions</w:t>
      </w:r>
      <w:bookmarkEnd w:id="12"/>
    </w:p>
    <w:p w14:paraId="32C32C36" w14:textId="77777777" w:rsidR="00431205" w:rsidRDefault="00431205" w:rsidP="00E049DC">
      <w:pPr>
        <w:rPr>
          <w:b/>
          <w:bCs/>
        </w:rPr>
      </w:pPr>
    </w:p>
    <w:p w14:paraId="517CC499" w14:textId="51AE9CD3" w:rsidR="00E049DC" w:rsidRPr="00431205" w:rsidRDefault="00E049DC" w:rsidP="00E049DC">
      <w:pPr>
        <w:rPr>
          <w:bCs/>
        </w:rPr>
      </w:pPr>
      <w:r w:rsidRPr="00431205">
        <w:rPr>
          <w:bCs/>
        </w:rPr>
        <w:t xml:space="preserve">During 2018, the Bureau pursued software design and development to implement WRC-15 decisions. The table below presents a summary of the main tasks under consideration. </w:t>
      </w:r>
    </w:p>
    <w:p w14:paraId="3A8EF0C8" w14:textId="77777777" w:rsidR="00E049DC" w:rsidRPr="00431205" w:rsidRDefault="00E049DC" w:rsidP="00E049DC">
      <w:pPr>
        <w:rPr>
          <w:bCs/>
        </w:rPr>
      </w:pPr>
    </w:p>
    <w:p w14:paraId="18B80246" w14:textId="77777777" w:rsidR="00E049DC" w:rsidRPr="00431205" w:rsidRDefault="00E049DC" w:rsidP="00431205">
      <w:pPr>
        <w:pStyle w:val="Caption"/>
        <w:keepNext/>
        <w:jc w:val="center"/>
        <w:rPr>
          <w:b/>
          <w:bCs/>
          <w:sz w:val="24"/>
          <w:szCs w:val="24"/>
        </w:rPr>
      </w:pPr>
      <w:r w:rsidRPr="00431205">
        <w:rPr>
          <w:b/>
          <w:bCs/>
          <w:sz w:val="24"/>
          <w:szCs w:val="24"/>
        </w:rPr>
        <w:t xml:space="preserve">Table </w:t>
      </w:r>
      <w:r w:rsidRPr="00431205">
        <w:rPr>
          <w:b/>
          <w:bCs/>
          <w:noProof/>
          <w:sz w:val="24"/>
          <w:szCs w:val="24"/>
        </w:rPr>
        <w:fldChar w:fldCharType="begin"/>
      </w:r>
      <w:r w:rsidRPr="00431205">
        <w:rPr>
          <w:b/>
          <w:bCs/>
          <w:noProof/>
          <w:sz w:val="24"/>
          <w:szCs w:val="24"/>
        </w:rPr>
        <w:instrText xml:space="preserve"> SEQ Table \* ARABIC </w:instrText>
      </w:r>
      <w:r w:rsidRPr="00431205">
        <w:rPr>
          <w:b/>
          <w:bCs/>
          <w:noProof/>
          <w:sz w:val="24"/>
          <w:szCs w:val="24"/>
        </w:rPr>
        <w:fldChar w:fldCharType="separate"/>
      </w:r>
      <w:r w:rsidR="00E3768B" w:rsidRPr="00431205">
        <w:rPr>
          <w:b/>
          <w:bCs/>
          <w:noProof/>
          <w:sz w:val="24"/>
          <w:szCs w:val="24"/>
        </w:rPr>
        <w:t>1</w:t>
      </w:r>
      <w:r w:rsidRPr="00431205">
        <w:rPr>
          <w:b/>
          <w:bCs/>
          <w:noProof/>
          <w:sz w:val="24"/>
          <w:szCs w:val="24"/>
        </w:rPr>
        <w:fldChar w:fldCharType="end"/>
      </w:r>
      <w:r w:rsidRPr="00431205">
        <w:rPr>
          <w:b/>
          <w:bCs/>
          <w:sz w:val="24"/>
          <w:szCs w:val="24"/>
        </w:rPr>
        <w:t>: Software development activities to implement WRC-15 decisions</w:t>
      </w:r>
    </w:p>
    <w:tbl>
      <w:tblPr>
        <w:tblStyle w:val="TableGrid"/>
        <w:tblW w:w="9776" w:type="dxa"/>
        <w:tblLook w:val="04A0" w:firstRow="1" w:lastRow="0" w:firstColumn="1" w:lastColumn="0" w:noHBand="0" w:noVBand="1"/>
      </w:tblPr>
      <w:tblGrid>
        <w:gridCol w:w="9776"/>
      </w:tblGrid>
      <w:tr w:rsidR="00E049DC" w:rsidRPr="00852B16" w14:paraId="251407EB" w14:textId="77777777" w:rsidTr="007A7990">
        <w:tc>
          <w:tcPr>
            <w:tcW w:w="9776" w:type="dxa"/>
          </w:tcPr>
          <w:p w14:paraId="663BF432" w14:textId="77777777" w:rsidR="00E049DC" w:rsidRPr="00852B16" w:rsidRDefault="00E049DC" w:rsidP="00497864">
            <w:pPr>
              <w:spacing w:after="120"/>
              <w:rPr>
                <w:b/>
                <w:bCs/>
              </w:rPr>
            </w:pPr>
            <w:r w:rsidRPr="00852B16">
              <w:rPr>
                <w:b/>
                <w:bCs/>
              </w:rPr>
              <w:t xml:space="preserve">Resolution 907 (Rev. WRC-15): Use of modern electronic means of communication for satellite network –related administrative correspondence </w:t>
            </w:r>
          </w:p>
        </w:tc>
      </w:tr>
      <w:tr w:rsidR="00E049DC" w:rsidRPr="00852B16" w14:paraId="0535D964" w14:textId="77777777" w:rsidTr="007A7990">
        <w:tc>
          <w:tcPr>
            <w:tcW w:w="9776" w:type="dxa"/>
          </w:tcPr>
          <w:p w14:paraId="3B0CEB46" w14:textId="008273B8" w:rsidR="00E049DC" w:rsidRPr="00B52B18" w:rsidRDefault="00E049DC" w:rsidP="00E0315A">
            <w:pPr>
              <w:jc w:val="both"/>
            </w:pPr>
            <w:r w:rsidRPr="00B52B18">
              <w:t xml:space="preserve">During 2018, work continued on implementing Resolution 907 (Rev. WRC-15), with the aim </w:t>
            </w:r>
            <w:r w:rsidR="00E0315A">
              <w:t>of</w:t>
            </w:r>
            <w:r w:rsidRPr="00B52B18">
              <w:t xml:space="preserve"> deliver</w:t>
            </w:r>
            <w:r w:rsidR="00E0315A">
              <w:t>ing</w:t>
            </w:r>
            <w:r w:rsidRPr="00B52B18">
              <w:t xml:space="preserve"> a secure online system to modernize and enhance the current correspondence system between Administrations and ITU as well as between Administrations. The system, which will be developed as a communications module</w:t>
            </w:r>
            <w:r w:rsidR="00E0315A">
              <w:t>,</w:t>
            </w:r>
            <w:r w:rsidRPr="00B52B18">
              <w:t xml:space="preserve"> extending the already implemented e-Submissions and SIRRS online web services, shall have the followin</w:t>
            </w:r>
            <w:r w:rsidR="00B52B18">
              <w:t>g characteristics and features:</w:t>
            </w:r>
          </w:p>
          <w:p w14:paraId="268F3630" w14:textId="5B6AC6E6" w:rsidR="00E049DC" w:rsidRPr="00B52B18" w:rsidRDefault="00E049DC" w:rsidP="007A7990">
            <w:pPr>
              <w:tabs>
                <w:tab w:val="clear" w:pos="794"/>
                <w:tab w:val="left" w:pos="454"/>
              </w:tabs>
              <w:jc w:val="both"/>
            </w:pPr>
            <w:r w:rsidRPr="00B52B18">
              <w:t>-</w:t>
            </w:r>
            <w:r w:rsidRPr="00B52B18">
              <w:tab/>
              <w:t xml:space="preserve">Simple, intuitive user interface to address a worldwide community of ITU member administrations and ensure </w:t>
            </w:r>
            <w:r w:rsidR="00B52B18">
              <w:t>the maximum possible acceptance</w:t>
            </w:r>
          </w:p>
          <w:p w14:paraId="31F58CA5" w14:textId="341EB65B" w:rsidR="00E049DC" w:rsidRPr="00B52B18" w:rsidRDefault="00E049DC" w:rsidP="007A7990">
            <w:pPr>
              <w:tabs>
                <w:tab w:val="clear" w:pos="794"/>
                <w:tab w:val="left" w:pos="454"/>
              </w:tabs>
              <w:jc w:val="both"/>
            </w:pPr>
            <w:r w:rsidRPr="00B52B18">
              <w:t>-</w:t>
            </w:r>
            <w:r w:rsidRPr="00B52B18">
              <w:tab/>
              <w:t>Web-based and self-contained online system hosted in ITU IT infrastructure, relaying online submissions of correspondence to a desti</w:t>
            </w:r>
            <w:r w:rsidR="00B52B18">
              <w:t>nation (ITU, Administrations)</w:t>
            </w:r>
          </w:p>
          <w:p w14:paraId="7FE1734F" w14:textId="7CA53FD5" w:rsidR="00E049DC" w:rsidRPr="00B52B18" w:rsidRDefault="00E049DC" w:rsidP="007A7990">
            <w:pPr>
              <w:tabs>
                <w:tab w:val="clear" w:pos="794"/>
                <w:tab w:val="left" w:pos="454"/>
              </w:tabs>
              <w:jc w:val="both"/>
            </w:pPr>
            <w:r w:rsidRPr="00B52B18">
              <w:t>-</w:t>
            </w:r>
            <w:r w:rsidRPr="00B52B18">
              <w:tab/>
              <w:t xml:space="preserve">High security and trust in relaying, timestamping, forwarding correspondence while </w:t>
            </w:r>
            <w:r w:rsidR="00B52B18">
              <w:t>monitoring the information flow</w:t>
            </w:r>
          </w:p>
          <w:p w14:paraId="4B53681C" w14:textId="4E868F55" w:rsidR="00E049DC" w:rsidRPr="00B52B18" w:rsidRDefault="00E049DC" w:rsidP="007A7990">
            <w:pPr>
              <w:tabs>
                <w:tab w:val="clear" w:pos="794"/>
                <w:tab w:val="left" w:pos="454"/>
              </w:tabs>
              <w:jc w:val="both"/>
            </w:pPr>
            <w:r w:rsidRPr="00B52B18">
              <w:t>-</w:t>
            </w:r>
            <w:r w:rsidRPr="00B52B18">
              <w:tab/>
              <w:t>Ability to track submission and delivery, as well as success</w:t>
            </w:r>
            <w:r w:rsidR="00B52B18">
              <w:t>ful reception of expedited data</w:t>
            </w:r>
          </w:p>
          <w:p w14:paraId="4AB54CF5" w14:textId="0E6E455A" w:rsidR="00E049DC" w:rsidRPr="00B52B18" w:rsidRDefault="00E049DC" w:rsidP="007A7990">
            <w:pPr>
              <w:tabs>
                <w:tab w:val="clear" w:pos="794"/>
                <w:tab w:val="left" w:pos="454"/>
              </w:tabs>
              <w:jc w:val="both"/>
            </w:pPr>
            <w:r w:rsidRPr="00B52B18">
              <w:t>-</w:t>
            </w:r>
            <w:r w:rsidRPr="00B52B18">
              <w:tab/>
              <w:t>Seamless integration into existing correspondence processing system and ITU IT infrastructure as well as full integration with other web ser</w:t>
            </w:r>
            <w:r w:rsidR="00B52B18">
              <w:t>vices (e-Submissions and SIRRS)</w:t>
            </w:r>
          </w:p>
          <w:p w14:paraId="0C651342" w14:textId="28C4F433" w:rsidR="00E049DC" w:rsidRDefault="00E049DC" w:rsidP="007A7990">
            <w:pPr>
              <w:tabs>
                <w:tab w:val="clear" w:pos="794"/>
                <w:tab w:val="left" w:pos="454"/>
              </w:tabs>
              <w:jc w:val="both"/>
            </w:pPr>
            <w:r w:rsidRPr="00B52B18">
              <w:t xml:space="preserve">The detailed functional requirements for the communications module have been refined in light of the experience accumulated from the operation of the e-Submissions system and the Space Interference Reporting </w:t>
            </w:r>
            <w:r w:rsidR="00B52B18">
              <w:t xml:space="preserve">and Resolution System (SIRRS). </w:t>
            </w:r>
          </w:p>
          <w:p w14:paraId="583C6E04" w14:textId="77777777" w:rsidR="00DB2FBF" w:rsidRPr="00B52B18" w:rsidRDefault="00DB2FBF" w:rsidP="007A7990">
            <w:pPr>
              <w:tabs>
                <w:tab w:val="clear" w:pos="794"/>
                <w:tab w:val="left" w:pos="454"/>
              </w:tabs>
              <w:jc w:val="both"/>
            </w:pPr>
          </w:p>
          <w:p w14:paraId="5387A0AA" w14:textId="180ABA54" w:rsidR="00E049DC" w:rsidRPr="00B52B18" w:rsidRDefault="00E049DC" w:rsidP="007A7990">
            <w:pPr>
              <w:tabs>
                <w:tab w:val="clear" w:pos="794"/>
                <w:tab w:val="left" w:pos="454"/>
              </w:tabs>
              <w:jc w:val="both"/>
            </w:pPr>
            <w:r w:rsidRPr="00B52B18">
              <w:t>The followin</w:t>
            </w:r>
            <w:r w:rsidR="00B52B18">
              <w:t>g project phases are envisaged:</w:t>
            </w:r>
          </w:p>
          <w:p w14:paraId="42E9B91F" w14:textId="3169DD24" w:rsidR="00E049DC" w:rsidRPr="00B52B18" w:rsidRDefault="00E049DC" w:rsidP="007A7990">
            <w:pPr>
              <w:tabs>
                <w:tab w:val="clear" w:pos="794"/>
                <w:tab w:val="left" w:pos="454"/>
              </w:tabs>
              <w:jc w:val="both"/>
            </w:pPr>
            <w:r w:rsidRPr="00B52B18">
              <w:t>-</w:t>
            </w:r>
            <w:r w:rsidRPr="00B52B18">
              <w:tab/>
              <w:t>June 3, 2019 – mid-August 2019: External test of beta version (Circular letter, nomination of us</w:t>
            </w:r>
            <w:r w:rsidR="00B52B18">
              <w:t>er accounts by administrations)</w:t>
            </w:r>
          </w:p>
          <w:p w14:paraId="247A5C5B" w14:textId="22978EF2" w:rsidR="00E049DC" w:rsidRPr="007A7990" w:rsidRDefault="00E049DC" w:rsidP="00CF31F8">
            <w:pPr>
              <w:tabs>
                <w:tab w:val="clear" w:pos="794"/>
                <w:tab w:val="left" w:pos="454"/>
              </w:tabs>
              <w:spacing w:after="120"/>
              <w:jc w:val="both"/>
            </w:pPr>
            <w:r w:rsidRPr="00B52B18">
              <w:t>-</w:t>
            </w:r>
            <w:r w:rsidRPr="00B52B18">
              <w:tab/>
              <w:t>September 1, 2019: Communications module of e-Submissions in production</w:t>
            </w:r>
          </w:p>
        </w:tc>
      </w:tr>
      <w:tr w:rsidR="00E049DC" w:rsidRPr="00852B16" w14:paraId="50C49818" w14:textId="77777777" w:rsidTr="007A7990">
        <w:tc>
          <w:tcPr>
            <w:tcW w:w="9776" w:type="dxa"/>
          </w:tcPr>
          <w:p w14:paraId="7DE18BFE" w14:textId="77777777" w:rsidR="00E049DC" w:rsidRPr="00852B16" w:rsidRDefault="00E049DC" w:rsidP="00497864">
            <w:pPr>
              <w:spacing w:after="120"/>
              <w:rPr>
                <w:b/>
                <w:bCs/>
              </w:rPr>
            </w:pPr>
            <w:r w:rsidRPr="003836C2">
              <w:rPr>
                <w:b/>
                <w:bCs/>
              </w:rPr>
              <w:t>Resolution 908 (Rev.WRC-15): Electronic submission of satellite network filings</w:t>
            </w:r>
            <w:r w:rsidRPr="00852B16">
              <w:rPr>
                <w:b/>
                <w:bCs/>
              </w:rPr>
              <w:t xml:space="preserve"> </w:t>
            </w:r>
          </w:p>
        </w:tc>
      </w:tr>
      <w:tr w:rsidR="003836C2" w:rsidRPr="00852B16" w14:paraId="670C7288" w14:textId="77777777" w:rsidTr="003836C2">
        <w:tc>
          <w:tcPr>
            <w:tcW w:w="9776" w:type="dxa"/>
          </w:tcPr>
          <w:p w14:paraId="40BF5031" w14:textId="77777777" w:rsidR="003836C2" w:rsidRPr="00C0044E" w:rsidRDefault="003836C2" w:rsidP="00FE2DA3">
            <w:pPr>
              <w:tabs>
                <w:tab w:val="clear" w:pos="794"/>
                <w:tab w:val="left" w:pos="454"/>
              </w:tabs>
              <w:jc w:val="both"/>
            </w:pPr>
            <w:r w:rsidRPr="00C0044E">
              <w:t>Resolution 908 (Rev.WRC-15) resolves that administrations shall submit all satellite network filings and comments, if required, using a secure paperless electronic approach upon being advised that the means for such electronic submission of a satellite network filing for satellite networks or systems has been implemented and upon receiving assurances that such means are indeed secure.</w:t>
            </w:r>
          </w:p>
          <w:p w14:paraId="067446AA" w14:textId="77777777" w:rsidR="003836C2" w:rsidRDefault="003836C2" w:rsidP="00FE2DA3">
            <w:pPr>
              <w:tabs>
                <w:tab w:val="clear" w:pos="794"/>
                <w:tab w:val="left" w:pos="454"/>
              </w:tabs>
              <w:jc w:val="both"/>
            </w:pPr>
            <w:r w:rsidRPr="00C0044E">
              <w:t xml:space="preserve">To assist in the development and testing, the Administration of Japan has made a financial contribution to the Resolution 908 project and made available a space regulatory/technical expert in Geneva for a period of 2 years. </w:t>
            </w:r>
          </w:p>
          <w:p w14:paraId="455BE150" w14:textId="77777777" w:rsidR="003836C2" w:rsidRPr="00C0044E" w:rsidRDefault="003836C2" w:rsidP="00FE2DA3">
            <w:pPr>
              <w:tabs>
                <w:tab w:val="clear" w:pos="794"/>
                <w:tab w:val="left" w:pos="454"/>
              </w:tabs>
              <w:jc w:val="both"/>
            </w:pPr>
            <w:r w:rsidRPr="00C0044E">
              <w:t>The following outputs under Resolution 908 (Rev.WRC-15) are foreseen:</w:t>
            </w:r>
          </w:p>
          <w:p w14:paraId="70DFA163" w14:textId="77777777" w:rsidR="003836C2" w:rsidRPr="00C0044E" w:rsidRDefault="003836C2" w:rsidP="00FE2DA3">
            <w:pPr>
              <w:tabs>
                <w:tab w:val="clear" w:pos="794"/>
                <w:tab w:val="left" w:pos="454"/>
              </w:tabs>
              <w:jc w:val="both"/>
            </w:pPr>
            <w:r w:rsidRPr="00C0044E">
              <w:t>1. A consolidated approach for the electronic submission and publication of all satellite network filings, related comments and publication.</w:t>
            </w:r>
          </w:p>
          <w:p w14:paraId="4E3F3F50" w14:textId="77777777" w:rsidR="003836C2" w:rsidRPr="00C0044E" w:rsidRDefault="003836C2" w:rsidP="00FE2DA3">
            <w:pPr>
              <w:tabs>
                <w:tab w:val="clear" w:pos="794"/>
                <w:tab w:val="left" w:pos="454"/>
              </w:tabs>
              <w:jc w:val="both"/>
            </w:pPr>
            <w:r w:rsidRPr="00C0044E">
              <w:t>2. An improved internal BR processing system for the treatment of satellite network filings and comments.</w:t>
            </w:r>
          </w:p>
          <w:p w14:paraId="6B6CACB6" w14:textId="77777777" w:rsidR="003836C2" w:rsidRPr="00C0044E" w:rsidRDefault="003836C2" w:rsidP="00FE2DA3">
            <w:pPr>
              <w:tabs>
                <w:tab w:val="clear" w:pos="794"/>
                <w:tab w:val="left" w:pos="454"/>
              </w:tabs>
              <w:jc w:val="both"/>
            </w:pPr>
            <w:r w:rsidRPr="00C0044E">
              <w:t>3. Streamlined internal BR processes for the treatment of satellite network notices.</w:t>
            </w:r>
          </w:p>
          <w:p w14:paraId="432ABB5A" w14:textId="77777777" w:rsidR="003836C2" w:rsidRPr="00C0044E" w:rsidRDefault="003836C2" w:rsidP="00FE2DA3">
            <w:pPr>
              <w:tabs>
                <w:tab w:val="clear" w:pos="794"/>
                <w:tab w:val="left" w:pos="454"/>
              </w:tabs>
              <w:jc w:val="both"/>
            </w:pPr>
            <w:r w:rsidRPr="00C0044E">
              <w:lastRenderedPageBreak/>
              <w:t>4. Integration between new versions of legacy software applications (please refer to the BR Space Information Systems roadmap in Annex 1) and the modern web based technology chosen for the implementation of Resolution 908.</w:t>
            </w:r>
          </w:p>
          <w:p w14:paraId="297CF12B" w14:textId="77777777" w:rsidR="003836C2" w:rsidRPr="00C0044E" w:rsidRDefault="003836C2" w:rsidP="00FE2DA3">
            <w:pPr>
              <w:tabs>
                <w:tab w:val="clear" w:pos="794"/>
                <w:tab w:val="left" w:pos="454"/>
              </w:tabs>
              <w:jc w:val="both"/>
            </w:pPr>
            <w:r w:rsidRPr="00C0044E">
              <w:t>Phase 1 of the Resolution 908 project concerning the submission of satellite filings and comments, known as “e-Submissions for satellite network filings,” has been implemented in 2018 as follows:</w:t>
            </w:r>
          </w:p>
          <w:p w14:paraId="393CC820" w14:textId="77777777" w:rsidR="003836C2" w:rsidRPr="00C0044E" w:rsidRDefault="003836C2" w:rsidP="00FE2DA3">
            <w:pPr>
              <w:tabs>
                <w:tab w:val="clear" w:pos="794"/>
                <w:tab w:val="left" w:pos="454"/>
              </w:tabs>
              <w:jc w:val="both"/>
            </w:pPr>
            <w:r w:rsidRPr="00C0044E">
              <w:t>•</w:t>
            </w:r>
            <w:r w:rsidRPr="00C0044E">
              <w:tab/>
            </w:r>
            <w:proofErr w:type="gramStart"/>
            <w:r w:rsidRPr="00C0044E">
              <w:t>mid-March</w:t>
            </w:r>
            <w:proofErr w:type="gramEnd"/>
            <w:r w:rsidRPr="00C0044E">
              <w:t xml:space="preserve"> 2018 – mid-July 2018: External beta testing (as announced in CR/427) and gathering of feedback from external users.</w:t>
            </w:r>
          </w:p>
          <w:p w14:paraId="6BD654BB" w14:textId="77777777" w:rsidR="003836C2" w:rsidRPr="00C0044E" w:rsidRDefault="003836C2" w:rsidP="00FE2DA3">
            <w:pPr>
              <w:tabs>
                <w:tab w:val="clear" w:pos="794"/>
                <w:tab w:val="left" w:pos="454"/>
              </w:tabs>
              <w:jc w:val="both"/>
            </w:pPr>
            <w:r w:rsidRPr="00C0044E">
              <w:t>•</w:t>
            </w:r>
            <w:r w:rsidRPr="00C0044E">
              <w:tab/>
              <w:t xml:space="preserve">August 1, 2018: Use in production on a mandatory basis (as announced in CR/434, implementing the revised Rule of Procedure on the </w:t>
            </w:r>
            <w:proofErr w:type="spellStart"/>
            <w:r w:rsidRPr="00C0044E">
              <w:t>receivability</w:t>
            </w:r>
            <w:proofErr w:type="spellEnd"/>
            <w:r w:rsidRPr="00C0044E">
              <w:t xml:space="preserve"> of forms of notice adopted at the 78th RRB meeting). At this stage of the implementation of Resolution 908, administrations were still allowed to request assistance with the use of the new system, in order not to delay the submission of a filing.</w:t>
            </w:r>
          </w:p>
          <w:p w14:paraId="187D735C" w14:textId="77777777" w:rsidR="003836C2" w:rsidRDefault="003836C2" w:rsidP="00FE2DA3">
            <w:pPr>
              <w:tabs>
                <w:tab w:val="clear" w:pos="794"/>
                <w:tab w:val="left" w:pos="454"/>
              </w:tabs>
              <w:jc w:val="both"/>
            </w:pPr>
            <w:r w:rsidRPr="00C0044E">
              <w:t>•</w:t>
            </w:r>
            <w:r w:rsidRPr="00C0044E">
              <w:tab/>
              <w:t>January 15, 2019: The system is considered to be stable and the BR will provide assistance in uploading filings on behalf of Administrations only in exceptional cases from this date.</w:t>
            </w:r>
          </w:p>
          <w:p w14:paraId="1FBF59C7" w14:textId="77777777" w:rsidR="003836C2" w:rsidRDefault="003836C2" w:rsidP="00FE2DA3">
            <w:pPr>
              <w:tabs>
                <w:tab w:val="clear" w:pos="794"/>
                <w:tab w:val="left" w:pos="454"/>
              </w:tabs>
              <w:jc w:val="both"/>
            </w:pPr>
          </w:p>
          <w:p w14:paraId="0AE3FA78" w14:textId="77777777" w:rsidR="003836C2" w:rsidRPr="00C0044E" w:rsidRDefault="003836C2" w:rsidP="00FE2DA3">
            <w:pPr>
              <w:tabs>
                <w:tab w:val="clear" w:pos="794"/>
                <w:tab w:val="left" w:pos="454"/>
              </w:tabs>
              <w:spacing w:before="0" w:after="160"/>
              <w:jc w:val="both"/>
            </w:pPr>
            <w:r w:rsidRPr="00C0044E">
              <w:t xml:space="preserve">The improvements in internal processes and processing software are being implemented concurrently with the above externally visible functionality. This work will continue into 2019, in conjunction with the work planned according to the BR Space Information Systems roadmap (SNS Online, </w:t>
            </w:r>
            <w:proofErr w:type="spellStart"/>
            <w:r w:rsidRPr="00C0044E">
              <w:t>SNTrack</w:t>
            </w:r>
            <w:proofErr w:type="spellEnd"/>
            <w:r w:rsidRPr="00C0044E">
              <w:t>, etc.). The online publication part is envisaged to be implemented in 2020.</w:t>
            </w:r>
          </w:p>
        </w:tc>
      </w:tr>
      <w:tr w:rsidR="00E82D32" w:rsidRPr="00852B16" w14:paraId="3F79A3ED" w14:textId="77777777" w:rsidTr="007A7990">
        <w:tc>
          <w:tcPr>
            <w:tcW w:w="9776" w:type="dxa"/>
          </w:tcPr>
          <w:p w14:paraId="159624F8" w14:textId="77777777" w:rsidR="00E82D32" w:rsidRPr="00043B65" w:rsidRDefault="00E82D32" w:rsidP="007A7990">
            <w:pPr>
              <w:tabs>
                <w:tab w:val="left" w:pos="7655"/>
              </w:tabs>
              <w:spacing w:after="120"/>
              <w:jc w:val="both"/>
              <w:rPr>
                <w:b/>
                <w:bCs/>
                <w:szCs w:val="24"/>
              </w:rPr>
            </w:pPr>
            <w:r w:rsidRPr="00043B65">
              <w:rPr>
                <w:b/>
                <w:bCs/>
              </w:rPr>
              <w:lastRenderedPageBreak/>
              <w:t>Implementation of WRC-15 decisions relating to terrestrial services</w:t>
            </w:r>
          </w:p>
          <w:p w14:paraId="3C150042" w14:textId="77777777" w:rsidR="00E82D32" w:rsidRPr="00043B65" w:rsidRDefault="00E82D32" w:rsidP="007A7990">
            <w:pPr>
              <w:tabs>
                <w:tab w:val="left" w:pos="7655"/>
              </w:tabs>
              <w:spacing w:after="120"/>
              <w:jc w:val="both"/>
              <w:rPr>
                <w:rFonts w:asciiTheme="majorBidi" w:hAnsiTheme="majorBidi" w:cstheme="majorBidi"/>
                <w:szCs w:val="24"/>
              </w:rPr>
            </w:pPr>
            <w:r w:rsidRPr="00043B65">
              <w:rPr>
                <w:rFonts w:asciiTheme="majorBidi" w:hAnsiTheme="majorBidi" w:cstheme="majorBidi"/>
                <w:szCs w:val="24"/>
              </w:rPr>
              <w:t>Continuous update of all terrestrial services processing software, both for internal (</w:t>
            </w:r>
            <w:proofErr w:type="spellStart"/>
            <w:r w:rsidRPr="00043B65">
              <w:rPr>
                <w:rFonts w:asciiTheme="majorBidi" w:hAnsiTheme="majorBidi" w:cstheme="majorBidi"/>
                <w:i/>
                <w:iCs/>
                <w:szCs w:val="24"/>
              </w:rPr>
              <w:t>TerRaSys</w:t>
            </w:r>
            <w:proofErr w:type="spellEnd"/>
            <w:r w:rsidRPr="00043B65">
              <w:rPr>
                <w:rFonts w:asciiTheme="majorBidi" w:hAnsiTheme="majorBidi" w:cstheme="majorBidi"/>
                <w:szCs w:val="24"/>
              </w:rPr>
              <w:t>) and external (BR IFIC (Terrestrial)) use, including improved database schemas and updated validation and examination software modules, for the submission of terrestrial frequency notifications, as a consequence of WRC-15 and RRB decisions.</w:t>
            </w:r>
          </w:p>
          <w:p w14:paraId="0CB7A65E" w14:textId="77777777" w:rsidR="00E82D32" w:rsidRPr="00043B65" w:rsidRDefault="00E82D32" w:rsidP="007A7990">
            <w:pPr>
              <w:tabs>
                <w:tab w:val="left" w:pos="7797"/>
              </w:tabs>
              <w:spacing w:after="120"/>
              <w:jc w:val="both"/>
              <w:rPr>
                <w:rFonts w:asciiTheme="majorBidi" w:hAnsiTheme="majorBidi" w:cstheme="majorBidi"/>
                <w:szCs w:val="24"/>
              </w:rPr>
            </w:pPr>
            <w:r w:rsidRPr="00043B65">
              <w:rPr>
                <w:rFonts w:asciiTheme="majorBidi" w:hAnsiTheme="majorBidi" w:cstheme="majorBidi"/>
                <w:szCs w:val="24"/>
              </w:rPr>
              <w:t xml:space="preserve">Continued development of the software modules, coordination criteria and associated tools for terrestrial services, aiming at the processing of: </w:t>
            </w:r>
          </w:p>
          <w:p w14:paraId="7C761513" w14:textId="77777777" w:rsidR="00E82D32" w:rsidRPr="00043B65" w:rsidRDefault="00E82D32" w:rsidP="004A6500">
            <w:pPr>
              <w:pStyle w:val="ListParagraph"/>
              <w:numPr>
                <w:ilvl w:val="0"/>
                <w:numId w:val="1"/>
              </w:numPr>
              <w:tabs>
                <w:tab w:val="left" w:pos="7797"/>
              </w:tabs>
              <w:spacing w:after="120"/>
              <w:jc w:val="both"/>
              <w:rPr>
                <w:rFonts w:asciiTheme="majorBidi" w:hAnsiTheme="majorBidi" w:cstheme="majorBidi"/>
                <w:szCs w:val="24"/>
              </w:rPr>
            </w:pPr>
            <w:r w:rsidRPr="00043B65">
              <w:rPr>
                <w:rFonts w:asciiTheme="majorBidi" w:hAnsiTheme="majorBidi" w:cstheme="majorBidi"/>
                <w:szCs w:val="24"/>
              </w:rPr>
              <w:t xml:space="preserve">requests for coordination under RR No. </w:t>
            </w:r>
            <w:r w:rsidRPr="00043B65">
              <w:rPr>
                <w:rFonts w:asciiTheme="majorBidi" w:hAnsiTheme="majorBidi" w:cstheme="majorBidi"/>
                <w:b/>
                <w:bCs/>
                <w:szCs w:val="24"/>
              </w:rPr>
              <w:t>9.19</w:t>
            </w:r>
            <w:r w:rsidRPr="00043B65">
              <w:rPr>
                <w:rFonts w:asciiTheme="majorBidi" w:hAnsiTheme="majorBidi" w:cstheme="majorBidi"/>
                <w:szCs w:val="24"/>
              </w:rPr>
              <w:t>;</w:t>
            </w:r>
          </w:p>
          <w:p w14:paraId="59136B31" w14:textId="77777777" w:rsidR="00E82D32" w:rsidRPr="00043B65" w:rsidRDefault="00E82D32" w:rsidP="004A6500">
            <w:pPr>
              <w:pStyle w:val="ListParagraph"/>
              <w:numPr>
                <w:ilvl w:val="0"/>
                <w:numId w:val="1"/>
              </w:numPr>
              <w:tabs>
                <w:tab w:val="left" w:pos="7797"/>
              </w:tabs>
              <w:spacing w:after="120"/>
              <w:jc w:val="both"/>
              <w:rPr>
                <w:rFonts w:asciiTheme="majorBidi" w:hAnsiTheme="majorBidi" w:cstheme="majorBidi"/>
                <w:szCs w:val="24"/>
              </w:rPr>
            </w:pPr>
            <w:r w:rsidRPr="00043B65">
              <w:rPr>
                <w:rFonts w:asciiTheme="majorBidi" w:hAnsiTheme="majorBidi" w:cstheme="majorBidi"/>
                <w:szCs w:val="24"/>
              </w:rPr>
              <w:t xml:space="preserve">requests for coordination under RR No. </w:t>
            </w:r>
            <w:r w:rsidRPr="00043B65">
              <w:rPr>
                <w:rFonts w:asciiTheme="majorBidi" w:hAnsiTheme="majorBidi" w:cstheme="majorBidi"/>
                <w:b/>
                <w:bCs/>
                <w:szCs w:val="24"/>
              </w:rPr>
              <w:t>9.21</w:t>
            </w:r>
            <w:r w:rsidRPr="00043B65">
              <w:rPr>
                <w:rFonts w:asciiTheme="majorBidi" w:hAnsiTheme="majorBidi" w:cstheme="majorBidi"/>
                <w:szCs w:val="24"/>
              </w:rPr>
              <w:t>;</w:t>
            </w:r>
          </w:p>
          <w:p w14:paraId="66CF72F2" w14:textId="096558BF" w:rsidR="00E82D32" w:rsidRPr="00043B65" w:rsidRDefault="00E82D32" w:rsidP="004A6500">
            <w:pPr>
              <w:pStyle w:val="ListParagraph"/>
              <w:numPr>
                <w:ilvl w:val="0"/>
                <w:numId w:val="1"/>
              </w:numPr>
              <w:tabs>
                <w:tab w:val="left" w:pos="7797"/>
              </w:tabs>
              <w:spacing w:after="120"/>
              <w:jc w:val="both"/>
              <w:rPr>
                <w:rFonts w:asciiTheme="majorBidi" w:hAnsiTheme="majorBidi" w:cstheme="majorBidi"/>
                <w:szCs w:val="24"/>
              </w:rPr>
            </w:pPr>
            <w:r w:rsidRPr="00043B65">
              <w:rPr>
                <w:rFonts w:asciiTheme="majorBidi" w:hAnsiTheme="majorBidi" w:cstheme="majorBidi"/>
                <w:szCs w:val="24"/>
              </w:rPr>
              <w:t>IMT-advanced systems in the GE06 bands following the WRC-15 decision on the harmonization of the 700 MHz band. The relevant system type codes and related protection criteria were introduced for such systems</w:t>
            </w:r>
          </w:p>
        </w:tc>
      </w:tr>
    </w:tbl>
    <w:p w14:paraId="2644F802" w14:textId="77777777" w:rsidR="0015513D" w:rsidRDefault="00F56064" w:rsidP="00F56064">
      <w:pPr>
        <w:pStyle w:val="Heading3"/>
      </w:pPr>
      <w:bookmarkStart w:id="13" w:name="_Toc446060765"/>
      <w:r>
        <w:t>4</w:t>
      </w:r>
      <w:r w:rsidR="0015513D" w:rsidRPr="00ED04B0">
        <w:t>.2</w:t>
      </w:r>
      <w:r w:rsidR="0015513D" w:rsidRPr="00ED04B0">
        <w:tab/>
        <w:t>Other actions to implement WRC-15 decisions</w:t>
      </w:r>
      <w:bookmarkEnd w:id="13"/>
    </w:p>
    <w:p w14:paraId="234622EA" w14:textId="2BF6F08E" w:rsidR="0073604C" w:rsidRDefault="0073604C" w:rsidP="0073604C">
      <w:pPr>
        <w:pStyle w:val="Heading3"/>
      </w:pPr>
      <w:r>
        <w:t>4</w:t>
      </w:r>
      <w:r w:rsidRPr="00ED04B0">
        <w:t>.2</w:t>
      </w:r>
      <w:r>
        <w:t>.1</w:t>
      </w:r>
      <w:r w:rsidRPr="00ED04B0">
        <w:tab/>
      </w:r>
      <w:r>
        <w:t>Implementation of Resolution 55 (WRC-15)</w:t>
      </w:r>
    </w:p>
    <w:p w14:paraId="4142C0BF" w14:textId="17B106BA" w:rsidR="00921505" w:rsidRDefault="00921505" w:rsidP="0073604C">
      <w:pPr>
        <w:jc w:val="both"/>
      </w:pPr>
      <w:r>
        <w:t xml:space="preserve">Resolution </w:t>
      </w:r>
      <w:r w:rsidRPr="00921505">
        <w:rPr>
          <w:b/>
          <w:bCs/>
        </w:rPr>
        <w:t>55 (WRC-15)</w:t>
      </w:r>
      <w:r>
        <w:t xml:space="preserve"> instructs the Bureau </w:t>
      </w:r>
      <w:r w:rsidR="0073604C">
        <w:t>“</w:t>
      </w:r>
      <w:r w:rsidR="0073604C" w:rsidRPr="00E87CF9">
        <w:t xml:space="preserve">to make available coordination requests and notifications </w:t>
      </w:r>
      <w:r w:rsidR="0073604C">
        <w:t xml:space="preserve">(…) </w:t>
      </w:r>
      <w:r w:rsidR="0073604C" w:rsidRPr="00E87CF9">
        <w:t>“as received” within 30 days of receipt on its website</w:t>
      </w:r>
      <w:r w:rsidR="0073604C">
        <w:t>”</w:t>
      </w:r>
      <w:r>
        <w:t>. Since the implementation of the online application “e-submissions for Satellite Network Filing”, most notices have been made available within 7 days instead of 30 days. With all notices submitted through the online system, the Bureau has been able to extend the types of notices that are made available “as received” to include advance publication information of satellite networks not subject to coordination, earth station notification notices</w:t>
      </w:r>
      <w:r w:rsidR="0073604C">
        <w:t>, as well as Part A, Part B special sections and notifications related to Appendices 30, 30A and 30B of the Radio Regulations</w:t>
      </w:r>
      <w:r>
        <w:t>. The Bureau has received positive feedback to this improved “as-received” system by several administrations as it has further increased the transparency of the filing process.</w:t>
      </w:r>
    </w:p>
    <w:p w14:paraId="7F5B57E0" w14:textId="0A715168" w:rsidR="00204329" w:rsidRDefault="00204329" w:rsidP="00204329">
      <w:pPr>
        <w:pStyle w:val="Heading3"/>
      </w:pPr>
      <w:r>
        <w:t>4</w:t>
      </w:r>
      <w:r w:rsidRPr="00ED04B0">
        <w:t>.2</w:t>
      </w:r>
      <w:r>
        <w:t>.2</w:t>
      </w:r>
      <w:r w:rsidRPr="00ED04B0">
        <w:tab/>
      </w:r>
      <w:r>
        <w:t>Development of Rules of Procedure</w:t>
      </w:r>
    </w:p>
    <w:p w14:paraId="56702FDC" w14:textId="2423797F" w:rsidR="00921505" w:rsidRPr="00043B65" w:rsidRDefault="00204329" w:rsidP="00B44E37">
      <w:pPr>
        <w:jc w:val="both"/>
        <w:rPr>
          <w:lang w:val="en-US"/>
        </w:rPr>
      </w:pPr>
      <w:r w:rsidRPr="00914E6F">
        <w:rPr>
          <w:lang w:val="en-US"/>
        </w:rPr>
        <w:t>The Bureau developed drafts for new or modified Rules of Procedure in order to reflect the WRC</w:t>
      </w:r>
      <w:r w:rsidRPr="00914E6F">
        <w:rPr>
          <w:lang w:val="en-US"/>
        </w:rPr>
        <w:noBreakHyphen/>
        <w:t>15 decisions</w:t>
      </w:r>
      <w:r w:rsidR="008410C8">
        <w:rPr>
          <w:lang w:val="en-US"/>
        </w:rPr>
        <w:t xml:space="preserve"> (for example, to mandate the use </w:t>
      </w:r>
      <w:r w:rsidR="0003295E">
        <w:rPr>
          <w:lang w:val="en-US"/>
        </w:rPr>
        <w:t xml:space="preserve">of </w:t>
      </w:r>
      <w:r w:rsidR="0003295E">
        <w:t xml:space="preserve">the online application “e-submissions for Satellite Network Filing” </w:t>
      </w:r>
      <w:r w:rsidR="0003295E">
        <w:lastRenderedPageBreak/>
        <w:t xml:space="preserve">requested by Resolution </w:t>
      </w:r>
      <w:r w:rsidR="0003295E" w:rsidRPr="0003295E">
        <w:rPr>
          <w:b/>
          <w:bCs/>
        </w:rPr>
        <w:t>908 (Rev.WRC-15</w:t>
      </w:r>
      <w:r w:rsidR="0003295E" w:rsidRPr="00043B65">
        <w:rPr>
          <w:b/>
          <w:bCs/>
        </w:rPr>
        <w:t>)</w:t>
      </w:r>
      <w:r w:rsidR="00E82D32" w:rsidRPr="00043B65">
        <w:rPr>
          <w:b/>
          <w:bCs/>
        </w:rPr>
        <w:t xml:space="preserve"> </w:t>
      </w:r>
      <w:r w:rsidR="00E82D32" w:rsidRPr="00043B65">
        <w:t xml:space="preserve">and to change the approach in the identification of affected administrations for the coordination of terrestrial transmitters under the provision of No. </w:t>
      </w:r>
      <w:r w:rsidR="00E82D32" w:rsidRPr="00043B65">
        <w:rPr>
          <w:b/>
          <w:bCs/>
        </w:rPr>
        <w:t>9.19</w:t>
      </w:r>
      <w:r w:rsidR="00E82D32" w:rsidRPr="00043B65">
        <w:t xml:space="preserve"> of the RR</w:t>
      </w:r>
      <w:r w:rsidR="008410C8" w:rsidRPr="00043B65">
        <w:t>)</w:t>
      </w:r>
      <w:r w:rsidRPr="00043B65">
        <w:rPr>
          <w:lang w:val="en-US"/>
        </w:rPr>
        <w:t xml:space="preserve">. These drafts </w:t>
      </w:r>
      <w:r w:rsidR="00E82D32" w:rsidRPr="00043B65">
        <w:rPr>
          <w:lang w:val="en-US"/>
        </w:rPr>
        <w:t xml:space="preserve">and proposals </w:t>
      </w:r>
      <w:r w:rsidRPr="00043B65">
        <w:rPr>
          <w:lang w:val="en-US"/>
        </w:rPr>
        <w:t>were considered by the RRB together with comments received from administrations and the corresponding Rules of Procedure were approved by the RRB at its 7</w:t>
      </w:r>
      <w:r w:rsidR="00CC6BFD" w:rsidRPr="00043B65">
        <w:rPr>
          <w:lang w:val="en-US"/>
        </w:rPr>
        <w:t>8</w:t>
      </w:r>
      <w:r w:rsidRPr="00043B65">
        <w:rPr>
          <w:vertAlign w:val="superscript"/>
          <w:lang w:val="en-US"/>
        </w:rPr>
        <w:t>th</w:t>
      </w:r>
      <w:r w:rsidR="00CC6BFD" w:rsidRPr="00043B65">
        <w:rPr>
          <w:lang w:val="en-US"/>
        </w:rPr>
        <w:t xml:space="preserve"> </w:t>
      </w:r>
      <w:r w:rsidR="00E82D32" w:rsidRPr="00043B65">
        <w:rPr>
          <w:lang w:val="en-US"/>
        </w:rPr>
        <w:t>and 79</w:t>
      </w:r>
      <w:r w:rsidR="00E82D32" w:rsidRPr="00043B65">
        <w:rPr>
          <w:vertAlign w:val="superscript"/>
          <w:lang w:val="en-US"/>
        </w:rPr>
        <w:t>th</w:t>
      </w:r>
      <w:r w:rsidR="00E82D32" w:rsidRPr="00043B65">
        <w:rPr>
          <w:lang w:val="en-US"/>
        </w:rPr>
        <w:t xml:space="preserve"> </w:t>
      </w:r>
      <w:r w:rsidR="00CC6BFD" w:rsidRPr="00043B65">
        <w:rPr>
          <w:lang w:val="en-US"/>
        </w:rPr>
        <w:t>meeting</w:t>
      </w:r>
      <w:r w:rsidR="00E82D32" w:rsidRPr="00043B65">
        <w:rPr>
          <w:lang w:val="en-US"/>
        </w:rPr>
        <w:t>s</w:t>
      </w:r>
      <w:r w:rsidR="00CC6BFD" w:rsidRPr="00043B65">
        <w:rPr>
          <w:lang w:val="en-US"/>
        </w:rPr>
        <w:t xml:space="preserve"> </w:t>
      </w:r>
      <w:r w:rsidRPr="00043B65">
        <w:rPr>
          <w:lang w:val="en-US"/>
        </w:rPr>
        <w:t xml:space="preserve">(July </w:t>
      </w:r>
      <w:r w:rsidR="00E82D32" w:rsidRPr="00043B65">
        <w:rPr>
          <w:lang w:val="en-US"/>
        </w:rPr>
        <w:t xml:space="preserve">and November </w:t>
      </w:r>
      <w:r w:rsidR="00CC6BFD" w:rsidRPr="00043B65">
        <w:rPr>
          <w:lang w:val="en-US"/>
        </w:rPr>
        <w:t>2018</w:t>
      </w:r>
      <w:r w:rsidRPr="00043B65">
        <w:rPr>
          <w:lang w:val="en-US"/>
        </w:rPr>
        <w:t>).</w:t>
      </w:r>
    </w:p>
    <w:p w14:paraId="74530D1E" w14:textId="77777777" w:rsidR="009E7C09" w:rsidRDefault="009E7C09" w:rsidP="009E7C09">
      <w:pPr>
        <w:pStyle w:val="Heading3"/>
      </w:pPr>
      <w:r w:rsidRPr="00043B65">
        <w:t>4.2.3</w:t>
      </w:r>
      <w:r w:rsidRPr="00043B65">
        <w:tab/>
        <w:t>Initial operational experience in implementing Resolution 908</w:t>
      </w:r>
      <w:r w:rsidRPr="009E7C09">
        <w:t xml:space="preserve"> (</w:t>
      </w:r>
      <w:r>
        <w:t>Rev.</w:t>
      </w:r>
      <w:r w:rsidRPr="009E7C09">
        <w:t>WRC-15)</w:t>
      </w:r>
    </w:p>
    <w:p w14:paraId="312B285E" w14:textId="44585FFD" w:rsidR="009E7C09" w:rsidRDefault="009E7C09" w:rsidP="009E7C09">
      <w:pPr>
        <w:tabs>
          <w:tab w:val="left" w:pos="7797"/>
        </w:tabs>
        <w:spacing w:after="120"/>
        <w:jc w:val="both"/>
      </w:pPr>
      <w:r>
        <w:t xml:space="preserve">As mentioned in sections 4.1 and 4.2.3, the operational version of the online application </w:t>
      </w:r>
      <w:r w:rsidR="00DA23CA">
        <w:br/>
      </w:r>
      <w:r>
        <w:t>“e-Submission of Satellite Network Filings” has been released on 1</w:t>
      </w:r>
      <w:r w:rsidRPr="009E7C09">
        <w:rPr>
          <w:vertAlign w:val="superscript"/>
        </w:rPr>
        <w:t>st</w:t>
      </w:r>
      <w:r>
        <w:t xml:space="preserve"> August 2018 and its use is mandatory for submitting all satellite notices and </w:t>
      </w:r>
      <w:proofErr w:type="spellStart"/>
      <w:r>
        <w:t>SpaceCom</w:t>
      </w:r>
      <w:proofErr w:type="spellEnd"/>
      <w:r>
        <w:t xml:space="preserve"> comments.</w:t>
      </w:r>
    </w:p>
    <w:p w14:paraId="5FB86A59" w14:textId="67870FE4" w:rsidR="009E7C09" w:rsidRDefault="009E7C09" w:rsidP="009E7C09">
      <w:pPr>
        <w:tabs>
          <w:tab w:val="left" w:pos="7797"/>
        </w:tabs>
        <w:spacing w:after="120"/>
        <w:jc w:val="both"/>
      </w:pPr>
      <w:r>
        <w:t>Since the implementation of the system, both the administrations and the Radiocommunication Bureau have benefitted from:</w:t>
      </w:r>
    </w:p>
    <w:p w14:paraId="40D4CE1F" w14:textId="5FD538D0" w:rsidR="009E7C09" w:rsidRDefault="009E7C09" w:rsidP="004A6500">
      <w:pPr>
        <w:pStyle w:val="ListParagraph"/>
        <w:numPr>
          <w:ilvl w:val="0"/>
          <w:numId w:val="7"/>
        </w:numPr>
        <w:tabs>
          <w:tab w:val="left" w:pos="7797"/>
        </w:tabs>
        <w:spacing w:after="120"/>
        <w:jc w:val="both"/>
      </w:pPr>
      <w:r>
        <w:t xml:space="preserve">avoiding miscommunications arising from the occasional removal of database attachments by email servers due to security or size constraints, </w:t>
      </w:r>
    </w:p>
    <w:p w14:paraId="3EF4436B" w14:textId="11F172AF" w:rsidR="009E7C09" w:rsidRDefault="009E7C09" w:rsidP="004A6500">
      <w:pPr>
        <w:pStyle w:val="ListParagraph"/>
        <w:numPr>
          <w:ilvl w:val="0"/>
          <w:numId w:val="7"/>
        </w:numPr>
        <w:tabs>
          <w:tab w:val="left" w:pos="7797"/>
        </w:tabs>
        <w:spacing w:after="120"/>
        <w:jc w:val="both"/>
      </w:pPr>
      <w:r>
        <w:t xml:space="preserve">removing issues of </w:t>
      </w:r>
      <w:proofErr w:type="spellStart"/>
      <w:r>
        <w:t>receivability</w:t>
      </w:r>
      <w:proofErr w:type="spellEnd"/>
      <w:r>
        <w:t xml:space="preserve"> due to non-receipt of the confirmation fax, and </w:t>
      </w:r>
    </w:p>
    <w:p w14:paraId="3BCB36A3" w14:textId="396A8046" w:rsidR="009E7C09" w:rsidRDefault="009E7C09" w:rsidP="004A6500">
      <w:pPr>
        <w:pStyle w:val="ListParagraph"/>
        <w:numPr>
          <w:ilvl w:val="0"/>
          <w:numId w:val="7"/>
        </w:numPr>
        <w:tabs>
          <w:tab w:val="left" w:pos="7797"/>
        </w:tabs>
        <w:spacing w:after="120"/>
        <w:jc w:val="both"/>
      </w:pPr>
      <w:proofErr w:type="gramStart"/>
      <w:r>
        <w:t>increasing</w:t>
      </w:r>
      <w:proofErr w:type="gramEnd"/>
      <w:r>
        <w:t xml:space="preserve"> the transparency of filings submitted to the Bureau. </w:t>
      </w:r>
    </w:p>
    <w:p w14:paraId="20ABD0D7" w14:textId="77777777" w:rsidR="009E7C09" w:rsidRDefault="009E7C09" w:rsidP="009E7C09">
      <w:pPr>
        <w:tabs>
          <w:tab w:val="left" w:pos="7797"/>
        </w:tabs>
        <w:spacing w:after="120"/>
        <w:jc w:val="both"/>
      </w:pPr>
      <w:r>
        <w:t xml:space="preserve">Some Administrations also indicated to the Bureau that this system helped them to overcome the difficulty of sending and receiving electronic notices to and from their satellite operators. </w:t>
      </w:r>
    </w:p>
    <w:p w14:paraId="7DFBF217" w14:textId="549ED6DE" w:rsidR="009E7C09" w:rsidRDefault="009E7C09" w:rsidP="009E7C09">
      <w:pPr>
        <w:tabs>
          <w:tab w:val="left" w:pos="7797"/>
        </w:tabs>
        <w:spacing w:after="120"/>
        <w:jc w:val="both"/>
      </w:pPr>
      <w:r>
        <w:t xml:space="preserve">The system provides immediate acknowledgement as required in the Rules of Procedure on </w:t>
      </w:r>
      <w:proofErr w:type="spellStart"/>
      <w:r>
        <w:t>receivability</w:t>
      </w:r>
      <w:proofErr w:type="spellEnd"/>
      <w:r>
        <w:t xml:space="preserve"> of space notices, which is also an improvement compared to the previous system of submission by email.</w:t>
      </w:r>
    </w:p>
    <w:p w14:paraId="45834541" w14:textId="52CAA314" w:rsidR="009E7C09" w:rsidRDefault="009E7C09" w:rsidP="009E7C09">
      <w:pPr>
        <w:tabs>
          <w:tab w:val="left" w:pos="7797"/>
        </w:tabs>
        <w:spacing w:after="120"/>
        <w:jc w:val="both"/>
      </w:pPr>
      <w:r>
        <w:t>The Bureau has provided a dedicated email helpdesk and a hotline during the testing as well as through the operational phase, and has provided assistance on numerous occasions to users who either did not know how to use the system or encountered difficulties when using the system.</w:t>
      </w:r>
    </w:p>
    <w:p w14:paraId="40EC1A4E" w14:textId="191925C2" w:rsidR="009E7C09" w:rsidRDefault="009E7C09" w:rsidP="009E7C09">
      <w:pPr>
        <w:jc w:val="both"/>
      </w:pPr>
      <w:r>
        <w:t>At the time of writing this report, 86 administrations and 1 intergovernmental satellite organization (noting that other such organization have chosen to be registered as satellite operator of their notifying administration) have registered, totalling 414 individual users.</w:t>
      </w:r>
    </w:p>
    <w:p w14:paraId="4499284D" w14:textId="2B0DF4CC" w:rsidR="009E7C09" w:rsidRPr="00F321EB" w:rsidRDefault="00F321EB" w:rsidP="00584F0F">
      <w:pPr>
        <w:jc w:val="both"/>
      </w:pPr>
      <w:r w:rsidRPr="00F321EB">
        <w:t>The Radiocommunication Bureau would like to renew its thanks to the Administration of Japan for the specific assistance in the development of this project.</w:t>
      </w:r>
    </w:p>
    <w:p w14:paraId="3EEB3460" w14:textId="77777777" w:rsidR="0015513D" w:rsidRDefault="00F56064" w:rsidP="0015513D">
      <w:pPr>
        <w:pStyle w:val="Heading1"/>
      </w:pPr>
      <w:bookmarkStart w:id="14" w:name="_Toc446060766"/>
      <w:r>
        <w:t>5</w:t>
      </w:r>
      <w:r w:rsidR="0015513D" w:rsidRPr="00ED04B0">
        <w:tab/>
        <w:t>Study Groups activities</w:t>
      </w:r>
      <w:bookmarkEnd w:id="14"/>
    </w:p>
    <w:p w14:paraId="6BCDA65F" w14:textId="77777777" w:rsidR="004F183B" w:rsidRPr="00914E6F" w:rsidRDefault="004F183B" w:rsidP="004F183B">
      <w:pPr>
        <w:rPr>
          <w:rFonts w:eastAsia="SimSun"/>
        </w:rPr>
      </w:pPr>
      <w:bookmarkStart w:id="15" w:name="_Toc446060767"/>
      <w:r w:rsidRPr="00914E6F">
        <w:rPr>
          <w:rFonts w:eastAsia="SimSun"/>
        </w:rPr>
        <w:t>This topic is presented in Addendum 1 to this document.</w:t>
      </w:r>
    </w:p>
    <w:p w14:paraId="604523EF" w14:textId="4EF7D74D" w:rsidR="0015513D" w:rsidRDefault="00F56064" w:rsidP="00F56064">
      <w:pPr>
        <w:pStyle w:val="Heading1"/>
        <w:rPr>
          <w:lang w:val="en-US"/>
        </w:rPr>
      </w:pPr>
      <w:r>
        <w:rPr>
          <w:lang w:val="en-US"/>
        </w:rPr>
        <w:t>6</w:t>
      </w:r>
      <w:r w:rsidR="0015513D" w:rsidRPr="00ED04B0">
        <w:rPr>
          <w:lang w:val="en-US"/>
        </w:rPr>
        <w:tab/>
      </w:r>
      <w:r w:rsidR="004F183B">
        <w:rPr>
          <w:lang w:val="en-US"/>
        </w:rPr>
        <w:t>RA-19/</w:t>
      </w:r>
      <w:r w:rsidR="0015513D" w:rsidRPr="00B42690">
        <w:t>WRC</w:t>
      </w:r>
      <w:r w:rsidR="0015513D" w:rsidRPr="00ED04B0">
        <w:rPr>
          <w:lang w:val="en-US"/>
        </w:rPr>
        <w:t>-19 preparation</w:t>
      </w:r>
      <w:bookmarkEnd w:id="15"/>
    </w:p>
    <w:p w14:paraId="405C92B7" w14:textId="77777777" w:rsidR="004F183B" w:rsidRDefault="004F183B" w:rsidP="00CF31F8">
      <w:pPr>
        <w:jc w:val="both"/>
      </w:pPr>
      <w:bookmarkStart w:id="16" w:name="_Toc446060768"/>
      <w:r w:rsidRPr="00621EC7">
        <w:t xml:space="preserve">The </w:t>
      </w:r>
      <w:r>
        <w:t xml:space="preserve">responsible </w:t>
      </w:r>
      <w:r w:rsidRPr="00621EC7">
        <w:t>ITU</w:t>
      </w:r>
      <w:r w:rsidRPr="00621EC7">
        <w:noBreakHyphen/>
        <w:t xml:space="preserve">R </w:t>
      </w:r>
      <w:r>
        <w:t>W</w:t>
      </w:r>
      <w:r w:rsidRPr="00621EC7">
        <w:t xml:space="preserve">orking </w:t>
      </w:r>
      <w:r>
        <w:t>P</w:t>
      </w:r>
      <w:r w:rsidRPr="00621EC7">
        <w:t xml:space="preserve">arties and </w:t>
      </w:r>
      <w:r>
        <w:t>T</w:t>
      </w:r>
      <w:r w:rsidRPr="00621EC7">
        <w:t xml:space="preserve">ask </w:t>
      </w:r>
      <w:r>
        <w:t>G</w:t>
      </w:r>
      <w:r w:rsidRPr="00621EC7">
        <w:t xml:space="preserve">roup </w:t>
      </w:r>
      <w:r>
        <w:t xml:space="preserve">5/1 </w:t>
      </w:r>
      <w:r w:rsidRPr="00621EC7">
        <w:t xml:space="preserve">completed the development of texts for the studies assigned to them </w:t>
      </w:r>
      <w:r>
        <w:t>at the first session of CPM-19 (</w:t>
      </w:r>
      <w:r w:rsidRPr="00621EC7">
        <w:t>CPM1</w:t>
      </w:r>
      <w:r>
        <w:t>9</w:t>
      </w:r>
      <w:r w:rsidRPr="00621EC7">
        <w:t>-1</w:t>
      </w:r>
      <w:r>
        <w:t>)</w:t>
      </w:r>
      <w:r w:rsidRPr="00621EC7">
        <w:t xml:space="preserve">, and these were included in the draft CPM Report for consideration at </w:t>
      </w:r>
      <w:r>
        <w:t>the second session of CPM-19 (</w:t>
      </w:r>
      <w:r w:rsidRPr="00621EC7">
        <w:t>CPM1</w:t>
      </w:r>
      <w:r>
        <w:t>9</w:t>
      </w:r>
      <w:r w:rsidRPr="00621EC7">
        <w:t>-2</w:t>
      </w:r>
      <w:r>
        <w:t>)</w:t>
      </w:r>
      <w:r w:rsidRPr="00621EC7">
        <w:t xml:space="preserve">. </w:t>
      </w:r>
      <w:r>
        <w:t xml:space="preserve">CPM19-2 was held on 18-28 February 2019 and successfully completed the preparation of the CPM Report to WRC-19. </w:t>
      </w:r>
      <w:r w:rsidRPr="00566FD0">
        <w:t xml:space="preserve">The compiled version of the CPM Report to WRC-19 was </w:t>
      </w:r>
      <w:r>
        <w:t xml:space="preserve">still </w:t>
      </w:r>
      <w:r w:rsidRPr="00566FD0">
        <w:t xml:space="preserve">being prepared at the time of the preparation of this document and being made available </w:t>
      </w:r>
      <w:r>
        <w:t xml:space="preserve">on </w:t>
      </w:r>
      <w:r w:rsidRPr="00566FD0">
        <w:t xml:space="preserve">the CPM webpage at: </w:t>
      </w:r>
      <w:hyperlink r:id="rId20" w:history="1">
        <w:r w:rsidRPr="00566FD0">
          <w:rPr>
            <w:rStyle w:val="Hyperlink"/>
          </w:rPr>
          <w:t>www.itu.int/go/ITU-R/CPM</w:t>
        </w:r>
      </w:hyperlink>
      <w:r w:rsidRPr="00566FD0">
        <w:t>.</w:t>
      </w:r>
      <w:r>
        <w:t xml:space="preserve"> </w:t>
      </w:r>
      <w:r w:rsidRPr="00621EC7">
        <w:t>In some cases</w:t>
      </w:r>
      <w:r>
        <w:t>,</w:t>
      </w:r>
      <w:r w:rsidRPr="00621EC7">
        <w:t xml:space="preserve"> technical studies are continuing in the relevant ITU</w:t>
      </w:r>
      <w:r w:rsidRPr="00621EC7">
        <w:noBreakHyphen/>
        <w:t xml:space="preserve">R </w:t>
      </w:r>
      <w:r>
        <w:t>W</w:t>
      </w:r>
      <w:r w:rsidRPr="00621EC7">
        <w:t xml:space="preserve">orking </w:t>
      </w:r>
      <w:r>
        <w:t>P</w:t>
      </w:r>
      <w:r w:rsidRPr="00621EC7">
        <w:t>arties to finalize supporting ITU</w:t>
      </w:r>
      <w:r w:rsidRPr="00621EC7">
        <w:noBreakHyphen/>
        <w:t>R Recommendations/Reports in preparation for both RA-1</w:t>
      </w:r>
      <w:r>
        <w:t>9</w:t>
      </w:r>
      <w:r w:rsidRPr="00621EC7">
        <w:t xml:space="preserve"> and WRC</w:t>
      </w:r>
      <w:r w:rsidRPr="00621EC7">
        <w:noBreakHyphen/>
        <w:t>1</w:t>
      </w:r>
      <w:r>
        <w:t>9</w:t>
      </w:r>
      <w:r w:rsidRPr="00621EC7">
        <w:t>.</w:t>
      </w:r>
    </w:p>
    <w:p w14:paraId="3A754934" w14:textId="77777777" w:rsidR="004F183B" w:rsidRPr="00621EC7" w:rsidRDefault="004F183B" w:rsidP="00CF31F8">
      <w:pPr>
        <w:jc w:val="both"/>
      </w:pPr>
      <w:r w:rsidRPr="00621EC7">
        <w:t>Taking into account Resolution 80 (Rev. Marrakesh, 2002), extensive preparations for WRC</w:t>
      </w:r>
      <w:r w:rsidRPr="00621EC7">
        <w:noBreakHyphen/>
        <w:t>1</w:t>
      </w:r>
      <w:r>
        <w:t>9</w:t>
      </w:r>
      <w:r w:rsidRPr="00621EC7">
        <w:t xml:space="preserve"> have been conducted through BR’s active participation in the preparatory meetings of the regional groups, including APT, ASMG, ATU, CEPT, CITEL and RCC. ITU </w:t>
      </w:r>
      <w:r w:rsidRPr="00621EC7">
        <w:rPr>
          <w:spacing w:val="-3"/>
        </w:rPr>
        <w:t xml:space="preserve">has been assisting these preparations wherever possible, noting, in particular, Resolution 72 </w:t>
      </w:r>
      <w:r w:rsidRPr="00621EC7">
        <w:t>(Rev.</w:t>
      </w:r>
      <w:r>
        <w:t>WRC-0</w:t>
      </w:r>
      <w:r w:rsidRPr="00621EC7">
        <w:t xml:space="preserve">7). </w:t>
      </w:r>
      <w:r>
        <w:t xml:space="preserve">Additional information can be found at: </w:t>
      </w:r>
      <w:hyperlink r:id="rId21" w:history="1">
        <w:r w:rsidRPr="00765E3A">
          <w:rPr>
            <w:rStyle w:val="Hyperlink"/>
          </w:rPr>
          <w:t>www.itu.int/go/wrc-19-regional</w:t>
        </w:r>
      </w:hyperlink>
      <w:r>
        <w:t>.</w:t>
      </w:r>
    </w:p>
    <w:p w14:paraId="408617BF" w14:textId="77777777" w:rsidR="004F183B" w:rsidRPr="00621EC7" w:rsidRDefault="004F183B" w:rsidP="00CF31F8">
      <w:pPr>
        <w:jc w:val="both"/>
      </w:pPr>
      <w:r w:rsidRPr="00621EC7">
        <w:t xml:space="preserve">The first ITU </w:t>
      </w:r>
      <w:r>
        <w:t>I</w:t>
      </w:r>
      <w:r w:rsidRPr="00621EC7">
        <w:t>nter</w:t>
      </w:r>
      <w:r>
        <w:t>-</w:t>
      </w:r>
      <w:r w:rsidRPr="00621EC7">
        <w:t xml:space="preserve">regional </w:t>
      </w:r>
      <w:r>
        <w:t>W</w:t>
      </w:r>
      <w:r w:rsidRPr="00621EC7">
        <w:t>orkshop on WRC</w:t>
      </w:r>
      <w:r w:rsidRPr="00621EC7">
        <w:noBreakHyphen/>
        <w:t>1</w:t>
      </w:r>
      <w:r>
        <w:t>9</w:t>
      </w:r>
      <w:r w:rsidRPr="00621EC7">
        <w:t xml:space="preserve"> preparation was held in Geneva on </w:t>
      </w:r>
      <w:r>
        <w:t>21</w:t>
      </w:r>
      <w:r w:rsidRPr="00621EC7">
        <w:t>-</w:t>
      </w:r>
      <w:r>
        <w:t xml:space="preserve">22 November </w:t>
      </w:r>
      <w:r w:rsidRPr="00621EC7">
        <w:t>201</w:t>
      </w:r>
      <w:r>
        <w:t>7</w:t>
      </w:r>
      <w:r w:rsidRPr="00621EC7">
        <w:t xml:space="preserve"> and </w:t>
      </w:r>
      <w:r>
        <w:t xml:space="preserve">the </w:t>
      </w:r>
      <w:r w:rsidRPr="00621EC7">
        <w:t xml:space="preserve">second </w:t>
      </w:r>
      <w:r>
        <w:t>W</w:t>
      </w:r>
      <w:r w:rsidRPr="00621EC7">
        <w:t xml:space="preserve">orkshop took place on </w:t>
      </w:r>
      <w:r>
        <w:t>20</w:t>
      </w:r>
      <w:r w:rsidRPr="00621EC7">
        <w:t>-</w:t>
      </w:r>
      <w:r>
        <w:t>22</w:t>
      </w:r>
      <w:r w:rsidRPr="00621EC7">
        <w:t xml:space="preserve"> November 201</w:t>
      </w:r>
      <w:r>
        <w:t>8</w:t>
      </w:r>
      <w:r w:rsidRPr="00621EC7">
        <w:t xml:space="preserve">. </w:t>
      </w:r>
      <w:r>
        <w:t xml:space="preserve">The </w:t>
      </w:r>
      <w:r w:rsidRPr="00621EC7">
        <w:t xml:space="preserve">third and final </w:t>
      </w:r>
      <w:r>
        <w:t>W</w:t>
      </w:r>
      <w:r w:rsidRPr="00621EC7">
        <w:t xml:space="preserve">orkshop is </w:t>
      </w:r>
      <w:r w:rsidRPr="00621EC7">
        <w:lastRenderedPageBreak/>
        <w:t xml:space="preserve">planned </w:t>
      </w:r>
      <w:r>
        <w:t xml:space="preserve">to be held </w:t>
      </w:r>
      <w:r w:rsidRPr="00621EC7">
        <w:t xml:space="preserve">in Geneva </w:t>
      </w:r>
      <w:r>
        <w:t xml:space="preserve">on 4-6 </w:t>
      </w:r>
      <w:r w:rsidRPr="00621EC7">
        <w:t>September 201</w:t>
      </w:r>
      <w:r>
        <w:t>9</w:t>
      </w:r>
      <w:r w:rsidRPr="00621EC7">
        <w:t>.</w:t>
      </w:r>
      <w:r>
        <w:t xml:space="preserve"> Additional information can be found at: </w:t>
      </w:r>
      <w:hyperlink r:id="rId22" w:history="1">
        <w:r w:rsidRPr="00765E3A">
          <w:rPr>
            <w:rStyle w:val="Hyperlink"/>
          </w:rPr>
          <w:t>www.itu.int/en/ITU-R/conferences/wrc/2019/irwsp/Pages/default.aspx</w:t>
        </w:r>
      </w:hyperlink>
      <w:r>
        <w:t>.</w:t>
      </w:r>
    </w:p>
    <w:p w14:paraId="7349DBA4" w14:textId="77777777" w:rsidR="004F183B" w:rsidRPr="00621EC7" w:rsidRDefault="004F183B" w:rsidP="00CF31F8">
      <w:pPr>
        <w:jc w:val="both"/>
        <w:rPr>
          <w:lang w:eastAsia="zh-CN"/>
        </w:rPr>
      </w:pPr>
      <w:r w:rsidRPr="00621EC7">
        <w:t>The ITU</w:t>
      </w:r>
      <w:r w:rsidRPr="00621EC7">
        <w:noBreakHyphen/>
        <w:t>R webpage for WRC</w:t>
      </w:r>
      <w:r w:rsidRPr="00621EC7">
        <w:noBreakHyphen/>
        <w:t>1</w:t>
      </w:r>
      <w:r>
        <w:t>9</w:t>
      </w:r>
      <w:r w:rsidRPr="00621EC7">
        <w:t xml:space="preserve"> at </w:t>
      </w:r>
      <w:hyperlink r:id="rId23" w:history="1">
        <w:r w:rsidRPr="00765E3A">
          <w:rPr>
            <w:rStyle w:val="Hyperlink"/>
          </w:rPr>
          <w:t>www.itu.int/go/wrc-19</w:t>
        </w:r>
      </w:hyperlink>
      <w:r>
        <w:t xml:space="preserve"> </w:t>
      </w:r>
      <w:r w:rsidRPr="00621EC7">
        <w:t>has been updated and provides direct access to the above-mentioned information.</w:t>
      </w:r>
    </w:p>
    <w:p w14:paraId="737C19F0" w14:textId="724DF10C" w:rsidR="004F183B" w:rsidRDefault="004F183B" w:rsidP="00CF31F8">
      <w:pPr>
        <w:jc w:val="both"/>
      </w:pPr>
      <w:r w:rsidRPr="00621EC7">
        <w:t>In keeping with the spirit of PP-1</w:t>
      </w:r>
      <w:r>
        <w:t>8</w:t>
      </w:r>
      <w:r w:rsidRPr="00621EC7">
        <w:t xml:space="preserve"> Decision 5 (Annex 2), the understanding and assistance of administrations has been sought in having RA</w:t>
      </w:r>
      <w:r>
        <w:t>-19</w:t>
      </w:r>
      <w:r w:rsidRPr="00621EC7">
        <w:t>/WRC</w:t>
      </w:r>
      <w:r w:rsidRPr="00621EC7">
        <w:noBreakHyphen/>
        <w:t>1</w:t>
      </w:r>
      <w:r>
        <w:t>9</w:t>
      </w:r>
      <w:r w:rsidRPr="00621EC7">
        <w:t xml:space="preserve"> as fully paperless events. These measures are outlined, for RA-1</w:t>
      </w:r>
      <w:r>
        <w:t>9</w:t>
      </w:r>
      <w:r w:rsidRPr="00621EC7">
        <w:t xml:space="preserve"> and WRC</w:t>
      </w:r>
      <w:r w:rsidRPr="00621EC7">
        <w:noBreakHyphen/>
        <w:t>1</w:t>
      </w:r>
      <w:r>
        <w:t>9</w:t>
      </w:r>
      <w:r w:rsidRPr="00621EC7">
        <w:t xml:space="preserve"> respectively, in BR Administrative Circulars </w:t>
      </w:r>
      <w:hyperlink r:id="rId24" w:history="1">
        <w:r w:rsidRPr="00FD6C30">
          <w:rPr>
            <w:rStyle w:val="Hyperlink"/>
          </w:rPr>
          <w:t>CACE/889</w:t>
        </w:r>
      </w:hyperlink>
      <w:r w:rsidRPr="00621EC7">
        <w:t xml:space="preserve"> and </w:t>
      </w:r>
      <w:hyperlink r:id="rId25" w:history="1">
        <w:r w:rsidRPr="00FD6C30">
          <w:rPr>
            <w:rStyle w:val="Hyperlink"/>
          </w:rPr>
          <w:t>CA/245</w:t>
        </w:r>
      </w:hyperlink>
      <w:r w:rsidRPr="00621EC7">
        <w:t xml:space="preserve"> of 1</w:t>
      </w:r>
      <w:r>
        <w:t>3</w:t>
      </w:r>
      <w:r w:rsidRPr="00621EC7">
        <w:t xml:space="preserve"> February 201</w:t>
      </w:r>
      <w:r>
        <w:t>9</w:t>
      </w:r>
      <w:r w:rsidRPr="00621EC7">
        <w:t>.</w:t>
      </w:r>
    </w:p>
    <w:p w14:paraId="33253B97" w14:textId="4E9327E7" w:rsidR="00431205" w:rsidRDefault="00431205" w:rsidP="00515F7A">
      <w:pPr>
        <w:jc w:val="both"/>
      </w:pPr>
      <w:r>
        <w:t>The joint work with the host country for RA</w:t>
      </w:r>
      <w:r w:rsidR="003836C2">
        <w:t>-19</w:t>
      </w:r>
      <w:r>
        <w:t xml:space="preserve">/WRC-19 </w:t>
      </w:r>
      <w:r w:rsidR="00515F7A">
        <w:t xml:space="preserve">has continued, </w:t>
      </w:r>
      <w:r>
        <w:t xml:space="preserve">in order to ensure that all the facilities for a smooth running of these events will be in place as well as the </w:t>
      </w:r>
      <w:r w:rsidR="00515F7A">
        <w:t>corresponding</w:t>
      </w:r>
      <w:r>
        <w:t xml:space="preserve"> logistical arrangements. </w:t>
      </w:r>
      <w:r w:rsidR="00515F7A">
        <w:t>The Host Country Agreement will be signed by ITU and the Government of Egypt on 25</w:t>
      </w:r>
      <w:r w:rsidR="00515F7A" w:rsidRPr="00515F7A">
        <w:rPr>
          <w:vertAlign w:val="superscript"/>
        </w:rPr>
        <w:t>th</w:t>
      </w:r>
      <w:r w:rsidR="00515F7A">
        <w:t xml:space="preserve"> March 2019.</w:t>
      </w:r>
    </w:p>
    <w:p w14:paraId="5710B0D5" w14:textId="77777777" w:rsidR="003836C2" w:rsidRPr="003836C2" w:rsidRDefault="003836C2" w:rsidP="003836C2">
      <w:pPr>
        <w:jc w:val="both"/>
      </w:pPr>
      <w:r w:rsidRPr="003836C2">
        <w:t>The first session of the CPM for WRC-23 (i.e. CPM23-1) has been planned to be held on 25-26 November 2019 in the same venue as for RA-19/WRC-19.</w:t>
      </w:r>
    </w:p>
    <w:p w14:paraId="57807897" w14:textId="77777777" w:rsidR="0015513D" w:rsidRDefault="00F56064" w:rsidP="00F56064">
      <w:pPr>
        <w:pStyle w:val="Heading1"/>
        <w:rPr>
          <w:lang w:val="en-US"/>
        </w:rPr>
      </w:pPr>
      <w:r>
        <w:rPr>
          <w:lang w:val="en-US"/>
        </w:rPr>
        <w:t>7</w:t>
      </w:r>
      <w:r w:rsidR="0015513D" w:rsidRPr="00ED04B0">
        <w:rPr>
          <w:lang w:val="en-US"/>
        </w:rPr>
        <w:tab/>
      </w:r>
      <w:r w:rsidR="0015513D" w:rsidRPr="00B42690">
        <w:t>Operational</w:t>
      </w:r>
      <w:r w:rsidR="0015513D" w:rsidRPr="00ED04B0">
        <w:rPr>
          <w:lang w:val="en-US"/>
        </w:rPr>
        <w:t xml:space="preserve"> planning</w:t>
      </w:r>
      <w:bookmarkEnd w:id="16"/>
    </w:p>
    <w:p w14:paraId="1242FC41" w14:textId="652FED69" w:rsidR="00A177CF" w:rsidRDefault="00A177CF" w:rsidP="00515F7A">
      <w:pPr>
        <w:jc w:val="both"/>
        <w:rPr>
          <w:sz w:val="22"/>
          <w:lang w:eastAsia="zh-CN"/>
        </w:rPr>
      </w:pPr>
      <w:r>
        <w:t>As we are starting a new cycle as per the newly approved strategic plan of the Union for 2020-2023 by PP-18, the ITU</w:t>
      </w:r>
      <w:r>
        <w:noBreakHyphen/>
        <w:t>R Operational Plan has been structured in accordance with the results-based management concept of Union in order to ensure complete linkage with the budget and other financial tools of the Union. The draft ITU</w:t>
      </w:r>
      <w:r>
        <w:noBreakHyphen/>
        <w:t xml:space="preserve">R Operational Plan for the period 2020-2023 is presented in Addendum </w:t>
      </w:r>
      <w:r w:rsidR="00515F7A">
        <w:t>2</w:t>
      </w:r>
      <w:r>
        <w:t xml:space="preserve"> to this document, for review and comments by RAG.</w:t>
      </w:r>
    </w:p>
    <w:p w14:paraId="769F20DA" w14:textId="51A0CF00" w:rsidR="0015513D" w:rsidRDefault="00F56064" w:rsidP="00F56064">
      <w:pPr>
        <w:pStyle w:val="Heading1"/>
        <w:rPr>
          <w:lang w:val="en-US"/>
        </w:rPr>
      </w:pPr>
      <w:bookmarkStart w:id="17" w:name="_Toc446060769"/>
      <w:r>
        <w:rPr>
          <w:lang w:val="en-US"/>
        </w:rPr>
        <w:t>8</w:t>
      </w:r>
      <w:r w:rsidR="0015513D" w:rsidRPr="00ED04B0">
        <w:rPr>
          <w:lang w:val="en-US"/>
        </w:rPr>
        <w:tab/>
        <w:t xml:space="preserve">BR </w:t>
      </w:r>
      <w:r w:rsidR="0015513D" w:rsidRPr="00B42690">
        <w:t>information</w:t>
      </w:r>
      <w:r w:rsidR="0015513D" w:rsidRPr="00ED04B0">
        <w:rPr>
          <w:lang w:val="en-US"/>
        </w:rPr>
        <w:t xml:space="preserve"> system</w:t>
      </w:r>
      <w:bookmarkEnd w:id="17"/>
    </w:p>
    <w:p w14:paraId="594870B8" w14:textId="77777777" w:rsidR="00515F7A" w:rsidRPr="00515F7A" w:rsidRDefault="00515F7A" w:rsidP="00515F7A">
      <w:r w:rsidRPr="00515F7A">
        <w:t xml:space="preserve">RAG-19 (2012) advised the Director to implement recommended actions within the proposed time-frame, as described in the agreed roadmap, comprising: Phase 1 (Implementation of WRC 12 decisions) up to 31 December 2012; Phase 2 (Rewrite some existing software) up to 31 December 2015; and Phase 3 (Set up a project team to implement a common framework, security system and centralized space database) from 1 January 2016 to 31 December 2018. RAG encouraged Member States and Sector Members to submit their comments on Phase 3. </w:t>
      </w:r>
    </w:p>
    <w:p w14:paraId="4B191F74" w14:textId="77777777" w:rsidR="00515F7A" w:rsidRPr="00515F7A" w:rsidRDefault="00515F7A" w:rsidP="00515F7A">
      <w:r w:rsidRPr="00515F7A">
        <w:t>The progress report on this topic is presented in Annex 1 to this document. Other on-going developments are addressed hereafter.</w:t>
      </w:r>
    </w:p>
    <w:p w14:paraId="4051D20B" w14:textId="77777777" w:rsidR="0015513D" w:rsidRDefault="00F56064" w:rsidP="00F56064">
      <w:pPr>
        <w:pStyle w:val="Heading2"/>
      </w:pPr>
      <w:bookmarkStart w:id="18" w:name="_Toc446060770"/>
      <w:r>
        <w:t>8</w:t>
      </w:r>
      <w:r w:rsidR="0015513D" w:rsidRPr="00ED04B0">
        <w:t>.1</w:t>
      </w:r>
      <w:r w:rsidR="0015513D" w:rsidRPr="00ED04B0">
        <w:tab/>
      </w:r>
      <w:r w:rsidR="0015513D">
        <w:t>Software developments related to space services</w:t>
      </w:r>
    </w:p>
    <w:p w14:paraId="486CB8C8" w14:textId="77777777" w:rsidR="00F02D14" w:rsidRDefault="00F02D14" w:rsidP="00F02D14">
      <w:pPr>
        <w:pStyle w:val="Heading2"/>
      </w:pPr>
      <w:r>
        <w:t>8.1.1     Implementation of Resolution 186 (Busan, 2014)</w:t>
      </w:r>
    </w:p>
    <w:p w14:paraId="3E0BBBF0" w14:textId="771148B2" w:rsidR="00F02D14" w:rsidRDefault="00F02D14" w:rsidP="00DA23CA">
      <w:pPr>
        <w:jc w:val="both"/>
        <w:rPr>
          <w:color w:val="000000"/>
        </w:rPr>
      </w:pPr>
      <w:r>
        <w:rPr>
          <w:color w:val="000000"/>
        </w:rPr>
        <w:t xml:space="preserve">On 1 September 2018, the Radiocommunication Bureau </w:t>
      </w:r>
      <w:r w:rsidR="0081380B">
        <w:rPr>
          <w:color w:val="000000"/>
        </w:rPr>
        <w:t>released</w:t>
      </w:r>
      <w:r>
        <w:rPr>
          <w:color w:val="000000"/>
        </w:rPr>
        <w:t xml:space="preserve"> the</w:t>
      </w:r>
      <w:r w:rsidR="0016663A">
        <w:rPr>
          <w:color w:val="000000"/>
        </w:rPr>
        <w:t xml:space="preserve"> operational</w:t>
      </w:r>
      <w:r>
        <w:rPr>
          <w:color w:val="000000"/>
        </w:rPr>
        <w:t xml:space="preserve"> </w:t>
      </w:r>
      <w:r w:rsidR="0016663A">
        <w:rPr>
          <w:color w:val="000000"/>
        </w:rPr>
        <w:t xml:space="preserve">version of the </w:t>
      </w:r>
      <w:r w:rsidR="0081380B">
        <w:rPr>
          <w:color w:val="000000"/>
        </w:rPr>
        <w:t>o</w:t>
      </w:r>
      <w:r>
        <w:rPr>
          <w:color w:val="000000"/>
        </w:rPr>
        <w:t>n</w:t>
      </w:r>
      <w:r w:rsidR="007C2D48">
        <w:rPr>
          <w:color w:val="000000"/>
        </w:rPr>
        <w:t>-</w:t>
      </w:r>
      <w:r w:rsidR="0016663A">
        <w:rPr>
          <w:color w:val="000000"/>
        </w:rPr>
        <w:t>line application “</w:t>
      </w:r>
      <w:r>
        <w:rPr>
          <w:color w:val="000000"/>
        </w:rPr>
        <w:t xml:space="preserve">Satellite Interference </w:t>
      </w:r>
      <w:r w:rsidR="0016663A">
        <w:rPr>
          <w:color w:val="000000"/>
        </w:rPr>
        <w:t>Reporting and Resolution System” (SIRRS</w:t>
      </w:r>
      <w:r>
        <w:rPr>
          <w:color w:val="000000"/>
        </w:rPr>
        <w:t xml:space="preserve">) to facilitate the reporting and exchange of information between Administrations and </w:t>
      </w:r>
      <w:r w:rsidR="0016663A">
        <w:rPr>
          <w:color w:val="000000"/>
        </w:rPr>
        <w:t xml:space="preserve">the Bureau </w:t>
      </w:r>
      <w:r>
        <w:rPr>
          <w:color w:val="000000"/>
        </w:rPr>
        <w:t>concerning cases of harmful interference affecting space services (</w:t>
      </w:r>
      <w:r w:rsidR="0016663A">
        <w:rPr>
          <w:color w:val="000000"/>
        </w:rPr>
        <w:t xml:space="preserve">see </w:t>
      </w:r>
      <w:hyperlink r:id="rId26" w:history="1">
        <w:r w:rsidRPr="0016663A">
          <w:rPr>
            <w:rStyle w:val="Hyperlink"/>
          </w:rPr>
          <w:t>CR/435</w:t>
        </w:r>
      </w:hyperlink>
      <w:r>
        <w:rPr>
          <w:color w:val="000000"/>
        </w:rPr>
        <w:t xml:space="preserve"> of 28 August 2018)</w:t>
      </w:r>
      <w:r w:rsidR="0016663A">
        <w:rPr>
          <w:color w:val="000000"/>
        </w:rPr>
        <w:t xml:space="preserve">. The Bureau previously released a </w:t>
      </w:r>
      <w:r>
        <w:rPr>
          <w:color w:val="000000"/>
        </w:rPr>
        <w:t>beta</w:t>
      </w:r>
      <w:r w:rsidR="0016663A">
        <w:rPr>
          <w:color w:val="000000"/>
        </w:rPr>
        <w:t xml:space="preserve">-version </w:t>
      </w:r>
      <w:r>
        <w:rPr>
          <w:color w:val="000000"/>
        </w:rPr>
        <w:t xml:space="preserve">for testing by administrations </w:t>
      </w:r>
      <w:r w:rsidR="0016663A">
        <w:rPr>
          <w:color w:val="000000"/>
        </w:rPr>
        <w:t xml:space="preserve">(see </w:t>
      </w:r>
      <w:hyperlink r:id="rId27" w:history="1">
        <w:r w:rsidR="0016663A" w:rsidRPr="0016663A">
          <w:rPr>
            <w:rStyle w:val="Hyperlink"/>
          </w:rPr>
          <w:t>CR/428</w:t>
        </w:r>
      </w:hyperlink>
      <w:r w:rsidR="0016663A">
        <w:rPr>
          <w:color w:val="000000"/>
        </w:rPr>
        <w:t xml:space="preserve"> </w:t>
      </w:r>
      <w:r>
        <w:rPr>
          <w:color w:val="000000"/>
        </w:rPr>
        <w:t>o</w:t>
      </w:r>
      <w:r w:rsidR="0016663A">
        <w:rPr>
          <w:color w:val="000000"/>
        </w:rPr>
        <w:t>f</w:t>
      </w:r>
      <w:r>
        <w:rPr>
          <w:color w:val="000000"/>
        </w:rPr>
        <w:t xml:space="preserve"> 13 March 2018).</w:t>
      </w:r>
    </w:p>
    <w:p w14:paraId="20A177E1" w14:textId="58BCD88F" w:rsidR="00F02D14" w:rsidRDefault="00F02D14" w:rsidP="00DA23CA">
      <w:pPr>
        <w:jc w:val="both"/>
        <w:rPr>
          <w:color w:val="000000"/>
        </w:rPr>
      </w:pPr>
      <w:r>
        <w:rPr>
          <w:color w:val="000000"/>
        </w:rPr>
        <w:t xml:space="preserve">200 </w:t>
      </w:r>
      <w:r w:rsidR="008851A2">
        <w:rPr>
          <w:color w:val="000000"/>
        </w:rPr>
        <w:t xml:space="preserve">individual </w:t>
      </w:r>
      <w:r>
        <w:rPr>
          <w:color w:val="000000"/>
        </w:rPr>
        <w:t xml:space="preserve">users </w:t>
      </w:r>
      <w:r w:rsidR="008851A2">
        <w:rPr>
          <w:color w:val="000000"/>
        </w:rPr>
        <w:t xml:space="preserve">from </w:t>
      </w:r>
      <w:r>
        <w:rPr>
          <w:color w:val="000000"/>
        </w:rPr>
        <w:t xml:space="preserve">84 Administrations have so far been registered in SIRRS. Since the </w:t>
      </w:r>
      <w:r w:rsidR="008851A2">
        <w:rPr>
          <w:color w:val="000000"/>
        </w:rPr>
        <w:t xml:space="preserve">release of the operational version on </w:t>
      </w:r>
      <w:r>
        <w:rPr>
          <w:color w:val="000000"/>
        </w:rPr>
        <w:t>1 September 2018</w:t>
      </w:r>
      <w:r w:rsidR="008851A2">
        <w:rPr>
          <w:color w:val="000000"/>
        </w:rPr>
        <w:t xml:space="preserve">, </w:t>
      </w:r>
      <w:r>
        <w:rPr>
          <w:color w:val="000000"/>
        </w:rPr>
        <w:t>2</w:t>
      </w:r>
      <w:r w:rsidR="003154E9">
        <w:rPr>
          <w:color w:val="000000"/>
        </w:rPr>
        <w:t>6</w:t>
      </w:r>
      <w:r>
        <w:rPr>
          <w:color w:val="000000"/>
        </w:rPr>
        <w:t xml:space="preserve"> cases of harmful interference were </w:t>
      </w:r>
      <w:r w:rsidR="008851A2">
        <w:rPr>
          <w:color w:val="000000"/>
        </w:rPr>
        <w:t xml:space="preserve">reported through </w:t>
      </w:r>
      <w:r>
        <w:rPr>
          <w:color w:val="000000"/>
        </w:rPr>
        <w:t>SIRRS.</w:t>
      </w:r>
    </w:p>
    <w:p w14:paraId="1184F114" w14:textId="61E75D32" w:rsidR="00F02D14" w:rsidRDefault="00F02D14" w:rsidP="00DA23CA">
      <w:pPr>
        <w:jc w:val="both"/>
      </w:pPr>
      <w:r>
        <w:rPr>
          <w:color w:val="000000"/>
        </w:rPr>
        <w:t xml:space="preserve">The </w:t>
      </w:r>
      <w:r w:rsidR="00685DF0">
        <w:rPr>
          <w:color w:val="000000"/>
        </w:rPr>
        <w:t xml:space="preserve">Bureau </w:t>
      </w:r>
      <w:r>
        <w:rPr>
          <w:color w:val="000000"/>
        </w:rPr>
        <w:t>intends to continuously improve th</w:t>
      </w:r>
      <w:r w:rsidR="00B01D60">
        <w:rPr>
          <w:color w:val="000000"/>
        </w:rPr>
        <w:t xml:space="preserve">e SIRRS </w:t>
      </w:r>
      <w:r w:rsidR="00834F0C">
        <w:rPr>
          <w:color w:val="000000"/>
        </w:rPr>
        <w:t xml:space="preserve">application, </w:t>
      </w:r>
      <w:r>
        <w:rPr>
          <w:color w:val="000000"/>
        </w:rPr>
        <w:t xml:space="preserve">taking into account feedbacks from administrations and the latest developments in </w:t>
      </w:r>
      <w:r w:rsidR="00834F0C">
        <w:rPr>
          <w:color w:val="000000"/>
        </w:rPr>
        <w:t xml:space="preserve">ITU-R </w:t>
      </w:r>
      <w:r>
        <w:rPr>
          <w:color w:val="000000"/>
        </w:rPr>
        <w:t xml:space="preserve">Study Groups on Recommendations </w:t>
      </w:r>
      <w:r w:rsidR="00834F0C">
        <w:rPr>
          <w:color w:val="000000"/>
        </w:rPr>
        <w:t xml:space="preserve">and Reports </w:t>
      </w:r>
      <w:r>
        <w:rPr>
          <w:color w:val="000000"/>
        </w:rPr>
        <w:t xml:space="preserve">associated to </w:t>
      </w:r>
      <w:r w:rsidR="00834F0C">
        <w:rPr>
          <w:color w:val="000000"/>
        </w:rPr>
        <w:t>s</w:t>
      </w:r>
      <w:r>
        <w:rPr>
          <w:color w:val="000000"/>
        </w:rPr>
        <w:t xml:space="preserve">pace </w:t>
      </w:r>
      <w:r w:rsidR="00834F0C">
        <w:rPr>
          <w:color w:val="000000"/>
        </w:rPr>
        <w:t>m</w:t>
      </w:r>
      <w:r>
        <w:rPr>
          <w:color w:val="000000"/>
        </w:rPr>
        <w:t xml:space="preserve">onitoring and </w:t>
      </w:r>
      <w:r w:rsidR="00834F0C">
        <w:rPr>
          <w:color w:val="000000"/>
        </w:rPr>
        <w:t>interference r</w:t>
      </w:r>
      <w:r>
        <w:rPr>
          <w:color w:val="000000"/>
        </w:rPr>
        <w:t>eporting.</w:t>
      </w:r>
      <w:bookmarkStart w:id="19" w:name="_Toc446060771"/>
      <w:bookmarkEnd w:id="18"/>
    </w:p>
    <w:p w14:paraId="1DF3BF46" w14:textId="44E6EE78" w:rsidR="0015513D" w:rsidRDefault="00F56064" w:rsidP="00F56064">
      <w:pPr>
        <w:pStyle w:val="Heading2"/>
        <w:rPr>
          <w:bCs/>
        </w:rPr>
      </w:pPr>
      <w:r>
        <w:t>8</w:t>
      </w:r>
      <w:r w:rsidR="0015513D" w:rsidRPr="00ED04B0">
        <w:t>.</w:t>
      </w:r>
      <w:r w:rsidR="0015513D">
        <w:t>2</w:t>
      </w:r>
      <w:r w:rsidR="0015513D" w:rsidRPr="00ED04B0">
        <w:tab/>
      </w:r>
      <w:bookmarkEnd w:id="19"/>
      <w:r w:rsidR="0015513D" w:rsidRPr="00137A12">
        <w:rPr>
          <w:bCs/>
        </w:rPr>
        <w:t>Software developments related to terrestrial services</w:t>
      </w:r>
    </w:p>
    <w:p w14:paraId="7AB1A6CD" w14:textId="798D322E" w:rsidR="00E82D32" w:rsidRPr="007A7990" w:rsidRDefault="00E82D32" w:rsidP="005D0F41">
      <w:pPr>
        <w:pStyle w:val="Heading3"/>
        <w:rPr>
          <w:lang w:val="en-US"/>
        </w:rPr>
      </w:pPr>
      <w:r w:rsidRPr="007A7990">
        <w:t xml:space="preserve">8.2.1 </w:t>
      </w:r>
      <w:r w:rsidR="005D0F41">
        <w:tab/>
      </w:r>
      <w:r w:rsidRPr="007A7990">
        <w:t>Changes in the examinations under</w:t>
      </w:r>
      <w:r w:rsidRPr="007A7990">
        <w:rPr>
          <w:lang w:val="en-US"/>
        </w:rPr>
        <w:t xml:space="preserve"> </w:t>
      </w:r>
      <w:r w:rsidRPr="007A7990">
        <w:t>No. 9.19 of the Radio Regulations</w:t>
      </w:r>
    </w:p>
    <w:p w14:paraId="0C58F9A4" w14:textId="77777777" w:rsidR="00E82D32" w:rsidRPr="007A7990" w:rsidRDefault="00E82D32" w:rsidP="00E82D32">
      <w:pPr>
        <w:jc w:val="both"/>
        <w:rPr>
          <w:szCs w:val="24"/>
        </w:rPr>
      </w:pPr>
      <w:r w:rsidRPr="007A7990">
        <w:rPr>
          <w:szCs w:val="24"/>
          <w:lang w:val="en-US"/>
        </w:rPr>
        <w:t>The Bureau</w:t>
      </w:r>
      <w:r w:rsidRPr="007A7990">
        <w:rPr>
          <w:szCs w:val="24"/>
        </w:rPr>
        <w:t xml:space="preserve"> has changed the software module for notice treatment of terrestrial services under the new </w:t>
      </w:r>
      <w:proofErr w:type="spellStart"/>
      <w:r w:rsidRPr="007A7990">
        <w:rPr>
          <w:szCs w:val="24"/>
        </w:rPr>
        <w:t>RoP</w:t>
      </w:r>
      <w:proofErr w:type="spellEnd"/>
      <w:r w:rsidRPr="007A7990">
        <w:rPr>
          <w:szCs w:val="24"/>
        </w:rPr>
        <w:t xml:space="preserve"> on RR No. </w:t>
      </w:r>
      <w:r w:rsidRPr="007A7990">
        <w:rPr>
          <w:b/>
          <w:bCs/>
          <w:szCs w:val="24"/>
        </w:rPr>
        <w:t>9.19</w:t>
      </w:r>
      <w:r w:rsidRPr="007A7990">
        <w:rPr>
          <w:szCs w:val="24"/>
        </w:rPr>
        <w:t>, following the modification of the approach in the identification of affected administrations under this provision.</w:t>
      </w:r>
    </w:p>
    <w:p w14:paraId="4C6DC319" w14:textId="38CB033A" w:rsidR="00E82D32" w:rsidRPr="007A7990" w:rsidRDefault="00E82D32" w:rsidP="005D0F41">
      <w:pPr>
        <w:pStyle w:val="Heading3"/>
        <w:rPr>
          <w:szCs w:val="24"/>
          <w:lang w:val="en-US" w:eastAsia="zh-CN"/>
        </w:rPr>
      </w:pPr>
      <w:r w:rsidRPr="007A7990">
        <w:lastRenderedPageBreak/>
        <w:t xml:space="preserve">8.2.2 </w:t>
      </w:r>
      <w:r w:rsidR="005D0F41">
        <w:tab/>
      </w:r>
      <w:r w:rsidRPr="007A7990">
        <w:rPr>
          <w:lang w:val="en-US" w:eastAsia="zh-CN"/>
        </w:rPr>
        <w:t xml:space="preserve">HFBC Software </w:t>
      </w:r>
    </w:p>
    <w:p w14:paraId="29E26A9A" w14:textId="77777777" w:rsidR="00E82D32" w:rsidRPr="007A7990" w:rsidRDefault="00E82D32" w:rsidP="00CF31F8">
      <w:pPr>
        <w:jc w:val="both"/>
        <w:rPr>
          <w:rFonts w:asciiTheme="majorBidi" w:hAnsiTheme="majorBidi" w:cstheme="majorBidi"/>
          <w:szCs w:val="24"/>
        </w:rPr>
      </w:pPr>
      <w:r w:rsidRPr="007A7990">
        <w:rPr>
          <w:rFonts w:asciiTheme="majorBidi" w:hAnsiTheme="majorBidi" w:cstheme="majorBidi"/>
          <w:szCs w:val="24"/>
        </w:rPr>
        <w:t xml:space="preserve">In order to facilitate the coordination process and exchange of data between HFBC </w:t>
      </w:r>
      <w:proofErr w:type="spellStart"/>
      <w:r w:rsidRPr="007A7990">
        <w:rPr>
          <w:rFonts w:asciiTheme="majorBidi" w:hAnsiTheme="majorBidi" w:cstheme="majorBidi"/>
          <w:szCs w:val="24"/>
        </w:rPr>
        <w:t>notifiers</w:t>
      </w:r>
      <w:proofErr w:type="spellEnd"/>
      <w:r w:rsidRPr="007A7990">
        <w:rPr>
          <w:rFonts w:asciiTheme="majorBidi" w:hAnsiTheme="majorBidi" w:cstheme="majorBidi"/>
          <w:szCs w:val="24"/>
        </w:rPr>
        <w:t>, the Bureau stopped the HFBC publications on CD-ROM at the end of 2018. It was replaced by a</w:t>
      </w:r>
      <w:r w:rsidRPr="007A7990">
        <w:rPr>
          <w:rFonts w:asciiTheme="majorBidi" w:eastAsiaTheme="minorEastAsia" w:hAnsiTheme="majorBidi" w:cstheme="majorBidi"/>
          <w:color w:val="000000" w:themeColor="text1"/>
          <w:szCs w:val="24"/>
        </w:rPr>
        <w:t xml:space="preserve">n online </w:t>
      </w:r>
      <w:r w:rsidRPr="007A7990">
        <w:rPr>
          <w:rFonts w:asciiTheme="majorBidi" w:hAnsiTheme="majorBidi" w:cstheme="majorBidi"/>
          <w:szCs w:val="24"/>
        </w:rPr>
        <w:t>free of charge</w:t>
      </w:r>
      <w:r w:rsidRPr="007A7990">
        <w:rPr>
          <w:rFonts w:asciiTheme="majorBidi" w:eastAsiaTheme="minorEastAsia" w:hAnsiTheme="majorBidi" w:cstheme="majorBidi"/>
          <w:color w:val="000000" w:themeColor="text1"/>
          <w:szCs w:val="24"/>
        </w:rPr>
        <w:t xml:space="preserve"> database with </w:t>
      </w:r>
      <w:r w:rsidRPr="007A7990">
        <w:rPr>
          <w:rFonts w:asciiTheme="majorBidi" w:hAnsiTheme="majorBidi" w:cstheme="majorBidi"/>
          <w:szCs w:val="24"/>
        </w:rPr>
        <w:t xml:space="preserve">HF Broadcasting Schedules and compatibility results </w:t>
      </w:r>
      <w:r w:rsidRPr="007A7990">
        <w:rPr>
          <w:rFonts w:asciiTheme="majorBidi" w:eastAsiaTheme="minorEastAsia" w:hAnsiTheme="majorBidi" w:cstheme="majorBidi"/>
          <w:color w:val="000000" w:themeColor="text1"/>
          <w:szCs w:val="24"/>
        </w:rPr>
        <w:t xml:space="preserve">from 1 January 2019 </w:t>
      </w:r>
      <w:r w:rsidRPr="007A7990">
        <w:rPr>
          <w:rFonts w:asciiTheme="majorBidi" w:hAnsiTheme="majorBidi" w:cstheme="majorBidi"/>
          <w:szCs w:val="24"/>
        </w:rPr>
        <w:t>online. The relevant</w:t>
      </w:r>
      <w:r w:rsidRPr="007A7990">
        <w:rPr>
          <w:rFonts w:asciiTheme="majorBidi" w:eastAsiaTheme="minorEastAsia" w:hAnsiTheme="majorBidi" w:cstheme="majorBidi"/>
          <w:color w:val="000000" w:themeColor="text1"/>
          <w:szCs w:val="24"/>
        </w:rPr>
        <w:t xml:space="preserve"> circular letter to inform the administrations was sent on 3 July 2018.</w:t>
      </w:r>
    </w:p>
    <w:p w14:paraId="6E206B96" w14:textId="5F478CEE" w:rsidR="00E82D32" w:rsidRPr="007A7990" w:rsidRDefault="00E82D32" w:rsidP="005D0F41">
      <w:pPr>
        <w:pStyle w:val="Heading3"/>
        <w:rPr>
          <w:lang w:val="en-US"/>
        </w:rPr>
      </w:pPr>
      <w:r w:rsidRPr="007A7990">
        <w:t xml:space="preserve">8.2.3 </w:t>
      </w:r>
      <w:r w:rsidR="005D0F41">
        <w:tab/>
      </w:r>
      <w:r w:rsidRPr="007A7990">
        <w:rPr>
          <w:lang w:val="en-US"/>
        </w:rPr>
        <w:t xml:space="preserve">Integration of GE06 agreement Article 4 processing in </w:t>
      </w:r>
      <w:proofErr w:type="spellStart"/>
      <w:r w:rsidRPr="007A7990">
        <w:rPr>
          <w:lang w:val="en-US"/>
        </w:rPr>
        <w:t>TerRaSys</w:t>
      </w:r>
      <w:proofErr w:type="spellEnd"/>
    </w:p>
    <w:p w14:paraId="6CCC4AEE" w14:textId="77777777" w:rsidR="00E82D32" w:rsidRPr="007A7990" w:rsidRDefault="00E82D32" w:rsidP="00CF31F8">
      <w:pPr>
        <w:jc w:val="both"/>
        <w:rPr>
          <w:sz w:val="22"/>
          <w:lang w:val="en-US" w:eastAsia="zh-CN"/>
        </w:rPr>
      </w:pPr>
      <w:r w:rsidRPr="007A7990">
        <w:t xml:space="preserve">The Bureau completed the integration of the digital portion of the GE06 (GE06D) Article 4 notices processing, which had been previously performed in a standalone system, into </w:t>
      </w:r>
      <w:proofErr w:type="spellStart"/>
      <w:r w:rsidRPr="007A7990">
        <w:t>TerRaSys</w:t>
      </w:r>
      <w:proofErr w:type="spellEnd"/>
      <w:r w:rsidRPr="007A7990">
        <w:t xml:space="preserve">. The first GE06D Special Section in </w:t>
      </w:r>
      <w:proofErr w:type="spellStart"/>
      <w:r w:rsidRPr="007A7990">
        <w:t>TerRaSys</w:t>
      </w:r>
      <w:proofErr w:type="spellEnd"/>
      <w:r w:rsidRPr="007A7990">
        <w:t xml:space="preserve"> is scheduled for April 2019. The resulting modifications to the technical coordination examination software for the GE06L portion, pertaining to other primary services, are under final testing. The full Article 4 of the GE06 agreement with all its components is expected to be fully integrated by end of May 2019.</w:t>
      </w:r>
    </w:p>
    <w:p w14:paraId="74638CF6" w14:textId="56F65D87" w:rsidR="00E82D32" w:rsidRPr="007A7990" w:rsidRDefault="00E82D32" w:rsidP="005D0F41">
      <w:pPr>
        <w:pStyle w:val="Heading3"/>
        <w:rPr>
          <w:lang w:val="en-US"/>
        </w:rPr>
      </w:pPr>
      <w:r w:rsidRPr="007A7990">
        <w:t xml:space="preserve">8.2.4 </w:t>
      </w:r>
      <w:r w:rsidR="005D0F41">
        <w:tab/>
      </w:r>
      <w:r w:rsidRPr="007A7990">
        <w:rPr>
          <w:lang w:val="en-US"/>
        </w:rPr>
        <w:t xml:space="preserve">Compatibility analysis software for planning Digital Terrestrial Television (DTT) in the </w:t>
      </w:r>
      <w:r w:rsidRPr="007A7990">
        <w:t>Central America and Caribbean sub-region (CAC)</w:t>
      </w:r>
    </w:p>
    <w:p w14:paraId="2A23A6FD" w14:textId="4BB389FC" w:rsidR="00E82D32" w:rsidRPr="007A7990" w:rsidRDefault="00E82D32" w:rsidP="00515F7A">
      <w:pPr>
        <w:spacing w:before="100" w:beforeAutospacing="1" w:after="100" w:afterAutospacing="1"/>
        <w:jc w:val="both"/>
      </w:pPr>
      <w:r w:rsidRPr="007A7990">
        <w:rPr>
          <w:lang w:val="en-US"/>
        </w:rPr>
        <w:t xml:space="preserve">In order to assist the </w:t>
      </w:r>
      <w:r w:rsidRPr="007A7990">
        <w:t>Central America and Caribbean sub-region</w:t>
      </w:r>
      <w:r w:rsidR="00515F7A">
        <w:t>s</w:t>
      </w:r>
      <w:r w:rsidRPr="007A7990">
        <w:t xml:space="preserve"> in planning the deployment of digital terrestrial television and other services in the VHF/UHF bands</w:t>
      </w:r>
      <w:r w:rsidRPr="007A7990">
        <w:rPr>
          <w:lang w:val="en-US"/>
        </w:rPr>
        <w:t xml:space="preserve">, the Bureau </w:t>
      </w:r>
      <w:r w:rsidRPr="007A7990">
        <w:t xml:space="preserve">developed and enhanced the compatibility analysis software which had been developed for the GE06 Conference and improved for previous frequency planning activities in Region 1. The software considers all the DTT standards and the two channel </w:t>
      </w:r>
      <w:proofErr w:type="spellStart"/>
      <w:r w:rsidRPr="007A7990">
        <w:t>rasters</w:t>
      </w:r>
      <w:proofErr w:type="spellEnd"/>
      <w:r w:rsidRPr="007A7990">
        <w:t xml:space="preserve"> (6 MHz and 8 MHz) used in the region. </w:t>
      </w:r>
    </w:p>
    <w:p w14:paraId="34CA07DC" w14:textId="77777777" w:rsidR="00E82D32" w:rsidRPr="007A7990" w:rsidRDefault="00E82D32" w:rsidP="00CF31F8">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7A7990">
        <w:t>Software for DTT compatibility analysis for Central America and the Caribbean region has been completed, with the integration of the software for dealing with the relevant fixed and mobile assignments currently recorded in the Master Register. The complete set of software tools is as follows:</w:t>
      </w:r>
    </w:p>
    <w:p w14:paraId="459C557E" w14:textId="77777777" w:rsidR="00E82D32" w:rsidRPr="007A7990" w:rsidRDefault="00E82D32" w:rsidP="004A6500">
      <w:pPr>
        <w:pStyle w:val="ListParagraph"/>
        <w:numPr>
          <w:ilvl w:val="0"/>
          <w:numId w:val="10"/>
        </w:numPr>
        <w:spacing w:before="100" w:beforeAutospacing="1" w:after="100" w:afterAutospacing="1"/>
        <w:jc w:val="both"/>
      </w:pPr>
      <w:r w:rsidRPr="007A7990">
        <w:t xml:space="preserve">The Digital-to-Digital, Digital-to-Analogue, Analogue-to-Digital, Digital-to-Fixed and Mobile and Fixed and Mobile to Digital compatibility analysis is available from </w:t>
      </w:r>
      <w:proofErr w:type="spellStart"/>
      <w:r w:rsidRPr="007A7990">
        <w:t>eTools</w:t>
      </w:r>
      <w:proofErr w:type="spellEnd"/>
      <w:r w:rsidRPr="007A7990">
        <w:t>;</w:t>
      </w:r>
    </w:p>
    <w:p w14:paraId="1988A30F" w14:textId="77777777" w:rsidR="00E82D32" w:rsidRPr="007A7990" w:rsidRDefault="00E82D32" w:rsidP="004A6500">
      <w:pPr>
        <w:pStyle w:val="ListParagraph"/>
        <w:numPr>
          <w:ilvl w:val="0"/>
          <w:numId w:val="10"/>
        </w:numPr>
        <w:spacing w:before="100" w:beforeAutospacing="1" w:after="100" w:afterAutospacing="1"/>
        <w:jc w:val="both"/>
      </w:pPr>
      <w:r w:rsidRPr="007A7990">
        <w:t xml:space="preserve">The display software, </w:t>
      </w:r>
      <w:proofErr w:type="spellStart"/>
      <w:r w:rsidRPr="007A7990">
        <w:t>CADisplay</w:t>
      </w:r>
      <w:proofErr w:type="spellEnd"/>
      <w:r w:rsidRPr="007A7990">
        <w:t>, providing mean for the visualization and interpretation of the compatibility analysis results, can be downloaded from the BR web site;</w:t>
      </w:r>
    </w:p>
    <w:p w14:paraId="29E43996" w14:textId="77777777" w:rsidR="00E82D32" w:rsidRPr="007A7990" w:rsidRDefault="00E82D32" w:rsidP="004A6500">
      <w:pPr>
        <w:pStyle w:val="ListParagraph"/>
        <w:numPr>
          <w:ilvl w:val="0"/>
          <w:numId w:val="10"/>
        </w:numPr>
        <w:spacing w:before="100" w:beforeAutospacing="1" w:after="100" w:afterAutospacing="1"/>
        <w:jc w:val="both"/>
      </w:pPr>
      <w:r w:rsidRPr="007A7990">
        <w:t xml:space="preserve">Following the establishment of the Reference List of agreed digital terrestrial television channels at the end of the coordination process, a fully automated system for the compatibility analyses calculations via </w:t>
      </w:r>
      <w:proofErr w:type="spellStart"/>
      <w:r w:rsidRPr="007A7990">
        <w:t>eTools</w:t>
      </w:r>
      <w:proofErr w:type="spellEnd"/>
      <w:r w:rsidRPr="007A7990">
        <w:t xml:space="preserve"> has also been implemented by:</w:t>
      </w:r>
    </w:p>
    <w:p w14:paraId="3381FFBE" w14:textId="77777777" w:rsidR="00E82D32" w:rsidRPr="007A7990" w:rsidRDefault="00E82D32" w:rsidP="004A6500">
      <w:pPr>
        <w:pStyle w:val="ListParagraph"/>
        <w:numPr>
          <w:ilvl w:val="1"/>
          <w:numId w:val="11"/>
        </w:numPr>
        <w:spacing w:before="100" w:beforeAutospacing="1" w:after="100" w:afterAutospacing="1"/>
        <w:jc w:val="both"/>
      </w:pPr>
      <w:r w:rsidRPr="007A7990">
        <w:t>Considering the records from the Reference List in the compatibility analysis process;</w:t>
      </w:r>
    </w:p>
    <w:p w14:paraId="1D3CE41B" w14:textId="77777777" w:rsidR="00E82D32" w:rsidRPr="007A7990" w:rsidRDefault="00E82D32" w:rsidP="004A6500">
      <w:pPr>
        <w:pStyle w:val="ListParagraph"/>
        <w:numPr>
          <w:ilvl w:val="1"/>
          <w:numId w:val="11"/>
        </w:numPr>
        <w:spacing w:before="100" w:beforeAutospacing="1" w:after="100" w:afterAutospacing="1"/>
        <w:jc w:val="both"/>
      </w:pPr>
      <w:r w:rsidRPr="007A7990">
        <w:t>Automating the calculation of the analogue reference situation, to consider any update to analogue assignments in the MIFR.</w:t>
      </w:r>
    </w:p>
    <w:p w14:paraId="4407AF9B" w14:textId="446EE06E" w:rsidR="00E82D32" w:rsidRPr="005D0F41" w:rsidRDefault="00E82D32" w:rsidP="005D0F41">
      <w:pPr>
        <w:pStyle w:val="Heading3"/>
      </w:pPr>
      <w:r w:rsidRPr="005D0F41">
        <w:t xml:space="preserve">8.2.5 </w:t>
      </w:r>
      <w:r w:rsidR="005D0F41">
        <w:tab/>
      </w:r>
      <w:r w:rsidRPr="005D0F41">
        <w:t>Development and further enhancement of web tools</w:t>
      </w:r>
    </w:p>
    <w:p w14:paraId="75E8B84E" w14:textId="77777777" w:rsidR="00E82D32" w:rsidRPr="007A7990" w:rsidRDefault="00E82D32" w:rsidP="00CF31F8">
      <w:pPr>
        <w:spacing w:before="100" w:beforeAutospacing="1" w:after="100" w:afterAutospacing="1"/>
        <w:jc w:val="both"/>
        <w:rPr>
          <w:rFonts w:asciiTheme="majorBidi" w:hAnsiTheme="majorBidi" w:cstheme="majorBidi"/>
          <w:szCs w:val="24"/>
        </w:rPr>
      </w:pPr>
      <w:r w:rsidRPr="007A7990">
        <w:rPr>
          <w:szCs w:val="24"/>
          <w:lang w:val="en-US" w:eastAsia="zh-CN"/>
        </w:rPr>
        <w:t xml:space="preserve">In 2018, the Bureau has further enhanced </w:t>
      </w:r>
      <w:r w:rsidRPr="007A7990">
        <w:rPr>
          <w:i/>
          <w:iCs/>
          <w:lang w:val="en-US" w:eastAsia="zh-CN"/>
        </w:rPr>
        <w:t>eBCD2.0 platform</w:t>
      </w:r>
      <w:r w:rsidRPr="007A7990">
        <w:rPr>
          <w:lang w:val="en-US" w:eastAsia="zh-CN"/>
        </w:rPr>
        <w:t xml:space="preserve"> for terrestrial broadcasting services</w:t>
      </w:r>
      <w:r w:rsidRPr="007A7990">
        <w:rPr>
          <w:szCs w:val="24"/>
          <w:lang w:val="en-US" w:eastAsia="zh-CN"/>
        </w:rPr>
        <w:t xml:space="preserve"> by enabling field strength coverage contours calculation in the scope of the propagation prediction method ITU-R P. 1812. This tool, currently using SRTM3 elevation data (90m), can assist administrations for performing more precise interference and coverage analyses.</w:t>
      </w:r>
    </w:p>
    <w:p w14:paraId="7BF370DC" w14:textId="77777777" w:rsidR="00E82D32" w:rsidRPr="00492326" w:rsidRDefault="00E82D32" w:rsidP="00492326">
      <w:pPr>
        <w:jc w:val="both"/>
        <w:rPr>
          <w:lang w:val="en-US"/>
        </w:rPr>
      </w:pPr>
      <w:r w:rsidRPr="007A7990">
        <w:rPr>
          <w:rFonts w:asciiTheme="majorBidi" w:hAnsiTheme="majorBidi" w:cstheme="majorBidi"/>
          <w:szCs w:val="24"/>
        </w:rPr>
        <w:t>The Bureau is also completing the project for the enhancement, by using the lighter MVC technology, and generalization of the online tools for all terrestrial services. The Bureau is currently beta testing the system. As part of this project, a testbed is being implemented to ensure that the web application can sustain a load of hundreds of users with acceptable performances. The Bureau expects to put in production those tools in September 2019.</w:t>
      </w:r>
    </w:p>
    <w:p w14:paraId="2AFD9AA7" w14:textId="77777777" w:rsidR="0015513D" w:rsidRDefault="00F56064" w:rsidP="00F56064">
      <w:pPr>
        <w:pStyle w:val="Heading2"/>
      </w:pPr>
      <w:bookmarkStart w:id="20" w:name="_Toc446060772"/>
      <w:r>
        <w:lastRenderedPageBreak/>
        <w:t>8</w:t>
      </w:r>
      <w:r w:rsidR="0015513D" w:rsidRPr="00ED04B0">
        <w:t>.</w:t>
      </w:r>
      <w:r w:rsidR="0015513D">
        <w:t>3</w:t>
      </w:r>
      <w:r w:rsidR="0015513D" w:rsidRPr="00ED04B0">
        <w:tab/>
        <w:t>Other developments</w:t>
      </w:r>
      <w:bookmarkEnd w:id="20"/>
    </w:p>
    <w:p w14:paraId="5241D089" w14:textId="6CA4B460" w:rsidR="00E049DC" w:rsidRPr="00515F7A" w:rsidRDefault="00E049DC" w:rsidP="00515F7A">
      <w:pPr>
        <w:tabs>
          <w:tab w:val="left" w:pos="7797"/>
        </w:tabs>
        <w:spacing w:after="120"/>
        <w:jc w:val="both"/>
        <w:rPr>
          <w:b/>
        </w:rPr>
      </w:pPr>
      <w:r w:rsidRPr="00515F7A">
        <w:rPr>
          <w:b/>
        </w:rPr>
        <w:t xml:space="preserve">8.3.1 </w:t>
      </w:r>
      <w:r w:rsidR="005D0F41">
        <w:rPr>
          <w:b/>
        </w:rPr>
        <w:tab/>
      </w:r>
      <w:r w:rsidRPr="00515F7A">
        <w:rPr>
          <w:b/>
        </w:rPr>
        <w:t>Progress in fulfilling the BR Space Information Systems roadmap (RAG-19, 2012)</w:t>
      </w:r>
    </w:p>
    <w:p w14:paraId="41E9F5BB" w14:textId="77777777" w:rsidR="00E049DC" w:rsidRDefault="00E049DC" w:rsidP="00515F7A">
      <w:pPr>
        <w:tabs>
          <w:tab w:val="left" w:pos="7797"/>
        </w:tabs>
        <w:spacing w:after="120"/>
        <w:jc w:val="both"/>
      </w:pPr>
      <w:r>
        <w:t xml:space="preserve">In 2018, the BR needed to urgently maintain existing legacy software, namely in order to improve software application deployment. Specifically, the BR worked on making the BR Space Software easier to install, or even make it possible to use BR Space Software without installing. These approaches were tested internally and with the collaboration of delegates attending space workshops at the WRS-18. This work has been in preparation of a brand new installation suite for BR Space Software, to be made available in the second quarter of 2019, which will make it easier for IT departments (Administrations, satellite operators) to deploy BR Space Software on end-user computers. </w:t>
      </w:r>
    </w:p>
    <w:p w14:paraId="4784D83B" w14:textId="77777777" w:rsidR="00E049DC" w:rsidRDefault="00E049DC" w:rsidP="00515F7A">
      <w:pPr>
        <w:tabs>
          <w:tab w:val="left" w:pos="7797"/>
        </w:tabs>
        <w:spacing w:after="120"/>
        <w:jc w:val="both"/>
      </w:pPr>
      <w:r>
        <w:t>Also, the BR continued the implementation of examination software for PFD examination of non-GSO networks, with higher priority than redesigning legacy software for PFD examinations of GSO networks.</w:t>
      </w:r>
    </w:p>
    <w:p w14:paraId="4E682C58" w14:textId="77777777" w:rsidR="00E049DC" w:rsidRDefault="00E049DC" w:rsidP="00515F7A">
      <w:pPr>
        <w:tabs>
          <w:tab w:val="left" w:pos="7797"/>
        </w:tabs>
        <w:spacing w:after="120"/>
        <w:jc w:val="both"/>
      </w:pPr>
      <w:r>
        <w:t>Therefore, the BR was not able to fully dedicate resources to the implementation of all the proposed improvements to the BR Space Information Systems, as described in Annex 1 to this document.</w:t>
      </w:r>
    </w:p>
    <w:p w14:paraId="0D7A0ECD" w14:textId="05A8AD9B" w:rsidR="00E049DC" w:rsidRPr="00515F7A" w:rsidRDefault="00E049DC" w:rsidP="00515F7A">
      <w:pPr>
        <w:tabs>
          <w:tab w:val="left" w:pos="7797"/>
        </w:tabs>
        <w:spacing w:after="120"/>
        <w:jc w:val="both"/>
        <w:rPr>
          <w:b/>
        </w:rPr>
      </w:pPr>
      <w:r w:rsidRPr="00515F7A">
        <w:rPr>
          <w:b/>
        </w:rPr>
        <w:t xml:space="preserve">8.3.2 </w:t>
      </w:r>
      <w:r w:rsidR="005D0F41">
        <w:rPr>
          <w:b/>
        </w:rPr>
        <w:tab/>
      </w:r>
      <w:r w:rsidRPr="00515F7A">
        <w:rPr>
          <w:b/>
        </w:rPr>
        <w:t>Migration of Study Groups’ mailing lists to a modern mailing list platform</w:t>
      </w:r>
    </w:p>
    <w:p w14:paraId="1E96985B" w14:textId="77777777" w:rsidR="00E049DC" w:rsidRDefault="00E049DC" w:rsidP="00515F7A">
      <w:pPr>
        <w:tabs>
          <w:tab w:val="left" w:pos="7797"/>
        </w:tabs>
        <w:spacing w:after="120"/>
        <w:jc w:val="both"/>
      </w:pPr>
      <w:r>
        <w:t>The BR has redesigned the mailing list self-service pages for study group delegates (both for active lists and lists that have been disbanded/archived). The deployment of this new solution was delayed in 2018, but the modernized self-service pages shall be made available to delegates in the first quarter of 2019.</w:t>
      </w:r>
    </w:p>
    <w:p w14:paraId="272E862A" w14:textId="3318C7FC" w:rsidR="00E82D32" w:rsidRPr="007A7990" w:rsidRDefault="00E82D32" w:rsidP="00492326">
      <w:pPr>
        <w:pStyle w:val="Heading3"/>
        <w:tabs>
          <w:tab w:val="clear" w:pos="794"/>
          <w:tab w:val="left" w:pos="426"/>
        </w:tabs>
        <w:rPr>
          <w:szCs w:val="24"/>
          <w:lang w:val="en-US" w:eastAsia="zh-CN"/>
        </w:rPr>
      </w:pPr>
      <w:r w:rsidRPr="007A7990">
        <w:rPr>
          <w:lang w:val="en-US" w:eastAsia="zh-CN"/>
        </w:rPr>
        <w:t xml:space="preserve">8.3.3 </w:t>
      </w:r>
      <w:r w:rsidR="005D0F41">
        <w:rPr>
          <w:lang w:val="en-US" w:eastAsia="zh-CN"/>
        </w:rPr>
        <w:tab/>
      </w:r>
      <w:r w:rsidRPr="007A7990">
        <w:rPr>
          <w:lang w:val="en-US" w:eastAsia="zh-CN"/>
        </w:rPr>
        <w:t xml:space="preserve">BR </w:t>
      </w:r>
      <w:r w:rsidRPr="007A7990">
        <w:rPr>
          <w:shd w:val="clear" w:color="auto" w:fill="FFFFFF"/>
        </w:rPr>
        <w:t>Geographic Information Systems</w:t>
      </w:r>
      <w:r w:rsidRPr="007A7990">
        <w:rPr>
          <w:rFonts w:ascii="Arial" w:hAnsi="Arial" w:cs="Arial"/>
          <w:shd w:val="clear" w:color="auto" w:fill="FFFFFF"/>
        </w:rPr>
        <w:t xml:space="preserve"> (</w:t>
      </w:r>
      <w:r w:rsidRPr="007A7990">
        <w:rPr>
          <w:lang w:val="en-US" w:eastAsia="zh-CN"/>
        </w:rPr>
        <w:t xml:space="preserve">GIS) </w:t>
      </w:r>
    </w:p>
    <w:p w14:paraId="3EDDB820" w14:textId="77777777" w:rsidR="00E82D32" w:rsidRPr="007A7990" w:rsidRDefault="00E82D32" w:rsidP="00492326">
      <w:pPr>
        <w:tabs>
          <w:tab w:val="clear" w:pos="794"/>
          <w:tab w:val="clear" w:pos="1191"/>
          <w:tab w:val="clear" w:pos="1588"/>
          <w:tab w:val="clear" w:pos="1985"/>
          <w:tab w:val="left" w:pos="426"/>
        </w:tabs>
        <w:overflowPunct/>
        <w:autoSpaceDE/>
        <w:autoSpaceDN/>
        <w:adjustRightInd/>
        <w:spacing w:before="100" w:beforeAutospacing="1" w:after="100" w:afterAutospacing="1"/>
        <w:jc w:val="both"/>
        <w:textAlignment w:val="auto"/>
        <w:rPr>
          <w:rFonts w:asciiTheme="majorBidi" w:hAnsiTheme="majorBidi" w:cstheme="majorBidi"/>
          <w:szCs w:val="24"/>
          <w:lang w:val="en-US" w:eastAsia="zh-CN"/>
        </w:rPr>
      </w:pPr>
      <w:r w:rsidRPr="007A7990">
        <w:rPr>
          <w:rFonts w:asciiTheme="majorBidi" w:hAnsiTheme="majorBidi" w:cstheme="majorBidi"/>
          <w:szCs w:val="24"/>
          <w:lang w:val="en-US" w:eastAsia="zh-CN"/>
        </w:rPr>
        <w:t>The Bureau is continuing its project on establishing a common GIS Platform and data, with focus on Open Source tools.</w:t>
      </w:r>
      <w:r w:rsidRPr="007A7990">
        <w:rPr>
          <w:rFonts w:asciiTheme="majorBidi" w:eastAsiaTheme="minorEastAsia" w:hAnsiTheme="majorBidi" w:cstheme="majorBidi"/>
          <w:color w:val="000000" w:themeColor="text1"/>
          <w:szCs w:val="24"/>
        </w:rPr>
        <w:t xml:space="preserve">BR’s GIS Task Group was established to study BR needs and propose a common GIS platform which best fits BR requirements. </w:t>
      </w:r>
      <w:r w:rsidRPr="007A7990">
        <w:rPr>
          <w:rFonts w:asciiTheme="majorBidi" w:hAnsiTheme="majorBidi" w:cstheme="majorBidi"/>
          <w:szCs w:val="24"/>
          <w:lang w:val="en-US" w:eastAsia="zh-CN"/>
        </w:rPr>
        <w:t xml:space="preserve"> Amongst the objectives for 2019, the Bureau plans to put into production a Geoportal, providing access to the Membership to relevant datasets (e.g. Study Group 3 radio-meteorological data).</w:t>
      </w:r>
    </w:p>
    <w:p w14:paraId="5C3A764A" w14:textId="4EB1C9AD" w:rsidR="00E049DC" w:rsidRPr="00E049DC" w:rsidRDefault="00E82D32" w:rsidP="00515F7A">
      <w:pPr>
        <w:tabs>
          <w:tab w:val="clear" w:pos="794"/>
          <w:tab w:val="clear" w:pos="1191"/>
          <w:tab w:val="clear" w:pos="1588"/>
          <w:tab w:val="clear" w:pos="1985"/>
          <w:tab w:val="left" w:pos="426"/>
        </w:tabs>
        <w:overflowPunct/>
        <w:autoSpaceDE/>
        <w:autoSpaceDN/>
        <w:adjustRightInd/>
        <w:spacing w:before="100" w:beforeAutospacing="1" w:after="100" w:afterAutospacing="1"/>
        <w:jc w:val="both"/>
        <w:textAlignment w:val="auto"/>
      </w:pPr>
      <w:r w:rsidRPr="007A7990">
        <w:rPr>
          <w:rFonts w:asciiTheme="majorBidi" w:hAnsiTheme="majorBidi" w:cstheme="majorBidi"/>
          <w:szCs w:val="24"/>
          <w:lang w:val="en-US" w:eastAsia="zh-CN"/>
        </w:rPr>
        <w:t xml:space="preserve">With respect to external activities on this issue, a partnership with the UN Geospatial Section is strengthening. BR also </w:t>
      </w:r>
      <w:r w:rsidRPr="007A7990">
        <w:rPr>
          <w:rFonts w:asciiTheme="majorBidi" w:eastAsiaTheme="minorEastAsia" w:hAnsiTheme="majorBidi" w:cstheme="majorBidi"/>
          <w:color w:val="000000" w:themeColor="text1"/>
          <w:szCs w:val="24"/>
        </w:rPr>
        <w:t>continues to participate in discussions with other relevant UN agencies for the establishment of a United Nation system network for geospatial information management.</w:t>
      </w:r>
    </w:p>
    <w:p w14:paraId="5E22B150" w14:textId="77777777" w:rsidR="0015513D" w:rsidRDefault="00F56064" w:rsidP="00F56064">
      <w:pPr>
        <w:pStyle w:val="Heading1"/>
      </w:pPr>
      <w:bookmarkStart w:id="21" w:name="_Toc446060776"/>
      <w:r>
        <w:t>9</w:t>
      </w:r>
      <w:r w:rsidR="0015513D" w:rsidRPr="00ED04B0">
        <w:tab/>
        <w:t>Membership outreach</w:t>
      </w:r>
      <w:bookmarkEnd w:id="21"/>
    </w:p>
    <w:p w14:paraId="7C6CC510" w14:textId="699952FA" w:rsidR="00CA7306" w:rsidRPr="00CA7306" w:rsidRDefault="00CA7306" w:rsidP="00497864">
      <w:pPr>
        <w:jc w:val="both"/>
      </w:pPr>
      <w:r w:rsidRPr="00CA7306">
        <w:t xml:space="preserve">Outreach activities include </w:t>
      </w:r>
      <w:r w:rsidR="00497864">
        <w:t>dissemination of</w:t>
      </w:r>
      <w:r w:rsidRPr="00CA7306">
        <w:t xml:space="preserve"> information and assistance to membership, the publication of ITU-R outputs</w:t>
      </w:r>
      <w:r w:rsidR="00497864">
        <w:t>,</w:t>
      </w:r>
      <w:r w:rsidRPr="00CA7306">
        <w:t xml:space="preserve"> the organization of, and the participation in, seminars and workshops, a</w:t>
      </w:r>
      <w:r w:rsidR="00497864">
        <w:t>s well as</w:t>
      </w:r>
      <w:r w:rsidRPr="00CA7306">
        <w:t xml:space="preserve"> the development and maintenance of communication and promotion tools. The purpose of these activities is to ensure that the outputs produced by the ITU-R Sector (regulations, recommendations, reports and handbooks) are disseminated worldwide and </w:t>
      </w:r>
      <w:r w:rsidR="00497864">
        <w:t>to facilitate</w:t>
      </w:r>
      <w:r w:rsidRPr="00CA7306">
        <w:t xml:space="preserve"> the ITU membership and to stakeholders of spectrum, and that they form the basis for the formulation of spectrum man</w:t>
      </w:r>
      <w:r w:rsidR="00497864">
        <w:t xml:space="preserve">agement policies and decisions </w:t>
      </w:r>
      <w:r w:rsidRPr="00CA7306">
        <w:t xml:space="preserve">for the use of </w:t>
      </w:r>
      <w:proofErr w:type="spellStart"/>
      <w:r w:rsidRPr="00CA7306">
        <w:t>radiocommunications</w:t>
      </w:r>
      <w:proofErr w:type="spellEnd"/>
      <w:r w:rsidRPr="00CA7306">
        <w:t xml:space="preserve"> in general. To carry out these activities, the BR relies on close cooperation with the other Bureaux and Sectors, the ITU regional and area offices and the relevant international organisations and national authorities.</w:t>
      </w:r>
    </w:p>
    <w:p w14:paraId="73F93030" w14:textId="77777777" w:rsidR="0015513D" w:rsidRDefault="00F56064" w:rsidP="00F56064">
      <w:pPr>
        <w:pStyle w:val="Heading2"/>
      </w:pPr>
      <w:bookmarkStart w:id="22" w:name="_Toc418163376"/>
      <w:bookmarkStart w:id="23" w:name="_Toc418232294"/>
      <w:bookmarkStart w:id="24" w:name="_Toc424047595"/>
      <w:bookmarkStart w:id="25" w:name="_Toc446060777"/>
      <w:r>
        <w:t>9</w:t>
      </w:r>
      <w:r w:rsidR="0015513D">
        <w:t>.1</w:t>
      </w:r>
      <w:r w:rsidR="0015513D" w:rsidRPr="003D2EA6">
        <w:tab/>
        <w:t>Publications</w:t>
      </w:r>
      <w:bookmarkEnd w:id="22"/>
      <w:bookmarkEnd w:id="23"/>
      <w:bookmarkEnd w:id="24"/>
      <w:bookmarkEnd w:id="25"/>
    </w:p>
    <w:p w14:paraId="39BA9162" w14:textId="77777777" w:rsidR="0015513D" w:rsidRDefault="00F56064" w:rsidP="00F56064">
      <w:pPr>
        <w:pStyle w:val="Heading3"/>
      </w:pPr>
      <w:bookmarkStart w:id="26" w:name="_Toc424047596"/>
      <w:bookmarkStart w:id="27" w:name="_Toc446060778"/>
      <w:r>
        <w:t>9</w:t>
      </w:r>
      <w:r w:rsidR="0015513D" w:rsidRPr="00ED04B0">
        <w:t>.1.1</w:t>
      </w:r>
      <w:r w:rsidR="0015513D" w:rsidRPr="00ED04B0">
        <w:tab/>
        <w:t>Regulatory publications</w:t>
      </w:r>
      <w:bookmarkEnd w:id="26"/>
      <w:bookmarkEnd w:id="27"/>
      <w:r w:rsidR="0015513D" w:rsidRPr="00ED04B0">
        <w:t xml:space="preserve"> </w:t>
      </w:r>
    </w:p>
    <w:p w14:paraId="049C769F" w14:textId="11C52961" w:rsidR="00C75F79" w:rsidRPr="00C75F79" w:rsidRDefault="00CA7306" w:rsidP="00CF31F8">
      <w:pPr>
        <w:jc w:val="both"/>
      </w:pPr>
      <w:r w:rsidRPr="00CA7306">
        <w:rPr>
          <w:bCs/>
        </w:rPr>
        <w:t>After the publication of the 2016 Edition of the Radio Regulations, in December 2016, the consolidated version of the Rules of Procedure was published during in May 2017. Two updates were published since then (November 2017 and August 2018).</w:t>
      </w:r>
    </w:p>
    <w:p w14:paraId="45681E77" w14:textId="77777777" w:rsidR="0015513D" w:rsidRDefault="00F56064" w:rsidP="00CF31F8">
      <w:pPr>
        <w:pStyle w:val="Heading3"/>
        <w:jc w:val="both"/>
      </w:pPr>
      <w:bookmarkStart w:id="28" w:name="_Toc424047597"/>
      <w:bookmarkStart w:id="29" w:name="_Toc446060779"/>
      <w:r>
        <w:lastRenderedPageBreak/>
        <w:t>9</w:t>
      </w:r>
      <w:r w:rsidR="0015513D" w:rsidRPr="00ED04B0">
        <w:t>.1.2</w:t>
      </w:r>
      <w:r w:rsidR="0015513D" w:rsidRPr="00ED04B0">
        <w:tab/>
        <w:t>Service publications</w:t>
      </w:r>
      <w:bookmarkEnd w:id="28"/>
      <w:bookmarkEnd w:id="29"/>
    </w:p>
    <w:p w14:paraId="0CB97712" w14:textId="77777777" w:rsidR="00E82D32" w:rsidRPr="007A7990" w:rsidRDefault="00E82D32" w:rsidP="00CF31F8">
      <w:pPr>
        <w:jc w:val="both"/>
      </w:pPr>
      <w:r w:rsidRPr="007A7990">
        <w:t>The Bureau prepares and issues the following service publications, as specified in Article </w:t>
      </w:r>
      <w:r w:rsidRPr="007A7990">
        <w:rPr>
          <w:b/>
          <w:bCs/>
        </w:rPr>
        <w:t>20</w:t>
      </w:r>
      <w:r w:rsidRPr="007A7990">
        <w:t xml:space="preserve"> of the Radio Regulations. </w:t>
      </w:r>
    </w:p>
    <w:p w14:paraId="4219B52C" w14:textId="77777777" w:rsidR="00E82D32" w:rsidRPr="007A7990" w:rsidRDefault="00E82D32" w:rsidP="004A6500">
      <w:pPr>
        <w:pStyle w:val="ListParagraph"/>
        <w:numPr>
          <w:ilvl w:val="0"/>
          <w:numId w:val="13"/>
        </w:numPr>
        <w:jc w:val="both"/>
      </w:pPr>
      <w:r w:rsidRPr="007A7990">
        <w:t>List I − International Frequency List</w:t>
      </w:r>
    </w:p>
    <w:p w14:paraId="6F482555" w14:textId="77777777" w:rsidR="00E82D32" w:rsidRPr="007A7990" w:rsidRDefault="00E82D32" w:rsidP="004A6500">
      <w:pPr>
        <w:pStyle w:val="ListParagraph"/>
        <w:numPr>
          <w:ilvl w:val="0"/>
          <w:numId w:val="12"/>
        </w:numPr>
        <w:jc w:val="both"/>
      </w:pPr>
      <w:r w:rsidRPr="007A7990">
        <w:t>List IV − List of Coast Stations and Special Service Stations</w:t>
      </w:r>
    </w:p>
    <w:p w14:paraId="3DCD319A" w14:textId="77777777" w:rsidR="00E82D32" w:rsidRPr="007A7990" w:rsidRDefault="00E82D32" w:rsidP="004A6500">
      <w:pPr>
        <w:pStyle w:val="ListParagraph"/>
        <w:numPr>
          <w:ilvl w:val="0"/>
          <w:numId w:val="12"/>
        </w:numPr>
        <w:jc w:val="both"/>
      </w:pPr>
      <w:r w:rsidRPr="007A7990">
        <w:t>List V − List of Ship Stations and Maritime Mobile Service Identity Assignments</w:t>
      </w:r>
    </w:p>
    <w:p w14:paraId="03F4C760" w14:textId="77777777" w:rsidR="00E82D32" w:rsidRPr="007A7990" w:rsidRDefault="00E82D32" w:rsidP="004A6500">
      <w:pPr>
        <w:pStyle w:val="ListParagraph"/>
        <w:numPr>
          <w:ilvl w:val="0"/>
          <w:numId w:val="12"/>
        </w:numPr>
        <w:jc w:val="both"/>
      </w:pPr>
      <w:r w:rsidRPr="007A7990">
        <w:t>List VIII − List of International Monitoring Stations.</w:t>
      </w:r>
    </w:p>
    <w:p w14:paraId="60916CF7" w14:textId="77777777" w:rsidR="00E82D32" w:rsidRPr="007A7990" w:rsidRDefault="00E82D32" w:rsidP="004A6500">
      <w:pPr>
        <w:pStyle w:val="ListParagraph"/>
        <w:numPr>
          <w:ilvl w:val="0"/>
          <w:numId w:val="12"/>
        </w:numPr>
        <w:jc w:val="both"/>
      </w:pPr>
      <w:r w:rsidRPr="007A7990">
        <w:t>Manual for Use by the Maritime Mobile and Maritime Mobile-Satellite Services</w:t>
      </w:r>
    </w:p>
    <w:p w14:paraId="460E1752" w14:textId="77777777" w:rsidR="00E82D32" w:rsidRPr="007A7990" w:rsidRDefault="00E82D32" w:rsidP="00E82D32">
      <w:pPr>
        <w:jc w:val="both"/>
        <w:rPr>
          <w:lang w:val="en-US"/>
        </w:rPr>
      </w:pPr>
      <w:r w:rsidRPr="007A7990">
        <w:rPr>
          <w:lang w:val="en-US"/>
        </w:rPr>
        <w:t xml:space="preserve">In view of the importance of the operational information contained in the maritime-related service publications, particularly with regard to safety, administrations are required to communicate the necessary amendments, as stipulated in No. </w:t>
      </w:r>
      <w:r w:rsidRPr="007A7990">
        <w:rPr>
          <w:b/>
          <w:bCs/>
          <w:lang w:val="en-US"/>
        </w:rPr>
        <w:t>20.16</w:t>
      </w:r>
      <w:r w:rsidRPr="007A7990">
        <w:rPr>
          <w:lang w:val="en-US"/>
        </w:rPr>
        <w:t xml:space="preserve"> of the RR. It should be noted however, that the BR’s concerns reported to previous RAG meetings on the fact that administrations do not always provide regular updates of the information to the BR, are still valid.</w:t>
      </w:r>
    </w:p>
    <w:p w14:paraId="25A18B98" w14:textId="77777777" w:rsidR="00E82D32" w:rsidRPr="007A7990" w:rsidRDefault="00E82D32" w:rsidP="00E82D32">
      <w:pPr>
        <w:jc w:val="both"/>
        <w:rPr>
          <w:lang w:val="en-US"/>
        </w:rPr>
      </w:pPr>
      <w:r w:rsidRPr="007A7990">
        <w:rPr>
          <w:lang w:val="en-US"/>
        </w:rPr>
        <w:t>Furthermore, information contained in the maritime-related service publications, in particular the List of Ship Stations and Maritime Mobile Service Identity Assignments (List V), are also used for other administrative procedures (e.g. eligibility for additional MIDs).</w:t>
      </w:r>
    </w:p>
    <w:p w14:paraId="417501C9" w14:textId="670B3FAF" w:rsidR="00E82D32" w:rsidRPr="007A7990" w:rsidRDefault="00E82D32" w:rsidP="00E82D32">
      <w:pPr>
        <w:pStyle w:val="Heading4"/>
      </w:pPr>
      <w:r w:rsidRPr="007A7990">
        <w:t>9.1.2.1</w:t>
      </w:r>
      <w:r w:rsidRPr="007A7990">
        <w:tab/>
        <w:t>List of Coast Stations and Special Service Stations (List IV)</w:t>
      </w:r>
    </w:p>
    <w:p w14:paraId="40D2655E" w14:textId="77777777" w:rsidR="00E82D32" w:rsidRPr="007A7990" w:rsidRDefault="00E82D32" w:rsidP="00CF31F8">
      <w:pPr>
        <w:jc w:val="both"/>
        <w:rPr>
          <w:lang w:val="en-US"/>
        </w:rPr>
      </w:pPr>
      <w:r w:rsidRPr="007A7990">
        <w:rPr>
          <w:lang w:val="en-US"/>
        </w:rPr>
        <w:t xml:space="preserve">No edition of List IV has been prepared since the 2018 RAG meeting. </w:t>
      </w:r>
    </w:p>
    <w:p w14:paraId="6287AFD2" w14:textId="77777777" w:rsidR="00E82D32" w:rsidRPr="007A7990" w:rsidRDefault="00E82D32" w:rsidP="00CF31F8">
      <w:pPr>
        <w:jc w:val="both"/>
        <w:rPr>
          <w:szCs w:val="24"/>
        </w:rPr>
      </w:pPr>
      <w:r w:rsidRPr="007A7990">
        <w:rPr>
          <w:lang w:val="en-US"/>
        </w:rPr>
        <w:t>Information pertaining to the 2017 edition of this list is made available via the online information system ITU Maritime mobile Access and Retrieval System (MARS). In addition, the Bureau continues to provide, every six months, a compilation of all changes notified to the ITU for this period</w:t>
      </w:r>
      <w:r w:rsidRPr="007A7990">
        <w:rPr>
          <w:szCs w:val="24"/>
        </w:rPr>
        <w:t>.</w:t>
      </w:r>
    </w:p>
    <w:p w14:paraId="0A7101FB" w14:textId="00B601AE" w:rsidR="00E82D32" w:rsidRPr="007A7990" w:rsidRDefault="00E82D32" w:rsidP="00CF31F8">
      <w:pPr>
        <w:pStyle w:val="Heading4"/>
        <w:jc w:val="both"/>
      </w:pPr>
      <w:r w:rsidRPr="007A7990">
        <w:t>9.1.2.2</w:t>
      </w:r>
      <w:r w:rsidRPr="007A7990">
        <w:tab/>
        <w:t>List of Ship Stations and Maritime Mobile Service Identity Assignments (List V)</w:t>
      </w:r>
    </w:p>
    <w:p w14:paraId="2C65A2DF" w14:textId="77777777" w:rsidR="00E82D32" w:rsidRPr="007A7990" w:rsidRDefault="00E82D32" w:rsidP="00CF31F8">
      <w:pPr>
        <w:jc w:val="both"/>
        <w:rPr>
          <w:lang w:val="en-US"/>
        </w:rPr>
      </w:pPr>
      <w:r w:rsidRPr="007A7990">
        <w:rPr>
          <w:lang w:val="en-US"/>
        </w:rPr>
        <w:t>One editions of List V has been prepared in April 2018.</w:t>
      </w:r>
      <w:r w:rsidRPr="007A7990">
        <w:rPr>
          <w:rFonts w:asciiTheme="majorBidi" w:eastAsiaTheme="minorEastAsia" w:hAnsiTheme="majorBidi" w:cstheme="majorBidi"/>
          <w:szCs w:val="24"/>
          <w:lang w:val="en-US" w:eastAsia="zh-CN"/>
        </w:rPr>
        <w:t xml:space="preserve"> </w:t>
      </w:r>
      <w:r w:rsidRPr="007A7990">
        <w:rPr>
          <w:lang w:val="en-US"/>
        </w:rPr>
        <w:t>This List is composed of a paper booklet containing the Preface and Reference tables and a CD</w:t>
      </w:r>
      <w:r w:rsidRPr="007A7990">
        <w:rPr>
          <w:lang w:val="en-US"/>
        </w:rPr>
        <w:noBreakHyphen/>
        <w:t>ROM with the contents of the booklet as well as the information notified to the BR on ship stations, search and rescue (SAR) aircraft assigned an MMSI, etc.</w:t>
      </w:r>
    </w:p>
    <w:p w14:paraId="522610B0" w14:textId="77777777" w:rsidR="00E82D32" w:rsidRPr="007A7990" w:rsidRDefault="00E82D32" w:rsidP="00CF31F8">
      <w:pPr>
        <w:jc w:val="both"/>
        <w:rPr>
          <w:szCs w:val="24"/>
        </w:rPr>
      </w:pPr>
      <w:r w:rsidRPr="007A7990">
        <w:rPr>
          <w:lang w:val="en-US"/>
        </w:rPr>
        <w:t>Information pertaining to this List is also made available via the online information system ITU Maritime mobile Access and Retrieval System (MARS), on a daily basis. A compilation of all changes notified to the ITU is provided every three months via ITU MARS</w:t>
      </w:r>
      <w:r w:rsidRPr="007A7990">
        <w:rPr>
          <w:szCs w:val="24"/>
        </w:rPr>
        <w:t>.</w:t>
      </w:r>
    </w:p>
    <w:p w14:paraId="195B1B50" w14:textId="2B2AF85A" w:rsidR="00E82D32" w:rsidRPr="007A7990" w:rsidRDefault="00E82D32" w:rsidP="00CF31F8">
      <w:pPr>
        <w:pStyle w:val="Heading4"/>
        <w:jc w:val="both"/>
      </w:pPr>
      <w:r w:rsidRPr="007A7990">
        <w:t>9.1.2.3</w:t>
      </w:r>
      <w:r w:rsidRPr="007A7990">
        <w:tab/>
        <w:t xml:space="preserve">List of International Monitoring stations (List VIII) </w:t>
      </w:r>
    </w:p>
    <w:p w14:paraId="57338AB4" w14:textId="77777777" w:rsidR="00E82D32" w:rsidRPr="007A7990" w:rsidRDefault="00E82D32" w:rsidP="00CF31F8">
      <w:pPr>
        <w:jc w:val="both"/>
      </w:pPr>
      <w:r w:rsidRPr="007A7990">
        <w:rPr>
          <w:lang w:val="en-US"/>
        </w:rPr>
        <w:t>No edition of this List has been prepared since the 2018 RAG meeting. The latest 2016 edition of this List contains the addresses and other relevant information of centralizing offices, particulars of monitoring stations measuring terrestrial and space emissions. A direct download facility is available, free of charge, for ITU (TIES) members only</w:t>
      </w:r>
      <w:r w:rsidRPr="007A7990">
        <w:t>.</w:t>
      </w:r>
    </w:p>
    <w:p w14:paraId="6F5CEF88" w14:textId="16C30122" w:rsidR="00E82D32" w:rsidRPr="007A7990" w:rsidRDefault="00E82D32" w:rsidP="00CF31F8">
      <w:pPr>
        <w:pStyle w:val="Heading4"/>
        <w:jc w:val="both"/>
      </w:pPr>
      <w:r w:rsidRPr="007A7990">
        <w:t>9.1.2.4</w:t>
      </w:r>
      <w:r w:rsidRPr="007A7990">
        <w:tab/>
        <w:t xml:space="preserve">List of service publications issued </w:t>
      </w:r>
    </w:p>
    <w:p w14:paraId="1D2236DA" w14:textId="77777777" w:rsidR="00B44E37" w:rsidRDefault="00E82D32" w:rsidP="00CF31F8">
      <w:pPr>
        <w:jc w:val="both"/>
        <w:rPr>
          <w:lang w:val="en-US"/>
        </w:rPr>
        <w:sectPr w:rsidR="00B44E37" w:rsidSect="00874EFB">
          <w:headerReference w:type="default" r:id="rId28"/>
          <w:footerReference w:type="default" r:id="rId29"/>
          <w:footerReference w:type="first" r:id="rId30"/>
          <w:pgSz w:w="11907" w:h="16834"/>
          <w:pgMar w:top="1418" w:right="1134" w:bottom="1418" w:left="1134" w:header="720" w:footer="720" w:gutter="0"/>
          <w:paperSrc w:first="15" w:other="15"/>
          <w:cols w:space="720"/>
          <w:titlePg/>
          <w:docGrid w:linePitch="326"/>
        </w:sectPr>
      </w:pPr>
      <w:r w:rsidRPr="007A7990">
        <w:rPr>
          <w:lang w:val="en-US"/>
        </w:rPr>
        <w:t>Table 9.1.2.5-1 below summarizes the different publications prepared and delivered during the period 2015-2018:</w:t>
      </w:r>
    </w:p>
    <w:p w14:paraId="47FB37A8" w14:textId="298D3683" w:rsidR="00E82D32" w:rsidRPr="007A7990" w:rsidRDefault="00E82D32" w:rsidP="00E82D32">
      <w:pPr>
        <w:pStyle w:val="TableNoBR"/>
        <w:rPr>
          <w:lang w:val="en-US"/>
        </w:rPr>
      </w:pPr>
      <w:r w:rsidRPr="007A7990">
        <w:rPr>
          <w:lang w:val="en-US"/>
        </w:rPr>
        <w:lastRenderedPageBreak/>
        <w:t>TABLE 9.1.2.5-1</w:t>
      </w:r>
    </w:p>
    <w:p w14:paraId="0B930E16" w14:textId="77777777" w:rsidR="00E82D32" w:rsidRPr="007A7990" w:rsidRDefault="00E82D32" w:rsidP="00E82D32">
      <w:pPr>
        <w:pStyle w:val="TabletitleBR"/>
      </w:pPr>
      <w:r w:rsidRPr="007A7990">
        <w:t>Summary information regarding the service publications issued in the period 2015-2018</w:t>
      </w:r>
    </w:p>
    <w:p w14:paraId="2390249B" w14:textId="77777777" w:rsidR="00E82D32" w:rsidRPr="007A7990" w:rsidRDefault="00E82D32" w:rsidP="00E82D32">
      <w:pPr>
        <w:tabs>
          <w:tab w:val="clear" w:pos="794"/>
          <w:tab w:val="clear" w:pos="1191"/>
          <w:tab w:val="clear" w:pos="1588"/>
          <w:tab w:val="clear" w:pos="1985"/>
        </w:tabs>
        <w:overflowPunct/>
        <w:autoSpaceDE/>
        <w:autoSpaceDN/>
        <w:adjustRightInd/>
        <w:spacing w:before="0"/>
        <w:textAlignment w:val="auto"/>
      </w:pPr>
    </w:p>
    <w:tbl>
      <w:tblPr>
        <w:tblW w:w="89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012"/>
        <w:gridCol w:w="1487"/>
        <w:gridCol w:w="1489"/>
        <w:gridCol w:w="1488"/>
        <w:gridCol w:w="1488"/>
      </w:tblGrid>
      <w:tr w:rsidR="00E82D32" w:rsidRPr="007A7990" w14:paraId="22CCACAF" w14:textId="77777777" w:rsidTr="00E82D32">
        <w:trPr>
          <w:jc w:val="center"/>
        </w:trPr>
        <w:tc>
          <w:tcPr>
            <w:tcW w:w="3012" w:type="dxa"/>
            <w:tcBorders>
              <w:top w:val="nil"/>
              <w:left w:val="nil"/>
              <w:bottom w:val="single" w:sz="4" w:space="0" w:color="auto"/>
              <w:right w:val="single" w:sz="4" w:space="0" w:color="auto"/>
            </w:tcBorders>
            <w:vAlign w:val="center"/>
          </w:tcPr>
          <w:p w14:paraId="6BD91424" w14:textId="77777777" w:rsidR="00E82D32" w:rsidRPr="007A7990" w:rsidRDefault="00E82D32" w:rsidP="00E82D32">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SimSun"/>
                <w:szCs w:val="24"/>
                <w:lang w:val="en-US" w:eastAsia="zh-CN"/>
              </w:rPr>
            </w:pPr>
          </w:p>
        </w:tc>
        <w:tc>
          <w:tcPr>
            <w:tcW w:w="1487" w:type="dxa"/>
            <w:tcBorders>
              <w:top w:val="single" w:sz="4" w:space="0" w:color="auto"/>
              <w:bottom w:val="single" w:sz="4" w:space="0" w:color="auto"/>
            </w:tcBorders>
            <w:vAlign w:val="center"/>
          </w:tcPr>
          <w:p w14:paraId="01E68E03" w14:textId="77777777" w:rsidR="00E82D32" w:rsidRPr="007A7990" w:rsidRDefault="00E82D32" w:rsidP="00E82D32">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7A7990">
              <w:rPr>
                <w:rFonts w:eastAsia="SimSun"/>
                <w:b/>
                <w:szCs w:val="24"/>
                <w:lang w:val="en-US" w:eastAsia="zh-CN"/>
              </w:rPr>
              <w:t>2015</w:t>
            </w:r>
          </w:p>
        </w:tc>
        <w:tc>
          <w:tcPr>
            <w:tcW w:w="1489" w:type="dxa"/>
            <w:tcBorders>
              <w:top w:val="single" w:sz="4" w:space="0" w:color="auto"/>
              <w:bottom w:val="single" w:sz="4" w:space="0" w:color="auto"/>
              <w:right w:val="single" w:sz="4" w:space="0" w:color="auto"/>
            </w:tcBorders>
            <w:vAlign w:val="center"/>
          </w:tcPr>
          <w:p w14:paraId="04E2AFFB" w14:textId="77777777" w:rsidR="00E82D32" w:rsidRPr="007A7990" w:rsidRDefault="00E82D32" w:rsidP="00E82D32">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7A7990">
              <w:rPr>
                <w:rFonts w:eastAsia="SimSun"/>
                <w:b/>
                <w:szCs w:val="24"/>
                <w:lang w:val="en-US" w:eastAsia="zh-CN"/>
              </w:rPr>
              <w:t>2016</w:t>
            </w:r>
          </w:p>
        </w:tc>
        <w:tc>
          <w:tcPr>
            <w:tcW w:w="1488" w:type="dxa"/>
            <w:tcBorders>
              <w:top w:val="single" w:sz="4" w:space="0" w:color="auto"/>
              <w:bottom w:val="single" w:sz="4" w:space="0" w:color="auto"/>
              <w:right w:val="single" w:sz="4" w:space="0" w:color="auto"/>
            </w:tcBorders>
            <w:vAlign w:val="center"/>
          </w:tcPr>
          <w:p w14:paraId="0785EE15" w14:textId="77777777" w:rsidR="00E82D32" w:rsidRPr="007A7990" w:rsidRDefault="00E82D32" w:rsidP="00E82D32">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7A7990">
              <w:rPr>
                <w:rFonts w:eastAsia="SimSun"/>
                <w:b/>
                <w:szCs w:val="24"/>
                <w:lang w:val="en-US" w:eastAsia="zh-CN"/>
              </w:rPr>
              <w:t>2017</w:t>
            </w:r>
          </w:p>
        </w:tc>
        <w:tc>
          <w:tcPr>
            <w:tcW w:w="1488" w:type="dxa"/>
            <w:tcBorders>
              <w:top w:val="single" w:sz="4" w:space="0" w:color="auto"/>
              <w:bottom w:val="single" w:sz="4" w:space="0" w:color="auto"/>
              <w:right w:val="single" w:sz="4" w:space="0" w:color="auto"/>
            </w:tcBorders>
          </w:tcPr>
          <w:p w14:paraId="380B4116" w14:textId="77777777" w:rsidR="00E82D32" w:rsidRPr="007A7990" w:rsidRDefault="00E82D32" w:rsidP="00E82D32">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7A7990">
              <w:rPr>
                <w:rFonts w:eastAsia="SimSun"/>
                <w:b/>
                <w:szCs w:val="24"/>
                <w:lang w:val="en-US" w:eastAsia="zh-CN"/>
              </w:rPr>
              <w:t>2018</w:t>
            </w:r>
          </w:p>
        </w:tc>
      </w:tr>
      <w:tr w:rsidR="00E82D32" w:rsidRPr="007A7990" w14:paraId="2F70FA0C" w14:textId="77777777" w:rsidTr="00E82D32">
        <w:trPr>
          <w:cantSplit/>
          <w:jc w:val="center"/>
        </w:trPr>
        <w:tc>
          <w:tcPr>
            <w:tcW w:w="3012" w:type="dxa"/>
            <w:tcBorders>
              <w:left w:val="single" w:sz="4" w:space="0" w:color="auto"/>
              <w:bottom w:val="single" w:sz="4" w:space="0" w:color="auto"/>
            </w:tcBorders>
            <w:vAlign w:val="center"/>
          </w:tcPr>
          <w:p w14:paraId="2109714B"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List IV (List of Coast Stations and Special Service Stations)</w:t>
            </w:r>
          </w:p>
        </w:tc>
        <w:tc>
          <w:tcPr>
            <w:tcW w:w="1487" w:type="dxa"/>
            <w:tcBorders>
              <w:bottom w:val="single" w:sz="4" w:space="0" w:color="auto"/>
            </w:tcBorders>
            <w:vAlign w:val="center"/>
          </w:tcPr>
          <w:p w14:paraId="024C1B2C"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Edition of 2015</w:t>
            </w:r>
            <w:r w:rsidRPr="007A7990">
              <w:rPr>
                <w:rFonts w:eastAsia="SimSun"/>
                <w:szCs w:val="24"/>
                <w:lang w:val="en-US" w:eastAsia="zh-CN"/>
              </w:rPr>
              <w:br/>
              <w:t>(November)</w:t>
            </w:r>
          </w:p>
        </w:tc>
        <w:tc>
          <w:tcPr>
            <w:tcW w:w="1489" w:type="dxa"/>
            <w:tcBorders>
              <w:bottom w:val="single" w:sz="4" w:space="0" w:color="auto"/>
              <w:right w:val="single" w:sz="4" w:space="0" w:color="auto"/>
            </w:tcBorders>
            <w:vAlign w:val="center"/>
          </w:tcPr>
          <w:p w14:paraId="3CBB210E"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w:t>
            </w:r>
          </w:p>
        </w:tc>
        <w:tc>
          <w:tcPr>
            <w:tcW w:w="1488" w:type="dxa"/>
            <w:tcBorders>
              <w:bottom w:val="single" w:sz="4" w:space="0" w:color="auto"/>
              <w:right w:val="single" w:sz="4" w:space="0" w:color="auto"/>
            </w:tcBorders>
            <w:vAlign w:val="center"/>
          </w:tcPr>
          <w:p w14:paraId="71EFE728"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Edition of 2017</w:t>
            </w:r>
            <w:r w:rsidRPr="007A7990">
              <w:rPr>
                <w:rFonts w:eastAsia="SimSun"/>
                <w:szCs w:val="24"/>
                <w:lang w:val="en-US" w:eastAsia="zh-CN"/>
              </w:rPr>
              <w:br/>
              <w:t>(November)</w:t>
            </w:r>
          </w:p>
        </w:tc>
        <w:tc>
          <w:tcPr>
            <w:tcW w:w="1488" w:type="dxa"/>
            <w:tcBorders>
              <w:bottom w:val="single" w:sz="4" w:space="0" w:color="auto"/>
              <w:right w:val="single" w:sz="4" w:space="0" w:color="auto"/>
            </w:tcBorders>
          </w:tcPr>
          <w:p w14:paraId="1B83EEE8"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p>
        </w:tc>
      </w:tr>
      <w:tr w:rsidR="00E82D32" w:rsidRPr="007A7990" w14:paraId="209D53C9" w14:textId="77777777" w:rsidTr="00E82D32">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14:paraId="1C3567F1"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List V (List of Ship Stations and Maritime Mobile Service Identity Assignments)</w:t>
            </w:r>
          </w:p>
        </w:tc>
        <w:tc>
          <w:tcPr>
            <w:tcW w:w="1487" w:type="dxa"/>
            <w:tcBorders>
              <w:top w:val="single" w:sz="4" w:space="0" w:color="auto"/>
              <w:left w:val="single" w:sz="4" w:space="0" w:color="auto"/>
              <w:bottom w:val="single" w:sz="4" w:space="0" w:color="auto"/>
              <w:right w:val="single" w:sz="4" w:space="0" w:color="auto"/>
            </w:tcBorders>
            <w:vAlign w:val="center"/>
          </w:tcPr>
          <w:p w14:paraId="47E14A43"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Edition of 2015</w:t>
            </w:r>
            <w:r w:rsidRPr="007A7990">
              <w:rPr>
                <w:rFonts w:eastAsia="SimSun"/>
                <w:szCs w:val="24"/>
                <w:lang w:val="en-US" w:eastAsia="zh-CN"/>
              </w:rPr>
              <w:br/>
              <w:t>(March)</w:t>
            </w:r>
          </w:p>
        </w:tc>
        <w:tc>
          <w:tcPr>
            <w:tcW w:w="1489" w:type="dxa"/>
            <w:tcBorders>
              <w:top w:val="single" w:sz="4" w:space="0" w:color="auto"/>
              <w:left w:val="single" w:sz="4" w:space="0" w:color="auto"/>
              <w:bottom w:val="single" w:sz="4" w:space="0" w:color="auto"/>
              <w:right w:val="single" w:sz="4" w:space="0" w:color="auto"/>
            </w:tcBorders>
            <w:vAlign w:val="center"/>
          </w:tcPr>
          <w:p w14:paraId="28EAD1A5"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Edition of 2016</w:t>
            </w:r>
            <w:r w:rsidRPr="007A7990">
              <w:rPr>
                <w:rFonts w:eastAsia="SimSun"/>
                <w:szCs w:val="24"/>
                <w:lang w:val="en-US" w:eastAsia="zh-CN"/>
              </w:rPr>
              <w:br/>
              <w:t>(March)</w:t>
            </w:r>
          </w:p>
        </w:tc>
        <w:tc>
          <w:tcPr>
            <w:tcW w:w="1488" w:type="dxa"/>
            <w:tcBorders>
              <w:top w:val="single" w:sz="4" w:space="0" w:color="auto"/>
              <w:left w:val="single" w:sz="4" w:space="0" w:color="auto"/>
              <w:bottom w:val="single" w:sz="4" w:space="0" w:color="auto"/>
              <w:right w:val="single" w:sz="4" w:space="0" w:color="auto"/>
            </w:tcBorders>
            <w:vAlign w:val="center"/>
          </w:tcPr>
          <w:p w14:paraId="53797098"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Edition of 2017</w:t>
            </w:r>
            <w:r w:rsidRPr="007A7990">
              <w:rPr>
                <w:rFonts w:eastAsia="SimSun"/>
                <w:szCs w:val="24"/>
                <w:lang w:val="en-US" w:eastAsia="zh-CN"/>
              </w:rPr>
              <w:br/>
              <w:t>(March)</w:t>
            </w:r>
          </w:p>
          <w:p w14:paraId="74E16642"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Special Edition (June)</w:t>
            </w:r>
          </w:p>
        </w:tc>
        <w:tc>
          <w:tcPr>
            <w:tcW w:w="1488" w:type="dxa"/>
            <w:tcBorders>
              <w:top w:val="single" w:sz="4" w:space="0" w:color="auto"/>
              <w:left w:val="single" w:sz="4" w:space="0" w:color="auto"/>
              <w:bottom w:val="single" w:sz="4" w:space="0" w:color="auto"/>
              <w:right w:val="single" w:sz="4" w:space="0" w:color="auto"/>
            </w:tcBorders>
          </w:tcPr>
          <w:p w14:paraId="061CF987"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Edition of 2018</w:t>
            </w:r>
            <w:r w:rsidRPr="007A7990">
              <w:rPr>
                <w:rFonts w:eastAsia="SimSun"/>
                <w:szCs w:val="24"/>
                <w:lang w:val="en-US" w:eastAsia="zh-CN"/>
              </w:rPr>
              <w:br/>
              <w:t>(April)</w:t>
            </w:r>
          </w:p>
        </w:tc>
      </w:tr>
      <w:tr w:rsidR="00E82D32" w:rsidRPr="00134770" w14:paraId="75240FAA" w14:textId="77777777" w:rsidTr="00E82D32">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14:paraId="4EA41225"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List VIII (List of International Monitoring Stations)</w:t>
            </w:r>
          </w:p>
        </w:tc>
        <w:tc>
          <w:tcPr>
            <w:tcW w:w="1487" w:type="dxa"/>
            <w:tcBorders>
              <w:top w:val="single" w:sz="4" w:space="0" w:color="auto"/>
              <w:left w:val="single" w:sz="4" w:space="0" w:color="auto"/>
              <w:bottom w:val="single" w:sz="4" w:space="0" w:color="auto"/>
              <w:right w:val="single" w:sz="4" w:space="0" w:color="auto"/>
            </w:tcBorders>
            <w:vAlign w:val="center"/>
          </w:tcPr>
          <w:p w14:paraId="07590444"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7D054A9D"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Edition of 2016</w:t>
            </w:r>
            <w:r w:rsidRPr="007A7990">
              <w:rPr>
                <w:rFonts w:eastAsia="SimSun"/>
                <w:szCs w:val="24"/>
                <w:lang w:val="en-US" w:eastAsia="zh-CN"/>
              </w:rPr>
              <w:br/>
              <w:t>( December)</w:t>
            </w:r>
          </w:p>
        </w:tc>
        <w:tc>
          <w:tcPr>
            <w:tcW w:w="1488" w:type="dxa"/>
            <w:tcBorders>
              <w:top w:val="single" w:sz="4" w:space="0" w:color="auto"/>
              <w:left w:val="single" w:sz="4" w:space="0" w:color="auto"/>
              <w:bottom w:val="single" w:sz="4" w:space="0" w:color="auto"/>
              <w:right w:val="single" w:sz="4" w:space="0" w:color="auto"/>
            </w:tcBorders>
            <w:vAlign w:val="center"/>
          </w:tcPr>
          <w:p w14:paraId="4F0C65CA"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w:t>
            </w:r>
          </w:p>
        </w:tc>
        <w:tc>
          <w:tcPr>
            <w:tcW w:w="1488" w:type="dxa"/>
            <w:tcBorders>
              <w:top w:val="single" w:sz="4" w:space="0" w:color="auto"/>
              <w:left w:val="single" w:sz="4" w:space="0" w:color="auto"/>
              <w:bottom w:val="single" w:sz="4" w:space="0" w:color="auto"/>
              <w:right w:val="single" w:sz="4" w:space="0" w:color="auto"/>
            </w:tcBorders>
          </w:tcPr>
          <w:p w14:paraId="29A9E0DC"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p>
        </w:tc>
      </w:tr>
      <w:tr w:rsidR="00E82D32" w:rsidRPr="001A09FF" w14:paraId="64657929" w14:textId="77777777" w:rsidTr="00E82D32">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14:paraId="0379F25C"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Maritime Manual</w:t>
            </w:r>
          </w:p>
        </w:tc>
        <w:tc>
          <w:tcPr>
            <w:tcW w:w="1487" w:type="dxa"/>
            <w:tcBorders>
              <w:top w:val="single" w:sz="4" w:space="0" w:color="auto"/>
              <w:left w:val="single" w:sz="4" w:space="0" w:color="auto"/>
              <w:bottom w:val="single" w:sz="4" w:space="0" w:color="auto"/>
              <w:right w:val="single" w:sz="4" w:space="0" w:color="auto"/>
            </w:tcBorders>
            <w:vAlign w:val="center"/>
          </w:tcPr>
          <w:p w14:paraId="785361CD"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31DBE006"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Edition of 2016</w:t>
            </w:r>
            <w:r w:rsidRPr="007A7990">
              <w:rPr>
                <w:rFonts w:eastAsia="SimSun"/>
                <w:szCs w:val="24"/>
                <w:lang w:val="en-US" w:eastAsia="zh-CN"/>
              </w:rPr>
              <w:br/>
              <w:t>(November)</w:t>
            </w:r>
          </w:p>
        </w:tc>
        <w:tc>
          <w:tcPr>
            <w:tcW w:w="1488" w:type="dxa"/>
            <w:tcBorders>
              <w:top w:val="single" w:sz="4" w:space="0" w:color="auto"/>
              <w:left w:val="single" w:sz="4" w:space="0" w:color="auto"/>
              <w:bottom w:val="single" w:sz="4" w:space="0" w:color="auto"/>
              <w:right w:val="single" w:sz="4" w:space="0" w:color="auto"/>
            </w:tcBorders>
            <w:vAlign w:val="center"/>
          </w:tcPr>
          <w:p w14:paraId="5B2E050B"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7A7990">
              <w:rPr>
                <w:rFonts w:eastAsia="SimSun"/>
                <w:szCs w:val="24"/>
                <w:lang w:val="en-US" w:eastAsia="zh-CN"/>
              </w:rPr>
              <w:t>-</w:t>
            </w:r>
          </w:p>
        </w:tc>
        <w:tc>
          <w:tcPr>
            <w:tcW w:w="1488" w:type="dxa"/>
            <w:tcBorders>
              <w:top w:val="single" w:sz="4" w:space="0" w:color="auto"/>
              <w:left w:val="single" w:sz="4" w:space="0" w:color="auto"/>
              <w:bottom w:val="single" w:sz="4" w:space="0" w:color="auto"/>
              <w:right w:val="single" w:sz="4" w:space="0" w:color="auto"/>
            </w:tcBorders>
          </w:tcPr>
          <w:p w14:paraId="0F84600D" w14:textId="77777777" w:rsidR="00E82D32" w:rsidRPr="007A7990" w:rsidRDefault="00E82D32" w:rsidP="00E82D3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p>
        </w:tc>
      </w:tr>
    </w:tbl>
    <w:p w14:paraId="4665881B" w14:textId="77777777" w:rsidR="0015513D" w:rsidRDefault="00F56064" w:rsidP="00F56064">
      <w:pPr>
        <w:pStyle w:val="Heading3"/>
      </w:pPr>
      <w:bookmarkStart w:id="30" w:name="_Toc418163378"/>
      <w:bookmarkStart w:id="31" w:name="_Toc418232296"/>
      <w:bookmarkStart w:id="32" w:name="_Toc424047598"/>
      <w:bookmarkStart w:id="33" w:name="_Toc446060780"/>
      <w:r>
        <w:t>9</w:t>
      </w:r>
      <w:r w:rsidR="0015513D" w:rsidRPr="00ED04B0">
        <w:t>.1.3</w:t>
      </w:r>
      <w:r w:rsidR="0015513D" w:rsidRPr="00ED04B0">
        <w:tab/>
        <w:t>Study Groups and other publications</w:t>
      </w:r>
      <w:bookmarkEnd w:id="30"/>
      <w:bookmarkEnd w:id="31"/>
      <w:bookmarkEnd w:id="32"/>
      <w:bookmarkEnd w:id="33"/>
    </w:p>
    <w:p w14:paraId="39DA46BB" w14:textId="77777777" w:rsidR="00CA7306" w:rsidRPr="00CA7306" w:rsidRDefault="00CA7306" w:rsidP="00CA7306">
      <w:pPr>
        <w:jc w:val="both"/>
      </w:pPr>
      <w:r w:rsidRPr="00CA7306">
        <w:t>Since WRC-15, the preparation of ITU-R Study Groups and other publications followed the standard pattern, as foreseen in the Operational Plan, notably:</w:t>
      </w:r>
    </w:p>
    <w:p w14:paraId="05D834E6" w14:textId="77777777" w:rsidR="00CA7306" w:rsidRPr="00CA7306" w:rsidRDefault="00CA7306" w:rsidP="004A6500">
      <w:pPr>
        <w:pStyle w:val="ListParagraph"/>
        <w:numPr>
          <w:ilvl w:val="0"/>
          <w:numId w:val="8"/>
        </w:numPr>
        <w:jc w:val="both"/>
      </w:pPr>
      <w:r w:rsidRPr="00CA7306">
        <w:t>All Recommendations issued from 2005 to 2016 (540) are now available in the six ITU languages (A/C/E/F/R/S);</w:t>
      </w:r>
    </w:p>
    <w:p w14:paraId="52722189" w14:textId="77777777" w:rsidR="00CA7306" w:rsidRPr="00CA7306" w:rsidRDefault="00CA7306" w:rsidP="004A6500">
      <w:pPr>
        <w:pStyle w:val="ListParagraph"/>
        <w:numPr>
          <w:ilvl w:val="0"/>
          <w:numId w:val="8"/>
        </w:numPr>
        <w:jc w:val="both"/>
      </w:pPr>
      <w:r w:rsidRPr="00CA7306">
        <w:t>From 2017 to 2018, 107 ITU-R Recommendations were published (posted) on the ITU website in English (E); it includes revised and new Recommendations. Translation to the remaining five languages is in progress;</w:t>
      </w:r>
    </w:p>
    <w:p w14:paraId="7F7D77A2" w14:textId="1EFB4BDF" w:rsidR="00CA7306" w:rsidRPr="00CA7306" w:rsidRDefault="00CA7306" w:rsidP="004A6500">
      <w:pPr>
        <w:pStyle w:val="ListParagraph"/>
        <w:numPr>
          <w:ilvl w:val="0"/>
          <w:numId w:val="8"/>
        </w:numPr>
        <w:jc w:val="both"/>
      </w:pPr>
      <w:r w:rsidRPr="00CA7306">
        <w:t xml:space="preserve">ITU-R Reports: 158 </w:t>
      </w:r>
      <w:r w:rsidR="004A746C">
        <w:t xml:space="preserve">reports </w:t>
      </w:r>
      <w:r w:rsidRPr="00CA7306">
        <w:t>were published (posted) on the ITU website (E) during the period of 2015-2018.</w:t>
      </w:r>
    </w:p>
    <w:p w14:paraId="4B6608FE" w14:textId="3C1A5348" w:rsidR="00C75F79" w:rsidRDefault="00CA7306" w:rsidP="004A6500">
      <w:pPr>
        <w:pStyle w:val="ListParagraph"/>
        <w:numPr>
          <w:ilvl w:val="0"/>
          <w:numId w:val="8"/>
        </w:numPr>
        <w:jc w:val="both"/>
      </w:pPr>
      <w:r w:rsidRPr="00CA7306">
        <w:t>ITU-R Handbooks (3 new Handbooks were published and 3 were updated during the period of 2015-2018).</w:t>
      </w:r>
    </w:p>
    <w:p w14:paraId="7F70FD0D" w14:textId="77777777" w:rsidR="00CA7306" w:rsidRPr="00C75F79" w:rsidRDefault="00CA7306" w:rsidP="00CA7306">
      <w:pPr>
        <w:pStyle w:val="ListParagraph"/>
        <w:ind w:left="360"/>
        <w:jc w:val="both"/>
      </w:pPr>
    </w:p>
    <w:p w14:paraId="40235B96" w14:textId="77777777" w:rsidR="0015513D" w:rsidRDefault="00F56064" w:rsidP="00F56064">
      <w:pPr>
        <w:pStyle w:val="Heading3"/>
      </w:pPr>
      <w:bookmarkStart w:id="34" w:name="_Toc424047599"/>
      <w:bookmarkStart w:id="35" w:name="_Toc446060781"/>
      <w:r>
        <w:t>9</w:t>
      </w:r>
      <w:r w:rsidR="0015513D" w:rsidRPr="00ED04B0">
        <w:t>.1.4</w:t>
      </w:r>
      <w:r w:rsidR="0015513D" w:rsidRPr="00ED04B0">
        <w:tab/>
        <w:t>ITU-R Publications Downloads</w:t>
      </w:r>
    </w:p>
    <w:p w14:paraId="53714853" w14:textId="77777777" w:rsidR="00C75F79" w:rsidRPr="00C75F79" w:rsidRDefault="00C75F79" w:rsidP="00C75F79">
      <w:pPr>
        <w:jc w:val="both"/>
        <w:rPr>
          <w:b/>
          <w:bCs/>
        </w:rPr>
      </w:pPr>
      <w:r w:rsidRPr="00C75F79">
        <w:rPr>
          <w:b/>
          <w:bCs/>
        </w:rPr>
        <w:t>9.1.4.1</w:t>
      </w:r>
      <w:r w:rsidRPr="00C75F79">
        <w:rPr>
          <w:b/>
          <w:bCs/>
        </w:rPr>
        <w:tab/>
        <w:t>Radio Regulations and the Rules of Procedure</w:t>
      </w:r>
    </w:p>
    <w:p w14:paraId="790DE304" w14:textId="24E134FA" w:rsidR="00043B65" w:rsidRDefault="00CA7306" w:rsidP="004A746C">
      <w:pPr>
        <w:jc w:val="both"/>
      </w:pPr>
      <w:r w:rsidRPr="00CA7306">
        <w:t>Concerning these regulatory documents, Table 9.1.4.1-1 compares the number of deliveries for the RR-2012 (released in December 2012), and RR-201</w:t>
      </w:r>
      <w:r w:rsidR="004A746C">
        <w:t>5</w:t>
      </w:r>
      <w:r w:rsidRPr="00CA7306">
        <w:t xml:space="preserve"> (released in December 2016). The huge number of free downloads (compared to sold versions) illustrates the positive impact of this policy on the global dissemination of the Radio Regulations. Also, downloads for 2016 version of the RR were made from 130 countries, representing 67% of ITU Membership.</w:t>
      </w:r>
    </w:p>
    <w:p w14:paraId="4DC85377" w14:textId="77777777" w:rsidR="00043B65" w:rsidRDefault="00043B65" w:rsidP="00C75F79">
      <w:pPr>
        <w:jc w:val="both"/>
        <w:sectPr w:rsidR="00043B65" w:rsidSect="004A6500">
          <w:pgSz w:w="11907" w:h="16834"/>
          <w:pgMar w:top="1418" w:right="1134" w:bottom="1418" w:left="1134" w:header="720" w:footer="720" w:gutter="0"/>
          <w:paperSrc w:first="15" w:other="15"/>
          <w:cols w:space="720"/>
          <w:docGrid w:linePitch="326"/>
        </w:sectPr>
      </w:pPr>
    </w:p>
    <w:p w14:paraId="1E101835" w14:textId="7B55B1F2" w:rsidR="00C75F79" w:rsidRDefault="00C75F79" w:rsidP="005D0F41">
      <w:pPr>
        <w:pStyle w:val="TableNoBR"/>
      </w:pPr>
      <w:r w:rsidRPr="00C75F79">
        <w:lastRenderedPageBreak/>
        <w:t>TABLE 9.1.4.1-1</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CA7306" w:rsidRPr="00CA7306" w14:paraId="1D7E37EC" w14:textId="77777777" w:rsidTr="00CA7306">
        <w:trPr>
          <w:trHeight w:val="425"/>
          <w:jc w:val="center"/>
        </w:trPr>
        <w:tc>
          <w:tcPr>
            <w:tcW w:w="4512" w:type="dxa"/>
            <w:tcBorders>
              <w:bottom w:val="single" w:sz="8" w:space="0" w:color="auto"/>
            </w:tcBorders>
            <w:shd w:val="clear" w:color="auto" w:fill="auto"/>
            <w:vAlign w:val="center"/>
            <w:hideMark/>
          </w:tcPr>
          <w:p w14:paraId="4E7E8989" w14:textId="77777777" w:rsidR="00CA7306" w:rsidRPr="00CA7306" w:rsidRDefault="00CA7306" w:rsidP="00CA7306">
            <w:pPr>
              <w:spacing w:before="0"/>
              <w:jc w:val="center"/>
              <w:rPr>
                <w:rFonts w:ascii="Times" w:hAnsi="Times" w:cs="Times"/>
                <w:color w:val="000000"/>
                <w:sz w:val="20"/>
              </w:rPr>
            </w:pPr>
          </w:p>
        </w:tc>
        <w:tc>
          <w:tcPr>
            <w:tcW w:w="1583" w:type="dxa"/>
            <w:tcBorders>
              <w:top w:val="single" w:sz="8" w:space="0" w:color="auto"/>
            </w:tcBorders>
            <w:shd w:val="clear" w:color="auto" w:fill="auto"/>
            <w:vAlign w:val="center"/>
            <w:hideMark/>
          </w:tcPr>
          <w:p w14:paraId="676F221C" w14:textId="77777777" w:rsidR="00CA7306" w:rsidRPr="00CA7306" w:rsidRDefault="00CA7306" w:rsidP="00CA7306">
            <w:pPr>
              <w:spacing w:before="0"/>
              <w:jc w:val="center"/>
              <w:rPr>
                <w:b/>
                <w:bCs/>
                <w:color w:val="000000"/>
                <w:sz w:val="20"/>
              </w:rPr>
            </w:pPr>
            <w:r w:rsidRPr="00CA7306">
              <w:rPr>
                <w:b/>
                <w:bCs/>
                <w:color w:val="000000"/>
                <w:sz w:val="20"/>
              </w:rPr>
              <w:t>Sold</w:t>
            </w:r>
          </w:p>
        </w:tc>
        <w:tc>
          <w:tcPr>
            <w:tcW w:w="2049" w:type="dxa"/>
            <w:tcBorders>
              <w:top w:val="single" w:sz="8" w:space="0" w:color="auto"/>
            </w:tcBorders>
            <w:shd w:val="clear" w:color="auto" w:fill="auto"/>
            <w:vAlign w:val="center"/>
            <w:hideMark/>
          </w:tcPr>
          <w:p w14:paraId="2D7C881B" w14:textId="77777777" w:rsidR="00CA7306" w:rsidRPr="00CA7306" w:rsidRDefault="00CA7306" w:rsidP="00CA7306">
            <w:pPr>
              <w:spacing w:before="0"/>
              <w:jc w:val="center"/>
              <w:rPr>
                <w:b/>
                <w:bCs/>
                <w:color w:val="000000"/>
                <w:sz w:val="20"/>
              </w:rPr>
            </w:pPr>
            <w:r w:rsidRPr="00CA7306">
              <w:rPr>
                <w:b/>
                <w:bCs/>
                <w:color w:val="000000"/>
                <w:sz w:val="20"/>
              </w:rPr>
              <w:t>Free Download*</w:t>
            </w:r>
          </w:p>
        </w:tc>
      </w:tr>
      <w:tr w:rsidR="00CA7306" w:rsidRPr="00CA7306" w14:paraId="1B3B845D" w14:textId="77777777" w:rsidTr="00CA7306">
        <w:trPr>
          <w:trHeight w:val="315"/>
          <w:jc w:val="center"/>
        </w:trPr>
        <w:tc>
          <w:tcPr>
            <w:tcW w:w="4512" w:type="dxa"/>
            <w:tcBorders>
              <w:top w:val="single" w:sz="8" w:space="0" w:color="auto"/>
              <w:left w:val="single" w:sz="8" w:space="0" w:color="auto"/>
            </w:tcBorders>
            <w:shd w:val="clear" w:color="auto" w:fill="auto"/>
            <w:vAlign w:val="center"/>
            <w:hideMark/>
          </w:tcPr>
          <w:p w14:paraId="0E34107C" w14:textId="77777777" w:rsidR="00CA7306" w:rsidRPr="00CA7306" w:rsidRDefault="00CA7306" w:rsidP="00CA7306">
            <w:pPr>
              <w:jc w:val="center"/>
              <w:rPr>
                <w:i/>
                <w:iCs/>
                <w:color w:val="000000"/>
                <w:sz w:val="20"/>
              </w:rPr>
            </w:pPr>
            <w:r w:rsidRPr="00CA7306">
              <w:rPr>
                <w:i/>
                <w:iCs/>
                <w:color w:val="000000"/>
                <w:sz w:val="20"/>
              </w:rPr>
              <w:t>RR-12 (48 months deliveries)</w:t>
            </w:r>
          </w:p>
        </w:tc>
        <w:tc>
          <w:tcPr>
            <w:tcW w:w="1583" w:type="dxa"/>
            <w:shd w:val="clear" w:color="auto" w:fill="auto"/>
            <w:vAlign w:val="center"/>
            <w:hideMark/>
          </w:tcPr>
          <w:p w14:paraId="7E691DEA" w14:textId="77777777" w:rsidR="00CA7306" w:rsidRPr="00CA7306" w:rsidRDefault="00CA7306" w:rsidP="00CA7306">
            <w:pPr>
              <w:jc w:val="center"/>
              <w:rPr>
                <w:color w:val="000000"/>
                <w:sz w:val="20"/>
              </w:rPr>
            </w:pPr>
            <w:r w:rsidRPr="00CA7306">
              <w:rPr>
                <w:color w:val="000000"/>
                <w:sz w:val="20"/>
              </w:rPr>
              <w:t>19,594</w:t>
            </w:r>
          </w:p>
        </w:tc>
        <w:tc>
          <w:tcPr>
            <w:tcW w:w="2049" w:type="dxa"/>
            <w:shd w:val="clear" w:color="auto" w:fill="auto"/>
            <w:vAlign w:val="center"/>
            <w:hideMark/>
          </w:tcPr>
          <w:p w14:paraId="21AD950B" w14:textId="77777777" w:rsidR="00CA7306" w:rsidRPr="00CA7306" w:rsidRDefault="00CA7306" w:rsidP="00CA7306">
            <w:pPr>
              <w:jc w:val="center"/>
              <w:rPr>
                <w:color w:val="000000"/>
                <w:sz w:val="20"/>
              </w:rPr>
            </w:pPr>
            <w:r w:rsidRPr="00CA7306">
              <w:rPr>
                <w:color w:val="000000"/>
                <w:sz w:val="20"/>
              </w:rPr>
              <w:t>39,653</w:t>
            </w:r>
          </w:p>
        </w:tc>
      </w:tr>
      <w:tr w:rsidR="00CA7306" w:rsidRPr="00CA7306" w14:paraId="18B90731" w14:textId="77777777" w:rsidTr="00CA7306">
        <w:trPr>
          <w:trHeight w:val="315"/>
          <w:jc w:val="center"/>
        </w:trPr>
        <w:tc>
          <w:tcPr>
            <w:tcW w:w="4512" w:type="dxa"/>
            <w:tcBorders>
              <w:top w:val="single" w:sz="8" w:space="0" w:color="auto"/>
              <w:left w:val="single" w:sz="8" w:space="0" w:color="auto"/>
            </w:tcBorders>
            <w:shd w:val="clear" w:color="auto" w:fill="auto"/>
            <w:vAlign w:val="center"/>
          </w:tcPr>
          <w:p w14:paraId="5551B48F" w14:textId="77777777" w:rsidR="00CA7306" w:rsidRPr="00CA7306" w:rsidRDefault="00CA7306" w:rsidP="00CA7306">
            <w:pPr>
              <w:jc w:val="center"/>
              <w:rPr>
                <w:i/>
                <w:iCs/>
                <w:color w:val="000000"/>
                <w:sz w:val="20"/>
              </w:rPr>
            </w:pPr>
            <w:r w:rsidRPr="00CA7306">
              <w:rPr>
                <w:i/>
                <w:iCs/>
                <w:color w:val="000000"/>
                <w:sz w:val="20"/>
              </w:rPr>
              <w:t>RR-16 (since December 2016)</w:t>
            </w:r>
          </w:p>
        </w:tc>
        <w:tc>
          <w:tcPr>
            <w:tcW w:w="1583" w:type="dxa"/>
            <w:shd w:val="clear" w:color="auto" w:fill="auto"/>
            <w:vAlign w:val="center"/>
          </w:tcPr>
          <w:p w14:paraId="3A88A472" w14:textId="77777777" w:rsidR="00CA7306" w:rsidRPr="00CA7306" w:rsidRDefault="00CA7306" w:rsidP="00CA7306">
            <w:pPr>
              <w:jc w:val="center"/>
              <w:rPr>
                <w:color w:val="000000"/>
                <w:sz w:val="20"/>
              </w:rPr>
            </w:pPr>
            <w:r w:rsidRPr="00CA7306">
              <w:rPr>
                <w:color w:val="000000"/>
                <w:sz w:val="20"/>
              </w:rPr>
              <w:t>6,565</w:t>
            </w:r>
          </w:p>
        </w:tc>
        <w:tc>
          <w:tcPr>
            <w:tcW w:w="2049" w:type="dxa"/>
            <w:shd w:val="clear" w:color="auto" w:fill="auto"/>
            <w:vAlign w:val="center"/>
          </w:tcPr>
          <w:p w14:paraId="271982BB" w14:textId="77777777" w:rsidR="00CA7306" w:rsidRPr="00CA7306" w:rsidRDefault="00CA7306" w:rsidP="00CA7306">
            <w:pPr>
              <w:jc w:val="center"/>
              <w:rPr>
                <w:color w:val="000000"/>
                <w:sz w:val="20"/>
              </w:rPr>
            </w:pPr>
            <w:r w:rsidRPr="00CA7306">
              <w:rPr>
                <w:color w:val="000000"/>
                <w:sz w:val="20"/>
              </w:rPr>
              <w:t>5,342</w:t>
            </w:r>
          </w:p>
        </w:tc>
      </w:tr>
      <w:tr w:rsidR="00CA7306" w:rsidRPr="00CA7306" w14:paraId="08C05FD7" w14:textId="77777777" w:rsidTr="00CA7306">
        <w:trPr>
          <w:trHeight w:val="315"/>
          <w:jc w:val="center"/>
        </w:trPr>
        <w:tc>
          <w:tcPr>
            <w:tcW w:w="4512" w:type="dxa"/>
            <w:tcBorders>
              <w:top w:val="single" w:sz="8" w:space="0" w:color="auto"/>
              <w:left w:val="single" w:sz="8" w:space="0" w:color="auto"/>
              <w:bottom w:val="single" w:sz="8" w:space="0" w:color="auto"/>
            </w:tcBorders>
            <w:shd w:val="clear" w:color="auto" w:fill="auto"/>
            <w:vAlign w:val="center"/>
            <w:hideMark/>
          </w:tcPr>
          <w:p w14:paraId="0D55B2AE" w14:textId="77777777" w:rsidR="00CA7306" w:rsidRPr="00CA7306" w:rsidRDefault="00CA7306" w:rsidP="00CA7306">
            <w:pPr>
              <w:jc w:val="center"/>
              <w:rPr>
                <w:i/>
                <w:iCs/>
                <w:color w:val="000000"/>
                <w:sz w:val="20"/>
              </w:rPr>
            </w:pPr>
            <w:proofErr w:type="spellStart"/>
            <w:r w:rsidRPr="00CA7306">
              <w:rPr>
                <w:i/>
                <w:iCs/>
                <w:color w:val="000000"/>
                <w:sz w:val="20"/>
              </w:rPr>
              <w:t>RoP</w:t>
            </w:r>
            <w:proofErr w:type="spellEnd"/>
            <w:r w:rsidRPr="00CA7306">
              <w:rPr>
                <w:i/>
                <w:iCs/>
                <w:color w:val="000000"/>
                <w:sz w:val="20"/>
              </w:rPr>
              <w:t xml:space="preserve"> 2012 </w:t>
            </w:r>
            <w:r w:rsidRPr="00CA7306">
              <w:rPr>
                <w:b/>
                <w:bCs/>
                <w:i/>
                <w:iCs/>
                <w:color w:val="000000"/>
                <w:sz w:val="20"/>
              </w:rPr>
              <w:t>(</w:t>
            </w:r>
            <w:r w:rsidRPr="00CA7306">
              <w:rPr>
                <w:i/>
                <w:iCs/>
                <w:color w:val="000000"/>
                <w:sz w:val="20"/>
              </w:rPr>
              <w:t>since Council 2014 decision)</w:t>
            </w:r>
          </w:p>
        </w:tc>
        <w:tc>
          <w:tcPr>
            <w:tcW w:w="1583" w:type="dxa"/>
            <w:shd w:val="clear" w:color="auto" w:fill="auto"/>
            <w:vAlign w:val="center"/>
            <w:hideMark/>
          </w:tcPr>
          <w:p w14:paraId="2BB46274" w14:textId="77777777" w:rsidR="00CA7306" w:rsidRPr="00CA7306" w:rsidRDefault="00CA7306" w:rsidP="00CA7306">
            <w:pPr>
              <w:jc w:val="center"/>
              <w:rPr>
                <w:color w:val="000000"/>
                <w:sz w:val="20"/>
              </w:rPr>
            </w:pPr>
            <w:r w:rsidRPr="00CA7306">
              <w:rPr>
                <w:color w:val="000000"/>
                <w:sz w:val="20"/>
              </w:rPr>
              <w:t>26</w:t>
            </w:r>
          </w:p>
        </w:tc>
        <w:tc>
          <w:tcPr>
            <w:tcW w:w="2049" w:type="dxa"/>
            <w:shd w:val="clear" w:color="auto" w:fill="auto"/>
            <w:vAlign w:val="center"/>
            <w:hideMark/>
          </w:tcPr>
          <w:p w14:paraId="4231BA2E" w14:textId="77777777" w:rsidR="00CA7306" w:rsidRPr="00CA7306" w:rsidRDefault="00CA7306" w:rsidP="00CA7306">
            <w:pPr>
              <w:jc w:val="center"/>
              <w:rPr>
                <w:color w:val="000000"/>
                <w:sz w:val="20"/>
              </w:rPr>
            </w:pPr>
            <w:r w:rsidRPr="00CA7306">
              <w:rPr>
                <w:color w:val="000000"/>
                <w:sz w:val="20"/>
              </w:rPr>
              <w:t>3,776</w:t>
            </w:r>
          </w:p>
        </w:tc>
      </w:tr>
      <w:tr w:rsidR="00CA7306" w:rsidRPr="00CA7306" w14:paraId="7E0A6C15" w14:textId="77777777" w:rsidTr="00CA7306">
        <w:trPr>
          <w:trHeight w:val="315"/>
          <w:jc w:val="center"/>
        </w:trPr>
        <w:tc>
          <w:tcPr>
            <w:tcW w:w="4512" w:type="dxa"/>
            <w:tcBorders>
              <w:top w:val="single" w:sz="8" w:space="0" w:color="auto"/>
              <w:left w:val="single" w:sz="8" w:space="0" w:color="auto"/>
            </w:tcBorders>
            <w:shd w:val="clear" w:color="auto" w:fill="auto"/>
            <w:vAlign w:val="center"/>
          </w:tcPr>
          <w:p w14:paraId="57296883" w14:textId="77777777" w:rsidR="00CA7306" w:rsidRPr="00CA7306" w:rsidRDefault="00CA7306" w:rsidP="00CA7306">
            <w:pPr>
              <w:jc w:val="center"/>
              <w:rPr>
                <w:i/>
                <w:iCs/>
                <w:color w:val="000000"/>
                <w:sz w:val="20"/>
              </w:rPr>
            </w:pPr>
            <w:proofErr w:type="spellStart"/>
            <w:r w:rsidRPr="00CA7306">
              <w:rPr>
                <w:i/>
                <w:iCs/>
                <w:color w:val="000000"/>
                <w:sz w:val="20"/>
              </w:rPr>
              <w:t>RoP</w:t>
            </w:r>
            <w:proofErr w:type="spellEnd"/>
            <w:r w:rsidRPr="00CA7306">
              <w:rPr>
                <w:i/>
                <w:iCs/>
                <w:color w:val="000000"/>
                <w:sz w:val="20"/>
              </w:rPr>
              <w:t xml:space="preserve"> 2017</w:t>
            </w:r>
          </w:p>
        </w:tc>
        <w:tc>
          <w:tcPr>
            <w:tcW w:w="1583" w:type="dxa"/>
            <w:shd w:val="clear" w:color="auto" w:fill="auto"/>
            <w:vAlign w:val="center"/>
          </w:tcPr>
          <w:p w14:paraId="6A9B4646" w14:textId="77777777" w:rsidR="00CA7306" w:rsidRPr="00CA7306" w:rsidRDefault="00CA7306" w:rsidP="00CA7306">
            <w:pPr>
              <w:jc w:val="center"/>
              <w:rPr>
                <w:color w:val="000000"/>
                <w:sz w:val="20"/>
              </w:rPr>
            </w:pPr>
            <w:r w:rsidRPr="00CA7306">
              <w:rPr>
                <w:color w:val="000000"/>
                <w:sz w:val="20"/>
              </w:rPr>
              <w:t>-</w:t>
            </w:r>
          </w:p>
        </w:tc>
        <w:tc>
          <w:tcPr>
            <w:tcW w:w="2049" w:type="dxa"/>
            <w:shd w:val="clear" w:color="auto" w:fill="auto"/>
            <w:vAlign w:val="center"/>
          </w:tcPr>
          <w:p w14:paraId="61E3DFB7" w14:textId="77777777" w:rsidR="00CA7306" w:rsidRPr="00CA7306" w:rsidRDefault="00CA7306" w:rsidP="00CA7306">
            <w:pPr>
              <w:jc w:val="center"/>
              <w:rPr>
                <w:color w:val="000000"/>
                <w:sz w:val="20"/>
              </w:rPr>
            </w:pPr>
            <w:r w:rsidRPr="00CA7306">
              <w:rPr>
                <w:color w:val="000000"/>
                <w:sz w:val="20"/>
              </w:rPr>
              <w:t>1003</w:t>
            </w:r>
          </w:p>
        </w:tc>
      </w:tr>
    </w:tbl>
    <w:p w14:paraId="70E16473" w14:textId="77777777" w:rsidR="00CA7306" w:rsidRPr="00CA7306" w:rsidRDefault="00CA7306" w:rsidP="00CA7306">
      <w:pPr>
        <w:jc w:val="both"/>
        <w:rPr>
          <w:i/>
          <w:iCs/>
          <w:sz w:val="22"/>
          <w:szCs w:val="22"/>
        </w:rPr>
      </w:pPr>
      <w:r w:rsidRPr="00CA7306">
        <w:rPr>
          <w:i/>
          <w:iCs/>
          <w:sz w:val="22"/>
          <w:szCs w:val="22"/>
        </w:rPr>
        <w:t>*Up to Sept 2018</w:t>
      </w:r>
    </w:p>
    <w:p w14:paraId="6A7D5FE0" w14:textId="77777777" w:rsidR="00C75F79" w:rsidRPr="00C75F79" w:rsidRDefault="00C75F79" w:rsidP="00C75F79">
      <w:pPr>
        <w:jc w:val="both"/>
        <w:rPr>
          <w:b/>
          <w:bCs/>
        </w:rPr>
      </w:pPr>
      <w:r w:rsidRPr="00C75F79">
        <w:rPr>
          <w:b/>
          <w:bCs/>
        </w:rPr>
        <w:t>9.1.4.2</w:t>
      </w:r>
      <w:r w:rsidRPr="00C75F79">
        <w:rPr>
          <w:b/>
          <w:bCs/>
        </w:rPr>
        <w:tab/>
        <w:t>ITU-R Recommendations</w:t>
      </w:r>
    </w:p>
    <w:p w14:paraId="67A49E17" w14:textId="0BC7BE78" w:rsidR="007A7990" w:rsidRDefault="00CA7306" w:rsidP="00752F0B">
      <w:pPr>
        <w:jc w:val="both"/>
      </w:pPr>
      <w:r w:rsidRPr="00CA7306">
        <w:t xml:space="preserve">As a result of the free online access policy, ITU-R Recommendations </w:t>
      </w:r>
      <w:r w:rsidR="004A746C">
        <w:t>are</w:t>
      </w:r>
      <w:r w:rsidRPr="00CA7306">
        <w:t xml:space="preserve"> disseminated worldwide, becoming a universal reference</w:t>
      </w:r>
      <w:r w:rsidR="00921C3F">
        <w:t>.</w:t>
      </w:r>
      <w:r w:rsidRPr="00CA7306">
        <w:t xml:space="preserve"> In a </w:t>
      </w:r>
      <w:r w:rsidR="00752F0B">
        <w:t>60</w:t>
      </w:r>
      <w:r w:rsidRPr="00CA7306">
        <w:t>-month period (January 201</w:t>
      </w:r>
      <w:r w:rsidR="00752F0B">
        <w:t>4</w:t>
      </w:r>
      <w:r w:rsidRPr="00CA7306">
        <w:t xml:space="preserve"> to </w:t>
      </w:r>
      <w:r w:rsidR="00752F0B">
        <w:t>Dece</w:t>
      </w:r>
      <w:r w:rsidRPr="00CA7306">
        <w:t xml:space="preserve">mber 2018), more than </w:t>
      </w:r>
      <w:r w:rsidR="00752F0B">
        <w:t>six</w:t>
      </w:r>
      <w:r w:rsidRPr="00CA7306">
        <w:t xml:space="preserve"> million downloads of ITU-R Recommendations from ITU web site were recorded. Table 9.1.4.2</w:t>
      </w:r>
      <w:r w:rsidR="00752F0B">
        <w:noBreakHyphen/>
        <w:t>1</w:t>
      </w:r>
      <w:r w:rsidRPr="00CA7306">
        <w:t xml:space="preserve"> summarizes their distribution by year and series. At this time, there are 1,181 ITU-R Recommendations in force, hence the yearly average number of downloads is over one thousand per Recommendation.</w:t>
      </w:r>
    </w:p>
    <w:p w14:paraId="316B833D" w14:textId="77777777" w:rsidR="00BC00AE" w:rsidRDefault="00BC00AE" w:rsidP="00C75F79">
      <w:pPr>
        <w:jc w:val="both"/>
      </w:pPr>
    </w:p>
    <w:p w14:paraId="70D62C82" w14:textId="77777777" w:rsidR="00CA7306" w:rsidRPr="00CA7306" w:rsidRDefault="00CA7306" w:rsidP="00CA7306">
      <w:pPr>
        <w:pStyle w:val="TableNo"/>
        <w:spacing w:before="200"/>
      </w:pPr>
      <w:r w:rsidRPr="00CA7306">
        <w:t>Table 9.1.4.2</w:t>
      </w:r>
    </w:p>
    <w:p w14:paraId="63765DBA" w14:textId="77777777" w:rsidR="00CA7306" w:rsidRPr="00CA7306" w:rsidRDefault="00CA7306" w:rsidP="00CA7306">
      <w:pPr>
        <w:pStyle w:val="TabletitleBR"/>
      </w:pPr>
      <w:r w:rsidRPr="00CA7306">
        <w:t>Distribution of ITU-R Recommendations</w:t>
      </w:r>
    </w:p>
    <w:tbl>
      <w:tblPr>
        <w:tblW w:w="7930" w:type="dxa"/>
        <w:jc w:val="center"/>
        <w:tblLook w:val="04A0" w:firstRow="1" w:lastRow="0" w:firstColumn="1" w:lastColumn="0" w:noHBand="0" w:noVBand="1"/>
      </w:tblPr>
      <w:tblGrid>
        <w:gridCol w:w="1070"/>
        <w:gridCol w:w="1176"/>
        <w:gridCol w:w="1176"/>
        <w:gridCol w:w="1176"/>
        <w:gridCol w:w="1176"/>
        <w:gridCol w:w="1176"/>
        <w:gridCol w:w="980"/>
      </w:tblGrid>
      <w:tr w:rsidR="00CA7306" w:rsidRPr="00CA7306" w14:paraId="424F4A47" w14:textId="77777777" w:rsidTr="00CA7306">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F694FE"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val="es-ES" w:eastAsia="zh-CN"/>
              </w:rPr>
              <w:t>SERIES</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64BEA7B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2015</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01360B3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2016</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115881F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2017</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0B7DA8F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6EC6A88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Total</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63B76F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2018%</w:t>
            </w:r>
          </w:p>
        </w:tc>
      </w:tr>
      <w:tr w:rsidR="00CA7306" w:rsidRPr="00CA7306" w14:paraId="2FEDEFD6"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6E16540"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P</w:t>
            </w:r>
          </w:p>
        </w:tc>
        <w:tc>
          <w:tcPr>
            <w:tcW w:w="1176" w:type="dxa"/>
            <w:tcBorders>
              <w:top w:val="nil"/>
              <w:left w:val="nil"/>
              <w:bottom w:val="single" w:sz="8" w:space="0" w:color="auto"/>
              <w:right w:val="single" w:sz="8" w:space="0" w:color="auto"/>
            </w:tcBorders>
            <w:shd w:val="clear" w:color="auto" w:fill="auto"/>
            <w:noWrap/>
            <w:vAlign w:val="center"/>
            <w:hideMark/>
          </w:tcPr>
          <w:p w14:paraId="3FF631D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187,575</w:t>
            </w:r>
          </w:p>
        </w:tc>
        <w:tc>
          <w:tcPr>
            <w:tcW w:w="1176" w:type="dxa"/>
            <w:tcBorders>
              <w:top w:val="nil"/>
              <w:left w:val="nil"/>
              <w:bottom w:val="single" w:sz="8" w:space="0" w:color="auto"/>
              <w:right w:val="single" w:sz="8" w:space="0" w:color="auto"/>
            </w:tcBorders>
            <w:shd w:val="clear" w:color="auto" w:fill="auto"/>
            <w:vAlign w:val="center"/>
            <w:hideMark/>
          </w:tcPr>
          <w:p w14:paraId="62E242F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364,869</w:t>
            </w:r>
          </w:p>
        </w:tc>
        <w:tc>
          <w:tcPr>
            <w:tcW w:w="1176" w:type="dxa"/>
            <w:tcBorders>
              <w:top w:val="nil"/>
              <w:left w:val="nil"/>
              <w:bottom w:val="single" w:sz="8" w:space="0" w:color="auto"/>
              <w:right w:val="single" w:sz="8" w:space="0" w:color="auto"/>
            </w:tcBorders>
            <w:shd w:val="clear" w:color="auto" w:fill="auto"/>
            <w:vAlign w:val="center"/>
            <w:hideMark/>
          </w:tcPr>
          <w:p w14:paraId="1D2F08D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316,019</w:t>
            </w:r>
          </w:p>
        </w:tc>
        <w:tc>
          <w:tcPr>
            <w:tcW w:w="1176" w:type="dxa"/>
            <w:tcBorders>
              <w:top w:val="nil"/>
              <w:left w:val="nil"/>
              <w:bottom w:val="single" w:sz="8" w:space="0" w:color="auto"/>
              <w:right w:val="single" w:sz="8" w:space="0" w:color="auto"/>
            </w:tcBorders>
            <w:shd w:val="clear" w:color="auto" w:fill="auto"/>
            <w:vAlign w:val="center"/>
            <w:hideMark/>
          </w:tcPr>
          <w:p w14:paraId="3073128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280,201</w:t>
            </w:r>
          </w:p>
        </w:tc>
        <w:tc>
          <w:tcPr>
            <w:tcW w:w="1176" w:type="dxa"/>
            <w:tcBorders>
              <w:top w:val="nil"/>
              <w:left w:val="nil"/>
              <w:bottom w:val="single" w:sz="8" w:space="0" w:color="auto"/>
              <w:right w:val="single" w:sz="8" w:space="0" w:color="auto"/>
            </w:tcBorders>
            <w:shd w:val="clear" w:color="auto" w:fill="auto"/>
            <w:noWrap/>
            <w:vAlign w:val="center"/>
            <w:hideMark/>
          </w:tcPr>
          <w:p w14:paraId="499A602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1,148,664</w:t>
            </w:r>
          </w:p>
        </w:tc>
        <w:tc>
          <w:tcPr>
            <w:tcW w:w="980" w:type="dxa"/>
            <w:tcBorders>
              <w:top w:val="nil"/>
              <w:left w:val="nil"/>
              <w:bottom w:val="single" w:sz="8" w:space="0" w:color="auto"/>
              <w:right w:val="single" w:sz="8" w:space="0" w:color="auto"/>
            </w:tcBorders>
            <w:shd w:val="clear" w:color="auto" w:fill="auto"/>
            <w:noWrap/>
            <w:vAlign w:val="center"/>
            <w:hideMark/>
          </w:tcPr>
          <w:p w14:paraId="4268220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20.6%</w:t>
            </w:r>
          </w:p>
        </w:tc>
      </w:tr>
      <w:tr w:rsidR="00CA7306" w:rsidRPr="00CA7306" w14:paraId="0B2CF965"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616AC4C"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M</w:t>
            </w:r>
          </w:p>
        </w:tc>
        <w:tc>
          <w:tcPr>
            <w:tcW w:w="1176" w:type="dxa"/>
            <w:tcBorders>
              <w:top w:val="nil"/>
              <w:left w:val="nil"/>
              <w:bottom w:val="single" w:sz="8" w:space="0" w:color="auto"/>
              <w:right w:val="single" w:sz="8" w:space="0" w:color="auto"/>
            </w:tcBorders>
            <w:shd w:val="clear" w:color="auto" w:fill="auto"/>
            <w:noWrap/>
            <w:vAlign w:val="center"/>
            <w:hideMark/>
          </w:tcPr>
          <w:p w14:paraId="3EDCCB5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178,190</w:t>
            </w:r>
          </w:p>
        </w:tc>
        <w:tc>
          <w:tcPr>
            <w:tcW w:w="1176" w:type="dxa"/>
            <w:tcBorders>
              <w:top w:val="nil"/>
              <w:left w:val="nil"/>
              <w:bottom w:val="single" w:sz="8" w:space="0" w:color="auto"/>
              <w:right w:val="single" w:sz="8" w:space="0" w:color="auto"/>
            </w:tcBorders>
            <w:shd w:val="clear" w:color="auto" w:fill="auto"/>
            <w:vAlign w:val="center"/>
            <w:hideMark/>
          </w:tcPr>
          <w:p w14:paraId="3772438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301,869</w:t>
            </w:r>
          </w:p>
        </w:tc>
        <w:tc>
          <w:tcPr>
            <w:tcW w:w="1176" w:type="dxa"/>
            <w:tcBorders>
              <w:top w:val="nil"/>
              <w:left w:val="nil"/>
              <w:bottom w:val="single" w:sz="8" w:space="0" w:color="auto"/>
              <w:right w:val="single" w:sz="8" w:space="0" w:color="auto"/>
            </w:tcBorders>
            <w:shd w:val="clear" w:color="auto" w:fill="auto"/>
            <w:vAlign w:val="center"/>
            <w:hideMark/>
          </w:tcPr>
          <w:p w14:paraId="3595EB0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269,185</w:t>
            </w:r>
          </w:p>
        </w:tc>
        <w:tc>
          <w:tcPr>
            <w:tcW w:w="1176" w:type="dxa"/>
            <w:tcBorders>
              <w:top w:val="nil"/>
              <w:left w:val="nil"/>
              <w:bottom w:val="single" w:sz="8" w:space="0" w:color="auto"/>
              <w:right w:val="single" w:sz="8" w:space="0" w:color="auto"/>
            </w:tcBorders>
            <w:shd w:val="clear" w:color="auto" w:fill="auto"/>
            <w:vAlign w:val="center"/>
            <w:hideMark/>
          </w:tcPr>
          <w:p w14:paraId="5366934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254,048</w:t>
            </w:r>
          </w:p>
        </w:tc>
        <w:tc>
          <w:tcPr>
            <w:tcW w:w="1176" w:type="dxa"/>
            <w:tcBorders>
              <w:top w:val="nil"/>
              <w:left w:val="nil"/>
              <w:bottom w:val="single" w:sz="8" w:space="0" w:color="auto"/>
              <w:right w:val="single" w:sz="8" w:space="0" w:color="auto"/>
            </w:tcBorders>
            <w:shd w:val="clear" w:color="auto" w:fill="auto"/>
            <w:noWrap/>
            <w:vAlign w:val="center"/>
            <w:hideMark/>
          </w:tcPr>
          <w:p w14:paraId="212E0BC7"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1,003,292</w:t>
            </w:r>
          </w:p>
        </w:tc>
        <w:tc>
          <w:tcPr>
            <w:tcW w:w="980" w:type="dxa"/>
            <w:tcBorders>
              <w:top w:val="nil"/>
              <w:left w:val="nil"/>
              <w:bottom w:val="single" w:sz="8" w:space="0" w:color="auto"/>
              <w:right w:val="single" w:sz="8" w:space="0" w:color="auto"/>
            </w:tcBorders>
            <w:shd w:val="clear" w:color="auto" w:fill="auto"/>
            <w:noWrap/>
            <w:vAlign w:val="center"/>
            <w:hideMark/>
          </w:tcPr>
          <w:p w14:paraId="7E868F1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18.0%</w:t>
            </w:r>
          </w:p>
        </w:tc>
      </w:tr>
      <w:tr w:rsidR="00CA7306" w:rsidRPr="00CA7306" w14:paraId="4E555A79"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7685176"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BT</w:t>
            </w:r>
          </w:p>
        </w:tc>
        <w:tc>
          <w:tcPr>
            <w:tcW w:w="1176" w:type="dxa"/>
            <w:tcBorders>
              <w:top w:val="nil"/>
              <w:left w:val="nil"/>
              <w:bottom w:val="single" w:sz="8" w:space="0" w:color="auto"/>
              <w:right w:val="single" w:sz="8" w:space="0" w:color="auto"/>
            </w:tcBorders>
            <w:shd w:val="clear" w:color="auto" w:fill="auto"/>
            <w:noWrap/>
            <w:vAlign w:val="center"/>
            <w:hideMark/>
          </w:tcPr>
          <w:p w14:paraId="5809F76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155,065</w:t>
            </w:r>
          </w:p>
        </w:tc>
        <w:tc>
          <w:tcPr>
            <w:tcW w:w="1176" w:type="dxa"/>
            <w:tcBorders>
              <w:top w:val="nil"/>
              <w:left w:val="nil"/>
              <w:bottom w:val="single" w:sz="8" w:space="0" w:color="auto"/>
              <w:right w:val="single" w:sz="8" w:space="0" w:color="auto"/>
            </w:tcBorders>
            <w:shd w:val="clear" w:color="auto" w:fill="auto"/>
            <w:vAlign w:val="center"/>
            <w:hideMark/>
          </w:tcPr>
          <w:p w14:paraId="11660F7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235,758</w:t>
            </w:r>
          </w:p>
        </w:tc>
        <w:tc>
          <w:tcPr>
            <w:tcW w:w="1176" w:type="dxa"/>
            <w:tcBorders>
              <w:top w:val="nil"/>
              <w:left w:val="nil"/>
              <w:bottom w:val="single" w:sz="8" w:space="0" w:color="auto"/>
              <w:right w:val="single" w:sz="8" w:space="0" w:color="auto"/>
            </w:tcBorders>
            <w:shd w:val="clear" w:color="auto" w:fill="auto"/>
            <w:vAlign w:val="center"/>
            <w:hideMark/>
          </w:tcPr>
          <w:p w14:paraId="136B9C7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208,528</w:t>
            </w:r>
          </w:p>
        </w:tc>
        <w:tc>
          <w:tcPr>
            <w:tcW w:w="1176" w:type="dxa"/>
            <w:tcBorders>
              <w:top w:val="nil"/>
              <w:left w:val="nil"/>
              <w:bottom w:val="single" w:sz="8" w:space="0" w:color="auto"/>
              <w:right w:val="single" w:sz="8" w:space="0" w:color="auto"/>
            </w:tcBorders>
            <w:shd w:val="clear" w:color="auto" w:fill="auto"/>
            <w:vAlign w:val="center"/>
            <w:hideMark/>
          </w:tcPr>
          <w:p w14:paraId="225EA4C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182,366</w:t>
            </w:r>
          </w:p>
        </w:tc>
        <w:tc>
          <w:tcPr>
            <w:tcW w:w="1176" w:type="dxa"/>
            <w:tcBorders>
              <w:top w:val="nil"/>
              <w:left w:val="nil"/>
              <w:bottom w:val="single" w:sz="8" w:space="0" w:color="auto"/>
              <w:right w:val="single" w:sz="8" w:space="0" w:color="auto"/>
            </w:tcBorders>
            <w:shd w:val="clear" w:color="auto" w:fill="auto"/>
            <w:noWrap/>
            <w:vAlign w:val="center"/>
            <w:hideMark/>
          </w:tcPr>
          <w:p w14:paraId="23E513F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781,717</w:t>
            </w:r>
          </w:p>
        </w:tc>
        <w:tc>
          <w:tcPr>
            <w:tcW w:w="980" w:type="dxa"/>
            <w:tcBorders>
              <w:top w:val="nil"/>
              <w:left w:val="nil"/>
              <w:bottom w:val="single" w:sz="8" w:space="0" w:color="auto"/>
              <w:right w:val="single" w:sz="8" w:space="0" w:color="auto"/>
            </w:tcBorders>
            <w:shd w:val="clear" w:color="auto" w:fill="auto"/>
            <w:noWrap/>
            <w:vAlign w:val="center"/>
            <w:hideMark/>
          </w:tcPr>
          <w:p w14:paraId="263B5C6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14.0%</w:t>
            </w:r>
          </w:p>
        </w:tc>
      </w:tr>
      <w:tr w:rsidR="00CA7306" w:rsidRPr="00CA7306" w14:paraId="0459C326"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B7CB97C"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F</w:t>
            </w:r>
          </w:p>
        </w:tc>
        <w:tc>
          <w:tcPr>
            <w:tcW w:w="1176" w:type="dxa"/>
            <w:tcBorders>
              <w:top w:val="nil"/>
              <w:left w:val="nil"/>
              <w:bottom w:val="single" w:sz="8" w:space="0" w:color="auto"/>
              <w:right w:val="single" w:sz="8" w:space="0" w:color="auto"/>
            </w:tcBorders>
            <w:shd w:val="clear" w:color="auto" w:fill="auto"/>
            <w:noWrap/>
            <w:vAlign w:val="center"/>
            <w:hideMark/>
          </w:tcPr>
          <w:p w14:paraId="3AE4A89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109,187</w:t>
            </w:r>
          </w:p>
        </w:tc>
        <w:tc>
          <w:tcPr>
            <w:tcW w:w="1176" w:type="dxa"/>
            <w:tcBorders>
              <w:top w:val="nil"/>
              <w:left w:val="nil"/>
              <w:bottom w:val="single" w:sz="8" w:space="0" w:color="auto"/>
              <w:right w:val="single" w:sz="8" w:space="0" w:color="auto"/>
            </w:tcBorders>
            <w:shd w:val="clear" w:color="auto" w:fill="auto"/>
            <w:vAlign w:val="center"/>
            <w:hideMark/>
          </w:tcPr>
          <w:p w14:paraId="712524F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187,344</w:t>
            </w:r>
          </w:p>
        </w:tc>
        <w:tc>
          <w:tcPr>
            <w:tcW w:w="1176" w:type="dxa"/>
            <w:tcBorders>
              <w:top w:val="nil"/>
              <w:left w:val="nil"/>
              <w:bottom w:val="single" w:sz="8" w:space="0" w:color="auto"/>
              <w:right w:val="single" w:sz="8" w:space="0" w:color="auto"/>
            </w:tcBorders>
            <w:shd w:val="clear" w:color="auto" w:fill="auto"/>
            <w:vAlign w:val="center"/>
            <w:hideMark/>
          </w:tcPr>
          <w:p w14:paraId="3908E03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147,502</w:t>
            </w:r>
          </w:p>
        </w:tc>
        <w:tc>
          <w:tcPr>
            <w:tcW w:w="1176" w:type="dxa"/>
            <w:tcBorders>
              <w:top w:val="nil"/>
              <w:left w:val="nil"/>
              <w:bottom w:val="single" w:sz="8" w:space="0" w:color="auto"/>
              <w:right w:val="single" w:sz="8" w:space="0" w:color="auto"/>
            </w:tcBorders>
            <w:shd w:val="clear" w:color="auto" w:fill="auto"/>
            <w:vAlign w:val="center"/>
            <w:hideMark/>
          </w:tcPr>
          <w:p w14:paraId="248E83C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136,164</w:t>
            </w:r>
          </w:p>
        </w:tc>
        <w:tc>
          <w:tcPr>
            <w:tcW w:w="1176" w:type="dxa"/>
            <w:tcBorders>
              <w:top w:val="nil"/>
              <w:left w:val="nil"/>
              <w:bottom w:val="single" w:sz="8" w:space="0" w:color="auto"/>
              <w:right w:val="single" w:sz="8" w:space="0" w:color="auto"/>
            </w:tcBorders>
            <w:shd w:val="clear" w:color="auto" w:fill="auto"/>
            <w:noWrap/>
            <w:vAlign w:val="center"/>
            <w:hideMark/>
          </w:tcPr>
          <w:p w14:paraId="0A63704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580,197</w:t>
            </w:r>
          </w:p>
        </w:tc>
        <w:tc>
          <w:tcPr>
            <w:tcW w:w="980" w:type="dxa"/>
            <w:tcBorders>
              <w:top w:val="nil"/>
              <w:left w:val="nil"/>
              <w:bottom w:val="single" w:sz="8" w:space="0" w:color="auto"/>
              <w:right w:val="single" w:sz="8" w:space="0" w:color="auto"/>
            </w:tcBorders>
            <w:shd w:val="clear" w:color="auto" w:fill="auto"/>
            <w:noWrap/>
            <w:vAlign w:val="center"/>
            <w:hideMark/>
          </w:tcPr>
          <w:p w14:paraId="23D6D94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10.4%</w:t>
            </w:r>
          </w:p>
        </w:tc>
      </w:tr>
      <w:tr w:rsidR="00CA7306" w:rsidRPr="00CA7306" w14:paraId="6CDD939D"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2A03A30"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SM</w:t>
            </w:r>
          </w:p>
        </w:tc>
        <w:tc>
          <w:tcPr>
            <w:tcW w:w="1176" w:type="dxa"/>
            <w:tcBorders>
              <w:top w:val="nil"/>
              <w:left w:val="nil"/>
              <w:bottom w:val="single" w:sz="8" w:space="0" w:color="auto"/>
              <w:right w:val="single" w:sz="8" w:space="0" w:color="auto"/>
            </w:tcBorders>
            <w:shd w:val="clear" w:color="auto" w:fill="auto"/>
            <w:noWrap/>
            <w:vAlign w:val="center"/>
            <w:hideMark/>
          </w:tcPr>
          <w:p w14:paraId="57E4EB7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102,711</w:t>
            </w:r>
          </w:p>
        </w:tc>
        <w:tc>
          <w:tcPr>
            <w:tcW w:w="1176" w:type="dxa"/>
            <w:tcBorders>
              <w:top w:val="nil"/>
              <w:left w:val="nil"/>
              <w:bottom w:val="single" w:sz="8" w:space="0" w:color="auto"/>
              <w:right w:val="single" w:sz="8" w:space="0" w:color="auto"/>
            </w:tcBorders>
            <w:shd w:val="clear" w:color="auto" w:fill="auto"/>
            <w:vAlign w:val="center"/>
            <w:hideMark/>
          </w:tcPr>
          <w:p w14:paraId="0429747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187,123</w:t>
            </w:r>
          </w:p>
        </w:tc>
        <w:tc>
          <w:tcPr>
            <w:tcW w:w="1176" w:type="dxa"/>
            <w:tcBorders>
              <w:top w:val="nil"/>
              <w:left w:val="nil"/>
              <w:bottom w:val="single" w:sz="8" w:space="0" w:color="auto"/>
              <w:right w:val="single" w:sz="8" w:space="0" w:color="auto"/>
            </w:tcBorders>
            <w:shd w:val="clear" w:color="auto" w:fill="auto"/>
            <w:vAlign w:val="center"/>
            <w:hideMark/>
          </w:tcPr>
          <w:p w14:paraId="4565FA5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152,305</w:t>
            </w:r>
          </w:p>
        </w:tc>
        <w:tc>
          <w:tcPr>
            <w:tcW w:w="1176" w:type="dxa"/>
            <w:tcBorders>
              <w:top w:val="nil"/>
              <w:left w:val="nil"/>
              <w:bottom w:val="single" w:sz="8" w:space="0" w:color="auto"/>
              <w:right w:val="single" w:sz="8" w:space="0" w:color="auto"/>
            </w:tcBorders>
            <w:shd w:val="clear" w:color="auto" w:fill="auto"/>
            <w:vAlign w:val="center"/>
            <w:hideMark/>
          </w:tcPr>
          <w:p w14:paraId="7441677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135,637</w:t>
            </w:r>
          </w:p>
        </w:tc>
        <w:tc>
          <w:tcPr>
            <w:tcW w:w="1176" w:type="dxa"/>
            <w:tcBorders>
              <w:top w:val="nil"/>
              <w:left w:val="nil"/>
              <w:bottom w:val="single" w:sz="8" w:space="0" w:color="auto"/>
              <w:right w:val="single" w:sz="8" w:space="0" w:color="auto"/>
            </w:tcBorders>
            <w:shd w:val="clear" w:color="auto" w:fill="auto"/>
            <w:noWrap/>
            <w:vAlign w:val="center"/>
            <w:hideMark/>
          </w:tcPr>
          <w:p w14:paraId="0C2A4EB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577,776</w:t>
            </w:r>
          </w:p>
        </w:tc>
        <w:tc>
          <w:tcPr>
            <w:tcW w:w="980" w:type="dxa"/>
            <w:tcBorders>
              <w:top w:val="nil"/>
              <w:left w:val="nil"/>
              <w:bottom w:val="single" w:sz="8" w:space="0" w:color="auto"/>
              <w:right w:val="single" w:sz="8" w:space="0" w:color="auto"/>
            </w:tcBorders>
            <w:shd w:val="clear" w:color="auto" w:fill="auto"/>
            <w:noWrap/>
            <w:vAlign w:val="center"/>
            <w:hideMark/>
          </w:tcPr>
          <w:p w14:paraId="4E1A9547"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10.4%</w:t>
            </w:r>
          </w:p>
        </w:tc>
      </w:tr>
      <w:tr w:rsidR="00CA7306" w:rsidRPr="00CA7306" w14:paraId="2553042F"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B74F18A"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BS</w:t>
            </w:r>
          </w:p>
        </w:tc>
        <w:tc>
          <w:tcPr>
            <w:tcW w:w="1176" w:type="dxa"/>
            <w:tcBorders>
              <w:top w:val="nil"/>
              <w:left w:val="nil"/>
              <w:bottom w:val="single" w:sz="8" w:space="0" w:color="auto"/>
              <w:right w:val="single" w:sz="8" w:space="0" w:color="auto"/>
            </w:tcBorders>
            <w:shd w:val="clear" w:color="auto" w:fill="auto"/>
            <w:noWrap/>
            <w:vAlign w:val="center"/>
            <w:hideMark/>
          </w:tcPr>
          <w:p w14:paraId="2062E63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77,553</w:t>
            </w:r>
          </w:p>
        </w:tc>
        <w:tc>
          <w:tcPr>
            <w:tcW w:w="1176" w:type="dxa"/>
            <w:tcBorders>
              <w:top w:val="nil"/>
              <w:left w:val="nil"/>
              <w:bottom w:val="single" w:sz="8" w:space="0" w:color="auto"/>
              <w:right w:val="single" w:sz="8" w:space="0" w:color="auto"/>
            </w:tcBorders>
            <w:shd w:val="clear" w:color="auto" w:fill="auto"/>
            <w:vAlign w:val="center"/>
            <w:hideMark/>
          </w:tcPr>
          <w:p w14:paraId="0D26B6D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135,300</w:t>
            </w:r>
          </w:p>
        </w:tc>
        <w:tc>
          <w:tcPr>
            <w:tcW w:w="1176" w:type="dxa"/>
            <w:tcBorders>
              <w:top w:val="nil"/>
              <w:left w:val="nil"/>
              <w:bottom w:val="single" w:sz="8" w:space="0" w:color="auto"/>
              <w:right w:val="single" w:sz="8" w:space="0" w:color="auto"/>
            </w:tcBorders>
            <w:shd w:val="clear" w:color="auto" w:fill="auto"/>
            <w:vAlign w:val="center"/>
            <w:hideMark/>
          </w:tcPr>
          <w:p w14:paraId="2140BD9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131,647</w:t>
            </w:r>
          </w:p>
        </w:tc>
        <w:tc>
          <w:tcPr>
            <w:tcW w:w="1176" w:type="dxa"/>
            <w:tcBorders>
              <w:top w:val="nil"/>
              <w:left w:val="nil"/>
              <w:bottom w:val="single" w:sz="8" w:space="0" w:color="auto"/>
              <w:right w:val="single" w:sz="8" w:space="0" w:color="auto"/>
            </w:tcBorders>
            <w:shd w:val="clear" w:color="auto" w:fill="auto"/>
            <w:vAlign w:val="center"/>
            <w:hideMark/>
          </w:tcPr>
          <w:p w14:paraId="4BB6ADF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107,795</w:t>
            </w:r>
          </w:p>
        </w:tc>
        <w:tc>
          <w:tcPr>
            <w:tcW w:w="1176" w:type="dxa"/>
            <w:tcBorders>
              <w:top w:val="nil"/>
              <w:left w:val="nil"/>
              <w:bottom w:val="single" w:sz="8" w:space="0" w:color="auto"/>
              <w:right w:val="single" w:sz="8" w:space="0" w:color="auto"/>
            </w:tcBorders>
            <w:shd w:val="clear" w:color="auto" w:fill="auto"/>
            <w:noWrap/>
            <w:vAlign w:val="center"/>
            <w:hideMark/>
          </w:tcPr>
          <w:p w14:paraId="3A3BA6B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452,295</w:t>
            </w:r>
          </w:p>
        </w:tc>
        <w:tc>
          <w:tcPr>
            <w:tcW w:w="980" w:type="dxa"/>
            <w:tcBorders>
              <w:top w:val="nil"/>
              <w:left w:val="nil"/>
              <w:bottom w:val="single" w:sz="8" w:space="0" w:color="auto"/>
              <w:right w:val="single" w:sz="8" w:space="0" w:color="auto"/>
            </w:tcBorders>
            <w:shd w:val="clear" w:color="auto" w:fill="auto"/>
            <w:noWrap/>
            <w:vAlign w:val="center"/>
            <w:hideMark/>
          </w:tcPr>
          <w:p w14:paraId="1D7825E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8.1%</w:t>
            </w:r>
          </w:p>
        </w:tc>
      </w:tr>
      <w:tr w:rsidR="00CA7306" w:rsidRPr="00CA7306" w14:paraId="6C28CAEA"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CD43CD0"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S</w:t>
            </w:r>
          </w:p>
        </w:tc>
        <w:tc>
          <w:tcPr>
            <w:tcW w:w="1176" w:type="dxa"/>
            <w:tcBorders>
              <w:top w:val="nil"/>
              <w:left w:val="nil"/>
              <w:bottom w:val="single" w:sz="8" w:space="0" w:color="auto"/>
              <w:right w:val="single" w:sz="8" w:space="0" w:color="auto"/>
            </w:tcBorders>
            <w:shd w:val="clear" w:color="auto" w:fill="auto"/>
            <w:noWrap/>
            <w:vAlign w:val="center"/>
            <w:hideMark/>
          </w:tcPr>
          <w:p w14:paraId="752DEB2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63,020</w:t>
            </w:r>
          </w:p>
        </w:tc>
        <w:tc>
          <w:tcPr>
            <w:tcW w:w="1176" w:type="dxa"/>
            <w:tcBorders>
              <w:top w:val="nil"/>
              <w:left w:val="nil"/>
              <w:bottom w:val="single" w:sz="8" w:space="0" w:color="auto"/>
              <w:right w:val="single" w:sz="8" w:space="0" w:color="auto"/>
            </w:tcBorders>
            <w:shd w:val="clear" w:color="auto" w:fill="auto"/>
            <w:vAlign w:val="center"/>
            <w:hideMark/>
          </w:tcPr>
          <w:p w14:paraId="7DA401A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123,412</w:t>
            </w:r>
          </w:p>
        </w:tc>
        <w:tc>
          <w:tcPr>
            <w:tcW w:w="1176" w:type="dxa"/>
            <w:tcBorders>
              <w:top w:val="nil"/>
              <w:left w:val="nil"/>
              <w:bottom w:val="single" w:sz="8" w:space="0" w:color="auto"/>
              <w:right w:val="single" w:sz="8" w:space="0" w:color="auto"/>
            </w:tcBorders>
            <w:shd w:val="clear" w:color="auto" w:fill="auto"/>
            <w:vAlign w:val="center"/>
            <w:hideMark/>
          </w:tcPr>
          <w:p w14:paraId="17E12C1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103,445</w:t>
            </w:r>
          </w:p>
        </w:tc>
        <w:tc>
          <w:tcPr>
            <w:tcW w:w="1176" w:type="dxa"/>
            <w:tcBorders>
              <w:top w:val="nil"/>
              <w:left w:val="nil"/>
              <w:bottom w:val="single" w:sz="8" w:space="0" w:color="auto"/>
              <w:right w:val="single" w:sz="8" w:space="0" w:color="auto"/>
            </w:tcBorders>
            <w:shd w:val="clear" w:color="auto" w:fill="auto"/>
            <w:vAlign w:val="center"/>
            <w:hideMark/>
          </w:tcPr>
          <w:p w14:paraId="3464DA3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90,408</w:t>
            </w:r>
          </w:p>
        </w:tc>
        <w:tc>
          <w:tcPr>
            <w:tcW w:w="1176" w:type="dxa"/>
            <w:tcBorders>
              <w:top w:val="nil"/>
              <w:left w:val="nil"/>
              <w:bottom w:val="single" w:sz="8" w:space="0" w:color="auto"/>
              <w:right w:val="single" w:sz="8" w:space="0" w:color="auto"/>
            </w:tcBorders>
            <w:shd w:val="clear" w:color="auto" w:fill="auto"/>
            <w:noWrap/>
            <w:vAlign w:val="center"/>
            <w:hideMark/>
          </w:tcPr>
          <w:p w14:paraId="1C13B5B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380,285</w:t>
            </w:r>
          </w:p>
        </w:tc>
        <w:tc>
          <w:tcPr>
            <w:tcW w:w="980" w:type="dxa"/>
            <w:tcBorders>
              <w:top w:val="nil"/>
              <w:left w:val="nil"/>
              <w:bottom w:val="single" w:sz="8" w:space="0" w:color="auto"/>
              <w:right w:val="single" w:sz="8" w:space="0" w:color="auto"/>
            </w:tcBorders>
            <w:shd w:val="clear" w:color="auto" w:fill="auto"/>
            <w:noWrap/>
            <w:vAlign w:val="center"/>
            <w:hideMark/>
          </w:tcPr>
          <w:p w14:paraId="3B2DEEA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6.8%</w:t>
            </w:r>
          </w:p>
        </w:tc>
      </w:tr>
      <w:tr w:rsidR="00CA7306" w:rsidRPr="00CA7306" w14:paraId="211B0630"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3FD5BD4"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SA</w:t>
            </w:r>
          </w:p>
        </w:tc>
        <w:tc>
          <w:tcPr>
            <w:tcW w:w="1176" w:type="dxa"/>
            <w:tcBorders>
              <w:top w:val="nil"/>
              <w:left w:val="nil"/>
              <w:bottom w:val="single" w:sz="8" w:space="0" w:color="auto"/>
              <w:right w:val="single" w:sz="8" w:space="0" w:color="auto"/>
            </w:tcBorders>
            <w:shd w:val="clear" w:color="auto" w:fill="auto"/>
            <w:noWrap/>
            <w:vAlign w:val="center"/>
            <w:hideMark/>
          </w:tcPr>
          <w:p w14:paraId="59B8D8B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25,278</w:t>
            </w:r>
          </w:p>
        </w:tc>
        <w:tc>
          <w:tcPr>
            <w:tcW w:w="1176" w:type="dxa"/>
            <w:tcBorders>
              <w:top w:val="nil"/>
              <w:left w:val="nil"/>
              <w:bottom w:val="single" w:sz="8" w:space="0" w:color="auto"/>
              <w:right w:val="single" w:sz="8" w:space="0" w:color="auto"/>
            </w:tcBorders>
            <w:shd w:val="clear" w:color="auto" w:fill="auto"/>
            <w:vAlign w:val="center"/>
            <w:hideMark/>
          </w:tcPr>
          <w:p w14:paraId="235EB25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36,547</w:t>
            </w:r>
          </w:p>
        </w:tc>
        <w:tc>
          <w:tcPr>
            <w:tcW w:w="1176" w:type="dxa"/>
            <w:tcBorders>
              <w:top w:val="nil"/>
              <w:left w:val="nil"/>
              <w:bottom w:val="single" w:sz="8" w:space="0" w:color="auto"/>
              <w:right w:val="single" w:sz="8" w:space="0" w:color="auto"/>
            </w:tcBorders>
            <w:shd w:val="clear" w:color="auto" w:fill="auto"/>
            <w:vAlign w:val="center"/>
            <w:hideMark/>
          </w:tcPr>
          <w:p w14:paraId="02EC362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32,071</w:t>
            </w:r>
          </w:p>
        </w:tc>
        <w:tc>
          <w:tcPr>
            <w:tcW w:w="1176" w:type="dxa"/>
            <w:tcBorders>
              <w:top w:val="nil"/>
              <w:left w:val="nil"/>
              <w:bottom w:val="single" w:sz="8" w:space="0" w:color="auto"/>
              <w:right w:val="single" w:sz="8" w:space="0" w:color="auto"/>
            </w:tcBorders>
            <w:shd w:val="clear" w:color="auto" w:fill="auto"/>
            <w:vAlign w:val="center"/>
            <w:hideMark/>
          </w:tcPr>
          <w:p w14:paraId="3AE656C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34,735</w:t>
            </w:r>
          </w:p>
        </w:tc>
        <w:tc>
          <w:tcPr>
            <w:tcW w:w="1176" w:type="dxa"/>
            <w:tcBorders>
              <w:top w:val="nil"/>
              <w:left w:val="nil"/>
              <w:bottom w:val="single" w:sz="8" w:space="0" w:color="auto"/>
              <w:right w:val="single" w:sz="8" w:space="0" w:color="auto"/>
            </w:tcBorders>
            <w:shd w:val="clear" w:color="auto" w:fill="auto"/>
            <w:noWrap/>
            <w:vAlign w:val="center"/>
            <w:hideMark/>
          </w:tcPr>
          <w:p w14:paraId="319AE2C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128,631</w:t>
            </w:r>
          </w:p>
        </w:tc>
        <w:tc>
          <w:tcPr>
            <w:tcW w:w="980" w:type="dxa"/>
            <w:tcBorders>
              <w:top w:val="nil"/>
              <w:left w:val="nil"/>
              <w:bottom w:val="single" w:sz="8" w:space="0" w:color="auto"/>
              <w:right w:val="single" w:sz="8" w:space="0" w:color="auto"/>
            </w:tcBorders>
            <w:shd w:val="clear" w:color="auto" w:fill="auto"/>
            <w:noWrap/>
            <w:vAlign w:val="center"/>
            <w:hideMark/>
          </w:tcPr>
          <w:p w14:paraId="1DFA299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2.3%</w:t>
            </w:r>
          </w:p>
        </w:tc>
      </w:tr>
      <w:tr w:rsidR="00CA7306" w:rsidRPr="00CA7306" w14:paraId="4CE00659"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4C921FA"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V</w:t>
            </w:r>
          </w:p>
        </w:tc>
        <w:tc>
          <w:tcPr>
            <w:tcW w:w="1176" w:type="dxa"/>
            <w:tcBorders>
              <w:top w:val="nil"/>
              <w:left w:val="nil"/>
              <w:bottom w:val="single" w:sz="8" w:space="0" w:color="auto"/>
              <w:right w:val="single" w:sz="8" w:space="0" w:color="auto"/>
            </w:tcBorders>
            <w:shd w:val="clear" w:color="auto" w:fill="auto"/>
            <w:noWrap/>
            <w:vAlign w:val="center"/>
            <w:hideMark/>
          </w:tcPr>
          <w:p w14:paraId="532932A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15,135</w:t>
            </w:r>
          </w:p>
        </w:tc>
        <w:tc>
          <w:tcPr>
            <w:tcW w:w="1176" w:type="dxa"/>
            <w:tcBorders>
              <w:top w:val="nil"/>
              <w:left w:val="nil"/>
              <w:bottom w:val="single" w:sz="8" w:space="0" w:color="auto"/>
              <w:right w:val="single" w:sz="8" w:space="0" w:color="auto"/>
            </w:tcBorders>
            <w:shd w:val="clear" w:color="auto" w:fill="auto"/>
            <w:vAlign w:val="center"/>
            <w:hideMark/>
          </w:tcPr>
          <w:p w14:paraId="6E8A4C9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22,757</w:t>
            </w:r>
          </w:p>
        </w:tc>
        <w:tc>
          <w:tcPr>
            <w:tcW w:w="1176" w:type="dxa"/>
            <w:tcBorders>
              <w:top w:val="nil"/>
              <w:left w:val="nil"/>
              <w:bottom w:val="single" w:sz="8" w:space="0" w:color="auto"/>
              <w:right w:val="single" w:sz="8" w:space="0" w:color="auto"/>
            </w:tcBorders>
            <w:shd w:val="clear" w:color="auto" w:fill="auto"/>
            <w:vAlign w:val="center"/>
            <w:hideMark/>
          </w:tcPr>
          <w:p w14:paraId="4AAA62E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25,168</w:t>
            </w:r>
          </w:p>
        </w:tc>
        <w:tc>
          <w:tcPr>
            <w:tcW w:w="1176" w:type="dxa"/>
            <w:tcBorders>
              <w:top w:val="nil"/>
              <w:left w:val="nil"/>
              <w:bottom w:val="single" w:sz="8" w:space="0" w:color="auto"/>
              <w:right w:val="single" w:sz="8" w:space="0" w:color="auto"/>
            </w:tcBorders>
            <w:shd w:val="clear" w:color="auto" w:fill="auto"/>
            <w:vAlign w:val="center"/>
            <w:hideMark/>
          </w:tcPr>
          <w:p w14:paraId="05A1FEF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25,301</w:t>
            </w:r>
          </w:p>
        </w:tc>
        <w:tc>
          <w:tcPr>
            <w:tcW w:w="1176" w:type="dxa"/>
            <w:tcBorders>
              <w:top w:val="nil"/>
              <w:left w:val="nil"/>
              <w:bottom w:val="single" w:sz="8" w:space="0" w:color="auto"/>
              <w:right w:val="single" w:sz="8" w:space="0" w:color="auto"/>
            </w:tcBorders>
            <w:shd w:val="clear" w:color="auto" w:fill="auto"/>
            <w:noWrap/>
            <w:vAlign w:val="center"/>
            <w:hideMark/>
          </w:tcPr>
          <w:p w14:paraId="32BFB7B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88,361</w:t>
            </w:r>
          </w:p>
        </w:tc>
        <w:tc>
          <w:tcPr>
            <w:tcW w:w="980" w:type="dxa"/>
            <w:tcBorders>
              <w:top w:val="nil"/>
              <w:left w:val="nil"/>
              <w:bottom w:val="single" w:sz="8" w:space="0" w:color="auto"/>
              <w:right w:val="single" w:sz="8" w:space="0" w:color="auto"/>
            </w:tcBorders>
            <w:shd w:val="clear" w:color="auto" w:fill="auto"/>
            <w:noWrap/>
            <w:vAlign w:val="center"/>
            <w:hideMark/>
          </w:tcPr>
          <w:p w14:paraId="7FF74A0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1.6%</w:t>
            </w:r>
          </w:p>
        </w:tc>
      </w:tr>
      <w:tr w:rsidR="00CA7306" w:rsidRPr="00CA7306" w14:paraId="6A262EB5"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9605E78"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BO</w:t>
            </w:r>
          </w:p>
        </w:tc>
        <w:tc>
          <w:tcPr>
            <w:tcW w:w="1176" w:type="dxa"/>
            <w:tcBorders>
              <w:top w:val="nil"/>
              <w:left w:val="nil"/>
              <w:bottom w:val="single" w:sz="8" w:space="0" w:color="auto"/>
              <w:right w:val="single" w:sz="8" w:space="0" w:color="auto"/>
            </w:tcBorders>
            <w:shd w:val="clear" w:color="auto" w:fill="auto"/>
            <w:noWrap/>
            <w:vAlign w:val="center"/>
            <w:hideMark/>
          </w:tcPr>
          <w:p w14:paraId="11150F2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18,651</w:t>
            </w:r>
          </w:p>
        </w:tc>
        <w:tc>
          <w:tcPr>
            <w:tcW w:w="1176" w:type="dxa"/>
            <w:tcBorders>
              <w:top w:val="nil"/>
              <w:left w:val="nil"/>
              <w:bottom w:val="single" w:sz="8" w:space="0" w:color="auto"/>
              <w:right w:val="single" w:sz="8" w:space="0" w:color="auto"/>
            </w:tcBorders>
            <w:shd w:val="clear" w:color="auto" w:fill="auto"/>
            <w:vAlign w:val="center"/>
            <w:hideMark/>
          </w:tcPr>
          <w:p w14:paraId="6FF2A0F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32,637</w:t>
            </w:r>
          </w:p>
        </w:tc>
        <w:tc>
          <w:tcPr>
            <w:tcW w:w="1176" w:type="dxa"/>
            <w:tcBorders>
              <w:top w:val="nil"/>
              <w:left w:val="nil"/>
              <w:bottom w:val="single" w:sz="8" w:space="0" w:color="auto"/>
              <w:right w:val="single" w:sz="8" w:space="0" w:color="auto"/>
            </w:tcBorders>
            <w:shd w:val="clear" w:color="auto" w:fill="auto"/>
            <w:vAlign w:val="center"/>
            <w:hideMark/>
          </w:tcPr>
          <w:p w14:paraId="4A16B34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28,578</w:t>
            </w:r>
          </w:p>
        </w:tc>
        <w:tc>
          <w:tcPr>
            <w:tcW w:w="1176" w:type="dxa"/>
            <w:tcBorders>
              <w:top w:val="nil"/>
              <w:left w:val="nil"/>
              <w:bottom w:val="single" w:sz="8" w:space="0" w:color="auto"/>
              <w:right w:val="single" w:sz="8" w:space="0" w:color="auto"/>
            </w:tcBorders>
            <w:shd w:val="clear" w:color="auto" w:fill="auto"/>
            <w:vAlign w:val="center"/>
            <w:hideMark/>
          </w:tcPr>
          <w:p w14:paraId="63E8421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21,263</w:t>
            </w:r>
          </w:p>
        </w:tc>
        <w:tc>
          <w:tcPr>
            <w:tcW w:w="1176" w:type="dxa"/>
            <w:tcBorders>
              <w:top w:val="nil"/>
              <w:left w:val="nil"/>
              <w:bottom w:val="single" w:sz="8" w:space="0" w:color="auto"/>
              <w:right w:val="single" w:sz="8" w:space="0" w:color="auto"/>
            </w:tcBorders>
            <w:shd w:val="clear" w:color="auto" w:fill="auto"/>
            <w:noWrap/>
            <w:vAlign w:val="center"/>
            <w:hideMark/>
          </w:tcPr>
          <w:p w14:paraId="603C7F5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101,129</w:t>
            </w:r>
          </w:p>
        </w:tc>
        <w:tc>
          <w:tcPr>
            <w:tcW w:w="980" w:type="dxa"/>
            <w:tcBorders>
              <w:top w:val="nil"/>
              <w:left w:val="nil"/>
              <w:bottom w:val="single" w:sz="8" w:space="0" w:color="auto"/>
              <w:right w:val="single" w:sz="8" w:space="0" w:color="auto"/>
            </w:tcBorders>
            <w:shd w:val="clear" w:color="auto" w:fill="auto"/>
            <w:noWrap/>
            <w:vAlign w:val="center"/>
            <w:hideMark/>
          </w:tcPr>
          <w:p w14:paraId="0BEEFB2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1.8%</w:t>
            </w:r>
          </w:p>
        </w:tc>
      </w:tr>
      <w:tr w:rsidR="00CA7306" w:rsidRPr="00CA7306" w14:paraId="4DB7D308"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5DAB549"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RS</w:t>
            </w:r>
          </w:p>
        </w:tc>
        <w:tc>
          <w:tcPr>
            <w:tcW w:w="1176" w:type="dxa"/>
            <w:tcBorders>
              <w:top w:val="nil"/>
              <w:left w:val="nil"/>
              <w:bottom w:val="single" w:sz="8" w:space="0" w:color="auto"/>
              <w:right w:val="single" w:sz="8" w:space="0" w:color="auto"/>
            </w:tcBorders>
            <w:shd w:val="clear" w:color="auto" w:fill="auto"/>
            <w:noWrap/>
            <w:vAlign w:val="center"/>
            <w:hideMark/>
          </w:tcPr>
          <w:p w14:paraId="4269A21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16,055</w:t>
            </w:r>
          </w:p>
        </w:tc>
        <w:tc>
          <w:tcPr>
            <w:tcW w:w="1176" w:type="dxa"/>
            <w:tcBorders>
              <w:top w:val="nil"/>
              <w:left w:val="nil"/>
              <w:bottom w:val="single" w:sz="8" w:space="0" w:color="auto"/>
              <w:right w:val="single" w:sz="8" w:space="0" w:color="auto"/>
            </w:tcBorders>
            <w:shd w:val="clear" w:color="auto" w:fill="auto"/>
            <w:vAlign w:val="center"/>
            <w:hideMark/>
          </w:tcPr>
          <w:p w14:paraId="697B12E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20,044</w:t>
            </w:r>
          </w:p>
        </w:tc>
        <w:tc>
          <w:tcPr>
            <w:tcW w:w="1176" w:type="dxa"/>
            <w:tcBorders>
              <w:top w:val="nil"/>
              <w:left w:val="nil"/>
              <w:bottom w:val="single" w:sz="8" w:space="0" w:color="auto"/>
              <w:right w:val="single" w:sz="8" w:space="0" w:color="auto"/>
            </w:tcBorders>
            <w:shd w:val="clear" w:color="auto" w:fill="auto"/>
            <w:vAlign w:val="center"/>
            <w:hideMark/>
          </w:tcPr>
          <w:p w14:paraId="319138F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18,827</w:t>
            </w:r>
          </w:p>
        </w:tc>
        <w:tc>
          <w:tcPr>
            <w:tcW w:w="1176" w:type="dxa"/>
            <w:tcBorders>
              <w:top w:val="nil"/>
              <w:left w:val="nil"/>
              <w:bottom w:val="single" w:sz="8" w:space="0" w:color="auto"/>
              <w:right w:val="single" w:sz="8" w:space="0" w:color="auto"/>
            </w:tcBorders>
            <w:shd w:val="clear" w:color="auto" w:fill="auto"/>
            <w:vAlign w:val="center"/>
            <w:hideMark/>
          </w:tcPr>
          <w:p w14:paraId="2B43C1D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19,778</w:t>
            </w:r>
          </w:p>
        </w:tc>
        <w:tc>
          <w:tcPr>
            <w:tcW w:w="1176" w:type="dxa"/>
            <w:tcBorders>
              <w:top w:val="nil"/>
              <w:left w:val="nil"/>
              <w:bottom w:val="single" w:sz="8" w:space="0" w:color="auto"/>
              <w:right w:val="single" w:sz="8" w:space="0" w:color="auto"/>
            </w:tcBorders>
            <w:shd w:val="clear" w:color="auto" w:fill="auto"/>
            <w:noWrap/>
            <w:vAlign w:val="center"/>
            <w:hideMark/>
          </w:tcPr>
          <w:p w14:paraId="6170019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74,704</w:t>
            </w:r>
          </w:p>
        </w:tc>
        <w:tc>
          <w:tcPr>
            <w:tcW w:w="980" w:type="dxa"/>
            <w:tcBorders>
              <w:top w:val="nil"/>
              <w:left w:val="nil"/>
              <w:bottom w:val="single" w:sz="8" w:space="0" w:color="auto"/>
              <w:right w:val="single" w:sz="8" w:space="0" w:color="auto"/>
            </w:tcBorders>
            <w:shd w:val="clear" w:color="auto" w:fill="auto"/>
            <w:noWrap/>
            <w:vAlign w:val="center"/>
            <w:hideMark/>
          </w:tcPr>
          <w:p w14:paraId="20FAB9D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1.3%</w:t>
            </w:r>
          </w:p>
        </w:tc>
      </w:tr>
      <w:tr w:rsidR="00CA7306" w:rsidRPr="00CA7306" w14:paraId="098CE962"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027ABA8"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SF</w:t>
            </w:r>
          </w:p>
        </w:tc>
        <w:tc>
          <w:tcPr>
            <w:tcW w:w="1176" w:type="dxa"/>
            <w:tcBorders>
              <w:top w:val="nil"/>
              <w:left w:val="nil"/>
              <w:bottom w:val="single" w:sz="8" w:space="0" w:color="auto"/>
              <w:right w:val="single" w:sz="8" w:space="0" w:color="auto"/>
            </w:tcBorders>
            <w:shd w:val="clear" w:color="auto" w:fill="auto"/>
            <w:noWrap/>
            <w:vAlign w:val="center"/>
            <w:hideMark/>
          </w:tcPr>
          <w:p w14:paraId="2CF10607"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13,704</w:t>
            </w:r>
          </w:p>
        </w:tc>
        <w:tc>
          <w:tcPr>
            <w:tcW w:w="1176" w:type="dxa"/>
            <w:tcBorders>
              <w:top w:val="nil"/>
              <w:left w:val="nil"/>
              <w:bottom w:val="single" w:sz="8" w:space="0" w:color="auto"/>
              <w:right w:val="single" w:sz="8" w:space="0" w:color="auto"/>
            </w:tcBorders>
            <w:shd w:val="clear" w:color="auto" w:fill="auto"/>
            <w:vAlign w:val="center"/>
            <w:hideMark/>
          </w:tcPr>
          <w:p w14:paraId="358104A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22,779</w:t>
            </w:r>
          </w:p>
        </w:tc>
        <w:tc>
          <w:tcPr>
            <w:tcW w:w="1176" w:type="dxa"/>
            <w:tcBorders>
              <w:top w:val="nil"/>
              <w:left w:val="nil"/>
              <w:bottom w:val="single" w:sz="8" w:space="0" w:color="auto"/>
              <w:right w:val="single" w:sz="8" w:space="0" w:color="auto"/>
            </w:tcBorders>
            <w:shd w:val="clear" w:color="auto" w:fill="auto"/>
            <w:vAlign w:val="center"/>
            <w:hideMark/>
          </w:tcPr>
          <w:p w14:paraId="319C206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18,354</w:t>
            </w:r>
          </w:p>
        </w:tc>
        <w:tc>
          <w:tcPr>
            <w:tcW w:w="1176" w:type="dxa"/>
            <w:tcBorders>
              <w:top w:val="nil"/>
              <w:left w:val="nil"/>
              <w:bottom w:val="single" w:sz="8" w:space="0" w:color="auto"/>
              <w:right w:val="single" w:sz="8" w:space="0" w:color="auto"/>
            </w:tcBorders>
            <w:shd w:val="clear" w:color="auto" w:fill="auto"/>
            <w:vAlign w:val="center"/>
            <w:hideMark/>
          </w:tcPr>
          <w:p w14:paraId="4D950AC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17,323</w:t>
            </w:r>
          </w:p>
        </w:tc>
        <w:tc>
          <w:tcPr>
            <w:tcW w:w="1176" w:type="dxa"/>
            <w:tcBorders>
              <w:top w:val="nil"/>
              <w:left w:val="nil"/>
              <w:bottom w:val="single" w:sz="8" w:space="0" w:color="auto"/>
              <w:right w:val="single" w:sz="8" w:space="0" w:color="auto"/>
            </w:tcBorders>
            <w:shd w:val="clear" w:color="auto" w:fill="auto"/>
            <w:noWrap/>
            <w:vAlign w:val="center"/>
            <w:hideMark/>
          </w:tcPr>
          <w:p w14:paraId="69CB66E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72,160</w:t>
            </w:r>
          </w:p>
        </w:tc>
        <w:tc>
          <w:tcPr>
            <w:tcW w:w="980" w:type="dxa"/>
            <w:tcBorders>
              <w:top w:val="nil"/>
              <w:left w:val="nil"/>
              <w:bottom w:val="single" w:sz="8" w:space="0" w:color="auto"/>
              <w:right w:val="single" w:sz="8" w:space="0" w:color="auto"/>
            </w:tcBorders>
            <w:shd w:val="clear" w:color="auto" w:fill="auto"/>
            <w:noWrap/>
            <w:vAlign w:val="center"/>
            <w:hideMark/>
          </w:tcPr>
          <w:p w14:paraId="3B38B53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1.3%</w:t>
            </w:r>
          </w:p>
        </w:tc>
      </w:tr>
      <w:tr w:rsidR="00CA7306" w:rsidRPr="00CA7306" w14:paraId="3529D809"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DE20560"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TF</w:t>
            </w:r>
          </w:p>
        </w:tc>
        <w:tc>
          <w:tcPr>
            <w:tcW w:w="1176" w:type="dxa"/>
            <w:tcBorders>
              <w:top w:val="nil"/>
              <w:left w:val="nil"/>
              <w:bottom w:val="single" w:sz="8" w:space="0" w:color="auto"/>
              <w:right w:val="single" w:sz="8" w:space="0" w:color="auto"/>
            </w:tcBorders>
            <w:shd w:val="clear" w:color="auto" w:fill="auto"/>
            <w:noWrap/>
            <w:vAlign w:val="center"/>
            <w:hideMark/>
          </w:tcPr>
          <w:p w14:paraId="62F53D97"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16,662</w:t>
            </w:r>
          </w:p>
        </w:tc>
        <w:tc>
          <w:tcPr>
            <w:tcW w:w="1176" w:type="dxa"/>
            <w:tcBorders>
              <w:top w:val="nil"/>
              <w:left w:val="nil"/>
              <w:bottom w:val="single" w:sz="8" w:space="0" w:color="auto"/>
              <w:right w:val="single" w:sz="8" w:space="0" w:color="auto"/>
            </w:tcBorders>
            <w:shd w:val="clear" w:color="auto" w:fill="auto"/>
            <w:vAlign w:val="center"/>
            <w:hideMark/>
          </w:tcPr>
          <w:p w14:paraId="7548C4A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20,511</w:t>
            </w:r>
          </w:p>
        </w:tc>
        <w:tc>
          <w:tcPr>
            <w:tcW w:w="1176" w:type="dxa"/>
            <w:tcBorders>
              <w:top w:val="nil"/>
              <w:left w:val="nil"/>
              <w:bottom w:val="single" w:sz="8" w:space="0" w:color="auto"/>
              <w:right w:val="single" w:sz="8" w:space="0" w:color="auto"/>
            </w:tcBorders>
            <w:shd w:val="clear" w:color="auto" w:fill="auto"/>
            <w:vAlign w:val="center"/>
            <w:hideMark/>
          </w:tcPr>
          <w:p w14:paraId="03AD7C7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15,181</w:t>
            </w:r>
          </w:p>
        </w:tc>
        <w:tc>
          <w:tcPr>
            <w:tcW w:w="1176" w:type="dxa"/>
            <w:tcBorders>
              <w:top w:val="nil"/>
              <w:left w:val="nil"/>
              <w:bottom w:val="single" w:sz="8" w:space="0" w:color="auto"/>
              <w:right w:val="single" w:sz="8" w:space="0" w:color="auto"/>
            </w:tcBorders>
            <w:shd w:val="clear" w:color="auto" w:fill="auto"/>
            <w:vAlign w:val="center"/>
            <w:hideMark/>
          </w:tcPr>
          <w:p w14:paraId="318B7DA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15,584</w:t>
            </w:r>
          </w:p>
        </w:tc>
        <w:tc>
          <w:tcPr>
            <w:tcW w:w="1176" w:type="dxa"/>
            <w:tcBorders>
              <w:top w:val="nil"/>
              <w:left w:val="nil"/>
              <w:bottom w:val="single" w:sz="8" w:space="0" w:color="auto"/>
              <w:right w:val="single" w:sz="8" w:space="0" w:color="auto"/>
            </w:tcBorders>
            <w:shd w:val="clear" w:color="auto" w:fill="auto"/>
            <w:noWrap/>
            <w:vAlign w:val="center"/>
            <w:hideMark/>
          </w:tcPr>
          <w:p w14:paraId="4F61170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67,938</w:t>
            </w:r>
          </w:p>
        </w:tc>
        <w:tc>
          <w:tcPr>
            <w:tcW w:w="980" w:type="dxa"/>
            <w:tcBorders>
              <w:top w:val="nil"/>
              <w:left w:val="nil"/>
              <w:bottom w:val="single" w:sz="8" w:space="0" w:color="auto"/>
              <w:right w:val="single" w:sz="8" w:space="0" w:color="auto"/>
            </w:tcBorders>
            <w:shd w:val="clear" w:color="auto" w:fill="auto"/>
            <w:noWrap/>
            <w:vAlign w:val="center"/>
            <w:hideMark/>
          </w:tcPr>
          <w:p w14:paraId="5ABD8F2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1.2%</w:t>
            </w:r>
          </w:p>
        </w:tc>
      </w:tr>
      <w:tr w:rsidR="00CA7306" w:rsidRPr="00CA7306" w14:paraId="6B4C46D1"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1519754"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BR</w:t>
            </w:r>
          </w:p>
        </w:tc>
        <w:tc>
          <w:tcPr>
            <w:tcW w:w="1176" w:type="dxa"/>
            <w:tcBorders>
              <w:top w:val="nil"/>
              <w:left w:val="nil"/>
              <w:bottom w:val="single" w:sz="8" w:space="0" w:color="auto"/>
              <w:right w:val="single" w:sz="8" w:space="0" w:color="auto"/>
            </w:tcBorders>
            <w:shd w:val="clear" w:color="auto" w:fill="auto"/>
            <w:noWrap/>
            <w:vAlign w:val="center"/>
            <w:hideMark/>
          </w:tcPr>
          <w:p w14:paraId="522744F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11,240</w:t>
            </w:r>
          </w:p>
        </w:tc>
        <w:tc>
          <w:tcPr>
            <w:tcW w:w="1176" w:type="dxa"/>
            <w:tcBorders>
              <w:top w:val="nil"/>
              <w:left w:val="nil"/>
              <w:bottom w:val="single" w:sz="8" w:space="0" w:color="auto"/>
              <w:right w:val="single" w:sz="8" w:space="0" w:color="auto"/>
            </w:tcBorders>
            <w:shd w:val="clear" w:color="auto" w:fill="auto"/>
            <w:vAlign w:val="center"/>
            <w:hideMark/>
          </w:tcPr>
          <w:p w14:paraId="478E5EB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15,632</w:t>
            </w:r>
          </w:p>
        </w:tc>
        <w:tc>
          <w:tcPr>
            <w:tcW w:w="1176" w:type="dxa"/>
            <w:tcBorders>
              <w:top w:val="nil"/>
              <w:left w:val="nil"/>
              <w:bottom w:val="single" w:sz="8" w:space="0" w:color="auto"/>
              <w:right w:val="single" w:sz="8" w:space="0" w:color="auto"/>
            </w:tcBorders>
            <w:shd w:val="clear" w:color="auto" w:fill="auto"/>
            <w:vAlign w:val="center"/>
            <w:hideMark/>
          </w:tcPr>
          <w:p w14:paraId="3BD4BD9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16,844</w:t>
            </w:r>
          </w:p>
        </w:tc>
        <w:tc>
          <w:tcPr>
            <w:tcW w:w="1176" w:type="dxa"/>
            <w:tcBorders>
              <w:top w:val="nil"/>
              <w:left w:val="nil"/>
              <w:bottom w:val="single" w:sz="8" w:space="0" w:color="auto"/>
              <w:right w:val="single" w:sz="8" w:space="0" w:color="auto"/>
            </w:tcBorders>
            <w:shd w:val="clear" w:color="auto" w:fill="auto"/>
            <w:vAlign w:val="center"/>
            <w:hideMark/>
          </w:tcPr>
          <w:p w14:paraId="6B7B2B2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15,014</w:t>
            </w:r>
          </w:p>
        </w:tc>
        <w:tc>
          <w:tcPr>
            <w:tcW w:w="1176" w:type="dxa"/>
            <w:tcBorders>
              <w:top w:val="nil"/>
              <w:left w:val="nil"/>
              <w:bottom w:val="single" w:sz="8" w:space="0" w:color="auto"/>
              <w:right w:val="single" w:sz="8" w:space="0" w:color="auto"/>
            </w:tcBorders>
            <w:shd w:val="clear" w:color="auto" w:fill="auto"/>
            <w:noWrap/>
            <w:vAlign w:val="center"/>
            <w:hideMark/>
          </w:tcPr>
          <w:p w14:paraId="6F32EEA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58,730</w:t>
            </w:r>
          </w:p>
        </w:tc>
        <w:tc>
          <w:tcPr>
            <w:tcW w:w="980" w:type="dxa"/>
            <w:tcBorders>
              <w:top w:val="nil"/>
              <w:left w:val="nil"/>
              <w:bottom w:val="single" w:sz="8" w:space="0" w:color="auto"/>
              <w:right w:val="single" w:sz="8" w:space="0" w:color="auto"/>
            </w:tcBorders>
            <w:shd w:val="clear" w:color="auto" w:fill="auto"/>
            <w:noWrap/>
            <w:vAlign w:val="center"/>
            <w:hideMark/>
          </w:tcPr>
          <w:p w14:paraId="0FF9555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1.1%</w:t>
            </w:r>
          </w:p>
        </w:tc>
      </w:tr>
      <w:tr w:rsidR="00CA7306" w:rsidRPr="00CA7306" w14:paraId="7DA9C885"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845BA0F"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RA</w:t>
            </w:r>
          </w:p>
        </w:tc>
        <w:tc>
          <w:tcPr>
            <w:tcW w:w="1176" w:type="dxa"/>
            <w:tcBorders>
              <w:top w:val="nil"/>
              <w:left w:val="nil"/>
              <w:bottom w:val="single" w:sz="8" w:space="0" w:color="auto"/>
              <w:right w:val="single" w:sz="8" w:space="0" w:color="auto"/>
            </w:tcBorders>
            <w:shd w:val="clear" w:color="auto" w:fill="auto"/>
            <w:noWrap/>
            <w:vAlign w:val="center"/>
            <w:hideMark/>
          </w:tcPr>
          <w:p w14:paraId="55FFAE4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7,744</w:t>
            </w:r>
          </w:p>
        </w:tc>
        <w:tc>
          <w:tcPr>
            <w:tcW w:w="1176" w:type="dxa"/>
            <w:tcBorders>
              <w:top w:val="nil"/>
              <w:left w:val="nil"/>
              <w:bottom w:val="single" w:sz="8" w:space="0" w:color="auto"/>
              <w:right w:val="single" w:sz="8" w:space="0" w:color="auto"/>
            </w:tcBorders>
            <w:shd w:val="clear" w:color="auto" w:fill="auto"/>
            <w:vAlign w:val="center"/>
            <w:hideMark/>
          </w:tcPr>
          <w:p w14:paraId="4CCE026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12,514</w:t>
            </w:r>
          </w:p>
        </w:tc>
        <w:tc>
          <w:tcPr>
            <w:tcW w:w="1176" w:type="dxa"/>
            <w:tcBorders>
              <w:top w:val="nil"/>
              <w:left w:val="nil"/>
              <w:bottom w:val="single" w:sz="8" w:space="0" w:color="auto"/>
              <w:right w:val="single" w:sz="8" w:space="0" w:color="auto"/>
            </w:tcBorders>
            <w:shd w:val="clear" w:color="auto" w:fill="auto"/>
            <w:vAlign w:val="center"/>
            <w:hideMark/>
          </w:tcPr>
          <w:p w14:paraId="163E379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9,589</w:t>
            </w:r>
          </w:p>
        </w:tc>
        <w:tc>
          <w:tcPr>
            <w:tcW w:w="1176" w:type="dxa"/>
            <w:tcBorders>
              <w:top w:val="nil"/>
              <w:left w:val="nil"/>
              <w:bottom w:val="single" w:sz="8" w:space="0" w:color="auto"/>
              <w:right w:val="single" w:sz="8" w:space="0" w:color="auto"/>
            </w:tcBorders>
            <w:shd w:val="clear" w:color="auto" w:fill="auto"/>
            <w:vAlign w:val="center"/>
            <w:hideMark/>
          </w:tcPr>
          <w:p w14:paraId="6BE7EC27"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9,100</w:t>
            </w:r>
          </w:p>
        </w:tc>
        <w:tc>
          <w:tcPr>
            <w:tcW w:w="1176" w:type="dxa"/>
            <w:tcBorders>
              <w:top w:val="nil"/>
              <w:left w:val="nil"/>
              <w:bottom w:val="single" w:sz="8" w:space="0" w:color="auto"/>
              <w:right w:val="single" w:sz="8" w:space="0" w:color="auto"/>
            </w:tcBorders>
            <w:shd w:val="clear" w:color="auto" w:fill="auto"/>
            <w:noWrap/>
            <w:vAlign w:val="center"/>
            <w:hideMark/>
          </w:tcPr>
          <w:p w14:paraId="3B5B92D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38,947</w:t>
            </w:r>
          </w:p>
        </w:tc>
        <w:tc>
          <w:tcPr>
            <w:tcW w:w="980" w:type="dxa"/>
            <w:tcBorders>
              <w:top w:val="nil"/>
              <w:left w:val="nil"/>
              <w:bottom w:val="single" w:sz="8" w:space="0" w:color="auto"/>
              <w:right w:val="single" w:sz="8" w:space="0" w:color="auto"/>
            </w:tcBorders>
            <w:shd w:val="clear" w:color="auto" w:fill="auto"/>
            <w:noWrap/>
            <w:vAlign w:val="center"/>
            <w:hideMark/>
          </w:tcPr>
          <w:p w14:paraId="431E54D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0.7%</w:t>
            </w:r>
          </w:p>
        </w:tc>
      </w:tr>
      <w:tr w:rsidR="00CA7306" w:rsidRPr="00CA7306" w14:paraId="7BCAEDF4"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57E7F4A"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eastAsia="zh-CN"/>
              </w:rPr>
              <w:t>SNG</w:t>
            </w:r>
          </w:p>
        </w:tc>
        <w:tc>
          <w:tcPr>
            <w:tcW w:w="1176" w:type="dxa"/>
            <w:tcBorders>
              <w:top w:val="nil"/>
              <w:left w:val="nil"/>
              <w:bottom w:val="single" w:sz="8" w:space="0" w:color="auto"/>
              <w:right w:val="single" w:sz="8" w:space="0" w:color="auto"/>
            </w:tcBorders>
            <w:shd w:val="clear" w:color="auto" w:fill="auto"/>
            <w:noWrap/>
            <w:vAlign w:val="center"/>
            <w:hideMark/>
          </w:tcPr>
          <w:p w14:paraId="10E6262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3,464</w:t>
            </w:r>
          </w:p>
        </w:tc>
        <w:tc>
          <w:tcPr>
            <w:tcW w:w="1176" w:type="dxa"/>
            <w:tcBorders>
              <w:top w:val="nil"/>
              <w:left w:val="nil"/>
              <w:bottom w:val="single" w:sz="8" w:space="0" w:color="auto"/>
              <w:right w:val="single" w:sz="8" w:space="0" w:color="auto"/>
            </w:tcBorders>
            <w:shd w:val="clear" w:color="auto" w:fill="auto"/>
            <w:vAlign w:val="center"/>
            <w:hideMark/>
          </w:tcPr>
          <w:p w14:paraId="6852922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4,809</w:t>
            </w:r>
          </w:p>
        </w:tc>
        <w:tc>
          <w:tcPr>
            <w:tcW w:w="1176" w:type="dxa"/>
            <w:tcBorders>
              <w:top w:val="nil"/>
              <w:left w:val="nil"/>
              <w:bottom w:val="single" w:sz="8" w:space="0" w:color="auto"/>
              <w:right w:val="single" w:sz="8" w:space="0" w:color="auto"/>
            </w:tcBorders>
            <w:shd w:val="clear" w:color="auto" w:fill="auto"/>
            <w:vAlign w:val="center"/>
            <w:hideMark/>
          </w:tcPr>
          <w:p w14:paraId="42BD3F1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color w:val="000000"/>
                <w:szCs w:val="24"/>
                <w:lang w:eastAsia="zh-CN"/>
              </w:rPr>
            </w:pPr>
            <w:r w:rsidRPr="00CA7306">
              <w:rPr>
                <w:color w:val="000000"/>
                <w:szCs w:val="24"/>
                <w:lang w:eastAsia="zh-CN"/>
              </w:rPr>
              <w:t>3,221</w:t>
            </w:r>
          </w:p>
        </w:tc>
        <w:tc>
          <w:tcPr>
            <w:tcW w:w="1176" w:type="dxa"/>
            <w:tcBorders>
              <w:top w:val="nil"/>
              <w:left w:val="nil"/>
              <w:bottom w:val="single" w:sz="8" w:space="0" w:color="auto"/>
              <w:right w:val="single" w:sz="8" w:space="0" w:color="auto"/>
            </w:tcBorders>
            <w:shd w:val="clear" w:color="auto" w:fill="auto"/>
            <w:vAlign w:val="center"/>
            <w:hideMark/>
          </w:tcPr>
          <w:p w14:paraId="712AA1F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3,049</w:t>
            </w:r>
          </w:p>
        </w:tc>
        <w:tc>
          <w:tcPr>
            <w:tcW w:w="1176" w:type="dxa"/>
            <w:tcBorders>
              <w:top w:val="nil"/>
              <w:left w:val="nil"/>
              <w:bottom w:val="single" w:sz="8" w:space="0" w:color="auto"/>
              <w:right w:val="single" w:sz="8" w:space="0" w:color="auto"/>
            </w:tcBorders>
            <w:shd w:val="clear" w:color="auto" w:fill="auto"/>
            <w:noWrap/>
            <w:vAlign w:val="center"/>
            <w:hideMark/>
          </w:tcPr>
          <w:p w14:paraId="0B951CB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14,543</w:t>
            </w:r>
          </w:p>
        </w:tc>
        <w:tc>
          <w:tcPr>
            <w:tcW w:w="980" w:type="dxa"/>
            <w:tcBorders>
              <w:top w:val="nil"/>
              <w:left w:val="nil"/>
              <w:bottom w:val="single" w:sz="8" w:space="0" w:color="auto"/>
              <w:right w:val="single" w:sz="8" w:space="0" w:color="auto"/>
            </w:tcBorders>
            <w:shd w:val="clear" w:color="auto" w:fill="auto"/>
            <w:noWrap/>
            <w:vAlign w:val="center"/>
            <w:hideMark/>
          </w:tcPr>
          <w:p w14:paraId="727B35C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2"/>
                <w:lang w:eastAsia="zh-CN"/>
              </w:rPr>
              <w:t>0.3%</w:t>
            </w:r>
          </w:p>
        </w:tc>
      </w:tr>
      <w:tr w:rsidR="00CA7306" w:rsidRPr="00CA7306" w14:paraId="2CC57075"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317A1C0" w14:textId="77777777" w:rsidR="00CA7306" w:rsidRPr="00CA7306" w:rsidRDefault="00CA7306" w:rsidP="00CA7306">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CA7306">
              <w:rPr>
                <w:b/>
                <w:bCs/>
                <w:color w:val="000000"/>
                <w:szCs w:val="24"/>
                <w:lang w:val="es-ES" w:eastAsia="zh-CN"/>
              </w:rPr>
              <w:t>TOTAL</w:t>
            </w:r>
          </w:p>
        </w:tc>
        <w:tc>
          <w:tcPr>
            <w:tcW w:w="1176" w:type="dxa"/>
            <w:tcBorders>
              <w:top w:val="nil"/>
              <w:left w:val="nil"/>
              <w:bottom w:val="single" w:sz="8" w:space="0" w:color="auto"/>
              <w:right w:val="single" w:sz="8" w:space="0" w:color="auto"/>
            </w:tcBorders>
            <w:shd w:val="clear" w:color="auto" w:fill="auto"/>
            <w:noWrap/>
            <w:vAlign w:val="center"/>
            <w:hideMark/>
          </w:tcPr>
          <w:p w14:paraId="2CA5232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b/>
                <w:bCs/>
                <w:color w:val="000000"/>
                <w:szCs w:val="24"/>
                <w:lang w:eastAsia="zh-CN"/>
              </w:rPr>
            </w:pPr>
            <w:r w:rsidRPr="00CA7306">
              <w:rPr>
                <w:b/>
                <w:bCs/>
                <w:color w:val="000000"/>
                <w:szCs w:val="24"/>
                <w:lang w:eastAsia="zh-CN"/>
              </w:rPr>
              <w:t>1,001,234</w:t>
            </w:r>
          </w:p>
        </w:tc>
        <w:tc>
          <w:tcPr>
            <w:tcW w:w="1176" w:type="dxa"/>
            <w:tcBorders>
              <w:top w:val="nil"/>
              <w:left w:val="nil"/>
              <w:bottom w:val="single" w:sz="8" w:space="0" w:color="auto"/>
              <w:right w:val="single" w:sz="8" w:space="0" w:color="auto"/>
            </w:tcBorders>
            <w:shd w:val="clear" w:color="auto" w:fill="auto"/>
            <w:noWrap/>
            <w:vAlign w:val="center"/>
            <w:hideMark/>
          </w:tcPr>
          <w:p w14:paraId="5643932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b/>
                <w:bCs/>
                <w:color w:val="000000"/>
                <w:szCs w:val="24"/>
                <w:lang w:eastAsia="zh-CN"/>
              </w:rPr>
            </w:pPr>
            <w:r w:rsidRPr="00CA7306">
              <w:rPr>
                <w:b/>
                <w:bCs/>
                <w:color w:val="000000"/>
                <w:szCs w:val="24"/>
                <w:lang w:eastAsia="zh-CN"/>
              </w:rPr>
              <w:t>1,723,905</w:t>
            </w:r>
          </w:p>
        </w:tc>
        <w:tc>
          <w:tcPr>
            <w:tcW w:w="1176" w:type="dxa"/>
            <w:tcBorders>
              <w:top w:val="nil"/>
              <w:left w:val="nil"/>
              <w:bottom w:val="single" w:sz="8" w:space="0" w:color="auto"/>
              <w:right w:val="single" w:sz="8" w:space="0" w:color="auto"/>
            </w:tcBorders>
            <w:shd w:val="clear" w:color="auto" w:fill="auto"/>
            <w:noWrap/>
            <w:vAlign w:val="center"/>
            <w:hideMark/>
          </w:tcPr>
          <w:p w14:paraId="7970E0C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b/>
                <w:bCs/>
                <w:color w:val="000000"/>
                <w:szCs w:val="24"/>
                <w:lang w:eastAsia="zh-CN"/>
              </w:rPr>
            </w:pPr>
            <w:r w:rsidRPr="00CA7306">
              <w:rPr>
                <w:b/>
                <w:bCs/>
                <w:color w:val="000000"/>
                <w:szCs w:val="24"/>
                <w:lang w:eastAsia="zh-CN"/>
              </w:rPr>
              <w:t>1,496,464</w:t>
            </w:r>
          </w:p>
        </w:tc>
        <w:tc>
          <w:tcPr>
            <w:tcW w:w="1176" w:type="dxa"/>
            <w:tcBorders>
              <w:top w:val="nil"/>
              <w:left w:val="nil"/>
              <w:bottom w:val="single" w:sz="8" w:space="0" w:color="auto"/>
              <w:right w:val="single" w:sz="8" w:space="0" w:color="auto"/>
            </w:tcBorders>
            <w:shd w:val="clear" w:color="auto" w:fill="auto"/>
            <w:noWrap/>
            <w:vAlign w:val="center"/>
            <w:hideMark/>
          </w:tcPr>
          <w:p w14:paraId="7A6D546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b/>
                <w:bCs/>
                <w:color w:val="000000"/>
                <w:szCs w:val="24"/>
                <w:lang w:eastAsia="zh-CN"/>
              </w:rPr>
            </w:pPr>
            <w:r w:rsidRPr="00CA7306">
              <w:rPr>
                <w:b/>
                <w:bCs/>
                <w:color w:val="000000"/>
                <w:szCs w:val="24"/>
                <w:lang w:eastAsia="zh-CN"/>
              </w:rPr>
              <w:t>1,347,766</w:t>
            </w:r>
          </w:p>
        </w:tc>
        <w:tc>
          <w:tcPr>
            <w:tcW w:w="1176" w:type="dxa"/>
            <w:tcBorders>
              <w:top w:val="nil"/>
              <w:left w:val="nil"/>
              <w:bottom w:val="single" w:sz="8" w:space="0" w:color="auto"/>
              <w:right w:val="single" w:sz="8" w:space="0" w:color="auto"/>
            </w:tcBorders>
            <w:shd w:val="clear" w:color="auto" w:fill="auto"/>
            <w:noWrap/>
            <w:vAlign w:val="center"/>
            <w:hideMark/>
          </w:tcPr>
          <w:p w14:paraId="4F4B6F7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b/>
                <w:bCs/>
                <w:color w:val="000000"/>
                <w:szCs w:val="24"/>
                <w:lang w:eastAsia="zh-CN"/>
              </w:rPr>
            </w:pPr>
            <w:r w:rsidRPr="00CA7306">
              <w:rPr>
                <w:b/>
                <w:bCs/>
                <w:color w:val="000000"/>
                <w:szCs w:val="24"/>
                <w:lang w:eastAsia="zh-CN"/>
              </w:rPr>
              <w:t>5,569,369</w:t>
            </w:r>
          </w:p>
        </w:tc>
        <w:tc>
          <w:tcPr>
            <w:tcW w:w="980" w:type="dxa"/>
            <w:tcBorders>
              <w:top w:val="nil"/>
              <w:left w:val="nil"/>
              <w:bottom w:val="single" w:sz="8" w:space="0" w:color="auto"/>
              <w:right w:val="single" w:sz="8" w:space="0" w:color="auto"/>
            </w:tcBorders>
            <w:shd w:val="clear" w:color="auto" w:fill="auto"/>
            <w:noWrap/>
            <w:vAlign w:val="center"/>
            <w:hideMark/>
          </w:tcPr>
          <w:p w14:paraId="1BFF50A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zh-CN"/>
              </w:rPr>
            </w:pPr>
            <w:r w:rsidRPr="00CA7306">
              <w:rPr>
                <w:rFonts w:ascii="Calibri" w:hAnsi="Calibri" w:cs="Calibri"/>
                <w:b/>
                <w:bCs/>
                <w:color w:val="000000"/>
                <w:sz w:val="22"/>
                <w:szCs w:val="24"/>
                <w:lang w:eastAsia="zh-CN"/>
              </w:rPr>
              <w:t>100.0%</w:t>
            </w:r>
          </w:p>
        </w:tc>
      </w:tr>
    </w:tbl>
    <w:p w14:paraId="2D77F9EB" w14:textId="77777777" w:rsidR="00CA7306" w:rsidRPr="00CA7306" w:rsidRDefault="00CA7306" w:rsidP="00CA7306">
      <w:pPr>
        <w:jc w:val="both"/>
        <w:rPr>
          <w:i/>
          <w:iCs/>
          <w:sz w:val="22"/>
          <w:szCs w:val="22"/>
        </w:rPr>
      </w:pPr>
      <w:r w:rsidRPr="00CA7306">
        <w:rPr>
          <w:i/>
          <w:iCs/>
          <w:sz w:val="22"/>
          <w:szCs w:val="22"/>
        </w:rPr>
        <w:t>*Up to Sept 2018</w:t>
      </w:r>
    </w:p>
    <w:p w14:paraId="56D37CF9" w14:textId="77777777" w:rsidR="00C75F79" w:rsidRPr="00C75F79" w:rsidRDefault="00C75F79" w:rsidP="00C75F79">
      <w:pPr>
        <w:rPr>
          <w:b/>
          <w:bCs/>
        </w:rPr>
      </w:pPr>
    </w:p>
    <w:p w14:paraId="0A6E5193" w14:textId="77777777" w:rsidR="00C75F79" w:rsidRPr="00C75F79" w:rsidRDefault="00C75F79" w:rsidP="00C75F79">
      <w:pPr>
        <w:rPr>
          <w:b/>
          <w:bCs/>
        </w:rPr>
      </w:pPr>
      <w:r w:rsidRPr="00C75F79">
        <w:rPr>
          <w:b/>
          <w:bCs/>
        </w:rPr>
        <w:t>9.1.4.3</w:t>
      </w:r>
      <w:r w:rsidRPr="00C75F79">
        <w:rPr>
          <w:b/>
          <w:bCs/>
        </w:rPr>
        <w:tab/>
        <w:t xml:space="preserve">ITU-R Reports </w:t>
      </w:r>
    </w:p>
    <w:p w14:paraId="5C8A5C3C" w14:textId="77777777" w:rsidR="00752F0B" w:rsidRDefault="00752F0B" w:rsidP="00752F0B">
      <w:pPr>
        <w:jc w:val="both"/>
      </w:pPr>
      <w:r>
        <w:t xml:space="preserve">As ITU-R Recommendations, ITU-R Reports have been promulgated worldwide touching most of the audiences and contributing to good technical practices in certain aspects of </w:t>
      </w:r>
      <w:proofErr w:type="spellStart"/>
      <w:r>
        <w:t>radiocommunications</w:t>
      </w:r>
      <w:proofErr w:type="spellEnd"/>
      <w:r>
        <w:t>. In a 60-month period (January 2014 to December 2018), more than 1 million downloads of ITU-R Reports from ITU web site were recorded. Table 9.1.4.3-1 summarizes their distribution by year and series. At this time, there are 557 ITU-R Reports in force, hence the yearly average number of downloads is near 500 per Report.</w:t>
      </w:r>
    </w:p>
    <w:p w14:paraId="4301462F" w14:textId="77777777" w:rsidR="00752F0B" w:rsidRDefault="00752F0B" w:rsidP="00752F0B"/>
    <w:p w14:paraId="2F45DAC0" w14:textId="77777777" w:rsidR="00C75F79" w:rsidRPr="00C75F79" w:rsidRDefault="00C75F79" w:rsidP="00C75F79">
      <w:pPr>
        <w:pStyle w:val="TableNo"/>
      </w:pPr>
      <w:r w:rsidRPr="00C75F79">
        <w:t>Table 9.1.4.3-1</w:t>
      </w:r>
    </w:p>
    <w:p w14:paraId="17FA6AA4" w14:textId="77777777" w:rsidR="00CA7306" w:rsidRPr="00CA7306" w:rsidRDefault="00CA7306" w:rsidP="00CA7306">
      <w:pPr>
        <w:pStyle w:val="TabletitleBR"/>
      </w:pPr>
      <w:r w:rsidRPr="00CA7306">
        <w:t>Distribution of ITU-R Reports</w:t>
      </w:r>
    </w:p>
    <w:p w14:paraId="7CD9D4BD" w14:textId="77777777" w:rsidR="00CA7306" w:rsidRPr="00CA7306" w:rsidRDefault="00CA7306" w:rsidP="00CA7306">
      <w:pPr>
        <w:jc w:val="center"/>
      </w:pPr>
    </w:p>
    <w:tbl>
      <w:tblPr>
        <w:tblW w:w="7226" w:type="dxa"/>
        <w:jc w:val="center"/>
        <w:tblLook w:val="04A0" w:firstRow="1" w:lastRow="0" w:firstColumn="1" w:lastColumn="0" w:noHBand="0" w:noVBand="1"/>
      </w:tblPr>
      <w:tblGrid>
        <w:gridCol w:w="1070"/>
        <w:gridCol w:w="996"/>
        <w:gridCol w:w="996"/>
        <w:gridCol w:w="996"/>
        <w:gridCol w:w="996"/>
        <w:gridCol w:w="1176"/>
        <w:gridCol w:w="996"/>
      </w:tblGrid>
      <w:tr w:rsidR="00CA7306" w:rsidRPr="00CA7306" w14:paraId="1B498F27" w14:textId="77777777" w:rsidTr="00CA7306">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C35B9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SERIES</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209D45F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2015</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4C91B83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2016</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0D56267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2017</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3D0EC4C7"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7A9FD17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TOTAL</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6032E35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2018%</w:t>
            </w:r>
          </w:p>
        </w:tc>
      </w:tr>
      <w:tr w:rsidR="00CA7306" w:rsidRPr="00CA7306" w14:paraId="41F66815"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005844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M</w:t>
            </w:r>
          </w:p>
        </w:tc>
        <w:tc>
          <w:tcPr>
            <w:tcW w:w="996" w:type="dxa"/>
            <w:tcBorders>
              <w:top w:val="nil"/>
              <w:left w:val="nil"/>
              <w:bottom w:val="single" w:sz="8" w:space="0" w:color="auto"/>
              <w:right w:val="single" w:sz="8" w:space="0" w:color="auto"/>
            </w:tcBorders>
            <w:shd w:val="clear" w:color="auto" w:fill="auto"/>
            <w:noWrap/>
            <w:vAlign w:val="center"/>
            <w:hideMark/>
          </w:tcPr>
          <w:p w14:paraId="1EAFE7E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87,523</w:t>
            </w:r>
          </w:p>
        </w:tc>
        <w:tc>
          <w:tcPr>
            <w:tcW w:w="996" w:type="dxa"/>
            <w:tcBorders>
              <w:top w:val="nil"/>
              <w:left w:val="nil"/>
              <w:bottom w:val="single" w:sz="8" w:space="0" w:color="auto"/>
              <w:right w:val="single" w:sz="8" w:space="0" w:color="auto"/>
            </w:tcBorders>
            <w:shd w:val="clear" w:color="auto" w:fill="auto"/>
            <w:vAlign w:val="center"/>
            <w:hideMark/>
          </w:tcPr>
          <w:p w14:paraId="5D60D34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112,794</w:t>
            </w:r>
          </w:p>
        </w:tc>
        <w:tc>
          <w:tcPr>
            <w:tcW w:w="996" w:type="dxa"/>
            <w:tcBorders>
              <w:top w:val="nil"/>
              <w:left w:val="nil"/>
              <w:bottom w:val="single" w:sz="8" w:space="0" w:color="auto"/>
              <w:right w:val="single" w:sz="8" w:space="0" w:color="auto"/>
            </w:tcBorders>
            <w:shd w:val="clear" w:color="auto" w:fill="auto"/>
            <w:vAlign w:val="center"/>
            <w:hideMark/>
          </w:tcPr>
          <w:p w14:paraId="6696FBE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76,531</w:t>
            </w:r>
          </w:p>
        </w:tc>
        <w:tc>
          <w:tcPr>
            <w:tcW w:w="996" w:type="dxa"/>
            <w:tcBorders>
              <w:top w:val="nil"/>
              <w:left w:val="nil"/>
              <w:bottom w:val="single" w:sz="8" w:space="0" w:color="auto"/>
              <w:right w:val="single" w:sz="8" w:space="0" w:color="auto"/>
            </w:tcBorders>
            <w:shd w:val="clear" w:color="auto" w:fill="auto"/>
            <w:vAlign w:val="center"/>
            <w:hideMark/>
          </w:tcPr>
          <w:p w14:paraId="494A98F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63,114</w:t>
            </w:r>
          </w:p>
        </w:tc>
        <w:tc>
          <w:tcPr>
            <w:tcW w:w="1176" w:type="dxa"/>
            <w:tcBorders>
              <w:top w:val="nil"/>
              <w:left w:val="nil"/>
              <w:bottom w:val="single" w:sz="8" w:space="0" w:color="auto"/>
              <w:right w:val="single" w:sz="8" w:space="0" w:color="auto"/>
            </w:tcBorders>
            <w:shd w:val="clear" w:color="auto" w:fill="auto"/>
            <w:vAlign w:val="center"/>
            <w:hideMark/>
          </w:tcPr>
          <w:p w14:paraId="4DDB49F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339,962</w:t>
            </w:r>
          </w:p>
        </w:tc>
        <w:tc>
          <w:tcPr>
            <w:tcW w:w="996" w:type="dxa"/>
            <w:tcBorders>
              <w:top w:val="nil"/>
              <w:left w:val="nil"/>
              <w:bottom w:val="single" w:sz="8" w:space="0" w:color="auto"/>
              <w:right w:val="single" w:sz="8" w:space="0" w:color="auto"/>
            </w:tcBorders>
            <w:shd w:val="clear" w:color="auto" w:fill="auto"/>
            <w:noWrap/>
            <w:vAlign w:val="center"/>
            <w:hideMark/>
          </w:tcPr>
          <w:p w14:paraId="70B0994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31.8%</w:t>
            </w:r>
          </w:p>
        </w:tc>
      </w:tr>
      <w:tr w:rsidR="00CA7306" w:rsidRPr="00CA7306" w14:paraId="76E280D3"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503B53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SM</w:t>
            </w:r>
          </w:p>
        </w:tc>
        <w:tc>
          <w:tcPr>
            <w:tcW w:w="996" w:type="dxa"/>
            <w:tcBorders>
              <w:top w:val="nil"/>
              <w:left w:val="nil"/>
              <w:bottom w:val="single" w:sz="8" w:space="0" w:color="auto"/>
              <w:right w:val="single" w:sz="8" w:space="0" w:color="auto"/>
            </w:tcBorders>
            <w:shd w:val="clear" w:color="auto" w:fill="auto"/>
            <w:noWrap/>
            <w:vAlign w:val="center"/>
            <w:hideMark/>
          </w:tcPr>
          <w:p w14:paraId="1A4AB7D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57,537</w:t>
            </w:r>
          </w:p>
        </w:tc>
        <w:tc>
          <w:tcPr>
            <w:tcW w:w="996" w:type="dxa"/>
            <w:tcBorders>
              <w:top w:val="nil"/>
              <w:left w:val="nil"/>
              <w:bottom w:val="single" w:sz="8" w:space="0" w:color="auto"/>
              <w:right w:val="single" w:sz="8" w:space="0" w:color="auto"/>
            </w:tcBorders>
            <w:shd w:val="clear" w:color="auto" w:fill="auto"/>
            <w:vAlign w:val="center"/>
            <w:hideMark/>
          </w:tcPr>
          <w:p w14:paraId="3F7AD4C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79,217</w:t>
            </w:r>
          </w:p>
        </w:tc>
        <w:tc>
          <w:tcPr>
            <w:tcW w:w="996" w:type="dxa"/>
            <w:tcBorders>
              <w:top w:val="nil"/>
              <w:left w:val="nil"/>
              <w:bottom w:val="single" w:sz="8" w:space="0" w:color="auto"/>
              <w:right w:val="single" w:sz="8" w:space="0" w:color="auto"/>
            </w:tcBorders>
            <w:shd w:val="clear" w:color="auto" w:fill="auto"/>
            <w:vAlign w:val="center"/>
            <w:hideMark/>
          </w:tcPr>
          <w:p w14:paraId="66416F7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53,616</w:t>
            </w:r>
          </w:p>
        </w:tc>
        <w:tc>
          <w:tcPr>
            <w:tcW w:w="996" w:type="dxa"/>
            <w:tcBorders>
              <w:top w:val="nil"/>
              <w:left w:val="nil"/>
              <w:bottom w:val="single" w:sz="8" w:space="0" w:color="auto"/>
              <w:right w:val="single" w:sz="8" w:space="0" w:color="auto"/>
            </w:tcBorders>
            <w:shd w:val="clear" w:color="auto" w:fill="auto"/>
            <w:vAlign w:val="center"/>
            <w:hideMark/>
          </w:tcPr>
          <w:p w14:paraId="775E29A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45,439</w:t>
            </w:r>
          </w:p>
        </w:tc>
        <w:tc>
          <w:tcPr>
            <w:tcW w:w="1176" w:type="dxa"/>
            <w:tcBorders>
              <w:top w:val="nil"/>
              <w:left w:val="nil"/>
              <w:bottom w:val="single" w:sz="8" w:space="0" w:color="auto"/>
              <w:right w:val="single" w:sz="8" w:space="0" w:color="auto"/>
            </w:tcBorders>
            <w:shd w:val="clear" w:color="auto" w:fill="auto"/>
            <w:vAlign w:val="center"/>
            <w:hideMark/>
          </w:tcPr>
          <w:p w14:paraId="726FF9E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235,809</w:t>
            </w:r>
          </w:p>
        </w:tc>
        <w:tc>
          <w:tcPr>
            <w:tcW w:w="996" w:type="dxa"/>
            <w:tcBorders>
              <w:top w:val="nil"/>
              <w:left w:val="nil"/>
              <w:bottom w:val="single" w:sz="8" w:space="0" w:color="auto"/>
              <w:right w:val="single" w:sz="8" w:space="0" w:color="auto"/>
            </w:tcBorders>
            <w:shd w:val="clear" w:color="auto" w:fill="auto"/>
            <w:noWrap/>
            <w:vAlign w:val="center"/>
            <w:hideMark/>
          </w:tcPr>
          <w:p w14:paraId="4CD3DD6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22.1%</w:t>
            </w:r>
          </w:p>
        </w:tc>
      </w:tr>
      <w:tr w:rsidR="00CA7306" w:rsidRPr="00CA7306" w14:paraId="55D50C87"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A7523D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BT</w:t>
            </w:r>
          </w:p>
        </w:tc>
        <w:tc>
          <w:tcPr>
            <w:tcW w:w="996" w:type="dxa"/>
            <w:tcBorders>
              <w:top w:val="nil"/>
              <w:left w:val="nil"/>
              <w:bottom w:val="single" w:sz="8" w:space="0" w:color="auto"/>
              <w:right w:val="single" w:sz="8" w:space="0" w:color="auto"/>
            </w:tcBorders>
            <w:shd w:val="clear" w:color="auto" w:fill="auto"/>
            <w:noWrap/>
            <w:vAlign w:val="center"/>
            <w:hideMark/>
          </w:tcPr>
          <w:p w14:paraId="2AEE20B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51,911</w:t>
            </w:r>
          </w:p>
        </w:tc>
        <w:tc>
          <w:tcPr>
            <w:tcW w:w="996" w:type="dxa"/>
            <w:tcBorders>
              <w:top w:val="nil"/>
              <w:left w:val="nil"/>
              <w:bottom w:val="single" w:sz="8" w:space="0" w:color="auto"/>
              <w:right w:val="single" w:sz="8" w:space="0" w:color="auto"/>
            </w:tcBorders>
            <w:shd w:val="clear" w:color="auto" w:fill="auto"/>
            <w:vAlign w:val="center"/>
            <w:hideMark/>
          </w:tcPr>
          <w:p w14:paraId="0C69EC3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57,135</w:t>
            </w:r>
          </w:p>
        </w:tc>
        <w:tc>
          <w:tcPr>
            <w:tcW w:w="996" w:type="dxa"/>
            <w:tcBorders>
              <w:top w:val="nil"/>
              <w:left w:val="nil"/>
              <w:bottom w:val="single" w:sz="8" w:space="0" w:color="auto"/>
              <w:right w:val="single" w:sz="8" w:space="0" w:color="auto"/>
            </w:tcBorders>
            <w:shd w:val="clear" w:color="auto" w:fill="auto"/>
            <w:vAlign w:val="center"/>
            <w:hideMark/>
          </w:tcPr>
          <w:p w14:paraId="5698BF3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44,340</w:t>
            </w:r>
          </w:p>
        </w:tc>
        <w:tc>
          <w:tcPr>
            <w:tcW w:w="996" w:type="dxa"/>
            <w:tcBorders>
              <w:top w:val="nil"/>
              <w:left w:val="nil"/>
              <w:bottom w:val="single" w:sz="8" w:space="0" w:color="auto"/>
              <w:right w:val="single" w:sz="8" w:space="0" w:color="auto"/>
            </w:tcBorders>
            <w:shd w:val="clear" w:color="auto" w:fill="auto"/>
            <w:vAlign w:val="center"/>
            <w:hideMark/>
          </w:tcPr>
          <w:p w14:paraId="3CED9A9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40,327</w:t>
            </w:r>
          </w:p>
        </w:tc>
        <w:tc>
          <w:tcPr>
            <w:tcW w:w="1176" w:type="dxa"/>
            <w:tcBorders>
              <w:top w:val="nil"/>
              <w:left w:val="nil"/>
              <w:bottom w:val="single" w:sz="8" w:space="0" w:color="auto"/>
              <w:right w:val="single" w:sz="8" w:space="0" w:color="auto"/>
            </w:tcBorders>
            <w:shd w:val="clear" w:color="auto" w:fill="auto"/>
            <w:vAlign w:val="center"/>
            <w:hideMark/>
          </w:tcPr>
          <w:p w14:paraId="02518B3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193,713</w:t>
            </w:r>
          </w:p>
        </w:tc>
        <w:tc>
          <w:tcPr>
            <w:tcW w:w="996" w:type="dxa"/>
            <w:tcBorders>
              <w:top w:val="nil"/>
              <w:left w:val="nil"/>
              <w:bottom w:val="single" w:sz="8" w:space="0" w:color="auto"/>
              <w:right w:val="single" w:sz="8" w:space="0" w:color="auto"/>
            </w:tcBorders>
            <w:shd w:val="clear" w:color="auto" w:fill="auto"/>
            <w:noWrap/>
            <w:vAlign w:val="center"/>
            <w:hideMark/>
          </w:tcPr>
          <w:p w14:paraId="0D56CBC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18.1%</w:t>
            </w:r>
          </w:p>
        </w:tc>
      </w:tr>
      <w:tr w:rsidR="00CA7306" w:rsidRPr="00CA7306" w14:paraId="19C0FF0D"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94E897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BS</w:t>
            </w:r>
          </w:p>
        </w:tc>
        <w:tc>
          <w:tcPr>
            <w:tcW w:w="996" w:type="dxa"/>
            <w:tcBorders>
              <w:top w:val="nil"/>
              <w:left w:val="nil"/>
              <w:bottom w:val="single" w:sz="8" w:space="0" w:color="auto"/>
              <w:right w:val="single" w:sz="8" w:space="0" w:color="auto"/>
            </w:tcBorders>
            <w:shd w:val="clear" w:color="auto" w:fill="auto"/>
            <w:noWrap/>
            <w:vAlign w:val="center"/>
            <w:hideMark/>
          </w:tcPr>
          <w:p w14:paraId="04FBD95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18,803</w:t>
            </w:r>
          </w:p>
        </w:tc>
        <w:tc>
          <w:tcPr>
            <w:tcW w:w="996" w:type="dxa"/>
            <w:tcBorders>
              <w:top w:val="nil"/>
              <w:left w:val="nil"/>
              <w:bottom w:val="single" w:sz="8" w:space="0" w:color="auto"/>
              <w:right w:val="single" w:sz="8" w:space="0" w:color="auto"/>
            </w:tcBorders>
            <w:shd w:val="clear" w:color="auto" w:fill="auto"/>
            <w:vAlign w:val="center"/>
            <w:hideMark/>
          </w:tcPr>
          <w:p w14:paraId="4CCDD34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25,988</w:t>
            </w:r>
          </w:p>
        </w:tc>
        <w:tc>
          <w:tcPr>
            <w:tcW w:w="996" w:type="dxa"/>
            <w:tcBorders>
              <w:top w:val="nil"/>
              <w:left w:val="nil"/>
              <w:bottom w:val="single" w:sz="8" w:space="0" w:color="auto"/>
              <w:right w:val="single" w:sz="8" w:space="0" w:color="auto"/>
            </w:tcBorders>
            <w:shd w:val="clear" w:color="auto" w:fill="auto"/>
            <w:vAlign w:val="center"/>
            <w:hideMark/>
          </w:tcPr>
          <w:p w14:paraId="0F2ED0C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24,015</w:t>
            </w:r>
          </w:p>
        </w:tc>
        <w:tc>
          <w:tcPr>
            <w:tcW w:w="996" w:type="dxa"/>
            <w:tcBorders>
              <w:top w:val="nil"/>
              <w:left w:val="nil"/>
              <w:bottom w:val="single" w:sz="8" w:space="0" w:color="auto"/>
              <w:right w:val="single" w:sz="8" w:space="0" w:color="auto"/>
            </w:tcBorders>
            <w:shd w:val="clear" w:color="auto" w:fill="auto"/>
            <w:vAlign w:val="center"/>
            <w:hideMark/>
          </w:tcPr>
          <w:p w14:paraId="120C9D3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15,503</w:t>
            </w:r>
          </w:p>
        </w:tc>
        <w:tc>
          <w:tcPr>
            <w:tcW w:w="1176" w:type="dxa"/>
            <w:tcBorders>
              <w:top w:val="nil"/>
              <w:left w:val="nil"/>
              <w:bottom w:val="single" w:sz="8" w:space="0" w:color="auto"/>
              <w:right w:val="single" w:sz="8" w:space="0" w:color="auto"/>
            </w:tcBorders>
            <w:shd w:val="clear" w:color="auto" w:fill="auto"/>
            <w:vAlign w:val="center"/>
            <w:hideMark/>
          </w:tcPr>
          <w:p w14:paraId="08F90E6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84,309</w:t>
            </w:r>
          </w:p>
        </w:tc>
        <w:tc>
          <w:tcPr>
            <w:tcW w:w="996" w:type="dxa"/>
            <w:tcBorders>
              <w:top w:val="nil"/>
              <w:left w:val="nil"/>
              <w:bottom w:val="single" w:sz="8" w:space="0" w:color="auto"/>
              <w:right w:val="single" w:sz="8" w:space="0" w:color="auto"/>
            </w:tcBorders>
            <w:shd w:val="clear" w:color="auto" w:fill="auto"/>
            <w:noWrap/>
            <w:vAlign w:val="center"/>
            <w:hideMark/>
          </w:tcPr>
          <w:p w14:paraId="55AAEFD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7.9%</w:t>
            </w:r>
          </w:p>
        </w:tc>
      </w:tr>
      <w:tr w:rsidR="00CA7306" w:rsidRPr="00CA7306" w14:paraId="3D4D5530"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C0562A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P</w:t>
            </w:r>
          </w:p>
        </w:tc>
        <w:tc>
          <w:tcPr>
            <w:tcW w:w="996" w:type="dxa"/>
            <w:tcBorders>
              <w:top w:val="nil"/>
              <w:left w:val="nil"/>
              <w:bottom w:val="single" w:sz="8" w:space="0" w:color="auto"/>
              <w:right w:val="single" w:sz="8" w:space="0" w:color="auto"/>
            </w:tcBorders>
            <w:shd w:val="clear" w:color="auto" w:fill="auto"/>
            <w:noWrap/>
            <w:vAlign w:val="center"/>
            <w:hideMark/>
          </w:tcPr>
          <w:p w14:paraId="15A74F3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12,828</w:t>
            </w:r>
          </w:p>
        </w:tc>
        <w:tc>
          <w:tcPr>
            <w:tcW w:w="996" w:type="dxa"/>
            <w:tcBorders>
              <w:top w:val="nil"/>
              <w:left w:val="nil"/>
              <w:bottom w:val="single" w:sz="8" w:space="0" w:color="auto"/>
              <w:right w:val="single" w:sz="8" w:space="0" w:color="auto"/>
            </w:tcBorders>
            <w:shd w:val="clear" w:color="auto" w:fill="auto"/>
            <w:vAlign w:val="center"/>
            <w:hideMark/>
          </w:tcPr>
          <w:p w14:paraId="4E974FB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16,268</w:t>
            </w:r>
          </w:p>
        </w:tc>
        <w:tc>
          <w:tcPr>
            <w:tcW w:w="996" w:type="dxa"/>
            <w:tcBorders>
              <w:top w:val="nil"/>
              <w:left w:val="nil"/>
              <w:bottom w:val="single" w:sz="8" w:space="0" w:color="auto"/>
              <w:right w:val="single" w:sz="8" w:space="0" w:color="auto"/>
            </w:tcBorders>
            <w:shd w:val="clear" w:color="auto" w:fill="auto"/>
            <w:vAlign w:val="center"/>
            <w:hideMark/>
          </w:tcPr>
          <w:p w14:paraId="1DDB068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12,572</w:t>
            </w:r>
          </w:p>
        </w:tc>
        <w:tc>
          <w:tcPr>
            <w:tcW w:w="996" w:type="dxa"/>
            <w:tcBorders>
              <w:top w:val="nil"/>
              <w:left w:val="nil"/>
              <w:bottom w:val="single" w:sz="8" w:space="0" w:color="auto"/>
              <w:right w:val="single" w:sz="8" w:space="0" w:color="auto"/>
            </w:tcBorders>
            <w:shd w:val="clear" w:color="auto" w:fill="auto"/>
            <w:vAlign w:val="center"/>
            <w:hideMark/>
          </w:tcPr>
          <w:p w14:paraId="76969FC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9,315</w:t>
            </w:r>
          </w:p>
        </w:tc>
        <w:tc>
          <w:tcPr>
            <w:tcW w:w="1176" w:type="dxa"/>
            <w:tcBorders>
              <w:top w:val="nil"/>
              <w:left w:val="nil"/>
              <w:bottom w:val="single" w:sz="8" w:space="0" w:color="auto"/>
              <w:right w:val="single" w:sz="8" w:space="0" w:color="auto"/>
            </w:tcBorders>
            <w:shd w:val="clear" w:color="auto" w:fill="auto"/>
            <w:vAlign w:val="center"/>
            <w:hideMark/>
          </w:tcPr>
          <w:p w14:paraId="0B7D096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50,983</w:t>
            </w:r>
          </w:p>
        </w:tc>
        <w:tc>
          <w:tcPr>
            <w:tcW w:w="996" w:type="dxa"/>
            <w:tcBorders>
              <w:top w:val="nil"/>
              <w:left w:val="nil"/>
              <w:bottom w:val="single" w:sz="8" w:space="0" w:color="auto"/>
              <w:right w:val="single" w:sz="8" w:space="0" w:color="auto"/>
            </w:tcBorders>
            <w:shd w:val="clear" w:color="auto" w:fill="auto"/>
            <w:noWrap/>
            <w:vAlign w:val="center"/>
            <w:hideMark/>
          </w:tcPr>
          <w:p w14:paraId="56DED2E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4.8%</w:t>
            </w:r>
          </w:p>
        </w:tc>
      </w:tr>
      <w:tr w:rsidR="00CA7306" w:rsidRPr="00CA7306" w14:paraId="0C0E9E75"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AC9DC8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BO</w:t>
            </w:r>
          </w:p>
        </w:tc>
        <w:tc>
          <w:tcPr>
            <w:tcW w:w="996" w:type="dxa"/>
            <w:tcBorders>
              <w:top w:val="nil"/>
              <w:left w:val="nil"/>
              <w:bottom w:val="single" w:sz="8" w:space="0" w:color="auto"/>
              <w:right w:val="single" w:sz="8" w:space="0" w:color="auto"/>
            </w:tcBorders>
            <w:shd w:val="clear" w:color="auto" w:fill="auto"/>
            <w:noWrap/>
            <w:vAlign w:val="center"/>
            <w:hideMark/>
          </w:tcPr>
          <w:p w14:paraId="0D1E8CA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12,567</w:t>
            </w:r>
          </w:p>
        </w:tc>
        <w:tc>
          <w:tcPr>
            <w:tcW w:w="996" w:type="dxa"/>
            <w:tcBorders>
              <w:top w:val="nil"/>
              <w:left w:val="nil"/>
              <w:bottom w:val="single" w:sz="8" w:space="0" w:color="auto"/>
              <w:right w:val="single" w:sz="8" w:space="0" w:color="auto"/>
            </w:tcBorders>
            <w:shd w:val="clear" w:color="auto" w:fill="auto"/>
            <w:vAlign w:val="center"/>
            <w:hideMark/>
          </w:tcPr>
          <w:p w14:paraId="68059E9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15,321</w:t>
            </w:r>
          </w:p>
        </w:tc>
        <w:tc>
          <w:tcPr>
            <w:tcW w:w="996" w:type="dxa"/>
            <w:tcBorders>
              <w:top w:val="nil"/>
              <w:left w:val="nil"/>
              <w:bottom w:val="single" w:sz="8" w:space="0" w:color="auto"/>
              <w:right w:val="single" w:sz="8" w:space="0" w:color="auto"/>
            </w:tcBorders>
            <w:shd w:val="clear" w:color="auto" w:fill="auto"/>
            <w:vAlign w:val="center"/>
            <w:hideMark/>
          </w:tcPr>
          <w:p w14:paraId="3AA1866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10,541</w:t>
            </w:r>
          </w:p>
        </w:tc>
        <w:tc>
          <w:tcPr>
            <w:tcW w:w="996" w:type="dxa"/>
            <w:tcBorders>
              <w:top w:val="nil"/>
              <w:left w:val="nil"/>
              <w:bottom w:val="single" w:sz="8" w:space="0" w:color="auto"/>
              <w:right w:val="single" w:sz="8" w:space="0" w:color="auto"/>
            </w:tcBorders>
            <w:shd w:val="clear" w:color="auto" w:fill="auto"/>
            <w:vAlign w:val="center"/>
            <w:hideMark/>
          </w:tcPr>
          <w:p w14:paraId="61AE1A2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7,520</w:t>
            </w:r>
          </w:p>
        </w:tc>
        <w:tc>
          <w:tcPr>
            <w:tcW w:w="1176" w:type="dxa"/>
            <w:tcBorders>
              <w:top w:val="nil"/>
              <w:left w:val="nil"/>
              <w:bottom w:val="single" w:sz="8" w:space="0" w:color="auto"/>
              <w:right w:val="single" w:sz="8" w:space="0" w:color="auto"/>
            </w:tcBorders>
            <w:shd w:val="clear" w:color="auto" w:fill="auto"/>
            <w:vAlign w:val="center"/>
            <w:hideMark/>
          </w:tcPr>
          <w:p w14:paraId="6F2EF46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45,949</w:t>
            </w:r>
          </w:p>
        </w:tc>
        <w:tc>
          <w:tcPr>
            <w:tcW w:w="996" w:type="dxa"/>
            <w:tcBorders>
              <w:top w:val="nil"/>
              <w:left w:val="nil"/>
              <w:bottom w:val="single" w:sz="8" w:space="0" w:color="auto"/>
              <w:right w:val="single" w:sz="8" w:space="0" w:color="auto"/>
            </w:tcBorders>
            <w:shd w:val="clear" w:color="auto" w:fill="auto"/>
            <w:noWrap/>
            <w:vAlign w:val="center"/>
            <w:hideMark/>
          </w:tcPr>
          <w:p w14:paraId="77622AB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4.3%</w:t>
            </w:r>
          </w:p>
        </w:tc>
      </w:tr>
      <w:tr w:rsidR="00CA7306" w:rsidRPr="00CA7306" w14:paraId="3C6ED880"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7E1A37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F</w:t>
            </w:r>
          </w:p>
        </w:tc>
        <w:tc>
          <w:tcPr>
            <w:tcW w:w="996" w:type="dxa"/>
            <w:tcBorders>
              <w:top w:val="nil"/>
              <w:left w:val="nil"/>
              <w:bottom w:val="single" w:sz="8" w:space="0" w:color="auto"/>
              <w:right w:val="single" w:sz="8" w:space="0" w:color="auto"/>
            </w:tcBorders>
            <w:shd w:val="clear" w:color="auto" w:fill="auto"/>
            <w:noWrap/>
            <w:vAlign w:val="center"/>
            <w:hideMark/>
          </w:tcPr>
          <w:p w14:paraId="1649694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11,097</w:t>
            </w:r>
          </w:p>
        </w:tc>
        <w:tc>
          <w:tcPr>
            <w:tcW w:w="996" w:type="dxa"/>
            <w:tcBorders>
              <w:top w:val="nil"/>
              <w:left w:val="nil"/>
              <w:bottom w:val="single" w:sz="8" w:space="0" w:color="auto"/>
              <w:right w:val="single" w:sz="8" w:space="0" w:color="auto"/>
            </w:tcBorders>
            <w:shd w:val="clear" w:color="auto" w:fill="auto"/>
            <w:vAlign w:val="center"/>
            <w:hideMark/>
          </w:tcPr>
          <w:p w14:paraId="19584FC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15,330</w:t>
            </w:r>
          </w:p>
        </w:tc>
        <w:tc>
          <w:tcPr>
            <w:tcW w:w="996" w:type="dxa"/>
            <w:tcBorders>
              <w:top w:val="nil"/>
              <w:left w:val="nil"/>
              <w:bottom w:val="single" w:sz="8" w:space="0" w:color="auto"/>
              <w:right w:val="single" w:sz="8" w:space="0" w:color="auto"/>
            </w:tcBorders>
            <w:shd w:val="clear" w:color="auto" w:fill="auto"/>
            <w:vAlign w:val="center"/>
            <w:hideMark/>
          </w:tcPr>
          <w:p w14:paraId="6BF8C18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10,142</w:t>
            </w:r>
          </w:p>
        </w:tc>
        <w:tc>
          <w:tcPr>
            <w:tcW w:w="996" w:type="dxa"/>
            <w:tcBorders>
              <w:top w:val="nil"/>
              <w:left w:val="nil"/>
              <w:bottom w:val="single" w:sz="8" w:space="0" w:color="auto"/>
              <w:right w:val="single" w:sz="8" w:space="0" w:color="auto"/>
            </w:tcBorders>
            <w:shd w:val="clear" w:color="auto" w:fill="auto"/>
            <w:vAlign w:val="center"/>
            <w:hideMark/>
          </w:tcPr>
          <w:p w14:paraId="41265CF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7,282</w:t>
            </w:r>
          </w:p>
        </w:tc>
        <w:tc>
          <w:tcPr>
            <w:tcW w:w="1176" w:type="dxa"/>
            <w:tcBorders>
              <w:top w:val="nil"/>
              <w:left w:val="nil"/>
              <w:bottom w:val="single" w:sz="8" w:space="0" w:color="auto"/>
              <w:right w:val="single" w:sz="8" w:space="0" w:color="auto"/>
            </w:tcBorders>
            <w:shd w:val="clear" w:color="auto" w:fill="auto"/>
            <w:vAlign w:val="center"/>
            <w:hideMark/>
          </w:tcPr>
          <w:p w14:paraId="77CA789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43,851</w:t>
            </w:r>
          </w:p>
        </w:tc>
        <w:tc>
          <w:tcPr>
            <w:tcW w:w="996" w:type="dxa"/>
            <w:tcBorders>
              <w:top w:val="nil"/>
              <w:left w:val="nil"/>
              <w:bottom w:val="single" w:sz="8" w:space="0" w:color="auto"/>
              <w:right w:val="single" w:sz="8" w:space="0" w:color="auto"/>
            </w:tcBorders>
            <w:shd w:val="clear" w:color="auto" w:fill="auto"/>
            <w:noWrap/>
            <w:vAlign w:val="center"/>
            <w:hideMark/>
          </w:tcPr>
          <w:p w14:paraId="2D80ACB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4.1%</w:t>
            </w:r>
          </w:p>
        </w:tc>
      </w:tr>
      <w:tr w:rsidR="00CA7306" w:rsidRPr="00CA7306" w14:paraId="0B93DE28"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3746F2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S</w:t>
            </w:r>
          </w:p>
        </w:tc>
        <w:tc>
          <w:tcPr>
            <w:tcW w:w="996" w:type="dxa"/>
            <w:tcBorders>
              <w:top w:val="nil"/>
              <w:left w:val="nil"/>
              <w:bottom w:val="single" w:sz="8" w:space="0" w:color="auto"/>
              <w:right w:val="single" w:sz="8" w:space="0" w:color="auto"/>
            </w:tcBorders>
            <w:shd w:val="clear" w:color="auto" w:fill="auto"/>
            <w:noWrap/>
            <w:vAlign w:val="center"/>
            <w:hideMark/>
          </w:tcPr>
          <w:p w14:paraId="24DA18E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6,701</w:t>
            </w:r>
          </w:p>
        </w:tc>
        <w:tc>
          <w:tcPr>
            <w:tcW w:w="996" w:type="dxa"/>
            <w:tcBorders>
              <w:top w:val="nil"/>
              <w:left w:val="nil"/>
              <w:bottom w:val="single" w:sz="8" w:space="0" w:color="auto"/>
              <w:right w:val="single" w:sz="8" w:space="0" w:color="auto"/>
            </w:tcBorders>
            <w:shd w:val="clear" w:color="auto" w:fill="auto"/>
            <w:vAlign w:val="center"/>
            <w:hideMark/>
          </w:tcPr>
          <w:p w14:paraId="5DF9D33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8,330</w:t>
            </w:r>
          </w:p>
        </w:tc>
        <w:tc>
          <w:tcPr>
            <w:tcW w:w="996" w:type="dxa"/>
            <w:tcBorders>
              <w:top w:val="nil"/>
              <w:left w:val="nil"/>
              <w:bottom w:val="single" w:sz="8" w:space="0" w:color="auto"/>
              <w:right w:val="single" w:sz="8" w:space="0" w:color="auto"/>
            </w:tcBorders>
            <w:shd w:val="clear" w:color="auto" w:fill="auto"/>
            <w:vAlign w:val="center"/>
            <w:hideMark/>
          </w:tcPr>
          <w:p w14:paraId="5428F6D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6,152</w:t>
            </w:r>
          </w:p>
        </w:tc>
        <w:tc>
          <w:tcPr>
            <w:tcW w:w="996" w:type="dxa"/>
            <w:tcBorders>
              <w:top w:val="nil"/>
              <w:left w:val="nil"/>
              <w:bottom w:val="single" w:sz="8" w:space="0" w:color="auto"/>
              <w:right w:val="single" w:sz="8" w:space="0" w:color="auto"/>
            </w:tcBorders>
            <w:shd w:val="clear" w:color="auto" w:fill="auto"/>
            <w:vAlign w:val="center"/>
            <w:hideMark/>
          </w:tcPr>
          <w:p w14:paraId="42936F3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5,177</w:t>
            </w:r>
          </w:p>
        </w:tc>
        <w:tc>
          <w:tcPr>
            <w:tcW w:w="1176" w:type="dxa"/>
            <w:tcBorders>
              <w:top w:val="nil"/>
              <w:left w:val="nil"/>
              <w:bottom w:val="single" w:sz="8" w:space="0" w:color="auto"/>
              <w:right w:val="single" w:sz="8" w:space="0" w:color="auto"/>
            </w:tcBorders>
            <w:shd w:val="clear" w:color="auto" w:fill="auto"/>
            <w:vAlign w:val="center"/>
            <w:hideMark/>
          </w:tcPr>
          <w:p w14:paraId="2D1ECFF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26,360</w:t>
            </w:r>
          </w:p>
        </w:tc>
        <w:tc>
          <w:tcPr>
            <w:tcW w:w="996" w:type="dxa"/>
            <w:tcBorders>
              <w:top w:val="nil"/>
              <w:left w:val="nil"/>
              <w:bottom w:val="single" w:sz="8" w:space="0" w:color="auto"/>
              <w:right w:val="single" w:sz="8" w:space="0" w:color="auto"/>
            </w:tcBorders>
            <w:shd w:val="clear" w:color="auto" w:fill="auto"/>
            <w:noWrap/>
            <w:vAlign w:val="center"/>
            <w:hideMark/>
          </w:tcPr>
          <w:p w14:paraId="121D5D6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2.5%</w:t>
            </w:r>
          </w:p>
        </w:tc>
      </w:tr>
      <w:tr w:rsidR="00CA7306" w:rsidRPr="00CA7306" w14:paraId="00F9CF44"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2BE537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SA</w:t>
            </w:r>
          </w:p>
        </w:tc>
        <w:tc>
          <w:tcPr>
            <w:tcW w:w="996" w:type="dxa"/>
            <w:tcBorders>
              <w:top w:val="nil"/>
              <w:left w:val="nil"/>
              <w:bottom w:val="single" w:sz="8" w:space="0" w:color="auto"/>
              <w:right w:val="single" w:sz="8" w:space="0" w:color="auto"/>
            </w:tcBorders>
            <w:shd w:val="clear" w:color="auto" w:fill="auto"/>
            <w:noWrap/>
            <w:vAlign w:val="center"/>
            <w:hideMark/>
          </w:tcPr>
          <w:p w14:paraId="1A93BE4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4,557</w:t>
            </w:r>
          </w:p>
        </w:tc>
        <w:tc>
          <w:tcPr>
            <w:tcW w:w="996" w:type="dxa"/>
            <w:tcBorders>
              <w:top w:val="nil"/>
              <w:left w:val="nil"/>
              <w:bottom w:val="single" w:sz="8" w:space="0" w:color="auto"/>
              <w:right w:val="single" w:sz="8" w:space="0" w:color="auto"/>
            </w:tcBorders>
            <w:shd w:val="clear" w:color="auto" w:fill="auto"/>
            <w:vAlign w:val="center"/>
            <w:hideMark/>
          </w:tcPr>
          <w:p w14:paraId="30F7E51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5,886</w:t>
            </w:r>
          </w:p>
        </w:tc>
        <w:tc>
          <w:tcPr>
            <w:tcW w:w="996" w:type="dxa"/>
            <w:tcBorders>
              <w:top w:val="nil"/>
              <w:left w:val="nil"/>
              <w:bottom w:val="single" w:sz="8" w:space="0" w:color="auto"/>
              <w:right w:val="single" w:sz="8" w:space="0" w:color="auto"/>
            </w:tcBorders>
            <w:shd w:val="clear" w:color="auto" w:fill="auto"/>
            <w:vAlign w:val="center"/>
            <w:hideMark/>
          </w:tcPr>
          <w:p w14:paraId="311D674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3,764</w:t>
            </w:r>
          </w:p>
        </w:tc>
        <w:tc>
          <w:tcPr>
            <w:tcW w:w="996" w:type="dxa"/>
            <w:tcBorders>
              <w:top w:val="nil"/>
              <w:left w:val="nil"/>
              <w:bottom w:val="single" w:sz="8" w:space="0" w:color="auto"/>
              <w:right w:val="single" w:sz="8" w:space="0" w:color="auto"/>
            </w:tcBorders>
            <w:shd w:val="clear" w:color="auto" w:fill="auto"/>
            <w:vAlign w:val="center"/>
            <w:hideMark/>
          </w:tcPr>
          <w:p w14:paraId="500FA4D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2,966</w:t>
            </w:r>
          </w:p>
        </w:tc>
        <w:tc>
          <w:tcPr>
            <w:tcW w:w="1176" w:type="dxa"/>
            <w:tcBorders>
              <w:top w:val="nil"/>
              <w:left w:val="nil"/>
              <w:bottom w:val="single" w:sz="8" w:space="0" w:color="auto"/>
              <w:right w:val="single" w:sz="8" w:space="0" w:color="auto"/>
            </w:tcBorders>
            <w:shd w:val="clear" w:color="auto" w:fill="auto"/>
            <w:vAlign w:val="center"/>
            <w:hideMark/>
          </w:tcPr>
          <w:p w14:paraId="0332F59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17,173</w:t>
            </w:r>
          </w:p>
        </w:tc>
        <w:tc>
          <w:tcPr>
            <w:tcW w:w="996" w:type="dxa"/>
            <w:tcBorders>
              <w:top w:val="nil"/>
              <w:left w:val="nil"/>
              <w:bottom w:val="single" w:sz="8" w:space="0" w:color="auto"/>
              <w:right w:val="single" w:sz="8" w:space="0" w:color="auto"/>
            </w:tcBorders>
            <w:shd w:val="clear" w:color="auto" w:fill="auto"/>
            <w:noWrap/>
            <w:vAlign w:val="center"/>
            <w:hideMark/>
          </w:tcPr>
          <w:p w14:paraId="5503770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1.6%</w:t>
            </w:r>
          </w:p>
        </w:tc>
      </w:tr>
      <w:tr w:rsidR="00CA7306" w:rsidRPr="00CA7306" w14:paraId="5925DF70"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A912305"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RS</w:t>
            </w:r>
          </w:p>
        </w:tc>
        <w:tc>
          <w:tcPr>
            <w:tcW w:w="996" w:type="dxa"/>
            <w:tcBorders>
              <w:top w:val="nil"/>
              <w:left w:val="nil"/>
              <w:bottom w:val="single" w:sz="8" w:space="0" w:color="auto"/>
              <w:right w:val="single" w:sz="8" w:space="0" w:color="auto"/>
            </w:tcBorders>
            <w:shd w:val="clear" w:color="auto" w:fill="auto"/>
            <w:noWrap/>
            <w:vAlign w:val="center"/>
            <w:hideMark/>
          </w:tcPr>
          <w:p w14:paraId="7CF93CF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4,274</w:t>
            </w:r>
          </w:p>
        </w:tc>
        <w:tc>
          <w:tcPr>
            <w:tcW w:w="996" w:type="dxa"/>
            <w:tcBorders>
              <w:top w:val="nil"/>
              <w:left w:val="nil"/>
              <w:bottom w:val="single" w:sz="8" w:space="0" w:color="auto"/>
              <w:right w:val="single" w:sz="8" w:space="0" w:color="auto"/>
            </w:tcBorders>
            <w:shd w:val="clear" w:color="auto" w:fill="auto"/>
            <w:vAlign w:val="center"/>
            <w:hideMark/>
          </w:tcPr>
          <w:p w14:paraId="00A41C39"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4,148</w:t>
            </w:r>
          </w:p>
        </w:tc>
        <w:tc>
          <w:tcPr>
            <w:tcW w:w="996" w:type="dxa"/>
            <w:tcBorders>
              <w:top w:val="nil"/>
              <w:left w:val="nil"/>
              <w:bottom w:val="single" w:sz="8" w:space="0" w:color="auto"/>
              <w:right w:val="single" w:sz="8" w:space="0" w:color="auto"/>
            </w:tcBorders>
            <w:shd w:val="clear" w:color="auto" w:fill="auto"/>
            <w:vAlign w:val="center"/>
            <w:hideMark/>
          </w:tcPr>
          <w:p w14:paraId="32DB5BC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3,292</w:t>
            </w:r>
          </w:p>
        </w:tc>
        <w:tc>
          <w:tcPr>
            <w:tcW w:w="996" w:type="dxa"/>
            <w:tcBorders>
              <w:top w:val="nil"/>
              <w:left w:val="nil"/>
              <w:bottom w:val="single" w:sz="8" w:space="0" w:color="auto"/>
              <w:right w:val="single" w:sz="8" w:space="0" w:color="auto"/>
            </w:tcBorders>
            <w:shd w:val="clear" w:color="auto" w:fill="auto"/>
            <w:vAlign w:val="center"/>
            <w:hideMark/>
          </w:tcPr>
          <w:p w14:paraId="245D779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2,502</w:t>
            </w:r>
          </w:p>
        </w:tc>
        <w:tc>
          <w:tcPr>
            <w:tcW w:w="1176" w:type="dxa"/>
            <w:tcBorders>
              <w:top w:val="nil"/>
              <w:left w:val="nil"/>
              <w:bottom w:val="single" w:sz="8" w:space="0" w:color="auto"/>
              <w:right w:val="single" w:sz="8" w:space="0" w:color="auto"/>
            </w:tcBorders>
            <w:shd w:val="clear" w:color="auto" w:fill="auto"/>
            <w:vAlign w:val="center"/>
            <w:hideMark/>
          </w:tcPr>
          <w:p w14:paraId="30C13F46"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14,216</w:t>
            </w:r>
          </w:p>
        </w:tc>
        <w:tc>
          <w:tcPr>
            <w:tcW w:w="996" w:type="dxa"/>
            <w:tcBorders>
              <w:top w:val="nil"/>
              <w:left w:val="nil"/>
              <w:bottom w:val="single" w:sz="8" w:space="0" w:color="auto"/>
              <w:right w:val="single" w:sz="8" w:space="0" w:color="auto"/>
            </w:tcBorders>
            <w:shd w:val="clear" w:color="auto" w:fill="auto"/>
            <w:noWrap/>
            <w:vAlign w:val="center"/>
            <w:hideMark/>
          </w:tcPr>
          <w:p w14:paraId="00A51BBD"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1.3%</w:t>
            </w:r>
          </w:p>
        </w:tc>
      </w:tr>
      <w:tr w:rsidR="00CA7306" w:rsidRPr="00CA7306" w14:paraId="2A459CC1"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CF9AF9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RA</w:t>
            </w:r>
          </w:p>
        </w:tc>
        <w:tc>
          <w:tcPr>
            <w:tcW w:w="996" w:type="dxa"/>
            <w:tcBorders>
              <w:top w:val="nil"/>
              <w:left w:val="nil"/>
              <w:bottom w:val="single" w:sz="8" w:space="0" w:color="auto"/>
              <w:right w:val="single" w:sz="8" w:space="0" w:color="auto"/>
            </w:tcBorders>
            <w:shd w:val="clear" w:color="auto" w:fill="auto"/>
            <w:noWrap/>
            <w:vAlign w:val="center"/>
            <w:hideMark/>
          </w:tcPr>
          <w:p w14:paraId="31D2A7D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3,196</w:t>
            </w:r>
          </w:p>
        </w:tc>
        <w:tc>
          <w:tcPr>
            <w:tcW w:w="996" w:type="dxa"/>
            <w:tcBorders>
              <w:top w:val="nil"/>
              <w:left w:val="nil"/>
              <w:bottom w:val="single" w:sz="8" w:space="0" w:color="auto"/>
              <w:right w:val="single" w:sz="8" w:space="0" w:color="auto"/>
            </w:tcBorders>
            <w:shd w:val="clear" w:color="auto" w:fill="auto"/>
            <w:vAlign w:val="center"/>
            <w:hideMark/>
          </w:tcPr>
          <w:p w14:paraId="797D0D4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4,316</w:t>
            </w:r>
          </w:p>
        </w:tc>
        <w:tc>
          <w:tcPr>
            <w:tcW w:w="996" w:type="dxa"/>
            <w:tcBorders>
              <w:top w:val="nil"/>
              <w:left w:val="nil"/>
              <w:bottom w:val="single" w:sz="8" w:space="0" w:color="auto"/>
              <w:right w:val="single" w:sz="8" w:space="0" w:color="auto"/>
            </w:tcBorders>
            <w:shd w:val="clear" w:color="auto" w:fill="auto"/>
            <w:vAlign w:val="center"/>
            <w:hideMark/>
          </w:tcPr>
          <w:p w14:paraId="4D7490B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3,106</w:t>
            </w:r>
          </w:p>
        </w:tc>
        <w:tc>
          <w:tcPr>
            <w:tcW w:w="996" w:type="dxa"/>
            <w:tcBorders>
              <w:top w:val="nil"/>
              <w:left w:val="nil"/>
              <w:bottom w:val="single" w:sz="8" w:space="0" w:color="auto"/>
              <w:right w:val="single" w:sz="8" w:space="0" w:color="auto"/>
            </w:tcBorders>
            <w:shd w:val="clear" w:color="auto" w:fill="auto"/>
            <w:vAlign w:val="center"/>
            <w:hideMark/>
          </w:tcPr>
          <w:p w14:paraId="0BE1015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2,860</w:t>
            </w:r>
          </w:p>
        </w:tc>
        <w:tc>
          <w:tcPr>
            <w:tcW w:w="1176" w:type="dxa"/>
            <w:tcBorders>
              <w:top w:val="nil"/>
              <w:left w:val="nil"/>
              <w:bottom w:val="single" w:sz="8" w:space="0" w:color="auto"/>
              <w:right w:val="single" w:sz="8" w:space="0" w:color="auto"/>
            </w:tcBorders>
            <w:shd w:val="clear" w:color="auto" w:fill="auto"/>
            <w:vAlign w:val="center"/>
            <w:hideMark/>
          </w:tcPr>
          <w:p w14:paraId="51FC60C8"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13,478</w:t>
            </w:r>
          </w:p>
        </w:tc>
        <w:tc>
          <w:tcPr>
            <w:tcW w:w="996" w:type="dxa"/>
            <w:tcBorders>
              <w:top w:val="nil"/>
              <w:left w:val="nil"/>
              <w:bottom w:val="single" w:sz="8" w:space="0" w:color="auto"/>
              <w:right w:val="single" w:sz="8" w:space="0" w:color="auto"/>
            </w:tcBorders>
            <w:shd w:val="clear" w:color="auto" w:fill="auto"/>
            <w:noWrap/>
            <w:vAlign w:val="center"/>
            <w:hideMark/>
          </w:tcPr>
          <w:p w14:paraId="5A19C91F"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1.3%</w:t>
            </w:r>
          </w:p>
        </w:tc>
      </w:tr>
      <w:tr w:rsidR="00CA7306" w:rsidRPr="00CA7306" w14:paraId="0DABDC02"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B9B609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SF</w:t>
            </w:r>
          </w:p>
        </w:tc>
        <w:tc>
          <w:tcPr>
            <w:tcW w:w="996" w:type="dxa"/>
            <w:tcBorders>
              <w:top w:val="nil"/>
              <w:left w:val="nil"/>
              <w:bottom w:val="single" w:sz="8" w:space="0" w:color="auto"/>
              <w:right w:val="single" w:sz="8" w:space="0" w:color="auto"/>
            </w:tcBorders>
            <w:shd w:val="clear" w:color="auto" w:fill="auto"/>
            <w:noWrap/>
            <w:vAlign w:val="center"/>
            <w:hideMark/>
          </w:tcPr>
          <w:p w14:paraId="22D48D5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545</w:t>
            </w:r>
          </w:p>
        </w:tc>
        <w:tc>
          <w:tcPr>
            <w:tcW w:w="996" w:type="dxa"/>
            <w:tcBorders>
              <w:top w:val="nil"/>
              <w:left w:val="nil"/>
              <w:bottom w:val="single" w:sz="8" w:space="0" w:color="auto"/>
              <w:right w:val="single" w:sz="8" w:space="0" w:color="auto"/>
            </w:tcBorders>
            <w:shd w:val="clear" w:color="auto" w:fill="auto"/>
            <w:vAlign w:val="center"/>
            <w:hideMark/>
          </w:tcPr>
          <w:p w14:paraId="4F3E32D1"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506</w:t>
            </w:r>
          </w:p>
        </w:tc>
        <w:tc>
          <w:tcPr>
            <w:tcW w:w="996" w:type="dxa"/>
            <w:tcBorders>
              <w:top w:val="nil"/>
              <w:left w:val="nil"/>
              <w:bottom w:val="single" w:sz="8" w:space="0" w:color="auto"/>
              <w:right w:val="single" w:sz="8" w:space="0" w:color="auto"/>
            </w:tcBorders>
            <w:shd w:val="clear" w:color="auto" w:fill="auto"/>
            <w:vAlign w:val="center"/>
            <w:hideMark/>
          </w:tcPr>
          <w:p w14:paraId="20306654"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303</w:t>
            </w:r>
          </w:p>
        </w:tc>
        <w:tc>
          <w:tcPr>
            <w:tcW w:w="996" w:type="dxa"/>
            <w:tcBorders>
              <w:top w:val="nil"/>
              <w:left w:val="nil"/>
              <w:bottom w:val="single" w:sz="8" w:space="0" w:color="auto"/>
              <w:right w:val="single" w:sz="8" w:space="0" w:color="auto"/>
            </w:tcBorders>
            <w:shd w:val="clear" w:color="auto" w:fill="auto"/>
            <w:vAlign w:val="center"/>
            <w:hideMark/>
          </w:tcPr>
          <w:p w14:paraId="7BD2554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266</w:t>
            </w:r>
          </w:p>
        </w:tc>
        <w:tc>
          <w:tcPr>
            <w:tcW w:w="1176" w:type="dxa"/>
            <w:tcBorders>
              <w:top w:val="nil"/>
              <w:left w:val="nil"/>
              <w:bottom w:val="single" w:sz="8" w:space="0" w:color="auto"/>
              <w:right w:val="single" w:sz="8" w:space="0" w:color="auto"/>
            </w:tcBorders>
            <w:shd w:val="clear" w:color="auto" w:fill="auto"/>
            <w:vAlign w:val="center"/>
            <w:hideMark/>
          </w:tcPr>
          <w:p w14:paraId="4F1F019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1,620</w:t>
            </w:r>
          </w:p>
        </w:tc>
        <w:tc>
          <w:tcPr>
            <w:tcW w:w="996" w:type="dxa"/>
            <w:tcBorders>
              <w:top w:val="nil"/>
              <w:left w:val="nil"/>
              <w:bottom w:val="single" w:sz="8" w:space="0" w:color="auto"/>
              <w:right w:val="single" w:sz="8" w:space="0" w:color="auto"/>
            </w:tcBorders>
            <w:shd w:val="clear" w:color="auto" w:fill="auto"/>
            <w:noWrap/>
            <w:vAlign w:val="center"/>
            <w:hideMark/>
          </w:tcPr>
          <w:p w14:paraId="738D456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0.2%</w:t>
            </w:r>
          </w:p>
        </w:tc>
      </w:tr>
      <w:tr w:rsidR="00CA7306" w:rsidRPr="00CA7306" w14:paraId="0D340884"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523E1B7"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BR</w:t>
            </w:r>
          </w:p>
        </w:tc>
        <w:tc>
          <w:tcPr>
            <w:tcW w:w="996" w:type="dxa"/>
            <w:tcBorders>
              <w:top w:val="nil"/>
              <w:left w:val="nil"/>
              <w:bottom w:val="single" w:sz="8" w:space="0" w:color="auto"/>
              <w:right w:val="single" w:sz="8" w:space="0" w:color="auto"/>
            </w:tcBorders>
            <w:shd w:val="clear" w:color="auto" w:fill="auto"/>
            <w:noWrap/>
            <w:vAlign w:val="center"/>
            <w:hideMark/>
          </w:tcPr>
          <w:p w14:paraId="1C96EAAC"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65</w:t>
            </w:r>
          </w:p>
        </w:tc>
        <w:tc>
          <w:tcPr>
            <w:tcW w:w="996" w:type="dxa"/>
            <w:tcBorders>
              <w:top w:val="nil"/>
              <w:left w:val="nil"/>
              <w:bottom w:val="single" w:sz="8" w:space="0" w:color="auto"/>
              <w:right w:val="single" w:sz="8" w:space="0" w:color="auto"/>
            </w:tcBorders>
            <w:shd w:val="clear" w:color="auto" w:fill="auto"/>
            <w:vAlign w:val="center"/>
            <w:hideMark/>
          </w:tcPr>
          <w:p w14:paraId="64B57D0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66</w:t>
            </w:r>
          </w:p>
        </w:tc>
        <w:tc>
          <w:tcPr>
            <w:tcW w:w="996" w:type="dxa"/>
            <w:tcBorders>
              <w:top w:val="nil"/>
              <w:left w:val="nil"/>
              <w:bottom w:val="single" w:sz="8" w:space="0" w:color="auto"/>
              <w:right w:val="single" w:sz="8" w:space="0" w:color="auto"/>
            </w:tcBorders>
            <w:shd w:val="clear" w:color="auto" w:fill="auto"/>
            <w:vAlign w:val="center"/>
            <w:hideMark/>
          </w:tcPr>
          <w:p w14:paraId="21899C3B"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65</w:t>
            </w:r>
          </w:p>
        </w:tc>
        <w:tc>
          <w:tcPr>
            <w:tcW w:w="996" w:type="dxa"/>
            <w:tcBorders>
              <w:top w:val="nil"/>
              <w:left w:val="nil"/>
              <w:bottom w:val="single" w:sz="8" w:space="0" w:color="auto"/>
              <w:right w:val="single" w:sz="8" w:space="0" w:color="auto"/>
            </w:tcBorders>
            <w:shd w:val="clear" w:color="auto" w:fill="auto"/>
            <w:vAlign w:val="center"/>
            <w:hideMark/>
          </w:tcPr>
          <w:p w14:paraId="373B497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CA7306">
              <w:rPr>
                <w:color w:val="000000"/>
                <w:szCs w:val="24"/>
                <w:lang w:eastAsia="zh-CN"/>
              </w:rPr>
              <w:t>35</w:t>
            </w:r>
          </w:p>
        </w:tc>
        <w:tc>
          <w:tcPr>
            <w:tcW w:w="1176" w:type="dxa"/>
            <w:tcBorders>
              <w:top w:val="nil"/>
              <w:left w:val="nil"/>
              <w:bottom w:val="single" w:sz="8" w:space="0" w:color="auto"/>
              <w:right w:val="single" w:sz="8" w:space="0" w:color="auto"/>
            </w:tcBorders>
            <w:shd w:val="clear" w:color="auto" w:fill="auto"/>
            <w:vAlign w:val="center"/>
            <w:hideMark/>
          </w:tcPr>
          <w:p w14:paraId="787F3A3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231</w:t>
            </w:r>
          </w:p>
        </w:tc>
        <w:tc>
          <w:tcPr>
            <w:tcW w:w="996" w:type="dxa"/>
            <w:tcBorders>
              <w:top w:val="nil"/>
              <w:left w:val="nil"/>
              <w:bottom w:val="single" w:sz="8" w:space="0" w:color="auto"/>
              <w:right w:val="single" w:sz="8" w:space="0" w:color="auto"/>
            </w:tcBorders>
            <w:shd w:val="clear" w:color="auto" w:fill="auto"/>
            <w:noWrap/>
            <w:vAlign w:val="center"/>
            <w:hideMark/>
          </w:tcPr>
          <w:p w14:paraId="43EA43B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0.0%</w:t>
            </w:r>
          </w:p>
        </w:tc>
      </w:tr>
      <w:tr w:rsidR="00CA7306" w:rsidRPr="00CA7306" w14:paraId="3FB22AA8" w14:textId="77777777" w:rsidTr="00CA730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037654E"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val="es-ES" w:eastAsia="zh-CN"/>
              </w:rPr>
              <w:t>TOTAL</w:t>
            </w:r>
          </w:p>
        </w:tc>
        <w:tc>
          <w:tcPr>
            <w:tcW w:w="996" w:type="dxa"/>
            <w:tcBorders>
              <w:top w:val="nil"/>
              <w:left w:val="nil"/>
              <w:bottom w:val="single" w:sz="8" w:space="0" w:color="auto"/>
              <w:right w:val="single" w:sz="8" w:space="0" w:color="auto"/>
            </w:tcBorders>
            <w:shd w:val="clear" w:color="auto" w:fill="auto"/>
            <w:noWrap/>
            <w:vAlign w:val="center"/>
            <w:hideMark/>
          </w:tcPr>
          <w:p w14:paraId="08362167"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271,604</w:t>
            </w:r>
          </w:p>
        </w:tc>
        <w:tc>
          <w:tcPr>
            <w:tcW w:w="996" w:type="dxa"/>
            <w:tcBorders>
              <w:top w:val="nil"/>
              <w:left w:val="nil"/>
              <w:bottom w:val="single" w:sz="8" w:space="0" w:color="auto"/>
              <w:right w:val="single" w:sz="8" w:space="0" w:color="auto"/>
            </w:tcBorders>
            <w:shd w:val="clear" w:color="auto" w:fill="auto"/>
            <w:noWrap/>
            <w:vAlign w:val="center"/>
            <w:hideMark/>
          </w:tcPr>
          <w:p w14:paraId="1FAC2B83"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345,305</w:t>
            </w:r>
          </w:p>
        </w:tc>
        <w:tc>
          <w:tcPr>
            <w:tcW w:w="996" w:type="dxa"/>
            <w:tcBorders>
              <w:top w:val="nil"/>
              <w:left w:val="nil"/>
              <w:bottom w:val="single" w:sz="8" w:space="0" w:color="auto"/>
              <w:right w:val="single" w:sz="8" w:space="0" w:color="auto"/>
            </w:tcBorders>
            <w:shd w:val="clear" w:color="auto" w:fill="auto"/>
            <w:noWrap/>
            <w:vAlign w:val="center"/>
            <w:hideMark/>
          </w:tcPr>
          <w:p w14:paraId="2B0DF1D2"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248,439</w:t>
            </w:r>
          </w:p>
        </w:tc>
        <w:tc>
          <w:tcPr>
            <w:tcW w:w="996" w:type="dxa"/>
            <w:tcBorders>
              <w:top w:val="nil"/>
              <w:left w:val="nil"/>
              <w:bottom w:val="single" w:sz="8" w:space="0" w:color="auto"/>
              <w:right w:val="single" w:sz="8" w:space="0" w:color="auto"/>
            </w:tcBorders>
            <w:shd w:val="clear" w:color="auto" w:fill="auto"/>
            <w:noWrap/>
            <w:vAlign w:val="center"/>
            <w:hideMark/>
          </w:tcPr>
          <w:p w14:paraId="5102C5B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202,306</w:t>
            </w:r>
          </w:p>
        </w:tc>
        <w:tc>
          <w:tcPr>
            <w:tcW w:w="1176" w:type="dxa"/>
            <w:tcBorders>
              <w:top w:val="nil"/>
              <w:left w:val="nil"/>
              <w:bottom w:val="single" w:sz="8" w:space="0" w:color="auto"/>
              <w:right w:val="single" w:sz="8" w:space="0" w:color="auto"/>
            </w:tcBorders>
            <w:shd w:val="clear" w:color="auto" w:fill="auto"/>
            <w:noWrap/>
            <w:vAlign w:val="center"/>
            <w:hideMark/>
          </w:tcPr>
          <w:p w14:paraId="72685280"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1,067,654</w:t>
            </w:r>
          </w:p>
        </w:tc>
        <w:tc>
          <w:tcPr>
            <w:tcW w:w="996" w:type="dxa"/>
            <w:tcBorders>
              <w:top w:val="nil"/>
              <w:left w:val="nil"/>
              <w:bottom w:val="single" w:sz="8" w:space="0" w:color="auto"/>
              <w:right w:val="single" w:sz="8" w:space="0" w:color="auto"/>
            </w:tcBorders>
            <w:shd w:val="clear" w:color="auto" w:fill="auto"/>
            <w:noWrap/>
            <w:vAlign w:val="center"/>
            <w:hideMark/>
          </w:tcPr>
          <w:p w14:paraId="2731E1DA" w14:textId="77777777" w:rsidR="00CA7306" w:rsidRPr="00CA7306" w:rsidRDefault="00CA7306" w:rsidP="00CA7306">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CA7306">
              <w:rPr>
                <w:b/>
                <w:bCs/>
                <w:color w:val="000000"/>
                <w:szCs w:val="24"/>
                <w:lang w:eastAsia="zh-CN"/>
              </w:rPr>
              <w:t>100.0%</w:t>
            </w:r>
          </w:p>
        </w:tc>
      </w:tr>
    </w:tbl>
    <w:p w14:paraId="311B4D4B" w14:textId="77777777" w:rsidR="00CA7306" w:rsidRPr="00CA7306" w:rsidRDefault="00CA7306" w:rsidP="00CA7306">
      <w:pPr>
        <w:jc w:val="both"/>
        <w:rPr>
          <w:i/>
          <w:iCs/>
          <w:sz w:val="22"/>
          <w:szCs w:val="22"/>
        </w:rPr>
      </w:pPr>
      <w:r w:rsidRPr="00CA7306">
        <w:rPr>
          <w:i/>
          <w:iCs/>
          <w:sz w:val="22"/>
          <w:szCs w:val="22"/>
        </w:rPr>
        <w:t>*Up to Sept 2018</w:t>
      </w:r>
    </w:p>
    <w:p w14:paraId="769FF474" w14:textId="77777777" w:rsidR="00C75F79" w:rsidRPr="00C75F79" w:rsidRDefault="00C75F79" w:rsidP="00C75F79">
      <w:pPr>
        <w:jc w:val="both"/>
      </w:pPr>
    </w:p>
    <w:p w14:paraId="6D8F918C" w14:textId="77777777" w:rsidR="00C75F79" w:rsidRPr="00C75F79" w:rsidRDefault="00C75F79" w:rsidP="00C75F79">
      <w:pPr>
        <w:rPr>
          <w:b/>
          <w:bCs/>
        </w:rPr>
      </w:pPr>
      <w:r w:rsidRPr="00C75F79">
        <w:rPr>
          <w:b/>
          <w:bCs/>
        </w:rPr>
        <w:t>9.1.4.4</w:t>
      </w:r>
      <w:r w:rsidRPr="00C75F79">
        <w:rPr>
          <w:b/>
          <w:bCs/>
        </w:rPr>
        <w:tab/>
        <w:t>ITU-R Handbooks</w:t>
      </w:r>
    </w:p>
    <w:p w14:paraId="19221F01" w14:textId="5A2F4D15" w:rsidR="007A7990" w:rsidRDefault="00CA7306" w:rsidP="004A746C">
      <w:pPr>
        <w:jc w:val="both"/>
        <w:sectPr w:rsidR="007A7990" w:rsidSect="004A6500">
          <w:pgSz w:w="11907" w:h="16834"/>
          <w:pgMar w:top="1418" w:right="1134" w:bottom="1418" w:left="1134" w:header="720" w:footer="720" w:gutter="0"/>
          <w:paperSrc w:first="15" w:other="15"/>
          <w:cols w:space="720"/>
          <w:docGrid w:linePitch="326"/>
        </w:sectPr>
      </w:pPr>
      <w:r w:rsidRPr="00CA7306">
        <w:t xml:space="preserve">Table 9.1.4.4 provides the quantity of downloads of ITU-R Handbooks since the Council 2013 Decision. Following the BR Director’s decision in January 2017 to extend the free access to all ITU-R Handbooks, more than </w:t>
      </w:r>
      <w:r>
        <w:t>16</w:t>
      </w:r>
      <w:r w:rsidRPr="00CA7306">
        <w:t xml:space="preserve">,000 downloads were registered. Also, the number of downloads originate from the 193 ITU countries. At this time, there are 42 ITU-R Handbooks published, of which 38 are in force, 1 is merged and 3 are suppressed but still available </w:t>
      </w:r>
      <w:r w:rsidR="004A746C">
        <w:t>at the</w:t>
      </w:r>
      <w:r w:rsidRPr="00CA7306">
        <w:t xml:space="preserve"> ITU website.</w:t>
      </w:r>
    </w:p>
    <w:p w14:paraId="3B489250" w14:textId="77777777" w:rsidR="00CA7306" w:rsidRPr="00CA7306" w:rsidRDefault="00CA7306" w:rsidP="00CA7306">
      <w:pPr>
        <w:pStyle w:val="TableNo"/>
      </w:pPr>
      <w:r w:rsidRPr="00CA7306">
        <w:lastRenderedPageBreak/>
        <w:t>Table 9.1.4.4</w:t>
      </w:r>
    </w:p>
    <w:p w14:paraId="6A21EC4A" w14:textId="77777777" w:rsidR="00CA7306" w:rsidRPr="00CA7306" w:rsidRDefault="00CA7306" w:rsidP="00CA7306">
      <w:pPr>
        <w:pStyle w:val="TabletitleBR"/>
      </w:pPr>
      <w:r w:rsidRPr="00CA7306">
        <w:t>Deliveries Distribution of ITU-R Handbooks 2014-2018</w:t>
      </w:r>
    </w:p>
    <w:p w14:paraId="3272BBEF" w14:textId="77777777" w:rsidR="00CA7306" w:rsidRPr="00CA7306" w:rsidRDefault="00CA7306" w:rsidP="00CA7306"/>
    <w:tbl>
      <w:tblPr>
        <w:tblW w:w="8636" w:type="dxa"/>
        <w:jc w:val="center"/>
        <w:tblCellMar>
          <w:left w:w="0" w:type="dxa"/>
          <w:right w:w="0" w:type="dxa"/>
        </w:tblCellMar>
        <w:tblLook w:val="04A0" w:firstRow="1" w:lastRow="0" w:firstColumn="1" w:lastColumn="0" w:noHBand="0" w:noVBand="1"/>
      </w:tblPr>
      <w:tblGrid>
        <w:gridCol w:w="2409"/>
        <w:gridCol w:w="1366"/>
        <w:gridCol w:w="893"/>
        <w:gridCol w:w="860"/>
        <w:gridCol w:w="1152"/>
        <w:gridCol w:w="1039"/>
        <w:gridCol w:w="917"/>
      </w:tblGrid>
      <w:tr w:rsidR="00CA7306" w:rsidRPr="00CA7306" w14:paraId="009C88A5" w14:textId="77777777" w:rsidTr="00CA7306">
        <w:trPr>
          <w:trHeight w:val="325"/>
          <w:jc w:val="center"/>
        </w:trPr>
        <w:tc>
          <w:tcPr>
            <w:tcW w:w="240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6A08C9F" w14:textId="77777777" w:rsidR="00CA7306" w:rsidRPr="00CA7306" w:rsidRDefault="00CA7306" w:rsidP="00CA7306">
            <w:pPr>
              <w:spacing w:after="120" w:line="252" w:lineRule="auto"/>
              <w:jc w:val="center"/>
              <w:rPr>
                <w:b/>
                <w:bCs/>
              </w:rPr>
            </w:pPr>
          </w:p>
        </w:tc>
        <w:tc>
          <w:tcPr>
            <w:tcW w:w="311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3FB6F0" w14:textId="77777777" w:rsidR="00CA7306" w:rsidRPr="00CA7306" w:rsidRDefault="00CA7306" w:rsidP="00CA7306">
            <w:pPr>
              <w:spacing w:after="120" w:line="252" w:lineRule="auto"/>
              <w:jc w:val="center"/>
              <w:rPr>
                <w:b/>
                <w:bCs/>
                <w:lang w:val="es-ES"/>
              </w:rPr>
            </w:pPr>
            <w:r w:rsidRPr="00CA7306">
              <w:rPr>
                <w:b/>
                <w:bCs/>
                <w:lang w:val="es-ES"/>
              </w:rPr>
              <w:t>Sales</w:t>
            </w:r>
          </w:p>
        </w:tc>
        <w:tc>
          <w:tcPr>
            <w:tcW w:w="3108" w:type="dxa"/>
            <w:gridSpan w:val="3"/>
            <w:tcBorders>
              <w:top w:val="single" w:sz="8" w:space="0" w:color="auto"/>
              <w:left w:val="single" w:sz="4" w:space="0" w:color="auto"/>
              <w:bottom w:val="single" w:sz="8" w:space="0" w:color="auto"/>
              <w:right w:val="single" w:sz="8" w:space="0" w:color="auto"/>
            </w:tcBorders>
            <w:vAlign w:val="center"/>
            <w:hideMark/>
          </w:tcPr>
          <w:p w14:paraId="0F59BC61" w14:textId="77777777" w:rsidR="00CA7306" w:rsidRPr="00CA7306" w:rsidRDefault="00CA7306" w:rsidP="00CA7306">
            <w:pPr>
              <w:spacing w:after="120" w:line="252" w:lineRule="auto"/>
              <w:jc w:val="center"/>
              <w:rPr>
                <w:b/>
                <w:bCs/>
                <w:lang w:val="es-ES"/>
              </w:rPr>
            </w:pPr>
            <w:r w:rsidRPr="00CA7306">
              <w:rPr>
                <w:b/>
                <w:bCs/>
                <w:lang w:val="es-ES"/>
              </w:rPr>
              <w:t xml:space="preserve">Free </w:t>
            </w:r>
            <w:proofErr w:type="spellStart"/>
            <w:r w:rsidRPr="00CA7306">
              <w:rPr>
                <w:b/>
                <w:bCs/>
                <w:lang w:val="es-ES"/>
              </w:rPr>
              <w:t>Downloads</w:t>
            </w:r>
            <w:proofErr w:type="spellEnd"/>
          </w:p>
        </w:tc>
      </w:tr>
      <w:tr w:rsidR="00CA7306" w:rsidRPr="00CA7306" w14:paraId="23C437C1" w14:textId="77777777" w:rsidTr="00CA7306">
        <w:trPr>
          <w:trHeight w:val="38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2C649" w14:textId="77777777" w:rsidR="00CA7306" w:rsidRPr="00CA7306" w:rsidRDefault="00CA7306" w:rsidP="00CA7306">
            <w:pPr>
              <w:spacing w:after="120" w:line="252" w:lineRule="auto"/>
              <w:jc w:val="center"/>
              <w:rPr>
                <w:b/>
                <w:bCs/>
                <w:lang w:val="es-ES"/>
              </w:rPr>
            </w:pPr>
            <w:proofErr w:type="spellStart"/>
            <w:r w:rsidRPr="00CA7306">
              <w:rPr>
                <w:b/>
                <w:bCs/>
                <w:lang w:val="es-ES"/>
              </w:rPr>
              <w:t>Handbook</w:t>
            </w:r>
            <w:proofErr w:type="spellEnd"/>
          </w:p>
        </w:tc>
        <w:tc>
          <w:tcPr>
            <w:tcW w:w="136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6ED95AC" w14:textId="77777777" w:rsidR="00CA7306" w:rsidRPr="00CA7306" w:rsidRDefault="00CA7306" w:rsidP="00CA7306">
            <w:pPr>
              <w:spacing w:after="120" w:line="252" w:lineRule="auto"/>
              <w:jc w:val="center"/>
              <w:rPr>
                <w:b/>
                <w:bCs/>
                <w:lang w:val="es-ES"/>
              </w:rPr>
            </w:pPr>
            <w:r w:rsidRPr="00CA7306">
              <w:rPr>
                <w:b/>
                <w:bCs/>
                <w:lang w:val="es-ES"/>
              </w:rPr>
              <w:t>2014-2016</w:t>
            </w:r>
          </w:p>
        </w:tc>
        <w:tc>
          <w:tcPr>
            <w:tcW w:w="8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3939A79" w14:textId="77777777" w:rsidR="00CA7306" w:rsidRPr="00CA7306" w:rsidRDefault="00CA7306" w:rsidP="00CA7306">
            <w:pPr>
              <w:spacing w:after="120" w:line="252" w:lineRule="auto"/>
              <w:jc w:val="center"/>
              <w:rPr>
                <w:b/>
                <w:bCs/>
                <w:lang w:val="es-ES"/>
              </w:rPr>
            </w:pPr>
            <w:r w:rsidRPr="00CA7306">
              <w:rPr>
                <w:b/>
                <w:bCs/>
                <w:lang w:val="es-ES"/>
              </w:rPr>
              <w:t>2017</w:t>
            </w:r>
          </w:p>
        </w:tc>
        <w:tc>
          <w:tcPr>
            <w:tcW w:w="860" w:type="dxa"/>
            <w:tcBorders>
              <w:top w:val="single" w:sz="4" w:space="0" w:color="auto"/>
              <w:left w:val="nil"/>
              <w:bottom w:val="single" w:sz="8" w:space="0" w:color="auto"/>
              <w:right w:val="single" w:sz="4" w:space="0" w:color="auto"/>
            </w:tcBorders>
          </w:tcPr>
          <w:p w14:paraId="3099F1E2" w14:textId="77777777" w:rsidR="00CA7306" w:rsidRPr="00CA7306" w:rsidRDefault="00CA7306" w:rsidP="00CA7306">
            <w:pPr>
              <w:spacing w:after="120" w:line="252" w:lineRule="auto"/>
              <w:jc w:val="center"/>
              <w:rPr>
                <w:b/>
                <w:bCs/>
                <w:lang w:val="es-ES"/>
              </w:rPr>
            </w:pPr>
            <w:r w:rsidRPr="00CA7306">
              <w:rPr>
                <w:b/>
                <w:bCs/>
                <w:lang w:val="es-ES"/>
              </w:rPr>
              <w:t>2018</w:t>
            </w:r>
          </w:p>
        </w:tc>
        <w:tc>
          <w:tcPr>
            <w:tcW w:w="1152" w:type="dxa"/>
            <w:tcBorders>
              <w:top w:val="nil"/>
              <w:left w:val="single" w:sz="4" w:space="0" w:color="auto"/>
              <w:bottom w:val="single" w:sz="8" w:space="0" w:color="auto"/>
              <w:right w:val="single" w:sz="8" w:space="0" w:color="auto"/>
            </w:tcBorders>
            <w:vAlign w:val="center"/>
            <w:hideMark/>
          </w:tcPr>
          <w:p w14:paraId="1CE125B3" w14:textId="77777777" w:rsidR="00CA7306" w:rsidRPr="00CA7306" w:rsidRDefault="00CA7306" w:rsidP="00CA7306">
            <w:pPr>
              <w:spacing w:after="120" w:line="252" w:lineRule="auto"/>
              <w:jc w:val="center"/>
              <w:rPr>
                <w:b/>
                <w:bCs/>
                <w:lang w:val="es-ES"/>
              </w:rPr>
            </w:pPr>
            <w:r w:rsidRPr="00CA7306">
              <w:rPr>
                <w:b/>
                <w:bCs/>
                <w:lang w:val="es-ES"/>
              </w:rPr>
              <w:t>2014-2016</w:t>
            </w:r>
          </w:p>
        </w:tc>
        <w:tc>
          <w:tcPr>
            <w:tcW w:w="1039" w:type="dxa"/>
            <w:tcBorders>
              <w:top w:val="nil"/>
              <w:left w:val="nil"/>
              <w:bottom w:val="single" w:sz="8" w:space="0" w:color="auto"/>
              <w:right w:val="single" w:sz="8" w:space="0" w:color="auto"/>
            </w:tcBorders>
            <w:hideMark/>
          </w:tcPr>
          <w:p w14:paraId="046FF928" w14:textId="77777777" w:rsidR="00CA7306" w:rsidRPr="00CA7306" w:rsidRDefault="00CA7306" w:rsidP="00CA7306">
            <w:pPr>
              <w:spacing w:after="120" w:line="252" w:lineRule="auto"/>
              <w:jc w:val="center"/>
              <w:rPr>
                <w:b/>
                <w:bCs/>
                <w:lang w:val="es-ES"/>
              </w:rPr>
            </w:pPr>
            <w:r w:rsidRPr="00CA7306">
              <w:rPr>
                <w:b/>
                <w:bCs/>
                <w:lang w:val="es-ES"/>
              </w:rPr>
              <w:t xml:space="preserve">2017 </w:t>
            </w:r>
          </w:p>
        </w:tc>
        <w:tc>
          <w:tcPr>
            <w:tcW w:w="917" w:type="dxa"/>
            <w:tcBorders>
              <w:top w:val="nil"/>
              <w:left w:val="nil"/>
              <w:bottom w:val="single" w:sz="8" w:space="0" w:color="auto"/>
              <w:right w:val="single" w:sz="8" w:space="0" w:color="auto"/>
            </w:tcBorders>
          </w:tcPr>
          <w:p w14:paraId="56B61EB0" w14:textId="77777777" w:rsidR="00CA7306" w:rsidRPr="00CA7306" w:rsidRDefault="00CA7306" w:rsidP="00CA7306">
            <w:pPr>
              <w:spacing w:after="120" w:line="252" w:lineRule="auto"/>
              <w:jc w:val="center"/>
              <w:rPr>
                <w:b/>
                <w:bCs/>
                <w:lang w:val="es-ES"/>
              </w:rPr>
            </w:pPr>
            <w:r w:rsidRPr="00CA7306">
              <w:rPr>
                <w:b/>
                <w:bCs/>
                <w:lang w:val="es-ES"/>
              </w:rPr>
              <w:t>2018*</w:t>
            </w:r>
          </w:p>
        </w:tc>
      </w:tr>
      <w:tr w:rsidR="00CA7306" w:rsidRPr="00CA7306" w14:paraId="0080E7E3" w14:textId="77777777" w:rsidTr="00CA7306">
        <w:trPr>
          <w:trHeight w:val="22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BBD95" w14:textId="77777777" w:rsidR="00CA7306" w:rsidRPr="00CA7306" w:rsidRDefault="00CA7306" w:rsidP="00CA7306">
            <w:pPr>
              <w:spacing w:after="120" w:line="252" w:lineRule="auto"/>
            </w:pPr>
            <w:r w:rsidRPr="00CA7306">
              <w:t>Spectrum Management Series</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26C4C822" w14:textId="77777777" w:rsidR="00CA7306" w:rsidRPr="00CA7306" w:rsidRDefault="00CA7306" w:rsidP="00CA7306">
            <w:pPr>
              <w:spacing w:after="120" w:line="252" w:lineRule="auto"/>
              <w:jc w:val="center"/>
            </w:pPr>
            <w:r w:rsidRPr="00CA7306">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14:paraId="663E935F" w14:textId="77777777" w:rsidR="00CA7306" w:rsidRPr="00CA7306" w:rsidRDefault="00CA7306" w:rsidP="00CA7306">
            <w:pPr>
              <w:spacing w:after="120" w:line="252" w:lineRule="auto"/>
              <w:jc w:val="center"/>
            </w:pPr>
            <w:r w:rsidRPr="00CA7306">
              <w:t>31</w:t>
            </w:r>
          </w:p>
        </w:tc>
        <w:tc>
          <w:tcPr>
            <w:tcW w:w="860" w:type="dxa"/>
            <w:tcBorders>
              <w:top w:val="single" w:sz="8" w:space="0" w:color="auto"/>
              <w:left w:val="nil"/>
              <w:bottom w:val="single" w:sz="8" w:space="0" w:color="auto"/>
              <w:right w:val="single" w:sz="4" w:space="0" w:color="auto"/>
            </w:tcBorders>
          </w:tcPr>
          <w:p w14:paraId="09A8873F" w14:textId="77777777" w:rsidR="00CA7306" w:rsidRPr="00CA7306" w:rsidRDefault="00CA7306" w:rsidP="00CA7306">
            <w:pPr>
              <w:spacing w:after="120" w:line="252" w:lineRule="auto"/>
              <w:jc w:val="center"/>
            </w:pPr>
            <w:r w:rsidRPr="00CA7306">
              <w:t>9</w:t>
            </w:r>
          </w:p>
        </w:tc>
        <w:tc>
          <w:tcPr>
            <w:tcW w:w="1152" w:type="dxa"/>
            <w:tcBorders>
              <w:top w:val="nil"/>
              <w:left w:val="single" w:sz="4" w:space="0" w:color="auto"/>
              <w:bottom w:val="single" w:sz="8" w:space="0" w:color="auto"/>
              <w:right w:val="single" w:sz="8" w:space="0" w:color="auto"/>
            </w:tcBorders>
            <w:hideMark/>
          </w:tcPr>
          <w:p w14:paraId="2159264C" w14:textId="77777777" w:rsidR="00CA7306" w:rsidRPr="00CA7306" w:rsidRDefault="00CA7306" w:rsidP="00CA7306">
            <w:pPr>
              <w:spacing w:after="120" w:line="252" w:lineRule="auto"/>
              <w:jc w:val="center"/>
              <w:rPr>
                <w:color w:val="000000"/>
              </w:rPr>
            </w:pPr>
            <w:r w:rsidRPr="00CA7306">
              <w:t>4,750</w:t>
            </w:r>
          </w:p>
        </w:tc>
        <w:tc>
          <w:tcPr>
            <w:tcW w:w="1039" w:type="dxa"/>
            <w:tcBorders>
              <w:top w:val="nil"/>
              <w:left w:val="nil"/>
              <w:bottom w:val="single" w:sz="8" w:space="0" w:color="auto"/>
              <w:right w:val="single" w:sz="8" w:space="0" w:color="auto"/>
            </w:tcBorders>
            <w:hideMark/>
          </w:tcPr>
          <w:p w14:paraId="741F041A" w14:textId="77777777" w:rsidR="00CA7306" w:rsidRPr="00CA7306" w:rsidRDefault="00CA7306" w:rsidP="00CA7306">
            <w:pPr>
              <w:spacing w:after="120" w:line="252" w:lineRule="auto"/>
              <w:jc w:val="center"/>
              <w:rPr>
                <w:color w:val="000000"/>
              </w:rPr>
            </w:pPr>
            <w:r w:rsidRPr="00CA7306">
              <w:t>1,162</w:t>
            </w:r>
          </w:p>
        </w:tc>
        <w:tc>
          <w:tcPr>
            <w:tcW w:w="917" w:type="dxa"/>
            <w:tcBorders>
              <w:top w:val="nil"/>
              <w:left w:val="nil"/>
              <w:bottom w:val="single" w:sz="8" w:space="0" w:color="auto"/>
              <w:right w:val="single" w:sz="8" w:space="0" w:color="auto"/>
            </w:tcBorders>
          </w:tcPr>
          <w:p w14:paraId="64ED591F" w14:textId="77777777" w:rsidR="00CA7306" w:rsidRPr="00CA7306" w:rsidRDefault="00CA7306" w:rsidP="00CA7306">
            <w:pPr>
              <w:spacing w:after="120" w:line="252" w:lineRule="auto"/>
              <w:jc w:val="center"/>
            </w:pPr>
            <w:r w:rsidRPr="00CA7306">
              <w:t>4,839</w:t>
            </w:r>
          </w:p>
        </w:tc>
      </w:tr>
      <w:tr w:rsidR="00CA7306" w:rsidRPr="00CA7306" w14:paraId="5160364E" w14:textId="77777777" w:rsidTr="00CA7306">
        <w:trPr>
          <w:trHeight w:val="448"/>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C98F9" w14:textId="77777777" w:rsidR="00CA7306" w:rsidRPr="00CA7306" w:rsidRDefault="00CA7306" w:rsidP="00CA7306">
            <w:pPr>
              <w:spacing w:after="120" w:line="252" w:lineRule="auto"/>
              <w:rPr>
                <w:lang w:val="en-US"/>
              </w:rPr>
            </w:pPr>
            <w:r w:rsidRPr="00CA7306">
              <w:t>Other Handbooks</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51957A6C" w14:textId="77777777" w:rsidR="00CA7306" w:rsidRPr="00CA7306" w:rsidRDefault="00CA7306" w:rsidP="00CA7306">
            <w:pPr>
              <w:spacing w:after="120" w:line="252" w:lineRule="auto"/>
              <w:jc w:val="center"/>
            </w:pPr>
            <w:r w:rsidRPr="00CA7306">
              <w:t>503</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14:paraId="6E867140" w14:textId="77777777" w:rsidR="00CA7306" w:rsidRPr="00CA7306" w:rsidRDefault="00CA7306" w:rsidP="00CA7306">
            <w:pPr>
              <w:spacing w:after="120" w:line="252" w:lineRule="auto"/>
              <w:jc w:val="center"/>
              <w:rPr>
                <w:lang w:val="es-ES"/>
              </w:rPr>
            </w:pPr>
            <w:r w:rsidRPr="00CA7306">
              <w:rPr>
                <w:lang w:val="es-ES"/>
              </w:rPr>
              <w:t>80</w:t>
            </w:r>
          </w:p>
        </w:tc>
        <w:tc>
          <w:tcPr>
            <w:tcW w:w="860" w:type="dxa"/>
            <w:tcBorders>
              <w:top w:val="single" w:sz="8" w:space="0" w:color="auto"/>
              <w:left w:val="nil"/>
              <w:bottom w:val="single" w:sz="8" w:space="0" w:color="auto"/>
              <w:right w:val="single" w:sz="4" w:space="0" w:color="auto"/>
            </w:tcBorders>
          </w:tcPr>
          <w:p w14:paraId="36B3934B" w14:textId="77777777" w:rsidR="00CA7306" w:rsidRPr="00CA7306" w:rsidRDefault="00CA7306" w:rsidP="00CA7306">
            <w:pPr>
              <w:spacing w:after="120" w:line="252" w:lineRule="auto"/>
              <w:jc w:val="center"/>
              <w:rPr>
                <w:lang w:val="es-ES"/>
              </w:rPr>
            </w:pPr>
            <w:r w:rsidRPr="00CA7306">
              <w:rPr>
                <w:lang w:val="es-ES"/>
              </w:rPr>
              <w:t>21</w:t>
            </w:r>
          </w:p>
        </w:tc>
        <w:tc>
          <w:tcPr>
            <w:tcW w:w="1152" w:type="dxa"/>
            <w:tcBorders>
              <w:top w:val="nil"/>
              <w:left w:val="single" w:sz="4" w:space="0" w:color="auto"/>
              <w:bottom w:val="single" w:sz="8" w:space="0" w:color="auto"/>
              <w:right w:val="single" w:sz="8" w:space="0" w:color="auto"/>
            </w:tcBorders>
            <w:hideMark/>
          </w:tcPr>
          <w:p w14:paraId="22268595" w14:textId="77777777" w:rsidR="00CA7306" w:rsidRPr="00CA7306" w:rsidRDefault="00CA7306" w:rsidP="00CA7306">
            <w:pPr>
              <w:spacing w:after="120" w:line="252" w:lineRule="auto"/>
              <w:jc w:val="center"/>
              <w:rPr>
                <w:color w:val="000000"/>
                <w:lang w:val="es-ES"/>
              </w:rPr>
            </w:pPr>
            <w:r w:rsidRPr="00CA7306">
              <w:rPr>
                <w:lang w:val="es-ES"/>
              </w:rPr>
              <w:t>-</w:t>
            </w:r>
          </w:p>
        </w:tc>
        <w:tc>
          <w:tcPr>
            <w:tcW w:w="1039" w:type="dxa"/>
            <w:tcBorders>
              <w:top w:val="nil"/>
              <w:left w:val="nil"/>
              <w:bottom w:val="single" w:sz="8" w:space="0" w:color="auto"/>
              <w:right w:val="single" w:sz="8" w:space="0" w:color="auto"/>
            </w:tcBorders>
            <w:hideMark/>
          </w:tcPr>
          <w:p w14:paraId="3ADF56BB" w14:textId="77777777" w:rsidR="00CA7306" w:rsidRPr="00CA7306" w:rsidRDefault="00CA7306" w:rsidP="00CA7306">
            <w:pPr>
              <w:spacing w:after="120" w:line="252" w:lineRule="auto"/>
              <w:jc w:val="center"/>
              <w:rPr>
                <w:color w:val="000000"/>
                <w:lang w:val="es-ES"/>
              </w:rPr>
            </w:pPr>
            <w:r w:rsidRPr="00CA7306">
              <w:rPr>
                <w:lang w:val="es-ES"/>
              </w:rPr>
              <w:t>2,084</w:t>
            </w:r>
          </w:p>
        </w:tc>
        <w:tc>
          <w:tcPr>
            <w:tcW w:w="917" w:type="dxa"/>
            <w:tcBorders>
              <w:top w:val="nil"/>
              <w:left w:val="nil"/>
              <w:bottom w:val="single" w:sz="8" w:space="0" w:color="auto"/>
              <w:right w:val="single" w:sz="8" w:space="0" w:color="auto"/>
            </w:tcBorders>
          </w:tcPr>
          <w:p w14:paraId="250F2737" w14:textId="77777777" w:rsidR="00CA7306" w:rsidRPr="00CA7306" w:rsidRDefault="00CA7306" w:rsidP="00CA7306">
            <w:pPr>
              <w:spacing w:after="120" w:line="252" w:lineRule="auto"/>
              <w:jc w:val="center"/>
              <w:rPr>
                <w:lang w:val="es-ES"/>
              </w:rPr>
            </w:pPr>
            <w:r w:rsidRPr="00CA7306">
              <w:rPr>
                <w:lang w:val="es-ES"/>
              </w:rPr>
              <w:t>8,180</w:t>
            </w:r>
          </w:p>
        </w:tc>
      </w:tr>
      <w:tr w:rsidR="00CA7306" w:rsidRPr="00CA7306" w14:paraId="177101F7" w14:textId="77777777" w:rsidTr="00CA7306">
        <w:trPr>
          <w:trHeight w:val="342"/>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98E" w14:textId="77777777" w:rsidR="00CA7306" w:rsidRPr="00CA7306" w:rsidRDefault="00CA7306" w:rsidP="00CA7306">
            <w:pPr>
              <w:spacing w:after="120" w:line="252" w:lineRule="auto"/>
              <w:rPr>
                <w:b/>
                <w:bCs/>
                <w:lang w:val="es-ES"/>
              </w:rPr>
            </w:pPr>
            <w:r w:rsidRPr="00CA7306">
              <w:rPr>
                <w:b/>
                <w:bCs/>
                <w:lang w:val="es-ES"/>
              </w:rPr>
              <w:t>Grand Total</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507CFA04" w14:textId="77777777" w:rsidR="00CA7306" w:rsidRPr="00CA7306" w:rsidRDefault="00CA7306" w:rsidP="00CA7306">
            <w:pPr>
              <w:spacing w:after="120" w:line="252" w:lineRule="auto"/>
              <w:jc w:val="center"/>
              <w:rPr>
                <w:b/>
                <w:bCs/>
                <w:lang w:val="es-ES"/>
              </w:rPr>
            </w:pPr>
            <w:r w:rsidRPr="00CA7306">
              <w:rPr>
                <w:b/>
                <w:bCs/>
                <w:lang w:val="es-ES"/>
              </w:rPr>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14:paraId="659047FD" w14:textId="77777777" w:rsidR="00CA7306" w:rsidRPr="00CA7306" w:rsidRDefault="00CA7306" w:rsidP="00CA7306">
            <w:pPr>
              <w:spacing w:after="120" w:line="252" w:lineRule="auto"/>
              <w:jc w:val="center"/>
              <w:rPr>
                <w:b/>
                <w:bCs/>
                <w:lang w:val="es-ES"/>
              </w:rPr>
            </w:pPr>
            <w:r w:rsidRPr="00CA7306">
              <w:rPr>
                <w:b/>
                <w:bCs/>
                <w:lang w:val="es-ES"/>
              </w:rPr>
              <w:t>31</w:t>
            </w:r>
          </w:p>
        </w:tc>
        <w:tc>
          <w:tcPr>
            <w:tcW w:w="860" w:type="dxa"/>
            <w:tcBorders>
              <w:top w:val="single" w:sz="8" w:space="0" w:color="auto"/>
              <w:left w:val="nil"/>
              <w:bottom w:val="single" w:sz="8" w:space="0" w:color="auto"/>
              <w:right w:val="single" w:sz="4" w:space="0" w:color="auto"/>
            </w:tcBorders>
          </w:tcPr>
          <w:p w14:paraId="6B269B43" w14:textId="77777777" w:rsidR="00CA7306" w:rsidRPr="00CA7306" w:rsidRDefault="00CA7306" w:rsidP="00CA7306">
            <w:pPr>
              <w:spacing w:after="120" w:line="252" w:lineRule="auto"/>
              <w:jc w:val="center"/>
              <w:rPr>
                <w:b/>
                <w:bCs/>
                <w:lang w:val="es-ES"/>
              </w:rPr>
            </w:pPr>
            <w:r w:rsidRPr="00CA7306">
              <w:rPr>
                <w:b/>
                <w:bCs/>
                <w:lang w:val="es-ES"/>
              </w:rPr>
              <w:t>30</w:t>
            </w:r>
          </w:p>
        </w:tc>
        <w:tc>
          <w:tcPr>
            <w:tcW w:w="1152" w:type="dxa"/>
            <w:tcBorders>
              <w:top w:val="nil"/>
              <w:left w:val="single" w:sz="4" w:space="0" w:color="auto"/>
              <w:bottom w:val="single" w:sz="8" w:space="0" w:color="auto"/>
              <w:right w:val="single" w:sz="8" w:space="0" w:color="auto"/>
            </w:tcBorders>
            <w:hideMark/>
          </w:tcPr>
          <w:p w14:paraId="431F37D3" w14:textId="77777777" w:rsidR="00CA7306" w:rsidRPr="00CA7306" w:rsidRDefault="00CA7306" w:rsidP="00CA7306">
            <w:pPr>
              <w:spacing w:after="120" w:line="252" w:lineRule="auto"/>
              <w:jc w:val="center"/>
              <w:rPr>
                <w:b/>
                <w:bCs/>
                <w:color w:val="000000"/>
                <w:lang w:val="es-ES"/>
              </w:rPr>
            </w:pPr>
            <w:r w:rsidRPr="00CA7306">
              <w:rPr>
                <w:b/>
                <w:bCs/>
                <w:lang w:val="es-ES"/>
              </w:rPr>
              <w:t>4,750</w:t>
            </w:r>
          </w:p>
        </w:tc>
        <w:tc>
          <w:tcPr>
            <w:tcW w:w="1039" w:type="dxa"/>
            <w:tcBorders>
              <w:top w:val="nil"/>
              <w:left w:val="nil"/>
              <w:bottom w:val="single" w:sz="8" w:space="0" w:color="auto"/>
              <w:right w:val="single" w:sz="8" w:space="0" w:color="auto"/>
            </w:tcBorders>
            <w:hideMark/>
          </w:tcPr>
          <w:p w14:paraId="1FAD7571" w14:textId="77777777" w:rsidR="00CA7306" w:rsidRPr="00CA7306" w:rsidRDefault="00CA7306" w:rsidP="00CA7306">
            <w:pPr>
              <w:spacing w:after="120" w:line="252" w:lineRule="auto"/>
              <w:jc w:val="center"/>
              <w:rPr>
                <w:b/>
                <w:bCs/>
                <w:color w:val="000000"/>
                <w:lang w:val="es-ES"/>
              </w:rPr>
            </w:pPr>
            <w:r w:rsidRPr="00CA7306">
              <w:rPr>
                <w:b/>
                <w:bCs/>
                <w:lang w:val="es-ES"/>
              </w:rPr>
              <w:t>3,246</w:t>
            </w:r>
          </w:p>
        </w:tc>
        <w:tc>
          <w:tcPr>
            <w:tcW w:w="917" w:type="dxa"/>
            <w:tcBorders>
              <w:top w:val="nil"/>
              <w:left w:val="nil"/>
              <w:bottom w:val="single" w:sz="8" w:space="0" w:color="auto"/>
              <w:right w:val="single" w:sz="8" w:space="0" w:color="auto"/>
            </w:tcBorders>
          </w:tcPr>
          <w:p w14:paraId="5C7F3715" w14:textId="77777777" w:rsidR="00CA7306" w:rsidRPr="00CA7306" w:rsidRDefault="00CA7306" w:rsidP="00CA7306">
            <w:pPr>
              <w:spacing w:after="120" w:line="252" w:lineRule="auto"/>
              <w:jc w:val="center"/>
              <w:rPr>
                <w:b/>
                <w:bCs/>
                <w:lang w:val="es-ES"/>
              </w:rPr>
            </w:pPr>
            <w:r w:rsidRPr="00CA7306">
              <w:rPr>
                <w:b/>
                <w:bCs/>
                <w:lang w:val="es-ES"/>
              </w:rPr>
              <w:t>13,019</w:t>
            </w:r>
          </w:p>
        </w:tc>
      </w:tr>
    </w:tbl>
    <w:p w14:paraId="65651255" w14:textId="77777777" w:rsidR="00CA7306" w:rsidRPr="00CA7306" w:rsidRDefault="00CA7306" w:rsidP="00CA7306">
      <w:pPr>
        <w:jc w:val="both"/>
        <w:rPr>
          <w:i/>
          <w:iCs/>
          <w:sz w:val="22"/>
          <w:szCs w:val="22"/>
        </w:rPr>
      </w:pPr>
      <w:r w:rsidRPr="00CA7306">
        <w:rPr>
          <w:i/>
          <w:iCs/>
          <w:sz w:val="22"/>
          <w:szCs w:val="22"/>
        </w:rPr>
        <w:t>*Up to Sept 2018</w:t>
      </w:r>
    </w:p>
    <w:p w14:paraId="39BF378E" w14:textId="77777777" w:rsidR="00C75F79" w:rsidRPr="00C75F79" w:rsidRDefault="00C75F79" w:rsidP="00C75F79"/>
    <w:p w14:paraId="277D52EC" w14:textId="77777777" w:rsidR="0015513D" w:rsidRDefault="00F56064" w:rsidP="00F56064">
      <w:pPr>
        <w:pStyle w:val="Heading3"/>
      </w:pPr>
      <w:bookmarkStart w:id="36" w:name="_Toc424047600"/>
      <w:bookmarkStart w:id="37" w:name="_Toc446060782"/>
      <w:bookmarkEnd w:id="34"/>
      <w:bookmarkEnd w:id="35"/>
      <w:r>
        <w:t>9</w:t>
      </w:r>
      <w:r w:rsidR="0015513D" w:rsidRPr="00ED04B0">
        <w:t>.1.5</w:t>
      </w:r>
      <w:r w:rsidR="0015513D" w:rsidRPr="00ED04B0">
        <w:tab/>
      </w:r>
      <w:r w:rsidR="0015513D">
        <w:t>ITU Radio Regulations n</w:t>
      </w:r>
      <w:r w:rsidR="0015513D" w:rsidRPr="00ED04B0">
        <w:t>avigation and analysis tools</w:t>
      </w:r>
      <w:bookmarkEnd w:id="36"/>
      <w:bookmarkEnd w:id="37"/>
    </w:p>
    <w:p w14:paraId="73BB326B" w14:textId="77777777" w:rsidR="00CA7306" w:rsidRPr="00CA7306" w:rsidRDefault="00CA7306" w:rsidP="00CA7306">
      <w:pPr>
        <w:jc w:val="both"/>
      </w:pPr>
      <w:r w:rsidRPr="00CA7306">
        <w:t>The Bureau continues to update and maintain software tools to facilitate the use and analysis of the Radio Regulations:</w:t>
      </w:r>
    </w:p>
    <w:p w14:paraId="6F8A2D14" w14:textId="77777777" w:rsidR="00CA7306" w:rsidRPr="00CA7306" w:rsidRDefault="00CA7306" w:rsidP="00CA7306">
      <w:pPr>
        <w:jc w:val="both"/>
      </w:pPr>
      <w:r w:rsidRPr="00CA7306">
        <w:t>a)</w:t>
      </w:r>
      <w:r w:rsidRPr="00CA7306">
        <w:tab/>
        <w:t xml:space="preserve">The Radio Regulation Navigation Tool was released during 2Q-2017 (RR Tool-16 v.1.0) based on the newest version of the RR. A free update is offered to purchasers of the previous version (RR Tool-12). This new version is available in English on Windows, </w:t>
      </w:r>
      <w:proofErr w:type="spellStart"/>
      <w:r w:rsidRPr="00CA7306">
        <w:t>macOS</w:t>
      </w:r>
      <w:proofErr w:type="spellEnd"/>
      <w:r w:rsidRPr="00CA7306">
        <w:t xml:space="preserve"> and Linux. Yearly free updates will be released to incorporate the latest available </w:t>
      </w:r>
      <w:proofErr w:type="spellStart"/>
      <w:r w:rsidRPr="00CA7306">
        <w:t>RoP</w:t>
      </w:r>
      <w:proofErr w:type="spellEnd"/>
      <w:r w:rsidRPr="00CA7306">
        <w:t xml:space="preserve"> until 2020 when a new version of the RR will be released, based upon the decisions of the WRC-19.</w:t>
      </w:r>
    </w:p>
    <w:p w14:paraId="22F03BFF" w14:textId="77777777" w:rsidR="00CA7306" w:rsidRPr="00D1570C" w:rsidRDefault="00CA7306" w:rsidP="00CA7306">
      <w:pPr>
        <w:jc w:val="both"/>
        <w:rPr>
          <w:highlight w:val="yellow"/>
        </w:rPr>
      </w:pPr>
      <w:r w:rsidRPr="00CA7306">
        <w:t>b)</w:t>
      </w:r>
      <w:r w:rsidRPr="00CA7306">
        <w:tab/>
        <w:t>A software tool to conduct detailed search and analysis of the Table of Frequency Allocations of Article 5 of the Radio Regulations, enabling filtering and reformatting by frequency range, service, category of service, footnote, country, etc. The tool is based on RR-16 Edition and RoP-17 v.1. The beta test phase involved 50 volunteers from 15 countries and ended in November 2017. The package is now released on the ITU publication web site, and all software and data updates will be provided regularly to the subscribers.</w:t>
      </w:r>
    </w:p>
    <w:p w14:paraId="0DE301E0" w14:textId="77777777" w:rsidR="0015513D" w:rsidRDefault="00F56064" w:rsidP="00F56064">
      <w:pPr>
        <w:pStyle w:val="Heading2"/>
      </w:pPr>
      <w:bookmarkStart w:id="38" w:name="_Toc424047601"/>
      <w:bookmarkStart w:id="39" w:name="_Toc446060783"/>
      <w:r>
        <w:t>9</w:t>
      </w:r>
      <w:r w:rsidR="0015513D" w:rsidRPr="00ED04B0">
        <w:t>.2</w:t>
      </w:r>
      <w:r w:rsidR="0015513D" w:rsidRPr="00ED04B0">
        <w:tab/>
        <w:t>Seminars and workshops</w:t>
      </w:r>
      <w:bookmarkEnd w:id="38"/>
      <w:bookmarkEnd w:id="39"/>
    </w:p>
    <w:p w14:paraId="58CBB58E" w14:textId="77777777" w:rsidR="0015513D" w:rsidRDefault="00F56064" w:rsidP="00F56064">
      <w:pPr>
        <w:pStyle w:val="Heading3"/>
      </w:pPr>
      <w:bookmarkStart w:id="40" w:name="_Toc424047602"/>
      <w:bookmarkStart w:id="41" w:name="_Toc446060784"/>
      <w:r>
        <w:t>9</w:t>
      </w:r>
      <w:r w:rsidR="0015513D" w:rsidRPr="00ED04B0">
        <w:t>.2.1</w:t>
      </w:r>
      <w:r w:rsidR="0015513D" w:rsidRPr="00ED04B0">
        <w:tab/>
        <w:t xml:space="preserve">World </w:t>
      </w:r>
      <w:r w:rsidR="0015513D">
        <w:t xml:space="preserve">and Regional </w:t>
      </w:r>
      <w:r w:rsidR="0015513D" w:rsidRPr="00ED04B0">
        <w:t>Radiocommunication Seminars</w:t>
      </w:r>
      <w:bookmarkEnd w:id="40"/>
      <w:bookmarkEnd w:id="41"/>
    </w:p>
    <w:p w14:paraId="6631A5BF" w14:textId="77777777" w:rsidR="00CA7306" w:rsidRPr="00CA7306" w:rsidRDefault="00CA7306" w:rsidP="00CA7306">
      <w:pPr>
        <w:jc w:val="both"/>
      </w:pPr>
      <w:r w:rsidRPr="00CA7306">
        <w:t xml:space="preserve">Following WRC-15, BR started (as of January 2016) a new intra-WRCs World and Regional Radio Seminars cycle, aimed at disseminating worldwide the revision of the Radio Regulations made by WRC-15 and the associated Rules of Procedure. </w:t>
      </w:r>
    </w:p>
    <w:p w14:paraId="19B06C40" w14:textId="77777777" w:rsidR="00CA7306" w:rsidRPr="00CA7306" w:rsidRDefault="00CA7306" w:rsidP="00CA7306">
      <w:pPr>
        <w:jc w:val="both"/>
      </w:pPr>
      <w:r w:rsidRPr="00CA7306">
        <w:t xml:space="preserve">This cycle encompasses the biennial World Radio Seminars, WRS, complemented by a set of Regional Radio Seminars, RRS. </w:t>
      </w:r>
    </w:p>
    <w:p w14:paraId="2035A141" w14:textId="43E5F32D" w:rsidR="00CA7306" w:rsidRPr="00CA7306" w:rsidRDefault="00CA7306" w:rsidP="00CA7306">
      <w:pPr>
        <w:jc w:val="both"/>
      </w:pPr>
      <w:r w:rsidRPr="00CA7306">
        <w:t>The figures below show the participation in WRSs and RRSs from 2016-2018:</w:t>
      </w:r>
    </w:p>
    <w:p w14:paraId="4477F176" w14:textId="77777777" w:rsidR="00CA7306" w:rsidRPr="00CA7306" w:rsidRDefault="00CA7306" w:rsidP="004A6500">
      <w:pPr>
        <w:pStyle w:val="ListParagraph"/>
        <w:numPr>
          <w:ilvl w:val="0"/>
          <w:numId w:val="8"/>
        </w:numPr>
        <w:jc w:val="both"/>
      </w:pPr>
      <w:r w:rsidRPr="00CA7306">
        <w:t xml:space="preserve">In two WRS: 940 participants from over 110 countries </w:t>
      </w:r>
    </w:p>
    <w:p w14:paraId="48771435" w14:textId="77777777" w:rsidR="00CA7306" w:rsidRPr="00CA7306" w:rsidRDefault="00CA7306" w:rsidP="004A6500">
      <w:pPr>
        <w:pStyle w:val="ListParagraph"/>
        <w:numPr>
          <w:ilvl w:val="0"/>
          <w:numId w:val="8"/>
        </w:numPr>
        <w:jc w:val="both"/>
      </w:pPr>
      <w:r w:rsidRPr="00CA7306">
        <w:t xml:space="preserve">In 8 RRSs: 787 participants from over 120 countries </w:t>
      </w:r>
    </w:p>
    <w:p w14:paraId="1B4F1504" w14:textId="77777777" w:rsidR="00CA7306" w:rsidRDefault="00CA7306" w:rsidP="00CA7306">
      <w:pPr>
        <w:jc w:val="both"/>
      </w:pPr>
      <w:r w:rsidRPr="00CA7306">
        <w:t>During this period the BR provided more than 100 partial fellowships for RRS and over 60 full fellowships for WRS (one per administration for eligible countries).</w:t>
      </w:r>
    </w:p>
    <w:p w14:paraId="0ED0523E" w14:textId="77777777" w:rsidR="00C75F79" w:rsidRPr="00C75F79" w:rsidRDefault="00C75F79" w:rsidP="005D0F41">
      <w:pPr>
        <w:pStyle w:val="Heading4"/>
      </w:pPr>
      <w:r w:rsidRPr="00C75F79">
        <w:t>9.2.1.1</w:t>
      </w:r>
      <w:r w:rsidRPr="00C75F79">
        <w:tab/>
        <w:t xml:space="preserve">World </w:t>
      </w:r>
      <w:proofErr w:type="spellStart"/>
      <w:r w:rsidRPr="00C75F79">
        <w:t>Radiocommunication</w:t>
      </w:r>
      <w:proofErr w:type="spellEnd"/>
      <w:r w:rsidRPr="00C75F79">
        <w:t xml:space="preserve"> Seminars</w:t>
      </w:r>
    </w:p>
    <w:p w14:paraId="221A924F" w14:textId="77777777" w:rsidR="00CA7306" w:rsidRPr="00CA7306" w:rsidRDefault="00CA7306" w:rsidP="00CA7306">
      <w:pPr>
        <w:jc w:val="both"/>
      </w:pPr>
      <w:r w:rsidRPr="00CA7306">
        <w:lastRenderedPageBreak/>
        <w:t xml:space="preserve">The 2018 World Radiocommunication Seminar (WRS-18) was held in Geneva from 3 to 7 December, with the attendance of 485 participants from 98 Member States and 40 entities. WRS-18 focused on the regulatory aspects of the use of the radio-frequency spectrum and satellite orbits, in particular the application of the provisions of the ITU Radio Regulations, </w:t>
      </w:r>
    </w:p>
    <w:p w14:paraId="706BB331" w14:textId="77777777" w:rsidR="00CA7306" w:rsidRPr="00CA7306" w:rsidRDefault="00CA7306" w:rsidP="00CA7306">
      <w:pPr>
        <w:jc w:val="both"/>
      </w:pPr>
      <w:r w:rsidRPr="00CA7306">
        <w:t xml:space="preserve">Three-day workshops were held in parallel for both terrestrial and space services. The proceedings are available on the ITU website: </w:t>
      </w:r>
      <w:hyperlink r:id="rId31" w:history="1">
        <w:r w:rsidRPr="00CA7306">
          <w:rPr>
            <w:rStyle w:val="Hyperlink"/>
          </w:rPr>
          <w:t>http://www.itu.int/ITU R/go/seminars</w:t>
        </w:r>
      </w:hyperlink>
      <w:r w:rsidRPr="00CA7306">
        <w:t xml:space="preserve">. </w:t>
      </w:r>
    </w:p>
    <w:p w14:paraId="68EFBCE8" w14:textId="6EC65E7A" w:rsidR="00C75F79" w:rsidRPr="00C75F79" w:rsidRDefault="00A01DBD" w:rsidP="00CA7306">
      <w:pPr>
        <w:jc w:val="both"/>
      </w:pPr>
      <w:r w:rsidRPr="00A01DBD">
        <w:t xml:space="preserve"> </w:t>
      </w:r>
    </w:p>
    <w:p w14:paraId="502F0CD0" w14:textId="77777777" w:rsidR="00C75F79" w:rsidRPr="00C75F79" w:rsidRDefault="00C75F79" w:rsidP="005D0F41">
      <w:pPr>
        <w:pStyle w:val="Heading4"/>
      </w:pPr>
      <w:r w:rsidRPr="00C75F79">
        <w:t>9.2.1.2</w:t>
      </w:r>
      <w:r w:rsidRPr="00C75F79">
        <w:tab/>
        <w:t>Regional Radiocommunication Seminars</w:t>
      </w:r>
    </w:p>
    <w:p w14:paraId="1A6CD115" w14:textId="73D4E5B2" w:rsidR="00CA7306" w:rsidRPr="00CA7306" w:rsidRDefault="00CA7306" w:rsidP="00EC1E0E">
      <w:pPr>
        <w:jc w:val="both"/>
      </w:pPr>
      <w:r w:rsidRPr="00CA7306">
        <w:t>As a complement to the biennial Wor</w:t>
      </w:r>
      <w:r w:rsidR="00EC1E0E">
        <w:t>l</w:t>
      </w:r>
      <w:r w:rsidRPr="00CA7306">
        <w:t>d Radiocom</w:t>
      </w:r>
      <w:r w:rsidR="00EC1E0E">
        <w:t>munication Seminars, the BR maintained</w:t>
      </w:r>
      <w:r w:rsidRPr="00CA7306">
        <w:t xml:space="preserve"> its strategy for regional outreach through the organization of yearly cycles of Regional Radiocommunication Seminars (RRS), held in different regions </w:t>
      </w:r>
      <w:r w:rsidR="00EC1E0E">
        <w:t xml:space="preserve">of the </w:t>
      </w:r>
      <w:r w:rsidRPr="00CA7306">
        <w:t>world, fostering human capacity building on the use of the radio-frequency spectrum and satellite orbits, in particular</w:t>
      </w:r>
      <w:r w:rsidR="00EC1E0E">
        <w:t>,</w:t>
      </w:r>
      <w:r w:rsidRPr="00CA7306">
        <w:t xml:space="preserve"> the application of the provisions of the ITU Radio Regulations.</w:t>
      </w:r>
    </w:p>
    <w:p w14:paraId="5B9DD636" w14:textId="77777777" w:rsidR="00CA7306" w:rsidRPr="00CA7306" w:rsidRDefault="00CA7306" w:rsidP="00CA7306">
      <w:pPr>
        <w:jc w:val="both"/>
      </w:pPr>
      <w:r w:rsidRPr="00CA7306">
        <w:t xml:space="preserve">RRSs include two days of theoretical sessions and one or two days of workshops on terrestrial and space services. They are complemented with a one or two-day forum, dedicated to spectrum-related topics of particular interest to the region. </w:t>
      </w:r>
    </w:p>
    <w:p w14:paraId="345F8DB9" w14:textId="5889B875" w:rsidR="00CA7306" w:rsidRDefault="00CA7306" w:rsidP="00EC1E0E">
      <w:pPr>
        <w:jc w:val="both"/>
      </w:pPr>
      <w:r w:rsidRPr="00CA7306">
        <w:t>Table 9.2.2-1 provides a summary of the RRSs held during this cycle. These seminars were hosted by g</w:t>
      </w:r>
      <w:r w:rsidR="00EC1E0E">
        <w:t xml:space="preserve">overnments, the regulators or </w:t>
      </w:r>
      <w:r w:rsidRPr="00CA7306">
        <w:t xml:space="preserve">spectrum management authorities of host </w:t>
      </w:r>
      <w:r w:rsidR="00EC1E0E">
        <w:t xml:space="preserve">countries, in cooperation with </w:t>
      </w:r>
      <w:r w:rsidRPr="00CA7306">
        <w:t xml:space="preserve">relevant regional organizations and the ITU regional/areas offices. RRS were conducted in a “paperless” environment. The proceedings are available on the ITU website: </w:t>
      </w:r>
      <w:hyperlink r:id="rId32" w:history="1">
        <w:r w:rsidRPr="00CA7306">
          <w:rPr>
            <w:rStyle w:val="Hyperlink"/>
          </w:rPr>
          <w:t>http://www.itu.int/ITU-R/go/seminars</w:t>
        </w:r>
      </w:hyperlink>
      <w:r>
        <w:rPr>
          <w:rStyle w:val="Hyperlink"/>
        </w:rPr>
        <w:t>.</w:t>
      </w:r>
      <w:r w:rsidRPr="00C11B87">
        <w:t xml:space="preserve"> </w:t>
      </w:r>
    </w:p>
    <w:p w14:paraId="149D7840" w14:textId="77777777" w:rsidR="00CA7306" w:rsidRPr="00E30773" w:rsidDel="00034ACE" w:rsidRDefault="00CA7306" w:rsidP="00CA7306">
      <w:pPr>
        <w:jc w:val="both"/>
        <w:rPr>
          <w:szCs w:val="24"/>
        </w:rPr>
      </w:pPr>
      <w:r w:rsidRPr="00E30773">
        <w:rPr>
          <w:szCs w:val="24"/>
        </w:rPr>
        <w:t>The following</w:t>
      </w:r>
      <w:r w:rsidRPr="00E30773" w:rsidDel="00034ACE">
        <w:rPr>
          <w:szCs w:val="24"/>
        </w:rPr>
        <w:t xml:space="preserve"> RRS</w:t>
      </w:r>
      <w:r w:rsidRPr="00E30773">
        <w:rPr>
          <w:szCs w:val="24"/>
        </w:rPr>
        <w:t xml:space="preserve"> are being planned for 2019</w:t>
      </w:r>
      <w:r w:rsidRPr="00E30773" w:rsidDel="00034ACE">
        <w:rPr>
          <w:szCs w:val="24"/>
        </w:rPr>
        <w:t>:</w:t>
      </w:r>
    </w:p>
    <w:p w14:paraId="781ADF93" w14:textId="77777777" w:rsidR="00CA7306" w:rsidRPr="00E30773" w:rsidDel="00034ACE" w:rsidRDefault="00CA7306" w:rsidP="004A6500">
      <w:pPr>
        <w:pStyle w:val="ListParagraph"/>
        <w:numPr>
          <w:ilvl w:val="0"/>
          <w:numId w:val="8"/>
        </w:numPr>
        <w:jc w:val="both"/>
        <w:rPr>
          <w:szCs w:val="24"/>
        </w:rPr>
      </w:pPr>
      <w:r w:rsidRPr="00E30773" w:rsidDel="00034ACE">
        <w:rPr>
          <w:szCs w:val="24"/>
        </w:rPr>
        <w:t>RRS-19-Africa: 13-17 May, Johannesburg, South Africa</w:t>
      </w:r>
    </w:p>
    <w:p w14:paraId="3A0010AD" w14:textId="77777777" w:rsidR="00CA7306" w:rsidRPr="00E30773" w:rsidDel="00034ACE" w:rsidRDefault="00CA7306" w:rsidP="004A6500">
      <w:pPr>
        <w:pStyle w:val="ListParagraph"/>
        <w:numPr>
          <w:ilvl w:val="0"/>
          <w:numId w:val="8"/>
        </w:numPr>
        <w:jc w:val="both"/>
        <w:rPr>
          <w:szCs w:val="24"/>
          <w:lang w:val="fr-FR"/>
        </w:rPr>
      </w:pPr>
      <w:r w:rsidRPr="00E30773" w:rsidDel="00034ACE">
        <w:rPr>
          <w:szCs w:val="24"/>
          <w:lang w:val="fr-FR"/>
        </w:rPr>
        <w:t xml:space="preserve">RRS-19-RCC: 10-14 </w:t>
      </w:r>
      <w:proofErr w:type="spellStart"/>
      <w:r w:rsidRPr="00E30773" w:rsidDel="00034ACE">
        <w:rPr>
          <w:szCs w:val="24"/>
          <w:lang w:val="fr-FR"/>
        </w:rPr>
        <w:t>June</w:t>
      </w:r>
      <w:proofErr w:type="spellEnd"/>
      <w:r w:rsidRPr="00E30773" w:rsidDel="00034ACE">
        <w:rPr>
          <w:szCs w:val="24"/>
          <w:lang w:val="fr-FR"/>
        </w:rPr>
        <w:t xml:space="preserve">, </w:t>
      </w:r>
      <w:proofErr w:type="spellStart"/>
      <w:r w:rsidRPr="00E30773" w:rsidDel="00034ACE">
        <w:rPr>
          <w:szCs w:val="24"/>
          <w:lang w:val="fr-FR"/>
        </w:rPr>
        <w:t>Tashkent</w:t>
      </w:r>
      <w:proofErr w:type="spellEnd"/>
      <w:r w:rsidRPr="00E30773" w:rsidDel="00034ACE">
        <w:rPr>
          <w:szCs w:val="24"/>
          <w:lang w:val="fr-FR"/>
        </w:rPr>
        <w:t xml:space="preserve">, </w:t>
      </w:r>
      <w:proofErr w:type="spellStart"/>
      <w:r w:rsidRPr="00E30773" w:rsidDel="00034ACE">
        <w:rPr>
          <w:szCs w:val="24"/>
          <w:lang w:val="fr-FR"/>
        </w:rPr>
        <w:t>Uzbekistan</w:t>
      </w:r>
      <w:proofErr w:type="spellEnd"/>
    </w:p>
    <w:p w14:paraId="2F8C8382" w14:textId="77777777" w:rsidR="00CA7306" w:rsidRPr="00E30773" w:rsidDel="00034ACE" w:rsidRDefault="00CA7306" w:rsidP="004A6500">
      <w:pPr>
        <w:pStyle w:val="ListParagraph"/>
        <w:numPr>
          <w:ilvl w:val="0"/>
          <w:numId w:val="8"/>
        </w:numPr>
        <w:jc w:val="both"/>
        <w:rPr>
          <w:szCs w:val="24"/>
        </w:rPr>
      </w:pPr>
      <w:r w:rsidRPr="00E30773" w:rsidDel="00034ACE">
        <w:rPr>
          <w:szCs w:val="24"/>
        </w:rPr>
        <w:t xml:space="preserve">RRS-19-Europe: 24-27 June, Tirana, Albania </w:t>
      </w:r>
    </w:p>
    <w:p w14:paraId="5B2460E2" w14:textId="77777777" w:rsidR="00CA7306" w:rsidRDefault="00CA7306" w:rsidP="00CA7306">
      <w:pPr>
        <w:jc w:val="both"/>
      </w:pPr>
    </w:p>
    <w:p w14:paraId="47D76EC0" w14:textId="3C9DD0B8" w:rsidR="00C75F79" w:rsidRDefault="00C75F79" w:rsidP="00C11B87">
      <w:pPr>
        <w:sectPr w:rsidR="00C75F79" w:rsidSect="004A6500">
          <w:pgSz w:w="11907" w:h="16834"/>
          <w:pgMar w:top="1418" w:right="1134" w:bottom="1418" w:left="1134" w:header="720" w:footer="720" w:gutter="0"/>
          <w:paperSrc w:first="15" w:other="15"/>
          <w:cols w:space="720"/>
          <w:docGrid w:linePitch="326"/>
        </w:sectPr>
      </w:pPr>
    </w:p>
    <w:p w14:paraId="32C6F982" w14:textId="65ED1A35" w:rsidR="00C75F79" w:rsidRPr="00E30773" w:rsidRDefault="00C75F79" w:rsidP="00C11B87">
      <w:pPr>
        <w:pStyle w:val="TableNo"/>
        <w:rPr>
          <w:lang w:val="en-US"/>
        </w:rPr>
      </w:pPr>
      <w:r w:rsidRPr="00E30773">
        <w:rPr>
          <w:lang w:val="en-US"/>
        </w:rPr>
        <w:lastRenderedPageBreak/>
        <w:t xml:space="preserve">Table </w:t>
      </w:r>
      <w:r w:rsidR="00C11B87" w:rsidRPr="00E30773">
        <w:rPr>
          <w:lang w:val="en-US"/>
        </w:rPr>
        <w:t>9</w:t>
      </w:r>
      <w:r w:rsidRPr="00E30773">
        <w:rPr>
          <w:lang w:val="en-US"/>
        </w:rPr>
        <w:t>.2.2-1</w:t>
      </w:r>
    </w:p>
    <w:p w14:paraId="165ECBB8" w14:textId="77777777" w:rsidR="00C75F79" w:rsidRPr="00E30773" w:rsidRDefault="00C75F79" w:rsidP="00C75F79">
      <w:pPr>
        <w:pStyle w:val="TabletitleBR"/>
      </w:pPr>
      <w:r w:rsidRPr="00E30773">
        <w:t>ITU Regional Radiocommunication Seminars (2014-2017)</w:t>
      </w:r>
    </w:p>
    <w:p w14:paraId="5A892DB3" w14:textId="77777777" w:rsidR="00C75F79" w:rsidRPr="00DB2FBF" w:rsidRDefault="00C75F79" w:rsidP="00C75F79">
      <w:pPr>
        <w:rPr>
          <w:sz w:val="12"/>
          <w:szCs w:val="12"/>
        </w:rPr>
      </w:pPr>
    </w:p>
    <w:tbl>
      <w:tblPr>
        <w:tblStyle w:val="TableGrid"/>
        <w:tblW w:w="14032" w:type="dxa"/>
        <w:jc w:val="center"/>
        <w:tblLayout w:type="fixed"/>
        <w:tblLook w:val="04A0" w:firstRow="1" w:lastRow="0" w:firstColumn="1" w:lastColumn="0" w:noHBand="0" w:noVBand="1"/>
      </w:tblPr>
      <w:tblGrid>
        <w:gridCol w:w="988"/>
        <w:gridCol w:w="1842"/>
        <w:gridCol w:w="1701"/>
        <w:gridCol w:w="2552"/>
        <w:gridCol w:w="2126"/>
        <w:gridCol w:w="2126"/>
        <w:gridCol w:w="1137"/>
        <w:gridCol w:w="1560"/>
      </w:tblGrid>
      <w:tr w:rsidR="00C11B87" w:rsidRPr="00E30773" w14:paraId="63F50A3F" w14:textId="77777777" w:rsidTr="00EC1E0E">
        <w:trPr>
          <w:tblHeader/>
          <w:jc w:val="center"/>
        </w:trPr>
        <w:tc>
          <w:tcPr>
            <w:tcW w:w="988" w:type="dxa"/>
            <w:vAlign w:val="center"/>
          </w:tcPr>
          <w:p w14:paraId="31177176" w14:textId="77777777" w:rsidR="00C11B87" w:rsidRPr="00E30773" w:rsidRDefault="00C11B87" w:rsidP="00E82D32">
            <w:pPr>
              <w:jc w:val="center"/>
              <w:rPr>
                <w:rFonts w:asciiTheme="majorBidi" w:hAnsiTheme="majorBidi" w:cstheme="majorBidi"/>
                <w:b/>
                <w:bCs/>
                <w:sz w:val="18"/>
                <w:szCs w:val="18"/>
              </w:rPr>
            </w:pPr>
            <w:r w:rsidRPr="00E30773">
              <w:rPr>
                <w:rFonts w:asciiTheme="majorBidi" w:hAnsiTheme="majorBidi" w:cstheme="majorBidi"/>
                <w:b/>
                <w:bCs/>
                <w:sz w:val="18"/>
                <w:szCs w:val="18"/>
              </w:rPr>
              <w:t>Date</w:t>
            </w:r>
          </w:p>
        </w:tc>
        <w:tc>
          <w:tcPr>
            <w:tcW w:w="1842" w:type="dxa"/>
            <w:vAlign w:val="center"/>
          </w:tcPr>
          <w:p w14:paraId="6B6895DB" w14:textId="77777777" w:rsidR="00C11B87" w:rsidRPr="00E30773" w:rsidRDefault="00C11B87" w:rsidP="00E82D32">
            <w:pPr>
              <w:jc w:val="center"/>
              <w:rPr>
                <w:rFonts w:asciiTheme="majorBidi" w:hAnsiTheme="majorBidi" w:cstheme="majorBidi"/>
                <w:b/>
                <w:bCs/>
                <w:sz w:val="18"/>
                <w:szCs w:val="18"/>
              </w:rPr>
            </w:pPr>
            <w:r w:rsidRPr="00E30773">
              <w:rPr>
                <w:rFonts w:asciiTheme="majorBidi" w:hAnsiTheme="majorBidi" w:cstheme="majorBidi"/>
                <w:b/>
                <w:bCs/>
                <w:sz w:val="18"/>
                <w:szCs w:val="18"/>
              </w:rPr>
              <w:t>RRS</w:t>
            </w:r>
          </w:p>
        </w:tc>
        <w:tc>
          <w:tcPr>
            <w:tcW w:w="1701" w:type="dxa"/>
            <w:vAlign w:val="center"/>
          </w:tcPr>
          <w:p w14:paraId="2649D22B" w14:textId="77777777" w:rsidR="00C11B87" w:rsidRPr="00E30773" w:rsidRDefault="00C11B87" w:rsidP="00E82D32">
            <w:pPr>
              <w:jc w:val="center"/>
              <w:rPr>
                <w:rFonts w:asciiTheme="majorBidi" w:hAnsiTheme="majorBidi" w:cstheme="majorBidi"/>
                <w:b/>
                <w:bCs/>
                <w:sz w:val="18"/>
                <w:szCs w:val="18"/>
              </w:rPr>
            </w:pPr>
            <w:r w:rsidRPr="00E30773">
              <w:rPr>
                <w:rFonts w:asciiTheme="majorBidi" w:hAnsiTheme="majorBidi" w:cstheme="majorBidi"/>
                <w:b/>
                <w:bCs/>
                <w:sz w:val="18"/>
                <w:szCs w:val="18"/>
              </w:rPr>
              <w:t>Place</w:t>
            </w:r>
          </w:p>
        </w:tc>
        <w:tc>
          <w:tcPr>
            <w:tcW w:w="2552" w:type="dxa"/>
            <w:vAlign w:val="center"/>
          </w:tcPr>
          <w:p w14:paraId="79108CC4" w14:textId="77777777" w:rsidR="00C11B87" w:rsidRPr="00E30773" w:rsidRDefault="00C11B87" w:rsidP="00E82D32">
            <w:pPr>
              <w:jc w:val="center"/>
              <w:rPr>
                <w:rFonts w:asciiTheme="majorBidi" w:hAnsiTheme="majorBidi" w:cstheme="majorBidi"/>
                <w:b/>
                <w:bCs/>
                <w:sz w:val="18"/>
                <w:szCs w:val="18"/>
              </w:rPr>
            </w:pPr>
            <w:r w:rsidRPr="00E30773">
              <w:rPr>
                <w:rFonts w:asciiTheme="majorBidi" w:hAnsiTheme="majorBidi" w:cstheme="majorBidi"/>
                <w:b/>
                <w:bCs/>
                <w:sz w:val="18"/>
                <w:szCs w:val="18"/>
              </w:rPr>
              <w:t>Host</w:t>
            </w:r>
          </w:p>
        </w:tc>
        <w:tc>
          <w:tcPr>
            <w:tcW w:w="2126" w:type="dxa"/>
            <w:vAlign w:val="center"/>
          </w:tcPr>
          <w:p w14:paraId="0AF5308B" w14:textId="77777777" w:rsidR="00C11B87" w:rsidRPr="00E30773" w:rsidRDefault="00C11B87" w:rsidP="00E82D32">
            <w:pPr>
              <w:jc w:val="center"/>
              <w:rPr>
                <w:rFonts w:asciiTheme="majorBidi" w:hAnsiTheme="majorBidi" w:cstheme="majorBidi"/>
                <w:b/>
                <w:bCs/>
                <w:sz w:val="18"/>
                <w:szCs w:val="18"/>
              </w:rPr>
            </w:pPr>
            <w:r w:rsidRPr="00E30773">
              <w:rPr>
                <w:rFonts w:asciiTheme="majorBidi" w:hAnsiTheme="majorBidi" w:cstheme="majorBidi"/>
                <w:b/>
                <w:bCs/>
                <w:sz w:val="18"/>
                <w:szCs w:val="18"/>
              </w:rPr>
              <w:t>Cooperation</w:t>
            </w:r>
          </w:p>
        </w:tc>
        <w:tc>
          <w:tcPr>
            <w:tcW w:w="2126" w:type="dxa"/>
            <w:vAlign w:val="center"/>
          </w:tcPr>
          <w:p w14:paraId="7B54095A" w14:textId="77777777" w:rsidR="00C11B87" w:rsidRPr="00E30773" w:rsidRDefault="00C11B87" w:rsidP="00E82D32">
            <w:pPr>
              <w:jc w:val="center"/>
              <w:rPr>
                <w:rFonts w:asciiTheme="majorBidi" w:hAnsiTheme="majorBidi" w:cstheme="majorBidi"/>
                <w:b/>
                <w:bCs/>
                <w:sz w:val="18"/>
                <w:szCs w:val="18"/>
              </w:rPr>
            </w:pPr>
            <w:r w:rsidRPr="00E30773">
              <w:rPr>
                <w:rFonts w:asciiTheme="majorBidi" w:hAnsiTheme="majorBidi" w:cstheme="majorBidi"/>
                <w:b/>
                <w:bCs/>
                <w:sz w:val="18"/>
                <w:szCs w:val="18"/>
              </w:rPr>
              <w:t>Forum Topics</w:t>
            </w:r>
          </w:p>
        </w:tc>
        <w:tc>
          <w:tcPr>
            <w:tcW w:w="1137" w:type="dxa"/>
            <w:vAlign w:val="center"/>
          </w:tcPr>
          <w:p w14:paraId="61F7BF20" w14:textId="77777777" w:rsidR="00C11B87" w:rsidRPr="00E30773" w:rsidRDefault="00C11B87" w:rsidP="00E82D32">
            <w:pPr>
              <w:jc w:val="center"/>
              <w:rPr>
                <w:rFonts w:asciiTheme="majorBidi" w:hAnsiTheme="majorBidi" w:cstheme="majorBidi"/>
                <w:b/>
                <w:bCs/>
                <w:sz w:val="18"/>
                <w:szCs w:val="18"/>
              </w:rPr>
            </w:pPr>
            <w:r w:rsidRPr="00E30773">
              <w:rPr>
                <w:rFonts w:asciiTheme="majorBidi" w:hAnsiTheme="majorBidi" w:cstheme="majorBidi"/>
                <w:b/>
                <w:bCs/>
                <w:sz w:val="18"/>
                <w:szCs w:val="18"/>
              </w:rPr>
              <w:t>Languages</w:t>
            </w:r>
          </w:p>
        </w:tc>
        <w:tc>
          <w:tcPr>
            <w:tcW w:w="1560" w:type="dxa"/>
            <w:vAlign w:val="center"/>
          </w:tcPr>
          <w:p w14:paraId="786C0B29" w14:textId="77777777" w:rsidR="00C11B87" w:rsidRPr="00E30773" w:rsidRDefault="00C11B87" w:rsidP="00EC1E0E">
            <w:pPr>
              <w:spacing w:after="120"/>
              <w:jc w:val="center"/>
              <w:rPr>
                <w:rFonts w:asciiTheme="majorBidi" w:hAnsiTheme="majorBidi" w:cstheme="majorBidi"/>
                <w:b/>
                <w:bCs/>
                <w:sz w:val="18"/>
                <w:szCs w:val="18"/>
              </w:rPr>
            </w:pPr>
            <w:r w:rsidRPr="00E30773">
              <w:rPr>
                <w:rFonts w:asciiTheme="majorBidi" w:hAnsiTheme="majorBidi" w:cstheme="majorBidi"/>
                <w:b/>
                <w:bCs/>
                <w:sz w:val="18"/>
                <w:szCs w:val="18"/>
              </w:rPr>
              <w:t>Participants/</w:t>
            </w:r>
            <w:r w:rsidRPr="00E30773">
              <w:rPr>
                <w:rFonts w:asciiTheme="majorBidi" w:hAnsiTheme="majorBidi" w:cstheme="majorBidi"/>
                <w:b/>
                <w:bCs/>
                <w:sz w:val="18"/>
                <w:szCs w:val="18"/>
              </w:rPr>
              <w:br/>
              <w:t>administrations</w:t>
            </w:r>
          </w:p>
        </w:tc>
      </w:tr>
      <w:tr w:rsidR="00C11B87" w:rsidRPr="00E30773" w14:paraId="452E18B7" w14:textId="77777777" w:rsidTr="00E82D32">
        <w:trPr>
          <w:jc w:val="center"/>
        </w:trPr>
        <w:tc>
          <w:tcPr>
            <w:tcW w:w="14032" w:type="dxa"/>
            <w:gridSpan w:val="8"/>
            <w:vAlign w:val="center"/>
          </w:tcPr>
          <w:p w14:paraId="3C207B7C" w14:textId="77777777" w:rsidR="00C11B87" w:rsidRPr="00E30773" w:rsidRDefault="00C11B87" w:rsidP="00EC1E0E">
            <w:pPr>
              <w:spacing w:after="120"/>
              <w:rPr>
                <w:rFonts w:asciiTheme="majorBidi" w:hAnsiTheme="majorBidi" w:cstheme="majorBidi"/>
                <w:b/>
                <w:bCs/>
                <w:sz w:val="18"/>
                <w:szCs w:val="18"/>
              </w:rPr>
            </w:pPr>
            <w:r w:rsidRPr="00E30773">
              <w:rPr>
                <w:rFonts w:asciiTheme="majorBidi" w:hAnsiTheme="majorBidi" w:cstheme="majorBidi"/>
                <w:b/>
                <w:bCs/>
                <w:sz w:val="18"/>
                <w:szCs w:val="18"/>
              </w:rPr>
              <w:t>2016</w:t>
            </w:r>
          </w:p>
        </w:tc>
      </w:tr>
      <w:tr w:rsidR="00C11B87" w:rsidRPr="00E30773" w14:paraId="6B2497B6" w14:textId="77777777" w:rsidTr="00EC1E0E">
        <w:trPr>
          <w:jc w:val="center"/>
        </w:trPr>
        <w:tc>
          <w:tcPr>
            <w:tcW w:w="988" w:type="dxa"/>
            <w:vAlign w:val="center"/>
          </w:tcPr>
          <w:p w14:paraId="14770810" w14:textId="5EEA923E" w:rsidR="00C11B87" w:rsidRPr="00E30773" w:rsidRDefault="00C11B87" w:rsidP="00E82D32">
            <w:pPr>
              <w:rPr>
                <w:rFonts w:asciiTheme="majorBidi" w:hAnsiTheme="majorBidi" w:cstheme="majorBidi"/>
                <w:sz w:val="18"/>
                <w:szCs w:val="18"/>
              </w:rPr>
            </w:pPr>
          </w:p>
        </w:tc>
        <w:tc>
          <w:tcPr>
            <w:tcW w:w="1842" w:type="dxa"/>
            <w:vAlign w:val="center"/>
          </w:tcPr>
          <w:p w14:paraId="357D10A6" w14:textId="77777777" w:rsidR="00C11B87" w:rsidRPr="00E30773" w:rsidRDefault="00C11B87" w:rsidP="00E82D32">
            <w:pPr>
              <w:rPr>
                <w:rFonts w:asciiTheme="majorBidi" w:hAnsiTheme="majorBidi" w:cstheme="majorBidi"/>
                <w:b/>
                <w:bCs/>
                <w:sz w:val="18"/>
                <w:szCs w:val="18"/>
              </w:rPr>
            </w:pPr>
            <w:r w:rsidRPr="00E30773">
              <w:rPr>
                <w:rFonts w:asciiTheme="majorBidi" w:hAnsiTheme="majorBidi" w:cstheme="majorBidi"/>
                <w:b/>
                <w:bCs/>
                <w:sz w:val="18"/>
                <w:szCs w:val="18"/>
              </w:rPr>
              <w:t>RRS-16-Americas</w:t>
            </w:r>
          </w:p>
        </w:tc>
        <w:tc>
          <w:tcPr>
            <w:tcW w:w="1701" w:type="dxa"/>
            <w:vAlign w:val="center"/>
          </w:tcPr>
          <w:p w14:paraId="19F48B0C"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Port of Spain, Trinidad and Tobago</w:t>
            </w:r>
          </w:p>
        </w:tc>
        <w:tc>
          <w:tcPr>
            <w:tcW w:w="2552" w:type="dxa"/>
            <w:vAlign w:val="center"/>
          </w:tcPr>
          <w:p w14:paraId="5586FD8F" w14:textId="77777777" w:rsidR="00C11B87" w:rsidRPr="00E30773" w:rsidRDefault="00C11B87" w:rsidP="00E82D32">
            <w:pPr>
              <w:jc w:val="center"/>
              <w:rPr>
                <w:rFonts w:asciiTheme="majorBidi" w:hAnsiTheme="majorBidi" w:cstheme="majorBidi"/>
                <w:sz w:val="18"/>
                <w:szCs w:val="18"/>
                <w:lang w:val="es-ES_tradnl"/>
              </w:rPr>
            </w:pPr>
            <w:r w:rsidRPr="00E30773">
              <w:rPr>
                <w:rFonts w:asciiTheme="majorBidi" w:hAnsiTheme="majorBidi" w:cstheme="majorBidi"/>
                <w:sz w:val="18"/>
                <w:szCs w:val="18"/>
              </w:rPr>
              <w:t> Caribbean Telecommunications Union (CTU) </w:t>
            </w:r>
          </w:p>
        </w:tc>
        <w:tc>
          <w:tcPr>
            <w:tcW w:w="2126" w:type="dxa"/>
            <w:vAlign w:val="center"/>
          </w:tcPr>
          <w:p w14:paraId="36BA4B9D"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ITU Americas Office</w:t>
            </w:r>
          </w:p>
        </w:tc>
        <w:tc>
          <w:tcPr>
            <w:tcW w:w="2126" w:type="dxa"/>
            <w:vAlign w:val="center"/>
          </w:tcPr>
          <w:p w14:paraId="23F398C2" w14:textId="77777777" w:rsidR="00C11B87" w:rsidRPr="00E30773" w:rsidRDefault="00C11B87" w:rsidP="00EC1E0E">
            <w:pPr>
              <w:spacing w:after="120"/>
              <w:jc w:val="center"/>
              <w:rPr>
                <w:rFonts w:asciiTheme="majorBidi" w:hAnsiTheme="majorBidi" w:cstheme="majorBidi"/>
                <w:sz w:val="18"/>
                <w:szCs w:val="18"/>
              </w:rPr>
            </w:pPr>
            <w:r w:rsidRPr="00E30773">
              <w:rPr>
                <w:rFonts w:asciiTheme="majorBidi" w:hAnsiTheme="majorBidi" w:cstheme="majorBidi"/>
                <w:sz w:val="18"/>
                <w:szCs w:val="18"/>
              </w:rPr>
              <w:t>WRC-15 outcomes and WRC-19 Agenda: Regional Challenges and Opportunities for Spectrum Harmonisation</w:t>
            </w:r>
          </w:p>
        </w:tc>
        <w:tc>
          <w:tcPr>
            <w:tcW w:w="1137" w:type="dxa"/>
            <w:vAlign w:val="center"/>
          </w:tcPr>
          <w:p w14:paraId="53381255" w14:textId="77777777" w:rsidR="00C11B87" w:rsidRPr="00EC1E0E" w:rsidRDefault="00C11B87" w:rsidP="00E82D32">
            <w:pPr>
              <w:jc w:val="center"/>
              <w:rPr>
                <w:rFonts w:asciiTheme="majorBidi" w:hAnsiTheme="majorBidi" w:cstheme="majorBidi"/>
                <w:sz w:val="18"/>
                <w:szCs w:val="18"/>
              </w:rPr>
            </w:pPr>
            <w:r w:rsidRPr="00EC1E0E">
              <w:rPr>
                <w:rFonts w:asciiTheme="majorBidi" w:hAnsiTheme="majorBidi" w:cstheme="majorBidi"/>
                <w:sz w:val="18"/>
                <w:szCs w:val="18"/>
              </w:rPr>
              <w:t>E</w:t>
            </w:r>
          </w:p>
        </w:tc>
        <w:tc>
          <w:tcPr>
            <w:tcW w:w="1560" w:type="dxa"/>
            <w:vAlign w:val="center"/>
          </w:tcPr>
          <w:p w14:paraId="29242823" w14:textId="77777777" w:rsidR="00C11B87" w:rsidRPr="00EC1E0E" w:rsidRDefault="00C11B87" w:rsidP="00E82D32">
            <w:pPr>
              <w:jc w:val="center"/>
              <w:rPr>
                <w:rFonts w:asciiTheme="majorBidi" w:hAnsiTheme="majorBidi" w:cstheme="majorBidi"/>
                <w:sz w:val="18"/>
                <w:szCs w:val="18"/>
              </w:rPr>
            </w:pPr>
            <w:r w:rsidRPr="00EC1E0E">
              <w:rPr>
                <w:rFonts w:asciiTheme="majorBidi" w:hAnsiTheme="majorBidi" w:cstheme="majorBidi"/>
                <w:sz w:val="18"/>
                <w:szCs w:val="18"/>
              </w:rPr>
              <w:t>31/14</w:t>
            </w:r>
          </w:p>
        </w:tc>
      </w:tr>
      <w:tr w:rsidR="00C11B87" w:rsidRPr="00E30773" w14:paraId="1537B852" w14:textId="77777777" w:rsidTr="00EC1E0E">
        <w:trPr>
          <w:jc w:val="center"/>
        </w:trPr>
        <w:tc>
          <w:tcPr>
            <w:tcW w:w="988" w:type="dxa"/>
            <w:vAlign w:val="center"/>
          </w:tcPr>
          <w:p w14:paraId="75DD0884" w14:textId="67F938B3" w:rsidR="00C11B87" w:rsidRPr="00E30773" w:rsidRDefault="00C11B87" w:rsidP="00E82D32">
            <w:pPr>
              <w:rPr>
                <w:rFonts w:asciiTheme="majorBidi" w:hAnsiTheme="majorBidi" w:cstheme="majorBidi"/>
                <w:sz w:val="18"/>
                <w:szCs w:val="18"/>
              </w:rPr>
            </w:pPr>
          </w:p>
        </w:tc>
        <w:tc>
          <w:tcPr>
            <w:tcW w:w="1842" w:type="dxa"/>
            <w:vAlign w:val="center"/>
          </w:tcPr>
          <w:p w14:paraId="3B9CA345" w14:textId="77777777" w:rsidR="00C11B87" w:rsidRPr="00E30773" w:rsidRDefault="00C11B87" w:rsidP="00E82D32">
            <w:pPr>
              <w:rPr>
                <w:rFonts w:asciiTheme="majorBidi" w:hAnsiTheme="majorBidi" w:cstheme="majorBidi"/>
                <w:b/>
                <w:bCs/>
                <w:sz w:val="18"/>
                <w:szCs w:val="18"/>
              </w:rPr>
            </w:pPr>
            <w:r w:rsidRPr="00E30773">
              <w:rPr>
                <w:rFonts w:asciiTheme="majorBidi" w:hAnsiTheme="majorBidi" w:cstheme="majorBidi"/>
                <w:b/>
                <w:bCs/>
                <w:sz w:val="18"/>
                <w:szCs w:val="18"/>
              </w:rPr>
              <w:t>RRS-16-Asia-Pacific</w:t>
            </w:r>
          </w:p>
        </w:tc>
        <w:tc>
          <w:tcPr>
            <w:tcW w:w="1701" w:type="dxa"/>
            <w:vAlign w:val="center"/>
          </w:tcPr>
          <w:p w14:paraId="03305687"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bCs/>
                <w:sz w:val="18"/>
                <w:szCs w:val="18"/>
              </w:rPr>
              <w:t>Apia, Samoa</w:t>
            </w:r>
          </w:p>
        </w:tc>
        <w:tc>
          <w:tcPr>
            <w:tcW w:w="2552" w:type="dxa"/>
            <w:vAlign w:val="center"/>
          </w:tcPr>
          <w:p w14:paraId="70741EF4" w14:textId="027CB53B" w:rsidR="00C11B87" w:rsidRPr="00E30773" w:rsidRDefault="00C11B87" w:rsidP="00E82D32">
            <w:pPr>
              <w:jc w:val="center"/>
              <w:rPr>
                <w:rFonts w:asciiTheme="majorBidi" w:hAnsiTheme="majorBidi" w:cstheme="majorBidi"/>
                <w:color w:val="444444"/>
                <w:sz w:val="18"/>
                <w:szCs w:val="18"/>
                <w:shd w:val="clear" w:color="auto" w:fill="FFFFFF"/>
              </w:rPr>
            </w:pPr>
            <w:r w:rsidRPr="00E30773">
              <w:rPr>
                <w:rFonts w:asciiTheme="majorBidi" w:hAnsiTheme="majorBidi" w:cstheme="majorBidi"/>
                <w:color w:val="444444"/>
                <w:sz w:val="18"/>
                <w:szCs w:val="18"/>
                <w:shd w:val="clear" w:color="auto" w:fill="FFFFFF"/>
              </w:rPr>
              <w:t>ICT Ministry. Samoa</w:t>
            </w:r>
          </w:p>
        </w:tc>
        <w:tc>
          <w:tcPr>
            <w:tcW w:w="2126" w:type="dxa"/>
            <w:vAlign w:val="center"/>
          </w:tcPr>
          <w:p w14:paraId="31D47366"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 xml:space="preserve">ITU </w:t>
            </w:r>
            <w:proofErr w:type="spellStart"/>
            <w:r w:rsidRPr="00E30773">
              <w:rPr>
                <w:rFonts w:asciiTheme="majorBidi" w:hAnsiTheme="majorBidi" w:cstheme="majorBidi"/>
                <w:sz w:val="18"/>
                <w:szCs w:val="18"/>
              </w:rPr>
              <w:t>Asia&amp;Pacific</w:t>
            </w:r>
            <w:proofErr w:type="spellEnd"/>
            <w:r w:rsidRPr="00E30773">
              <w:rPr>
                <w:rFonts w:asciiTheme="majorBidi" w:hAnsiTheme="majorBidi" w:cstheme="majorBidi"/>
                <w:sz w:val="18"/>
                <w:szCs w:val="18"/>
              </w:rPr>
              <w:t xml:space="preserve"> Office</w:t>
            </w:r>
          </w:p>
        </w:tc>
        <w:tc>
          <w:tcPr>
            <w:tcW w:w="2126" w:type="dxa"/>
            <w:vAlign w:val="center"/>
          </w:tcPr>
          <w:p w14:paraId="3E5BEB18" w14:textId="77777777" w:rsidR="00C11B87" w:rsidRPr="00E30773" w:rsidRDefault="00C11B87" w:rsidP="00EC1E0E">
            <w:pPr>
              <w:spacing w:after="120"/>
              <w:jc w:val="center"/>
              <w:rPr>
                <w:rFonts w:asciiTheme="majorBidi" w:hAnsiTheme="majorBidi" w:cstheme="majorBidi"/>
                <w:sz w:val="18"/>
                <w:szCs w:val="18"/>
              </w:rPr>
            </w:pPr>
            <w:r w:rsidRPr="00E30773">
              <w:rPr>
                <w:rFonts w:asciiTheme="majorBidi" w:hAnsiTheme="majorBidi" w:cstheme="majorBidi"/>
                <w:sz w:val="18"/>
                <w:szCs w:val="18"/>
              </w:rPr>
              <w:t xml:space="preserve">Bridging the Digital divide on the region: role of </w:t>
            </w:r>
            <w:proofErr w:type="spellStart"/>
            <w:r w:rsidRPr="00E30773">
              <w:rPr>
                <w:rFonts w:asciiTheme="majorBidi" w:hAnsiTheme="majorBidi" w:cstheme="majorBidi"/>
                <w:sz w:val="18"/>
                <w:szCs w:val="18"/>
              </w:rPr>
              <w:t>Radiocommunications</w:t>
            </w:r>
            <w:proofErr w:type="spellEnd"/>
            <w:r w:rsidRPr="00E30773">
              <w:rPr>
                <w:rFonts w:asciiTheme="majorBidi" w:hAnsiTheme="majorBidi" w:cstheme="majorBidi"/>
                <w:sz w:val="18"/>
                <w:szCs w:val="18"/>
              </w:rPr>
              <w:t xml:space="preserve"> Technologies"</w:t>
            </w:r>
          </w:p>
        </w:tc>
        <w:tc>
          <w:tcPr>
            <w:tcW w:w="1137" w:type="dxa"/>
            <w:vAlign w:val="center"/>
          </w:tcPr>
          <w:p w14:paraId="6756C5CB" w14:textId="77777777" w:rsidR="00C11B87" w:rsidRPr="00EC1E0E" w:rsidRDefault="00C11B87" w:rsidP="00E82D32">
            <w:pPr>
              <w:jc w:val="center"/>
              <w:rPr>
                <w:rFonts w:asciiTheme="majorBidi" w:hAnsiTheme="majorBidi" w:cstheme="majorBidi"/>
                <w:sz w:val="18"/>
                <w:szCs w:val="18"/>
              </w:rPr>
            </w:pPr>
            <w:r w:rsidRPr="00EC1E0E">
              <w:rPr>
                <w:rFonts w:asciiTheme="majorBidi" w:hAnsiTheme="majorBidi" w:cstheme="majorBidi"/>
                <w:sz w:val="18"/>
                <w:szCs w:val="18"/>
              </w:rPr>
              <w:t>E</w:t>
            </w:r>
          </w:p>
        </w:tc>
        <w:tc>
          <w:tcPr>
            <w:tcW w:w="1560" w:type="dxa"/>
            <w:vAlign w:val="center"/>
          </w:tcPr>
          <w:p w14:paraId="06EEE0EE" w14:textId="77777777" w:rsidR="00C11B87" w:rsidRPr="00EC1E0E" w:rsidRDefault="00C11B87" w:rsidP="00E82D32">
            <w:pPr>
              <w:jc w:val="center"/>
              <w:rPr>
                <w:rFonts w:asciiTheme="majorBidi" w:hAnsiTheme="majorBidi" w:cstheme="majorBidi"/>
                <w:sz w:val="18"/>
                <w:szCs w:val="18"/>
              </w:rPr>
            </w:pPr>
            <w:r w:rsidRPr="00EC1E0E">
              <w:rPr>
                <w:rFonts w:asciiTheme="majorBidi" w:hAnsiTheme="majorBidi" w:cstheme="majorBidi"/>
                <w:sz w:val="18"/>
                <w:szCs w:val="18"/>
              </w:rPr>
              <w:t>78/15</w:t>
            </w:r>
          </w:p>
        </w:tc>
      </w:tr>
      <w:tr w:rsidR="00C11B87" w:rsidRPr="00E30773" w14:paraId="3D41D883" w14:textId="77777777" w:rsidTr="00E82D32">
        <w:trPr>
          <w:jc w:val="center"/>
        </w:trPr>
        <w:tc>
          <w:tcPr>
            <w:tcW w:w="14032" w:type="dxa"/>
            <w:gridSpan w:val="8"/>
            <w:vAlign w:val="center"/>
          </w:tcPr>
          <w:p w14:paraId="15A6DB90" w14:textId="77777777" w:rsidR="00C11B87" w:rsidRPr="00E30773" w:rsidRDefault="00C11B87" w:rsidP="00EC1E0E">
            <w:pPr>
              <w:spacing w:after="120"/>
              <w:rPr>
                <w:rFonts w:asciiTheme="majorBidi" w:hAnsiTheme="majorBidi" w:cstheme="majorBidi"/>
                <w:b/>
                <w:bCs/>
                <w:sz w:val="18"/>
                <w:szCs w:val="18"/>
              </w:rPr>
            </w:pPr>
            <w:r w:rsidRPr="00E30773">
              <w:rPr>
                <w:rFonts w:asciiTheme="majorBidi" w:hAnsiTheme="majorBidi" w:cstheme="majorBidi"/>
                <w:b/>
                <w:bCs/>
                <w:sz w:val="18"/>
                <w:szCs w:val="18"/>
              </w:rPr>
              <w:t>2017</w:t>
            </w:r>
          </w:p>
        </w:tc>
      </w:tr>
      <w:tr w:rsidR="00C11B87" w:rsidRPr="00E30773" w14:paraId="33B9843E" w14:textId="77777777" w:rsidTr="00EC1E0E">
        <w:trPr>
          <w:jc w:val="center"/>
        </w:trPr>
        <w:tc>
          <w:tcPr>
            <w:tcW w:w="988" w:type="dxa"/>
            <w:vAlign w:val="center"/>
          </w:tcPr>
          <w:p w14:paraId="221BF215" w14:textId="77777777" w:rsidR="00C11B87" w:rsidRPr="00E30773" w:rsidRDefault="00C11B87" w:rsidP="00E82D32">
            <w:pPr>
              <w:rPr>
                <w:rFonts w:asciiTheme="majorBidi" w:hAnsiTheme="majorBidi" w:cstheme="majorBidi"/>
                <w:sz w:val="18"/>
                <w:szCs w:val="18"/>
              </w:rPr>
            </w:pPr>
          </w:p>
        </w:tc>
        <w:tc>
          <w:tcPr>
            <w:tcW w:w="1842" w:type="dxa"/>
            <w:vAlign w:val="center"/>
          </w:tcPr>
          <w:p w14:paraId="2522D6F6" w14:textId="77777777" w:rsidR="00C11B87" w:rsidRPr="00E30773" w:rsidRDefault="00C11B87" w:rsidP="00E82D32">
            <w:pPr>
              <w:rPr>
                <w:rFonts w:asciiTheme="majorBidi" w:hAnsiTheme="majorBidi" w:cstheme="majorBidi"/>
                <w:b/>
                <w:bCs/>
                <w:sz w:val="18"/>
                <w:szCs w:val="18"/>
              </w:rPr>
            </w:pPr>
            <w:r w:rsidRPr="00E30773">
              <w:rPr>
                <w:rFonts w:asciiTheme="majorBidi" w:hAnsiTheme="majorBidi" w:cstheme="majorBidi"/>
                <w:b/>
                <w:bCs/>
                <w:sz w:val="18"/>
                <w:szCs w:val="18"/>
              </w:rPr>
              <w:t>RRS-17 Africa</w:t>
            </w:r>
          </w:p>
        </w:tc>
        <w:tc>
          <w:tcPr>
            <w:tcW w:w="1701" w:type="dxa"/>
            <w:vAlign w:val="center"/>
          </w:tcPr>
          <w:p w14:paraId="449D7236" w14:textId="77777777" w:rsidR="00C11B87" w:rsidRPr="00E30773" w:rsidRDefault="00C11B87" w:rsidP="00E82D32">
            <w:pPr>
              <w:jc w:val="center"/>
              <w:rPr>
                <w:rFonts w:asciiTheme="majorBidi" w:hAnsiTheme="majorBidi" w:cstheme="majorBidi"/>
                <w:bCs/>
                <w:sz w:val="18"/>
                <w:szCs w:val="18"/>
              </w:rPr>
            </w:pPr>
            <w:r w:rsidRPr="00E30773">
              <w:rPr>
                <w:rFonts w:asciiTheme="majorBidi" w:hAnsiTheme="majorBidi" w:cstheme="majorBidi"/>
                <w:bCs/>
                <w:sz w:val="18"/>
                <w:szCs w:val="18"/>
              </w:rPr>
              <w:t>Senegal</w:t>
            </w:r>
          </w:p>
        </w:tc>
        <w:tc>
          <w:tcPr>
            <w:tcW w:w="2552" w:type="dxa"/>
            <w:vAlign w:val="center"/>
          </w:tcPr>
          <w:p w14:paraId="67334919" w14:textId="36560EA6" w:rsidR="00C11B87" w:rsidRPr="00E30773" w:rsidRDefault="00C11B87" w:rsidP="00DB2FBF">
            <w:pPr>
              <w:spacing w:after="120"/>
              <w:jc w:val="center"/>
              <w:rPr>
                <w:rFonts w:asciiTheme="majorBidi" w:hAnsiTheme="majorBidi" w:cstheme="majorBidi"/>
                <w:sz w:val="18"/>
                <w:szCs w:val="18"/>
                <w:lang w:val="fr-CH"/>
              </w:rPr>
            </w:pPr>
            <w:r w:rsidRPr="00E30773">
              <w:rPr>
                <w:rFonts w:asciiTheme="majorBidi" w:hAnsiTheme="majorBidi" w:cstheme="majorBidi"/>
                <w:sz w:val="18"/>
                <w:szCs w:val="18"/>
                <w:lang w:val="fr-CH"/>
              </w:rPr>
              <w:t>Minist</w:t>
            </w:r>
            <w:r w:rsidR="00DB2FBF">
              <w:rPr>
                <w:rFonts w:asciiTheme="majorBidi" w:hAnsiTheme="majorBidi" w:cstheme="majorBidi"/>
                <w:sz w:val="18"/>
                <w:szCs w:val="18"/>
                <w:lang w:val="fr-CH"/>
              </w:rPr>
              <w:t>è</w:t>
            </w:r>
            <w:r w:rsidRPr="00E30773">
              <w:rPr>
                <w:rFonts w:asciiTheme="majorBidi" w:hAnsiTheme="majorBidi" w:cstheme="majorBidi"/>
                <w:sz w:val="18"/>
                <w:szCs w:val="18"/>
                <w:lang w:val="fr-CH"/>
              </w:rPr>
              <w:t>re des Postes et T</w:t>
            </w:r>
            <w:r w:rsidR="00DB2FBF">
              <w:rPr>
                <w:rFonts w:asciiTheme="majorBidi" w:hAnsiTheme="majorBidi" w:cstheme="majorBidi"/>
                <w:sz w:val="18"/>
                <w:szCs w:val="18"/>
                <w:lang w:val="fr-CH"/>
              </w:rPr>
              <w:t>é</w:t>
            </w:r>
            <w:r w:rsidRPr="00E30773">
              <w:rPr>
                <w:rFonts w:asciiTheme="majorBidi" w:hAnsiTheme="majorBidi" w:cstheme="majorBidi"/>
                <w:sz w:val="18"/>
                <w:szCs w:val="18"/>
                <w:lang w:val="fr-CH"/>
              </w:rPr>
              <w:t>l</w:t>
            </w:r>
            <w:r w:rsidR="00DB2FBF">
              <w:rPr>
                <w:rFonts w:asciiTheme="majorBidi" w:hAnsiTheme="majorBidi" w:cstheme="majorBidi"/>
                <w:sz w:val="18"/>
                <w:szCs w:val="18"/>
                <w:lang w:val="fr-CH"/>
              </w:rPr>
              <w:t>é</w:t>
            </w:r>
            <w:r w:rsidRPr="00E30773">
              <w:rPr>
                <w:rFonts w:asciiTheme="majorBidi" w:hAnsiTheme="majorBidi" w:cstheme="majorBidi"/>
                <w:sz w:val="18"/>
                <w:szCs w:val="18"/>
                <w:lang w:val="fr-CH"/>
              </w:rPr>
              <w:t>communications (MPT) and the Autorité de Régulation des Télécommunications et de la Poste (ARTP)</w:t>
            </w:r>
          </w:p>
        </w:tc>
        <w:tc>
          <w:tcPr>
            <w:tcW w:w="2126" w:type="dxa"/>
            <w:vAlign w:val="center"/>
          </w:tcPr>
          <w:p w14:paraId="358828DD" w14:textId="3258CEFF"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African</w:t>
            </w:r>
            <w:r w:rsidR="00DB2FBF">
              <w:rPr>
                <w:rFonts w:asciiTheme="majorBidi" w:hAnsiTheme="majorBidi" w:cstheme="majorBidi"/>
                <w:sz w:val="18"/>
                <w:szCs w:val="18"/>
              </w:rPr>
              <w:t xml:space="preserve"> Telecommunications Union (ATU)</w:t>
            </w:r>
          </w:p>
        </w:tc>
        <w:tc>
          <w:tcPr>
            <w:tcW w:w="2126" w:type="dxa"/>
            <w:vAlign w:val="center"/>
          </w:tcPr>
          <w:p w14:paraId="43946586"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WRC-19 Agenda: challenges and opportunities for Africa</w:t>
            </w:r>
          </w:p>
        </w:tc>
        <w:tc>
          <w:tcPr>
            <w:tcW w:w="1137" w:type="dxa"/>
            <w:vAlign w:val="center"/>
          </w:tcPr>
          <w:p w14:paraId="2F07AB35"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E/F</w:t>
            </w:r>
          </w:p>
        </w:tc>
        <w:tc>
          <w:tcPr>
            <w:tcW w:w="1560" w:type="dxa"/>
            <w:vAlign w:val="center"/>
          </w:tcPr>
          <w:p w14:paraId="543FEED0"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185/35</w:t>
            </w:r>
          </w:p>
        </w:tc>
      </w:tr>
      <w:tr w:rsidR="00C11B87" w:rsidRPr="00E30773" w14:paraId="5D06BE38" w14:textId="77777777" w:rsidTr="00EC1E0E">
        <w:trPr>
          <w:jc w:val="center"/>
        </w:trPr>
        <w:tc>
          <w:tcPr>
            <w:tcW w:w="988" w:type="dxa"/>
            <w:vAlign w:val="center"/>
          </w:tcPr>
          <w:p w14:paraId="6F1320D4" w14:textId="77777777" w:rsidR="00C11B87" w:rsidRPr="00E30773" w:rsidRDefault="00C11B87" w:rsidP="00E82D32">
            <w:pPr>
              <w:rPr>
                <w:rFonts w:asciiTheme="majorBidi" w:hAnsiTheme="majorBidi" w:cstheme="majorBidi"/>
                <w:sz w:val="18"/>
                <w:szCs w:val="18"/>
              </w:rPr>
            </w:pPr>
          </w:p>
        </w:tc>
        <w:tc>
          <w:tcPr>
            <w:tcW w:w="1842" w:type="dxa"/>
            <w:vAlign w:val="center"/>
          </w:tcPr>
          <w:p w14:paraId="4BDF4AD8" w14:textId="77777777" w:rsidR="00C11B87" w:rsidRPr="00E30773" w:rsidRDefault="00C11B87" w:rsidP="00E82D32">
            <w:pPr>
              <w:rPr>
                <w:rFonts w:asciiTheme="majorBidi" w:hAnsiTheme="majorBidi" w:cstheme="majorBidi"/>
                <w:b/>
                <w:bCs/>
                <w:sz w:val="18"/>
                <w:szCs w:val="18"/>
              </w:rPr>
            </w:pPr>
            <w:r w:rsidRPr="00E30773">
              <w:rPr>
                <w:rFonts w:asciiTheme="majorBidi" w:hAnsiTheme="majorBidi" w:cstheme="majorBidi"/>
                <w:b/>
                <w:bCs/>
                <w:sz w:val="18"/>
                <w:szCs w:val="18"/>
              </w:rPr>
              <w:t>RRS-17 Americas</w:t>
            </w:r>
          </w:p>
        </w:tc>
        <w:tc>
          <w:tcPr>
            <w:tcW w:w="1701" w:type="dxa"/>
            <w:vAlign w:val="center"/>
          </w:tcPr>
          <w:p w14:paraId="5047149D" w14:textId="77777777" w:rsidR="00C11B87" w:rsidRPr="00E30773" w:rsidRDefault="00C11B87" w:rsidP="00E82D32">
            <w:pPr>
              <w:jc w:val="center"/>
              <w:rPr>
                <w:rFonts w:asciiTheme="majorBidi" w:hAnsiTheme="majorBidi" w:cstheme="majorBidi"/>
                <w:bCs/>
                <w:sz w:val="18"/>
                <w:szCs w:val="18"/>
              </w:rPr>
            </w:pPr>
            <w:r w:rsidRPr="00E30773">
              <w:rPr>
                <w:rFonts w:asciiTheme="majorBidi" w:hAnsiTheme="majorBidi" w:cstheme="majorBidi"/>
                <w:bCs/>
                <w:sz w:val="18"/>
                <w:szCs w:val="18"/>
              </w:rPr>
              <w:t>Peru</w:t>
            </w:r>
          </w:p>
        </w:tc>
        <w:tc>
          <w:tcPr>
            <w:tcW w:w="2552" w:type="dxa"/>
            <w:vAlign w:val="center"/>
          </w:tcPr>
          <w:p w14:paraId="51EEA433" w14:textId="77777777" w:rsidR="00C11B87" w:rsidRPr="00E30773" w:rsidRDefault="00C11B87" w:rsidP="00E82D32">
            <w:pPr>
              <w:jc w:val="center"/>
              <w:rPr>
                <w:rFonts w:asciiTheme="majorBidi" w:hAnsiTheme="majorBidi" w:cstheme="majorBidi"/>
                <w:sz w:val="18"/>
                <w:szCs w:val="18"/>
                <w:lang w:val="es-ES_tradnl"/>
              </w:rPr>
            </w:pPr>
            <w:r w:rsidRPr="00E30773">
              <w:rPr>
                <w:rFonts w:asciiTheme="majorBidi" w:hAnsiTheme="majorBidi" w:cstheme="majorBidi"/>
                <w:sz w:val="18"/>
                <w:szCs w:val="18"/>
                <w:lang w:val="es-ES_tradnl"/>
              </w:rPr>
              <w:t>Ministerio de Transportes y Comunicaciones (MTC)</w:t>
            </w:r>
          </w:p>
        </w:tc>
        <w:tc>
          <w:tcPr>
            <w:tcW w:w="2126" w:type="dxa"/>
            <w:vAlign w:val="center"/>
          </w:tcPr>
          <w:p w14:paraId="4B1E1836" w14:textId="77777777" w:rsidR="00C11B87" w:rsidRPr="00E30773" w:rsidRDefault="00C11B87" w:rsidP="00EC1E0E">
            <w:pPr>
              <w:spacing w:after="120"/>
              <w:jc w:val="center"/>
              <w:rPr>
                <w:rFonts w:asciiTheme="majorBidi" w:hAnsiTheme="majorBidi" w:cstheme="majorBidi"/>
                <w:sz w:val="18"/>
                <w:szCs w:val="18"/>
              </w:rPr>
            </w:pPr>
            <w:r w:rsidRPr="00E30773">
              <w:rPr>
                <w:rFonts w:asciiTheme="majorBidi" w:hAnsiTheme="majorBidi" w:cstheme="majorBidi"/>
                <w:sz w:val="18"/>
                <w:szCs w:val="18"/>
              </w:rPr>
              <w:t>Inter-American Telecommunications Commission (CITEL)</w:t>
            </w:r>
          </w:p>
        </w:tc>
        <w:tc>
          <w:tcPr>
            <w:tcW w:w="2126" w:type="dxa"/>
            <w:vAlign w:val="center"/>
          </w:tcPr>
          <w:p w14:paraId="5C93A7BB"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Transition to 5G: Present and Future in Latin America</w:t>
            </w:r>
          </w:p>
        </w:tc>
        <w:tc>
          <w:tcPr>
            <w:tcW w:w="1137" w:type="dxa"/>
            <w:vAlign w:val="center"/>
          </w:tcPr>
          <w:p w14:paraId="2796A227"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S</w:t>
            </w:r>
          </w:p>
        </w:tc>
        <w:tc>
          <w:tcPr>
            <w:tcW w:w="1560" w:type="dxa"/>
            <w:vAlign w:val="center"/>
          </w:tcPr>
          <w:p w14:paraId="58D77740"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70/12</w:t>
            </w:r>
          </w:p>
        </w:tc>
      </w:tr>
      <w:tr w:rsidR="00C11B87" w:rsidRPr="00E30773" w14:paraId="0B924EF6" w14:textId="77777777" w:rsidTr="00EC1E0E">
        <w:trPr>
          <w:jc w:val="center"/>
        </w:trPr>
        <w:tc>
          <w:tcPr>
            <w:tcW w:w="988" w:type="dxa"/>
            <w:vAlign w:val="center"/>
          </w:tcPr>
          <w:p w14:paraId="66BC60BA" w14:textId="77777777" w:rsidR="00C11B87" w:rsidRPr="00E30773" w:rsidRDefault="00C11B87" w:rsidP="00E82D32">
            <w:pPr>
              <w:rPr>
                <w:rFonts w:asciiTheme="majorBidi" w:hAnsiTheme="majorBidi" w:cstheme="majorBidi"/>
                <w:sz w:val="18"/>
                <w:szCs w:val="18"/>
              </w:rPr>
            </w:pPr>
          </w:p>
        </w:tc>
        <w:tc>
          <w:tcPr>
            <w:tcW w:w="1842" w:type="dxa"/>
            <w:vAlign w:val="center"/>
          </w:tcPr>
          <w:p w14:paraId="63D7BF79" w14:textId="77777777" w:rsidR="00C11B87" w:rsidRPr="00E30773" w:rsidRDefault="00C11B87" w:rsidP="00E82D32">
            <w:pPr>
              <w:rPr>
                <w:rFonts w:asciiTheme="majorBidi" w:hAnsiTheme="majorBidi" w:cstheme="majorBidi"/>
                <w:b/>
                <w:bCs/>
                <w:sz w:val="18"/>
                <w:szCs w:val="18"/>
              </w:rPr>
            </w:pPr>
            <w:r w:rsidRPr="00E30773">
              <w:rPr>
                <w:rFonts w:asciiTheme="majorBidi" w:hAnsiTheme="majorBidi" w:cstheme="majorBidi"/>
                <w:b/>
                <w:bCs/>
                <w:sz w:val="18"/>
                <w:szCs w:val="18"/>
              </w:rPr>
              <w:t>RRS-17 Asia-Pacific</w:t>
            </w:r>
          </w:p>
        </w:tc>
        <w:tc>
          <w:tcPr>
            <w:tcW w:w="1701" w:type="dxa"/>
            <w:vAlign w:val="center"/>
          </w:tcPr>
          <w:p w14:paraId="66D9611E" w14:textId="77777777" w:rsidR="00C11B87" w:rsidRPr="00E30773" w:rsidRDefault="00C11B87" w:rsidP="00E82D32">
            <w:pPr>
              <w:jc w:val="center"/>
              <w:rPr>
                <w:rFonts w:asciiTheme="majorBidi" w:hAnsiTheme="majorBidi" w:cstheme="majorBidi"/>
                <w:bCs/>
                <w:sz w:val="18"/>
                <w:szCs w:val="18"/>
              </w:rPr>
            </w:pPr>
            <w:r w:rsidRPr="00E30773">
              <w:rPr>
                <w:rFonts w:asciiTheme="majorBidi" w:hAnsiTheme="majorBidi" w:cstheme="majorBidi"/>
                <w:bCs/>
                <w:sz w:val="18"/>
                <w:szCs w:val="18"/>
              </w:rPr>
              <w:t>Cambodia</w:t>
            </w:r>
          </w:p>
        </w:tc>
        <w:tc>
          <w:tcPr>
            <w:tcW w:w="2552" w:type="dxa"/>
            <w:vAlign w:val="center"/>
          </w:tcPr>
          <w:p w14:paraId="3C6FA5C6" w14:textId="172695C3" w:rsidR="00C11B87" w:rsidRPr="00E30773" w:rsidRDefault="00C11B87" w:rsidP="00EC1E0E">
            <w:pPr>
              <w:spacing w:after="120"/>
              <w:jc w:val="center"/>
              <w:rPr>
                <w:rFonts w:asciiTheme="majorBidi" w:hAnsiTheme="majorBidi" w:cstheme="majorBidi"/>
                <w:sz w:val="18"/>
                <w:szCs w:val="18"/>
              </w:rPr>
            </w:pPr>
            <w:r w:rsidRPr="00E30773">
              <w:rPr>
                <w:rFonts w:asciiTheme="majorBidi" w:hAnsiTheme="majorBidi" w:cstheme="majorBidi"/>
                <w:sz w:val="18"/>
                <w:szCs w:val="18"/>
              </w:rPr>
              <w:t> </w:t>
            </w:r>
            <w:hyperlink r:id="rId33" w:history="1">
              <w:r w:rsidRPr="00E30773">
                <w:rPr>
                  <w:rFonts w:asciiTheme="majorBidi" w:hAnsiTheme="majorBidi" w:cstheme="majorBidi"/>
                  <w:sz w:val="18"/>
                  <w:szCs w:val="18"/>
                </w:rPr>
                <w:t>Ministry of Posts and Telecommunications of Cambodia (MPTC)</w:t>
              </w:r>
            </w:hyperlink>
          </w:p>
        </w:tc>
        <w:tc>
          <w:tcPr>
            <w:tcW w:w="2126" w:type="dxa"/>
            <w:vAlign w:val="center"/>
          </w:tcPr>
          <w:p w14:paraId="223769A9" w14:textId="77777777" w:rsidR="00C11B87" w:rsidRPr="00E30773" w:rsidRDefault="00C11B87" w:rsidP="00E82D32">
            <w:pPr>
              <w:jc w:val="center"/>
              <w:rPr>
                <w:rFonts w:asciiTheme="majorBidi" w:hAnsiTheme="majorBidi" w:cstheme="majorBidi"/>
                <w:sz w:val="18"/>
                <w:szCs w:val="18"/>
              </w:rPr>
            </w:pPr>
          </w:p>
        </w:tc>
        <w:tc>
          <w:tcPr>
            <w:tcW w:w="2126" w:type="dxa"/>
            <w:vAlign w:val="center"/>
          </w:tcPr>
          <w:p w14:paraId="42DD2BDF"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Transition to 5G in the Region</w:t>
            </w:r>
          </w:p>
        </w:tc>
        <w:tc>
          <w:tcPr>
            <w:tcW w:w="1137" w:type="dxa"/>
            <w:vAlign w:val="center"/>
          </w:tcPr>
          <w:p w14:paraId="39E8DBAF"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E</w:t>
            </w:r>
          </w:p>
        </w:tc>
        <w:tc>
          <w:tcPr>
            <w:tcW w:w="1560" w:type="dxa"/>
            <w:vAlign w:val="center"/>
          </w:tcPr>
          <w:p w14:paraId="3540A1F7"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140/22</w:t>
            </w:r>
          </w:p>
        </w:tc>
      </w:tr>
      <w:tr w:rsidR="00C11B87" w:rsidRPr="00E30773" w14:paraId="580C7046" w14:textId="77777777" w:rsidTr="00EC1E0E">
        <w:trPr>
          <w:jc w:val="center"/>
        </w:trPr>
        <w:tc>
          <w:tcPr>
            <w:tcW w:w="988" w:type="dxa"/>
            <w:vAlign w:val="center"/>
          </w:tcPr>
          <w:p w14:paraId="06EBD8C3" w14:textId="77777777" w:rsidR="00C11B87" w:rsidRPr="00E30773" w:rsidRDefault="00C11B87" w:rsidP="00E82D32">
            <w:pPr>
              <w:rPr>
                <w:rFonts w:asciiTheme="majorBidi" w:hAnsiTheme="majorBidi" w:cstheme="majorBidi"/>
                <w:sz w:val="18"/>
                <w:szCs w:val="18"/>
              </w:rPr>
            </w:pPr>
          </w:p>
        </w:tc>
        <w:tc>
          <w:tcPr>
            <w:tcW w:w="1842" w:type="dxa"/>
            <w:vAlign w:val="center"/>
          </w:tcPr>
          <w:p w14:paraId="20E75675" w14:textId="77777777" w:rsidR="00C11B87" w:rsidRPr="00E30773" w:rsidRDefault="00C11B87" w:rsidP="00E82D32">
            <w:pPr>
              <w:rPr>
                <w:rFonts w:asciiTheme="majorBidi" w:hAnsiTheme="majorBidi" w:cstheme="majorBidi"/>
                <w:b/>
                <w:bCs/>
                <w:sz w:val="18"/>
                <w:szCs w:val="18"/>
              </w:rPr>
            </w:pPr>
            <w:r w:rsidRPr="00E30773">
              <w:rPr>
                <w:rFonts w:asciiTheme="majorBidi" w:hAnsiTheme="majorBidi" w:cstheme="majorBidi"/>
                <w:b/>
                <w:bCs/>
                <w:sz w:val="18"/>
                <w:szCs w:val="18"/>
              </w:rPr>
              <w:t>RRS-17 Arab</w:t>
            </w:r>
          </w:p>
        </w:tc>
        <w:tc>
          <w:tcPr>
            <w:tcW w:w="1701" w:type="dxa"/>
            <w:vAlign w:val="center"/>
          </w:tcPr>
          <w:p w14:paraId="65EC8105" w14:textId="77777777" w:rsidR="00C11B87" w:rsidRPr="00E30773" w:rsidRDefault="00C11B87" w:rsidP="00E82D32">
            <w:pPr>
              <w:jc w:val="center"/>
              <w:rPr>
                <w:rFonts w:asciiTheme="majorBidi" w:hAnsiTheme="majorBidi" w:cstheme="majorBidi"/>
                <w:bCs/>
                <w:sz w:val="18"/>
                <w:szCs w:val="18"/>
              </w:rPr>
            </w:pPr>
            <w:r w:rsidRPr="00E30773">
              <w:rPr>
                <w:rFonts w:asciiTheme="majorBidi" w:hAnsiTheme="majorBidi" w:cstheme="majorBidi"/>
                <w:bCs/>
                <w:sz w:val="18"/>
                <w:szCs w:val="18"/>
              </w:rPr>
              <w:t>Oman</w:t>
            </w:r>
          </w:p>
        </w:tc>
        <w:tc>
          <w:tcPr>
            <w:tcW w:w="2552" w:type="dxa"/>
            <w:vAlign w:val="center"/>
          </w:tcPr>
          <w:p w14:paraId="3D1E97B3" w14:textId="1CA1A377" w:rsidR="00C11B87" w:rsidRPr="00E30773" w:rsidRDefault="009421D9" w:rsidP="00EC1E0E">
            <w:pPr>
              <w:jc w:val="center"/>
              <w:rPr>
                <w:rFonts w:asciiTheme="majorBidi" w:hAnsiTheme="majorBidi" w:cstheme="majorBidi"/>
                <w:sz w:val="18"/>
                <w:szCs w:val="18"/>
              </w:rPr>
            </w:pPr>
            <w:hyperlink r:id="rId34" w:tgtFrame="_blank" w:history="1">
              <w:r w:rsidR="00C11B87" w:rsidRPr="00E30773">
                <w:rPr>
                  <w:rFonts w:asciiTheme="majorBidi" w:hAnsiTheme="majorBidi" w:cstheme="majorBidi"/>
                  <w:sz w:val="18"/>
                  <w:szCs w:val="18"/>
                </w:rPr>
                <w:t>Oman Telecommunications Regulatory Authority (TRA)</w:t>
              </w:r>
            </w:hyperlink>
            <w:r w:rsidR="00C11B87" w:rsidRPr="00E30773">
              <w:rPr>
                <w:rFonts w:asciiTheme="majorBidi" w:hAnsiTheme="majorBidi" w:cstheme="majorBidi"/>
                <w:sz w:val="18"/>
                <w:szCs w:val="18"/>
              </w:rPr>
              <w:t> </w:t>
            </w:r>
          </w:p>
        </w:tc>
        <w:tc>
          <w:tcPr>
            <w:tcW w:w="2126" w:type="dxa"/>
            <w:vAlign w:val="center"/>
          </w:tcPr>
          <w:p w14:paraId="59AE83AB"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ASMG</w:t>
            </w:r>
          </w:p>
        </w:tc>
        <w:tc>
          <w:tcPr>
            <w:tcW w:w="2126" w:type="dxa"/>
            <w:vAlign w:val="center"/>
          </w:tcPr>
          <w:p w14:paraId="16FE2891" w14:textId="3ECC5263" w:rsidR="00C11B87" w:rsidRPr="00E30773" w:rsidRDefault="00C11B87" w:rsidP="00EC1E0E">
            <w:pPr>
              <w:spacing w:after="120"/>
              <w:jc w:val="center"/>
              <w:rPr>
                <w:rFonts w:asciiTheme="majorBidi" w:hAnsiTheme="majorBidi" w:cstheme="majorBidi"/>
                <w:sz w:val="18"/>
                <w:szCs w:val="18"/>
              </w:rPr>
            </w:pPr>
            <w:r w:rsidRPr="00E30773">
              <w:rPr>
                <w:rFonts w:asciiTheme="majorBidi" w:hAnsiTheme="majorBidi" w:cstheme="majorBidi"/>
                <w:sz w:val="18"/>
                <w:szCs w:val="18"/>
              </w:rPr>
              <w:t>WRC-19 Agenda: challenges and opportunities for</w:t>
            </w:r>
            <w:r w:rsidR="00EC1E0E">
              <w:rPr>
                <w:rFonts w:asciiTheme="majorBidi" w:hAnsiTheme="majorBidi" w:cstheme="majorBidi"/>
                <w:sz w:val="18"/>
                <w:szCs w:val="18"/>
              </w:rPr>
              <w:br/>
            </w:r>
            <w:r w:rsidRPr="00E30773">
              <w:rPr>
                <w:rFonts w:asciiTheme="majorBidi" w:hAnsiTheme="majorBidi" w:cstheme="majorBidi"/>
                <w:sz w:val="18"/>
                <w:szCs w:val="18"/>
              </w:rPr>
              <w:t>Arab Countries</w:t>
            </w:r>
          </w:p>
        </w:tc>
        <w:tc>
          <w:tcPr>
            <w:tcW w:w="1137" w:type="dxa"/>
            <w:vAlign w:val="center"/>
          </w:tcPr>
          <w:p w14:paraId="2F66F64D"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A/E</w:t>
            </w:r>
          </w:p>
        </w:tc>
        <w:tc>
          <w:tcPr>
            <w:tcW w:w="1560" w:type="dxa"/>
            <w:vAlign w:val="center"/>
          </w:tcPr>
          <w:p w14:paraId="1C03C795"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153/15</w:t>
            </w:r>
          </w:p>
        </w:tc>
      </w:tr>
      <w:tr w:rsidR="00C11B87" w:rsidRPr="00E30773" w14:paraId="4E0EA446" w14:textId="77777777" w:rsidTr="00E82D32">
        <w:trPr>
          <w:jc w:val="center"/>
        </w:trPr>
        <w:tc>
          <w:tcPr>
            <w:tcW w:w="14032" w:type="dxa"/>
            <w:gridSpan w:val="8"/>
            <w:vAlign w:val="center"/>
          </w:tcPr>
          <w:p w14:paraId="703C22C4" w14:textId="77777777" w:rsidR="00C11B87" w:rsidRPr="00E30773" w:rsidRDefault="00C11B87" w:rsidP="00EC1E0E">
            <w:pPr>
              <w:spacing w:after="120"/>
              <w:rPr>
                <w:rFonts w:asciiTheme="majorBidi" w:hAnsiTheme="majorBidi" w:cstheme="majorBidi"/>
                <w:b/>
                <w:bCs/>
                <w:sz w:val="18"/>
                <w:szCs w:val="18"/>
              </w:rPr>
            </w:pPr>
            <w:r w:rsidRPr="00E30773">
              <w:rPr>
                <w:rFonts w:asciiTheme="majorBidi" w:hAnsiTheme="majorBidi" w:cstheme="majorBidi"/>
                <w:b/>
                <w:bCs/>
                <w:sz w:val="18"/>
                <w:szCs w:val="18"/>
              </w:rPr>
              <w:t>2018</w:t>
            </w:r>
          </w:p>
        </w:tc>
      </w:tr>
      <w:tr w:rsidR="00C11B87" w:rsidRPr="00E30773" w14:paraId="4F1A4457" w14:textId="77777777" w:rsidTr="00EC1E0E">
        <w:trPr>
          <w:jc w:val="center"/>
        </w:trPr>
        <w:tc>
          <w:tcPr>
            <w:tcW w:w="988" w:type="dxa"/>
            <w:vAlign w:val="center"/>
          </w:tcPr>
          <w:p w14:paraId="22C10100" w14:textId="77777777" w:rsidR="00C11B87" w:rsidRPr="00E30773" w:rsidRDefault="00C11B87" w:rsidP="00E82D32">
            <w:pPr>
              <w:rPr>
                <w:rFonts w:asciiTheme="majorBidi" w:hAnsiTheme="majorBidi" w:cstheme="majorBidi"/>
                <w:sz w:val="18"/>
                <w:szCs w:val="18"/>
              </w:rPr>
            </w:pPr>
          </w:p>
        </w:tc>
        <w:tc>
          <w:tcPr>
            <w:tcW w:w="1842" w:type="dxa"/>
            <w:vAlign w:val="center"/>
          </w:tcPr>
          <w:p w14:paraId="6150223B" w14:textId="09E2BF79" w:rsidR="00C11B87" w:rsidRPr="00E30773" w:rsidRDefault="00C11B87" w:rsidP="00CA7306">
            <w:pPr>
              <w:rPr>
                <w:rFonts w:asciiTheme="majorBidi" w:hAnsiTheme="majorBidi" w:cstheme="majorBidi"/>
                <w:b/>
                <w:bCs/>
                <w:sz w:val="18"/>
                <w:szCs w:val="18"/>
              </w:rPr>
            </w:pPr>
            <w:r w:rsidRPr="00E30773">
              <w:rPr>
                <w:rFonts w:asciiTheme="majorBidi" w:hAnsiTheme="majorBidi" w:cstheme="majorBidi"/>
                <w:b/>
                <w:bCs/>
                <w:sz w:val="18"/>
                <w:szCs w:val="18"/>
              </w:rPr>
              <w:t>RRS-1</w:t>
            </w:r>
            <w:r w:rsidR="00CA7306" w:rsidRPr="00E30773">
              <w:rPr>
                <w:rFonts w:asciiTheme="majorBidi" w:hAnsiTheme="majorBidi" w:cstheme="majorBidi"/>
                <w:b/>
                <w:bCs/>
                <w:sz w:val="18"/>
                <w:szCs w:val="18"/>
              </w:rPr>
              <w:t>8</w:t>
            </w:r>
            <w:r w:rsidRPr="00E30773">
              <w:rPr>
                <w:rFonts w:asciiTheme="majorBidi" w:hAnsiTheme="majorBidi" w:cstheme="majorBidi"/>
                <w:b/>
                <w:bCs/>
                <w:sz w:val="18"/>
                <w:szCs w:val="18"/>
              </w:rPr>
              <w:t xml:space="preserve"> Asia-Pacific</w:t>
            </w:r>
          </w:p>
        </w:tc>
        <w:tc>
          <w:tcPr>
            <w:tcW w:w="1701" w:type="dxa"/>
            <w:vAlign w:val="center"/>
          </w:tcPr>
          <w:p w14:paraId="5A3E2B57" w14:textId="77777777" w:rsidR="00C11B87" w:rsidRPr="00E30773" w:rsidRDefault="00C11B87" w:rsidP="00E82D32">
            <w:pPr>
              <w:jc w:val="center"/>
              <w:rPr>
                <w:rFonts w:asciiTheme="majorBidi" w:hAnsiTheme="majorBidi" w:cstheme="majorBidi"/>
                <w:bCs/>
                <w:sz w:val="18"/>
                <w:szCs w:val="18"/>
              </w:rPr>
            </w:pPr>
            <w:r w:rsidRPr="00E30773">
              <w:rPr>
                <w:rFonts w:asciiTheme="majorBidi" w:hAnsiTheme="majorBidi" w:cstheme="majorBidi"/>
                <w:bCs/>
                <w:sz w:val="18"/>
                <w:szCs w:val="18"/>
              </w:rPr>
              <w:t>Bhutan</w:t>
            </w:r>
          </w:p>
        </w:tc>
        <w:tc>
          <w:tcPr>
            <w:tcW w:w="2552" w:type="dxa"/>
            <w:vAlign w:val="center"/>
          </w:tcPr>
          <w:p w14:paraId="1E1196C1" w14:textId="0BDDC896"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Ministry of Information and Communications (</w:t>
            </w:r>
            <w:proofErr w:type="spellStart"/>
            <w:r w:rsidRPr="00E30773">
              <w:rPr>
                <w:rFonts w:asciiTheme="majorBidi" w:hAnsiTheme="majorBidi" w:cstheme="majorBidi"/>
                <w:sz w:val="18"/>
                <w:szCs w:val="18"/>
              </w:rPr>
              <w:t>MoIC</w:t>
            </w:r>
            <w:proofErr w:type="spellEnd"/>
            <w:r w:rsidRPr="00E30773">
              <w:rPr>
                <w:rFonts w:asciiTheme="majorBidi" w:hAnsiTheme="majorBidi" w:cstheme="majorBidi"/>
                <w:sz w:val="18"/>
                <w:szCs w:val="18"/>
              </w:rPr>
              <w:t xml:space="preserve">) of </w:t>
            </w:r>
            <w:proofErr w:type="spellStart"/>
            <w:r w:rsidRPr="00E30773">
              <w:rPr>
                <w:rFonts w:asciiTheme="majorBidi" w:hAnsiTheme="majorBidi" w:cstheme="majorBidi"/>
                <w:sz w:val="18"/>
                <w:szCs w:val="18"/>
              </w:rPr>
              <w:t>Buthan</w:t>
            </w:r>
            <w:proofErr w:type="spellEnd"/>
          </w:p>
        </w:tc>
        <w:tc>
          <w:tcPr>
            <w:tcW w:w="2126" w:type="dxa"/>
            <w:vAlign w:val="center"/>
          </w:tcPr>
          <w:p w14:paraId="23D11E0A"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 xml:space="preserve">Asia-Pacific </w:t>
            </w:r>
            <w:proofErr w:type="spellStart"/>
            <w:r w:rsidRPr="00E30773">
              <w:rPr>
                <w:rFonts w:asciiTheme="majorBidi" w:hAnsiTheme="majorBidi" w:cstheme="majorBidi"/>
                <w:sz w:val="18"/>
                <w:szCs w:val="18"/>
              </w:rPr>
              <w:t>Telecommunity</w:t>
            </w:r>
            <w:proofErr w:type="spellEnd"/>
            <w:r w:rsidRPr="00E30773">
              <w:rPr>
                <w:rFonts w:asciiTheme="majorBidi" w:hAnsiTheme="majorBidi" w:cstheme="majorBidi"/>
                <w:sz w:val="18"/>
                <w:szCs w:val="18"/>
              </w:rPr>
              <w:t xml:space="preserve"> (APT)</w:t>
            </w:r>
          </w:p>
        </w:tc>
        <w:tc>
          <w:tcPr>
            <w:tcW w:w="2126" w:type="dxa"/>
            <w:vAlign w:val="center"/>
          </w:tcPr>
          <w:p w14:paraId="287A3AC1" w14:textId="36317CCD" w:rsidR="00C11B87" w:rsidRPr="00E30773" w:rsidRDefault="00C11B87" w:rsidP="00DB2FBF">
            <w:pPr>
              <w:spacing w:after="120"/>
              <w:jc w:val="center"/>
              <w:rPr>
                <w:rFonts w:asciiTheme="majorBidi" w:hAnsiTheme="majorBidi" w:cstheme="majorBidi"/>
                <w:sz w:val="18"/>
                <w:szCs w:val="18"/>
              </w:rPr>
            </w:pPr>
            <w:r w:rsidRPr="00E30773">
              <w:rPr>
                <w:rFonts w:asciiTheme="majorBidi" w:hAnsiTheme="majorBidi" w:cstheme="majorBidi"/>
                <w:sz w:val="18"/>
                <w:szCs w:val="18"/>
              </w:rPr>
              <w:t>Radiocommunication Systems evolution: challenges and opportunities for the Region</w:t>
            </w:r>
          </w:p>
        </w:tc>
        <w:tc>
          <w:tcPr>
            <w:tcW w:w="1137" w:type="dxa"/>
            <w:vAlign w:val="center"/>
          </w:tcPr>
          <w:p w14:paraId="742CBEC6"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E</w:t>
            </w:r>
          </w:p>
        </w:tc>
        <w:tc>
          <w:tcPr>
            <w:tcW w:w="1560" w:type="dxa"/>
            <w:vAlign w:val="center"/>
          </w:tcPr>
          <w:p w14:paraId="739FA8C3"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70/15</w:t>
            </w:r>
          </w:p>
        </w:tc>
      </w:tr>
      <w:tr w:rsidR="00C11B87" w:rsidRPr="00367E2E" w14:paraId="2D6BA9C4" w14:textId="77777777" w:rsidTr="00EC1E0E">
        <w:trPr>
          <w:jc w:val="center"/>
        </w:trPr>
        <w:tc>
          <w:tcPr>
            <w:tcW w:w="988" w:type="dxa"/>
            <w:vAlign w:val="center"/>
          </w:tcPr>
          <w:p w14:paraId="3DBC8F0E" w14:textId="77777777" w:rsidR="00C11B87" w:rsidRPr="00E30773" w:rsidRDefault="00C11B87" w:rsidP="00E82D32">
            <w:pPr>
              <w:rPr>
                <w:rFonts w:asciiTheme="majorBidi" w:hAnsiTheme="majorBidi" w:cstheme="majorBidi"/>
                <w:sz w:val="18"/>
                <w:szCs w:val="18"/>
              </w:rPr>
            </w:pPr>
          </w:p>
        </w:tc>
        <w:tc>
          <w:tcPr>
            <w:tcW w:w="1842" w:type="dxa"/>
            <w:vAlign w:val="center"/>
          </w:tcPr>
          <w:p w14:paraId="05C8D093" w14:textId="3192A7AC" w:rsidR="00C11B87" w:rsidRPr="00E30773" w:rsidRDefault="00C11B87" w:rsidP="00CA7306">
            <w:pPr>
              <w:rPr>
                <w:rFonts w:asciiTheme="majorBidi" w:hAnsiTheme="majorBidi" w:cstheme="majorBidi"/>
                <w:b/>
                <w:bCs/>
                <w:sz w:val="18"/>
                <w:szCs w:val="18"/>
              </w:rPr>
            </w:pPr>
            <w:r w:rsidRPr="00E30773">
              <w:rPr>
                <w:rFonts w:asciiTheme="majorBidi" w:hAnsiTheme="majorBidi" w:cstheme="majorBidi"/>
                <w:b/>
                <w:bCs/>
                <w:sz w:val="18"/>
                <w:szCs w:val="18"/>
              </w:rPr>
              <w:t>RRS-1</w:t>
            </w:r>
            <w:r w:rsidR="00CA7306" w:rsidRPr="00E30773">
              <w:rPr>
                <w:rFonts w:asciiTheme="majorBidi" w:hAnsiTheme="majorBidi" w:cstheme="majorBidi"/>
                <w:b/>
                <w:bCs/>
                <w:sz w:val="18"/>
                <w:szCs w:val="18"/>
              </w:rPr>
              <w:t>8</w:t>
            </w:r>
            <w:r w:rsidRPr="00E30773">
              <w:rPr>
                <w:rFonts w:asciiTheme="majorBidi" w:hAnsiTheme="majorBidi" w:cstheme="majorBidi"/>
                <w:b/>
                <w:bCs/>
                <w:sz w:val="18"/>
                <w:szCs w:val="18"/>
              </w:rPr>
              <w:t xml:space="preserve"> Americas</w:t>
            </w:r>
          </w:p>
        </w:tc>
        <w:tc>
          <w:tcPr>
            <w:tcW w:w="1701" w:type="dxa"/>
            <w:vAlign w:val="center"/>
          </w:tcPr>
          <w:p w14:paraId="03F64BA2" w14:textId="77777777" w:rsidR="00C11B87" w:rsidRPr="00E30773" w:rsidRDefault="00C11B87" w:rsidP="00E82D32">
            <w:pPr>
              <w:jc w:val="center"/>
              <w:rPr>
                <w:rFonts w:asciiTheme="majorBidi" w:hAnsiTheme="majorBidi" w:cstheme="majorBidi"/>
                <w:bCs/>
                <w:sz w:val="18"/>
                <w:szCs w:val="18"/>
              </w:rPr>
            </w:pPr>
            <w:r w:rsidRPr="00E30773">
              <w:rPr>
                <w:rFonts w:asciiTheme="majorBidi" w:hAnsiTheme="majorBidi" w:cstheme="majorBidi"/>
                <w:bCs/>
                <w:sz w:val="18"/>
                <w:szCs w:val="18"/>
              </w:rPr>
              <w:t>Costa Rica</w:t>
            </w:r>
          </w:p>
        </w:tc>
        <w:tc>
          <w:tcPr>
            <w:tcW w:w="2552" w:type="dxa"/>
            <w:vAlign w:val="center"/>
          </w:tcPr>
          <w:p w14:paraId="1AC02A1F" w14:textId="2A515B1E" w:rsidR="00C11B87" w:rsidRPr="00E30773" w:rsidRDefault="00C11B87" w:rsidP="00EC1E0E">
            <w:pPr>
              <w:spacing w:after="120"/>
              <w:jc w:val="center"/>
              <w:rPr>
                <w:rFonts w:asciiTheme="majorBidi" w:hAnsiTheme="majorBidi" w:cstheme="majorBidi"/>
                <w:sz w:val="18"/>
                <w:szCs w:val="18"/>
                <w:lang w:val="es-ES"/>
              </w:rPr>
            </w:pPr>
            <w:r w:rsidRPr="00E30773">
              <w:rPr>
                <w:rFonts w:asciiTheme="majorBidi" w:hAnsiTheme="majorBidi" w:cstheme="majorBidi"/>
                <w:sz w:val="18"/>
                <w:szCs w:val="18"/>
                <w:lang w:val="es-ES_tradnl"/>
              </w:rPr>
              <w:t>Ministerio de Ciencia Tecnología y Telecomunicaciones of Costa Rica (MICITT)</w:t>
            </w:r>
          </w:p>
        </w:tc>
        <w:tc>
          <w:tcPr>
            <w:tcW w:w="2126" w:type="dxa"/>
            <w:vAlign w:val="center"/>
          </w:tcPr>
          <w:p w14:paraId="591C9770"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Inter-American Telecommunications Commission (CITEL)</w:t>
            </w:r>
          </w:p>
        </w:tc>
        <w:tc>
          <w:tcPr>
            <w:tcW w:w="2126" w:type="dxa"/>
            <w:vAlign w:val="center"/>
          </w:tcPr>
          <w:p w14:paraId="38EA9C06"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Spectrum Management: Challenges ahead</w:t>
            </w:r>
          </w:p>
        </w:tc>
        <w:tc>
          <w:tcPr>
            <w:tcW w:w="1137" w:type="dxa"/>
            <w:vAlign w:val="center"/>
          </w:tcPr>
          <w:p w14:paraId="1B706115"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S</w:t>
            </w:r>
          </w:p>
        </w:tc>
        <w:tc>
          <w:tcPr>
            <w:tcW w:w="1560" w:type="dxa"/>
            <w:vAlign w:val="center"/>
          </w:tcPr>
          <w:p w14:paraId="4149205F" w14:textId="77777777" w:rsidR="00C11B87" w:rsidRPr="00E30773" w:rsidRDefault="00C11B87" w:rsidP="00E82D32">
            <w:pPr>
              <w:jc w:val="center"/>
              <w:rPr>
                <w:rFonts w:asciiTheme="majorBidi" w:hAnsiTheme="majorBidi" w:cstheme="majorBidi"/>
                <w:sz w:val="18"/>
                <w:szCs w:val="18"/>
              </w:rPr>
            </w:pPr>
            <w:r w:rsidRPr="00E30773">
              <w:rPr>
                <w:rFonts w:asciiTheme="majorBidi" w:hAnsiTheme="majorBidi" w:cstheme="majorBidi"/>
                <w:sz w:val="18"/>
                <w:szCs w:val="18"/>
              </w:rPr>
              <w:t>60/13</w:t>
            </w:r>
          </w:p>
        </w:tc>
      </w:tr>
    </w:tbl>
    <w:p w14:paraId="5261F934" w14:textId="77777777" w:rsidR="00C11B87" w:rsidRDefault="00C11B87" w:rsidP="00C75F79">
      <w:pPr>
        <w:sectPr w:rsidR="00C11B87" w:rsidSect="004A6500">
          <w:pgSz w:w="16834" w:h="11907" w:orient="landscape"/>
          <w:pgMar w:top="1134" w:right="1418" w:bottom="1134" w:left="1418" w:header="720" w:footer="720" w:gutter="0"/>
          <w:paperSrc w:first="15" w:other="15"/>
          <w:cols w:space="720"/>
          <w:docGrid w:linePitch="326"/>
        </w:sectPr>
      </w:pPr>
    </w:p>
    <w:p w14:paraId="1A00F7DB" w14:textId="77777777" w:rsidR="0015513D" w:rsidRDefault="00F56064" w:rsidP="00F56064">
      <w:pPr>
        <w:pStyle w:val="Heading3"/>
      </w:pPr>
      <w:bookmarkStart w:id="42" w:name="_Toc424047604"/>
      <w:bookmarkStart w:id="43" w:name="_Toc446060787"/>
      <w:r>
        <w:lastRenderedPageBreak/>
        <w:t>9</w:t>
      </w:r>
      <w:r w:rsidR="0015513D" w:rsidRPr="00ED04B0">
        <w:t>.2.</w:t>
      </w:r>
      <w:r w:rsidR="0015513D">
        <w:t>2</w:t>
      </w:r>
      <w:r w:rsidR="0015513D" w:rsidRPr="00ED04B0">
        <w:tab/>
        <w:t>Other Events</w:t>
      </w:r>
      <w:bookmarkEnd w:id="42"/>
      <w:bookmarkEnd w:id="43"/>
    </w:p>
    <w:p w14:paraId="4F443082" w14:textId="77777777" w:rsidR="00F3302C" w:rsidRPr="00F3302C" w:rsidRDefault="00F3302C" w:rsidP="00F3302C">
      <w:pPr>
        <w:jc w:val="both"/>
      </w:pPr>
      <w:bookmarkStart w:id="44" w:name="_Toc424047610"/>
      <w:bookmarkStart w:id="45" w:name="_Toc446060788"/>
      <w:r w:rsidRPr="00F3302C">
        <w:t xml:space="preserve">Support was also provided to other ITU seminars related to topics such as spectrum management, space radiocommunication applications, WRC-19 preparation, etc. Events organized within ITU-R can be found at: </w:t>
      </w:r>
      <w:hyperlink r:id="rId35" w:history="1">
        <w:r w:rsidRPr="00F3302C">
          <w:rPr>
            <w:rStyle w:val="Hyperlink"/>
          </w:rPr>
          <w:t>http://www.itu.int/ITU-R/go/seminars</w:t>
        </w:r>
      </w:hyperlink>
      <w:r w:rsidRPr="00F3302C">
        <w:t xml:space="preserve"> . Table 9.2.2-1 illustrates this activity. Some relevant events during 2018 period are:</w:t>
      </w:r>
    </w:p>
    <w:p w14:paraId="2729660E" w14:textId="77777777" w:rsidR="00F3302C" w:rsidRPr="00F3302C" w:rsidRDefault="00F3302C" w:rsidP="004A6500">
      <w:pPr>
        <w:pStyle w:val="ListParagraph"/>
        <w:numPr>
          <w:ilvl w:val="0"/>
          <w:numId w:val="8"/>
        </w:numPr>
        <w:jc w:val="both"/>
      </w:pPr>
      <w:r w:rsidRPr="00F3302C">
        <w:t>ITU WRC-19 Regional Workshop for Region 2; 21-23 March 2018, Havana, Cuba,</w:t>
      </w:r>
    </w:p>
    <w:p w14:paraId="7A3CF4C9" w14:textId="77777777" w:rsidR="00F3302C" w:rsidRPr="00F3302C" w:rsidRDefault="00F3302C" w:rsidP="004A6500">
      <w:pPr>
        <w:pStyle w:val="ListParagraph"/>
        <w:numPr>
          <w:ilvl w:val="0"/>
          <w:numId w:val="8"/>
        </w:numPr>
        <w:jc w:val="both"/>
      </w:pPr>
      <w:r w:rsidRPr="00F3302C">
        <w:t>ITU Regional Seminar for CIS and Europe "</w:t>
      </w:r>
      <w:r w:rsidRPr="00F3302C">
        <w:rPr>
          <w:i/>
          <w:iCs/>
        </w:rPr>
        <w:t>Development of modern radiocommunication ecosystems"</w:t>
      </w:r>
      <w:r w:rsidRPr="00F3302C">
        <w:t>, 6-8 June 2018, St. Petersburg, Russian Federation</w:t>
      </w:r>
    </w:p>
    <w:p w14:paraId="0F87AAB9" w14:textId="77777777" w:rsidR="00F3302C" w:rsidRPr="00F3302C" w:rsidRDefault="00F3302C" w:rsidP="004A6500">
      <w:pPr>
        <w:pStyle w:val="ListParagraph"/>
        <w:numPr>
          <w:ilvl w:val="0"/>
          <w:numId w:val="8"/>
        </w:numPr>
        <w:jc w:val="both"/>
      </w:pPr>
      <w:r w:rsidRPr="00F3302C">
        <w:t>ITU Satellite Symposium; 28 -30 November, Geneva, Switzerland•</w:t>
      </w:r>
    </w:p>
    <w:p w14:paraId="62AD3DAB" w14:textId="77777777" w:rsidR="00F3302C" w:rsidRPr="00F3302C" w:rsidRDefault="00F3302C" w:rsidP="004A6500">
      <w:pPr>
        <w:pStyle w:val="ListParagraph"/>
        <w:numPr>
          <w:ilvl w:val="0"/>
          <w:numId w:val="8"/>
        </w:numPr>
        <w:jc w:val="both"/>
        <w:rPr>
          <w:b/>
          <w:bCs/>
        </w:rPr>
      </w:pPr>
      <w:r w:rsidRPr="00F3302C">
        <w:t>ITU Regional Workshop on “</w:t>
      </w:r>
      <w:r w:rsidRPr="00F3302C">
        <w:rPr>
          <w:i/>
          <w:iCs/>
        </w:rPr>
        <w:t>Furthering IMT Development: Policy, Spectrum Valuation and Auctions</w:t>
      </w:r>
      <w:r w:rsidRPr="00F3302C">
        <w:t xml:space="preserve"> </w:t>
      </w:r>
      <w:r w:rsidRPr="00F3302C">
        <w:rPr>
          <w:i/>
          <w:iCs/>
        </w:rPr>
        <w:t>in the Arab Region</w:t>
      </w:r>
      <w:r w:rsidRPr="00F3302C">
        <w:t xml:space="preserve">” 18-19 December, Riyadh, Kingdom of Saudi Arabia </w:t>
      </w:r>
    </w:p>
    <w:p w14:paraId="32315C49" w14:textId="77777777" w:rsidR="0015513D" w:rsidRDefault="00F56064" w:rsidP="00F56064">
      <w:pPr>
        <w:pStyle w:val="Heading2"/>
      </w:pPr>
      <w:r>
        <w:t>9</w:t>
      </w:r>
      <w:r w:rsidR="0015513D" w:rsidRPr="00ED04B0">
        <w:t>.3</w:t>
      </w:r>
      <w:r w:rsidR="0015513D" w:rsidRPr="00ED04B0">
        <w:tab/>
        <w:t>Assistance to Member States</w:t>
      </w:r>
      <w:bookmarkEnd w:id="44"/>
      <w:bookmarkEnd w:id="45"/>
    </w:p>
    <w:p w14:paraId="2AAE1A30" w14:textId="77777777" w:rsidR="0015513D" w:rsidRDefault="00F56064" w:rsidP="00F56064">
      <w:pPr>
        <w:pStyle w:val="Heading3"/>
      </w:pPr>
      <w:bookmarkStart w:id="46" w:name="_Toc424047611"/>
      <w:bookmarkStart w:id="47" w:name="_Toc446060789"/>
      <w:r>
        <w:t>9</w:t>
      </w:r>
      <w:r w:rsidR="0015513D" w:rsidRPr="00ED04B0">
        <w:t>.3.1</w:t>
      </w:r>
      <w:r w:rsidR="0015513D" w:rsidRPr="00ED04B0">
        <w:tab/>
        <w:t>Assistance to administrations of developing countries</w:t>
      </w:r>
      <w:bookmarkEnd w:id="46"/>
      <w:bookmarkEnd w:id="47"/>
    </w:p>
    <w:p w14:paraId="621D4D36" w14:textId="5A03AA9E" w:rsidR="00F3302C" w:rsidRPr="00BE48EE" w:rsidRDefault="00F3302C" w:rsidP="00BE48EE">
      <w:pPr>
        <w:pStyle w:val="Heading7"/>
        <w:tabs>
          <w:tab w:val="clear" w:pos="1588"/>
          <w:tab w:val="left" w:pos="0"/>
        </w:tabs>
        <w:ind w:left="0" w:firstLine="0"/>
        <w:rPr>
          <w:b w:val="0"/>
        </w:rPr>
      </w:pPr>
      <w:r w:rsidRPr="00BE48EE">
        <w:rPr>
          <w:b w:val="0"/>
        </w:rPr>
        <w:t xml:space="preserve">Since 2015, the Bureau provided assistance to the administrations </w:t>
      </w:r>
      <w:r w:rsidR="00BE48EE">
        <w:rPr>
          <w:b w:val="0"/>
        </w:rPr>
        <w:t xml:space="preserve">of developing countries in more </w:t>
      </w:r>
      <w:r w:rsidRPr="00BE48EE">
        <w:rPr>
          <w:b w:val="0"/>
        </w:rPr>
        <w:t>than</w:t>
      </w:r>
      <w:r w:rsidR="004A746C" w:rsidRPr="00BE48EE">
        <w:rPr>
          <w:b w:val="0"/>
        </w:rPr>
        <w:t xml:space="preserve"> </w:t>
      </w:r>
      <w:r w:rsidRPr="00BE48EE">
        <w:rPr>
          <w:b w:val="0"/>
        </w:rPr>
        <w:t>36 instances, in areas such as:</w:t>
      </w:r>
    </w:p>
    <w:p w14:paraId="1927F626" w14:textId="55123CC0" w:rsidR="00F3302C" w:rsidRPr="00F3302C" w:rsidRDefault="00F3302C" w:rsidP="004A746C">
      <w:pPr>
        <w:ind w:left="720" w:hanging="720"/>
        <w:jc w:val="both"/>
      </w:pPr>
      <w:r w:rsidRPr="00F3302C">
        <w:t>–</w:t>
      </w:r>
      <w:r w:rsidRPr="00F3302C">
        <w:tab/>
        <w:t>Supporting national spectrum management activities in the rapidly changing regulatory environment (see Resolution 7 (</w:t>
      </w:r>
      <w:proofErr w:type="spellStart"/>
      <w:r w:rsidRPr="00F3302C">
        <w:t>Rev.WRC</w:t>
      </w:r>
      <w:proofErr w:type="spellEnd"/>
      <w:r w:rsidRPr="00F3302C">
        <w:t xml:space="preserve"> 03)) and providing technical assistance in the field of space radiocommunication (Resolution 15 (</w:t>
      </w:r>
      <w:proofErr w:type="spellStart"/>
      <w:r w:rsidRPr="00F3302C">
        <w:t>Rev.WRC</w:t>
      </w:r>
      <w:proofErr w:type="spellEnd"/>
      <w:r w:rsidRPr="00F3302C">
        <w:t xml:space="preserve"> 03); to this end, missions were undertaken upon request by administrations or jointly organized with the BDT</w:t>
      </w:r>
      <w:r w:rsidR="004A746C">
        <w:t>. This involved the</w:t>
      </w:r>
      <w:r w:rsidRPr="00F3302C">
        <w:t xml:space="preserve"> participation of BR experts</w:t>
      </w:r>
      <w:r w:rsidR="004A746C">
        <w:t>,</w:t>
      </w:r>
      <w:r w:rsidRPr="00F3302C">
        <w:t xml:space="preserve"> to provide capacity building in regional seminars organized by </w:t>
      </w:r>
      <w:r w:rsidR="004A746C">
        <w:t xml:space="preserve">the </w:t>
      </w:r>
      <w:r w:rsidRPr="00F3302C">
        <w:t xml:space="preserve">BDT or regional organizations. Furthermore, experts from administrations of least developed countries were granted fellowships to attend BR radiocommunication seminars and workshops. Experts from administrations also received individual or group in service training </w:t>
      </w:r>
      <w:r w:rsidR="004A746C">
        <w:t>at</w:t>
      </w:r>
      <w:r w:rsidRPr="00F3302C">
        <w:t xml:space="preserve"> the ITU headquarters on radio regulatory procedures.</w:t>
      </w:r>
    </w:p>
    <w:p w14:paraId="2D1AC801" w14:textId="5F8B2FD3" w:rsidR="00F3302C" w:rsidRPr="00F3302C" w:rsidRDefault="00F3302C" w:rsidP="004A746C">
      <w:pPr>
        <w:ind w:left="720" w:hanging="720"/>
        <w:jc w:val="both"/>
      </w:pPr>
      <w:r w:rsidRPr="00F3302C">
        <w:t>–</w:t>
      </w:r>
      <w:r w:rsidRPr="00F3302C">
        <w:tab/>
        <w:t>Participati</w:t>
      </w:r>
      <w:r w:rsidR="004A746C">
        <w:t>on</w:t>
      </w:r>
      <w:r w:rsidRPr="00F3302C">
        <w:t xml:space="preserve"> in the meetings of the regional coordination groups, as requested by Article 12 of the Radio Regulations.</w:t>
      </w:r>
    </w:p>
    <w:p w14:paraId="77778AAD" w14:textId="66F1A456" w:rsidR="00F3302C" w:rsidRPr="00F3302C" w:rsidRDefault="004A746C" w:rsidP="004A746C">
      <w:pPr>
        <w:jc w:val="both"/>
      </w:pPr>
      <w:r>
        <w:t>–</w:t>
      </w:r>
      <w:r>
        <w:tab/>
        <w:t>Participation</w:t>
      </w:r>
      <w:r w:rsidR="00F3302C" w:rsidRPr="00F3302C">
        <w:t xml:space="preserve"> in capacity building seminars on satellite communications.</w:t>
      </w:r>
    </w:p>
    <w:p w14:paraId="40101784" w14:textId="1658C05E" w:rsidR="00F3302C" w:rsidRPr="00F3302C" w:rsidRDefault="004A746C" w:rsidP="006C2557">
      <w:pPr>
        <w:ind w:left="720" w:hanging="720"/>
        <w:jc w:val="both"/>
      </w:pPr>
      <w:r>
        <w:t>–</w:t>
      </w:r>
      <w:r>
        <w:tab/>
        <w:t>Provision of</w:t>
      </w:r>
      <w:r w:rsidR="00F3302C" w:rsidRPr="00F3302C">
        <w:t xml:space="preserve"> assistance in Long Term Frequency management and assignment for mobile broadband (IMT).</w:t>
      </w:r>
    </w:p>
    <w:p w14:paraId="446308C8" w14:textId="25F3ACD1" w:rsidR="00F3302C" w:rsidRPr="00F3302C" w:rsidRDefault="004A746C" w:rsidP="004A746C">
      <w:pPr>
        <w:ind w:left="720" w:hanging="720"/>
        <w:jc w:val="both"/>
      </w:pPr>
      <w:r>
        <w:t>–</w:t>
      </w:r>
      <w:r>
        <w:tab/>
        <w:t>Provision of</w:t>
      </w:r>
      <w:r w:rsidR="00F3302C" w:rsidRPr="00F3302C">
        <w:t xml:space="preserve"> guid</w:t>
      </w:r>
      <w:r>
        <w:t>elines</w:t>
      </w:r>
      <w:r w:rsidR="00F3302C" w:rsidRPr="00F3302C">
        <w:t xml:space="preserve"> and technical support for the transition to Digital Tel</w:t>
      </w:r>
      <w:r>
        <w:t xml:space="preserve">evision and the allocation of </w:t>
      </w:r>
      <w:r w:rsidR="00F3302C" w:rsidRPr="00F3302C">
        <w:t>digital dividend.</w:t>
      </w:r>
    </w:p>
    <w:p w14:paraId="2654B4BA" w14:textId="7C7EA12D" w:rsidR="00F3302C" w:rsidRPr="00F3302C" w:rsidRDefault="00F3302C" w:rsidP="006C2557">
      <w:pPr>
        <w:jc w:val="both"/>
      </w:pPr>
      <w:r w:rsidRPr="00F3302C">
        <w:t>At the request of the Administrations</w:t>
      </w:r>
      <w:r w:rsidR="004A746C">
        <w:t>, direct assistance were</w:t>
      </w:r>
      <w:r w:rsidRPr="00F3302C">
        <w:t xml:space="preserve"> provided to several countries, including Bhutan, Dominican Republic, El Salvador, to support their national spectrum management activities, </w:t>
      </w:r>
      <w:r w:rsidR="004A746C">
        <w:t xml:space="preserve">including </w:t>
      </w:r>
      <w:r w:rsidRPr="00F3302C">
        <w:t xml:space="preserve">long-term frequency management </w:t>
      </w:r>
      <w:r w:rsidR="004A746C">
        <w:t xml:space="preserve">mechanism </w:t>
      </w:r>
      <w:r w:rsidRPr="00F3302C">
        <w:t>for mobile broadband</w:t>
      </w:r>
      <w:r w:rsidR="006C2557">
        <w:t>.</w:t>
      </w:r>
    </w:p>
    <w:p w14:paraId="1AA615C5" w14:textId="7440F877" w:rsidR="00F3302C" w:rsidRDefault="00F3302C" w:rsidP="00F3302C">
      <w:pPr>
        <w:jc w:val="both"/>
        <w:rPr>
          <w:highlight w:val="yellow"/>
        </w:rPr>
      </w:pPr>
      <w:r w:rsidRPr="00F3302C">
        <w:t>Table 9.2.2 illustrates this activity.</w:t>
      </w:r>
    </w:p>
    <w:p w14:paraId="03690CB9" w14:textId="77777777" w:rsidR="00F3302C" w:rsidRDefault="00F3302C" w:rsidP="00F3302C">
      <w:pPr>
        <w:jc w:val="both"/>
        <w:rPr>
          <w:highlight w:val="yellow"/>
        </w:rPr>
      </w:pPr>
    </w:p>
    <w:p w14:paraId="7019CD8D" w14:textId="77777777" w:rsidR="00F3302C" w:rsidRDefault="00F3302C" w:rsidP="00F3302C">
      <w:pPr>
        <w:jc w:val="both"/>
        <w:rPr>
          <w:highlight w:val="yellow"/>
        </w:rPr>
        <w:sectPr w:rsidR="00F3302C" w:rsidSect="004A6500">
          <w:pgSz w:w="11907" w:h="16834"/>
          <w:pgMar w:top="1418" w:right="1134" w:bottom="1418" w:left="1134" w:header="720" w:footer="720" w:gutter="0"/>
          <w:paperSrc w:first="15" w:other="15"/>
          <w:cols w:space="720"/>
          <w:docGrid w:linePitch="326"/>
        </w:sectPr>
      </w:pPr>
    </w:p>
    <w:p w14:paraId="244C0798" w14:textId="77777777" w:rsidR="00F3302C" w:rsidRPr="00E30773" w:rsidRDefault="00F3302C" w:rsidP="00F3302C">
      <w:pPr>
        <w:pStyle w:val="TableNo"/>
        <w:ind w:left="360"/>
        <w:rPr>
          <w:lang w:eastAsia="zh-CN"/>
        </w:rPr>
      </w:pPr>
      <w:r w:rsidRPr="00E30773">
        <w:rPr>
          <w:lang w:eastAsia="zh-CN"/>
        </w:rPr>
        <w:lastRenderedPageBreak/>
        <w:t>Table 9.2.2</w:t>
      </w:r>
    </w:p>
    <w:p w14:paraId="13CC1402" w14:textId="77777777" w:rsidR="00F3302C" w:rsidRPr="00E30773" w:rsidRDefault="00F3302C" w:rsidP="00F3302C">
      <w:pPr>
        <w:pStyle w:val="TabletitleBR"/>
        <w:ind w:left="360"/>
        <w:rPr>
          <w:lang w:eastAsia="zh-CN"/>
        </w:rPr>
      </w:pPr>
      <w:r w:rsidRPr="00E30773">
        <w:rPr>
          <w:lang w:eastAsia="zh-CN"/>
        </w:rPr>
        <w:t>Participation of BR staff to events disseminating information</w:t>
      </w:r>
    </w:p>
    <w:p w14:paraId="172856A3" w14:textId="77777777" w:rsidR="00F3302C" w:rsidRPr="00E30773" w:rsidRDefault="00F3302C" w:rsidP="00F3302C">
      <w:pPr>
        <w:ind w:left="360"/>
        <w:rPr>
          <w:sz w:val="22"/>
        </w:rPr>
      </w:pPr>
    </w:p>
    <w:tbl>
      <w:tblPr>
        <w:tblW w:w="12046" w:type="dxa"/>
        <w:jc w:val="center"/>
        <w:tblLayout w:type="fixed"/>
        <w:tblCellMar>
          <w:left w:w="0" w:type="dxa"/>
          <w:right w:w="0" w:type="dxa"/>
        </w:tblCellMar>
        <w:tblLook w:val="04A0" w:firstRow="1" w:lastRow="0" w:firstColumn="1" w:lastColumn="0" w:noHBand="0" w:noVBand="1"/>
      </w:tblPr>
      <w:tblGrid>
        <w:gridCol w:w="2827"/>
        <w:gridCol w:w="939"/>
        <w:gridCol w:w="1066"/>
        <w:gridCol w:w="945"/>
        <w:gridCol w:w="1070"/>
        <w:gridCol w:w="940"/>
        <w:gridCol w:w="992"/>
        <w:gridCol w:w="992"/>
        <w:gridCol w:w="992"/>
        <w:gridCol w:w="1283"/>
      </w:tblGrid>
      <w:tr w:rsidR="00F3302C" w:rsidRPr="00E30773" w14:paraId="769C13E1" w14:textId="77777777" w:rsidTr="004A746C">
        <w:trPr>
          <w:trHeight w:val="315"/>
          <w:jc w:val="center"/>
        </w:trPr>
        <w:tc>
          <w:tcPr>
            <w:tcW w:w="2827"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019070C1" w14:textId="77777777" w:rsidR="00F3302C" w:rsidRPr="00E30773" w:rsidRDefault="00F3302C" w:rsidP="007A7990">
            <w:pPr>
              <w:rPr>
                <w:color w:val="000000"/>
                <w:sz w:val="18"/>
                <w:szCs w:val="18"/>
                <w:lang w:val="en-US" w:eastAsia="zh-CN"/>
              </w:rPr>
            </w:pPr>
            <w:r w:rsidRPr="00E30773">
              <w:rPr>
                <w:color w:val="000000"/>
                <w:sz w:val="18"/>
                <w:szCs w:val="18"/>
                <w:lang w:val="en-US"/>
              </w:rPr>
              <w:t> </w:t>
            </w:r>
          </w:p>
        </w:tc>
        <w:tc>
          <w:tcPr>
            <w:tcW w:w="2005"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1D423ECF" w14:textId="77777777" w:rsidR="00F3302C" w:rsidRPr="00E30773" w:rsidRDefault="00F3302C" w:rsidP="007A7990">
            <w:pPr>
              <w:jc w:val="center"/>
              <w:rPr>
                <w:b/>
                <w:bCs/>
                <w:color w:val="000000"/>
                <w:sz w:val="18"/>
                <w:szCs w:val="18"/>
                <w:lang w:val="en-US"/>
              </w:rPr>
            </w:pPr>
            <w:r w:rsidRPr="00E30773">
              <w:rPr>
                <w:b/>
                <w:bCs/>
                <w:color w:val="000000"/>
                <w:sz w:val="18"/>
                <w:szCs w:val="18"/>
                <w:lang w:val="en-US"/>
              </w:rPr>
              <w:t>2015</w:t>
            </w:r>
          </w:p>
        </w:tc>
        <w:tc>
          <w:tcPr>
            <w:tcW w:w="201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704280" w14:textId="77777777" w:rsidR="00F3302C" w:rsidRPr="00E30773" w:rsidRDefault="00F3302C" w:rsidP="007A7990">
            <w:pPr>
              <w:jc w:val="center"/>
              <w:rPr>
                <w:b/>
                <w:bCs/>
                <w:color w:val="000000"/>
                <w:sz w:val="18"/>
                <w:szCs w:val="18"/>
                <w:lang w:val="en-US"/>
              </w:rPr>
            </w:pPr>
            <w:r w:rsidRPr="00E30773">
              <w:rPr>
                <w:b/>
                <w:bCs/>
                <w:color w:val="000000"/>
                <w:sz w:val="18"/>
                <w:szCs w:val="18"/>
                <w:lang w:val="en-US"/>
              </w:rPr>
              <w:t>2016</w:t>
            </w:r>
          </w:p>
        </w:tc>
        <w:tc>
          <w:tcPr>
            <w:tcW w:w="19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B3E96E" w14:textId="77777777" w:rsidR="00F3302C" w:rsidRPr="00E30773" w:rsidRDefault="00F3302C" w:rsidP="007A7990">
            <w:pPr>
              <w:spacing w:before="60"/>
              <w:jc w:val="center"/>
              <w:rPr>
                <w:b/>
                <w:bCs/>
                <w:color w:val="000000"/>
                <w:sz w:val="18"/>
                <w:szCs w:val="18"/>
                <w:lang w:val="en-US"/>
              </w:rPr>
            </w:pPr>
            <w:r w:rsidRPr="00E30773">
              <w:rPr>
                <w:b/>
                <w:bCs/>
                <w:color w:val="000000"/>
                <w:sz w:val="18"/>
                <w:szCs w:val="18"/>
                <w:lang w:val="en-US"/>
              </w:rPr>
              <w:t>2017</w:t>
            </w:r>
          </w:p>
        </w:tc>
        <w:tc>
          <w:tcPr>
            <w:tcW w:w="1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ED048" w14:textId="77777777" w:rsidR="00F3302C" w:rsidRPr="00E30773" w:rsidRDefault="00F3302C" w:rsidP="007A7990">
            <w:pPr>
              <w:jc w:val="center"/>
              <w:rPr>
                <w:b/>
                <w:bCs/>
                <w:color w:val="FF0000"/>
                <w:sz w:val="18"/>
                <w:szCs w:val="18"/>
                <w:lang w:val="en-US"/>
              </w:rPr>
            </w:pPr>
            <w:r w:rsidRPr="00E30773">
              <w:rPr>
                <w:b/>
                <w:bCs/>
                <w:sz w:val="18"/>
                <w:szCs w:val="18"/>
                <w:lang w:val="en-US"/>
              </w:rPr>
              <w:t>2018</w:t>
            </w:r>
          </w:p>
        </w:tc>
        <w:tc>
          <w:tcPr>
            <w:tcW w:w="1283"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6A591589" w14:textId="77777777" w:rsidR="00F3302C" w:rsidRPr="00E30773" w:rsidRDefault="00F3302C" w:rsidP="007A7990">
            <w:pPr>
              <w:jc w:val="center"/>
              <w:rPr>
                <w:b/>
                <w:bCs/>
                <w:color w:val="000000"/>
                <w:sz w:val="18"/>
                <w:szCs w:val="18"/>
                <w:lang w:val="en-US"/>
              </w:rPr>
            </w:pPr>
            <w:r w:rsidRPr="00E30773">
              <w:rPr>
                <w:b/>
                <w:bCs/>
                <w:color w:val="000000"/>
                <w:sz w:val="18"/>
                <w:szCs w:val="18"/>
                <w:lang w:val="en-US"/>
              </w:rPr>
              <w:t>TOTAL</w:t>
            </w:r>
          </w:p>
        </w:tc>
      </w:tr>
      <w:tr w:rsidR="00F3302C" w:rsidRPr="00E30773" w14:paraId="4F258626" w14:textId="77777777" w:rsidTr="004A746C">
        <w:trPr>
          <w:trHeight w:val="315"/>
          <w:jc w:val="center"/>
        </w:trPr>
        <w:tc>
          <w:tcPr>
            <w:tcW w:w="2827" w:type="dxa"/>
            <w:vMerge/>
            <w:tcBorders>
              <w:top w:val="single" w:sz="8" w:space="0" w:color="auto"/>
              <w:left w:val="single" w:sz="8" w:space="0" w:color="auto"/>
              <w:bottom w:val="single" w:sz="8" w:space="0" w:color="000000"/>
              <w:right w:val="single" w:sz="8" w:space="0" w:color="auto"/>
            </w:tcBorders>
            <w:vAlign w:val="center"/>
            <w:hideMark/>
          </w:tcPr>
          <w:p w14:paraId="5CB39580" w14:textId="77777777" w:rsidR="00F3302C" w:rsidRPr="00E30773" w:rsidRDefault="00F3302C" w:rsidP="007A7990">
            <w:pPr>
              <w:rPr>
                <w:rFonts w:ascii="Calibri" w:eastAsiaTheme="minorEastAsia" w:hAnsi="Calibri" w:cs="Calibri"/>
                <w:color w:val="000000"/>
                <w:sz w:val="18"/>
                <w:szCs w:val="18"/>
                <w:lang w:val="en-US"/>
              </w:rPr>
            </w:pP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7B2597" w14:textId="77777777" w:rsidR="00F3302C" w:rsidRPr="00E30773" w:rsidRDefault="00F3302C" w:rsidP="007A7990">
            <w:pPr>
              <w:rPr>
                <w:b/>
                <w:bCs/>
                <w:sz w:val="18"/>
                <w:szCs w:val="18"/>
                <w:lang w:val="en-US"/>
              </w:rPr>
            </w:pPr>
            <w:r w:rsidRPr="00E30773">
              <w:rPr>
                <w:b/>
                <w:bCs/>
                <w:sz w:val="18"/>
                <w:szCs w:val="18"/>
                <w:lang w:val="en-US"/>
              </w:rPr>
              <w:t>Missions</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5E06BE" w14:textId="77777777" w:rsidR="00F3302C" w:rsidRPr="00E30773" w:rsidRDefault="00F3302C" w:rsidP="007A7990">
            <w:pPr>
              <w:rPr>
                <w:b/>
                <w:bCs/>
                <w:sz w:val="18"/>
                <w:szCs w:val="18"/>
                <w:lang w:val="en-US"/>
              </w:rPr>
            </w:pPr>
            <w:r w:rsidRPr="00E30773">
              <w:rPr>
                <w:b/>
                <w:bCs/>
                <w:sz w:val="18"/>
                <w:szCs w:val="18"/>
                <w:lang w:val="en-US"/>
              </w:rPr>
              <w:t xml:space="preserve">Countries </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358EA7" w14:textId="77777777" w:rsidR="00F3302C" w:rsidRPr="00E30773" w:rsidRDefault="00F3302C" w:rsidP="007A7990">
            <w:pPr>
              <w:rPr>
                <w:b/>
                <w:bCs/>
                <w:sz w:val="18"/>
                <w:szCs w:val="18"/>
                <w:lang w:val="en-US"/>
              </w:rPr>
            </w:pPr>
            <w:r w:rsidRPr="00E30773">
              <w:rPr>
                <w:b/>
                <w:bCs/>
                <w:sz w:val="18"/>
                <w:szCs w:val="18"/>
                <w:lang w:val="en-US"/>
              </w:rPr>
              <w:t>Missions</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AE5829" w14:textId="77777777" w:rsidR="00F3302C" w:rsidRPr="00E30773" w:rsidRDefault="00F3302C" w:rsidP="007A7990">
            <w:pPr>
              <w:jc w:val="center"/>
              <w:rPr>
                <w:b/>
                <w:bCs/>
                <w:sz w:val="18"/>
                <w:szCs w:val="18"/>
                <w:lang w:val="en-US"/>
              </w:rPr>
            </w:pPr>
            <w:r w:rsidRPr="00E30773">
              <w:rPr>
                <w:b/>
                <w:bCs/>
                <w:sz w:val="18"/>
                <w:szCs w:val="18"/>
                <w:lang w:val="en-US"/>
              </w:rPr>
              <w:t xml:space="preserve">Countries </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8FF47" w14:textId="77777777" w:rsidR="00F3302C" w:rsidRPr="00E30773" w:rsidRDefault="00F3302C" w:rsidP="007A7990">
            <w:pPr>
              <w:jc w:val="center"/>
              <w:rPr>
                <w:b/>
                <w:bCs/>
                <w:sz w:val="18"/>
                <w:szCs w:val="18"/>
                <w:lang w:val="en-US"/>
              </w:rPr>
            </w:pPr>
            <w:r w:rsidRPr="00E30773">
              <w:rPr>
                <w:b/>
                <w:bCs/>
                <w:sz w:val="18"/>
                <w:szCs w:val="18"/>
                <w:lang w:val="en-US"/>
              </w:rPr>
              <w:t>Missions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60D39" w14:textId="77777777" w:rsidR="00F3302C" w:rsidRPr="00E30773" w:rsidRDefault="00F3302C" w:rsidP="007A7990">
            <w:pPr>
              <w:jc w:val="center"/>
              <w:rPr>
                <w:b/>
                <w:bCs/>
                <w:sz w:val="18"/>
                <w:szCs w:val="18"/>
                <w:lang w:val="en-US"/>
              </w:rPr>
            </w:pPr>
            <w:r w:rsidRPr="00E30773">
              <w:rPr>
                <w:b/>
                <w:bCs/>
                <w:sz w:val="18"/>
                <w:szCs w:val="18"/>
                <w:lang w:val="en-US"/>
              </w:rPr>
              <w:t xml:space="preserve">Countries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963A04" w14:textId="77777777" w:rsidR="00F3302C" w:rsidRPr="00E30773" w:rsidRDefault="00F3302C" w:rsidP="007A7990">
            <w:pPr>
              <w:jc w:val="center"/>
              <w:rPr>
                <w:b/>
                <w:bCs/>
                <w:sz w:val="18"/>
                <w:szCs w:val="18"/>
                <w:lang w:val="en-US"/>
              </w:rPr>
            </w:pPr>
            <w:r w:rsidRPr="00E30773">
              <w:rPr>
                <w:b/>
                <w:bCs/>
                <w:sz w:val="18"/>
                <w:szCs w:val="18"/>
                <w:lang w:val="en-US"/>
              </w:rPr>
              <w:t>Missions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73CA477" w14:textId="77777777" w:rsidR="00F3302C" w:rsidRPr="00E30773" w:rsidRDefault="00F3302C" w:rsidP="007A7990">
            <w:pPr>
              <w:jc w:val="center"/>
              <w:rPr>
                <w:b/>
                <w:bCs/>
                <w:sz w:val="18"/>
                <w:szCs w:val="18"/>
                <w:lang w:val="en-US"/>
              </w:rPr>
            </w:pPr>
            <w:r w:rsidRPr="00E30773">
              <w:rPr>
                <w:b/>
                <w:bCs/>
                <w:sz w:val="18"/>
                <w:szCs w:val="18"/>
                <w:lang w:val="en-US"/>
              </w:rPr>
              <w:t xml:space="preserve">Countries </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7E2A32" w14:textId="77777777" w:rsidR="00F3302C" w:rsidRPr="00E30773" w:rsidRDefault="00F3302C" w:rsidP="007A7990">
            <w:pPr>
              <w:rPr>
                <w:b/>
                <w:bCs/>
                <w:sz w:val="18"/>
                <w:szCs w:val="18"/>
                <w:lang w:val="en-US"/>
              </w:rPr>
            </w:pPr>
            <w:r w:rsidRPr="00E30773">
              <w:rPr>
                <w:b/>
                <w:bCs/>
                <w:sz w:val="18"/>
                <w:szCs w:val="18"/>
                <w:lang w:val="en-US"/>
              </w:rPr>
              <w:t>MISSIONS</w:t>
            </w:r>
          </w:p>
        </w:tc>
      </w:tr>
      <w:tr w:rsidR="00F3302C" w:rsidRPr="00E30773" w14:paraId="53F11AD6" w14:textId="77777777" w:rsidTr="004A746C">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982C4E" w14:textId="77777777" w:rsidR="00F3302C" w:rsidRPr="00E30773" w:rsidRDefault="00F3302C" w:rsidP="007A7990">
            <w:pPr>
              <w:rPr>
                <w:b/>
                <w:bCs/>
                <w:i/>
                <w:iCs/>
                <w:color w:val="000000"/>
                <w:sz w:val="18"/>
                <w:szCs w:val="18"/>
                <w:lang w:val="en-US"/>
              </w:rPr>
            </w:pPr>
            <w:r w:rsidRPr="00E30773">
              <w:rPr>
                <w:b/>
                <w:bCs/>
                <w:i/>
                <w:iCs/>
                <w:color w:val="000000"/>
                <w:sz w:val="18"/>
                <w:szCs w:val="18"/>
                <w:lang w:val="en-US"/>
              </w:rPr>
              <w:t xml:space="preserve">SPECIALIZED UN AGENCIES </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E897A3" w14:textId="77777777" w:rsidR="00F3302C" w:rsidRPr="00E30773" w:rsidRDefault="00F3302C" w:rsidP="007A7990">
            <w:pPr>
              <w:jc w:val="center"/>
              <w:rPr>
                <w:sz w:val="18"/>
                <w:szCs w:val="18"/>
                <w:lang w:val="en-US"/>
              </w:rPr>
            </w:pPr>
            <w:r w:rsidRPr="00E30773">
              <w:rPr>
                <w:color w:val="000000"/>
                <w:sz w:val="18"/>
                <w:szCs w:val="18"/>
                <w:lang w:val="en-US"/>
              </w:rPr>
              <w:t>24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0DFFE3" w14:textId="77777777" w:rsidR="00F3302C" w:rsidRPr="00E30773" w:rsidRDefault="00F3302C" w:rsidP="007A7990">
            <w:pPr>
              <w:jc w:val="center"/>
              <w:rPr>
                <w:sz w:val="18"/>
                <w:szCs w:val="18"/>
                <w:lang w:val="en-US"/>
              </w:rPr>
            </w:pPr>
            <w:r w:rsidRPr="00E30773">
              <w:rPr>
                <w:color w:val="000000"/>
                <w:sz w:val="18"/>
                <w:szCs w:val="18"/>
                <w:lang w:val="en-US"/>
              </w:rPr>
              <w:t>9</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1E7FBB" w14:textId="77777777" w:rsidR="00F3302C" w:rsidRPr="00E30773" w:rsidRDefault="00F3302C" w:rsidP="007A7990">
            <w:pPr>
              <w:jc w:val="center"/>
              <w:rPr>
                <w:sz w:val="18"/>
                <w:szCs w:val="18"/>
                <w:lang w:val="en-US"/>
              </w:rPr>
            </w:pPr>
            <w:r w:rsidRPr="00E30773">
              <w:rPr>
                <w:color w:val="000000"/>
                <w:sz w:val="18"/>
                <w:szCs w:val="18"/>
                <w:lang w:val="en-US"/>
              </w:rPr>
              <w:t>33</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1718BA" w14:textId="77777777" w:rsidR="00F3302C" w:rsidRPr="00E30773" w:rsidRDefault="00F3302C" w:rsidP="007A7990">
            <w:pPr>
              <w:jc w:val="center"/>
              <w:rPr>
                <w:b/>
                <w:bCs/>
                <w:sz w:val="18"/>
                <w:szCs w:val="18"/>
                <w:lang w:val="en-US"/>
              </w:rPr>
            </w:pPr>
            <w:r w:rsidRPr="00E30773">
              <w:rPr>
                <w:b/>
                <w:bCs/>
                <w:color w:val="000000"/>
                <w:sz w:val="18"/>
                <w:szCs w:val="18"/>
                <w:lang w:val="en-US"/>
              </w:rPr>
              <w:t>13</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C71B5" w14:textId="77777777" w:rsidR="00F3302C" w:rsidRPr="00E30773" w:rsidRDefault="00F3302C" w:rsidP="007A7990">
            <w:pPr>
              <w:jc w:val="center"/>
              <w:rPr>
                <w:b/>
                <w:bCs/>
                <w:sz w:val="18"/>
                <w:szCs w:val="18"/>
                <w:lang w:val="en-US"/>
              </w:rPr>
            </w:pPr>
            <w:r w:rsidRPr="00E30773">
              <w:rPr>
                <w:b/>
                <w:bCs/>
                <w:color w:val="000000"/>
                <w:sz w:val="18"/>
                <w:szCs w:val="18"/>
                <w:lang w:val="en-US"/>
              </w:rPr>
              <w:t>23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31A4D" w14:textId="77777777" w:rsidR="00F3302C" w:rsidRPr="00E30773" w:rsidRDefault="00F3302C" w:rsidP="007A7990">
            <w:pPr>
              <w:jc w:val="center"/>
              <w:rPr>
                <w:b/>
                <w:bCs/>
                <w:sz w:val="18"/>
                <w:szCs w:val="18"/>
                <w:lang w:val="en-US"/>
              </w:rPr>
            </w:pPr>
            <w:r w:rsidRPr="00E30773">
              <w:rPr>
                <w:b/>
                <w:bCs/>
                <w:color w:val="000000"/>
                <w:sz w:val="18"/>
                <w:szCs w:val="18"/>
                <w:lang w:val="en-US"/>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4C4E1" w14:textId="77777777" w:rsidR="00F3302C" w:rsidRPr="00E30773" w:rsidRDefault="00F3302C" w:rsidP="007A7990">
            <w:pPr>
              <w:jc w:val="center"/>
              <w:rPr>
                <w:b/>
                <w:bCs/>
                <w:sz w:val="18"/>
                <w:szCs w:val="18"/>
                <w:lang w:val="en-US"/>
              </w:rPr>
            </w:pPr>
            <w:r w:rsidRPr="00E30773">
              <w:rPr>
                <w:b/>
                <w:bCs/>
                <w:color w:val="000000"/>
                <w:sz w:val="18"/>
                <w:szCs w:val="18"/>
                <w:lang w:val="en-US"/>
              </w:rPr>
              <w:t>21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1BB76" w14:textId="77777777" w:rsidR="00F3302C" w:rsidRPr="00E30773" w:rsidRDefault="00F3302C" w:rsidP="007A7990">
            <w:pPr>
              <w:jc w:val="center"/>
              <w:rPr>
                <w:b/>
                <w:bCs/>
                <w:sz w:val="18"/>
                <w:szCs w:val="18"/>
                <w:lang w:val="en-US"/>
              </w:rPr>
            </w:pPr>
            <w:r w:rsidRPr="00E30773">
              <w:rPr>
                <w:b/>
                <w:bCs/>
                <w:color w:val="000000"/>
                <w:sz w:val="18"/>
                <w:szCs w:val="18"/>
                <w:lang w:val="en-US"/>
              </w:rPr>
              <w:t>11</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5181E5" w14:textId="77777777" w:rsidR="00F3302C" w:rsidRPr="00E30773" w:rsidRDefault="00F3302C" w:rsidP="007A7990">
            <w:pPr>
              <w:jc w:val="center"/>
              <w:rPr>
                <w:b/>
                <w:bCs/>
                <w:sz w:val="18"/>
                <w:szCs w:val="18"/>
                <w:lang w:val="en-US"/>
              </w:rPr>
            </w:pPr>
            <w:r w:rsidRPr="00E30773">
              <w:rPr>
                <w:b/>
                <w:bCs/>
                <w:color w:val="000000"/>
                <w:sz w:val="18"/>
                <w:szCs w:val="18"/>
                <w:lang w:val="en-US"/>
              </w:rPr>
              <w:t>101</w:t>
            </w:r>
          </w:p>
        </w:tc>
      </w:tr>
      <w:tr w:rsidR="00F3302C" w:rsidRPr="00E30773" w14:paraId="64E88F58" w14:textId="77777777" w:rsidTr="004A746C">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9F6C1E" w14:textId="77777777" w:rsidR="00F3302C" w:rsidRPr="00E30773" w:rsidRDefault="00F3302C" w:rsidP="007A7990">
            <w:pPr>
              <w:rPr>
                <w:b/>
                <w:bCs/>
                <w:i/>
                <w:iCs/>
                <w:color w:val="000000"/>
                <w:sz w:val="18"/>
                <w:szCs w:val="18"/>
                <w:lang w:val="en-US"/>
              </w:rPr>
            </w:pPr>
            <w:r w:rsidRPr="00E30773">
              <w:rPr>
                <w:b/>
                <w:bCs/>
                <w:i/>
                <w:iCs/>
                <w:color w:val="000000"/>
                <w:sz w:val="18"/>
                <w:szCs w:val="18"/>
                <w:lang w:val="en-US"/>
              </w:rPr>
              <w:t xml:space="preserve">REGIONAL TELECOMMUNICATION ORGANIZATIONS </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395B5" w14:textId="77777777" w:rsidR="00F3302C" w:rsidRPr="00E30773" w:rsidRDefault="00F3302C" w:rsidP="007A7990">
            <w:pPr>
              <w:jc w:val="center"/>
              <w:rPr>
                <w:sz w:val="18"/>
                <w:szCs w:val="18"/>
                <w:lang w:val="en-US"/>
              </w:rPr>
            </w:pPr>
            <w:r w:rsidRPr="00E30773">
              <w:rPr>
                <w:color w:val="000000"/>
                <w:sz w:val="18"/>
                <w:szCs w:val="18"/>
                <w:lang w:val="en-US"/>
              </w:rPr>
              <w:t>74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9346A8" w14:textId="77777777" w:rsidR="00F3302C" w:rsidRPr="00E30773" w:rsidRDefault="00F3302C" w:rsidP="007A7990">
            <w:pPr>
              <w:jc w:val="center"/>
              <w:rPr>
                <w:sz w:val="18"/>
                <w:szCs w:val="18"/>
                <w:lang w:val="en-US"/>
              </w:rPr>
            </w:pPr>
            <w:r w:rsidRPr="00E30773">
              <w:rPr>
                <w:color w:val="000000"/>
                <w:sz w:val="18"/>
                <w:szCs w:val="18"/>
                <w:lang w:val="en-US"/>
              </w:rPr>
              <w:t>34</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0A3EEB" w14:textId="77777777" w:rsidR="00F3302C" w:rsidRPr="00E30773" w:rsidRDefault="00F3302C" w:rsidP="007A7990">
            <w:pPr>
              <w:jc w:val="center"/>
              <w:rPr>
                <w:sz w:val="18"/>
                <w:szCs w:val="18"/>
                <w:lang w:val="en-US"/>
              </w:rPr>
            </w:pPr>
            <w:r w:rsidRPr="00E30773">
              <w:rPr>
                <w:color w:val="000000"/>
                <w:sz w:val="18"/>
                <w:szCs w:val="18"/>
                <w:lang w:val="en-US"/>
              </w:rPr>
              <w:t>57</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1CBDCE" w14:textId="77777777" w:rsidR="00F3302C" w:rsidRPr="00E30773" w:rsidRDefault="00F3302C" w:rsidP="007A7990">
            <w:pPr>
              <w:jc w:val="center"/>
              <w:rPr>
                <w:b/>
                <w:bCs/>
                <w:sz w:val="18"/>
                <w:szCs w:val="18"/>
                <w:lang w:val="en-US"/>
              </w:rPr>
            </w:pPr>
            <w:r w:rsidRPr="00E30773">
              <w:rPr>
                <w:b/>
                <w:bCs/>
                <w:color w:val="000000"/>
                <w:sz w:val="18"/>
                <w:szCs w:val="18"/>
                <w:lang w:val="en-US"/>
              </w:rPr>
              <w:t>32</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A38B0" w14:textId="77777777" w:rsidR="00F3302C" w:rsidRPr="00E30773" w:rsidRDefault="00F3302C" w:rsidP="007A7990">
            <w:pPr>
              <w:jc w:val="center"/>
              <w:rPr>
                <w:b/>
                <w:bCs/>
                <w:sz w:val="18"/>
                <w:szCs w:val="18"/>
                <w:lang w:val="en-US"/>
              </w:rPr>
            </w:pPr>
            <w:r w:rsidRPr="00E30773">
              <w:rPr>
                <w:b/>
                <w:bCs/>
                <w:color w:val="000000"/>
                <w:sz w:val="18"/>
                <w:szCs w:val="18"/>
                <w:lang w:val="en-US"/>
              </w:rPr>
              <w:t>49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DA244" w14:textId="77777777" w:rsidR="00F3302C" w:rsidRPr="00E30773" w:rsidRDefault="00F3302C" w:rsidP="007A7990">
            <w:pPr>
              <w:jc w:val="center"/>
              <w:rPr>
                <w:b/>
                <w:bCs/>
                <w:sz w:val="18"/>
                <w:szCs w:val="18"/>
                <w:lang w:val="en-US"/>
              </w:rPr>
            </w:pPr>
            <w:r w:rsidRPr="00E30773">
              <w:rPr>
                <w:b/>
                <w:bCs/>
                <w:color w:val="000000"/>
                <w:sz w:val="18"/>
                <w:szCs w:val="18"/>
                <w:lang w:val="en-US"/>
              </w:rPr>
              <w:t>37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6B484" w14:textId="77777777" w:rsidR="00F3302C" w:rsidRPr="00E30773" w:rsidRDefault="00F3302C" w:rsidP="007A7990">
            <w:pPr>
              <w:jc w:val="center"/>
              <w:rPr>
                <w:b/>
                <w:bCs/>
                <w:sz w:val="18"/>
                <w:szCs w:val="18"/>
                <w:lang w:val="en-US"/>
              </w:rPr>
            </w:pPr>
            <w:r w:rsidRPr="00E30773">
              <w:rPr>
                <w:b/>
                <w:bCs/>
                <w:color w:val="000000"/>
                <w:sz w:val="18"/>
                <w:szCs w:val="18"/>
                <w:lang w:val="en-US"/>
              </w:rPr>
              <w:t>46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7ED11" w14:textId="77777777" w:rsidR="00F3302C" w:rsidRPr="00E30773" w:rsidRDefault="00F3302C" w:rsidP="007A7990">
            <w:pPr>
              <w:jc w:val="center"/>
              <w:rPr>
                <w:b/>
                <w:bCs/>
                <w:sz w:val="18"/>
                <w:szCs w:val="18"/>
                <w:lang w:val="en-US"/>
              </w:rPr>
            </w:pPr>
            <w:r w:rsidRPr="00E30773">
              <w:rPr>
                <w:b/>
                <w:bCs/>
                <w:color w:val="000000"/>
                <w:sz w:val="18"/>
                <w:szCs w:val="18"/>
                <w:lang w:val="en-US"/>
              </w:rPr>
              <w:t>37</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2E7918" w14:textId="77777777" w:rsidR="00F3302C" w:rsidRPr="00E30773" w:rsidRDefault="00F3302C" w:rsidP="007A7990">
            <w:pPr>
              <w:jc w:val="center"/>
              <w:rPr>
                <w:b/>
                <w:bCs/>
                <w:sz w:val="18"/>
                <w:szCs w:val="18"/>
                <w:lang w:val="en-US"/>
              </w:rPr>
            </w:pPr>
            <w:r w:rsidRPr="00E30773">
              <w:rPr>
                <w:b/>
                <w:bCs/>
                <w:color w:val="000000"/>
                <w:sz w:val="18"/>
                <w:szCs w:val="18"/>
                <w:lang w:val="en-US"/>
              </w:rPr>
              <w:t>226</w:t>
            </w:r>
          </w:p>
        </w:tc>
      </w:tr>
      <w:tr w:rsidR="00F3302C" w:rsidRPr="00E30773" w14:paraId="02C1426D" w14:textId="77777777" w:rsidTr="004A746C">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D00619" w14:textId="77777777" w:rsidR="00F3302C" w:rsidRPr="00E30773" w:rsidRDefault="00F3302C" w:rsidP="007A7990">
            <w:pPr>
              <w:rPr>
                <w:b/>
                <w:bCs/>
                <w:i/>
                <w:iCs/>
                <w:color w:val="000000"/>
                <w:sz w:val="18"/>
                <w:szCs w:val="18"/>
                <w:lang w:val="en-US"/>
              </w:rPr>
            </w:pPr>
            <w:r w:rsidRPr="00E30773">
              <w:rPr>
                <w:b/>
                <w:bCs/>
                <w:i/>
                <w:iCs/>
                <w:color w:val="000000"/>
                <w:sz w:val="18"/>
                <w:szCs w:val="18"/>
                <w:lang w:val="en-US"/>
              </w:rPr>
              <w:t xml:space="preserve">Non-ITU CONFERENCES &amp; SYMPOSIA </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86D2D5" w14:textId="77777777" w:rsidR="00F3302C" w:rsidRPr="00E30773" w:rsidRDefault="00F3302C" w:rsidP="007A7990">
            <w:pPr>
              <w:jc w:val="center"/>
              <w:rPr>
                <w:sz w:val="18"/>
                <w:szCs w:val="18"/>
                <w:lang w:val="en-US"/>
              </w:rPr>
            </w:pPr>
            <w:r w:rsidRPr="00E30773">
              <w:rPr>
                <w:color w:val="000000"/>
                <w:sz w:val="18"/>
                <w:szCs w:val="18"/>
                <w:lang w:val="en-US"/>
              </w:rPr>
              <w:t>57</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5328D8" w14:textId="77777777" w:rsidR="00F3302C" w:rsidRPr="00E30773" w:rsidRDefault="00F3302C" w:rsidP="007A7990">
            <w:pPr>
              <w:jc w:val="center"/>
              <w:rPr>
                <w:sz w:val="18"/>
                <w:szCs w:val="18"/>
                <w:lang w:val="en-US"/>
              </w:rPr>
            </w:pPr>
            <w:r w:rsidRPr="00E30773">
              <w:rPr>
                <w:color w:val="000000"/>
                <w:sz w:val="18"/>
                <w:szCs w:val="18"/>
                <w:lang w:val="en-US"/>
              </w:rPr>
              <w:t>45</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52BCDC" w14:textId="77777777" w:rsidR="00F3302C" w:rsidRPr="00E30773" w:rsidRDefault="00F3302C" w:rsidP="007A7990">
            <w:pPr>
              <w:jc w:val="center"/>
              <w:rPr>
                <w:sz w:val="18"/>
                <w:szCs w:val="18"/>
                <w:lang w:val="en-US"/>
              </w:rPr>
            </w:pPr>
            <w:r w:rsidRPr="00E30773">
              <w:rPr>
                <w:color w:val="000000"/>
                <w:sz w:val="18"/>
                <w:szCs w:val="18"/>
                <w:lang w:val="en-US"/>
              </w:rPr>
              <w:t>83</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242E52" w14:textId="77777777" w:rsidR="00F3302C" w:rsidRPr="00E30773" w:rsidRDefault="00F3302C" w:rsidP="007A7990">
            <w:pPr>
              <w:jc w:val="center"/>
              <w:rPr>
                <w:b/>
                <w:bCs/>
                <w:sz w:val="18"/>
                <w:szCs w:val="18"/>
                <w:lang w:val="en-US"/>
              </w:rPr>
            </w:pPr>
            <w:r w:rsidRPr="00E30773">
              <w:rPr>
                <w:b/>
                <w:bCs/>
                <w:color w:val="000000"/>
                <w:sz w:val="18"/>
                <w:szCs w:val="18"/>
                <w:lang w:val="en-US"/>
              </w:rPr>
              <w:t>40</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1D6EE" w14:textId="77777777" w:rsidR="00F3302C" w:rsidRPr="00E30773" w:rsidRDefault="00F3302C" w:rsidP="007A7990">
            <w:pPr>
              <w:jc w:val="center"/>
              <w:rPr>
                <w:b/>
                <w:bCs/>
                <w:sz w:val="18"/>
                <w:szCs w:val="18"/>
                <w:lang w:val="en-US"/>
              </w:rPr>
            </w:pPr>
            <w:r w:rsidRPr="00E30773">
              <w:rPr>
                <w:b/>
                <w:bCs/>
                <w:color w:val="000000"/>
                <w:sz w:val="18"/>
                <w:szCs w:val="18"/>
                <w:lang w:val="en-US"/>
              </w:rPr>
              <w:t>51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F4BD1" w14:textId="77777777" w:rsidR="00F3302C" w:rsidRPr="00E30773" w:rsidRDefault="00F3302C" w:rsidP="007A7990">
            <w:pPr>
              <w:jc w:val="center"/>
              <w:rPr>
                <w:b/>
                <w:bCs/>
                <w:sz w:val="18"/>
                <w:szCs w:val="18"/>
                <w:lang w:val="en-US"/>
              </w:rPr>
            </w:pPr>
            <w:r w:rsidRPr="00E30773">
              <w:rPr>
                <w:b/>
                <w:bCs/>
                <w:color w:val="000000"/>
                <w:sz w:val="18"/>
                <w:szCs w:val="18"/>
                <w:lang w:val="en-US"/>
              </w:rPr>
              <w:t>32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C6538" w14:textId="77777777" w:rsidR="00F3302C" w:rsidRPr="00E30773" w:rsidRDefault="00F3302C" w:rsidP="007A7990">
            <w:pPr>
              <w:jc w:val="center"/>
              <w:rPr>
                <w:b/>
                <w:bCs/>
                <w:sz w:val="18"/>
                <w:szCs w:val="18"/>
                <w:lang w:val="en-US"/>
              </w:rPr>
            </w:pPr>
            <w:r w:rsidRPr="00E30773">
              <w:rPr>
                <w:b/>
                <w:bCs/>
                <w:color w:val="000000"/>
                <w:sz w:val="18"/>
                <w:szCs w:val="18"/>
                <w:lang w:val="en-US"/>
              </w:rPr>
              <w:t>58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3FC72" w14:textId="77777777" w:rsidR="00F3302C" w:rsidRPr="00E30773" w:rsidRDefault="00F3302C" w:rsidP="007A7990">
            <w:pPr>
              <w:jc w:val="center"/>
              <w:rPr>
                <w:b/>
                <w:bCs/>
                <w:sz w:val="18"/>
                <w:szCs w:val="18"/>
                <w:lang w:val="en-US"/>
              </w:rPr>
            </w:pPr>
            <w:r w:rsidRPr="00E30773">
              <w:rPr>
                <w:b/>
                <w:bCs/>
                <w:color w:val="000000"/>
                <w:sz w:val="18"/>
                <w:szCs w:val="18"/>
                <w:lang w:val="en-US"/>
              </w:rPr>
              <w:t>44</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7878DC" w14:textId="77777777" w:rsidR="00F3302C" w:rsidRPr="00E30773" w:rsidRDefault="00F3302C" w:rsidP="007A7990">
            <w:pPr>
              <w:jc w:val="center"/>
              <w:rPr>
                <w:b/>
                <w:bCs/>
                <w:sz w:val="18"/>
                <w:szCs w:val="18"/>
                <w:lang w:val="en-US"/>
              </w:rPr>
            </w:pPr>
            <w:r w:rsidRPr="00E30773">
              <w:rPr>
                <w:b/>
                <w:bCs/>
                <w:color w:val="000000"/>
                <w:sz w:val="18"/>
                <w:szCs w:val="18"/>
                <w:lang w:val="en-US"/>
              </w:rPr>
              <w:t>249</w:t>
            </w:r>
          </w:p>
        </w:tc>
      </w:tr>
      <w:tr w:rsidR="00F3302C" w:rsidRPr="00E30773" w14:paraId="30DF964F" w14:textId="77777777" w:rsidTr="004A746C">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1E1368" w14:textId="77777777" w:rsidR="00F3302C" w:rsidRPr="00E30773" w:rsidRDefault="00F3302C" w:rsidP="007A7990">
            <w:pPr>
              <w:rPr>
                <w:b/>
                <w:bCs/>
                <w:i/>
                <w:iCs/>
                <w:color w:val="000000"/>
                <w:sz w:val="18"/>
                <w:szCs w:val="18"/>
                <w:lang w:val="en-US"/>
              </w:rPr>
            </w:pPr>
            <w:r w:rsidRPr="00E30773">
              <w:rPr>
                <w:b/>
                <w:bCs/>
                <w:i/>
                <w:iCs/>
                <w:color w:val="000000"/>
                <w:sz w:val="18"/>
                <w:szCs w:val="18"/>
                <w:lang w:val="en-US"/>
              </w:rPr>
              <w:t>ITU SEMINARS, WORKSHOPS &amp; MEETINGS</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DB6562" w14:textId="77777777" w:rsidR="00F3302C" w:rsidRPr="00E30773" w:rsidRDefault="00F3302C" w:rsidP="007A7990">
            <w:pPr>
              <w:jc w:val="center"/>
              <w:rPr>
                <w:sz w:val="18"/>
                <w:szCs w:val="18"/>
                <w:lang w:val="en-US"/>
              </w:rPr>
            </w:pPr>
            <w:r w:rsidRPr="00E30773">
              <w:rPr>
                <w:color w:val="000000"/>
                <w:sz w:val="18"/>
                <w:szCs w:val="18"/>
                <w:lang w:val="en-US"/>
              </w:rPr>
              <w:t>33</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CD40F7" w14:textId="77777777" w:rsidR="00F3302C" w:rsidRPr="00E30773" w:rsidRDefault="00F3302C" w:rsidP="007A7990">
            <w:pPr>
              <w:jc w:val="center"/>
              <w:rPr>
                <w:sz w:val="18"/>
                <w:szCs w:val="18"/>
                <w:lang w:val="en-US"/>
              </w:rPr>
            </w:pPr>
            <w:r w:rsidRPr="00E30773">
              <w:rPr>
                <w:color w:val="000000"/>
                <w:sz w:val="18"/>
                <w:szCs w:val="18"/>
                <w:lang w:val="en-US"/>
              </w:rPr>
              <w:t>19</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41E778" w14:textId="77777777" w:rsidR="00F3302C" w:rsidRPr="00E30773" w:rsidRDefault="00F3302C" w:rsidP="007A7990">
            <w:pPr>
              <w:jc w:val="center"/>
              <w:rPr>
                <w:sz w:val="18"/>
                <w:szCs w:val="18"/>
                <w:lang w:val="en-US"/>
              </w:rPr>
            </w:pPr>
            <w:r w:rsidRPr="00E30773">
              <w:rPr>
                <w:color w:val="000000"/>
                <w:sz w:val="18"/>
                <w:szCs w:val="18"/>
                <w:lang w:val="en-US"/>
              </w:rPr>
              <w:t>39</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59D916" w14:textId="77777777" w:rsidR="00F3302C" w:rsidRPr="00E30773" w:rsidRDefault="00F3302C" w:rsidP="007A7990">
            <w:pPr>
              <w:jc w:val="center"/>
              <w:rPr>
                <w:b/>
                <w:bCs/>
                <w:sz w:val="18"/>
                <w:szCs w:val="18"/>
                <w:lang w:val="en-US"/>
              </w:rPr>
            </w:pPr>
            <w:r w:rsidRPr="00E30773">
              <w:rPr>
                <w:b/>
                <w:bCs/>
                <w:color w:val="000000"/>
                <w:sz w:val="18"/>
                <w:szCs w:val="18"/>
                <w:lang w:val="en-US"/>
              </w:rPr>
              <w:t>19</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9E972" w14:textId="77777777" w:rsidR="00F3302C" w:rsidRPr="00E30773" w:rsidRDefault="00F3302C" w:rsidP="007A7990">
            <w:pPr>
              <w:jc w:val="center"/>
              <w:rPr>
                <w:b/>
                <w:bCs/>
                <w:sz w:val="18"/>
                <w:szCs w:val="18"/>
                <w:lang w:val="en-US"/>
              </w:rPr>
            </w:pPr>
            <w:r w:rsidRPr="00E30773">
              <w:rPr>
                <w:b/>
                <w:bCs/>
                <w:color w:val="000000"/>
                <w:sz w:val="18"/>
                <w:szCs w:val="18"/>
                <w:lang w:val="en-US"/>
              </w:rPr>
              <w:t>27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AD0D" w14:textId="77777777" w:rsidR="00F3302C" w:rsidRPr="00E30773" w:rsidRDefault="00F3302C" w:rsidP="007A7990">
            <w:pPr>
              <w:jc w:val="center"/>
              <w:rPr>
                <w:b/>
                <w:bCs/>
                <w:sz w:val="18"/>
                <w:szCs w:val="18"/>
                <w:lang w:val="en-US"/>
              </w:rPr>
            </w:pPr>
            <w:r w:rsidRPr="00E30773">
              <w:rPr>
                <w:b/>
                <w:bCs/>
                <w:color w:val="000000"/>
                <w:sz w:val="18"/>
                <w:szCs w:val="18"/>
                <w:lang w:val="en-US"/>
              </w:rPr>
              <w:t>26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4C8A1" w14:textId="77777777" w:rsidR="00F3302C" w:rsidRPr="00E30773" w:rsidRDefault="00F3302C" w:rsidP="007A7990">
            <w:pPr>
              <w:jc w:val="center"/>
              <w:rPr>
                <w:b/>
                <w:bCs/>
                <w:sz w:val="18"/>
                <w:szCs w:val="18"/>
                <w:lang w:val="en-US"/>
              </w:rPr>
            </w:pPr>
            <w:r w:rsidRPr="00E30773">
              <w:rPr>
                <w:b/>
                <w:bCs/>
                <w:color w:val="000000"/>
                <w:sz w:val="18"/>
                <w:szCs w:val="18"/>
                <w:lang w:val="en-US"/>
              </w:rPr>
              <w:t>21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19A76" w14:textId="77777777" w:rsidR="00F3302C" w:rsidRPr="00E30773" w:rsidRDefault="00F3302C" w:rsidP="007A7990">
            <w:pPr>
              <w:jc w:val="center"/>
              <w:rPr>
                <w:b/>
                <w:bCs/>
                <w:sz w:val="18"/>
                <w:szCs w:val="18"/>
                <w:lang w:val="en-US"/>
              </w:rPr>
            </w:pPr>
            <w:r w:rsidRPr="00E30773">
              <w:rPr>
                <w:b/>
                <w:bCs/>
                <w:color w:val="000000"/>
                <w:sz w:val="18"/>
                <w:szCs w:val="18"/>
                <w:lang w:val="en-US"/>
              </w:rPr>
              <w:t>19</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2F6FC4" w14:textId="77777777" w:rsidR="00F3302C" w:rsidRPr="00E30773" w:rsidRDefault="00F3302C" w:rsidP="007A7990">
            <w:pPr>
              <w:jc w:val="center"/>
              <w:rPr>
                <w:b/>
                <w:bCs/>
                <w:sz w:val="18"/>
                <w:szCs w:val="18"/>
                <w:lang w:val="en-US"/>
              </w:rPr>
            </w:pPr>
            <w:r w:rsidRPr="00E30773">
              <w:rPr>
                <w:b/>
                <w:bCs/>
                <w:color w:val="000000"/>
                <w:sz w:val="18"/>
                <w:szCs w:val="18"/>
                <w:lang w:val="en-US"/>
              </w:rPr>
              <w:t>120</w:t>
            </w:r>
          </w:p>
        </w:tc>
      </w:tr>
      <w:tr w:rsidR="00F3302C" w:rsidRPr="00E30773" w14:paraId="66F2CA42" w14:textId="77777777" w:rsidTr="004A746C">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9621F4" w14:textId="77777777" w:rsidR="00F3302C" w:rsidRPr="00E30773" w:rsidRDefault="00F3302C" w:rsidP="007A7990">
            <w:pPr>
              <w:rPr>
                <w:b/>
                <w:bCs/>
                <w:i/>
                <w:iCs/>
                <w:color w:val="000000"/>
                <w:sz w:val="18"/>
                <w:szCs w:val="18"/>
                <w:lang w:val="en-US"/>
              </w:rPr>
            </w:pPr>
            <w:r w:rsidRPr="00E30773">
              <w:rPr>
                <w:b/>
                <w:bCs/>
                <w:i/>
                <w:iCs/>
                <w:color w:val="000000"/>
                <w:sz w:val="18"/>
                <w:szCs w:val="18"/>
                <w:lang w:val="en-US"/>
              </w:rPr>
              <w:t>ASSISTANCE REQUESTS</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A14B87" w14:textId="77777777" w:rsidR="00F3302C" w:rsidRPr="00E30773" w:rsidRDefault="00F3302C" w:rsidP="007A7990">
            <w:pPr>
              <w:jc w:val="center"/>
              <w:rPr>
                <w:sz w:val="18"/>
                <w:szCs w:val="18"/>
                <w:lang w:val="en-US"/>
              </w:rPr>
            </w:pPr>
            <w:r w:rsidRPr="00E30773">
              <w:rPr>
                <w:color w:val="000000"/>
                <w:sz w:val="18"/>
                <w:szCs w:val="18"/>
                <w:lang w:val="en-US"/>
              </w:rPr>
              <w:t>14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DB7B99" w14:textId="77777777" w:rsidR="00F3302C" w:rsidRPr="00E30773" w:rsidRDefault="00F3302C" w:rsidP="007A7990">
            <w:pPr>
              <w:jc w:val="center"/>
              <w:rPr>
                <w:sz w:val="18"/>
                <w:szCs w:val="18"/>
                <w:lang w:val="en-US"/>
              </w:rPr>
            </w:pPr>
            <w:r w:rsidRPr="00E30773">
              <w:rPr>
                <w:color w:val="000000"/>
                <w:sz w:val="18"/>
                <w:szCs w:val="18"/>
                <w:lang w:val="en-US"/>
              </w:rPr>
              <w:t>7</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21524F" w14:textId="77777777" w:rsidR="00F3302C" w:rsidRPr="00E30773" w:rsidRDefault="00F3302C" w:rsidP="007A7990">
            <w:pPr>
              <w:jc w:val="center"/>
              <w:rPr>
                <w:sz w:val="18"/>
                <w:szCs w:val="18"/>
                <w:lang w:val="en-US"/>
              </w:rPr>
            </w:pPr>
            <w:r w:rsidRPr="00E30773">
              <w:rPr>
                <w:color w:val="000000"/>
                <w:sz w:val="18"/>
                <w:szCs w:val="18"/>
                <w:lang w:val="en-US"/>
              </w:rPr>
              <w:t>8</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5F5D3F" w14:textId="77777777" w:rsidR="00F3302C" w:rsidRPr="00E30773" w:rsidRDefault="00F3302C" w:rsidP="007A7990">
            <w:pPr>
              <w:jc w:val="center"/>
              <w:rPr>
                <w:b/>
                <w:bCs/>
                <w:sz w:val="18"/>
                <w:szCs w:val="18"/>
                <w:lang w:val="en-US"/>
              </w:rPr>
            </w:pPr>
            <w:r w:rsidRPr="00E30773">
              <w:rPr>
                <w:b/>
                <w:bCs/>
                <w:color w:val="000000"/>
                <w:sz w:val="18"/>
                <w:szCs w:val="18"/>
                <w:lang w:val="en-US"/>
              </w:rPr>
              <w:t>5</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8E45E" w14:textId="77777777" w:rsidR="00F3302C" w:rsidRPr="00E30773" w:rsidRDefault="00F3302C" w:rsidP="007A7990">
            <w:pPr>
              <w:jc w:val="center"/>
              <w:rPr>
                <w:b/>
                <w:bCs/>
                <w:sz w:val="18"/>
                <w:szCs w:val="18"/>
                <w:lang w:val="en-US"/>
              </w:rPr>
            </w:pPr>
            <w:r w:rsidRPr="00E30773">
              <w:rPr>
                <w:b/>
                <w:bCs/>
                <w:color w:val="000000"/>
                <w:sz w:val="18"/>
                <w:szCs w:val="18"/>
                <w:lang w:val="en-US"/>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DE9FA" w14:textId="77777777" w:rsidR="00F3302C" w:rsidRPr="00E30773" w:rsidRDefault="00F3302C" w:rsidP="007A7990">
            <w:pPr>
              <w:jc w:val="center"/>
              <w:rPr>
                <w:b/>
                <w:bCs/>
                <w:sz w:val="18"/>
                <w:szCs w:val="18"/>
                <w:lang w:val="en-US"/>
              </w:rPr>
            </w:pPr>
            <w:r w:rsidRPr="00E30773">
              <w:rPr>
                <w:b/>
                <w:bCs/>
                <w:color w:val="000000"/>
                <w:sz w:val="18"/>
                <w:szCs w:val="18"/>
                <w:lang w:val="en-US"/>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5FF66" w14:textId="77777777" w:rsidR="00F3302C" w:rsidRPr="00E30773" w:rsidRDefault="00F3302C" w:rsidP="007A7990">
            <w:pPr>
              <w:jc w:val="center"/>
              <w:rPr>
                <w:b/>
                <w:bCs/>
                <w:sz w:val="18"/>
                <w:szCs w:val="18"/>
                <w:lang w:val="en-US"/>
              </w:rPr>
            </w:pPr>
            <w:r w:rsidRPr="00E30773">
              <w:rPr>
                <w:b/>
                <w:bCs/>
                <w:color w:val="000000"/>
                <w:sz w:val="18"/>
                <w:szCs w:val="18"/>
                <w:lang w:val="en-US"/>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3D541" w14:textId="77777777" w:rsidR="00F3302C" w:rsidRPr="00E30773" w:rsidRDefault="00F3302C" w:rsidP="007A7990">
            <w:pPr>
              <w:jc w:val="center"/>
              <w:rPr>
                <w:b/>
                <w:bCs/>
                <w:sz w:val="18"/>
                <w:szCs w:val="18"/>
                <w:lang w:val="en-US"/>
              </w:rPr>
            </w:pPr>
            <w:r w:rsidRPr="00E30773">
              <w:rPr>
                <w:b/>
                <w:bCs/>
                <w:color w:val="000000"/>
                <w:sz w:val="18"/>
                <w:szCs w:val="18"/>
                <w:lang w:val="en-US"/>
              </w:rPr>
              <w:t>5</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28F95A" w14:textId="77777777" w:rsidR="00F3302C" w:rsidRPr="00E30773" w:rsidRDefault="00F3302C" w:rsidP="007A7990">
            <w:pPr>
              <w:jc w:val="center"/>
              <w:rPr>
                <w:b/>
                <w:bCs/>
                <w:sz w:val="18"/>
                <w:szCs w:val="18"/>
                <w:lang w:val="en-US"/>
              </w:rPr>
            </w:pPr>
            <w:r w:rsidRPr="00E30773">
              <w:rPr>
                <w:b/>
                <w:bCs/>
                <w:color w:val="000000"/>
                <w:sz w:val="18"/>
                <w:szCs w:val="18"/>
                <w:lang w:val="en-US"/>
              </w:rPr>
              <w:t>36</w:t>
            </w:r>
          </w:p>
        </w:tc>
      </w:tr>
      <w:tr w:rsidR="00F3302C" w:rsidRPr="00E30773" w14:paraId="680FF5F9" w14:textId="77777777" w:rsidTr="004A746C">
        <w:trPr>
          <w:trHeight w:val="315"/>
          <w:jc w:val="center"/>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B463AA5" w14:textId="77777777" w:rsidR="00F3302C" w:rsidRPr="00E30773" w:rsidRDefault="00F3302C" w:rsidP="007A7990">
            <w:pPr>
              <w:rPr>
                <w:b/>
                <w:bCs/>
                <w:i/>
                <w:iCs/>
                <w:color w:val="000000"/>
                <w:sz w:val="18"/>
                <w:szCs w:val="18"/>
                <w:lang w:val="en-US"/>
              </w:rPr>
            </w:pPr>
            <w:r w:rsidRPr="00E30773">
              <w:rPr>
                <w:b/>
                <w:bCs/>
                <w:i/>
                <w:iCs/>
                <w:color w:val="000000"/>
                <w:sz w:val="18"/>
                <w:szCs w:val="18"/>
                <w:lang w:val="en-US"/>
              </w:rPr>
              <w:t>OTHER EVENTS</w:t>
            </w:r>
          </w:p>
        </w:tc>
        <w:tc>
          <w:tcPr>
            <w:tcW w:w="939" w:type="dxa"/>
            <w:tcBorders>
              <w:top w:val="nil"/>
              <w:left w:val="nil"/>
              <w:bottom w:val="nil"/>
              <w:right w:val="single" w:sz="8" w:space="0" w:color="auto"/>
            </w:tcBorders>
            <w:noWrap/>
            <w:tcMar>
              <w:top w:w="0" w:type="dxa"/>
              <w:left w:w="108" w:type="dxa"/>
              <w:bottom w:w="0" w:type="dxa"/>
              <w:right w:w="108" w:type="dxa"/>
            </w:tcMar>
            <w:vAlign w:val="center"/>
            <w:hideMark/>
          </w:tcPr>
          <w:p w14:paraId="2044784D" w14:textId="77777777" w:rsidR="00F3302C" w:rsidRPr="00E30773" w:rsidRDefault="00F3302C" w:rsidP="007A7990">
            <w:pPr>
              <w:jc w:val="center"/>
              <w:rPr>
                <w:sz w:val="18"/>
                <w:szCs w:val="18"/>
                <w:lang w:val="en-US"/>
              </w:rPr>
            </w:pPr>
            <w:r w:rsidRPr="00E30773">
              <w:rPr>
                <w:color w:val="000000"/>
                <w:sz w:val="18"/>
                <w:szCs w:val="18"/>
                <w:lang w:val="en-US"/>
              </w:rPr>
              <w:t>31</w:t>
            </w:r>
          </w:p>
        </w:tc>
        <w:tc>
          <w:tcPr>
            <w:tcW w:w="1066" w:type="dxa"/>
            <w:tcBorders>
              <w:top w:val="nil"/>
              <w:left w:val="nil"/>
              <w:bottom w:val="nil"/>
              <w:right w:val="single" w:sz="8" w:space="0" w:color="auto"/>
            </w:tcBorders>
            <w:noWrap/>
            <w:tcMar>
              <w:top w:w="0" w:type="dxa"/>
              <w:left w:w="108" w:type="dxa"/>
              <w:bottom w:w="0" w:type="dxa"/>
              <w:right w:w="108" w:type="dxa"/>
            </w:tcMar>
            <w:vAlign w:val="center"/>
            <w:hideMark/>
          </w:tcPr>
          <w:p w14:paraId="7DC7E9D3" w14:textId="77777777" w:rsidR="00F3302C" w:rsidRPr="00E30773" w:rsidRDefault="00F3302C" w:rsidP="007A7990">
            <w:pPr>
              <w:jc w:val="center"/>
              <w:rPr>
                <w:sz w:val="18"/>
                <w:szCs w:val="18"/>
                <w:lang w:val="en-US"/>
              </w:rPr>
            </w:pPr>
            <w:r w:rsidRPr="00E30773">
              <w:rPr>
                <w:color w:val="000000"/>
                <w:sz w:val="18"/>
                <w:szCs w:val="18"/>
                <w:lang w:val="en-US"/>
              </w:rPr>
              <w:t>14</w:t>
            </w:r>
          </w:p>
        </w:tc>
        <w:tc>
          <w:tcPr>
            <w:tcW w:w="945" w:type="dxa"/>
            <w:tcBorders>
              <w:top w:val="nil"/>
              <w:left w:val="nil"/>
              <w:bottom w:val="nil"/>
              <w:right w:val="single" w:sz="8" w:space="0" w:color="auto"/>
            </w:tcBorders>
            <w:noWrap/>
            <w:tcMar>
              <w:top w:w="0" w:type="dxa"/>
              <w:left w:w="108" w:type="dxa"/>
              <w:bottom w:w="0" w:type="dxa"/>
              <w:right w:w="108" w:type="dxa"/>
            </w:tcMar>
            <w:vAlign w:val="center"/>
            <w:hideMark/>
          </w:tcPr>
          <w:p w14:paraId="79624B45" w14:textId="77777777" w:rsidR="00F3302C" w:rsidRPr="00E30773" w:rsidRDefault="00F3302C" w:rsidP="007A7990">
            <w:pPr>
              <w:jc w:val="center"/>
              <w:rPr>
                <w:sz w:val="18"/>
                <w:szCs w:val="18"/>
                <w:lang w:val="en-US"/>
              </w:rPr>
            </w:pPr>
            <w:r w:rsidRPr="00E30773">
              <w:rPr>
                <w:color w:val="000000"/>
                <w:sz w:val="18"/>
                <w:szCs w:val="18"/>
                <w:lang w:val="en-US"/>
              </w:rPr>
              <w:t>14</w:t>
            </w:r>
          </w:p>
        </w:tc>
        <w:tc>
          <w:tcPr>
            <w:tcW w:w="1070" w:type="dxa"/>
            <w:tcBorders>
              <w:top w:val="nil"/>
              <w:left w:val="nil"/>
              <w:bottom w:val="nil"/>
              <w:right w:val="single" w:sz="8" w:space="0" w:color="auto"/>
            </w:tcBorders>
            <w:noWrap/>
            <w:tcMar>
              <w:top w:w="0" w:type="dxa"/>
              <w:left w:w="108" w:type="dxa"/>
              <w:bottom w:w="0" w:type="dxa"/>
              <w:right w:w="108" w:type="dxa"/>
            </w:tcMar>
            <w:vAlign w:val="center"/>
            <w:hideMark/>
          </w:tcPr>
          <w:p w14:paraId="4AEE8D94" w14:textId="77777777" w:rsidR="00F3302C" w:rsidRPr="00E30773" w:rsidRDefault="00F3302C" w:rsidP="007A7990">
            <w:pPr>
              <w:jc w:val="center"/>
              <w:rPr>
                <w:b/>
                <w:bCs/>
                <w:sz w:val="18"/>
                <w:szCs w:val="18"/>
                <w:lang w:val="en-US"/>
              </w:rPr>
            </w:pPr>
            <w:r w:rsidRPr="00E30773">
              <w:rPr>
                <w:b/>
                <w:bCs/>
                <w:color w:val="000000"/>
                <w:sz w:val="18"/>
                <w:szCs w:val="18"/>
                <w:lang w:val="en-US"/>
              </w:rPr>
              <w:t>10</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A35D1" w14:textId="77777777" w:rsidR="00F3302C" w:rsidRPr="00E30773" w:rsidRDefault="00F3302C" w:rsidP="007A7990">
            <w:pPr>
              <w:jc w:val="center"/>
              <w:rPr>
                <w:b/>
                <w:bCs/>
                <w:sz w:val="18"/>
                <w:szCs w:val="18"/>
                <w:lang w:val="en-US"/>
              </w:rPr>
            </w:pPr>
            <w:r w:rsidRPr="00E30773">
              <w:rPr>
                <w:b/>
                <w:bCs/>
                <w:color w:val="000000"/>
                <w:sz w:val="18"/>
                <w:szCs w:val="18"/>
                <w:lang w:val="en-US"/>
              </w:rPr>
              <w:t>15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F5E9A" w14:textId="77777777" w:rsidR="00F3302C" w:rsidRPr="00E30773" w:rsidRDefault="00F3302C" w:rsidP="007A7990">
            <w:pPr>
              <w:jc w:val="center"/>
              <w:rPr>
                <w:b/>
                <w:bCs/>
                <w:sz w:val="18"/>
                <w:szCs w:val="18"/>
                <w:lang w:val="en-US"/>
              </w:rPr>
            </w:pPr>
            <w:r w:rsidRPr="00E30773">
              <w:rPr>
                <w:b/>
                <w:bCs/>
                <w:color w:val="000000"/>
                <w:sz w:val="18"/>
                <w:szCs w:val="18"/>
                <w:lang w:val="en-US"/>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D2551" w14:textId="77777777" w:rsidR="00F3302C" w:rsidRPr="00E30773" w:rsidRDefault="00F3302C" w:rsidP="007A7990">
            <w:pPr>
              <w:jc w:val="center"/>
              <w:rPr>
                <w:b/>
                <w:bCs/>
                <w:sz w:val="18"/>
                <w:szCs w:val="18"/>
                <w:lang w:val="en-US"/>
              </w:rPr>
            </w:pPr>
            <w:r w:rsidRPr="00E30773">
              <w:rPr>
                <w:b/>
                <w:bCs/>
                <w:color w:val="000000"/>
                <w:sz w:val="18"/>
                <w:szCs w:val="18"/>
                <w:lang w:val="en-US"/>
              </w:rPr>
              <w:t>20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D796E" w14:textId="77777777" w:rsidR="00F3302C" w:rsidRPr="00E30773" w:rsidRDefault="00F3302C" w:rsidP="007A7990">
            <w:pPr>
              <w:jc w:val="center"/>
              <w:rPr>
                <w:b/>
                <w:bCs/>
                <w:sz w:val="18"/>
                <w:szCs w:val="18"/>
                <w:lang w:val="en-US"/>
              </w:rPr>
            </w:pPr>
            <w:r w:rsidRPr="00E30773">
              <w:rPr>
                <w:b/>
                <w:bCs/>
                <w:color w:val="000000"/>
                <w:sz w:val="18"/>
                <w:szCs w:val="18"/>
                <w:lang w:val="en-US"/>
              </w:rPr>
              <w:t>6</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C8451B" w14:textId="77777777" w:rsidR="00F3302C" w:rsidRPr="00E30773" w:rsidRDefault="00F3302C" w:rsidP="007A7990">
            <w:pPr>
              <w:jc w:val="center"/>
              <w:rPr>
                <w:b/>
                <w:bCs/>
                <w:sz w:val="18"/>
                <w:szCs w:val="18"/>
                <w:lang w:val="en-US"/>
              </w:rPr>
            </w:pPr>
            <w:r w:rsidRPr="00E30773">
              <w:rPr>
                <w:b/>
                <w:bCs/>
                <w:color w:val="000000"/>
                <w:sz w:val="18"/>
                <w:szCs w:val="18"/>
                <w:lang w:val="en-US"/>
              </w:rPr>
              <w:t>80</w:t>
            </w:r>
          </w:p>
        </w:tc>
      </w:tr>
      <w:tr w:rsidR="00F3302C" w:rsidRPr="00D2259E" w14:paraId="61B59264" w14:textId="77777777" w:rsidTr="004A746C">
        <w:trPr>
          <w:trHeight w:val="315"/>
          <w:jc w:val="center"/>
        </w:trPr>
        <w:tc>
          <w:tcPr>
            <w:tcW w:w="28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5C3124" w14:textId="77777777" w:rsidR="00F3302C" w:rsidRPr="00E30773" w:rsidRDefault="00F3302C" w:rsidP="007A7990">
            <w:pPr>
              <w:rPr>
                <w:b/>
                <w:bCs/>
                <w:color w:val="000000"/>
                <w:sz w:val="18"/>
                <w:szCs w:val="18"/>
                <w:lang w:val="en-US"/>
              </w:rPr>
            </w:pPr>
            <w:r w:rsidRPr="00E30773">
              <w:rPr>
                <w:b/>
                <w:bCs/>
                <w:color w:val="000000"/>
                <w:sz w:val="18"/>
                <w:szCs w:val="18"/>
                <w:lang w:val="en-US"/>
              </w:rPr>
              <w:t>TOTAL</w:t>
            </w:r>
          </w:p>
        </w:tc>
        <w:tc>
          <w:tcPr>
            <w:tcW w:w="9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D60A32" w14:textId="77777777" w:rsidR="00F3302C" w:rsidRPr="00E30773" w:rsidRDefault="00F3302C" w:rsidP="007A7990">
            <w:pPr>
              <w:jc w:val="center"/>
              <w:rPr>
                <w:b/>
                <w:bCs/>
                <w:sz w:val="18"/>
                <w:szCs w:val="18"/>
                <w:lang w:val="en-US"/>
              </w:rPr>
            </w:pPr>
            <w:r w:rsidRPr="00E30773">
              <w:rPr>
                <w:b/>
                <w:bCs/>
                <w:color w:val="000000"/>
                <w:sz w:val="18"/>
                <w:szCs w:val="18"/>
                <w:lang w:val="en-US"/>
              </w:rPr>
              <w:t>233</w:t>
            </w:r>
          </w:p>
        </w:tc>
        <w:tc>
          <w:tcPr>
            <w:tcW w:w="10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51EB04" w14:textId="77777777" w:rsidR="00F3302C" w:rsidRPr="00E30773" w:rsidRDefault="00F3302C" w:rsidP="007A7990">
            <w:pPr>
              <w:jc w:val="center"/>
              <w:rPr>
                <w:b/>
                <w:bCs/>
                <w:sz w:val="18"/>
                <w:szCs w:val="18"/>
                <w:lang w:val="en-US"/>
              </w:rPr>
            </w:pPr>
            <w:r w:rsidRPr="00E30773">
              <w:rPr>
                <w:b/>
                <w:bCs/>
                <w:color w:val="000000"/>
                <w:sz w:val="18"/>
                <w:szCs w:val="18"/>
                <w:lang w:val="en-US"/>
              </w:rPr>
              <w:t>128</w:t>
            </w:r>
          </w:p>
        </w:tc>
        <w:tc>
          <w:tcPr>
            <w:tcW w:w="9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B1E3E6" w14:textId="77777777" w:rsidR="00F3302C" w:rsidRPr="00E30773" w:rsidRDefault="00F3302C" w:rsidP="007A7990">
            <w:pPr>
              <w:jc w:val="center"/>
              <w:rPr>
                <w:b/>
                <w:bCs/>
                <w:sz w:val="18"/>
                <w:szCs w:val="18"/>
                <w:lang w:val="en-US"/>
              </w:rPr>
            </w:pPr>
            <w:r w:rsidRPr="00E30773">
              <w:rPr>
                <w:b/>
                <w:bCs/>
                <w:color w:val="000000"/>
                <w:sz w:val="18"/>
                <w:szCs w:val="18"/>
                <w:lang w:val="en-US"/>
              </w:rPr>
              <w:t>234</w:t>
            </w:r>
          </w:p>
        </w:tc>
        <w:tc>
          <w:tcPr>
            <w:tcW w:w="1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C80DA87" w14:textId="77777777" w:rsidR="00F3302C" w:rsidRPr="00E30773" w:rsidRDefault="00F3302C" w:rsidP="007A7990">
            <w:pPr>
              <w:jc w:val="center"/>
              <w:rPr>
                <w:b/>
                <w:bCs/>
                <w:sz w:val="18"/>
                <w:szCs w:val="18"/>
                <w:lang w:val="en-US"/>
              </w:rPr>
            </w:pPr>
            <w:r w:rsidRPr="00E30773">
              <w:rPr>
                <w:b/>
                <w:bCs/>
                <w:color w:val="000000"/>
                <w:sz w:val="18"/>
                <w:szCs w:val="18"/>
                <w:lang w:val="en-US"/>
              </w:rPr>
              <w:t>119</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C3D24" w14:textId="77777777" w:rsidR="00F3302C" w:rsidRPr="00E30773" w:rsidRDefault="00F3302C" w:rsidP="007A7990">
            <w:pPr>
              <w:jc w:val="center"/>
              <w:rPr>
                <w:b/>
                <w:bCs/>
                <w:sz w:val="18"/>
                <w:szCs w:val="18"/>
                <w:lang w:val="en-US"/>
              </w:rPr>
            </w:pPr>
            <w:r w:rsidRPr="00E30773">
              <w:rPr>
                <w:b/>
                <w:bCs/>
                <w:color w:val="000000"/>
                <w:sz w:val="18"/>
                <w:szCs w:val="18"/>
                <w:lang w:val="en-US"/>
              </w:rPr>
              <w:t>173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26E97" w14:textId="77777777" w:rsidR="00F3302C" w:rsidRPr="00E30773" w:rsidRDefault="00F3302C" w:rsidP="007A7990">
            <w:pPr>
              <w:jc w:val="center"/>
              <w:rPr>
                <w:b/>
                <w:bCs/>
                <w:sz w:val="18"/>
                <w:szCs w:val="18"/>
                <w:lang w:val="en-US"/>
              </w:rPr>
            </w:pPr>
            <w:r w:rsidRPr="00E30773">
              <w:rPr>
                <w:b/>
                <w:bCs/>
                <w:color w:val="000000"/>
                <w:sz w:val="18"/>
                <w:szCs w:val="18"/>
                <w:lang w:val="en-US"/>
              </w:rPr>
              <w:t>125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94888" w14:textId="77777777" w:rsidR="00F3302C" w:rsidRPr="00E30773" w:rsidRDefault="00F3302C" w:rsidP="007A7990">
            <w:pPr>
              <w:jc w:val="center"/>
              <w:rPr>
                <w:b/>
                <w:bCs/>
                <w:sz w:val="18"/>
                <w:szCs w:val="18"/>
                <w:lang w:val="en-US"/>
              </w:rPr>
            </w:pPr>
            <w:r w:rsidRPr="00E30773">
              <w:rPr>
                <w:b/>
                <w:bCs/>
                <w:color w:val="000000"/>
                <w:sz w:val="18"/>
                <w:szCs w:val="18"/>
                <w:lang w:val="en-US"/>
              </w:rPr>
              <w:t>172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073A8" w14:textId="77777777" w:rsidR="00F3302C" w:rsidRPr="00E30773" w:rsidRDefault="00F3302C" w:rsidP="007A7990">
            <w:pPr>
              <w:jc w:val="center"/>
              <w:rPr>
                <w:b/>
                <w:bCs/>
                <w:sz w:val="18"/>
                <w:szCs w:val="18"/>
                <w:lang w:val="en-US"/>
              </w:rPr>
            </w:pPr>
            <w:r w:rsidRPr="00E30773">
              <w:rPr>
                <w:b/>
                <w:bCs/>
                <w:color w:val="000000"/>
                <w:sz w:val="18"/>
                <w:szCs w:val="18"/>
                <w:lang w:val="en-US"/>
              </w:rPr>
              <w:t>122</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1BD3C" w14:textId="77777777" w:rsidR="00F3302C" w:rsidRPr="00E30773" w:rsidRDefault="00F3302C" w:rsidP="007A7990">
            <w:pPr>
              <w:jc w:val="center"/>
              <w:rPr>
                <w:b/>
                <w:bCs/>
                <w:sz w:val="18"/>
                <w:szCs w:val="18"/>
                <w:lang w:val="en-US"/>
              </w:rPr>
            </w:pPr>
            <w:r w:rsidRPr="00E30773">
              <w:rPr>
                <w:b/>
                <w:bCs/>
                <w:color w:val="000000"/>
                <w:sz w:val="18"/>
                <w:szCs w:val="18"/>
                <w:lang w:val="en-US"/>
              </w:rPr>
              <w:t>812</w:t>
            </w:r>
          </w:p>
        </w:tc>
      </w:tr>
    </w:tbl>
    <w:p w14:paraId="0DBE003D" w14:textId="77777777" w:rsidR="00F3302C" w:rsidRDefault="00F3302C" w:rsidP="00F3302C">
      <w:pPr>
        <w:rPr>
          <w:rFonts w:ascii="Calibri" w:eastAsiaTheme="minorEastAsia" w:hAnsi="Calibri" w:cs="Calibri"/>
          <w:sz w:val="22"/>
          <w:szCs w:val="22"/>
          <w:lang w:val="es-ES"/>
        </w:rPr>
      </w:pPr>
    </w:p>
    <w:p w14:paraId="4D1BEBF1" w14:textId="77777777" w:rsidR="00F3302C" w:rsidRDefault="00F3302C" w:rsidP="00F3302C">
      <w:pPr>
        <w:jc w:val="both"/>
        <w:rPr>
          <w:highlight w:val="yellow"/>
        </w:rPr>
      </w:pPr>
    </w:p>
    <w:p w14:paraId="28EF8AD7" w14:textId="77777777" w:rsidR="00F3302C" w:rsidRDefault="00F3302C" w:rsidP="00F3302C">
      <w:pPr>
        <w:jc w:val="both"/>
        <w:rPr>
          <w:highlight w:val="yellow"/>
        </w:rPr>
      </w:pPr>
    </w:p>
    <w:p w14:paraId="08AE343F" w14:textId="77777777" w:rsidR="00F3302C" w:rsidRDefault="00F3302C" w:rsidP="00F3302C">
      <w:pPr>
        <w:jc w:val="both"/>
        <w:rPr>
          <w:highlight w:val="yellow"/>
        </w:rPr>
      </w:pPr>
    </w:p>
    <w:p w14:paraId="1E171C12" w14:textId="77777777" w:rsidR="00F3302C" w:rsidRDefault="00F3302C" w:rsidP="00F3302C">
      <w:pPr>
        <w:jc w:val="both"/>
        <w:rPr>
          <w:highlight w:val="yellow"/>
        </w:rPr>
        <w:sectPr w:rsidR="00F3302C" w:rsidSect="004A6500">
          <w:pgSz w:w="16834" w:h="11907" w:orient="landscape"/>
          <w:pgMar w:top="1134" w:right="1418" w:bottom="1134" w:left="1418" w:header="720" w:footer="720" w:gutter="0"/>
          <w:paperSrc w:first="15" w:other="15"/>
          <w:cols w:space="720"/>
          <w:docGrid w:linePitch="326"/>
        </w:sectPr>
      </w:pPr>
    </w:p>
    <w:p w14:paraId="742F69B8" w14:textId="77777777" w:rsidR="0015513D" w:rsidRDefault="00F56064" w:rsidP="00F56064">
      <w:pPr>
        <w:pStyle w:val="Heading3"/>
      </w:pPr>
      <w:r>
        <w:lastRenderedPageBreak/>
        <w:t>9</w:t>
      </w:r>
      <w:r w:rsidR="0015513D" w:rsidRPr="00ED04B0">
        <w:t>.3.</w:t>
      </w:r>
      <w:r w:rsidR="0015513D">
        <w:t>2</w:t>
      </w:r>
      <w:r w:rsidR="0015513D" w:rsidRPr="00ED04B0">
        <w:tab/>
        <w:t xml:space="preserve">Assistance to </w:t>
      </w:r>
      <w:r w:rsidR="0015513D">
        <w:t>regional groups</w:t>
      </w:r>
    </w:p>
    <w:p w14:paraId="25516ED1" w14:textId="145CF84A" w:rsidR="00E47268" w:rsidRPr="00E47268" w:rsidRDefault="00E47268" w:rsidP="006C2557">
      <w:pPr>
        <w:jc w:val="both"/>
      </w:pPr>
      <w:r w:rsidRPr="00E47268">
        <w:t xml:space="preserve">The Bureau </w:t>
      </w:r>
      <w:r>
        <w:t>continued</w:t>
      </w:r>
      <w:r w:rsidRPr="00E47268">
        <w:t xml:space="preserve"> its participation in the meetings of the regional coordination </w:t>
      </w:r>
      <w:proofErr w:type="gramStart"/>
      <w:r w:rsidRPr="00E47268">
        <w:t>groups</w:t>
      </w:r>
      <w:proofErr w:type="gramEnd"/>
      <w:r w:rsidR="006C2557">
        <w:br/>
      </w:r>
      <w:r w:rsidRPr="00E47268">
        <w:t>(</w:t>
      </w:r>
      <w:r>
        <w:t xml:space="preserve">e.g. </w:t>
      </w:r>
      <w:r w:rsidRPr="00E47268">
        <w:t>HFCC), as requested by Article 12 of the Radio Regulations, providing the necessary assistance and collaboration.</w:t>
      </w:r>
      <w:r>
        <w:t xml:space="preserve"> See also Section 9.5.</w:t>
      </w:r>
    </w:p>
    <w:p w14:paraId="59F7A038" w14:textId="77777777" w:rsidR="0015513D" w:rsidRDefault="00F56064" w:rsidP="00F56064">
      <w:pPr>
        <w:pStyle w:val="Heading3"/>
      </w:pPr>
      <w:bookmarkStart w:id="48" w:name="_Toc424047616"/>
      <w:bookmarkStart w:id="49" w:name="_Toc446060791"/>
      <w:r>
        <w:t>9</w:t>
      </w:r>
      <w:r w:rsidR="0015513D">
        <w:t>.3.3</w:t>
      </w:r>
      <w:r w:rsidR="0015513D">
        <w:tab/>
        <w:t xml:space="preserve">Assistance to </w:t>
      </w:r>
      <w:r w:rsidR="0015513D" w:rsidRPr="00ED04B0">
        <w:t>other groups of countries</w:t>
      </w:r>
      <w:bookmarkEnd w:id="48"/>
      <w:bookmarkEnd w:id="49"/>
    </w:p>
    <w:p w14:paraId="51B707BB" w14:textId="77777777" w:rsidR="0018355C" w:rsidRDefault="0018355C" w:rsidP="0018355C">
      <w:r w:rsidRPr="0074247D">
        <w:t xml:space="preserve">The Bureau organized the following frequency coordination meetings: </w:t>
      </w:r>
    </w:p>
    <w:p w14:paraId="5867A6D3" w14:textId="371E982D" w:rsidR="00E82D32" w:rsidRPr="00492326" w:rsidRDefault="00E82D32" w:rsidP="004A6500">
      <w:pPr>
        <w:pStyle w:val="ListParagraph"/>
        <w:numPr>
          <w:ilvl w:val="0"/>
          <w:numId w:val="9"/>
        </w:numPr>
        <w:tabs>
          <w:tab w:val="left" w:pos="1134"/>
          <w:tab w:val="left" w:pos="1871"/>
          <w:tab w:val="left" w:pos="2268"/>
        </w:tabs>
        <w:jc w:val="both"/>
        <w:rPr>
          <w:rFonts w:asciiTheme="majorBidi" w:hAnsiTheme="majorBidi" w:cstheme="majorBidi"/>
          <w:szCs w:val="24"/>
        </w:rPr>
      </w:pPr>
      <w:r w:rsidRPr="00492326">
        <w:rPr>
          <w:rFonts w:asciiTheme="majorBidi" w:hAnsiTheme="majorBidi" w:cstheme="majorBidi"/>
          <w:szCs w:val="24"/>
        </w:rPr>
        <w:t xml:space="preserve">A series of regional frequency coordination meetings on the use of the VHF/UHF bands were organized in Central America and </w:t>
      </w:r>
      <w:r w:rsidR="002E6ABE">
        <w:rPr>
          <w:rFonts w:asciiTheme="majorBidi" w:hAnsiTheme="majorBidi" w:cstheme="majorBidi"/>
          <w:szCs w:val="24"/>
        </w:rPr>
        <w:t xml:space="preserve">the </w:t>
      </w:r>
      <w:r w:rsidRPr="00492326">
        <w:rPr>
          <w:rFonts w:asciiTheme="majorBidi" w:hAnsiTheme="majorBidi" w:cstheme="majorBidi"/>
          <w:szCs w:val="24"/>
        </w:rPr>
        <w:t>Caribbean</w:t>
      </w:r>
      <w:r w:rsidR="002E6ABE">
        <w:rPr>
          <w:rFonts w:asciiTheme="majorBidi" w:hAnsiTheme="majorBidi" w:cstheme="majorBidi"/>
          <w:szCs w:val="24"/>
        </w:rPr>
        <w:t xml:space="preserve">. These meetings were organized </w:t>
      </w:r>
      <w:r w:rsidRPr="00243395">
        <w:rPr>
          <w:rFonts w:asciiTheme="majorBidi" w:hAnsiTheme="majorBidi" w:cstheme="majorBidi"/>
          <w:szCs w:val="24"/>
        </w:rPr>
        <w:t>in collaboration with CITEL, COMTELCA and CTU</w:t>
      </w:r>
      <w:r w:rsidRPr="00492326">
        <w:rPr>
          <w:rFonts w:asciiTheme="majorBidi" w:hAnsiTheme="majorBidi" w:cstheme="majorBidi"/>
          <w:szCs w:val="24"/>
        </w:rPr>
        <w:t xml:space="preserve">. The first meeting took place from 8 to 10 March 2017 in Managua, Nicaragua. The whole process lasted 18 months and was finalized at the 4th meeting held in Belize from 11 to 14 September 2018 with </w:t>
      </w:r>
      <w:r w:rsidR="002E6ABE">
        <w:rPr>
          <w:rFonts w:asciiTheme="majorBidi" w:hAnsiTheme="majorBidi" w:cstheme="majorBidi"/>
          <w:szCs w:val="24"/>
        </w:rPr>
        <w:t>94%</w:t>
      </w:r>
      <w:r w:rsidRPr="00492326">
        <w:rPr>
          <w:rFonts w:asciiTheme="majorBidi" w:hAnsiTheme="majorBidi" w:cstheme="majorBidi"/>
          <w:szCs w:val="24"/>
        </w:rPr>
        <w:t xml:space="preserve"> of assignable channels for digital requirements in the UHF band and 96% in the VHF band. The results are based on a minimum of 4 national layers (MUX) in UHF and 1-2 in VHF for the administrations; </w:t>
      </w:r>
    </w:p>
    <w:p w14:paraId="1B77C9B7" w14:textId="77777777" w:rsidR="00E82D32" w:rsidRPr="00492326" w:rsidRDefault="00E82D32" w:rsidP="004A6500">
      <w:pPr>
        <w:pStyle w:val="ListParagraph"/>
        <w:numPr>
          <w:ilvl w:val="0"/>
          <w:numId w:val="9"/>
        </w:numPr>
        <w:spacing w:before="100" w:beforeAutospacing="1" w:after="100" w:afterAutospacing="1"/>
        <w:jc w:val="both"/>
        <w:rPr>
          <w:rFonts w:asciiTheme="majorBidi" w:hAnsiTheme="majorBidi" w:cstheme="majorBidi"/>
          <w:szCs w:val="24"/>
        </w:rPr>
      </w:pPr>
      <w:r w:rsidRPr="00492326">
        <w:rPr>
          <w:rFonts w:asciiTheme="majorBidi" w:hAnsiTheme="majorBidi" w:cstheme="majorBidi"/>
          <w:szCs w:val="24"/>
        </w:rPr>
        <w:t xml:space="preserve">A multi-lateral coordination meeting between Italy and </w:t>
      </w:r>
      <w:proofErr w:type="spellStart"/>
      <w:r w:rsidRPr="00492326">
        <w:rPr>
          <w:rFonts w:asciiTheme="majorBidi" w:hAnsiTheme="majorBidi" w:cstheme="majorBidi"/>
          <w:szCs w:val="24"/>
        </w:rPr>
        <w:t>neigbouring</w:t>
      </w:r>
      <w:proofErr w:type="spellEnd"/>
      <w:r w:rsidRPr="00492326">
        <w:rPr>
          <w:rFonts w:asciiTheme="majorBidi" w:hAnsiTheme="majorBidi" w:cstheme="majorBidi"/>
          <w:szCs w:val="24"/>
        </w:rPr>
        <w:t xml:space="preserve"> countries to solve cases of harmful interference between FM broadcasting sound stations was held on held on 20 June 2018 with the assistance of the Bureau; </w:t>
      </w:r>
    </w:p>
    <w:p w14:paraId="5D823BE2" w14:textId="0D782619" w:rsidR="00E82D32" w:rsidRPr="00492326" w:rsidRDefault="00E82D32" w:rsidP="004A6500">
      <w:pPr>
        <w:pStyle w:val="ListParagraph"/>
        <w:numPr>
          <w:ilvl w:val="0"/>
          <w:numId w:val="9"/>
        </w:numPr>
        <w:tabs>
          <w:tab w:val="left" w:pos="1134"/>
          <w:tab w:val="left" w:pos="1871"/>
          <w:tab w:val="left" w:pos="2268"/>
        </w:tabs>
        <w:jc w:val="both"/>
        <w:rPr>
          <w:rFonts w:asciiTheme="majorBidi" w:hAnsiTheme="majorBidi" w:cstheme="majorBidi"/>
          <w:szCs w:val="24"/>
        </w:rPr>
      </w:pPr>
      <w:r w:rsidRPr="00492326">
        <w:rPr>
          <w:rFonts w:asciiTheme="majorBidi" w:hAnsiTheme="majorBidi" w:cstheme="majorBidi"/>
          <w:szCs w:val="24"/>
        </w:rPr>
        <w:t xml:space="preserve">A bi-lateral coordination meeting between Armenia and Azerbaijan on sound and television broadcasting was organized by the Bureau </w:t>
      </w:r>
      <w:r w:rsidR="002E6ABE">
        <w:rPr>
          <w:rFonts w:asciiTheme="majorBidi" w:hAnsiTheme="majorBidi" w:cstheme="majorBidi"/>
          <w:szCs w:val="24"/>
        </w:rPr>
        <w:t>from</w:t>
      </w:r>
      <w:r w:rsidRPr="00492326">
        <w:rPr>
          <w:rFonts w:asciiTheme="majorBidi" w:hAnsiTheme="majorBidi" w:cstheme="majorBidi"/>
          <w:szCs w:val="24"/>
        </w:rPr>
        <w:t xml:space="preserve"> 12 – 14 March 2019 at </w:t>
      </w:r>
      <w:r w:rsidR="002E6ABE">
        <w:rPr>
          <w:rFonts w:asciiTheme="majorBidi" w:hAnsiTheme="majorBidi" w:cstheme="majorBidi"/>
          <w:szCs w:val="24"/>
        </w:rPr>
        <w:t xml:space="preserve">the </w:t>
      </w:r>
      <w:r w:rsidRPr="00492326">
        <w:rPr>
          <w:rFonts w:asciiTheme="majorBidi" w:hAnsiTheme="majorBidi" w:cstheme="majorBidi"/>
          <w:szCs w:val="24"/>
        </w:rPr>
        <w:t xml:space="preserve">ITU Headquarters in Geneva. </w:t>
      </w:r>
      <w:r w:rsidR="002E6ABE">
        <w:rPr>
          <w:rFonts w:asciiTheme="majorBidi" w:hAnsiTheme="majorBidi" w:cstheme="majorBidi"/>
          <w:szCs w:val="24"/>
        </w:rPr>
        <w:t>The Bureau provided relevant</w:t>
      </w:r>
      <w:r w:rsidRPr="00492326">
        <w:rPr>
          <w:rFonts w:asciiTheme="majorBidi" w:hAnsiTheme="majorBidi" w:cstheme="majorBidi"/>
          <w:szCs w:val="24"/>
        </w:rPr>
        <w:t xml:space="preserve"> technical assistance to both administrations;</w:t>
      </w:r>
    </w:p>
    <w:p w14:paraId="5864D2EF" w14:textId="0C4F051D" w:rsidR="0018355C" w:rsidRDefault="0018355C" w:rsidP="004A6500">
      <w:pPr>
        <w:pStyle w:val="ListParagraph"/>
        <w:numPr>
          <w:ilvl w:val="0"/>
          <w:numId w:val="9"/>
        </w:numPr>
        <w:jc w:val="both"/>
      </w:pPr>
      <w:r>
        <w:t xml:space="preserve">Four ITU/ITSO Capacity Building Workshops on Satellite Communications were organized in Dakar (Senegal) from 23 to 27 July 2018 (for French-speaking African countries), in Quito (Ecuador) from 10 to 14 September 2018, in Abuja (Nigeria) from 22 to 27 October 2018 (for English-speaking African countries) and in Rabat (Morocco) from 26 to 30 November 2018. These workshops are part of a capacity building partnership between the ITU and ITSO for the delivery of satellite communications related training. In addition, at the request of the notifying administrations, the Bureau hosted satellite coordination meetings in the ITU headquarters in Geneva. </w:t>
      </w:r>
    </w:p>
    <w:p w14:paraId="0BCA5F3C" w14:textId="4BD21AB1" w:rsidR="0015513D" w:rsidRDefault="00F56064" w:rsidP="00F56064">
      <w:pPr>
        <w:pStyle w:val="Heading2"/>
      </w:pPr>
      <w:bookmarkStart w:id="50" w:name="_Toc418163382"/>
      <w:bookmarkStart w:id="51" w:name="_Toc418232300"/>
      <w:bookmarkStart w:id="52" w:name="_Toc424047620"/>
      <w:bookmarkStart w:id="53" w:name="_Toc446060792"/>
      <w:r>
        <w:t>9</w:t>
      </w:r>
      <w:r w:rsidR="0015513D" w:rsidRPr="00ED04B0">
        <w:t>.4</w:t>
      </w:r>
      <w:r w:rsidR="0015513D" w:rsidRPr="00ED04B0">
        <w:tab/>
        <w:t>Inter-sector Cooperation</w:t>
      </w:r>
      <w:bookmarkEnd w:id="50"/>
      <w:bookmarkEnd w:id="51"/>
      <w:bookmarkEnd w:id="52"/>
      <w:bookmarkEnd w:id="53"/>
      <w:r w:rsidR="003836C2">
        <w:t xml:space="preserve"> (see also Addendum 1 to this document)</w:t>
      </w:r>
    </w:p>
    <w:p w14:paraId="6DB440EF" w14:textId="77777777" w:rsidR="0015513D" w:rsidRDefault="00F56064" w:rsidP="00F56064">
      <w:pPr>
        <w:pStyle w:val="Heading3"/>
      </w:pPr>
      <w:bookmarkStart w:id="54" w:name="_Toc424047621"/>
      <w:bookmarkStart w:id="55" w:name="_Toc446060793"/>
      <w:r>
        <w:t>9</w:t>
      </w:r>
      <w:r w:rsidR="0015513D" w:rsidRPr="00ED04B0">
        <w:t>.4.1</w:t>
      </w:r>
      <w:r w:rsidR="0015513D" w:rsidRPr="00ED04B0">
        <w:tab/>
        <w:t>Cooperation with ITU</w:t>
      </w:r>
      <w:r w:rsidR="0015513D" w:rsidRPr="00ED04B0">
        <w:noBreakHyphen/>
        <w:t>D</w:t>
      </w:r>
      <w:bookmarkEnd w:id="54"/>
      <w:bookmarkEnd w:id="55"/>
      <w:r w:rsidR="0015513D" w:rsidRPr="008C05BE">
        <w:t xml:space="preserve"> </w:t>
      </w:r>
    </w:p>
    <w:p w14:paraId="13305741" w14:textId="66BBB310" w:rsidR="00E47268" w:rsidRPr="00E47268" w:rsidRDefault="00E47268" w:rsidP="00E82D32">
      <w:pPr>
        <w:jc w:val="both"/>
        <w:rPr>
          <w:rFonts w:asciiTheme="majorBidi" w:hAnsiTheme="majorBidi" w:cstheme="majorBidi"/>
        </w:rPr>
      </w:pPr>
      <w:r w:rsidRPr="00E47268">
        <w:t xml:space="preserve">As reported in Sections 9.1 to 9.3 above, the BR continues to pursue its objective of informing and assisting the ITU membership, in particular in developing countries, on issues relating to radiocommunication matters. For this purpose, the BR organizes and participates in a number of spectrum related workshops, seminars, meetings and capacity building activities. These actions are being carried out in close cooperation with the BDT and the ITU regional and area offices, and </w:t>
      </w:r>
      <w:r w:rsidR="002E6ABE">
        <w:t>o</w:t>
      </w:r>
      <w:r w:rsidRPr="00E47268">
        <w:t>the</w:t>
      </w:r>
      <w:r w:rsidR="002E6ABE">
        <w:t>r</w:t>
      </w:r>
      <w:r w:rsidRPr="00E47268">
        <w:t xml:space="preserve"> relevant international organizations and national authorities.</w:t>
      </w:r>
    </w:p>
    <w:p w14:paraId="51D47CA2" w14:textId="79168623" w:rsidR="00E82D32" w:rsidRDefault="00E82D32" w:rsidP="00E82D32">
      <w:pPr>
        <w:jc w:val="both"/>
        <w:rPr>
          <w:rFonts w:asciiTheme="majorBidi" w:hAnsiTheme="majorBidi" w:cstheme="majorBidi"/>
          <w:sz w:val="22"/>
          <w:szCs w:val="22"/>
        </w:rPr>
      </w:pPr>
      <w:r w:rsidRPr="007A7990">
        <w:rPr>
          <w:rFonts w:asciiTheme="majorBidi" w:hAnsiTheme="majorBidi" w:cstheme="majorBidi"/>
        </w:rPr>
        <w:t xml:space="preserve">The Bureau </w:t>
      </w:r>
      <w:r w:rsidR="00E47268" w:rsidRPr="007A7990">
        <w:rPr>
          <w:rFonts w:asciiTheme="majorBidi" w:hAnsiTheme="majorBidi" w:cstheme="majorBidi"/>
        </w:rPr>
        <w:t xml:space="preserve">also </w:t>
      </w:r>
      <w:r w:rsidRPr="007A7990">
        <w:rPr>
          <w:rFonts w:asciiTheme="majorBidi" w:eastAsiaTheme="minorEastAsia" w:hAnsiTheme="majorBidi" w:cstheme="majorBidi"/>
          <w:sz w:val="22"/>
          <w:szCs w:val="22"/>
        </w:rPr>
        <w:t xml:space="preserve">participated </w:t>
      </w:r>
      <w:r w:rsidRPr="007A7990">
        <w:rPr>
          <w:rFonts w:asciiTheme="majorBidi" w:hAnsiTheme="majorBidi" w:cstheme="majorBidi"/>
          <w:sz w:val="22"/>
          <w:szCs w:val="22"/>
        </w:rPr>
        <w:t xml:space="preserve">in </w:t>
      </w:r>
      <w:r w:rsidRPr="007A7990">
        <w:rPr>
          <w:rFonts w:asciiTheme="majorBidi" w:eastAsiaTheme="minorEastAsia" w:hAnsiTheme="majorBidi" w:cstheme="majorBidi"/>
          <w:sz w:val="22"/>
          <w:szCs w:val="22"/>
        </w:rPr>
        <w:t>the BDT assistance programme dealing with the</w:t>
      </w:r>
      <w:r w:rsidRPr="007A7990">
        <w:rPr>
          <w:rFonts w:asciiTheme="majorBidi" w:hAnsiTheme="majorBidi" w:cstheme="majorBidi"/>
          <w:sz w:val="22"/>
          <w:szCs w:val="22"/>
        </w:rPr>
        <w:t xml:space="preserve"> development of regulations for maritime wireless communication for the Ministry of Communications and Information Technology</w:t>
      </w:r>
      <w:r w:rsidRPr="007A7990">
        <w:rPr>
          <w:rFonts w:asciiTheme="majorBidi" w:hAnsiTheme="majorBidi" w:cstheme="majorBidi"/>
          <w:sz w:val="22"/>
          <w:szCs w:val="22"/>
          <w:lang w:val="en-AU"/>
        </w:rPr>
        <w:t xml:space="preserve"> (MCIT) of </w:t>
      </w:r>
      <w:r w:rsidRPr="007A7990">
        <w:rPr>
          <w:rFonts w:asciiTheme="majorBidi" w:hAnsiTheme="majorBidi" w:cstheme="majorBidi"/>
          <w:sz w:val="22"/>
          <w:szCs w:val="22"/>
        </w:rPr>
        <w:t>Indonesia</w:t>
      </w:r>
      <w:r w:rsidRPr="007A7990">
        <w:rPr>
          <w:rFonts w:asciiTheme="majorBidi" w:hAnsiTheme="majorBidi" w:cstheme="majorBidi"/>
          <w:sz w:val="22"/>
          <w:szCs w:val="22"/>
          <w:lang w:val="en-AU"/>
        </w:rPr>
        <w:t>.</w:t>
      </w:r>
      <w:r w:rsidRPr="00C70CFE">
        <w:rPr>
          <w:rFonts w:asciiTheme="majorBidi" w:hAnsiTheme="majorBidi" w:cstheme="majorBidi"/>
          <w:sz w:val="22"/>
          <w:szCs w:val="22"/>
        </w:rPr>
        <w:t xml:space="preserve"> </w:t>
      </w:r>
    </w:p>
    <w:p w14:paraId="42EB550E" w14:textId="5AE6145B" w:rsidR="004645E2" w:rsidRPr="004645E2" w:rsidRDefault="004645E2" w:rsidP="009421D9">
      <w:pPr>
        <w:pStyle w:val="Heading4"/>
      </w:pPr>
      <w:r>
        <w:t>9</w:t>
      </w:r>
      <w:r w:rsidRPr="004645E2">
        <w:t>.4.1.1</w:t>
      </w:r>
      <w:r w:rsidRPr="004645E2">
        <w:tab/>
        <w:t>GSR</w:t>
      </w:r>
    </w:p>
    <w:p w14:paraId="592AC1CB" w14:textId="77777777" w:rsidR="004645E2" w:rsidRPr="004645E2" w:rsidRDefault="004645E2" w:rsidP="004645E2">
      <w:pPr>
        <w:jc w:val="both"/>
      </w:pPr>
      <w:r w:rsidRPr="004645E2">
        <w:t>Recognizing the importance of expert information to Member States, the BR continues to support the BDT by providing technical expertise in relation to spectrum management, digital broadcasting and digital divi</w:t>
      </w:r>
      <w:r w:rsidRPr="004645E2">
        <w:lastRenderedPageBreak/>
        <w:t>dend. The BR contributed to the ITU Global Symposium of Regulators 2014, 2015, 2017) with the organization of, and participation in, sessions related to spectrum management, with emphasis in 5G and new spectrum management trends.</w:t>
      </w:r>
    </w:p>
    <w:p w14:paraId="58595C11" w14:textId="77777777" w:rsidR="004645E2" w:rsidRPr="004645E2" w:rsidRDefault="004645E2" w:rsidP="004645E2">
      <w:pPr>
        <w:jc w:val="both"/>
      </w:pPr>
      <w:r w:rsidRPr="004645E2">
        <w:t xml:space="preserve">In 2018 the GSR agenda did not include a session on spectrum-related topics. BR is currently coordinating with BDT to include the topic in the agenda of GSR-19. </w:t>
      </w:r>
    </w:p>
    <w:p w14:paraId="33C7B629" w14:textId="095B0C56" w:rsidR="004645E2" w:rsidRPr="004645E2" w:rsidRDefault="004645E2" w:rsidP="009421D9">
      <w:pPr>
        <w:pStyle w:val="Heading4"/>
      </w:pPr>
      <w:r>
        <w:t>9</w:t>
      </w:r>
      <w:r w:rsidRPr="004645E2">
        <w:t>.4.1.2</w:t>
      </w:r>
      <w:r w:rsidRPr="004645E2">
        <w:tab/>
        <w:t xml:space="preserve">ICT Survey and ICT Eye </w:t>
      </w:r>
    </w:p>
    <w:p w14:paraId="0FA4170B" w14:textId="3B021376" w:rsidR="004645E2" w:rsidRPr="004645E2" w:rsidRDefault="004645E2" w:rsidP="002E6ABE">
      <w:pPr>
        <w:jc w:val="both"/>
      </w:pPr>
      <w:r w:rsidRPr="004645E2">
        <w:t>ICT-eye and its survey form an essential tool for gathering data from administrations on key ICT metrics. The BDT does the tracking of such data on a yearly basis, and displays the data results in a meaningful way in the statistics portal. In order to capitalize from the existing platform provided by ICT-eye, the BR cooperated with the BDT to expand the current survey and include a chapter on key spectrum-specific information (i.e. auctions, caps, mobile technologies/standards, spectrum licensing). The spectrum chapter was developed by BR and published in the ICT survey for the first time in 2013. BR kept working closely with BDT in collecting, processing, and disseminati</w:t>
      </w:r>
      <w:r w:rsidR="002E6ABE">
        <w:t>ng this chapter. This chapter is under review</w:t>
      </w:r>
      <w:r w:rsidRPr="004645E2">
        <w:t xml:space="preserve"> </w:t>
      </w:r>
      <w:r w:rsidR="002E6ABE">
        <w:t xml:space="preserve">with the objective of aligning it to </w:t>
      </w:r>
      <w:r w:rsidRPr="004645E2">
        <w:t xml:space="preserve">regulators </w:t>
      </w:r>
      <w:r w:rsidR="002E6ABE">
        <w:t xml:space="preserve">way of </w:t>
      </w:r>
      <w:r w:rsidRPr="004645E2">
        <w:t>classify</w:t>
      </w:r>
      <w:r w:rsidR="002E6ABE">
        <w:t>ing</w:t>
      </w:r>
      <w:r w:rsidRPr="004645E2">
        <w:t xml:space="preserve"> the mobile broadband technologies</w:t>
      </w:r>
      <w:r w:rsidR="002E6ABE">
        <w:t xml:space="preserve"> and</w:t>
      </w:r>
      <w:r w:rsidRPr="004645E2">
        <w:t xml:space="preserve"> includ</w:t>
      </w:r>
      <w:r w:rsidR="002E6ABE">
        <w:t>e</w:t>
      </w:r>
      <w:r w:rsidRPr="004645E2">
        <w:t xml:space="preserve"> a new section </w:t>
      </w:r>
      <w:r w:rsidR="002E6ABE">
        <w:t>on</w:t>
      </w:r>
      <w:r w:rsidRPr="004645E2">
        <w:t xml:space="preserve"> IMT frequencies national allocation and assignments, </w:t>
      </w:r>
      <w:r w:rsidR="002E6ABE">
        <w:t xml:space="preserve">while </w:t>
      </w:r>
      <w:r w:rsidRPr="004645E2">
        <w:t>considering KPIs on IMT National Spectrum Allocations and Assignments (see 8.4.1.3).</w:t>
      </w:r>
    </w:p>
    <w:p w14:paraId="264278CB" w14:textId="41922B3A" w:rsidR="004645E2" w:rsidRPr="004645E2" w:rsidRDefault="004645E2" w:rsidP="009421D9">
      <w:pPr>
        <w:pStyle w:val="Heading4"/>
      </w:pPr>
      <w:r>
        <w:t>9</w:t>
      </w:r>
      <w:r w:rsidRPr="004645E2">
        <w:t>.4.1.3. World Telecommunication/ICT Indicators Symposium, WTIS</w:t>
      </w:r>
    </w:p>
    <w:p w14:paraId="5F20DBDC" w14:textId="77777777" w:rsidR="004645E2" w:rsidRPr="004645E2" w:rsidRDefault="004645E2" w:rsidP="004645E2">
      <w:pPr>
        <w:jc w:val="both"/>
      </w:pPr>
      <w:r w:rsidRPr="004645E2">
        <w:t xml:space="preserve">The BR cooperated with the BDT on the indicators and definitions for gathering data on mobile broadband technologies, especially when referring to standards. </w:t>
      </w:r>
    </w:p>
    <w:p w14:paraId="22D0C22A" w14:textId="12C2A176" w:rsidR="004645E2" w:rsidRPr="004645E2" w:rsidRDefault="004645E2" w:rsidP="009533F6">
      <w:pPr>
        <w:jc w:val="both"/>
      </w:pPr>
      <w:r w:rsidRPr="004645E2">
        <w:t>In 2018, the BR participated in the meetings of Expert Group on Tele</w:t>
      </w:r>
      <w:r w:rsidR="009533F6">
        <w:t>com-ICT Indicators (EGTI), and contributed in</w:t>
      </w:r>
      <w:r w:rsidRPr="004645E2">
        <w:t xml:space="preserve"> driv</w:t>
      </w:r>
      <w:r w:rsidR="009533F6">
        <w:t>ing</w:t>
      </w:r>
      <w:r w:rsidRPr="004645E2">
        <w:t xml:space="preserve"> the discussions of the Ad-Hoc Group in the development of a new indicator on IMT National Spectrum Allocations and Assignments. </w:t>
      </w:r>
    </w:p>
    <w:p w14:paraId="3DB58ADE" w14:textId="0258CCB7" w:rsidR="004645E2" w:rsidRPr="004645E2" w:rsidRDefault="004645E2" w:rsidP="009533F6">
      <w:pPr>
        <w:jc w:val="both"/>
      </w:pPr>
      <w:r w:rsidRPr="004645E2">
        <w:t xml:space="preserve">The BR made presentations during WTIS-15, WTIS-16 and WTIS-17. During WTIS-18, the BR participated in discussions </w:t>
      </w:r>
      <w:r w:rsidR="009533F6">
        <w:t xml:space="preserve">relating to </w:t>
      </w:r>
      <w:r w:rsidRPr="004645E2">
        <w:t xml:space="preserve">IMT National Spectrum Allocations and Assignments, which endorsed the recommendations from the EGTI. </w:t>
      </w:r>
    </w:p>
    <w:p w14:paraId="42473E06" w14:textId="1E102C2F" w:rsidR="004645E2" w:rsidRPr="004645E2" w:rsidRDefault="004645E2" w:rsidP="009421D9">
      <w:pPr>
        <w:pStyle w:val="Heading4"/>
      </w:pPr>
      <w:r>
        <w:t>9</w:t>
      </w:r>
      <w:r w:rsidRPr="004645E2">
        <w:t>.4.1.4</w:t>
      </w:r>
      <w:r w:rsidRPr="004645E2">
        <w:tab/>
        <w:t>Spectrum Management Training Programme (SMTP)</w:t>
      </w:r>
    </w:p>
    <w:p w14:paraId="4223486B" w14:textId="526A5A49" w:rsidR="004645E2" w:rsidRPr="004645E2" w:rsidRDefault="009533F6" w:rsidP="009533F6">
      <w:pPr>
        <w:jc w:val="both"/>
      </w:pPr>
      <w:r>
        <w:t>BR has maintained c</w:t>
      </w:r>
      <w:r w:rsidR="004645E2" w:rsidRPr="004645E2">
        <w:t xml:space="preserve">lose </w:t>
      </w:r>
      <w:r>
        <w:t>collaboration</w:t>
      </w:r>
      <w:r w:rsidR="004645E2" w:rsidRPr="004645E2">
        <w:t xml:space="preserve"> with the BDT on </w:t>
      </w:r>
      <w:r>
        <w:t>issues</w:t>
      </w:r>
      <w:r w:rsidR="004645E2" w:rsidRPr="004645E2">
        <w:t xml:space="preserve"> of mutual interest to ITU R and ITU D. The BR has participated in relevant meetings of ITU D Study Groups, Rapporteur Groups and TDAG, where liaison activities have involved topics such as spectrum management, digital broadcasting and migration from analogue systems, transition towards and implementation of IMT, and broadband wireless access technologies. These topics are in addition to the collaboration undertaken through ITU D Question 9-3/2 that calls for the identification of study topics in ITU R (and ITU T)</w:t>
      </w:r>
      <w:r>
        <w:t>,</w:t>
      </w:r>
      <w:r w:rsidR="004645E2" w:rsidRPr="004645E2">
        <w:t xml:space="preserve"> considered </w:t>
      </w:r>
      <w:r>
        <w:t xml:space="preserve">to be of </w:t>
      </w:r>
      <w:r w:rsidR="004645E2" w:rsidRPr="004645E2">
        <w:t>particular interest to developing countries.</w:t>
      </w:r>
    </w:p>
    <w:p w14:paraId="5E9DFB59" w14:textId="77777777" w:rsidR="004645E2" w:rsidRPr="004645E2" w:rsidRDefault="004645E2" w:rsidP="004645E2">
      <w:pPr>
        <w:jc w:val="both"/>
      </w:pPr>
      <w:r w:rsidRPr="004645E2">
        <w:t xml:space="preserve">In response to requests from the BDT, experts from ITU R and BR have participated in ITU seminars and workshops organized by ITU D (see also Section 9.2.4). Within the framework of Resolution ITU R 11-4 (Further development of the spectrum management system for developing countries), BR has been involved with the design, testing and training associated with the software SMS4DC (Spectrum Management System for Developing Countries), with advice provided on the use of relevant ITU R Recommendations. In addition, ITU R Study Group 1 has continued to work closely with the ITU D Study Groups in pursuing studies on spectrum usage in accordance with Resolution ITU D 9. </w:t>
      </w:r>
    </w:p>
    <w:p w14:paraId="6DC0744C" w14:textId="33E23185" w:rsidR="004645E2" w:rsidRPr="004645E2" w:rsidRDefault="009533F6" w:rsidP="009A214C">
      <w:pPr>
        <w:jc w:val="both"/>
      </w:pPr>
      <w:r>
        <w:t xml:space="preserve">In </w:t>
      </w:r>
      <w:r w:rsidRPr="00E3768B">
        <w:t xml:space="preserve">view of some of </w:t>
      </w:r>
      <w:r w:rsidR="004645E2" w:rsidRPr="00E3768B">
        <w:t xml:space="preserve">the needs of developing countries, the production of Handbooks has continued to be </w:t>
      </w:r>
      <w:r w:rsidR="009A214C">
        <w:t>recognized</w:t>
      </w:r>
      <w:r w:rsidR="004645E2" w:rsidRPr="004645E2">
        <w:t xml:space="preserve"> as a major Study Group activity. In this respect, new or revised Handbooks have been developed on topics such as spectrum monitoring, </w:t>
      </w:r>
      <w:proofErr w:type="spellStart"/>
      <w:r w:rsidR="004645E2" w:rsidRPr="004645E2">
        <w:t>radiowave</w:t>
      </w:r>
      <w:proofErr w:type="spellEnd"/>
      <w:r w:rsidR="004645E2" w:rsidRPr="004645E2">
        <w:t xml:space="preserve"> propagation information for designing terrestrial point-to-</w:t>
      </w:r>
      <w:r w:rsidR="004645E2" w:rsidRPr="004645E2">
        <w:lastRenderedPageBreak/>
        <w:t xml:space="preserve">point links, amateur and amateur-satellite services, migration to IMT-2000 systems and use of radio spectrum for meteorology </w:t>
      </w:r>
      <w:r>
        <w:t>(</w:t>
      </w:r>
      <w:r w:rsidR="004645E2" w:rsidRPr="004645E2">
        <w:t>weather, water and climate monitoring and prediction</w:t>
      </w:r>
      <w:r>
        <w:t>)</w:t>
      </w:r>
      <w:r w:rsidR="004645E2" w:rsidRPr="004645E2">
        <w:t>.</w:t>
      </w:r>
    </w:p>
    <w:p w14:paraId="0B3A8831" w14:textId="4946F27F" w:rsidR="004645E2" w:rsidRPr="004645E2" w:rsidRDefault="004645E2" w:rsidP="009A214C">
      <w:pPr>
        <w:jc w:val="both"/>
      </w:pPr>
      <w:r w:rsidRPr="004645E2">
        <w:t>Since 2013, the BR actively participated in a joint project with the BDT to develop the Spectrum Management Training Programme (SMTP) through its different phases: design, material preparation, peer review, pilot test (conducted in 2015). In 2016, improvements were integrated on the basis of feedbacks. In 2017 a comp</w:t>
      </w:r>
      <w:r w:rsidR="009533F6">
        <w:t>rehensive</w:t>
      </w:r>
      <w:r w:rsidRPr="004645E2">
        <w:t xml:space="preserve"> revision was made, </w:t>
      </w:r>
      <w:r w:rsidR="009533F6">
        <w:t xml:space="preserve">which provided </w:t>
      </w:r>
      <w:r w:rsidR="009A214C">
        <w:t xml:space="preserve">ITU </w:t>
      </w:r>
      <w:r w:rsidR="009533F6">
        <w:t>the</w:t>
      </w:r>
      <w:r w:rsidRPr="004645E2">
        <w:t xml:space="preserve"> </w:t>
      </w:r>
      <w:r w:rsidR="009A214C">
        <w:t>opportunity to establish working relationship</w:t>
      </w:r>
      <w:r w:rsidRPr="004645E2">
        <w:t xml:space="preserve"> with some regulators in Latin-America, interested in an edition of SMTP specifically oriented to their Staff.</w:t>
      </w:r>
    </w:p>
    <w:p w14:paraId="5F876796" w14:textId="4245ED02" w:rsidR="004645E2" w:rsidRPr="004645E2" w:rsidRDefault="004645E2" w:rsidP="004645E2">
      <w:pPr>
        <w:jc w:val="both"/>
      </w:pPr>
      <w:r w:rsidRPr="004645E2">
        <w:t xml:space="preserve">In 2018, BR and BDT took actions towards implementing special editions of SMTP. These actions are still in progress. In 2019 the BR plans to review and revise the material contained in </w:t>
      </w:r>
      <w:r w:rsidR="009533F6">
        <w:t xml:space="preserve">the current </w:t>
      </w:r>
      <w:r w:rsidRPr="004645E2">
        <w:t xml:space="preserve">SMTP. </w:t>
      </w:r>
    </w:p>
    <w:p w14:paraId="372BFD3F" w14:textId="77777777" w:rsidR="0015513D" w:rsidRDefault="00F56064" w:rsidP="00F56064">
      <w:pPr>
        <w:pStyle w:val="Heading3"/>
      </w:pPr>
      <w:bookmarkStart w:id="56" w:name="_Toc424047625"/>
      <w:bookmarkStart w:id="57" w:name="_Toc446060794"/>
      <w:r>
        <w:t>9</w:t>
      </w:r>
      <w:r w:rsidR="0015513D" w:rsidRPr="00ED04B0">
        <w:t>.4.2</w:t>
      </w:r>
      <w:r w:rsidR="0015513D" w:rsidRPr="00ED04B0">
        <w:tab/>
        <w:t>Cooperation with ITU-T</w:t>
      </w:r>
      <w:bookmarkEnd w:id="56"/>
      <w:bookmarkEnd w:id="57"/>
      <w:r w:rsidR="0015513D" w:rsidRPr="008C05BE">
        <w:t xml:space="preserve"> </w:t>
      </w:r>
    </w:p>
    <w:p w14:paraId="436DE92E" w14:textId="77777777" w:rsidR="004645E2" w:rsidRPr="00A270EB" w:rsidRDefault="004645E2" w:rsidP="004645E2">
      <w:pPr>
        <w:jc w:val="both"/>
      </w:pPr>
      <w:r w:rsidRPr="00A270EB">
        <w:t>In addition to climate change and emergency communications, topics of mutual interest between ITU R and ITU T include IMT-2020, the effects of human exposure to radio frequencies, power line transmission systems, intelligent transport systems, common patent policy and intellectual property rights and audio-visual media accessibility.</w:t>
      </w:r>
    </w:p>
    <w:p w14:paraId="3062BBB5" w14:textId="66C639B0" w:rsidR="004645E2" w:rsidRDefault="004645E2" w:rsidP="009533F6">
      <w:r w:rsidRPr="00A270EB">
        <w:t>Therefore</w:t>
      </w:r>
      <w:r w:rsidR="009533F6">
        <w:t>,</w:t>
      </w:r>
      <w:r w:rsidRPr="00A270EB">
        <w:t xml:space="preserve"> there continues to be a requirement for close coordination on the various topics being addressed by ITU-T that impinge on radiocommunication issues</w:t>
      </w:r>
      <w:r w:rsidR="009533F6">
        <w:t xml:space="preserve"> in order</w:t>
      </w:r>
      <w:r w:rsidRPr="00A270EB">
        <w:t xml:space="preserve"> to reduce the potential</w:t>
      </w:r>
      <w:r w:rsidR="009533F6">
        <w:t xml:space="preserve"> for overlap, duplication and avoid redundancies</w:t>
      </w:r>
      <w:r w:rsidRPr="00A270EB">
        <w:t>.</w:t>
      </w:r>
    </w:p>
    <w:p w14:paraId="2D9F2D6F" w14:textId="31F1014F" w:rsidR="0015513D" w:rsidRDefault="00F56064" w:rsidP="009421D9">
      <w:pPr>
        <w:pStyle w:val="Heading2"/>
      </w:pPr>
      <w:bookmarkStart w:id="58" w:name="_Toc418163383"/>
      <w:bookmarkStart w:id="59" w:name="_Toc418232301"/>
      <w:bookmarkStart w:id="60" w:name="_Toc424047626"/>
      <w:bookmarkStart w:id="61" w:name="_Toc446060795"/>
      <w:r>
        <w:t>9</w:t>
      </w:r>
      <w:r w:rsidR="0015513D" w:rsidRPr="00ED04B0">
        <w:t>.</w:t>
      </w:r>
      <w:r w:rsidR="0019324C">
        <w:t>5</w:t>
      </w:r>
      <w:r w:rsidR="0015513D" w:rsidRPr="00ED04B0">
        <w:tab/>
        <w:t>Cooperation with international and regional organizations</w:t>
      </w:r>
      <w:bookmarkEnd w:id="58"/>
      <w:bookmarkEnd w:id="59"/>
      <w:bookmarkEnd w:id="60"/>
      <w:bookmarkEnd w:id="61"/>
      <w:r w:rsidR="003836C2">
        <w:t xml:space="preserve"> (see also Addendum 1)</w:t>
      </w:r>
    </w:p>
    <w:p w14:paraId="4E04B78B" w14:textId="65579E46" w:rsidR="000A6F4D" w:rsidRPr="007A7990" w:rsidRDefault="000A6F4D" w:rsidP="009533F6">
      <w:pPr>
        <w:jc w:val="both"/>
      </w:pPr>
      <w:r w:rsidRPr="007A7990">
        <w:t>The Bureau continued to maintain close cooperation with international and regional organizations with the following objectives: 1) promote dialogue amongst bodi</w:t>
      </w:r>
      <w:r w:rsidR="009533F6">
        <w:t>es having common interests; 2) better</w:t>
      </w:r>
      <w:r w:rsidRPr="007A7990">
        <w:t xml:space="preserve"> coordination leading to more effective preparation for events such as WRCs; and 3) keep ITU</w:t>
      </w:r>
      <w:r w:rsidRPr="007A7990">
        <w:noBreakHyphen/>
        <w:t xml:space="preserve">R abreast of relevant activities in other organizations </w:t>
      </w:r>
      <w:r w:rsidR="009533F6">
        <w:t>for a more strategic</w:t>
      </w:r>
      <w:r w:rsidRPr="007A7990">
        <w:t xml:space="preserve"> planning of work programmes.</w:t>
      </w:r>
    </w:p>
    <w:p w14:paraId="260229C9" w14:textId="77777777" w:rsidR="000A6F4D" w:rsidRPr="0074247D" w:rsidRDefault="000A6F4D" w:rsidP="000A6F4D">
      <w:pPr>
        <w:jc w:val="both"/>
        <w:rPr>
          <w:szCs w:val="24"/>
        </w:rPr>
      </w:pPr>
      <w:r w:rsidRPr="007A7990">
        <w:t>The Bureau continues its close cooperation with the relevant international and regional organizations dealing with the use of spectrum (APT, ASMG, ATU, CEPT, CITEL and RCC), broadcasting organizations (ABU, ASBU, EBU and HFCC) or more generally with the use of radiocommunication services (e.g. ITSO, ESOA, GVF, GSMA) by organizing, promoting and participating in events to build capacity on the use of the RRs, including WRS and RRS, as indicated in Section 9.2.</w:t>
      </w:r>
    </w:p>
    <w:p w14:paraId="3C09D923" w14:textId="217526F4" w:rsidR="000A6F4D" w:rsidRPr="0074247D" w:rsidRDefault="000A6F4D" w:rsidP="00C25739">
      <w:pPr>
        <w:jc w:val="both"/>
      </w:pPr>
      <w:r w:rsidRPr="000A6F4D">
        <w:t>The Bureau continues to participate in the activities of the Global Standards Collaboration (GSC). Involvement with the 3G</w:t>
      </w:r>
      <w:r w:rsidR="003836C2">
        <w:t>PP</w:t>
      </w:r>
      <w:r w:rsidRPr="000A6F4D">
        <w:t xml:space="preserve"> and IEEE has been maintained, </w:t>
      </w:r>
      <w:r w:rsidR="003836C2">
        <w:t xml:space="preserve">as well as several regional standardization organizations, </w:t>
      </w:r>
      <w:r w:rsidRPr="000A6F4D">
        <w:t>given their importance and relevance to the work of Study Group 5. Other notable areas of liaison with Study Group activities include those with the World Meteorological Organization, the World Health Organization</w:t>
      </w:r>
      <w:r w:rsidR="003836C2">
        <w:t>, ISO and IEC (including CISPR)</w:t>
      </w:r>
      <w:r w:rsidRPr="000A6F4D">
        <w:t xml:space="preserve">, Space Frequency Coordination Group and </w:t>
      </w:r>
      <w:r w:rsidR="00C25739">
        <w:t>several others on an ad-hoc basis.</w:t>
      </w:r>
    </w:p>
    <w:p w14:paraId="60DBFABD" w14:textId="77777777" w:rsidR="000A6F4D" w:rsidRDefault="000A6F4D" w:rsidP="000A6F4D">
      <w:pPr>
        <w:jc w:val="both"/>
      </w:pPr>
      <w:r w:rsidRPr="00043B65">
        <w:t>The Bureau ensured liaison and cooperation with the UN Committee on the Peaceful Uses of Outer Space (UN-COPUOS), the International Maritime Organization (IMO), the International Maritime Satellite Organization (IMSO), the International Telecommunications Satellite Organization (ITSO), COSPAS-SARSAT, the International Committee of the Red Cross (CICR) the International Civil Aviation Organization (ICAO) with regard to the application of ITU treaty texts. BR experts also participated in various meetings of these organizations.</w:t>
      </w:r>
    </w:p>
    <w:p w14:paraId="7518AF8E" w14:textId="77777777" w:rsidR="000A6F4D" w:rsidRPr="000A6F4D" w:rsidRDefault="000A6F4D" w:rsidP="000A6F4D"/>
    <w:p w14:paraId="4E9EC31B" w14:textId="4B2BE0BF" w:rsidR="0015513D" w:rsidRDefault="00F56064" w:rsidP="0019324C">
      <w:pPr>
        <w:pStyle w:val="Heading2"/>
      </w:pPr>
      <w:bookmarkStart w:id="62" w:name="_Toc446060796"/>
      <w:r>
        <w:t>9</w:t>
      </w:r>
      <w:r w:rsidR="0015513D" w:rsidRPr="00ED04B0">
        <w:t>.</w:t>
      </w:r>
      <w:r w:rsidR="0019324C">
        <w:t>6</w:t>
      </w:r>
      <w:r w:rsidR="0015513D" w:rsidRPr="00ED04B0">
        <w:tab/>
      </w:r>
      <w:bookmarkEnd w:id="62"/>
      <w:r w:rsidR="0015513D" w:rsidRPr="00ED04B0">
        <w:rPr>
          <w:lang w:val="en-US"/>
        </w:rPr>
        <w:t>Evolution of ITU-R Sector Members, Associates and Academia</w:t>
      </w:r>
      <w:r w:rsidR="0015513D" w:rsidRPr="00621EC7">
        <w:t xml:space="preserve"> </w:t>
      </w:r>
    </w:p>
    <w:p w14:paraId="2816E48D" w14:textId="77777777" w:rsidR="004645E2" w:rsidRPr="004645E2" w:rsidRDefault="004645E2" w:rsidP="004645E2">
      <w:pPr>
        <w:jc w:val="both"/>
      </w:pPr>
      <w:r w:rsidRPr="004645E2">
        <w:t>Table 9.6-1 shows the stability of the number of ITU-R Sector Members, Associates and Academia during since 2015.</w:t>
      </w:r>
    </w:p>
    <w:p w14:paraId="114AB7C3" w14:textId="77777777" w:rsidR="004645E2" w:rsidRPr="004645E2" w:rsidRDefault="004645E2" w:rsidP="004645E2">
      <w:pPr>
        <w:pStyle w:val="TableNoBR"/>
      </w:pPr>
      <w:r w:rsidRPr="004645E2">
        <w:lastRenderedPageBreak/>
        <w:t>Table 9.6-1</w:t>
      </w:r>
    </w:p>
    <w:p w14:paraId="7A7872B4" w14:textId="77777777" w:rsidR="004645E2" w:rsidRPr="004645E2" w:rsidRDefault="004645E2" w:rsidP="004645E2">
      <w:pPr>
        <w:pStyle w:val="TabletitleBR"/>
      </w:pPr>
      <w:r w:rsidRPr="004645E2">
        <w:t>Evolution of the ITU-R membership since 2015</w:t>
      </w:r>
    </w:p>
    <w:p w14:paraId="79D54C70" w14:textId="77777777" w:rsidR="004645E2" w:rsidRPr="004645E2" w:rsidRDefault="004645E2" w:rsidP="004645E2"/>
    <w:tbl>
      <w:tblPr>
        <w:tblW w:w="9214" w:type="dxa"/>
        <w:jc w:val="center"/>
        <w:tblCellMar>
          <w:left w:w="0" w:type="dxa"/>
          <w:right w:w="0" w:type="dxa"/>
        </w:tblCellMar>
        <w:tblLook w:val="04A0" w:firstRow="1" w:lastRow="0" w:firstColumn="1" w:lastColumn="0" w:noHBand="0" w:noVBand="1"/>
      </w:tblPr>
      <w:tblGrid>
        <w:gridCol w:w="1701"/>
        <w:gridCol w:w="940"/>
        <w:gridCol w:w="820"/>
        <w:gridCol w:w="940"/>
        <w:gridCol w:w="986"/>
        <w:gridCol w:w="992"/>
        <w:gridCol w:w="1418"/>
        <w:gridCol w:w="1417"/>
      </w:tblGrid>
      <w:tr w:rsidR="004645E2" w14:paraId="6375DF96" w14:textId="77777777" w:rsidTr="007A7990">
        <w:trPr>
          <w:trHeight w:val="315"/>
          <w:jc w:val="center"/>
        </w:trPr>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E25802" w14:textId="77777777" w:rsidR="004645E2" w:rsidRDefault="004645E2" w:rsidP="007A7990">
            <w:pPr>
              <w:spacing w:before="60"/>
              <w:rPr>
                <w:color w:val="000000"/>
                <w:sz w:val="20"/>
                <w:lang w:eastAsia="zh-CN"/>
              </w:rPr>
            </w:pPr>
            <w:r>
              <w:rPr>
                <w:color w:val="000000"/>
                <w:sz w:val="20"/>
              </w:rPr>
              <w:t> </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56E6D2" w14:textId="77777777" w:rsidR="004645E2" w:rsidRDefault="004645E2" w:rsidP="007A7990">
            <w:pPr>
              <w:spacing w:before="60"/>
              <w:jc w:val="center"/>
              <w:rPr>
                <w:b/>
                <w:bCs/>
                <w:color w:val="000000"/>
                <w:sz w:val="20"/>
              </w:rPr>
            </w:pPr>
            <w:r>
              <w:rPr>
                <w:b/>
                <w:bCs/>
                <w:color w:val="000000"/>
                <w:sz w:val="20"/>
              </w:rPr>
              <w:t>2014</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4E1D292" w14:textId="77777777" w:rsidR="004645E2" w:rsidRDefault="004645E2" w:rsidP="007A7990">
            <w:pPr>
              <w:spacing w:before="60"/>
              <w:jc w:val="center"/>
              <w:rPr>
                <w:b/>
                <w:bCs/>
                <w:color w:val="000000"/>
                <w:sz w:val="20"/>
              </w:rPr>
            </w:pPr>
            <w:r>
              <w:rPr>
                <w:b/>
                <w:bCs/>
                <w:color w:val="000000"/>
                <w:sz w:val="20"/>
              </w:rPr>
              <w:t>2015</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657DB11" w14:textId="77777777" w:rsidR="004645E2" w:rsidRDefault="004645E2" w:rsidP="007A7990">
            <w:pPr>
              <w:spacing w:before="60"/>
              <w:jc w:val="center"/>
              <w:rPr>
                <w:b/>
                <w:bCs/>
                <w:color w:val="000000"/>
                <w:sz w:val="20"/>
              </w:rPr>
            </w:pPr>
            <w:r>
              <w:rPr>
                <w:b/>
                <w:bCs/>
                <w:color w:val="000000"/>
                <w:sz w:val="20"/>
              </w:rPr>
              <w:t>2016</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C0593" w14:textId="77777777" w:rsidR="004645E2" w:rsidRDefault="004645E2" w:rsidP="007A7990">
            <w:pPr>
              <w:spacing w:before="60"/>
              <w:jc w:val="center"/>
              <w:rPr>
                <w:b/>
                <w:bCs/>
                <w:color w:val="000000"/>
                <w:sz w:val="20"/>
              </w:rPr>
            </w:pPr>
            <w:r>
              <w:rPr>
                <w:b/>
                <w:bCs/>
                <w:color w:val="000000"/>
                <w:sz w:val="20"/>
              </w:rPr>
              <w:t>2017</w:t>
            </w:r>
          </w:p>
        </w:tc>
        <w:tc>
          <w:tcPr>
            <w:tcW w:w="992" w:type="dxa"/>
            <w:tcBorders>
              <w:top w:val="single" w:sz="8" w:space="0" w:color="auto"/>
              <w:left w:val="nil"/>
              <w:bottom w:val="single" w:sz="8" w:space="0" w:color="auto"/>
              <w:right w:val="single" w:sz="8" w:space="0" w:color="auto"/>
            </w:tcBorders>
            <w:hideMark/>
          </w:tcPr>
          <w:p w14:paraId="57EEAF8B" w14:textId="77777777" w:rsidR="004645E2" w:rsidRDefault="004645E2" w:rsidP="007A7990">
            <w:pPr>
              <w:spacing w:before="60"/>
              <w:jc w:val="center"/>
              <w:rPr>
                <w:b/>
                <w:bCs/>
                <w:color w:val="000000"/>
                <w:sz w:val="20"/>
              </w:rPr>
            </w:pPr>
            <w:r>
              <w:rPr>
                <w:b/>
                <w:bCs/>
                <w:color w:val="000000"/>
                <w:sz w:val="20"/>
              </w:rPr>
              <w:t>2018</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D14AD9" w14:textId="03777DD8" w:rsidR="004645E2" w:rsidRDefault="004645E2" w:rsidP="007A7990">
            <w:pPr>
              <w:spacing w:before="60"/>
              <w:jc w:val="center"/>
              <w:rPr>
                <w:b/>
                <w:bCs/>
                <w:color w:val="000000"/>
                <w:sz w:val="20"/>
              </w:rPr>
            </w:pPr>
            <w:r>
              <w:rPr>
                <w:b/>
                <w:bCs/>
                <w:color w:val="000000"/>
                <w:sz w:val="20"/>
              </w:rPr>
              <w:t>201</w:t>
            </w:r>
            <w:r>
              <w:rPr>
                <w:b/>
                <w:bCs/>
                <w:color w:val="1F497D"/>
                <w:sz w:val="20"/>
              </w:rPr>
              <w:t>8</w:t>
            </w:r>
            <w:r w:rsidR="00A270EB">
              <w:rPr>
                <w:b/>
                <w:bCs/>
                <w:color w:val="000000"/>
                <w:sz w:val="20"/>
              </w:rPr>
              <w:t xml:space="preserve"> vs</w:t>
            </w:r>
            <w:r>
              <w:rPr>
                <w:b/>
                <w:bCs/>
                <w:color w:val="000000"/>
                <w:sz w:val="20"/>
              </w:rPr>
              <w:t xml:space="preserve"> 2014</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A31617D" w14:textId="77777777" w:rsidR="004645E2" w:rsidRDefault="004645E2" w:rsidP="007A7990">
            <w:pPr>
              <w:spacing w:before="60"/>
              <w:jc w:val="center"/>
              <w:rPr>
                <w:b/>
                <w:bCs/>
                <w:color w:val="000000"/>
                <w:sz w:val="20"/>
              </w:rPr>
            </w:pPr>
            <w:r>
              <w:rPr>
                <w:b/>
                <w:bCs/>
                <w:color w:val="000000"/>
                <w:sz w:val="20"/>
              </w:rPr>
              <w:t>% Increase</w:t>
            </w:r>
          </w:p>
        </w:tc>
      </w:tr>
      <w:tr w:rsidR="004645E2" w14:paraId="09597464" w14:textId="77777777" w:rsidTr="007A7990">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0F5BE7" w14:textId="77777777" w:rsidR="004645E2" w:rsidRDefault="004645E2" w:rsidP="007A7990">
            <w:pPr>
              <w:spacing w:before="60"/>
              <w:rPr>
                <w:b/>
                <w:bCs/>
                <w:color w:val="000000"/>
                <w:sz w:val="20"/>
              </w:rPr>
            </w:pPr>
            <w:r>
              <w:rPr>
                <w:b/>
                <w:bCs/>
                <w:color w:val="000000"/>
                <w:sz w:val="20"/>
              </w:rPr>
              <w:t>Sector Members</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4581AA" w14:textId="77777777" w:rsidR="004645E2" w:rsidRPr="00A270EB" w:rsidRDefault="004645E2" w:rsidP="007A7990">
            <w:pPr>
              <w:spacing w:before="60"/>
              <w:jc w:val="center"/>
              <w:rPr>
                <w:sz w:val="20"/>
              </w:rPr>
            </w:pPr>
            <w:r w:rsidRPr="00A270EB">
              <w:rPr>
                <w:sz w:val="20"/>
              </w:rPr>
              <w:t>258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8C1AF1" w14:textId="77777777" w:rsidR="004645E2" w:rsidRPr="00A270EB" w:rsidRDefault="004645E2" w:rsidP="007A7990">
            <w:pPr>
              <w:spacing w:before="60"/>
              <w:jc w:val="center"/>
              <w:rPr>
                <w:sz w:val="20"/>
              </w:rPr>
            </w:pPr>
            <w:r w:rsidRPr="00A270EB">
              <w:rPr>
                <w:sz w:val="20"/>
              </w:rPr>
              <w:t>269</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F274A1" w14:textId="77777777" w:rsidR="004645E2" w:rsidRPr="00A270EB" w:rsidRDefault="004645E2" w:rsidP="007A7990">
            <w:pPr>
              <w:spacing w:before="60"/>
              <w:jc w:val="center"/>
              <w:rPr>
                <w:sz w:val="20"/>
              </w:rPr>
            </w:pPr>
            <w:r w:rsidRPr="00A270EB">
              <w:rPr>
                <w:sz w:val="20"/>
              </w:rPr>
              <w:t>266</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14:paraId="76711F99" w14:textId="77777777" w:rsidR="004645E2" w:rsidRPr="00A270EB" w:rsidRDefault="004645E2" w:rsidP="007A7990">
            <w:pPr>
              <w:spacing w:before="60"/>
              <w:jc w:val="center"/>
              <w:rPr>
                <w:sz w:val="20"/>
              </w:rPr>
            </w:pPr>
            <w:r w:rsidRPr="00A270EB">
              <w:rPr>
                <w:sz w:val="20"/>
              </w:rPr>
              <w:t>264</w:t>
            </w:r>
          </w:p>
        </w:tc>
        <w:tc>
          <w:tcPr>
            <w:tcW w:w="992" w:type="dxa"/>
            <w:tcBorders>
              <w:top w:val="nil"/>
              <w:left w:val="nil"/>
              <w:bottom w:val="single" w:sz="8" w:space="0" w:color="auto"/>
              <w:right w:val="single" w:sz="8" w:space="0" w:color="auto"/>
            </w:tcBorders>
            <w:hideMark/>
          </w:tcPr>
          <w:p w14:paraId="6CD62BFD" w14:textId="77777777" w:rsidR="004645E2" w:rsidRPr="00A270EB" w:rsidRDefault="004645E2" w:rsidP="007A7990">
            <w:pPr>
              <w:spacing w:before="60"/>
              <w:jc w:val="center"/>
              <w:rPr>
                <w:sz w:val="20"/>
              </w:rPr>
            </w:pPr>
            <w:r w:rsidRPr="00A270EB">
              <w:rPr>
                <w:sz w:val="20"/>
              </w:rPr>
              <w:t>264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2690A" w14:textId="77777777" w:rsidR="004645E2" w:rsidRPr="00A270EB" w:rsidRDefault="004645E2" w:rsidP="007A7990">
            <w:pPr>
              <w:spacing w:before="60"/>
              <w:jc w:val="center"/>
              <w:rPr>
                <w:sz w:val="20"/>
              </w:rPr>
            </w:pPr>
            <w:r w:rsidRPr="00A270EB">
              <w:rPr>
                <w:sz w:val="20"/>
              </w:rPr>
              <w:t>+6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64A6A3" w14:textId="77777777" w:rsidR="004645E2" w:rsidRPr="00A270EB" w:rsidRDefault="004645E2" w:rsidP="007A7990">
            <w:pPr>
              <w:spacing w:before="60"/>
              <w:jc w:val="center"/>
              <w:rPr>
                <w:sz w:val="20"/>
              </w:rPr>
            </w:pPr>
            <w:r w:rsidRPr="00A270EB">
              <w:rPr>
                <w:sz w:val="20"/>
              </w:rPr>
              <w:t>+2%</w:t>
            </w:r>
          </w:p>
        </w:tc>
      </w:tr>
      <w:tr w:rsidR="004645E2" w14:paraId="33B6CDA4" w14:textId="77777777" w:rsidTr="007A7990">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D2C425" w14:textId="77777777" w:rsidR="004645E2" w:rsidRDefault="004645E2" w:rsidP="007A7990">
            <w:pPr>
              <w:spacing w:before="60"/>
              <w:rPr>
                <w:b/>
                <w:bCs/>
                <w:color w:val="000000"/>
                <w:sz w:val="20"/>
              </w:rPr>
            </w:pPr>
            <w:r>
              <w:rPr>
                <w:b/>
                <w:bCs/>
                <w:color w:val="000000"/>
                <w:sz w:val="20"/>
              </w:rPr>
              <w:t>Associates</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BB9289" w14:textId="77777777" w:rsidR="004645E2" w:rsidRPr="00A270EB" w:rsidRDefault="004645E2" w:rsidP="007A7990">
            <w:pPr>
              <w:spacing w:before="60"/>
              <w:jc w:val="center"/>
              <w:rPr>
                <w:sz w:val="20"/>
              </w:rPr>
            </w:pPr>
            <w:r w:rsidRPr="00A270EB">
              <w:rPr>
                <w:sz w:val="20"/>
              </w:rPr>
              <w:t>15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F17C77" w14:textId="77777777" w:rsidR="004645E2" w:rsidRPr="00A270EB" w:rsidRDefault="004645E2" w:rsidP="007A7990">
            <w:pPr>
              <w:spacing w:before="60"/>
              <w:jc w:val="center"/>
              <w:rPr>
                <w:sz w:val="20"/>
              </w:rPr>
            </w:pPr>
            <w:r w:rsidRPr="00A270EB">
              <w:rPr>
                <w:sz w:val="20"/>
              </w:rPr>
              <w:t>18</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0D43E" w14:textId="77777777" w:rsidR="004645E2" w:rsidRPr="00A270EB" w:rsidRDefault="004645E2" w:rsidP="007A7990">
            <w:pPr>
              <w:spacing w:before="60"/>
              <w:jc w:val="center"/>
              <w:rPr>
                <w:sz w:val="20"/>
              </w:rPr>
            </w:pPr>
            <w:r w:rsidRPr="00A270EB">
              <w:rPr>
                <w:sz w:val="20"/>
              </w:rPr>
              <w:t>19</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14:paraId="5E1B47C2" w14:textId="77777777" w:rsidR="004645E2" w:rsidRPr="00A270EB" w:rsidRDefault="004645E2" w:rsidP="007A7990">
            <w:pPr>
              <w:spacing w:before="60"/>
              <w:jc w:val="center"/>
              <w:rPr>
                <w:sz w:val="20"/>
              </w:rPr>
            </w:pPr>
            <w:r w:rsidRPr="00A270EB">
              <w:rPr>
                <w:sz w:val="20"/>
              </w:rPr>
              <w:t>21</w:t>
            </w:r>
          </w:p>
        </w:tc>
        <w:tc>
          <w:tcPr>
            <w:tcW w:w="992" w:type="dxa"/>
            <w:tcBorders>
              <w:top w:val="nil"/>
              <w:left w:val="nil"/>
              <w:bottom w:val="single" w:sz="8" w:space="0" w:color="auto"/>
              <w:right w:val="single" w:sz="8" w:space="0" w:color="auto"/>
            </w:tcBorders>
            <w:hideMark/>
          </w:tcPr>
          <w:p w14:paraId="579CB36B" w14:textId="77777777" w:rsidR="004645E2" w:rsidRPr="00A270EB" w:rsidRDefault="004645E2" w:rsidP="007A7990">
            <w:pPr>
              <w:spacing w:before="60"/>
              <w:jc w:val="center"/>
              <w:rPr>
                <w:sz w:val="20"/>
              </w:rPr>
            </w:pPr>
            <w:r w:rsidRPr="00A270EB">
              <w:rPr>
                <w:sz w:val="20"/>
              </w:rPr>
              <w:t>21</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9BF6D3" w14:textId="77777777" w:rsidR="004645E2" w:rsidRPr="00A270EB" w:rsidRDefault="004645E2" w:rsidP="007A7990">
            <w:pPr>
              <w:spacing w:before="60"/>
              <w:jc w:val="center"/>
              <w:rPr>
                <w:sz w:val="20"/>
              </w:rPr>
            </w:pPr>
            <w:r w:rsidRPr="00A270EB">
              <w:rPr>
                <w:sz w:val="20"/>
              </w:rPr>
              <w:t>+6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58C628" w14:textId="77777777" w:rsidR="004645E2" w:rsidRPr="00A270EB" w:rsidRDefault="004645E2" w:rsidP="007A7990">
            <w:pPr>
              <w:spacing w:before="60"/>
              <w:jc w:val="center"/>
              <w:rPr>
                <w:sz w:val="20"/>
              </w:rPr>
            </w:pPr>
            <w:r w:rsidRPr="00A270EB">
              <w:rPr>
                <w:sz w:val="20"/>
              </w:rPr>
              <w:t>+40%</w:t>
            </w:r>
          </w:p>
        </w:tc>
      </w:tr>
      <w:tr w:rsidR="004645E2" w14:paraId="7EC3132D" w14:textId="77777777" w:rsidTr="007A7990">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FBCFA5" w14:textId="77777777" w:rsidR="004645E2" w:rsidRDefault="004645E2" w:rsidP="007A7990">
            <w:pPr>
              <w:spacing w:before="60"/>
              <w:rPr>
                <w:b/>
                <w:bCs/>
                <w:color w:val="000000"/>
                <w:sz w:val="20"/>
              </w:rPr>
            </w:pPr>
            <w:r>
              <w:rPr>
                <w:b/>
                <w:bCs/>
                <w:color w:val="000000"/>
                <w:sz w:val="20"/>
              </w:rPr>
              <w:t>Academia</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598FDD" w14:textId="77777777" w:rsidR="004645E2" w:rsidRPr="00A270EB" w:rsidRDefault="004645E2" w:rsidP="007A7990">
            <w:pPr>
              <w:spacing w:before="60"/>
              <w:jc w:val="center"/>
              <w:rPr>
                <w:sz w:val="20"/>
              </w:rPr>
            </w:pPr>
            <w:r w:rsidRPr="00A270EB">
              <w:rPr>
                <w:sz w:val="20"/>
              </w:rPr>
              <w:t>73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F0B71F" w14:textId="77777777" w:rsidR="004645E2" w:rsidRPr="00A270EB" w:rsidRDefault="004645E2" w:rsidP="007A7990">
            <w:pPr>
              <w:spacing w:before="60"/>
              <w:jc w:val="center"/>
              <w:rPr>
                <w:sz w:val="20"/>
              </w:rPr>
            </w:pPr>
            <w:r w:rsidRPr="00A270EB">
              <w:rPr>
                <w:sz w:val="20"/>
              </w:rPr>
              <w:t>95</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AE160C" w14:textId="77777777" w:rsidR="004645E2" w:rsidRPr="00A270EB" w:rsidRDefault="004645E2" w:rsidP="007A7990">
            <w:pPr>
              <w:spacing w:before="60"/>
              <w:jc w:val="center"/>
              <w:rPr>
                <w:sz w:val="20"/>
              </w:rPr>
            </w:pPr>
            <w:r w:rsidRPr="00A270EB">
              <w:rPr>
                <w:sz w:val="20"/>
              </w:rPr>
              <w:t>107</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14:paraId="5990B8E1" w14:textId="77777777" w:rsidR="004645E2" w:rsidRPr="00A270EB" w:rsidRDefault="004645E2" w:rsidP="007A7990">
            <w:pPr>
              <w:spacing w:before="60"/>
              <w:jc w:val="center"/>
              <w:rPr>
                <w:sz w:val="20"/>
              </w:rPr>
            </w:pPr>
            <w:r w:rsidRPr="00A270EB">
              <w:rPr>
                <w:sz w:val="20"/>
              </w:rPr>
              <w:t>125</w:t>
            </w:r>
          </w:p>
        </w:tc>
        <w:tc>
          <w:tcPr>
            <w:tcW w:w="992" w:type="dxa"/>
            <w:tcBorders>
              <w:top w:val="nil"/>
              <w:left w:val="nil"/>
              <w:bottom w:val="single" w:sz="8" w:space="0" w:color="auto"/>
              <w:right w:val="single" w:sz="8" w:space="0" w:color="auto"/>
            </w:tcBorders>
            <w:hideMark/>
          </w:tcPr>
          <w:p w14:paraId="20116682" w14:textId="77777777" w:rsidR="004645E2" w:rsidRPr="00A270EB" w:rsidRDefault="004645E2" w:rsidP="007A7990">
            <w:pPr>
              <w:spacing w:before="60"/>
              <w:jc w:val="center"/>
              <w:rPr>
                <w:sz w:val="20"/>
              </w:rPr>
            </w:pPr>
            <w:r w:rsidRPr="00A270EB">
              <w:rPr>
                <w:sz w:val="20"/>
              </w:rPr>
              <w:t>155</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9649BD" w14:textId="77777777" w:rsidR="004645E2" w:rsidRPr="00A270EB" w:rsidRDefault="004645E2" w:rsidP="007A7990">
            <w:pPr>
              <w:spacing w:before="60"/>
              <w:jc w:val="center"/>
              <w:rPr>
                <w:sz w:val="20"/>
              </w:rPr>
            </w:pPr>
            <w:r w:rsidRPr="00A270EB">
              <w:rPr>
                <w:sz w:val="20"/>
              </w:rPr>
              <w:t>+82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97C08F" w14:textId="77777777" w:rsidR="004645E2" w:rsidRPr="00A270EB" w:rsidRDefault="004645E2" w:rsidP="007A7990">
            <w:pPr>
              <w:spacing w:before="60"/>
              <w:jc w:val="center"/>
              <w:rPr>
                <w:sz w:val="20"/>
              </w:rPr>
            </w:pPr>
            <w:r w:rsidRPr="00A270EB">
              <w:rPr>
                <w:sz w:val="20"/>
              </w:rPr>
              <w:t>+112%</w:t>
            </w:r>
          </w:p>
        </w:tc>
      </w:tr>
    </w:tbl>
    <w:p w14:paraId="52B9419C" w14:textId="77777777" w:rsidR="004645E2" w:rsidRPr="004645E2" w:rsidRDefault="004645E2" w:rsidP="004645E2"/>
    <w:p w14:paraId="3BAFBD19" w14:textId="5987775B" w:rsidR="0015513D" w:rsidRDefault="00F56064" w:rsidP="00F56064">
      <w:pPr>
        <w:pStyle w:val="Heading3"/>
      </w:pPr>
      <w:bookmarkStart w:id="63" w:name="_Toc424047608"/>
      <w:bookmarkStart w:id="64" w:name="_Toc446060798"/>
      <w:r>
        <w:t>9</w:t>
      </w:r>
      <w:r w:rsidR="0019324C">
        <w:t>.7</w:t>
      </w:r>
      <w:r w:rsidR="0015513D" w:rsidRPr="00ED04B0">
        <w:tab/>
      </w:r>
      <w:r w:rsidR="0015513D">
        <w:t>Communication and promotion</w:t>
      </w:r>
    </w:p>
    <w:p w14:paraId="2FFCA47B" w14:textId="74122F66" w:rsidR="004645E2" w:rsidRDefault="004645E2" w:rsidP="00BE48EE">
      <w:pPr>
        <w:jc w:val="both"/>
      </w:pPr>
      <w:r w:rsidRPr="004645E2">
        <w:t>In order to position the ITU-R in line with its strategic objectives (create brand value, strengthen reputation, mobilize internal and external stakeholders, engage supporters and advocate in the interest of membership)</w:t>
      </w:r>
      <w:r w:rsidR="00BE48EE">
        <w:t xml:space="preserve">, </w:t>
      </w:r>
      <w:r w:rsidRPr="004645E2">
        <w:t xml:space="preserve">the Bureau works in close collaboration with the Corporate Communications Division (CCD) and ITU Press Office, the membership Department and </w:t>
      </w:r>
      <w:r w:rsidR="007A2AC2">
        <w:t xml:space="preserve">other relevant Departments of the </w:t>
      </w:r>
      <w:r w:rsidRPr="004645E2">
        <w:t>General Secretariat. This work has included several ITU Inter-Sector</w:t>
      </w:r>
      <w:r w:rsidR="007A2AC2">
        <w:t>al</w:t>
      </w:r>
      <w:r w:rsidRPr="004645E2">
        <w:t xml:space="preserve"> meetings: WSIS Implementation Task Force, Communications Groups, Web Editorial Board, Emerging Trends and Gender Task Force Group.</w:t>
      </w:r>
    </w:p>
    <w:p w14:paraId="5FF63D33" w14:textId="0DFBFFF5" w:rsidR="0015513D" w:rsidRDefault="00F56064" w:rsidP="00CF31F8">
      <w:pPr>
        <w:pStyle w:val="Heading3"/>
        <w:jc w:val="both"/>
      </w:pPr>
      <w:r>
        <w:t>9</w:t>
      </w:r>
      <w:r w:rsidR="0019324C">
        <w:t>.7</w:t>
      </w:r>
      <w:r w:rsidR="0015513D">
        <w:t>.1</w:t>
      </w:r>
      <w:r w:rsidR="0015513D">
        <w:tab/>
      </w:r>
      <w:r w:rsidR="0015513D" w:rsidRPr="00ED04B0">
        <w:t>Web</w:t>
      </w:r>
      <w:bookmarkEnd w:id="63"/>
      <w:r w:rsidR="0015513D" w:rsidRPr="00ED04B0">
        <w:t>site</w:t>
      </w:r>
      <w:bookmarkEnd w:id="64"/>
    </w:p>
    <w:p w14:paraId="12F89E9F" w14:textId="77777777" w:rsidR="00D21CD2" w:rsidRDefault="00D21CD2" w:rsidP="00CF31F8">
      <w:pPr>
        <w:jc w:val="both"/>
        <w:rPr>
          <w:sz w:val="22"/>
          <w:lang w:eastAsia="zh-CN"/>
        </w:rPr>
      </w:pPr>
      <w:r>
        <w:t xml:space="preserve">The BR continued to support the ITU-R Sector strategic goals with communications issued through the BR website </w:t>
      </w:r>
      <w:hyperlink r:id="rId36" w:history="1">
        <w:r>
          <w:rPr>
            <w:rStyle w:val="Hyperlink"/>
          </w:rPr>
          <w:t>www.itu.int/ITU-R/</w:t>
        </w:r>
      </w:hyperlink>
      <w:r>
        <w:t>, top-level pages which is regularly updated reflecting the work being undertaken by the Sector and, as far as possible, in the six official languages of the ITU.</w:t>
      </w:r>
    </w:p>
    <w:p w14:paraId="3994F3EF" w14:textId="77777777" w:rsidR="00D21CD2" w:rsidRDefault="00D21CD2" w:rsidP="00CF31F8">
      <w:pPr>
        <w:jc w:val="both"/>
        <w:rPr>
          <w:color w:val="000000"/>
          <w:lang w:val="en-US"/>
        </w:rPr>
      </w:pPr>
      <w:r>
        <w:t xml:space="preserve">ITU-R communications continued to distribute information via social media on the </w:t>
      </w:r>
      <w:hyperlink r:id="rId37" w:history="1">
        <w:r>
          <w:rPr>
            <w:rStyle w:val="Hyperlink"/>
            <w:smallCaps/>
          </w:rPr>
          <w:t>ITU-R Newsroom</w:t>
        </w:r>
      </w:hyperlink>
      <w:r>
        <w:rPr>
          <w:smallCaps/>
        </w:rPr>
        <w:t xml:space="preserve"> </w:t>
      </w:r>
      <w:r>
        <w:rPr>
          <w:color w:val="000000"/>
          <w:lang w:val="en-US"/>
        </w:rPr>
        <w:t>targeting the ITU membership, ITU-R Study Groups participants and delegates, academia members, specialized technical magazines, research institutions, media, ITU staff and the general public.</w:t>
      </w:r>
    </w:p>
    <w:p w14:paraId="2D5EAFF8" w14:textId="77777777" w:rsidR="00D21CD2" w:rsidRDefault="00D21CD2" w:rsidP="00CF31F8">
      <w:pPr>
        <w:jc w:val="both"/>
        <w:rPr>
          <w:color w:val="000000"/>
          <w:lang w:val="en-US"/>
        </w:rPr>
      </w:pPr>
      <w:r>
        <w:rPr>
          <w:color w:val="000000"/>
          <w:lang w:val="en-US"/>
        </w:rPr>
        <w:t>The BR Director’s corner was redesigned to include a visitors section with photos, the speeches and presentations by the Director as well as the meetings schedule, videos and photos.</w:t>
      </w:r>
    </w:p>
    <w:p w14:paraId="0496B48F" w14:textId="57FB26D9" w:rsidR="0015513D" w:rsidRDefault="00F56064" w:rsidP="00F56064">
      <w:pPr>
        <w:pStyle w:val="Heading3"/>
      </w:pPr>
      <w:bookmarkStart w:id="65" w:name="_Toc446060799"/>
      <w:r>
        <w:t>9</w:t>
      </w:r>
      <w:r w:rsidR="0019324C">
        <w:t>.7</w:t>
      </w:r>
      <w:r w:rsidR="0015513D" w:rsidRPr="00ED04B0">
        <w:t>.2</w:t>
      </w:r>
      <w:r w:rsidR="0015513D" w:rsidRPr="00ED04B0">
        <w:tab/>
        <w:t>Promotion and media relations</w:t>
      </w:r>
      <w:bookmarkEnd w:id="65"/>
    </w:p>
    <w:p w14:paraId="227DBC6A" w14:textId="77777777" w:rsidR="004645E2" w:rsidRPr="004645E2" w:rsidRDefault="004645E2" w:rsidP="004645E2">
      <w:pPr>
        <w:pStyle w:val="Heading4"/>
      </w:pPr>
      <w:r w:rsidRPr="004645E2">
        <w:t>9.7.2.1</w:t>
      </w:r>
      <w:r w:rsidRPr="004645E2">
        <w:tab/>
        <w:t xml:space="preserve">Media Communications </w:t>
      </w:r>
    </w:p>
    <w:p w14:paraId="4CB1ECFF" w14:textId="0B7B795E" w:rsidR="004645E2" w:rsidRPr="004645E2" w:rsidRDefault="00D810FD" w:rsidP="00D810FD">
      <w:pPr>
        <w:jc w:val="both"/>
        <w:rPr>
          <w:rFonts w:asciiTheme="majorBidi" w:hAnsiTheme="majorBidi" w:cstheme="majorBidi"/>
          <w:szCs w:val="24"/>
        </w:rPr>
      </w:pPr>
      <w:r>
        <w:rPr>
          <w:rFonts w:asciiTheme="majorBidi" w:hAnsiTheme="majorBidi" w:cstheme="majorBidi"/>
          <w:szCs w:val="24"/>
        </w:rPr>
        <w:t>In 2018, s</w:t>
      </w:r>
      <w:r w:rsidR="004645E2" w:rsidRPr="004645E2">
        <w:rPr>
          <w:rFonts w:asciiTheme="majorBidi" w:hAnsiTheme="majorBidi" w:cstheme="majorBidi"/>
          <w:szCs w:val="24"/>
        </w:rPr>
        <w:t>ubjects of interest to the media were responded to</w:t>
      </w:r>
      <w:r>
        <w:rPr>
          <w:rFonts w:asciiTheme="majorBidi" w:hAnsiTheme="majorBidi" w:cstheme="majorBidi"/>
          <w:szCs w:val="24"/>
        </w:rPr>
        <w:t>,</w:t>
      </w:r>
      <w:r w:rsidR="004645E2" w:rsidRPr="004645E2">
        <w:rPr>
          <w:rFonts w:asciiTheme="majorBidi" w:hAnsiTheme="majorBidi" w:cstheme="majorBidi"/>
          <w:szCs w:val="24"/>
        </w:rPr>
        <w:t xml:space="preserve"> after careful coordination with BR and ITU Communications, BR Management and relevant radiocommunication experts. </w:t>
      </w:r>
    </w:p>
    <w:p w14:paraId="60DDDF35" w14:textId="77777777" w:rsidR="004645E2" w:rsidRPr="004645E2" w:rsidRDefault="004645E2" w:rsidP="004645E2">
      <w:pPr>
        <w:jc w:val="both"/>
        <w:rPr>
          <w:rFonts w:asciiTheme="majorBidi" w:hAnsiTheme="majorBidi" w:cstheme="majorBidi"/>
          <w:szCs w:val="24"/>
        </w:rPr>
      </w:pPr>
      <w:r w:rsidRPr="004645E2">
        <w:rPr>
          <w:rFonts w:asciiTheme="majorBidi" w:hAnsiTheme="majorBidi" w:cstheme="majorBidi"/>
          <w:szCs w:val="24"/>
        </w:rPr>
        <w:t xml:space="preserve">The BR continued to support the ITU-R Sector strategic goals, with communications issued through the ITU Communications and Press Office and social media channels, the ITU-R Newsroom </w:t>
      </w:r>
      <w:hyperlink r:id="rId38" w:history="1">
        <w:r w:rsidRPr="004645E2">
          <w:rPr>
            <w:rStyle w:val="Hyperlink"/>
            <w:rFonts w:asciiTheme="majorBidi" w:hAnsiTheme="majorBidi" w:cstheme="majorBidi"/>
            <w:szCs w:val="24"/>
          </w:rPr>
          <w:t>https://twitter.com/ITU_R</w:t>
        </w:r>
      </w:hyperlink>
      <w:r w:rsidRPr="004645E2">
        <w:rPr>
          <w:rFonts w:asciiTheme="majorBidi" w:hAnsiTheme="majorBidi" w:cstheme="majorBidi"/>
          <w:szCs w:val="24"/>
        </w:rPr>
        <w:t xml:space="preserve">  and BR website </w:t>
      </w:r>
      <w:hyperlink r:id="rId39" w:history="1">
        <w:r w:rsidRPr="004645E2">
          <w:rPr>
            <w:rStyle w:val="Hyperlink"/>
            <w:rFonts w:asciiTheme="majorBidi" w:hAnsiTheme="majorBidi" w:cstheme="majorBidi"/>
            <w:szCs w:val="24"/>
          </w:rPr>
          <w:t>www.itu.int/ITU-R</w:t>
        </w:r>
      </w:hyperlink>
      <w:r w:rsidRPr="004645E2">
        <w:rPr>
          <w:rFonts w:asciiTheme="majorBidi" w:hAnsiTheme="majorBidi" w:cstheme="majorBidi"/>
          <w:szCs w:val="24"/>
        </w:rPr>
        <w:t xml:space="preserve">  during 2018:</w:t>
      </w:r>
    </w:p>
    <w:p w14:paraId="3AC8D5A9" w14:textId="77777777" w:rsidR="004645E2" w:rsidRPr="004645E2" w:rsidRDefault="004645E2" w:rsidP="004645E2">
      <w:pPr>
        <w:jc w:val="both"/>
        <w:rPr>
          <w:rFonts w:asciiTheme="majorBidi" w:hAnsiTheme="majorBidi" w:cstheme="majorBidi"/>
          <w:szCs w:val="24"/>
        </w:rPr>
      </w:pPr>
      <w:r w:rsidRPr="004645E2">
        <w:rPr>
          <w:rFonts w:asciiTheme="majorBidi" w:hAnsiTheme="majorBidi" w:cstheme="majorBidi"/>
          <w:szCs w:val="24"/>
        </w:rPr>
        <w:t>10 press releases and communiqués were issued in 2018 and weekly contributions to the ITU News weekly edition regarding new technologies and trending topics and ITU-R events.</w:t>
      </w:r>
    </w:p>
    <w:p w14:paraId="45B99354" w14:textId="42D4B902" w:rsidR="004645E2" w:rsidRPr="004645E2" w:rsidRDefault="004645E2" w:rsidP="00D810FD">
      <w:pPr>
        <w:jc w:val="both"/>
        <w:rPr>
          <w:rFonts w:asciiTheme="majorBidi" w:hAnsiTheme="majorBidi" w:cstheme="majorBidi"/>
          <w:szCs w:val="24"/>
        </w:rPr>
      </w:pPr>
      <w:r w:rsidRPr="004645E2">
        <w:rPr>
          <w:rFonts w:asciiTheme="majorBidi" w:hAnsiTheme="majorBidi" w:cstheme="majorBidi"/>
          <w:szCs w:val="24"/>
        </w:rPr>
        <w:t>During 2018, 90 media queries and requests for interviews</w:t>
      </w:r>
      <w:r w:rsidR="00D810FD">
        <w:rPr>
          <w:rFonts w:asciiTheme="majorBidi" w:hAnsiTheme="majorBidi" w:cstheme="majorBidi"/>
          <w:szCs w:val="24"/>
        </w:rPr>
        <w:t>, including</w:t>
      </w:r>
      <w:r w:rsidRPr="004645E2">
        <w:rPr>
          <w:rFonts w:asciiTheme="majorBidi" w:hAnsiTheme="majorBidi" w:cstheme="majorBidi"/>
          <w:szCs w:val="24"/>
        </w:rPr>
        <w:t xml:space="preserve"> additional requests for information were received. They were responded to, either by correspondence or through interviews given by BR experts, Chairmen of the ITU-R Study Groups or the BR Director. </w:t>
      </w:r>
    </w:p>
    <w:p w14:paraId="7B55DCAC" w14:textId="77777777" w:rsidR="004645E2" w:rsidRPr="004645E2" w:rsidRDefault="004645E2" w:rsidP="004645E2">
      <w:pPr>
        <w:pStyle w:val="Heading4"/>
      </w:pPr>
      <w:r w:rsidRPr="004645E2">
        <w:t>9.7.2.2</w:t>
      </w:r>
      <w:r w:rsidRPr="004645E2">
        <w:tab/>
        <w:t xml:space="preserve">FAQs </w:t>
      </w:r>
    </w:p>
    <w:p w14:paraId="27FFA68D" w14:textId="77777777" w:rsidR="004645E2" w:rsidRPr="004645E2" w:rsidRDefault="004645E2" w:rsidP="004645E2">
      <w:pPr>
        <w:jc w:val="both"/>
      </w:pPr>
      <w:r w:rsidRPr="004645E2">
        <w:t>BR continues to regularly update the various sets of Frequently Asked Questions (FAQs). They are available for consultation by the media, industry and general public and currently cover the following topics:</w:t>
      </w:r>
    </w:p>
    <w:p w14:paraId="15A530A3" w14:textId="77777777" w:rsidR="004645E2" w:rsidRPr="004645E2" w:rsidRDefault="004645E2" w:rsidP="004645E2">
      <w:pPr>
        <w:pStyle w:val="enumlev1"/>
        <w:jc w:val="both"/>
        <w:rPr>
          <w:lang w:val="en-US"/>
        </w:rPr>
      </w:pPr>
      <w:r w:rsidRPr="004645E2">
        <w:rPr>
          <w:lang w:val="en-US"/>
        </w:rPr>
        <w:t>–</w:t>
      </w:r>
      <w:r w:rsidRPr="004645E2">
        <w:rPr>
          <w:lang w:val="en-US"/>
        </w:rPr>
        <w:tab/>
        <w:t>Radio Regulations (RR), ITU-R Study Groups (SG), RRB, RAG, BR;</w:t>
      </w:r>
    </w:p>
    <w:p w14:paraId="7D47A6A4" w14:textId="77777777" w:rsidR="004645E2" w:rsidRPr="004645E2" w:rsidRDefault="004645E2" w:rsidP="004645E2">
      <w:pPr>
        <w:pStyle w:val="enumlev1"/>
        <w:jc w:val="both"/>
      </w:pPr>
      <w:r w:rsidRPr="004645E2">
        <w:t>–</w:t>
      </w:r>
      <w:r w:rsidRPr="004645E2">
        <w:tab/>
        <w:t>International Mobile Telecommunications (IMT) and Wireless Broadband;</w:t>
      </w:r>
    </w:p>
    <w:p w14:paraId="40D0E215" w14:textId="77777777" w:rsidR="004645E2" w:rsidRPr="004645E2" w:rsidRDefault="004645E2" w:rsidP="004645E2">
      <w:pPr>
        <w:pStyle w:val="enumlev1"/>
        <w:jc w:val="both"/>
      </w:pPr>
      <w:r w:rsidRPr="004645E2">
        <w:lastRenderedPageBreak/>
        <w:t>–</w:t>
      </w:r>
      <w:r w:rsidRPr="004645E2">
        <w:tab/>
        <w:t>Digital Dividend and the Digital Switchover (DSO)</w:t>
      </w:r>
    </w:p>
    <w:p w14:paraId="287E06E3" w14:textId="77777777" w:rsidR="004645E2" w:rsidRPr="004645E2" w:rsidRDefault="004645E2" w:rsidP="004645E2">
      <w:pPr>
        <w:pStyle w:val="enumlev1"/>
        <w:jc w:val="both"/>
      </w:pPr>
      <w:r w:rsidRPr="004645E2">
        <w:t>–</w:t>
      </w:r>
      <w:r w:rsidRPr="004645E2">
        <w:tab/>
        <w:t>Universal Time Scale (UTC) – Leap Second;</w:t>
      </w:r>
    </w:p>
    <w:p w14:paraId="05DB0258" w14:textId="77777777" w:rsidR="004645E2" w:rsidRPr="004645E2" w:rsidRDefault="004645E2" w:rsidP="004645E2">
      <w:pPr>
        <w:pStyle w:val="enumlev1"/>
        <w:jc w:val="both"/>
      </w:pPr>
      <w:r w:rsidRPr="004645E2">
        <w:t>–</w:t>
      </w:r>
      <w:r w:rsidRPr="004645E2">
        <w:tab/>
        <w:t>Satellite Filings and associated procedures.</w:t>
      </w:r>
    </w:p>
    <w:p w14:paraId="3DF58F35" w14:textId="77777777" w:rsidR="004645E2" w:rsidRPr="004645E2" w:rsidRDefault="004645E2" w:rsidP="004645E2">
      <w:pPr>
        <w:jc w:val="both"/>
        <w:rPr>
          <w:szCs w:val="24"/>
        </w:rPr>
      </w:pPr>
      <w:r w:rsidRPr="004645E2">
        <w:rPr>
          <w:szCs w:val="24"/>
        </w:rPr>
        <w:t>They can be found online on the right-hand top of the ITU-R web page (</w:t>
      </w:r>
      <w:hyperlink r:id="rId40" w:history="1">
        <w:r w:rsidRPr="004645E2">
          <w:rPr>
            <w:rStyle w:val="Hyperlink"/>
            <w:szCs w:val="24"/>
          </w:rPr>
          <w:t>http://www.itu.int/en/ITU-R/Pages/default.aspx</w:t>
        </w:r>
      </w:hyperlink>
      <w:r w:rsidRPr="004645E2">
        <w:rPr>
          <w:szCs w:val="24"/>
        </w:rPr>
        <w:t>.</w:t>
      </w:r>
    </w:p>
    <w:p w14:paraId="1083C8A9" w14:textId="77777777" w:rsidR="004645E2" w:rsidRPr="004645E2" w:rsidRDefault="004645E2" w:rsidP="004645E2">
      <w:pPr>
        <w:pStyle w:val="Heading4"/>
      </w:pPr>
      <w:r w:rsidRPr="004645E2">
        <w:t>9.7.2.3</w:t>
      </w:r>
      <w:r w:rsidRPr="004645E2">
        <w:tab/>
        <w:t xml:space="preserve">Branding communications </w:t>
      </w:r>
    </w:p>
    <w:p w14:paraId="2AB5BE28" w14:textId="441DFE78" w:rsidR="004645E2" w:rsidRPr="004645E2" w:rsidRDefault="004645E2" w:rsidP="00CF31F8">
      <w:pPr>
        <w:jc w:val="both"/>
      </w:pPr>
      <w:r w:rsidRPr="004645E2">
        <w:t>During 2018, standard branding (rollups, virtual e-banners, e-posters, e-certificates, social media announcements etc.) photos, videos, multimedia were prepared for the World and Regional Radiocommunication and Space Seminars and keynote meetings a</w:t>
      </w:r>
      <w:r w:rsidR="00CF31F8">
        <w:t>nd events organized by the BR.</w:t>
      </w:r>
    </w:p>
    <w:p w14:paraId="194CD84E" w14:textId="5FB65ABD" w:rsidR="004645E2" w:rsidRPr="004645E2" w:rsidRDefault="004645E2" w:rsidP="00CF31F8">
      <w:pPr>
        <w:jc w:val="both"/>
      </w:pPr>
      <w:r w:rsidRPr="004645E2">
        <w:t>2018 saw the rebranding implementation of the ‘one ITU’ visual communications across the ITU- Sectors with templates and the UN blue as the basis for all top-level branding with the Radio Regulations red maintained for the BR Seminars and Workshops.</w:t>
      </w:r>
    </w:p>
    <w:p w14:paraId="3412DEA9" w14:textId="77777777" w:rsidR="004645E2" w:rsidRPr="004645E2" w:rsidRDefault="004645E2" w:rsidP="00CF31F8">
      <w:pPr>
        <w:pStyle w:val="Heading4"/>
        <w:jc w:val="both"/>
      </w:pPr>
      <w:r w:rsidRPr="004645E2">
        <w:t>9.7.2.4</w:t>
      </w:r>
      <w:r w:rsidRPr="004645E2">
        <w:tab/>
        <w:t>Exhibitions and Demos</w:t>
      </w:r>
    </w:p>
    <w:p w14:paraId="4C24A53C" w14:textId="06D6116A" w:rsidR="004645E2" w:rsidRDefault="004645E2" w:rsidP="00CF31F8">
      <w:pPr>
        <w:jc w:val="both"/>
      </w:pPr>
      <w:r w:rsidRPr="004645E2">
        <w:rPr>
          <w:rFonts w:asciiTheme="majorBidi" w:hAnsiTheme="majorBidi" w:cstheme="majorBidi"/>
          <w:szCs w:val="24"/>
        </w:rPr>
        <w:t xml:space="preserve">A </w:t>
      </w:r>
      <w:r w:rsidR="00D810FD">
        <w:rPr>
          <w:rFonts w:asciiTheme="majorBidi" w:hAnsiTheme="majorBidi" w:cstheme="majorBidi"/>
          <w:szCs w:val="24"/>
        </w:rPr>
        <w:t xml:space="preserve">technical </w:t>
      </w:r>
      <w:r w:rsidRPr="004645E2">
        <w:rPr>
          <w:rFonts w:asciiTheme="majorBidi" w:hAnsiTheme="majorBidi" w:cstheme="majorBidi"/>
          <w:szCs w:val="24"/>
        </w:rPr>
        <w:t xml:space="preserve">demonstration </w:t>
      </w:r>
      <w:r w:rsidRPr="004645E2">
        <w:rPr>
          <w:rFonts w:asciiTheme="majorBidi" w:hAnsiTheme="majorBidi" w:cstheme="majorBidi"/>
          <w:color w:val="000000"/>
          <w:szCs w:val="24"/>
          <w:lang w:val="en-US" w:eastAsia="zh-CN"/>
        </w:rPr>
        <w:t xml:space="preserve">was organized during the ITU Satellite Symposium 2018 of three Very Small Aperture Terminals (VSATs) in the Ka band operating with the Eutelsat Ka-Sat satellite, located at 9 degrees </w:t>
      </w:r>
      <w:proofErr w:type="gramStart"/>
      <w:r w:rsidRPr="004645E2">
        <w:rPr>
          <w:rFonts w:asciiTheme="majorBidi" w:hAnsiTheme="majorBidi" w:cstheme="majorBidi"/>
          <w:color w:val="000000"/>
          <w:szCs w:val="24"/>
          <w:lang w:val="en-US" w:eastAsia="zh-CN"/>
        </w:rPr>
        <w:t>East</w:t>
      </w:r>
      <w:proofErr w:type="gramEnd"/>
      <w:r w:rsidRPr="004645E2">
        <w:rPr>
          <w:rFonts w:asciiTheme="majorBidi" w:hAnsiTheme="majorBidi" w:cstheme="majorBidi"/>
          <w:color w:val="000000"/>
          <w:szCs w:val="24"/>
          <w:lang w:val="en-US" w:eastAsia="zh-CN"/>
        </w:rPr>
        <w:t xml:space="preserve">. An </w:t>
      </w:r>
      <w:hyperlink r:id="rId41" w:history="1">
        <w:r w:rsidRPr="004645E2">
          <w:rPr>
            <w:rStyle w:val="Hyperlink"/>
            <w:rFonts w:asciiTheme="majorBidi" w:hAnsiTheme="majorBidi" w:cstheme="majorBidi"/>
            <w:szCs w:val="24"/>
            <w:lang w:val="en-US" w:eastAsia="zh-CN"/>
          </w:rPr>
          <w:t>article</w:t>
        </w:r>
      </w:hyperlink>
      <w:r w:rsidRPr="004645E2">
        <w:rPr>
          <w:rFonts w:asciiTheme="majorBidi" w:hAnsiTheme="majorBidi" w:cstheme="majorBidi"/>
          <w:color w:val="000000"/>
          <w:szCs w:val="24"/>
          <w:lang w:val="en-US" w:eastAsia="zh-CN"/>
        </w:rPr>
        <w:t xml:space="preserve"> was issued in the ITU News magazine and an exhibition was organized during the World Radiocommunication Seminar (WRS-18), held at ITU HQ in Geneva, Switzerland.</w:t>
      </w:r>
    </w:p>
    <w:p w14:paraId="34E3CEB5" w14:textId="77777777" w:rsidR="004645E2" w:rsidRPr="004645E2" w:rsidRDefault="004645E2" w:rsidP="004645E2"/>
    <w:p w14:paraId="24997C10" w14:textId="77777777" w:rsidR="0015513D" w:rsidRPr="002203AA" w:rsidRDefault="0015513D" w:rsidP="0015513D">
      <w:pPr>
        <w:jc w:val="both"/>
        <w:rPr>
          <w:lang w:val="en-US"/>
        </w:rPr>
      </w:pPr>
    </w:p>
    <w:p w14:paraId="617E1B8C" w14:textId="77777777" w:rsidR="00E049DC" w:rsidRDefault="00E049DC" w:rsidP="0015513D">
      <w:pPr>
        <w:sectPr w:rsidR="00E049DC" w:rsidSect="004A6500">
          <w:pgSz w:w="11907" w:h="16834"/>
          <w:pgMar w:top="1418" w:right="1134" w:bottom="1418" w:left="1134" w:header="720" w:footer="720" w:gutter="0"/>
          <w:paperSrc w:first="15" w:other="15"/>
          <w:cols w:space="720"/>
          <w:docGrid w:linePitch="326"/>
        </w:sectPr>
      </w:pPr>
    </w:p>
    <w:p w14:paraId="2F392870" w14:textId="4BA9B599" w:rsidR="0015513D" w:rsidRDefault="00E049DC" w:rsidP="009421D9">
      <w:pPr>
        <w:pStyle w:val="AnnexNo"/>
      </w:pPr>
      <w:r>
        <w:lastRenderedPageBreak/>
        <w:t>Annex 1</w:t>
      </w:r>
    </w:p>
    <w:p w14:paraId="2291BA6D" w14:textId="4E94FE79" w:rsidR="00E049DC" w:rsidRDefault="00E049DC" w:rsidP="009421D9">
      <w:pPr>
        <w:pStyle w:val="Annextitle"/>
      </w:pPr>
      <w:r>
        <w:t>BR Space Information Systems Progress Report</w:t>
      </w:r>
    </w:p>
    <w:tbl>
      <w:tblPr>
        <w:tblStyle w:val="TableGrid"/>
        <w:tblW w:w="0" w:type="auto"/>
        <w:tblLook w:val="04A0" w:firstRow="1" w:lastRow="0" w:firstColumn="1" w:lastColumn="0" w:noHBand="0" w:noVBand="1"/>
      </w:tblPr>
      <w:tblGrid>
        <w:gridCol w:w="9350"/>
      </w:tblGrid>
      <w:tr w:rsidR="00E049DC" w14:paraId="5A06BEAC" w14:textId="77777777" w:rsidTr="00E049DC">
        <w:tc>
          <w:tcPr>
            <w:tcW w:w="9350" w:type="dxa"/>
          </w:tcPr>
          <w:p w14:paraId="115737DC" w14:textId="77777777" w:rsidR="00E049DC" w:rsidRPr="00CB523B" w:rsidRDefault="00E049DC" w:rsidP="00E049DC">
            <w:pPr>
              <w:rPr>
                <w:b/>
                <w:bCs/>
              </w:rPr>
            </w:pPr>
            <w:r w:rsidRPr="00CB523B">
              <w:rPr>
                <w:b/>
                <w:bCs/>
              </w:rPr>
              <w:t>Phase 2: 1 April 2012 – 31 December 2015</w:t>
            </w:r>
          </w:p>
        </w:tc>
      </w:tr>
      <w:tr w:rsidR="00E049DC" w14:paraId="4247211D" w14:textId="77777777" w:rsidTr="00E049DC">
        <w:tc>
          <w:tcPr>
            <w:tcW w:w="9350" w:type="dxa"/>
          </w:tcPr>
          <w:p w14:paraId="4FCDBED3" w14:textId="77777777" w:rsidR="00E049DC" w:rsidRPr="00A46CB7" w:rsidRDefault="00E049DC" w:rsidP="00E049DC">
            <w:pPr>
              <w:rPr>
                <w:b/>
              </w:rPr>
            </w:pPr>
            <w:r w:rsidRPr="00A46CB7">
              <w:rPr>
                <w:b/>
              </w:rPr>
              <w:t>Business Continuity and Disaster Recovery*</w:t>
            </w:r>
          </w:p>
          <w:p w14:paraId="231E8589" w14:textId="77777777" w:rsidR="00E049DC" w:rsidRDefault="00E049DC" w:rsidP="00DA23CA">
            <w:pPr>
              <w:tabs>
                <w:tab w:val="left" w:pos="7797"/>
              </w:tabs>
              <w:spacing w:after="120"/>
              <w:jc w:val="both"/>
            </w:pPr>
            <w:r>
              <w:t>In 2018, the ITU set out to establish a global Organizational Resilience Management System with the help of external security consultants. This activity reached its halfway mark at the end of the year, with active participation from all levels of the Bureau, building on the work previously accomplished on establishing business continuity and disaster recovery plans and procedures.</w:t>
            </w:r>
          </w:p>
          <w:p w14:paraId="64F5AD49" w14:textId="77777777" w:rsidR="00E049DC" w:rsidRDefault="00E049DC" w:rsidP="00E049DC">
            <w:pPr>
              <w:tabs>
                <w:tab w:val="left" w:pos="7797"/>
              </w:tabs>
              <w:spacing w:after="120"/>
            </w:pPr>
            <w:r>
              <w:t>*This work applies to both Space and Terrestrial Services</w:t>
            </w:r>
          </w:p>
          <w:p w14:paraId="4005C587" w14:textId="77777777" w:rsidR="00E049DC" w:rsidRPr="00A46CB7" w:rsidRDefault="00E049DC" w:rsidP="00E049DC">
            <w:pPr>
              <w:tabs>
                <w:tab w:val="left" w:pos="7797"/>
              </w:tabs>
              <w:spacing w:after="120"/>
              <w:rPr>
                <w:b/>
              </w:rPr>
            </w:pPr>
            <w:r w:rsidRPr="00A46CB7">
              <w:rPr>
                <w:b/>
              </w:rPr>
              <w:t>Rewrite legacy software for technical examination</w:t>
            </w:r>
          </w:p>
          <w:p w14:paraId="3877971F" w14:textId="77777777" w:rsidR="00E049DC" w:rsidRDefault="00E049DC" w:rsidP="004A6500">
            <w:pPr>
              <w:pStyle w:val="ListParagraph"/>
              <w:numPr>
                <w:ilvl w:val="0"/>
                <w:numId w:val="5"/>
              </w:numPr>
              <w:tabs>
                <w:tab w:val="left" w:pos="7797"/>
              </w:tabs>
              <w:spacing w:before="120" w:after="120" w:line="240" w:lineRule="auto"/>
            </w:pPr>
            <w:r>
              <w:t>Rewrite PFD for protection of terrestrial services calculation: Ongoing</w:t>
            </w:r>
            <w:r>
              <w:br/>
            </w:r>
          </w:p>
          <w:p w14:paraId="5EED5A40" w14:textId="77777777" w:rsidR="00E049DC" w:rsidRDefault="00E049DC" w:rsidP="004A6500">
            <w:pPr>
              <w:pStyle w:val="ListParagraph"/>
              <w:numPr>
                <w:ilvl w:val="0"/>
                <w:numId w:val="5"/>
              </w:numPr>
              <w:tabs>
                <w:tab w:val="left" w:pos="7797"/>
              </w:tabs>
              <w:spacing w:before="120" w:after="120" w:line="240" w:lineRule="auto"/>
            </w:pPr>
            <w:r>
              <w:t>Rewrite AP8 calculation: Internal tests of the new AP8 exam software started in the fourth quarter of 2018. Work is ongoing on a new reporting tool.</w:t>
            </w:r>
            <w:r>
              <w:br/>
            </w:r>
          </w:p>
          <w:p w14:paraId="52AC28DC" w14:textId="77777777" w:rsidR="00E049DC" w:rsidRDefault="00E049DC" w:rsidP="004A6500">
            <w:pPr>
              <w:pStyle w:val="ListParagraph"/>
              <w:numPr>
                <w:ilvl w:val="0"/>
                <w:numId w:val="5"/>
              </w:numPr>
              <w:tabs>
                <w:tab w:val="left" w:pos="7797"/>
              </w:tabs>
              <w:spacing w:before="120" w:after="120" w:line="240" w:lineRule="auto"/>
            </w:pPr>
            <w:r>
              <w:t>Rewrite PFD for protection of space services: Ongoing</w:t>
            </w:r>
            <w:r>
              <w:br/>
            </w:r>
          </w:p>
          <w:p w14:paraId="31A85112" w14:textId="77777777" w:rsidR="00E049DC" w:rsidRDefault="00E049DC" w:rsidP="004A6500">
            <w:pPr>
              <w:pStyle w:val="ListParagraph"/>
              <w:numPr>
                <w:ilvl w:val="0"/>
                <w:numId w:val="5"/>
              </w:numPr>
              <w:tabs>
                <w:tab w:val="left" w:pos="7797"/>
              </w:tabs>
              <w:spacing w:before="120" w:after="120" w:line="240" w:lineRule="auto"/>
            </w:pPr>
            <w:r>
              <w:t>Migrate technical examination software written in Fortran from Compaq Visual Fortran compiler to Intel Fortran compiler</w:t>
            </w:r>
            <w:r>
              <w:br/>
            </w:r>
          </w:p>
          <w:p w14:paraId="213AEE84" w14:textId="77777777" w:rsidR="00E049DC" w:rsidRDefault="00E049DC" w:rsidP="004A6500">
            <w:pPr>
              <w:pStyle w:val="ListParagraph"/>
              <w:numPr>
                <w:ilvl w:val="1"/>
                <w:numId w:val="5"/>
              </w:numPr>
              <w:tabs>
                <w:tab w:val="left" w:pos="7797"/>
              </w:tabs>
              <w:spacing w:before="120" w:after="120" w:line="240" w:lineRule="auto"/>
            </w:pPr>
            <w:r>
              <w:t>GIMS Fortran components: Not yet started</w:t>
            </w:r>
            <w:r>
              <w:br/>
            </w:r>
          </w:p>
          <w:p w14:paraId="6CDD02A9" w14:textId="77777777" w:rsidR="00E049DC" w:rsidRDefault="00E049DC" w:rsidP="004A6500">
            <w:pPr>
              <w:pStyle w:val="ListParagraph"/>
              <w:numPr>
                <w:ilvl w:val="0"/>
                <w:numId w:val="5"/>
              </w:numPr>
              <w:tabs>
                <w:tab w:val="left" w:pos="7797"/>
              </w:tabs>
              <w:spacing w:before="120" w:after="120" w:line="240" w:lineRule="auto"/>
            </w:pPr>
            <w:proofErr w:type="spellStart"/>
            <w:r>
              <w:t>Mspace</w:t>
            </w:r>
            <w:proofErr w:type="spellEnd"/>
            <w:r>
              <w:t xml:space="preserve"> – Migration of Visual Basic 6 components to .NET: Ongoing</w:t>
            </w:r>
            <w:r>
              <w:br/>
            </w:r>
          </w:p>
          <w:p w14:paraId="75BBFCE3" w14:textId="77777777" w:rsidR="00E049DC" w:rsidRPr="00A46CB7" w:rsidRDefault="00E049DC" w:rsidP="00E049DC">
            <w:pPr>
              <w:tabs>
                <w:tab w:val="left" w:pos="7797"/>
              </w:tabs>
              <w:spacing w:after="120"/>
              <w:rPr>
                <w:b/>
              </w:rPr>
            </w:pPr>
            <w:r w:rsidRPr="00A46CB7">
              <w:rPr>
                <w:b/>
              </w:rPr>
              <w:t>Design and develop the BR Space Information System (BR SIS)</w:t>
            </w:r>
          </w:p>
          <w:p w14:paraId="651D6CD8" w14:textId="77777777" w:rsidR="008E7EAE" w:rsidRDefault="00E049DC" w:rsidP="004A6500">
            <w:pPr>
              <w:pStyle w:val="ListParagraph"/>
              <w:numPr>
                <w:ilvl w:val="0"/>
                <w:numId w:val="4"/>
              </w:numPr>
              <w:tabs>
                <w:tab w:val="left" w:pos="7797"/>
              </w:tabs>
              <w:spacing w:before="120" w:after="120" w:line="240" w:lineRule="auto"/>
              <w:jc w:val="both"/>
            </w:pPr>
            <w:r>
              <w:t xml:space="preserve">Rewrite </w:t>
            </w:r>
            <w:proofErr w:type="spellStart"/>
            <w:r>
              <w:t>SpaceVal</w:t>
            </w:r>
            <w:proofErr w:type="spellEnd"/>
            <w:r>
              <w:t xml:space="preserve"> written in Visual Basic 6</w:t>
            </w:r>
          </w:p>
          <w:p w14:paraId="55AFAAE8" w14:textId="77777777" w:rsidR="008E7EAE" w:rsidRPr="008E7EAE" w:rsidRDefault="008E7EAE" w:rsidP="008E7EAE">
            <w:pPr>
              <w:tabs>
                <w:tab w:val="left" w:pos="7797"/>
              </w:tabs>
              <w:spacing w:before="0"/>
              <w:jc w:val="both"/>
              <w:rPr>
                <w:sz w:val="12"/>
                <w:szCs w:val="12"/>
              </w:rPr>
            </w:pPr>
          </w:p>
          <w:p w14:paraId="47E17518" w14:textId="2C2D21A7" w:rsidR="00E049DC" w:rsidRDefault="008E7EAE" w:rsidP="008E7EAE">
            <w:pPr>
              <w:tabs>
                <w:tab w:val="left" w:pos="7797"/>
              </w:tabs>
              <w:spacing w:before="0" w:after="120"/>
              <w:ind w:left="714" w:hanging="357"/>
              <w:jc w:val="both"/>
            </w:pPr>
            <w:r>
              <w:tab/>
            </w:r>
            <w:r w:rsidR="00E049DC">
              <w:t xml:space="preserve">A beta version of the new BR-SIS Validation was presented at WRS-18. The rewrite of </w:t>
            </w:r>
            <w:proofErr w:type="spellStart"/>
            <w:r w:rsidR="00E049DC">
              <w:t>SpaceVal</w:t>
            </w:r>
            <w:proofErr w:type="spellEnd"/>
            <w:r w:rsidR="00E049DC">
              <w:t xml:space="preserve"> involved automating 2000 test cases and automating the comparison of validation results from the old and the new application, taking into account the hundreds of improvements that were implemented during the migration. The production version of BR-SIS Validation is expected</w:t>
            </w:r>
            <w:r w:rsidR="00DA23CA">
              <w:t xml:space="preserve"> in the second quarter of 2019.</w:t>
            </w:r>
          </w:p>
          <w:p w14:paraId="78AECE11" w14:textId="77777777" w:rsidR="00DA23CA" w:rsidRDefault="00DA23CA" w:rsidP="00DA23CA">
            <w:pPr>
              <w:pStyle w:val="ListParagraph"/>
              <w:tabs>
                <w:tab w:val="left" w:pos="7797"/>
              </w:tabs>
              <w:spacing w:before="120" w:after="120" w:line="240" w:lineRule="auto"/>
              <w:jc w:val="both"/>
            </w:pPr>
          </w:p>
          <w:p w14:paraId="2F55F176" w14:textId="77777777" w:rsidR="00E049DC" w:rsidRDefault="00E049DC" w:rsidP="004A6500">
            <w:pPr>
              <w:pStyle w:val="ListParagraph"/>
              <w:numPr>
                <w:ilvl w:val="0"/>
                <w:numId w:val="4"/>
              </w:numPr>
              <w:tabs>
                <w:tab w:val="left" w:pos="7797"/>
              </w:tabs>
              <w:spacing w:before="120" w:after="120" w:line="240" w:lineRule="auto"/>
            </w:pPr>
            <w:r>
              <w:t xml:space="preserve">Rewrite </w:t>
            </w:r>
            <w:proofErr w:type="spellStart"/>
            <w:r>
              <w:t>SpaceCap</w:t>
            </w:r>
            <w:proofErr w:type="spellEnd"/>
            <w:r>
              <w:t xml:space="preserve"> written in Visual Basic 6</w:t>
            </w:r>
            <w:r>
              <w:br/>
            </w:r>
            <w:r>
              <w:br/>
              <w:t xml:space="preserve">Integration of </w:t>
            </w:r>
            <w:proofErr w:type="spellStart"/>
            <w:r>
              <w:t>SpaceCap</w:t>
            </w:r>
            <w:proofErr w:type="spellEnd"/>
            <w:r>
              <w:t xml:space="preserve"> into BR-SIS has started and will be achieved by integrating one type of notice at a time.</w:t>
            </w:r>
            <w:r>
              <w:br/>
            </w:r>
          </w:p>
          <w:p w14:paraId="6116623A" w14:textId="77777777" w:rsidR="00DA23CA" w:rsidRDefault="00E049DC" w:rsidP="004A6500">
            <w:pPr>
              <w:pStyle w:val="ListParagraph"/>
              <w:numPr>
                <w:ilvl w:val="0"/>
                <w:numId w:val="4"/>
              </w:numPr>
              <w:tabs>
                <w:tab w:val="left" w:pos="7797"/>
              </w:tabs>
              <w:spacing w:before="120" w:after="120" w:line="240" w:lineRule="auto"/>
              <w:jc w:val="both"/>
            </w:pPr>
            <w:r>
              <w:t>Migrate SR</w:t>
            </w:r>
            <w:r w:rsidR="00DA23CA">
              <w:t>S MDB to more modern technology</w:t>
            </w:r>
          </w:p>
          <w:p w14:paraId="4B5EB3F0" w14:textId="5E09BBF6" w:rsidR="00DA23CA" w:rsidRDefault="00DA23CA" w:rsidP="00DA23CA">
            <w:pPr>
              <w:tabs>
                <w:tab w:val="clear" w:pos="794"/>
                <w:tab w:val="left" w:pos="7797"/>
              </w:tabs>
              <w:spacing w:after="120"/>
              <w:ind w:left="714" w:hanging="357"/>
              <w:jc w:val="both"/>
            </w:pPr>
            <w:r>
              <w:tab/>
            </w:r>
            <w:r w:rsidR="00E049DC">
              <w:t>The continued work on implementing WRC-15 decisions and other higher-priority issues precluded the introduction of SQLite in 2018. SQLite databases for testing will be made available to external users in Q1 of 2019, and the applications shipped on the BR IFIC DVD will be SQLite-compatible at the latest as of version 9 of the SNS database, which will implement WRC-19 decisions.</w:t>
            </w:r>
          </w:p>
          <w:p w14:paraId="40ACC399" w14:textId="77777777" w:rsidR="00DA23CA" w:rsidRDefault="00E049DC" w:rsidP="00DA23CA">
            <w:pPr>
              <w:tabs>
                <w:tab w:val="clear" w:pos="794"/>
                <w:tab w:val="left" w:pos="7797"/>
              </w:tabs>
              <w:spacing w:after="120"/>
              <w:ind w:left="714" w:hanging="357"/>
              <w:jc w:val="both"/>
            </w:pPr>
            <w:r>
              <w:br/>
              <w:t xml:space="preserve">Backward compatibility of BR Space Software with the MDB format, as well as </w:t>
            </w:r>
            <w:r>
              <w:lastRenderedPageBreak/>
              <w:t>conversion tools, will be retained for the foreseeable future, to allow external users sufficient time to adopt the new technology.</w:t>
            </w:r>
          </w:p>
          <w:p w14:paraId="0F1D0A3F" w14:textId="15767B9A" w:rsidR="00E049DC" w:rsidRDefault="00E049DC" w:rsidP="00DA23CA">
            <w:pPr>
              <w:tabs>
                <w:tab w:val="clear" w:pos="794"/>
                <w:tab w:val="left" w:pos="7797"/>
              </w:tabs>
              <w:spacing w:after="120"/>
              <w:ind w:left="714" w:hanging="357"/>
              <w:jc w:val="both"/>
            </w:pPr>
          </w:p>
          <w:p w14:paraId="7D707D29" w14:textId="77777777" w:rsidR="00DA23CA" w:rsidRDefault="00E049DC" w:rsidP="004A6500">
            <w:pPr>
              <w:pStyle w:val="ListParagraph"/>
              <w:numPr>
                <w:ilvl w:val="0"/>
                <w:numId w:val="4"/>
              </w:numPr>
              <w:tabs>
                <w:tab w:val="left" w:pos="7797"/>
              </w:tabs>
              <w:spacing w:before="120" w:after="120" w:line="240" w:lineRule="auto"/>
              <w:jc w:val="both"/>
            </w:pPr>
            <w:r>
              <w:t>Migrate SNS database on Ingres to SQL Server</w:t>
            </w:r>
          </w:p>
          <w:p w14:paraId="4C128C23" w14:textId="77777777" w:rsidR="00DA23CA" w:rsidRPr="008E7EAE" w:rsidRDefault="00DA23CA" w:rsidP="008E7EAE">
            <w:pPr>
              <w:pStyle w:val="ListParagraph"/>
              <w:tabs>
                <w:tab w:val="left" w:pos="7797"/>
              </w:tabs>
              <w:spacing w:after="0" w:line="240" w:lineRule="auto"/>
              <w:jc w:val="both"/>
              <w:rPr>
                <w:sz w:val="12"/>
                <w:szCs w:val="12"/>
              </w:rPr>
            </w:pPr>
          </w:p>
          <w:p w14:paraId="681EC636" w14:textId="7E96FBE5" w:rsidR="00E049DC" w:rsidRDefault="00E049DC" w:rsidP="00DA23CA">
            <w:pPr>
              <w:pStyle w:val="ListParagraph"/>
              <w:tabs>
                <w:tab w:val="left" w:pos="7797"/>
              </w:tabs>
              <w:spacing w:before="120" w:after="120" w:line="240" w:lineRule="auto"/>
              <w:jc w:val="both"/>
            </w:pPr>
            <w:r>
              <w:t xml:space="preserve">The migration of Ingres-environment specific internal processing applications continued in 2018. The remaining internal processing applications shall be rewritten or adapted in 2019. </w:t>
            </w:r>
            <w:r>
              <w:br/>
            </w:r>
            <w:r>
              <w:br/>
            </w:r>
            <w:r w:rsidRPr="00FF3F99">
              <w:t xml:space="preserve">The future version of SNS Online, to be developed to satisfy resolves 4 of Resolution 186 (Rev. PP-18 Dubai), will run on </w:t>
            </w:r>
            <w:r>
              <w:t xml:space="preserve">the </w:t>
            </w:r>
            <w:r w:rsidRPr="00FF3F99">
              <w:t xml:space="preserve">SQL Server </w:t>
            </w:r>
            <w:r>
              <w:t xml:space="preserve">database </w:t>
            </w:r>
            <w:r w:rsidRPr="00FF3F99">
              <w:t xml:space="preserve">and </w:t>
            </w:r>
            <w:r>
              <w:t>be built on</w:t>
            </w:r>
            <w:r w:rsidRPr="00FF3F99">
              <w:t xml:space="preserve"> ASP.NET MVC technology, which has been used for e-Submissions and SIRRS.</w:t>
            </w:r>
            <w:r>
              <w:br/>
            </w:r>
          </w:p>
          <w:p w14:paraId="014A7097" w14:textId="77777777" w:rsidR="00DA23CA" w:rsidRPr="008E7EAE" w:rsidRDefault="00E049DC" w:rsidP="004A6500">
            <w:pPr>
              <w:pStyle w:val="ListParagraph"/>
              <w:numPr>
                <w:ilvl w:val="0"/>
                <w:numId w:val="4"/>
              </w:numPr>
              <w:tabs>
                <w:tab w:val="left" w:pos="7797"/>
              </w:tabs>
              <w:spacing w:after="0" w:line="240" w:lineRule="auto"/>
              <w:ind w:left="714" w:hanging="357"/>
              <w:rPr>
                <w:sz w:val="12"/>
                <w:szCs w:val="12"/>
              </w:rPr>
            </w:pPr>
            <w:r>
              <w:t xml:space="preserve">Review </w:t>
            </w:r>
            <w:proofErr w:type="spellStart"/>
            <w:r>
              <w:t>SNTrack</w:t>
            </w:r>
            <w:proofErr w:type="spellEnd"/>
            <w:r>
              <w:br/>
            </w:r>
          </w:p>
          <w:p w14:paraId="7FA6EFB6" w14:textId="6B71CAEE" w:rsidR="00E049DC" w:rsidRDefault="00DA23CA" w:rsidP="00DA23CA">
            <w:pPr>
              <w:tabs>
                <w:tab w:val="left" w:pos="7797"/>
              </w:tabs>
              <w:spacing w:after="120"/>
              <w:ind w:left="714" w:hanging="357"/>
            </w:pPr>
            <w:r>
              <w:tab/>
            </w:r>
            <w:proofErr w:type="spellStart"/>
            <w:r w:rsidR="00E049DC">
              <w:t>SNTrack</w:t>
            </w:r>
            <w:proofErr w:type="spellEnd"/>
            <w:r w:rsidR="00E049DC">
              <w:t xml:space="preserve"> will be replaced by a Space Management Information System in 2019, to complete the back office functionality of the e-Submissions system.</w:t>
            </w:r>
          </w:p>
        </w:tc>
      </w:tr>
      <w:tr w:rsidR="00E049DC" w14:paraId="2824DCC2" w14:textId="77777777" w:rsidTr="00E049DC">
        <w:tc>
          <w:tcPr>
            <w:tcW w:w="9350" w:type="dxa"/>
          </w:tcPr>
          <w:p w14:paraId="3DCE2316" w14:textId="77777777" w:rsidR="00E049DC" w:rsidRPr="008E7EAE" w:rsidRDefault="00E049DC" w:rsidP="00E049DC">
            <w:pPr>
              <w:tabs>
                <w:tab w:val="left" w:pos="7797"/>
              </w:tabs>
              <w:spacing w:after="120"/>
              <w:rPr>
                <w:b/>
                <w:bCs/>
              </w:rPr>
            </w:pPr>
            <w:r w:rsidRPr="008E7EAE">
              <w:rPr>
                <w:b/>
                <w:bCs/>
              </w:rPr>
              <w:lastRenderedPageBreak/>
              <w:t>Phase 3: 1 January 2016 – 31 December 2018</w:t>
            </w:r>
          </w:p>
        </w:tc>
      </w:tr>
      <w:tr w:rsidR="00E049DC" w14:paraId="54A603E5" w14:textId="77777777" w:rsidTr="00E049DC">
        <w:tc>
          <w:tcPr>
            <w:tcW w:w="9350" w:type="dxa"/>
          </w:tcPr>
          <w:p w14:paraId="2935C92F" w14:textId="77777777" w:rsidR="00E049DC" w:rsidRDefault="00E049DC" w:rsidP="00E049DC">
            <w:pPr>
              <w:tabs>
                <w:tab w:val="left" w:pos="7797"/>
              </w:tabs>
              <w:spacing w:after="120"/>
            </w:pPr>
            <w:r>
              <w:t>The main themes of Phase 3 are:</w:t>
            </w:r>
          </w:p>
          <w:p w14:paraId="0F73C73A" w14:textId="77777777" w:rsidR="00E049DC" w:rsidRDefault="00E049DC" w:rsidP="00E049DC">
            <w:pPr>
              <w:tabs>
                <w:tab w:val="left" w:pos="7797"/>
              </w:tabs>
              <w:spacing w:after="120"/>
            </w:pPr>
            <w:r>
              <w:t>• Design common conceptual database for terrestrial and space.</w:t>
            </w:r>
          </w:p>
          <w:p w14:paraId="67AEA38E" w14:textId="77777777" w:rsidR="00E049DC" w:rsidRDefault="00E049DC" w:rsidP="00E049DC">
            <w:pPr>
              <w:tabs>
                <w:tab w:val="left" w:pos="7797"/>
              </w:tabs>
              <w:spacing w:after="120"/>
            </w:pPr>
            <w:r>
              <w:t>• Define standard application framework for Space and Terrestrial Systems including Maritime System (MARS) based on ITU maritime databases.</w:t>
            </w:r>
          </w:p>
          <w:p w14:paraId="31C57439" w14:textId="77777777" w:rsidR="00E049DC" w:rsidRDefault="00E049DC" w:rsidP="00E049DC">
            <w:pPr>
              <w:tabs>
                <w:tab w:val="left" w:pos="7797"/>
              </w:tabs>
              <w:spacing w:after="120"/>
            </w:pPr>
            <w:r>
              <w:t>• Redesign Space System – (apply Service Oriented Architecture).</w:t>
            </w:r>
          </w:p>
          <w:p w14:paraId="7F088F49" w14:textId="77777777" w:rsidR="00E049DC" w:rsidRDefault="00E049DC" w:rsidP="00E049DC">
            <w:pPr>
              <w:tabs>
                <w:tab w:val="left" w:pos="7797"/>
              </w:tabs>
              <w:spacing w:after="120"/>
            </w:pPr>
            <w:r>
              <w:t>• Consider centralized risk, recovery and security management</w:t>
            </w:r>
          </w:p>
          <w:p w14:paraId="066DE8E5" w14:textId="77777777" w:rsidR="00E049DC" w:rsidRDefault="00E049DC" w:rsidP="00E049DC">
            <w:pPr>
              <w:tabs>
                <w:tab w:val="left" w:pos="7797"/>
              </w:tabs>
              <w:spacing w:after="120"/>
            </w:pPr>
            <w:r>
              <w:t>The work done during the previous phases, as well as the design and technology choices made, are all an excellent foundation for successful completion of Phase 3, as follows:</w:t>
            </w:r>
          </w:p>
          <w:p w14:paraId="418C58F5" w14:textId="77777777" w:rsidR="00E049DC" w:rsidRDefault="00E049DC" w:rsidP="004A6500">
            <w:pPr>
              <w:pStyle w:val="ListParagraph"/>
              <w:numPr>
                <w:ilvl w:val="0"/>
                <w:numId w:val="6"/>
              </w:numPr>
              <w:tabs>
                <w:tab w:val="left" w:pos="7797"/>
              </w:tabs>
              <w:spacing w:before="120" w:after="120" w:line="240" w:lineRule="auto"/>
            </w:pPr>
            <w:r>
              <w:t>The Space databases shall be migrated to the SQL Server platform by the end of 2019.</w:t>
            </w:r>
            <w:r>
              <w:br/>
            </w:r>
          </w:p>
          <w:p w14:paraId="0782EA46" w14:textId="77777777" w:rsidR="00DA23CA" w:rsidRDefault="00E049DC" w:rsidP="004A6500">
            <w:pPr>
              <w:pStyle w:val="ListParagraph"/>
              <w:numPr>
                <w:ilvl w:val="0"/>
                <w:numId w:val="6"/>
              </w:numPr>
              <w:tabs>
                <w:tab w:val="left" w:pos="7797"/>
              </w:tabs>
              <w:spacing w:before="120" w:after="120" w:line="240" w:lineRule="auto"/>
              <w:jc w:val="both"/>
            </w:pPr>
            <w:r>
              <w:t>A schema redesign, preserving equivalence of data, but with the objective to eliminate certain redundancies and to align with a common Space/Terrestrial approach, would be rolled out together with the changes needed for the implementation of WRC-19 decisions.</w:t>
            </w:r>
          </w:p>
          <w:p w14:paraId="2BF133C8" w14:textId="77777777" w:rsidR="008E7EAE" w:rsidRDefault="008E7EAE" w:rsidP="008E7EAE">
            <w:pPr>
              <w:pStyle w:val="ListParagraph"/>
              <w:tabs>
                <w:tab w:val="left" w:pos="7797"/>
              </w:tabs>
              <w:spacing w:before="120" w:after="120" w:line="240" w:lineRule="auto"/>
              <w:ind w:left="1080"/>
            </w:pPr>
          </w:p>
          <w:p w14:paraId="16B49997" w14:textId="77777777" w:rsidR="008E7EAE" w:rsidRDefault="00E049DC" w:rsidP="004A6500">
            <w:pPr>
              <w:pStyle w:val="ListParagraph"/>
              <w:numPr>
                <w:ilvl w:val="0"/>
                <w:numId w:val="6"/>
              </w:numPr>
              <w:tabs>
                <w:tab w:val="left" w:pos="7797"/>
              </w:tabs>
              <w:spacing w:before="120" w:after="120" w:line="240" w:lineRule="auto"/>
              <w:jc w:val="both"/>
            </w:pPr>
            <w:r>
              <w:t>The desktop application frameworks for the Terrestrial System, the Space System and MARS have traditionally been quite different, and may continue to be so for the time being. The need to standardize on one framework diminishes as more and more functionality is offered through web applications.</w:t>
            </w:r>
          </w:p>
          <w:p w14:paraId="07EB53BE" w14:textId="77777777" w:rsidR="008E7EAE" w:rsidRDefault="008E7EAE" w:rsidP="008E7EAE">
            <w:pPr>
              <w:pStyle w:val="ListParagraph"/>
              <w:spacing w:after="0" w:line="240" w:lineRule="auto"/>
            </w:pPr>
          </w:p>
          <w:p w14:paraId="02470EF9" w14:textId="77777777" w:rsidR="008E7EAE" w:rsidRDefault="00E049DC" w:rsidP="004A6500">
            <w:pPr>
              <w:pStyle w:val="ListParagraph"/>
              <w:numPr>
                <w:ilvl w:val="0"/>
                <w:numId w:val="6"/>
              </w:numPr>
              <w:tabs>
                <w:tab w:val="left" w:pos="7797"/>
              </w:tabs>
              <w:spacing w:before="120" w:after="120" w:line="240" w:lineRule="auto"/>
              <w:jc w:val="both"/>
            </w:pPr>
            <w:r>
              <w:t>The standard web application framework used for new development (e.g. SIRRS, e-Submissions) and for the redesign of existing Space System web applications (SNS Online) shall be ASP.NET MVC, which is also endorsed and supported by the IS department and is the web application framework on which the MARS project has been re-implemented.</w:t>
            </w:r>
          </w:p>
          <w:p w14:paraId="1C353D3F" w14:textId="77777777" w:rsidR="008E7EAE" w:rsidRDefault="008E7EAE" w:rsidP="008E7EAE">
            <w:pPr>
              <w:pStyle w:val="ListParagraph"/>
              <w:spacing w:after="0" w:line="240" w:lineRule="auto"/>
            </w:pPr>
          </w:p>
          <w:p w14:paraId="3AC8537D" w14:textId="77777777" w:rsidR="008E7EAE" w:rsidRDefault="00E049DC" w:rsidP="004A6500">
            <w:pPr>
              <w:pStyle w:val="ListParagraph"/>
              <w:numPr>
                <w:ilvl w:val="0"/>
                <w:numId w:val="6"/>
              </w:numPr>
              <w:tabs>
                <w:tab w:val="left" w:pos="7797"/>
              </w:tabs>
              <w:spacing w:before="120" w:after="120" w:line="240" w:lineRule="auto"/>
              <w:jc w:val="both"/>
            </w:pPr>
            <w:r>
              <w:t xml:space="preserve">The adoption of the .Net platform and the Prism design architecture will make it easier to transition from desktop applications to web applications, knowing that the </w:t>
            </w:r>
            <w:r>
              <w:lastRenderedPageBreak/>
              <w:t>preferred web application development framework is based on the same core technology and programming language.</w:t>
            </w:r>
          </w:p>
          <w:p w14:paraId="48A1ABD2" w14:textId="0642B97C" w:rsidR="00E049DC" w:rsidRDefault="00E049DC" w:rsidP="008E7EAE">
            <w:pPr>
              <w:tabs>
                <w:tab w:val="left" w:pos="7797"/>
              </w:tabs>
              <w:overflowPunct/>
              <w:autoSpaceDE/>
              <w:autoSpaceDN/>
              <w:adjustRightInd/>
              <w:spacing w:before="0"/>
              <w:ind w:left="720"/>
              <w:contextualSpacing/>
              <w:textAlignment w:val="auto"/>
            </w:pPr>
          </w:p>
          <w:p w14:paraId="7D495FF7" w14:textId="77777777" w:rsidR="00E049DC" w:rsidRDefault="00E049DC" w:rsidP="004A6500">
            <w:pPr>
              <w:pStyle w:val="ListParagraph"/>
              <w:numPr>
                <w:ilvl w:val="0"/>
                <w:numId w:val="6"/>
              </w:numPr>
              <w:tabs>
                <w:tab w:val="left" w:pos="7797"/>
              </w:tabs>
              <w:spacing w:before="120" w:after="120" w:line="240" w:lineRule="auto"/>
              <w:jc w:val="both"/>
            </w:pPr>
            <w:r>
              <w:t>Activities on centralizing and streamlining risk, recovery and security management are on-going.</w:t>
            </w:r>
          </w:p>
          <w:p w14:paraId="02F38E48" w14:textId="77777777" w:rsidR="00E049DC" w:rsidRDefault="00E049DC" w:rsidP="00E049DC">
            <w:pPr>
              <w:tabs>
                <w:tab w:val="left" w:pos="7797"/>
              </w:tabs>
              <w:spacing w:after="120"/>
            </w:pPr>
          </w:p>
        </w:tc>
      </w:tr>
    </w:tbl>
    <w:p w14:paraId="7D0537B9" w14:textId="4F9CCF74" w:rsidR="00A177CF" w:rsidRDefault="00A177CF" w:rsidP="005D0F41"/>
    <w:p w14:paraId="52CD5059" w14:textId="29903F59" w:rsidR="009421D9" w:rsidRDefault="009421D9" w:rsidP="009421D9">
      <w:pPr>
        <w:jc w:val="center"/>
      </w:pPr>
      <w:r>
        <w:t>_____________</w:t>
      </w:r>
    </w:p>
    <w:sectPr w:rsidR="009421D9" w:rsidSect="009421D9">
      <w:headerReference w:type="first" r:id="rId42"/>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3CAC5" w14:textId="77777777" w:rsidR="00883AB6" w:rsidRDefault="00883AB6">
      <w:r>
        <w:separator/>
      </w:r>
    </w:p>
  </w:endnote>
  <w:endnote w:type="continuationSeparator" w:id="0">
    <w:p w14:paraId="2A32508E" w14:textId="77777777" w:rsidR="00883AB6" w:rsidRDefault="00883AB6">
      <w:r>
        <w:continuationSeparator/>
      </w:r>
    </w:p>
  </w:endnote>
  <w:endnote w:type="continuationNotice" w:id="1">
    <w:p w14:paraId="7BC96D7C" w14:textId="77777777" w:rsidR="00883AB6" w:rsidRDefault="00883A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EC0E" w14:textId="305FCB59" w:rsidR="00431205" w:rsidRPr="00874EFB" w:rsidRDefault="00431205" w:rsidP="001C1DB7">
    <w:pPr>
      <w:pStyle w:val="Footer"/>
      <w:jc w:val="center"/>
      <w:rPr>
        <w:rFonts w:asciiTheme="minorHAnsi" w:hAnsiTheme="minorHAnsi"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D410" w14:textId="7668128E" w:rsidR="00431205" w:rsidRDefault="00431205" w:rsidP="00874E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9D2C7" w14:textId="77777777" w:rsidR="00883AB6" w:rsidRDefault="00883AB6">
      <w:r>
        <w:t>____________________</w:t>
      </w:r>
    </w:p>
  </w:footnote>
  <w:footnote w:type="continuationSeparator" w:id="0">
    <w:p w14:paraId="765F4B11" w14:textId="77777777" w:rsidR="00883AB6" w:rsidRDefault="00883AB6">
      <w:r>
        <w:continuationSeparator/>
      </w:r>
    </w:p>
  </w:footnote>
  <w:footnote w:type="continuationNotice" w:id="1">
    <w:p w14:paraId="7F4CB376" w14:textId="77777777" w:rsidR="00883AB6" w:rsidRDefault="00883AB6">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145047"/>
      <w:docPartObj>
        <w:docPartGallery w:val="Page Numbers (Top of Page)"/>
        <w:docPartUnique/>
      </w:docPartObj>
    </w:sdtPr>
    <w:sdtEndPr>
      <w:rPr>
        <w:rFonts w:asciiTheme="majorBidi" w:hAnsiTheme="majorBidi" w:cstheme="majorBidi"/>
        <w:noProof/>
        <w:szCs w:val="18"/>
      </w:rPr>
    </w:sdtEndPr>
    <w:sdtContent>
      <w:p w14:paraId="538A0DEE" w14:textId="692DEDC4" w:rsidR="00431205" w:rsidRPr="00DB2FBF" w:rsidRDefault="00431205">
        <w:pPr>
          <w:pStyle w:val="Header"/>
          <w:rPr>
            <w:rFonts w:asciiTheme="majorBidi" w:hAnsiTheme="majorBidi" w:cstheme="majorBidi"/>
            <w:szCs w:val="18"/>
          </w:rPr>
        </w:pPr>
        <w:r w:rsidRPr="00DB2FBF">
          <w:rPr>
            <w:rFonts w:asciiTheme="majorBidi" w:hAnsiTheme="majorBidi" w:cstheme="majorBidi"/>
            <w:szCs w:val="18"/>
          </w:rPr>
          <w:fldChar w:fldCharType="begin"/>
        </w:r>
        <w:r w:rsidRPr="00DB2FBF">
          <w:rPr>
            <w:rFonts w:asciiTheme="majorBidi" w:hAnsiTheme="majorBidi" w:cstheme="majorBidi"/>
            <w:szCs w:val="18"/>
          </w:rPr>
          <w:instrText xml:space="preserve"> PAGE   \* MERGEFORMAT </w:instrText>
        </w:r>
        <w:r w:rsidRPr="00DB2FBF">
          <w:rPr>
            <w:rFonts w:asciiTheme="majorBidi" w:hAnsiTheme="majorBidi" w:cstheme="majorBidi"/>
            <w:szCs w:val="18"/>
          </w:rPr>
          <w:fldChar w:fldCharType="separate"/>
        </w:r>
        <w:r w:rsidR="009421D9">
          <w:rPr>
            <w:rFonts w:asciiTheme="majorBidi" w:hAnsiTheme="majorBidi" w:cstheme="majorBidi"/>
            <w:noProof/>
            <w:szCs w:val="18"/>
          </w:rPr>
          <w:t>22</w:t>
        </w:r>
        <w:r w:rsidRPr="00DB2FBF">
          <w:rPr>
            <w:rFonts w:asciiTheme="majorBidi" w:hAnsiTheme="majorBidi" w:cstheme="majorBidi"/>
            <w:noProof/>
            <w:szCs w:val="18"/>
          </w:rPr>
          <w:fldChar w:fldCharType="end"/>
        </w:r>
      </w:p>
    </w:sdtContent>
  </w:sdt>
  <w:p w14:paraId="1DBEA297" w14:textId="47CD10C8" w:rsidR="00431205" w:rsidRPr="00DB2FBF" w:rsidRDefault="00431205" w:rsidP="004A6500">
    <w:pPr>
      <w:pStyle w:val="Header"/>
      <w:rPr>
        <w:rFonts w:asciiTheme="majorBidi" w:hAnsiTheme="majorBidi" w:cstheme="majorBidi"/>
        <w:szCs w:val="18"/>
        <w:lang w:val="es-ES"/>
      </w:rPr>
    </w:pPr>
    <w:r w:rsidRPr="00DB2FBF">
      <w:rPr>
        <w:rFonts w:asciiTheme="majorBidi" w:hAnsiTheme="majorBidi" w:cstheme="majorBidi"/>
        <w:szCs w:val="18"/>
        <w:lang w:val="es-ES"/>
      </w:rPr>
      <w:t>RAG19/</w:t>
    </w:r>
    <w:r>
      <w:rPr>
        <w:rFonts w:asciiTheme="majorBidi" w:hAnsiTheme="majorBidi" w:cstheme="majorBidi"/>
        <w:szCs w:val="18"/>
        <w:lang w:val="es-ES"/>
      </w:rPr>
      <w:t>1</w:t>
    </w:r>
    <w:r w:rsidRPr="00DB2FBF">
      <w:rPr>
        <w:rFonts w:asciiTheme="majorBidi" w:hAnsiTheme="majorBidi" w:cstheme="majorBidi"/>
        <w:szCs w:val="18"/>
        <w:lang w:val="es-E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765C" w14:textId="77777777" w:rsidR="00431205" w:rsidRDefault="00431205" w:rsidP="004A6500">
    <w:pPr>
      <w:pStyle w:val="Header"/>
      <w:rPr>
        <w:rFonts w:asciiTheme="majorBidi" w:hAnsiTheme="majorBidi" w:cstheme="majorBidi"/>
        <w:szCs w:val="18"/>
        <w:lang w:val="es-ES"/>
      </w:rPr>
    </w:pPr>
  </w:p>
  <w:p w14:paraId="61467A80" w14:textId="77777777" w:rsidR="00431205" w:rsidRPr="00DB2FBF" w:rsidRDefault="00431205" w:rsidP="004A6500">
    <w:pPr>
      <w:pStyle w:val="Header"/>
      <w:rPr>
        <w:rFonts w:asciiTheme="majorBidi" w:hAnsiTheme="majorBidi" w:cstheme="majorBidi"/>
        <w:szCs w:val="18"/>
        <w:lang w:val="es-ES"/>
      </w:rPr>
    </w:pPr>
    <w:r w:rsidRPr="00DB2FBF">
      <w:rPr>
        <w:rFonts w:asciiTheme="majorBidi" w:hAnsiTheme="majorBidi" w:cstheme="majorBidi"/>
        <w:szCs w:val="18"/>
        <w:lang w:val="es-ES"/>
      </w:rPr>
      <w:t>RAG19/2-E</w:t>
    </w:r>
  </w:p>
  <w:p w14:paraId="282CE8B7" w14:textId="77777777" w:rsidR="00431205" w:rsidRDefault="00431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FFE"/>
    <w:multiLevelType w:val="hybridMultilevel"/>
    <w:tmpl w:val="DDD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62EC"/>
    <w:multiLevelType w:val="hybridMultilevel"/>
    <w:tmpl w:val="78BE6D8C"/>
    <w:lvl w:ilvl="0" w:tplc="D3E6C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FD5"/>
    <w:multiLevelType w:val="hybridMultilevel"/>
    <w:tmpl w:val="2CD8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8137A"/>
    <w:multiLevelType w:val="hybridMultilevel"/>
    <w:tmpl w:val="E3E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57900"/>
    <w:multiLevelType w:val="hybridMultilevel"/>
    <w:tmpl w:val="A2D4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A1796"/>
    <w:multiLevelType w:val="hybridMultilevel"/>
    <w:tmpl w:val="6F2A1990"/>
    <w:lvl w:ilvl="0" w:tplc="EEFCD126">
      <w:start w:val="1"/>
      <w:numFmt w:val="decimal"/>
      <w:lvlText w:val="%1)"/>
      <w:lvlJc w:val="left"/>
      <w:pPr>
        <w:ind w:left="720" w:hanging="360"/>
      </w:pPr>
      <w:rPr>
        <w:rFonts w:ascii="Times New Roman" w:eastAsiaTheme="minorEastAsia"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0275F"/>
    <w:multiLevelType w:val="hybridMultilevel"/>
    <w:tmpl w:val="301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40FFA"/>
    <w:multiLevelType w:val="hybridMultilevel"/>
    <w:tmpl w:val="F13E82FC"/>
    <w:lvl w:ilvl="0" w:tplc="97F4ECE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87C8C"/>
    <w:multiLevelType w:val="hybridMultilevel"/>
    <w:tmpl w:val="4BD47962"/>
    <w:lvl w:ilvl="0" w:tplc="04090001">
      <w:start w:val="1"/>
      <w:numFmt w:val="bullet"/>
      <w:lvlText w:val=""/>
      <w:lvlJc w:val="left"/>
      <w:pPr>
        <w:ind w:left="720" w:hanging="36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CD11839"/>
    <w:multiLevelType w:val="hybridMultilevel"/>
    <w:tmpl w:val="4AE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205B9"/>
    <w:multiLevelType w:val="hybridMultilevel"/>
    <w:tmpl w:val="565A26BC"/>
    <w:lvl w:ilvl="0" w:tplc="CDDE7946">
      <w:start w:val="8"/>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FD0C57"/>
    <w:multiLevelType w:val="hybridMultilevel"/>
    <w:tmpl w:val="99668382"/>
    <w:lvl w:ilvl="0" w:tplc="0B16C0D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85F7E"/>
    <w:multiLevelType w:val="hybridMultilevel"/>
    <w:tmpl w:val="4B86E4DC"/>
    <w:lvl w:ilvl="0" w:tplc="97F4ECE2">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1"/>
  </w:num>
  <w:num w:numId="5">
    <w:abstractNumId w:val="21"/>
  </w:num>
  <w:num w:numId="6">
    <w:abstractNumId w:val="9"/>
  </w:num>
  <w:num w:numId="7">
    <w:abstractNumId w:val="8"/>
  </w:num>
  <w:num w:numId="8">
    <w:abstractNumId w:val="12"/>
  </w:num>
  <w:num w:numId="9">
    <w:abstractNumId w:val="3"/>
  </w:num>
  <w:num w:numId="10">
    <w:abstractNumId w:val="10"/>
  </w:num>
  <w:num w:numId="11">
    <w:abstractNumId w:val="4"/>
  </w:num>
  <w:num w:numId="12">
    <w:abstractNumId w:val="0"/>
  </w:num>
  <w:num w:numId="13">
    <w:abstractNumId w:val="1"/>
  </w:num>
  <w:num w:numId="14">
    <w:abstractNumId w:val="15"/>
  </w:num>
  <w:num w:numId="15">
    <w:abstractNumId w:val="14"/>
  </w:num>
  <w:num w:numId="16">
    <w:abstractNumId w:val="5"/>
  </w:num>
  <w:num w:numId="17">
    <w:abstractNumId w:val="7"/>
  </w:num>
  <w:num w:numId="18">
    <w:abstractNumId w:val="13"/>
  </w:num>
  <w:num w:numId="19">
    <w:abstractNumId w:val="18"/>
  </w:num>
  <w:num w:numId="20">
    <w:abstractNumId w:val="19"/>
  </w:num>
  <w:num w:numId="21">
    <w:abstractNumId w:val="20"/>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3D"/>
    <w:rsid w:val="0003295E"/>
    <w:rsid w:val="00043B65"/>
    <w:rsid w:val="00093C73"/>
    <w:rsid w:val="000A600C"/>
    <w:rsid w:val="000A6F4D"/>
    <w:rsid w:val="000D39C3"/>
    <w:rsid w:val="000F0854"/>
    <w:rsid w:val="000F2431"/>
    <w:rsid w:val="000F7D12"/>
    <w:rsid w:val="001377D6"/>
    <w:rsid w:val="00144D82"/>
    <w:rsid w:val="0015513D"/>
    <w:rsid w:val="001632FD"/>
    <w:rsid w:val="0016663A"/>
    <w:rsid w:val="0018355C"/>
    <w:rsid w:val="0019324C"/>
    <w:rsid w:val="001B387A"/>
    <w:rsid w:val="001C09F9"/>
    <w:rsid w:val="001C1DB7"/>
    <w:rsid w:val="001E41A0"/>
    <w:rsid w:val="001E6A10"/>
    <w:rsid w:val="00204329"/>
    <w:rsid w:val="00205BF0"/>
    <w:rsid w:val="00233F9F"/>
    <w:rsid w:val="00243395"/>
    <w:rsid w:val="002548F7"/>
    <w:rsid w:val="002647D4"/>
    <w:rsid w:val="002774E4"/>
    <w:rsid w:val="00282790"/>
    <w:rsid w:val="002C6C6A"/>
    <w:rsid w:val="002E6ABE"/>
    <w:rsid w:val="002F4DA3"/>
    <w:rsid w:val="002F725B"/>
    <w:rsid w:val="003154E9"/>
    <w:rsid w:val="00367E2E"/>
    <w:rsid w:val="003836C2"/>
    <w:rsid w:val="003D068D"/>
    <w:rsid w:val="003E2CE2"/>
    <w:rsid w:val="003E7ED4"/>
    <w:rsid w:val="00431205"/>
    <w:rsid w:val="004645E2"/>
    <w:rsid w:val="00481551"/>
    <w:rsid w:val="00492326"/>
    <w:rsid w:val="00497864"/>
    <w:rsid w:val="004A6500"/>
    <w:rsid w:val="004A746C"/>
    <w:rsid w:val="004F0848"/>
    <w:rsid w:val="004F183B"/>
    <w:rsid w:val="00507DA3"/>
    <w:rsid w:val="00515F7A"/>
    <w:rsid w:val="0051782D"/>
    <w:rsid w:val="00561B52"/>
    <w:rsid w:val="00584F0F"/>
    <w:rsid w:val="00597657"/>
    <w:rsid w:val="005B2C58"/>
    <w:rsid w:val="005D0F41"/>
    <w:rsid w:val="00613E8C"/>
    <w:rsid w:val="00617BF1"/>
    <w:rsid w:val="00656189"/>
    <w:rsid w:val="00682AAA"/>
    <w:rsid w:val="00685DF0"/>
    <w:rsid w:val="00697CF1"/>
    <w:rsid w:val="006B4CFB"/>
    <w:rsid w:val="006C2557"/>
    <w:rsid w:val="006C5AEF"/>
    <w:rsid w:val="006D0D35"/>
    <w:rsid w:val="006E3522"/>
    <w:rsid w:val="006E7302"/>
    <w:rsid w:val="00710384"/>
    <w:rsid w:val="0073604C"/>
    <w:rsid w:val="00746923"/>
    <w:rsid w:val="00752F0B"/>
    <w:rsid w:val="007833A0"/>
    <w:rsid w:val="007A2AC2"/>
    <w:rsid w:val="007A7990"/>
    <w:rsid w:val="007C2D48"/>
    <w:rsid w:val="007D0137"/>
    <w:rsid w:val="00806E63"/>
    <w:rsid w:val="0081028D"/>
    <w:rsid w:val="0081380B"/>
    <w:rsid w:val="00823BB9"/>
    <w:rsid w:val="00834F0C"/>
    <w:rsid w:val="00837F72"/>
    <w:rsid w:val="008410C8"/>
    <w:rsid w:val="00847589"/>
    <w:rsid w:val="008545CF"/>
    <w:rsid w:val="008610C9"/>
    <w:rsid w:val="00874EFB"/>
    <w:rsid w:val="00883AB6"/>
    <w:rsid w:val="008851A2"/>
    <w:rsid w:val="008B3F50"/>
    <w:rsid w:val="008E4308"/>
    <w:rsid w:val="008E7EAE"/>
    <w:rsid w:val="00906598"/>
    <w:rsid w:val="00921505"/>
    <w:rsid w:val="00921C3F"/>
    <w:rsid w:val="009421D9"/>
    <w:rsid w:val="009533F6"/>
    <w:rsid w:val="0095426A"/>
    <w:rsid w:val="009578D6"/>
    <w:rsid w:val="00971BF2"/>
    <w:rsid w:val="009A214C"/>
    <w:rsid w:val="009C6E49"/>
    <w:rsid w:val="009D27EC"/>
    <w:rsid w:val="009E7C09"/>
    <w:rsid w:val="009F11D2"/>
    <w:rsid w:val="00A01DBD"/>
    <w:rsid w:val="00A16CB2"/>
    <w:rsid w:val="00A177CF"/>
    <w:rsid w:val="00A21098"/>
    <w:rsid w:val="00A270EB"/>
    <w:rsid w:val="00A33AF6"/>
    <w:rsid w:val="00AC4AF6"/>
    <w:rsid w:val="00B01D60"/>
    <w:rsid w:val="00B13BAD"/>
    <w:rsid w:val="00B2742C"/>
    <w:rsid w:val="00B35BE4"/>
    <w:rsid w:val="00B409FB"/>
    <w:rsid w:val="00B44E37"/>
    <w:rsid w:val="00B52992"/>
    <w:rsid w:val="00B52B18"/>
    <w:rsid w:val="00BC00AE"/>
    <w:rsid w:val="00BE48EE"/>
    <w:rsid w:val="00C04B88"/>
    <w:rsid w:val="00C11B87"/>
    <w:rsid w:val="00C2137B"/>
    <w:rsid w:val="00C21796"/>
    <w:rsid w:val="00C25739"/>
    <w:rsid w:val="00C27B6A"/>
    <w:rsid w:val="00C322C4"/>
    <w:rsid w:val="00C5300F"/>
    <w:rsid w:val="00C75F79"/>
    <w:rsid w:val="00C86F8D"/>
    <w:rsid w:val="00CA7306"/>
    <w:rsid w:val="00CB523B"/>
    <w:rsid w:val="00CC1D49"/>
    <w:rsid w:val="00CC37D2"/>
    <w:rsid w:val="00CC6BFD"/>
    <w:rsid w:val="00CC7EEB"/>
    <w:rsid w:val="00CD0AF6"/>
    <w:rsid w:val="00CD4D80"/>
    <w:rsid w:val="00CE366B"/>
    <w:rsid w:val="00CF31F8"/>
    <w:rsid w:val="00CF7532"/>
    <w:rsid w:val="00D211BC"/>
    <w:rsid w:val="00D21CD2"/>
    <w:rsid w:val="00D810FD"/>
    <w:rsid w:val="00DA23CA"/>
    <w:rsid w:val="00DB00E4"/>
    <w:rsid w:val="00DB2FBF"/>
    <w:rsid w:val="00DC3B29"/>
    <w:rsid w:val="00DD3BF8"/>
    <w:rsid w:val="00DE426C"/>
    <w:rsid w:val="00DE7F83"/>
    <w:rsid w:val="00DF17B7"/>
    <w:rsid w:val="00DF3EBC"/>
    <w:rsid w:val="00E0315A"/>
    <w:rsid w:val="00E049DC"/>
    <w:rsid w:val="00E30773"/>
    <w:rsid w:val="00E30A2A"/>
    <w:rsid w:val="00E3768B"/>
    <w:rsid w:val="00E47268"/>
    <w:rsid w:val="00E63640"/>
    <w:rsid w:val="00E82D32"/>
    <w:rsid w:val="00EA33CC"/>
    <w:rsid w:val="00EB3A72"/>
    <w:rsid w:val="00EC0BE3"/>
    <w:rsid w:val="00EC1E0E"/>
    <w:rsid w:val="00EF4E83"/>
    <w:rsid w:val="00F01D3D"/>
    <w:rsid w:val="00F02D14"/>
    <w:rsid w:val="00F14318"/>
    <w:rsid w:val="00F15EDB"/>
    <w:rsid w:val="00F309B1"/>
    <w:rsid w:val="00F321EB"/>
    <w:rsid w:val="00F3302C"/>
    <w:rsid w:val="00F53CAF"/>
    <w:rsid w:val="00F56064"/>
    <w:rsid w:val="00F749FF"/>
    <w:rsid w:val="00FA0FB2"/>
    <w:rsid w:val="00FA2AB4"/>
    <w:rsid w:val="00FC1E29"/>
    <w:rsid w:val="00FF1290"/>
    <w:rsid w:val="00FF52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78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SN1">
    <w:name w:val="ASN.1"/>
    <w:basedOn w:val="Normal"/>
    <w:rsid w:val="0015513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15513D"/>
    <w:rPr>
      <w:vertAlign w:val="superscript"/>
    </w:rPr>
  </w:style>
  <w:style w:type="paragraph" w:customStyle="1" w:styleId="FooterQP">
    <w:name w:val="Footer_QP"/>
    <w:basedOn w:val="Normal"/>
    <w:rsid w:val="0015513D"/>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15513D"/>
    <w:pPr>
      <w:spacing w:before="0"/>
    </w:pPr>
    <w:rPr>
      <w:rFonts w:ascii="Tahoma" w:hAnsi="Tahoma" w:cs="Tahoma"/>
      <w:sz w:val="16"/>
      <w:szCs w:val="16"/>
    </w:rPr>
  </w:style>
  <w:style w:type="character" w:customStyle="1" w:styleId="BalloonTextChar">
    <w:name w:val="Balloon Text Char"/>
    <w:basedOn w:val="DefaultParagraphFont"/>
    <w:link w:val="BalloonText"/>
    <w:rsid w:val="0015513D"/>
    <w:rPr>
      <w:rFonts w:ascii="Tahoma" w:hAnsi="Tahoma" w:cs="Tahoma"/>
      <w:sz w:val="16"/>
      <w:szCs w:val="16"/>
      <w:lang w:val="en-GB" w:eastAsia="en-US"/>
    </w:rPr>
  </w:style>
  <w:style w:type="paragraph" w:styleId="ListParagraph">
    <w:name w:val="List Paragraph"/>
    <w:basedOn w:val="Normal"/>
    <w:link w:val="ListParagraphChar"/>
    <w:uiPriority w:val="34"/>
    <w:qFormat/>
    <w:rsid w:val="0015513D"/>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Heading1Char">
    <w:name w:val="Heading 1 Char"/>
    <w:basedOn w:val="DefaultParagraphFont"/>
    <w:link w:val="Heading1"/>
    <w:rsid w:val="0015513D"/>
    <w:rPr>
      <w:rFonts w:ascii="Times New Roman" w:hAnsi="Times New Roman"/>
      <w:b/>
      <w:sz w:val="24"/>
      <w:lang w:val="en-GB" w:eastAsia="en-US"/>
    </w:rPr>
  </w:style>
  <w:style w:type="character" w:customStyle="1" w:styleId="Heading2Char">
    <w:name w:val="Heading 2 Char"/>
    <w:basedOn w:val="DefaultParagraphFont"/>
    <w:link w:val="Heading2"/>
    <w:rsid w:val="0015513D"/>
    <w:rPr>
      <w:rFonts w:ascii="Times New Roman" w:hAnsi="Times New Roman"/>
      <w:b/>
      <w:sz w:val="24"/>
      <w:lang w:val="en-GB" w:eastAsia="en-US"/>
    </w:rPr>
  </w:style>
  <w:style w:type="character" w:styleId="Hyperlink">
    <w:name w:val="Hyperlink"/>
    <w:basedOn w:val="DefaultParagraphFont"/>
    <w:uiPriority w:val="99"/>
    <w:unhideWhenUsed/>
    <w:rsid w:val="0015513D"/>
    <w:rPr>
      <w:color w:val="0000FF"/>
      <w:u w:val="single"/>
    </w:rPr>
  </w:style>
  <w:style w:type="paragraph" w:customStyle="1" w:styleId="Normalaftertitle0">
    <w:name w:val="Normal after title"/>
    <w:basedOn w:val="Normal"/>
    <w:next w:val="Normal"/>
    <w:rsid w:val="0015513D"/>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15513D"/>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
    <w:name w:val="Heading 3 Char"/>
    <w:basedOn w:val="DefaultParagraphFont"/>
    <w:link w:val="Heading3"/>
    <w:rsid w:val="0015513D"/>
    <w:rPr>
      <w:rFonts w:ascii="Times New Roman" w:hAnsi="Times New Roman"/>
      <w:b/>
      <w:sz w:val="24"/>
      <w:lang w:val="en-GB" w:eastAsia="en-US"/>
    </w:rPr>
  </w:style>
  <w:style w:type="paragraph" w:styleId="PlainText">
    <w:name w:val="Plain Text"/>
    <w:basedOn w:val="Normal"/>
    <w:link w:val="PlainTextChar"/>
    <w:uiPriority w:val="99"/>
    <w:unhideWhenUsed/>
    <w:rsid w:val="0015513D"/>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15513D"/>
    <w:rPr>
      <w:rFonts w:ascii="Consolas" w:eastAsiaTheme="minorEastAsia" w:hAnsi="Consolas" w:cstheme="minorBidi"/>
      <w:sz w:val="21"/>
      <w:szCs w:val="21"/>
    </w:rPr>
  </w:style>
  <w:style w:type="table" w:styleId="TableGrid">
    <w:name w:val="Table Grid"/>
    <w:basedOn w:val="TableNormal"/>
    <w:rsid w:val="0015513D"/>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513D"/>
    <w:rPr>
      <w:rFonts w:asciiTheme="minorHAnsi" w:eastAsiaTheme="minorEastAsia" w:hAnsiTheme="minorHAnsi" w:cstheme="minorBidi"/>
      <w:sz w:val="22"/>
      <w:szCs w:val="22"/>
    </w:rPr>
  </w:style>
  <w:style w:type="character" w:customStyle="1" w:styleId="TabletextChar">
    <w:name w:val="Table_text Char"/>
    <w:basedOn w:val="DefaultParagraphFont"/>
    <w:link w:val="Tabletext"/>
    <w:uiPriority w:val="99"/>
    <w:locked/>
    <w:rsid w:val="0015513D"/>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15513D"/>
    <w:rPr>
      <w:rFonts w:ascii="Times New Roman" w:hAnsi="Times New Roman"/>
      <w:sz w:val="24"/>
      <w:lang w:val="en-GB" w:eastAsia="en-US"/>
    </w:rPr>
  </w:style>
  <w:style w:type="character" w:customStyle="1" w:styleId="apple-converted-space">
    <w:name w:val="apple-converted-space"/>
    <w:basedOn w:val="DefaultParagraphFont"/>
    <w:rsid w:val="0015513D"/>
  </w:style>
  <w:style w:type="table" w:customStyle="1" w:styleId="TableGrid1">
    <w:name w:val="Table Grid1"/>
    <w:basedOn w:val="TableNormal"/>
    <w:next w:val="TableGrid"/>
    <w:rsid w:val="0015513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13D"/>
    <w:rPr>
      <w:b/>
      <w:bCs/>
    </w:rPr>
  </w:style>
  <w:style w:type="character" w:customStyle="1" w:styleId="Heading4Char">
    <w:name w:val="Heading 4 Char"/>
    <w:basedOn w:val="DefaultParagraphFont"/>
    <w:link w:val="Heading4"/>
    <w:rsid w:val="0015513D"/>
    <w:rPr>
      <w:rFonts w:ascii="Times New Roman" w:hAnsi="Times New Roman"/>
      <w:b/>
      <w:sz w:val="24"/>
      <w:lang w:val="en-GB" w:eastAsia="en-US"/>
    </w:rPr>
  </w:style>
  <w:style w:type="character" w:customStyle="1" w:styleId="Heading5Char">
    <w:name w:val="Heading 5 Char"/>
    <w:basedOn w:val="DefaultParagraphFont"/>
    <w:link w:val="Heading5"/>
    <w:rsid w:val="0015513D"/>
    <w:rPr>
      <w:rFonts w:ascii="Times New Roman" w:hAnsi="Times New Roman"/>
      <w:b/>
      <w:sz w:val="24"/>
      <w:lang w:val="en-GB" w:eastAsia="en-US"/>
    </w:rPr>
  </w:style>
  <w:style w:type="character" w:customStyle="1" w:styleId="Heading6Char">
    <w:name w:val="Heading 6 Char"/>
    <w:basedOn w:val="DefaultParagraphFont"/>
    <w:link w:val="Heading6"/>
    <w:rsid w:val="0015513D"/>
    <w:rPr>
      <w:rFonts w:ascii="Times New Roman" w:hAnsi="Times New Roman"/>
      <w:b/>
      <w:sz w:val="24"/>
      <w:lang w:val="en-GB" w:eastAsia="en-US"/>
    </w:rPr>
  </w:style>
  <w:style w:type="character" w:customStyle="1" w:styleId="Heading7Char">
    <w:name w:val="Heading 7 Char"/>
    <w:basedOn w:val="DefaultParagraphFont"/>
    <w:link w:val="Heading7"/>
    <w:rsid w:val="0015513D"/>
    <w:rPr>
      <w:rFonts w:ascii="Times New Roman" w:hAnsi="Times New Roman"/>
      <w:b/>
      <w:sz w:val="24"/>
      <w:lang w:val="en-GB" w:eastAsia="en-US"/>
    </w:rPr>
  </w:style>
  <w:style w:type="character" w:customStyle="1" w:styleId="Heading8Char">
    <w:name w:val="Heading 8 Char"/>
    <w:basedOn w:val="DefaultParagraphFont"/>
    <w:link w:val="Heading8"/>
    <w:rsid w:val="0015513D"/>
    <w:rPr>
      <w:rFonts w:ascii="Times New Roman" w:hAnsi="Times New Roman"/>
      <w:b/>
      <w:sz w:val="24"/>
      <w:lang w:val="en-GB" w:eastAsia="en-US"/>
    </w:rPr>
  </w:style>
  <w:style w:type="character" w:customStyle="1" w:styleId="Heading9Char">
    <w:name w:val="Heading 9 Char"/>
    <w:basedOn w:val="DefaultParagraphFont"/>
    <w:link w:val="Heading9"/>
    <w:rsid w:val="0015513D"/>
    <w:rPr>
      <w:rFonts w:ascii="Times New Roman" w:hAnsi="Times New Roman"/>
      <w:b/>
      <w:sz w:val="24"/>
      <w:lang w:val="en-GB" w:eastAsia="en-US"/>
    </w:rPr>
  </w:style>
  <w:style w:type="paragraph" w:customStyle="1" w:styleId="Annextitle">
    <w:name w:val="Annex_title"/>
    <w:basedOn w:val="Normal"/>
    <w:next w:val="Normal"/>
    <w:rsid w:val="0015513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15513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15513D"/>
    <w:rPr>
      <w:rFonts w:ascii="Times New Roman" w:hAnsi="Times New Roman"/>
      <w:i/>
      <w:sz w:val="24"/>
      <w:lang w:val="en-GB" w:eastAsia="en-US"/>
    </w:rPr>
  </w:style>
  <w:style w:type="character" w:customStyle="1" w:styleId="HeadingbChar">
    <w:name w:val="Heading_b Char"/>
    <w:link w:val="Headingb"/>
    <w:locked/>
    <w:rsid w:val="0015513D"/>
    <w:rPr>
      <w:rFonts w:ascii="Times New Roman" w:hAnsi="Times New Roman"/>
      <w:b/>
      <w:sz w:val="24"/>
      <w:lang w:val="en-GB" w:eastAsia="en-US"/>
    </w:rPr>
  </w:style>
  <w:style w:type="character" w:customStyle="1" w:styleId="RestitleChar">
    <w:name w:val="Res_title Char"/>
    <w:basedOn w:val="DefaultParagraphFont"/>
    <w:link w:val="Restitle"/>
    <w:locked/>
    <w:rsid w:val="0015513D"/>
    <w:rPr>
      <w:rFonts w:ascii="Times New Roman" w:hAnsi="Times New Roman"/>
      <w:b/>
      <w:sz w:val="28"/>
      <w:lang w:val="en-GB" w:eastAsia="en-US"/>
    </w:rPr>
  </w:style>
  <w:style w:type="character" w:styleId="FollowedHyperlink">
    <w:name w:val="FollowedHyperlink"/>
    <w:basedOn w:val="DefaultParagraphFont"/>
    <w:unhideWhenUsed/>
    <w:rsid w:val="0015513D"/>
    <w:rPr>
      <w:color w:val="606420"/>
      <w:u w:val="single"/>
    </w:rPr>
  </w:style>
  <w:style w:type="paragraph" w:styleId="NormalWeb">
    <w:name w:val="Normal (Web)"/>
    <w:basedOn w:val="Normal"/>
    <w:uiPriority w:val="99"/>
    <w:unhideWhenUsed/>
    <w:rsid w:val="0015513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15513D"/>
    <w:pPr>
      <w:spacing w:before="0"/>
      <w:textAlignment w:val="auto"/>
    </w:pPr>
    <w:rPr>
      <w:sz w:val="20"/>
    </w:rPr>
  </w:style>
  <w:style w:type="character" w:customStyle="1" w:styleId="EndnoteTextChar">
    <w:name w:val="Endnote Text Char"/>
    <w:basedOn w:val="DefaultParagraphFont"/>
    <w:link w:val="EndnoteText"/>
    <w:uiPriority w:val="99"/>
    <w:rsid w:val="0015513D"/>
    <w:rPr>
      <w:rFonts w:ascii="Times New Roman" w:hAnsi="Times New Roman"/>
      <w:lang w:val="en-GB" w:eastAsia="en-US"/>
    </w:rPr>
  </w:style>
  <w:style w:type="paragraph" w:styleId="Title">
    <w:name w:val="Title"/>
    <w:basedOn w:val="Normal"/>
    <w:next w:val="Normal"/>
    <w:link w:val="TitleChar"/>
    <w:qFormat/>
    <w:rsid w:val="0015513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5513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15513D"/>
    <w:pPr>
      <w:textAlignment w:val="auto"/>
    </w:pPr>
    <w:rPr>
      <w:b/>
      <w:bCs/>
      <w:i/>
      <w:iCs/>
      <w:szCs w:val="24"/>
    </w:rPr>
  </w:style>
  <w:style w:type="character" w:customStyle="1" w:styleId="BodyTextChar">
    <w:name w:val="Body Text Char"/>
    <w:basedOn w:val="DefaultParagraphFont"/>
    <w:link w:val="BodyText"/>
    <w:rsid w:val="0015513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15513D"/>
    <w:pPr>
      <w:spacing w:after="120"/>
      <w:ind w:left="360"/>
      <w:textAlignment w:val="auto"/>
    </w:pPr>
  </w:style>
  <w:style w:type="character" w:customStyle="1" w:styleId="BodyTextIndentChar">
    <w:name w:val="Body Text Indent Char"/>
    <w:basedOn w:val="DefaultParagraphFont"/>
    <w:link w:val="BodyTextIndent"/>
    <w:rsid w:val="0015513D"/>
    <w:rPr>
      <w:rFonts w:ascii="Times New Roman" w:hAnsi="Times New Roman"/>
      <w:sz w:val="24"/>
      <w:lang w:val="en-GB" w:eastAsia="en-US"/>
    </w:rPr>
  </w:style>
  <w:style w:type="paragraph" w:styleId="Subtitle">
    <w:name w:val="Subtitle"/>
    <w:basedOn w:val="Normal"/>
    <w:next w:val="Normal"/>
    <w:link w:val="SubtitleChar"/>
    <w:uiPriority w:val="11"/>
    <w:qFormat/>
    <w:rsid w:val="0015513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15513D"/>
    <w:rPr>
      <w:rFonts w:ascii="Cambria" w:eastAsia="SimSun" w:hAnsi="Cambria"/>
      <w:i/>
      <w:iCs/>
      <w:color w:val="4F81BD"/>
      <w:spacing w:val="15"/>
      <w:sz w:val="24"/>
      <w:szCs w:val="24"/>
    </w:rPr>
  </w:style>
  <w:style w:type="paragraph" w:styleId="BodyText2">
    <w:name w:val="Body Text 2"/>
    <w:basedOn w:val="Normal"/>
    <w:link w:val="BodyText2Char"/>
    <w:unhideWhenUsed/>
    <w:rsid w:val="0015513D"/>
    <w:pPr>
      <w:spacing w:after="120" w:line="480" w:lineRule="auto"/>
      <w:textAlignment w:val="auto"/>
    </w:pPr>
  </w:style>
  <w:style w:type="character" w:customStyle="1" w:styleId="BodyText2Char">
    <w:name w:val="Body Text 2 Char"/>
    <w:basedOn w:val="DefaultParagraphFont"/>
    <w:link w:val="BodyText2"/>
    <w:rsid w:val="0015513D"/>
    <w:rPr>
      <w:rFonts w:ascii="Times New Roman" w:hAnsi="Times New Roman"/>
      <w:sz w:val="24"/>
      <w:lang w:val="en-GB" w:eastAsia="en-US"/>
    </w:rPr>
  </w:style>
  <w:style w:type="paragraph" w:styleId="Revision">
    <w:name w:val="Revision"/>
    <w:uiPriority w:val="99"/>
    <w:semiHidden/>
    <w:rsid w:val="0015513D"/>
    <w:rPr>
      <w:rFonts w:ascii="Times New Roman" w:hAnsi="Times New Roman"/>
      <w:sz w:val="24"/>
      <w:lang w:val="en-GB" w:eastAsia="en-US"/>
    </w:rPr>
  </w:style>
  <w:style w:type="character" w:styleId="CommentReference">
    <w:name w:val="annotation reference"/>
    <w:basedOn w:val="DefaultParagraphFont"/>
    <w:semiHidden/>
    <w:unhideWhenUsed/>
    <w:rsid w:val="0015513D"/>
    <w:rPr>
      <w:sz w:val="16"/>
      <w:szCs w:val="16"/>
    </w:rPr>
  </w:style>
  <w:style w:type="paragraph" w:styleId="CommentText">
    <w:name w:val="annotation text"/>
    <w:basedOn w:val="Normal"/>
    <w:link w:val="CommentTextChar"/>
    <w:semiHidden/>
    <w:unhideWhenUsed/>
    <w:rsid w:val="0015513D"/>
    <w:rPr>
      <w:sz w:val="20"/>
    </w:rPr>
  </w:style>
  <w:style w:type="character" w:customStyle="1" w:styleId="CommentTextChar">
    <w:name w:val="Comment Text Char"/>
    <w:basedOn w:val="DefaultParagraphFont"/>
    <w:link w:val="CommentText"/>
    <w:semiHidden/>
    <w:rsid w:val="0015513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5513D"/>
    <w:rPr>
      <w:b/>
      <w:bCs/>
    </w:rPr>
  </w:style>
  <w:style w:type="character" w:customStyle="1" w:styleId="CommentSubjectChar">
    <w:name w:val="Comment Subject Char"/>
    <w:basedOn w:val="CommentTextChar"/>
    <w:link w:val="CommentSubject"/>
    <w:semiHidden/>
    <w:rsid w:val="0015513D"/>
    <w:rPr>
      <w:rFonts w:ascii="Times New Roman" w:hAnsi="Times New Roman"/>
      <w:b/>
      <w:bCs/>
      <w:lang w:val="en-GB" w:eastAsia="en-US"/>
    </w:rPr>
  </w:style>
  <w:style w:type="table" w:customStyle="1" w:styleId="GridTable1Light-Accent512">
    <w:name w:val="Grid Table 1 Light - Accent 512"/>
    <w:basedOn w:val="TableNormal"/>
    <w:uiPriority w:val="46"/>
    <w:rsid w:val="0015513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5513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5513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5513D"/>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uiPriority w:val="99"/>
    <w:rsid w:val="0015513D"/>
    <w:rPr>
      <w:rFonts w:ascii="Times New Roman" w:hAnsi="Times New Roman"/>
      <w:b/>
      <w:sz w:val="22"/>
      <w:lang w:val="en-GB" w:eastAsia="en-US"/>
    </w:rPr>
  </w:style>
  <w:style w:type="paragraph" w:customStyle="1" w:styleId="TableNo">
    <w:name w:val="Table_No"/>
    <w:basedOn w:val="Normal"/>
    <w:next w:val="Normal"/>
    <w:uiPriority w:val="99"/>
    <w:rsid w:val="0015513D"/>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15513D"/>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15513D"/>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15513D"/>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15513D"/>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5513D"/>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ListParagraphChar">
    <w:name w:val="List Paragraph Char"/>
    <w:basedOn w:val="DefaultParagraphFont"/>
    <w:link w:val="ListParagraph"/>
    <w:uiPriority w:val="34"/>
    <w:locked/>
    <w:rsid w:val="0015513D"/>
    <w:rPr>
      <w:rFonts w:ascii="Times New Roman" w:eastAsiaTheme="minorEastAsia" w:hAnsi="Times New Roman" w:cstheme="minorBidi"/>
      <w:sz w:val="24"/>
      <w:szCs w:val="22"/>
    </w:rPr>
  </w:style>
  <w:style w:type="paragraph" w:styleId="DocumentMap">
    <w:name w:val="Document Map"/>
    <w:basedOn w:val="Normal"/>
    <w:link w:val="DocumentMapChar"/>
    <w:semiHidden/>
    <w:unhideWhenUsed/>
    <w:rsid w:val="0015513D"/>
    <w:pPr>
      <w:spacing w:before="0"/>
    </w:pPr>
    <w:rPr>
      <w:szCs w:val="24"/>
    </w:rPr>
  </w:style>
  <w:style w:type="character" w:customStyle="1" w:styleId="DocumentMapChar">
    <w:name w:val="Document Map Char"/>
    <w:basedOn w:val="DefaultParagraphFont"/>
    <w:link w:val="DocumentMap"/>
    <w:semiHidden/>
    <w:rsid w:val="0015513D"/>
    <w:rPr>
      <w:rFonts w:ascii="Times New Roman" w:hAnsi="Times New Roman"/>
      <w:sz w:val="24"/>
      <w:szCs w:val="24"/>
      <w:lang w:val="en-GB" w:eastAsia="en-US"/>
    </w:rPr>
  </w:style>
  <w:style w:type="character" w:customStyle="1" w:styleId="ms-rtefontsize-1">
    <w:name w:val="ms-rtefontsize-1"/>
    <w:basedOn w:val="DefaultParagraphFont"/>
    <w:rsid w:val="0015513D"/>
  </w:style>
  <w:style w:type="character" w:customStyle="1" w:styleId="ms-rtethemeforecolor-3-0">
    <w:name w:val="ms-rtethemeforecolor-3-0"/>
    <w:basedOn w:val="DefaultParagraphFont"/>
    <w:rsid w:val="0015513D"/>
  </w:style>
  <w:style w:type="paragraph" w:customStyle="1" w:styleId="s18">
    <w:name w:val="s18"/>
    <w:basedOn w:val="Normal"/>
    <w:uiPriority w:val="99"/>
    <w:semiHidden/>
    <w:rsid w:val="0015513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15513D"/>
    <w:rPr>
      <w:b/>
      <w:bCs/>
      <w:smallCaps/>
      <w:color w:val="4F81BD" w:themeColor="accent1"/>
      <w:spacing w:val="5"/>
    </w:rPr>
  </w:style>
  <w:style w:type="paragraph" w:styleId="Caption">
    <w:name w:val="caption"/>
    <w:basedOn w:val="Normal"/>
    <w:next w:val="Normal"/>
    <w:uiPriority w:val="35"/>
    <w:unhideWhenUsed/>
    <w:qFormat/>
    <w:rsid w:val="00E049DC"/>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table" w:customStyle="1" w:styleId="GridTable4-Accent1121">
    <w:name w:val="Grid Table 4 - Accent 1121"/>
    <w:basedOn w:val="TableNormal"/>
    <w:uiPriority w:val="49"/>
    <w:rsid w:val="00A177C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15824">
      <w:bodyDiv w:val="1"/>
      <w:marLeft w:val="0"/>
      <w:marRight w:val="0"/>
      <w:marTop w:val="0"/>
      <w:marBottom w:val="0"/>
      <w:divBdr>
        <w:top w:val="none" w:sz="0" w:space="0" w:color="auto"/>
        <w:left w:val="none" w:sz="0" w:space="0" w:color="auto"/>
        <w:bottom w:val="none" w:sz="0" w:space="0" w:color="auto"/>
        <w:right w:val="none" w:sz="0" w:space="0" w:color="auto"/>
      </w:divBdr>
    </w:div>
    <w:div w:id="709690519">
      <w:bodyDiv w:val="1"/>
      <w:marLeft w:val="0"/>
      <w:marRight w:val="0"/>
      <w:marTop w:val="0"/>
      <w:marBottom w:val="0"/>
      <w:divBdr>
        <w:top w:val="none" w:sz="0" w:space="0" w:color="auto"/>
        <w:left w:val="none" w:sz="0" w:space="0" w:color="auto"/>
        <w:bottom w:val="none" w:sz="0" w:space="0" w:color="auto"/>
        <w:right w:val="none" w:sz="0" w:space="0" w:color="auto"/>
      </w:divBdr>
    </w:div>
    <w:div w:id="1455101852">
      <w:bodyDiv w:val="1"/>
      <w:marLeft w:val="0"/>
      <w:marRight w:val="0"/>
      <w:marTop w:val="0"/>
      <w:marBottom w:val="0"/>
      <w:divBdr>
        <w:top w:val="none" w:sz="0" w:space="0" w:color="auto"/>
        <w:left w:val="none" w:sz="0" w:space="0" w:color="auto"/>
        <w:bottom w:val="none" w:sz="0" w:space="0" w:color="auto"/>
        <w:right w:val="none" w:sz="0" w:space="0" w:color="auto"/>
      </w:divBdr>
    </w:div>
    <w:div w:id="1722897468">
      <w:bodyDiv w:val="1"/>
      <w:marLeft w:val="0"/>
      <w:marRight w:val="0"/>
      <w:marTop w:val="0"/>
      <w:marBottom w:val="0"/>
      <w:divBdr>
        <w:top w:val="none" w:sz="0" w:space="0" w:color="auto"/>
        <w:left w:val="none" w:sz="0" w:space="0" w:color="auto"/>
        <w:bottom w:val="none" w:sz="0" w:space="0" w:color="auto"/>
        <w:right w:val="none" w:sz="0" w:space="0" w:color="auto"/>
      </w:divBdr>
    </w:div>
    <w:div w:id="1757940680">
      <w:bodyDiv w:val="1"/>
      <w:marLeft w:val="0"/>
      <w:marRight w:val="0"/>
      <w:marTop w:val="0"/>
      <w:marBottom w:val="0"/>
      <w:divBdr>
        <w:top w:val="none" w:sz="0" w:space="0" w:color="auto"/>
        <w:left w:val="none" w:sz="0" w:space="0" w:color="auto"/>
        <w:bottom w:val="none" w:sz="0" w:space="0" w:color="auto"/>
        <w:right w:val="none" w:sz="0" w:space="0" w:color="auto"/>
      </w:divBdr>
    </w:div>
    <w:div w:id="19417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R/index.asp?category=conferences&amp;link=rrb&amp;lang=en" TargetMode="External"/><Relationship Id="rId18" Type="http://schemas.openxmlformats.org/officeDocument/2006/relationships/image" Target="media/image2.png"/><Relationship Id="rId26" Type="http://schemas.openxmlformats.org/officeDocument/2006/relationships/hyperlink" Target="https://www.itu.int/md/R00-CR-CIR-0435/en" TargetMode="External"/><Relationship Id="rId39" Type="http://schemas.openxmlformats.org/officeDocument/2006/relationships/hyperlink" Target="http://www.itu.int/ITU-R" TargetMode="External"/><Relationship Id="rId3" Type="http://schemas.openxmlformats.org/officeDocument/2006/relationships/customXml" Target="../customXml/item3.xml"/><Relationship Id="rId21" Type="http://schemas.openxmlformats.org/officeDocument/2006/relationships/hyperlink" Target="http://www.itu.int/go/wrc-19-regional" TargetMode="External"/><Relationship Id="rId34" Type="http://schemas.openxmlformats.org/officeDocument/2006/relationships/hyperlink" Target="https://www.tra.gov.om/"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tu.int/en/council/Pages/overview.aspx" TargetMode="External"/><Relationship Id="rId17" Type="http://schemas.openxmlformats.org/officeDocument/2006/relationships/hyperlink" Target="https://www.itu.int/en/ITU-R/space/Pages/Statistics.aspx" TargetMode="External"/><Relationship Id="rId25" Type="http://schemas.openxmlformats.org/officeDocument/2006/relationships/hyperlink" Target="https://www.itu.int/md/R00-CA-CIR-0245/en" TargetMode="External"/><Relationship Id="rId33" Type="http://schemas.openxmlformats.org/officeDocument/2006/relationships/hyperlink" Target="http://www.mptc.gov.kh/" TargetMode="External"/><Relationship Id="rId38" Type="http://schemas.openxmlformats.org/officeDocument/2006/relationships/hyperlink" Target="https://twitter.com/ITU_R" TargetMode="External"/><Relationship Id="rId2" Type="http://schemas.openxmlformats.org/officeDocument/2006/relationships/customXml" Target="../customXml/item2.xml"/><Relationship Id="rId16" Type="http://schemas.openxmlformats.org/officeDocument/2006/relationships/hyperlink" Target="https://www.itu.int/en/council/Pages/eg-d482.aspx" TargetMode="External"/><Relationship Id="rId20" Type="http://schemas.openxmlformats.org/officeDocument/2006/relationships/hyperlink" Target="http://www.itu.int/go/ITU-R/CPM" TargetMode="External"/><Relationship Id="rId29" Type="http://schemas.openxmlformats.org/officeDocument/2006/relationships/footer" Target="footer1.xml"/><Relationship Id="rId41" Type="http://schemas.openxmlformats.org/officeDocument/2006/relationships/hyperlink" Target="https://news.itu.int/international-experts-discuss-interference-free-satellite-services-itu-satellite-symposiu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R00-CACE-CIR-0889/en" TargetMode="External"/><Relationship Id="rId32" Type="http://schemas.openxmlformats.org/officeDocument/2006/relationships/hyperlink" Target="http://www.itu.int/ITU-R/go/seminars" TargetMode="External"/><Relationship Id="rId37" Type="http://schemas.openxmlformats.org/officeDocument/2006/relationships/hyperlink" Target="https://twitter.com/ITU_R" TargetMode="External"/><Relationship Id="rId40" Type="http://schemas.openxmlformats.org/officeDocument/2006/relationships/hyperlink" Target="http://www.itu.int/en/ITU-R/Pages/default.aspx" TargetMode="External"/><Relationship Id="rId5" Type="http://schemas.openxmlformats.org/officeDocument/2006/relationships/numbering" Target="numbering.xml"/><Relationship Id="rId15" Type="http://schemas.openxmlformats.org/officeDocument/2006/relationships/hyperlink" Target="https://www.itu.int/md/S18-CL-C-0114/en" TargetMode="External"/><Relationship Id="rId23" Type="http://schemas.openxmlformats.org/officeDocument/2006/relationships/hyperlink" Target="http://www.itu.int/go/wrc-19" TargetMode="External"/><Relationship Id="rId28" Type="http://schemas.openxmlformats.org/officeDocument/2006/relationships/header" Target="header1.xml"/><Relationship Id="rId36" Type="http://schemas.openxmlformats.org/officeDocument/2006/relationships/hyperlink" Target="http://www.itu.int/ITU-R/" TargetMode="Externa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http://www.itu.int/ITU%20R/go/seminar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2017/Pages/default.aspx" TargetMode="External"/><Relationship Id="rId22" Type="http://schemas.openxmlformats.org/officeDocument/2006/relationships/hyperlink" Target="http://www.itu.int/en/ITU-R/conferences/wrc/2019/irwsp/Pages/default.aspx" TargetMode="External"/><Relationship Id="rId27" Type="http://schemas.openxmlformats.org/officeDocument/2006/relationships/hyperlink" Target="https://www.itu.int/md/R00-CR-CIR-0428/en" TargetMode="External"/><Relationship Id="rId30" Type="http://schemas.openxmlformats.org/officeDocument/2006/relationships/footer" Target="footer2.xml"/><Relationship Id="rId35" Type="http://schemas.openxmlformats.org/officeDocument/2006/relationships/hyperlink" Target="http://www.itu.int/ITU-R/go/seminar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0A414FF286B4CB60ABE0C1A9813C5" ma:contentTypeVersion="2" ma:contentTypeDescription="Create a new document." ma:contentTypeScope="" ma:versionID="b2158255f48f6ec064a45e2513c03b5d">
  <xsd:schema xmlns:xsd="http://www.w3.org/2001/XMLSchema" xmlns:xs="http://www.w3.org/2001/XMLSchema" xmlns:p="http://schemas.microsoft.com/office/2006/metadata/properties" xmlns:ns2="2793c3dc-016c-4689-a3ed-c0b1af83ce1b" xmlns:ns3="c89af5f6-b5fc-487e-90a0-1d98291f2052" targetNamespace="http://schemas.microsoft.com/office/2006/metadata/properties" ma:root="true" ma:fieldsID="9b6b8a7e45cf7140a17dced585f145bc" ns2:_="" ns3:_="">
    <xsd:import namespace="2793c3dc-016c-4689-a3ed-c0b1af83ce1b"/>
    <xsd:import namespace="c89af5f6-b5fc-487e-90a0-1d98291f2052"/>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c3dc-016c-4689-a3ed-c0b1af83ce1b"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5f6-b5fc-487e-90a0-1d98291f2052"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793c3dc-016c-4689-a3ed-c0b1af83ce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4B80-DD27-4D8D-91D3-9E7C882F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c3dc-016c-4689-a3ed-c0b1af83ce1b"/>
    <ds:schemaRef ds:uri="c89af5f6-b5fc-487e-90a0-1d98291f2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4F448-3D11-443F-9CC8-09D84480FFD1}">
  <ds:schemaRefs>
    <ds:schemaRef ds:uri="http://schemas.microsoft.com/sharepoint/v3/contenttype/forms"/>
  </ds:schemaRefs>
</ds:datastoreItem>
</file>

<file path=customXml/itemProps3.xml><?xml version="1.0" encoding="utf-8"?>
<ds:datastoreItem xmlns:ds="http://schemas.openxmlformats.org/officeDocument/2006/customXml" ds:itemID="{2B7CD180-72C5-4D64-8732-99B58C2A6855}">
  <ds:schemaRefs>
    <ds:schemaRef ds:uri="http://schemas.microsoft.com/office/2006/metadata/properties"/>
    <ds:schemaRef ds:uri="http://schemas.microsoft.com/office/2006/documentManagement/types"/>
    <ds:schemaRef ds:uri="http://purl.org/dc/terms/"/>
    <ds:schemaRef ds:uri="http://purl.org/dc/elements/1.1/"/>
    <ds:schemaRef ds:uri="2793c3dc-016c-4689-a3ed-c0b1af83ce1b"/>
    <ds:schemaRef ds:uri="c89af5f6-b5fc-487e-90a0-1d98291f205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3B3825-EE2F-47CF-927F-0209CD93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10335</Words>
  <Characters>60690</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2019-03-11T15:16:00Z</dcterms:created>
  <dcterms:modified xsi:type="dcterms:W3CDTF">2019-03-11T15:33:00Z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0x0101006910A414FF286B4CB60ABE0C1A9813C5</vt:lpwstr>
  </property>
</Properties>
</file>