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ED43CF" w14:paraId="1541A3D2" w14:textId="77777777">
        <w:trPr>
          <w:cantSplit/>
        </w:trPr>
        <w:tc>
          <w:tcPr>
            <w:tcW w:w="6345" w:type="dxa"/>
          </w:tcPr>
          <w:p w14:paraId="0E4BCB5F" w14:textId="77777777" w:rsidR="00E307F2" w:rsidRPr="00ED43CF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D43CF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ED43CF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ED43C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ED43CF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ED43C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ED43CF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0CC5A46D" w14:textId="77777777" w:rsidR="00E307F2" w:rsidRPr="00ED43CF" w:rsidRDefault="00E307F2" w:rsidP="005335D1">
            <w:pPr>
              <w:spacing w:line="240" w:lineRule="atLeast"/>
              <w:jc w:val="right"/>
            </w:pPr>
            <w:r w:rsidRPr="00ED43CF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1CF14AAE" wp14:editId="6FCAC33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ED43CF" w14:paraId="06A95739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123667F0" w14:textId="77777777" w:rsidR="00E307F2" w:rsidRPr="00ED43CF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C3E21F3" w14:textId="77777777" w:rsidR="00E307F2" w:rsidRPr="00ED43CF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ED43CF" w14:paraId="13055D01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2983E76C" w14:textId="77777777" w:rsidR="00E307F2" w:rsidRPr="00ED43CF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451D92D" w14:textId="77777777" w:rsidR="00E307F2" w:rsidRPr="00ED43CF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ED43CF" w14:paraId="45E8D6A7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8C231BD" w14:textId="2089F843" w:rsidR="00BA3DBD" w:rsidRPr="00ED43CF" w:rsidRDefault="00BA3DBD" w:rsidP="003B670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ED43CF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7CFB0B2E" w14:textId="653D6407" w:rsidR="00E307F2" w:rsidRPr="00ED43CF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ED43CF">
              <w:rPr>
                <w:rFonts w:ascii="Verdana" w:hAnsi="Verdana"/>
                <w:b/>
                <w:sz w:val="20"/>
              </w:rPr>
              <w:t>Documento RA19/</w:t>
            </w:r>
            <w:r w:rsidR="003B6709" w:rsidRPr="00ED43CF">
              <w:rPr>
                <w:rFonts w:ascii="Verdana" w:hAnsi="Verdana"/>
                <w:b/>
                <w:sz w:val="20"/>
              </w:rPr>
              <w:t>PLEN/69-S</w:t>
            </w:r>
          </w:p>
        </w:tc>
      </w:tr>
      <w:tr w:rsidR="003B6709" w:rsidRPr="00ED43CF" w14:paraId="0C6FDF11" w14:textId="77777777">
        <w:trPr>
          <w:cantSplit/>
          <w:trHeight w:val="23"/>
        </w:trPr>
        <w:tc>
          <w:tcPr>
            <w:tcW w:w="6345" w:type="dxa"/>
            <w:vMerge/>
          </w:tcPr>
          <w:p w14:paraId="107F90B9" w14:textId="77777777" w:rsidR="003B6709" w:rsidRPr="00ED43CF" w:rsidRDefault="003B6709" w:rsidP="003B670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8DFCAB3" w14:textId="4C473AE4" w:rsidR="003B6709" w:rsidRPr="00ED43CF" w:rsidRDefault="003B6709" w:rsidP="003B670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D43CF">
              <w:rPr>
                <w:rFonts w:ascii="Verdana" w:hAnsi="Verdana"/>
                <w:b/>
                <w:sz w:val="20"/>
              </w:rPr>
              <w:t>24 de octubre de 2019</w:t>
            </w:r>
          </w:p>
        </w:tc>
      </w:tr>
      <w:tr w:rsidR="003B6709" w:rsidRPr="00ED43CF" w14:paraId="10C51493" w14:textId="77777777">
        <w:trPr>
          <w:cantSplit/>
          <w:trHeight w:val="23"/>
        </w:trPr>
        <w:tc>
          <w:tcPr>
            <w:tcW w:w="6345" w:type="dxa"/>
            <w:vMerge/>
          </w:tcPr>
          <w:p w14:paraId="3ACD3ED5" w14:textId="77777777" w:rsidR="003B6709" w:rsidRPr="00ED43CF" w:rsidRDefault="003B6709" w:rsidP="003B670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EF038EF" w14:textId="77777777" w:rsidR="003B6709" w:rsidRPr="00ED43CF" w:rsidRDefault="003B6709" w:rsidP="003B670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D43C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3B6709" w:rsidRPr="00ED43CF" w14:paraId="3613C1F6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73B306AB" w14:textId="4F0F45C5" w:rsidR="003B6709" w:rsidRPr="00ED43CF" w:rsidRDefault="003B6709" w:rsidP="003B6709">
            <w:pPr>
              <w:pStyle w:val="Source"/>
            </w:pPr>
            <w:r w:rsidRPr="00ED43CF">
              <w:t>Comisión de Control del Presupuesto</w:t>
            </w:r>
          </w:p>
        </w:tc>
      </w:tr>
      <w:tr w:rsidR="003B6709" w:rsidRPr="00ED43CF" w14:paraId="664552D2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2F04CD50" w14:textId="6805DCAB" w:rsidR="003B6709" w:rsidRPr="00ED43CF" w:rsidRDefault="003B6709" w:rsidP="003B6709">
            <w:pPr>
              <w:pStyle w:val="Title1"/>
            </w:pPr>
            <w:r w:rsidRPr="00ED43CF">
              <w:t xml:space="preserve">PROYECTO DE INFORME DE LA COMISIÓN DE CONTROL </w:t>
            </w:r>
            <w:r w:rsidRPr="00ED43CF">
              <w:br/>
            </w:r>
            <w:r w:rsidRPr="00ED43CF">
              <w:t>DEL PRESUPUESTO A LA SESIÓN PLENARIA</w:t>
            </w:r>
          </w:p>
        </w:tc>
      </w:tr>
      <w:tr w:rsidR="003B6709" w:rsidRPr="00ED43CF" w14:paraId="3B50F5FB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0C873D8D" w14:textId="77777777" w:rsidR="003B6709" w:rsidRPr="00ED43CF" w:rsidRDefault="003B6709" w:rsidP="003B6709">
            <w:pPr>
              <w:pStyle w:val="Title2"/>
            </w:pPr>
          </w:p>
        </w:tc>
      </w:tr>
    </w:tbl>
    <w:p w14:paraId="1642CBE1" w14:textId="43EF88C4" w:rsidR="003B6709" w:rsidRPr="00ED43CF" w:rsidRDefault="003B6709" w:rsidP="003B6709">
      <w:r w:rsidRPr="00ED43CF">
        <w:t>1</w:t>
      </w:r>
      <w:r w:rsidRPr="00ED43CF">
        <w:tab/>
        <w:t>La Comisión de Control del Presupuesto se reunió una vez durante la Asamblea de Radiocomunicaciones y examinó documentos relativos a los siguientes puntos:</w:t>
      </w:r>
    </w:p>
    <w:p w14:paraId="1B943262" w14:textId="575E93EE" w:rsidR="003B6709" w:rsidRPr="00ED43CF" w:rsidRDefault="003B6709" w:rsidP="003B6709">
      <w:pPr>
        <w:pStyle w:val="enumlev1"/>
      </w:pPr>
      <w:r w:rsidRPr="00ED43CF">
        <w:t>1.1</w:t>
      </w:r>
      <w:r w:rsidRPr="00ED43CF">
        <w:tab/>
        <w:t>Propuesta para la organización de la Asamblea de Radiocomunicaciones (AR-19)</w:t>
      </w:r>
      <w:r w:rsidRPr="00ED43CF">
        <w:t>.</w:t>
      </w:r>
    </w:p>
    <w:p w14:paraId="1F5DA38F" w14:textId="625DEB4C" w:rsidR="003B6709" w:rsidRPr="00ED43CF" w:rsidRDefault="003B6709" w:rsidP="003B6709">
      <w:pPr>
        <w:pStyle w:val="enumlev1"/>
      </w:pPr>
      <w:r w:rsidRPr="00ED43CF">
        <w:t>1.2</w:t>
      </w:r>
      <w:r w:rsidRPr="00ED43CF">
        <w:tab/>
        <w:t>Acuerdo con el país anfitrión para la organización de la AR-19 en Egipto</w:t>
      </w:r>
      <w:r w:rsidRPr="00ED43CF">
        <w:t>.</w:t>
      </w:r>
    </w:p>
    <w:p w14:paraId="66586323" w14:textId="4818BAA5" w:rsidR="003B6709" w:rsidRPr="00ED43CF" w:rsidRDefault="003B6709" w:rsidP="003B6709">
      <w:pPr>
        <w:pStyle w:val="enumlev1"/>
      </w:pPr>
      <w:r w:rsidRPr="00ED43CF">
        <w:t>1.3</w:t>
      </w:r>
      <w:r w:rsidRPr="00ED43CF">
        <w:tab/>
        <w:t>Responsabilidades financieras de las conferencias</w:t>
      </w:r>
      <w:r w:rsidRPr="00ED43CF">
        <w:t>.</w:t>
      </w:r>
    </w:p>
    <w:p w14:paraId="67E02CC6" w14:textId="77BD2554" w:rsidR="003B6709" w:rsidRPr="00ED43CF" w:rsidRDefault="003B6709" w:rsidP="003B6709">
      <w:pPr>
        <w:pStyle w:val="enumlev1"/>
      </w:pPr>
      <w:r w:rsidRPr="00ED43CF">
        <w:t>1.4</w:t>
      </w:r>
      <w:r w:rsidRPr="00ED43CF">
        <w:tab/>
        <w:t>Presupuesto de la Asamblea de Radiocomunicaciones</w:t>
      </w:r>
      <w:r w:rsidRPr="00ED43CF">
        <w:t>.</w:t>
      </w:r>
    </w:p>
    <w:p w14:paraId="1E2299D3" w14:textId="2E4DFC1B" w:rsidR="003B6709" w:rsidRPr="00ED43CF" w:rsidRDefault="003B6709" w:rsidP="003B6709">
      <w:pPr>
        <w:pStyle w:val="enumlev1"/>
      </w:pPr>
      <w:r w:rsidRPr="00ED43CF">
        <w:t>1.5</w:t>
      </w:r>
      <w:r w:rsidRPr="00ED43CF">
        <w:tab/>
        <w:t>Contribución de organizaciones de carácter internacional y de Miembros de los Sectores para sufragar los gastos de la Asamblea de Radiocomunicaciones (AR</w:t>
      </w:r>
      <w:r w:rsidRPr="00ED43CF">
        <w:noBreakHyphen/>
        <w:t>19)</w:t>
      </w:r>
      <w:r w:rsidRPr="00ED43CF">
        <w:t>.</w:t>
      </w:r>
    </w:p>
    <w:p w14:paraId="3073EABA" w14:textId="00CD6391" w:rsidR="003B6709" w:rsidRPr="00ED43CF" w:rsidRDefault="003B6709" w:rsidP="003B6709">
      <w:pPr>
        <w:pStyle w:val="enumlev1"/>
      </w:pPr>
      <w:r w:rsidRPr="00ED43CF">
        <w:t>1.6</w:t>
      </w:r>
      <w:r w:rsidRPr="00ED43CF">
        <w:tab/>
        <w:t>Estado de cuentas de la Asamblea de Radiocomunicaciones al 22 de octubre de 2019</w:t>
      </w:r>
      <w:r w:rsidRPr="00ED43CF">
        <w:t>.</w:t>
      </w:r>
    </w:p>
    <w:p w14:paraId="6A00A873" w14:textId="6271574A" w:rsidR="003B6709" w:rsidRPr="00ED43CF" w:rsidRDefault="003B6709" w:rsidP="003B6709">
      <w:pPr>
        <w:pStyle w:val="enumlev1"/>
      </w:pPr>
      <w:r w:rsidRPr="00ED43CF">
        <w:t>1.7</w:t>
      </w:r>
      <w:r w:rsidRPr="00ED43CF">
        <w:tab/>
        <w:t>Informe del Director de la Oficina de Radiocomunicaciones</w:t>
      </w:r>
      <w:r w:rsidRPr="00ED43CF">
        <w:t>.</w:t>
      </w:r>
    </w:p>
    <w:p w14:paraId="364B3D89" w14:textId="312E92C4" w:rsidR="003B6709" w:rsidRPr="00ED43CF" w:rsidRDefault="003B6709" w:rsidP="003B6709">
      <w:pPr>
        <w:pStyle w:val="Heading1"/>
        <w:rPr>
          <w:bCs/>
        </w:rPr>
      </w:pPr>
      <w:r w:rsidRPr="00ED43CF">
        <w:t>2</w:t>
      </w:r>
      <w:r w:rsidRPr="00ED43CF">
        <w:tab/>
        <w:t xml:space="preserve">Propuesta para la organización de la Asamblea de Radiocomunicaciones </w:t>
      </w:r>
      <w:r w:rsidRPr="00ED43CF">
        <w:rPr>
          <w:bCs/>
        </w:rPr>
        <w:t>(Documento RA-19/ADM4)</w:t>
      </w:r>
    </w:p>
    <w:p w14:paraId="7F8490F9" w14:textId="77777777" w:rsidR="003B6709" w:rsidRPr="00ED43CF" w:rsidRDefault="003B6709" w:rsidP="003B6709">
      <w:r w:rsidRPr="00ED43CF">
        <w:t>2.1</w:t>
      </w:r>
      <w:r w:rsidRPr="00ED43CF">
        <w:tab/>
        <w:t>La Comisión tomó nota del documento y no se formularon observaciones sobre la organización, la estructura y las instalaciones de la Asamblea facilitadas por el país anfitrión, ni las disposiciones administrativas del Secretario General. También tomó nota del documento presentado y aprobado por la Plenaria.</w:t>
      </w:r>
    </w:p>
    <w:p w14:paraId="1BBAA95B" w14:textId="62C1492F" w:rsidR="003B6709" w:rsidRPr="00ED43CF" w:rsidRDefault="003B6709" w:rsidP="003B6709">
      <w:pPr>
        <w:pStyle w:val="Heading1"/>
      </w:pPr>
      <w:r w:rsidRPr="00ED43CF">
        <w:t>3</w:t>
      </w:r>
      <w:r w:rsidRPr="00ED43CF">
        <w:tab/>
        <w:t>Acuerdo con el país anfitrión para la organización de la AR-19 en Egipto</w:t>
      </w:r>
      <w:r w:rsidRPr="00ED43CF">
        <w:rPr>
          <w:bCs/>
        </w:rPr>
        <w:t xml:space="preserve"> (Documento RA-19/PLEN/32)</w:t>
      </w:r>
    </w:p>
    <w:p w14:paraId="62FFB623" w14:textId="77777777" w:rsidR="003B6709" w:rsidRPr="00ED43CF" w:rsidRDefault="003B6709" w:rsidP="003B6709">
      <w:pPr>
        <w:rPr>
          <w:rFonts w:eastAsia="SimSun"/>
          <w:lang w:eastAsia="zh-CN"/>
        </w:rPr>
      </w:pPr>
      <w:r w:rsidRPr="00ED43CF">
        <w:rPr>
          <w:rFonts w:eastAsia="SimSun"/>
          <w:lang w:eastAsia="zh-CN"/>
        </w:rPr>
        <w:t>3.1</w:t>
      </w:r>
      <w:r w:rsidRPr="00ED43CF">
        <w:rPr>
          <w:rFonts w:eastAsia="SimSun"/>
          <w:lang w:eastAsia="zh-CN"/>
        </w:rPr>
        <w:tab/>
        <w:t>Los participantes en la reunión tomaron nota del Acuerdo con el país anfitrión, que ya se había presentado y aprobado sin que se formularan observaciones al respecto. En el documento se describen con detalle las instalaciones facilitadas por el país anfitrión, y se hace hincapié en el Anexo 1 al Acuerdo, en el que figura información financiera detallada para la organización de la Asamblea.</w:t>
      </w:r>
    </w:p>
    <w:p w14:paraId="06FB51C2" w14:textId="77777777" w:rsidR="003B6709" w:rsidRPr="00ED43CF" w:rsidRDefault="003B6709" w:rsidP="003B6709">
      <w:pPr>
        <w:rPr>
          <w:rFonts w:eastAsia="SimSun"/>
          <w:lang w:eastAsia="zh-CN"/>
        </w:rPr>
      </w:pPr>
      <w:r w:rsidRPr="00ED43CF">
        <w:rPr>
          <w:rFonts w:eastAsia="SimSun"/>
          <w:lang w:eastAsia="zh-CN"/>
        </w:rPr>
        <w:t>3.2</w:t>
      </w:r>
      <w:r w:rsidRPr="00ED43CF">
        <w:rPr>
          <w:rFonts w:eastAsia="SimSun"/>
          <w:lang w:eastAsia="zh-CN"/>
        </w:rPr>
        <w:tab/>
        <w:t>La Comisión consideró que la organización y las disposiciones adoptadas por el Gobierno de la República Árabe de Egipto y el Secretario General habían sido plenamente satisfactorias y dio las gracias a todos ellos y a su personal.</w:t>
      </w:r>
    </w:p>
    <w:p w14:paraId="727C284F" w14:textId="77777777" w:rsidR="003B6709" w:rsidRPr="00ED43CF" w:rsidRDefault="003B6709" w:rsidP="003B6709">
      <w:pPr>
        <w:rPr>
          <w:rFonts w:eastAsia="SimSun"/>
          <w:lang w:eastAsia="zh-CN"/>
        </w:rPr>
      </w:pPr>
      <w:r w:rsidRPr="00ED43CF">
        <w:rPr>
          <w:rFonts w:eastAsia="SimSun"/>
          <w:lang w:eastAsia="zh-CN"/>
        </w:rPr>
        <w:lastRenderedPageBreak/>
        <w:t>3.3</w:t>
      </w:r>
      <w:r w:rsidRPr="00ED43CF">
        <w:rPr>
          <w:rFonts w:eastAsia="SimSun"/>
          <w:lang w:eastAsia="zh-CN"/>
        </w:rPr>
        <w:tab/>
        <w:t>La Comisión de Control del Presupuesto tomó nota del Acuerdo y expresó su profundo agradecimiento al Gobierno de la República Árabe de Egipto por la magnífica organización y las excelentes instalaciones proporcionadas a la Conferencia.</w:t>
      </w:r>
    </w:p>
    <w:p w14:paraId="20235EAE" w14:textId="2256BAC5" w:rsidR="003B6709" w:rsidRPr="00ED43CF" w:rsidRDefault="003B6709" w:rsidP="003B6709">
      <w:pPr>
        <w:pStyle w:val="Heading1"/>
        <w:rPr>
          <w:rFonts w:eastAsia="SimSun"/>
          <w:lang w:eastAsia="zh-CN"/>
        </w:rPr>
      </w:pPr>
      <w:r w:rsidRPr="00ED43CF">
        <w:rPr>
          <w:rFonts w:eastAsia="SimSun"/>
          <w:lang w:eastAsia="zh-CN"/>
        </w:rPr>
        <w:t>4</w:t>
      </w:r>
      <w:r w:rsidRPr="00ED43CF">
        <w:rPr>
          <w:rFonts w:eastAsia="SimSun"/>
          <w:lang w:eastAsia="zh-CN"/>
        </w:rPr>
        <w:tab/>
      </w:r>
      <w:r w:rsidRPr="00ED43CF">
        <w:t xml:space="preserve">Responsabilidades financieras de las conferencias </w:t>
      </w:r>
      <w:r w:rsidRPr="00ED43CF">
        <w:rPr>
          <w:bCs/>
        </w:rPr>
        <w:t>(Documento</w:t>
      </w:r>
      <w:r w:rsidR="00404C4E" w:rsidRPr="00ED43CF">
        <w:rPr>
          <w:bCs/>
        </w:rPr>
        <w:t> </w:t>
      </w:r>
      <w:r w:rsidRPr="00ED43CF">
        <w:rPr>
          <w:bCs/>
        </w:rPr>
        <w:t>RA</w:t>
      </w:r>
      <w:r w:rsidR="00404C4E" w:rsidRPr="00ED43CF">
        <w:rPr>
          <w:bCs/>
        </w:rPr>
        <w:noBreakHyphen/>
      </w:r>
      <w:r w:rsidRPr="00ED43CF">
        <w:rPr>
          <w:bCs/>
        </w:rPr>
        <w:t>19/PLEN/5)</w:t>
      </w:r>
    </w:p>
    <w:p w14:paraId="07F3F5FB" w14:textId="77777777" w:rsidR="003B6709" w:rsidRPr="00ED43CF" w:rsidRDefault="003B6709" w:rsidP="003B6709">
      <w:r w:rsidRPr="00ED43CF">
        <w:t>4.1</w:t>
      </w:r>
      <w:r w:rsidRPr="00ED43CF">
        <w:tab/>
        <w:t>Se señala a la atención de la Asamblea el número 92 (Artículo 13) de la Constitución de la Unión Internacional de Telecomunicaciones, que estipula:</w:t>
      </w:r>
    </w:p>
    <w:p w14:paraId="35305D93" w14:textId="424F4C44" w:rsidR="003B6709" w:rsidRPr="00ED43CF" w:rsidRDefault="002D65AE" w:rsidP="003B6709">
      <w:r w:rsidRPr="00ED43CF">
        <w:t>«</w:t>
      </w:r>
      <w:r w:rsidR="003B6709" w:rsidRPr="00ED43CF">
        <w:t>Las decisiones de las Conferencias Mundiales de Radiocomunicaciones, de las Asambleas de Radiocomunicaciones y de las Conferencias Regionales de Radiocomunicaciones se ajustarán en todos los casos a la presente Constitución y al Convenio. Las decisiones de las Asambleas de Radiocomunicaciones o de las Conferencias Regionales de Radiocomunicaciones se ajustarán también en todos los casos al Reglamento de Radiocomunicaciones. Al adoptar Resoluciones y decisiones, las conferencias tendrán en cuenta sus repercusiones financieras previsibles y deberían evitar la adopción de aquellas que puedan traer consigo el rebasamiento de los límites financieros fijados por la Conferencia de Plenipotenciarios.</w:t>
      </w:r>
      <w:r w:rsidRPr="00ED43CF">
        <w:t>»</w:t>
      </w:r>
    </w:p>
    <w:p w14:paraId="1B829D82" w14:textId="77777777" w:rsidR="003B6709" w:rsidRPr="00ED43CF" w:rsidRDefault="003B6709" w:rsidP="003B6709">
      <w:r w:rsidRPr="00ED43CF">
        <w:t>Se señala también a la atención de la Asamblea los números 488 y 489 del Artículo 34 del Convenio de la Unión Internacional de Telecomunicaciones, que estipulan:</w:t>
      </w:r>
    </w:p>
    <w:p w14:paraId="7CE1342D" w14:textId="1BEC16E3" w:rsidR="003B6709" w:rsidRPr="00ED43CF" w:rsidRDefault="00831EA2" w:rsidP="003B6709">
      <w:r w:rsidRPr="00ED43CF">
        <w:t>«</w:t>
      </w:r>
      <w:r w:rsidR="003B6709" w:rsidRPr="00ED43CF">
        <w:t>Antes de adoptar propuestas o de tomar decisiones que tengan repercusiones financieras, las conferencias de la Unión tendrán presentes todas las previsiones presupuestarias de la Unión para cerciorarse de que no entrañan gastos superiores a los créditos que el Consejo está facultado para autorizar.</w:t>
      </w:r>
    </w:p>
    <w:p w14:paraId="669BAC24" w14:textId="0C8734E2" w:rsidR="003B6709" w:rsidRPr="00ED43CF" w:rsidRDefault="003B6709" w:rsidP="003B6709">
      <w:r w:rsidRPr="00ED43CF">
        <w:t>No se llevará a efecto ninguna decisión de una conferencia que entrañe un aumento directo o indirecto de los gastos por encima de los créditos que el Consejo está facultado para autorizar.</w:t>
      </w:r>
      <w:r w:rsidR="00D44BF8" w:rsidRPr="00ED43CF">
        <w:t>»</w:t>
      </w:r>
    </w:p>
    <w:p w14:paraId="7D27BC6A" w14:textId="574ACA02" w:rsidR="003B6709" w:rsidRPr="00ED43CF" w:rsidRDefault="003B6709" w:rsidP="003B6709">
      <w:pPr>
        <w:rPr>
          <w:rFonts w:eastAsia="SimSun"/>
          <w:lang w:eastAsia="zh-CN"/>
        </w:rPr>
      </w:pPr>
      <w:r w:rsidRPr="00ED43CF">
        <w:rPr>
          <w:rFonts w:asciiTheme="majorBidi" w:hAnsiTheme="majorBidi" w:cstheme="majorBidi"/>
        </w:rPr>
        <w:t>4.2</w:t>
      </w:r>
      <w:r w:rsidRPr="00ED43CF">
        <w:rPr>
          <w:rFonts w:asciiTheme="majorBidi" w:hAnsiTheme="majorBidi" w:cstheme="majorBidi"/>
        </w:rPr>
        <w:tab/>
        <w:t>La Comisión, en su reunión, no estaba en condiciones de asegurar que no se tomaría decisión alguna que pudiera tener consecuencias financieras para la UIT.</w:t>
      </w:r>
    </w:p>
    <w:p w14:paraId="78741874" w14:textId="77777777" w:rsidR="003B6709" w:rsidRPr="00ED43CF" w:rsidRDefault="003B6709" w:rsidP="003B6709">
      <w:pPr>
        <w:rPr>
          <w:rFonts w:eastAsia="SimSun"/>
          <w:lang w:eastAsia="zh-CN"/>
        </w:rPr>
      </w:pPr>
      <w:r w:rsidRPr="00ED43CF">
        <w:rPr>
          <w:rFonts w:eastAsia="SimSun"/>
          <w:lang w:eastAsia="zh-CN"/>
        </w:rPr>
        <w:t>Sin embargo, se señaló que de tomarse una decisión o presentarse una situación que pudiera tener alguna consecuencia financiera, el Presidente de la Comisión 2 informaría de ello a la Plenaria.</w:t>
      </w:r>
    </w:p>
    <w:p w14:paraId="18DB145A" w14:textId="77777777" w:rsidR="003B6709" w:rsidRPr="00ED43CF" w:rsidRDefault="003B6709" w:rsidP="003B6709">
      <w:pPr>
        <w:pStyle w:val="Heading1"/>
      </w:pPr>
      <w:r w:rsidRPr="00ED43CF">
        <w:t>5</w:t>
      </w:r>
      <w:r w:rsidRPr="00ED43CF">
        <w:tab/>
        <w:t>Contribuciones de organizaciones de carácter internacional y de Miembros de Sector para sufragar los gastos de la Asamblea de Radiocomunicaciones (Documento PLEN/4)</w:t>
      </w:r>
    </w:p>
    <w:p w14:paraId="27A87E10" w14:textId="7CEBB812" w:rsidR="003B6709" w:rsidRPr="00ED43CF" w:rsidRDefault="003B6709" w:rsidP="003B6709">
      <w:pPr>
        <w:rPr>
          <w:rFonts w:eastAsia="SimSun"/>
          <w:lang w:eastAsia="zh-CN"/>
        </w:rPr>
      </w:pPr>
      <w:r w:rsidRPr="00ED43CF">
        <w:t>5.1</w:t>
      </w:r>
      <w:r w:rsidRPr="00ED43CF">
        <w:rPr>
          <w:b/>
          <w:bCs/>
        </w:rPr>
        <w:tab/>
      </w:r>
      <w:r w:rsidRPr="00ED43CF">
        <w:t>La</w:t>
      </w:r>
      <w:r w:rsidRPr="00ED43CF">
        <w:rPr>
          <w:b/>
          <w:bCs/>
        </w:rPr>
        <w:t xml:space="preserve"> </w:t>
      </w:r>
      <w:r w:rsidRPr="00ED43CF">
        <w:rPr>
          <w:rFonts w:eastAsia="SimSun"/>
          <w:lang w:eastAsia="zh-CN"/>
        </w:rPr>
        <w:t>Comisión tomó nota del importe (2</w:t>
      </w:r>
      <w:r w:rsidR="00486AE3" w:rsidRPr="00ED43CF">
        <w:rPr>
          <w:rFonts w:eastAsia="SimSun"/>
          <w:lang w:eastAsia="zh-CN"/>
        </w:rPr>
        <w:t> </w:t>
      </w:r>
      <w:r w:rsidRPr="00ED43CF">
        <w:rPr>
          <w:rFonts w:eastAsia="SimSun"/>
          <w:lang w:eastAsia="zh-CN"/>
        </w:rPr>
        <w:t>131 CHF) que las organizaciones internacionales no exoneradas y los Miembros de Sector debían abonar para sufragar los gastos de la Asamblea.</w:t>
      </w:r>
    </w:p>
    <w:p w14:paraId="05F8FC97" w14:textId="77777777" w:rsidR="003B6709" w:rsidRPr="00ED43CF" w:rsidRDefault="003B6709" w:rsidP="003B6709">
      <w:pPr>
        <w:rPr>
          <w:rFonts w:eastAsia="SimSun"/>
          <w:lang w:eastAsia="zh-CN"/>
        </w:rPr>
      </w:pPr>
      <w:r w:rsidRPr="00ED43CF">
        <w:rPr>
          <w:rFonts w:eastAsia="SimSun"/>
          <w:lang w:eastAsia="zh-CN"/>
        </w:rPr>
        <w:t>5.2</w:t>
      </w:r>
      <w:r w:rsidRPr="00ED43CF">
        <w:rPr>
          <w:rFonts w:eastAsia="SimSun"/>
          <w:lang w:eastAsia="zh-CN"/>
        </w:rPr>
        <w:tab/>
        <w:t>A 24 de octubre de 2019, no se ha registrado ninguna organización ni Miembro de Sector que deba participar en los gastos de la Asamblea.</w:t>
      </w:r>
    </w:p>
    <w:p w14:paraId="3BFED8FD" w14:textId="77777777" w:rsidR="003B6709" w:rsidRPr="00ED43CF" w:rsidRDefault="003B6709" w:rsidP="003B6709">
      <w:pPr>
        <w:pStyle w:val="Heading1"/>
        <w:rPr>
          <w:rFonts w:eastAsia="SimSun"/>
          <w:lang w:eastAsia="zh-CN"/>
        </w:rPr>
      </w:pPr>
      <w:r w:rsidRPr="00ED43CF">
        <w:rPr>
          <w:rFonts w:eastAsia="SimSun"/>
          <w:lang w:eastAsia="zh-CN"/>
        </w:rPr>
        <w:t>6</w:t>
      </w:r>
      <w:r w:rsidRPr="00ED43CF">
        <w:rPr>
          <w:rFonts w:eastAsia="SimSun"/>
          <w:lang w:eastAsia="zh-CN"/>
        </w:rPr>
        <w:tab/>
      </w:r>
      <w:r w:rsidRPr="00ED43CF">
        <w:t xml:space="preserve">Presupuesto y gastos de la Asamblea de Radiocomunicaciones </w:t>
      </w:r>
      <w:r w:rsidRPr="00ED43CF">
        <w:rPr>
          <w:bCs/>
        </w:rPr>
        <w:t>(Documentos RA-19/PLEN/3 y RA-19/PLEN/38)</w:t>
      </w:r>
    </w:p>
    <w:p w14:paraId="3AD73B3A" w14:textId="6EADB267" w:rsidR="003B6709" w:rsidRPr="00ED43CF" w:rsidRDefault="003B6709" w:rsidP="003B6709">
      <w:pPr>
        <w:rPr>
          <w:b/>
          <w:bCs/>
        </w:rPr>
      </w:pPr>
      <w:r w:rsidRPr="00ED43CF">
        <w:t>6.1</w:t>
      </w:r>
      <w:r w:rsidRPr="00ED43CF">
        <w:tab/>
        <w:t>El presupuesto de la Asamblea de Radiocomunicaciones de 2019, aprobado por el Consejo en su reunión de 2017 mediante la Resolución 1387, asciende a un total de 734</w:t>
      </w:r>
      <w:r w:rsidR="002A6656" w:rsidRPr="00ED43CF">
        <w:t> </w:t>
      </w:r>
      <w:r w:rsidRPr="00ED43CF">
        <w:t xml:space="preserve">000 CHF, incluidos todos los gastos operacionales y de documentación, que se indican en el </w:t>
      </w:r>
      <w:r w:rsidRPr="00ED43CF">
        <w:rPr>
          <w:b/>
          <w:bCs/>
        </w:rPr>
        <w:t>Documento</w:t>
      </w:r>
      <w:r w:rsidR="002A6656" w:rsidRPr="00ED43CF">
        <w:rPr>
          <w:b/>
          <w:bCs/>
        </w:rPr>
        <w:t> </w:t>
      </w:r>
      <w:r w:rsidRPr="00ED43CF">
        <w:rPr>
          <w:b/>
          <w:bCs/>
        </w:rPr>
        <w:t>RA</w:t>
      </w:r>
      <w:r w:rsidR="002A6656" w:rsidRPr="00ED43CF">
        <w:rPr>
          <w:b/>
          <w:bCs/>
        </w:rPr>
        <w:noBreakHyphen/>
      </w:r>
      <w:r w:rsidRPr="00ED43CF">
        <w:rPr>
          <w:b/>
          <w:bCs/>
        </w:rPr>
        <w:t>19/PLEN/3</w:t>
      </w:r>
      <w:r w:rsidRPr="00ED43CF">
        <w:t>.</w:t>
      </w:r>
    </w:p>
    <w:p w14:paraId="6E07E753" w14:textId="338276B1" w:rsidR="003B6709" w:rsidRPr="00ED43CF" w:rsidRDefault="003B6709" w:rsidP="003B6709">
      <w:r w:rsidRPr="00ED43CF">
        <w:lastRenderedPageBreak/>
        <w:t>6.2</w:t>
      </w:r>
      <w:r w:rsidRPr="00ED43CF">
        <w:tab/>
        <w:t xml:space="preserve">En el </w:t>
      </w:r>
      <w:r w:rsidR="00401601" w:rsidRPr="00ED43CF">
        <w:t xml:space="preserve">cuadro </w:t>
      </w:r>
      <w:r w:rsidRPr="00ED43CF">
        <w:t xml:space="preserve">del Anexo al </w:t>
      </w:r>
      <w:r w:rsidRPr="00ED43CF">
        <w:rPr>
          <w:b/>
          <w:bCs/>
        </w:rPr>
        <w:t>Documento RA-19/PLEN/38</w:t>
      </w:r>
      <w:r w:rsidRPr="00ED43CF">
        <w:t xml:space="preserve"> figuran los estados financieros a 22 de octubre de 2019. La Comisión ha hecho una estimación provisional del coste total de la Asamblea, que asciende a aproximadamente 216</w:t>
      </w:r>
      <w:r w:rsidR="00401601" w:rsidRPr="00ED43CF">
        <w:t> </w:t>
      </w:r>
      <w:r w:rsidRPr="00ED43CF">
        <w:t>000</w:t>
      </w:r>
      <w:r w:rsidR="00401601" w:rsidRPr="00ED43CF">
        <w:t> </w:t>
      </w:r>
      <w:r w:rsidRPr="00ED43CF">
        <w:t xml:space="preserve">CHF, gracias principalmente a varios factores, entre los que cabe mencionar una gestión bien estructurada del control de los costes y la política </w:t>
      </w:r>
      <w:r w:rsidR="00401601" w:rsidRPr="00ED43CF">
        <w:t>«</w:t>
      </w:r>
      <w:r w:rsidRPr="00ED43CF">
        <w:t>sin papel</w:t>
      </w:r>
      <w:r w:rsidR="00401601" w:rsidRPr="00ED43CF">
        <w:t>»</w:t>
      </w:r>
      <w:r w:rsidRPr="00ED43CF">
        <w:t xml:space="preserve"> que se aplica por norma en la UIT. También tomó nota de los esfuerzos desplegados por los </w:t>
      </w:r>
      <w:r w:rsidR="00401601" w:rsidRPr="00ED43CF">
        <w:t xml:space="preserve">miembros </w:t>
      </w:r>
      <w:r w:rsidRPr="00ED43CF">
        <w:t>para adherirse al enfoque de gestión mejorada de las conferencias y asambleas de la</w:t>
      </w:r>
      <w:r w:rsidR="00401601" w:rsidRPr="00ED43CF">
        <w:t> </w:t>
      </w:r>
      <w:r w:rsidRPr="00ED43CF">
        <w:t>UIT.</w:t>
      </w:r>
    </w:p>
    <w:p w14:paraId="40425164" w14:textId="2F1036B9" w:rsidR="003B6709" w:rsidRPr="00ED43CF" w:rsidRDefault="003B6709" w:rsidP="003B6709">
      <w:r w:rsidRPr="00ED43CF">
        <w:t>6.3</w:t>
      </w:r>
      <w:r w:rsidRPr="00ED43CF">
        <w:tab/>
        <w:t>Dos administraciones solicitaron aclaraciones relacionadas con el coste que estaban asumiendo la UIT y el país anfitrión en un contexto en que una administración estaba organizando el evento fuera de la UIT. La Secretaría facilitó respuestas satisfactorias sobre las responsabilidades del país anfitrión y los costes sufragados con cargo al presupuesto ordinario de la UIT.</w:t>
      </w:r>
    </w:p>
    <w:p w14:paraId="4B393515" w14:textId="77777777" w:rsidR="003B6709" w:rsidRPr="00ED43CF" w:rsidRDefault="003B6709" w:rsidP="003B6709">
      <w:pPr>
        <w:pStyle w:val="Heading1"/>
      </w:pPr>
      <w:r w:rsidRPr="00ED43CF">
        <w:t>7</w:t>
      </w:r>
      <w:r w:rsidRPr="00ED43CF">
        <w:tab/>
        <w:t xml:space="preserve">Informe del Director de la Oficina de Radiocomunicaciones </w:t>
      </w:r>
      <w:r w:rsidRPr="00ED43CF">
        <w:rPr>
          <w:bCs/>
        </w:rPr>
        <w:t>(Documento RA-19/PLEN/1)</w:t>
      </w:r>
    </w:p>
    <w:p w14:paraId="6CB6329B" w14:textId="77777777" w:rsidR="003B6709" w:rsidRPr="00ED43CF" w:rsidRDefault="003B6709" w:rsidP="003B6709">
      <w:r w:rsidRPr="00ED43CF">
        <w:t>7.1</w:t>
      </w:r>
      <w:r w:rsidRPr="00ED43CF">
        <w:tab/>
        <w:t xml:space="preserve">La Comisión de la Asamblea tomó nota del Informe del Director de la Oficina de Radiocomunicaciones, contenido en el </w:t>
      </w:r>
      <w:r w:rsidRPr="00ED43CF">
        <w:rPr>
          <w:b/>
          <w:bCs/>
        </w:rPr>
        <w:t>Documento RA-19/PLEN/1</w:t>
      </w:r>
      <w:r w:rsidRPr="00ED43CF">
        <w:t xml:space="preserve">, en el que se destacan las actividades de las Comisiones de Estudio durante el último ciclo (2016-2019). En el Informe se describen los trabajos de las seis Comisiones de Estudio, del Comité de Coordinación del Vocabulario (CCV) y de las Reuniones Preparatorias de la Conferencia y otras actividades conexas. Los estados financieros para el periodo correspondiente figuran en la Sección 10 </w:t>
      </w:r>
      <w:r w:rsidRPr="00ED43CF">
        <w:rPr>
          <w:b/>
          <w:bCs/>
        </w:rPr>
        <w:t xml:space="preserve">(RA-19/PLEN/1) </w:t>
      </w:r>
      <w:r w:rsidRPr="00ED43CF">
        <w:t>del</w:t>
      </w:r>
      <w:r w:rsidRPr="00ED43CF">
        <w:rPr>
          <w:b/>
          <w:bCs/>
        </w:rPr>
        <w:t xml:space="preserve"> </w:t>
      </w:r>
      <w:r w:rsidRPr="00ED43CF">
        <w:t>Informe.</w:t>
      </w:r>
    </w:p>
    <w:p w14:paraId="7F2B3D64" w14:textId="46475B14" w:rsidR="003B6709" w:rsidRPr="00ED43CF" w:rsidRDefault="003B6709" w:rsidP="003B6709">
      <w:r w:rsidRPr="00ED43CF">
        <w:t>8</w:t>
      </w:r>
      <w:r w:rsidRPr="00ED43CF">
        <w:tab/>
        <w:t>Se invita a la Asamblea de Radiocomunicaciones a que examine y apruebe el presente Informe que se remitirá al Secretario General, con los comentarios de la Sesión Plenaria, para que la transmita al Consejo en su próxima reunión de 2020.</w:t>
      </w:r>
    </w:p>
    <w:p w14:paraId="38DF284E" w14:textId="77777777" w:rsidR="003B6709" w:rsidRPr="00ED43CF" w:rsidRDefault="003B6709" w:rsidP="00A112CD">
      <w:pPr>
        <w:tabs>
          <w:tab w:val="clear" w:pos="1134"/>
          <w:tab w:val="clear" w:pos="1871"/>
          <w:tab w:val="clear" w:pos="2268"/>
          <w:tab w:val="left" w:pos="4962"/>
          <w:tab w:val="left" w:pos="6379"/>
        </w:tabs>
        <w:spacing w:before="1080"/>
        <w:jc w:val="center"/>
      </w:pPr>
      <w:r w:rsidRPr="00ED43CF">
        <w:tab/>
        <w:t>Daniel OBAM</w:t>
      </w:r>
      <w:r w:rsidRPr="00ED43CF">
        <w:br/>
      </w:r>
      <w:r w:rsidRPr="00ED43CF">
        <w:tab/>
        <w:t>Presidente de la Comisión 2</w:t>
      </w:r>
    </w:p>
    <w:p w14:paraId="10FACEC3" w14:textId="77777777" w:rsidR="003B6709" w:rsidRPr="00ED43CF" w:rsidRDefault="003B6709" w:rsidP="00F35693">
      <w:r w:rsidRPr="00ED43CF">
        <w:br w:type="page"/>
      </w:r>
    </w:p>
    <w:p w14:paraId="64B93F73" w14:textId="77777777" w:rsidR="003B6709" w:rsidRPr="00ED43CF" w:rsidRDefault="003B6709" w:rsidP="003B6709">
      <w:pPr>
        <w:pStyle w:val="AnnexNo"/>
      </w:pPr>
      <w:r w:rsidRPr="00ED43CF">
        <w:lastRenderedPageBreak/>
        <w:t>anexO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549"/>
        <w:gridCol w:w="1280"/>
        <w:gridCol w:w="1393"/>
        <w:gridCol w:w="1259"/>
        <w:gridCol w:w="1158"/>
      </w:tblGrid>
      <w:tr w:rsidR="003B6709" w:rsidRPr="00ED43CF" w14:paraId="130E3EF2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432E" w14:textId="77777777" w:rsidR="003B6709" w:rsidRPr="00ED43CF" w:rsidRDefault="003B6709" w:rsidP="00507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921B1" w14:textId="77777777" w:rsidR="003B6709" w:rsidRPr="00ED43CF" w:rsidRDefault="003B6709" w:rsidP="00507E25">
            <w:pPr>
              <w:pStyle w:val="Tablelegend"/>
              <w:jc w:val="center"/>
              <w:rPr>
                <w:i/>
                <w:iCs/>
                <w:lang w:eastAsia="en-GB"/>
              </w:rPr>
            </w:pPr>
            <w:r w:rsidRPr="00ED43CF">
              <w:rPr>
                <w:i/>
                <w:iCs/>
                <w:lang w:eastAsia="en-GB"/>
              </w:rPr>
              <w:t>Importes en miles de CHF</w:t>
            </w:r>
          </w:p>
        </w:tc>
      </w:tr>
      <w:tr w:rsidR="003B6709" w:rsidRPr="00ED43CF" w14:paraId="74374C67" w14:textId="77777777" w:rsidTr="00A357AA">
        <w:trPr>
          <w:trHeight w:val="12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93DF" w14:textId="77777777" w:rsidR="003B6709" w:rsidRPr="00ED43CF" w:rsidRDefault="003B6709" w:rsidP="00507E25">
            <w:pPr>
              <w:pStyle w:val="Tablehead"/>
              <w:rPr>
                <w:lang w:eastAsia="en-GB"/>
              </w:rPr>
            </w:pPr>
            <w:r w:rsidRPr="00ED43CF">
              <w:rPr>
                <w:lang w:eastAsia="en-GB"/>
              </w:rPr>
              <w:t>Partidas presupuestarias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9033" w14:textId="77777777" w:rsidR="003B6709" w:rsidRPr="00ED43CF" w:rsidRDefault="003B6709" w:rsidP="00507E25">
            <w:pPr>
              <w:pStyle w:val="Tablehead"/>
              <w:rPr>
                <w:lang w:eastAsia="en-GB"/>
              </w:rPr>
            </w:pPr>
            <w:r w:rsidRPr="00ED43CF">
              <w:rPr>
                <w:lang w:eastAsia="en-GB"/>
              </w:rPr>
              <w:t>Presupuesto AR-19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B97" w14:textId="7D9343CB" w:rsidR="003B6709" w:rsidRPr="00ED43CF" w:rsidRDefault="003B6709" w:rsidP="00507E25">
            <w:pPr>
              <w:pStyle w:val="Tablehead"/>
              <w:rPr>
                <w:lang w:eastAsia="en-GB"/>
              </w:rPr>
            </w:pPr>
            <w:r w:rsidRPr="00ED43CF">
              <w:rPr>
                <w:lang w:eastAsia="en-GB"/>
              </w:rPr>
              <w:t>Gastos y compromisos reales al 22 de octubre de</w:t>
            </w:r>
            <w:r w:rsidR="00A357AA" w:rsidRPr="00ED43CF">
              <w:rPr>
                <w:lang w:eastAsia="en-GB"/>
              </w:rPr>
              <w:t> </w:t>
            </w:r>
            <w:r w:rsidRPr="00ED43CF">
              <w:rPr>
                <w:lang w:eastAsia="en-GB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B76" w14:textId="77777777" w:rsidR="003B6709" w:rsidRPr="00ED43CF" w:rsidRDefault="003B6709" w:rsidP="00507E25">
            <w:pPr>
              <w:pStyle w:val="Tablehead"/>
              <w:rPr>
                <w:lang w:eastAsia="en-GB"/>
              </w:rPr>
            </w:pPr>
            <w:r w:rsidRPr="00ED43CF">
              <w:rPr>
                <w:lang w:eastAsia="en-GB"/>
              </w:rPr>
              <w:t>Gastos previstos hasta el final de la Asamblea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BE9" w14:textId="77777777" w:rsidR="003B6709" w:rsidRPr="00ED43CF" w:rsidRDefault="003B6709" w:rsidP="00507E25">
            <w:pPr>
              <w:pStyle w:val="Tablehead"/>
              <w:rPr>
                <w:lang w:eastAsia="en-GB"/>
              </w:rPr>
            </w:pPr>
            <w:r w:rsidRPr="00ED43CF">
              <w:rPr>
                <w:lang w:eastAsia="en-GB"/>
              </w:rPr>
              <w:t>Balance previsto</w:t>
            </w:r>
          </w:p>
        </w:tc>
      </w:tr>
      <w:tr w:rsidR="003B6709" w:rsidRPr="00ED43CF" w14:paraId="5A53D273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058E" w14:textId="77777777" w:rsidR="003B6709" w:rsidRPr="00ED43CF" w:rsidRDefault="003B6709" w:rsidP="00507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eastAsia="en-GB"/>
              </w:rPr>
            </w:pPr>
            <w:r w:rsidRPr="00ED43CF">
              <w:rPr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CF0E" w14:textId="77777777" w:rsidR="003B6709" w:rsidRPr="00ED43CF" w:rsidRDefault="003B6709" w:rsidP="00507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20"/>
                <w:lang w:eastAsia="en-GB"/>
              </w:rPr>
            </w:pPr>
            <w:r w:rsidRPr="00ED43CF">
              <w:rPr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4E50" w14:textId="77777777" w:rsidR="003B6709" w:rsidRPr="00ED43CF" w:rsidRDefault="003B6709" w:rsidP="00507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136" w14:textId="77777777" w:rsidR="003B6709" w:rsidRPr="00ED43CF" w:rsidRDefault="003B6709" w:rsidP="00507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20"/>
                <w:lang w:eastAsia="en-GB"/>
              </w:rPr>
            </w:pPr>
            <w:r w:rsidRPr="00ED43CF">
              <w:rPr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FC4" w14:textId="77777777" w:rsidR="003B6709" w:rsidRPr="00ED43CF" w:rsidRDefault="003B6709" w:rsidP="00507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20"/>
                <w:lang w:eastAsia="en-GB"/>
              </w:rPr>
            </w:pPr>
            <w:r w:rsidRPr="00ED43CF">
              <w:rPr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3B6709" w:rsidRPr="00ED43CF" w14:paraId="2C23618D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7438" w14:textId="77777777" w:rsidR="003B6709" w:rsidRPr="00ED43CF" w:rsidRDefault="003B6709" w:rsidP="00507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20"/>
                <w:lang w:eastAsia="en-GB"/>
              </w:rPr>
            </w:pPr>
            <w:r w:rsidRPr="00ED43CF">
              <w:rPr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7E81" w14:textId="77777777" w:rsidR="003B6709" w:rsidRPr="00ED43CF" w:rsidRDefault="003B6709" w:rsidP="00507E25">
            <w:pPr>
              <w:pStyle w:val="Tabletext"/>
              <w:jc w:val="center"/>
              <w:rPr>
                <w:lang w:eastAsia="en-GB"/>
              </w:rPr>
            </w:pPr>
            <w:r w:rsidRPr="00ED43CF">
              <w:rPr>
                <w:lang w:eastAsia="en-GB"/>
              </w:rPr>
              <w:t>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205DC" w14:textId="77777777" w:rsidR="003B6709" w:rsidRPr="00ED43CF" w:rsidRDefault="003B6709" w:rsidP="00507E25">
            <w:pPr>
              <w:pStyle w:val="Tabletext"/>
              <w:jc w:val="center"/>
              <w:rPr>
                <w:lang w:eastAsia="en-GB"/>
              </w:rPr>
            </w:pPr>
            <w:r w:rsidRPr="00ED43CF">
              <w:rPr>
                <w:lang w:eastAsia="en-GB"/>
              </w:rPr>
              <w:t>b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172" w14:textId="77777777" w:rsidR="003B6709" w:rsidRPr="00ED43CF" w:rsidRDefault="003B6709" w:rsidP="00507E25">
            <w:pPr>
              <w:pStyle w:val="Tabletext"/>
              <w:jc w:val="center"/>
              <w:rPr>
                <w:lang w:eastAsia="en-GB"/>
              </w:rPr>
            </w:pPr>
            <w:r w:rsidRPr="00ED43CF">
              <w:rPr>
                <w:lang w:eastAsia="en-GB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4B2A" w14:textId="77777777" w:rsidR="003B6709" w:rsidRPr="00ED43CF" w:rsidRDefault="003B6709" w:rsidP="00507E25">
            <w:pPr>
              <w:pStyle w:val="Tabletext"/>
              <w:jc w:val="center"/>
              <w:rPr>
                <w:lang w:eastAsia="en-GB"/>
              </w:rPr>
            </w:pPr>
            <w:r w:rsidRPr="00ED43CF">
              <w:rPr>
                <w:lang w:eastAsia="en-GB"/>
              </w:rPr>
              <w:t>= a-(b+c</w:t>
            </w:r>
            <w:bookmarkStart w:id="0" w:name="_GoBack"/>
            <w:bookmarkEnd w:id="0"/>
            <w:r w:rsidRPr="00ED43CF">
              <w:rPr>
                <w:lang w:eastAsia="en-GB"/>
              </w:rPr>
              <w:t>)</w:t>
            </w:r>
          </w:p>
        </w:tc>
      </w:tr>
      <w:tr w:rsidR="003B6709" w:rsidRPr="00ED43CF" w14:paraId="50D7996F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2926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8939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A1133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27B8F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1954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</w:tr>
      <w:tr w:rsidR="003B6709" w:rsidRPr="00ED43CF" w14:paraId="22380AD7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262325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rFonts w:eastAsia="SimSun"/>
                <w:color w:val="000000"/>
                <w:lang w:eastAsia="zh-CN"/>
              </w:rPr>
              <w:t>Gastos de personal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2AE5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275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D4EC2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351D4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F453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8</w:t>
            </w:r>
          </w:p>
        </w:tc>
      </w:tr>
      <w:tr w:rsidR="003B6709" w:rsidRPr="00ED43CF" w14:paraId="1BD2A185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04A927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rFonts w:eastAsia="SimSun"/>
                <w:color w:val="000000"/>
                <w:lang w:eastAsia="zh-CN"/>
              </w:rPr>
              <w:t>Otros gastos de personal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2F35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1EFA0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B222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7022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7</w:t>
            </w:r>
          </w:p>
        </w:tc>
      </w:tr>
      <w:tr w:rsidR="003B6709" w:rsidRPr="00ED43CF" w14:paraId="02E6EDA5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8B24A2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rFonts w:eastAsia="SimSun"/>
                <w:color w:val="000000"/>
                <w:lang w:eastAsia="zh-CN"/>
              </w:rPr>
              <w:t>Gastos de misión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95955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4DCBB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4DD61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DBE35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0</w:t>
            </w:r>
          </w:p>
        </w:tc>
      </w:tr>
      <w:tr w:rsidR="003B6709" w:rsidRPr="00ED43CF" w14:paraId="656B6CE3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37861D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rFonts w:eastAsia="SimSun"/>
                <w:color w:val="000000"/>
                <w:lang w:eastAsia="zh-CN"/>
              </w:rPr>
              <w:t>Servicios por contrata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0911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8567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B8B0C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21E7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20</w:t>
            </w:r>
          </w:p>
        </w:tc>
      </w:tr>
      <w:tr w:rsidR="003B6709" w:rsidRPr="00ED43CF" w14:paraId="15BCA8DE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3D35BA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rFonts w:eastAsia="SimSun"/>
                <w:color w:val="000000"/>
                <w:lang w:eastAsia="zh-CN"/>
              </w:rPr>
              <w:t>Alquiler y conservación de edificios y equipos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304AC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72E19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0596A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F34E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20</w:t>
            </w:r>
          </w:p>
        </w:tc>
      </w:tr>
      <w:tr w:rsidR="003B6709" w:rsidRPr="00ED43CF" w14:paraId="6A58E5B4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A7029A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rFonts w:eastAsia="SimSun"/>
                <w:color w:val="000000"/>
                <w:lang w:eastAsia="zh-CN"/>
              </w:rPr>
              <w:t>Material y suministros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7907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EEC64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9E74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EB816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</w:t>
            </w:r>
          </w:p>
        </w:tc>
      </w:tr>
      <w:tr w:rsidR="003B6709" w:rsidRPr="00ED43CF" w14:paraId="2BA24042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710FB1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rFonts w:eastAsia="SimSun"/>
                <w:color w:val="000000"/>
                <w:lang w:eastAsia="zh-CN"/>
              </w:rPr>
              <w:t>Adquisición de locales, mobiliario y equipos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3E951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AB78B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37A6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3A15D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0</w:t>
            </w:r>
          </w:p>
        </w:tc>
      </w:tr>
      <w:tr w:rsidR="003B6709" w:rsidRPr="00ED43CF" w14:paraId="1B4A20D2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87E4CB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rFonts w:eastAsia="SimSun"/>
                <w:color w:val="000000"/>
                <w:lang w:eastAsia="zh-CN"/>
              </w:rPr>
              <w:t>Servicios públicos e instalaciones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0F7CC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EFB7E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D4F4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A016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</w:t>
            </w:r>
          </w:p>
        </w:tc>
      </w:tr>
      <w:tr w:rsidR="003B6709" w:rsidRPr="00ED43CF" w14:paraId="306F1DBF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D9CDF1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rFonts w:eastAsia="SimSun"/>
                <w:color w:val="000000"/>
                <w:lang w:eastAsia="zh-CN"/>
              </w:rPr>
              <w:t>Varios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E4C21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B3C99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6C50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EB6B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</w:t>
            </w:r>
          </w:p>
        </w:tc>
      </w:tr>
      <w:tr w:rsidR="003B6709" w:rsidRPr="00ED43CF" w14:paraId="239C4F2A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F2DE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0E42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DCB20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5999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2DA7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</w:tr>
      <w:tr w:rsidR="003B6709" w:rsidRPr="00ED43CF" w14:paraId="7FC53293" w14:textId="77777777" w:rsidTr="00A357AA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95BC86" w14:textId="77777777" w:rsidR="003B6709" w:rsidRPr="00ED43CF" w:rsidRDefault="003B6709" w:rsidP="00507E25">
            <w:pPr>
              <w:pStyle w:val="Tabletex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Subtotal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6E3859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335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C7475BD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D5B179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063251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61</w:t>
            </w:r>
          </w:p>
        </w:tc>
      </w:tr>
      <w:tr w:rsidR="003B6709" w:rsidRPr="00ED43CF" w14:paraId="0C2D4C95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39D9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0AD4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64E6A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2BD4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D0609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</w:tr>
      <w:tr w:rsidR="003B6709" w:rsidRPr="00ED43CF" w14:paraId="427E99A9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FA447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lang w:eastAsia="en-GB"/>
              </w:rPr>
              <w:t>Traducción (1 700 páginas)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21D1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254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2996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79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775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CF91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71</w:t>
            </w:r>
          </w:p>
        </w:tc>
      </w:tr>
      <w:tr w:rsidR="003B6709" w:rsidRPr="00ED43CF" w14:paraId="464B457B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B3C7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lang w:eastAsia="en-GB"/>
              </w:rPr>
              <w:t>Mecanografía (1 700 páginas)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826D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8515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FA4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A78B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5</w:t>
            </w:r>
          </w:p>
        </w:tc>
      </w:tr>
      <w:tr w:rsidR="003B6709" w:rsidRPr="00ED43CF" w14:paraId="4AF7B8B6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4C2F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lang w:eastAsia="en-GB"/>
              </w:rPr>
              <w:t>Reprografía (295 050 páginas)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8925F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45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48C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720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8F6A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35</w:t>
            </w:r>
          </w:p>
        </w:tc>
      </w:tr>
      <w:tr w:rsidR="003B6709" w:rsidRPr="00ED43CF" w14:paraId="4920B522" w14:textId="77777777" w:rsidTr="00A357AA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760AD7" w14:textId="77777777" w:rsidR="003B6709" w:rsidRPr="00ED43CF" w:rsidRDefault="003B6709" w:rsidP="00507E25">
            <w:pPr>
              <w:pStyle w:val="Tabletex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Subtotal correspondiente a la documentación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8AA315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399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C9F59B0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127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406E8F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161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DE3193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111</w:t>
            </w:r>
          </w:p>
        </w:tc>
      </w:tr>
      <w:tr w:rsidR="003B6709" w:rsidRPr="00ED43CF" w14:paraId="07418604" w14:textId="77777777" w:rsidTr="00A357A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1C64D" w14:textId="77777777" w:rsidR="003B6709" w:rsidRPr="00ED43CF" w:rsidRDefault="003B6709" w:rsidP="00507E25">
            <w:pPr>
              <w:pStyle w:val="Tabletex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2F7F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E578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E744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6D7CC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lang w:eastAsia="en-GB"/>
              </w:rPr>
            </w:pPr>
            <w:r w:rsidRPr="00ED43CF">
              <w:rPr>
                <w:lang w:eastAsia="en-GB"/>
              </w:rPr>
              <w:t> </w:t>
            </w:r>
          </w:p>
        </w:tc>
      </w:tr>
      <w:tr w:rsidR="003B6709" w:rsidRPr="00ED43CF" w14:paraId="72601FBD" w14:textId="77777777" w:rsidTr="00A357AA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BEFB9A" w14:textId="77777777" w:rsidR="003B6709" w:rsidRPr="00ED43CF" w:rsidRDefault="003B6709" w:rsidP="00507E25">
            <w:pPr>
              <w:pStyle w:val="Tabletex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TOTAL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C72CF7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76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734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81500D6" w14:textId="77777777" w:rsidR="003B6709" w:rsidRPr="00ED43CF" w:rsidRDefault="003B6709" w:rsidP="00507E25">
            <w:pPr>
              <w:pStyle w:val="Tabletext"/>
              <w:tabs>
                <w:tab w:val="clear" w:pos="1134"/>
              </w:tabs>
              <w:ind w:right="197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346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CDC404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72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216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E5C917" w14:textId="77777777" w:rsidR="003B6709" w:rsidRPr="00ED43CF" w:rsidRDefault="003B6709" w:rsidP="00507E25">
            <w:pPr>
              <w:pStyle w:val="Tabletext"/>
              <w:tabs>
                <w:tab w:val="clear" w:pos="851"/>
              </w:tabs>
              <w:ind w:right="104"/>
              <w:jc w:val="right"/>
              <w:rPr>
                <w:b/>
                <w:bCs/>
                <w:lang w:eastAsia="en-GB"/>
              </w:rPr>
            </w:pPr>
            <w:r w:rsidRPr="00ED43CF">
              <w:rPr>
                <w:b/>
                <w:bCs/>
                <w:lang w:eastAsia="en-GB"/>
              </w:rPr>
              <w:t>172</w:t>
            </w:r>
          </w:p>
        </w:tc>
      </w:tr>
    </w:tbl>
    <w:p w14:paraId="159CB47D" w14:textId="77777777" w:rsidR="00A357AA" w:rsidRPr="00ED43CF" w:rsidRDefault="00A357AA" w:rsidP="00411C49">
      <w:pPr>
        <w:pStyle w:val="Reasons"/>
      </w:pPr>
    </w:p>
    <w:p w14:paraId="37C4EF0F" w14:textId="77777777" w:rsidR="00A357AA" w:rsidRPr="00ED43CF" w:rsidRDefault="00A357AA">
      <w:pPr>
        <w:jc w:val="center"/>
      </w:pPr>
      <w:r w:rsidRPr="00ED43CF">
        <w:t>______________</w:t>
      </w:r>
    </w:p>
    <w:sectPr w:rsidR="00A357AA" w:rsidRPr="00ED43CF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0B068" w14:textId="77777777" w:rsidR="003B6709" w:rsidRDefault="003B6709">
      <w:r>
        <w:separator/>
      </w:r>
    </w:p>
  </w:endnote>
  <w:endnote w:type="continuationSeparator" w:id="0">
    <w:p w14:paraId="54FD4DCB" w14:textId="77777777" w:rsidR="003B6709" w:rsidRDefault="003B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2E97" w14:textId="00DC7D47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B6709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6709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6709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0F70" w14:textId="77777777" w:rsidR="00923C21" w:rsidRDefault="00923C21" w:rsidP="00923C2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P:\ESP\ITU-R\CONF-R\AR19\PLEN\000\069S.docx</w:t>
    </w:r>
    <w:r>
      <w:fldChar w:fldCharType="end"/>
    </w:r>
    <w:r>
      <w:t xml:space="preserve"> (463328)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7BFD" w14:textId="7BE5C7D0" w:rsidR="00020ACE" w:rsidRDefault="00020ACE" w:rsidP="00F81F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23C21">
      <w:rPr>
        <w:lang w:val="en-US"/>
      </w:rPr>
      <w:t>P:\ESP\ITU-R\CONF-R\AR19\PLEN\000\069S.docx</w:t>
    </w:r>
    <w:r>
      <w:fldChar w:fldCharType="end"/>
    </w:r>
    <w:r w:rsidR="00923C21">
      <w:t xml:space="preserve"> (463328)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B5C5C" w14:textId="77777777" w:rsidR="003B6709" w:rsidRDefault="003B6709">
      <w:r>
        <w:rPr>
          <w:b/>
        </w:rPr>
        <w:t>_______________</w:t>
      </w:r>
    </w:p>
  </w:footnote>
  <w:footnote w:type="continuationSeparator" w:id="0">
    <w:p w14:paraId="0710A704" w14:textId="77777777" w:rsidR="003B6709" w:rsidRDefault="003B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DB7A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7664A684" w14:textId="0D4AE784" w:rsidR="0022505D" w:rsidRDefault="0022505D" w:rsidP="0022505D">
    <w:pPr>
      <w:pStyle w:val="Header"/>
    </w:pPr>
    <w:r>
      <w:t>RA19/</w:t>
    </w:r>
    <w:r w:rsidR="006B4BF3">
      <w:t>PLEN/</w:t>
    </w:r>
    <w:r w:rsidR="00923C21">
      <w:t>69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09"/>
    <w:rsid w:val="00012B52"/>
    <w:rsid w:val="00016A7C"/>
    <w:rsid w:val="00020ACE"/>
    <w:rsid w:val="001721DD"/>
    <w:rsid w:val="001E70E6"/>
    <w:rsid w:val="0022505D"/>
    <w:rsid w:val="002334F2"/>
    <w:rsid w:val="002A6656"/>
    <w:rsid w:val="002B6243"/>
    <w:rsid w:val="002D65AE"/>
    <w:rsid w:val="00333BE3"/>
    <w:rsid w:val="003B6709"/>
    <w:rsid w:val="00401601"/>
    <w:rsid w:val="00404C4E"/>
    <w:rsid w:val="00466F3C"/>
    <w:rsid w:val="00486AE3"/>
    <w:rsid w:val="005335D1"/>
    <w:rsid w:val="005648DF"/>
    <w:rsid w:val="005C4F7E"/>
    <w:rsid w:val="006050EE"/>
    <w:rsid w:val="00693CB4"/>
    <w:rsid w:val="006B4BF3"/>
    <w:rsid w:val="0078472E"/>
    <w:rsid w:val="008246E6"/>
    <w:rsid w:val="00831EA2"/>
    <w:rsid w:val="008E02B6"/>
    <w:rsid w:val="009223BB"/>
    <w:rsid w:val="00923C21"/>
    <w:rsid w:val="009630C4"/>
    <w:rsid w:val="00A112CD"/>
    <w:rsid w:val="00A357AA"/>
    <w:rsid w:val="00A669E8"/>
    <w:rsid w:val="00AF7660"/>
    <w:rsid w:val="00B5074A"/>
    <w:rsid w:val="00BA3DBD"/>
    <w:rsid w:val="00BF1023"/>
    <w:rsid w:val="00C278F8"/>
    <w:rsid w:val="00D44BF8"/>
    <w:rsid w:val="00DE35E9"/>
    <w:rsid w:val="00E01901"/>
    <w:rsid w:val="00E307F2"/>
    <w:rsid w:val="00EB5C7B"/>
    <w:rsid w:val="00ED43CF"/>
    <w:rsid w:val="00ED5DB5"/>
    <w:rsid w:val="00F35693"/>
    <w:rsid w:val="00F42AF9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EE4818"/>
  <w15:docId w15:val="{830E1BD6-2B97-4DB3-A10B-0C27092D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customStyle="1" w:styleId="Normalsplit">
    <w:name w:val="Normal_split"/>
    <w:basedOn w:val="Normal"/>
    <w:qFormat/>
    <w:rsid w:val="003B670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10</TotalTime>
  <Pages>4</Pages>
  <Words>1225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21</cp:revision>
  <cp:lastPrinted>2003-03-04T09:55:00Z</cp:lastPrinted>
  <dcterms:created xsi:type="dcterms:W3CDTF">2019-10-24T20:45:00Z</dcterms:created>
  <dcterms:modified xsi:type="dcterms:W3CDTF">2019-10-24T20:56:00Z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