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D12153" w14:paraId="79CFDF53" w14:textId="77777777">
        <w:trPr>
          <w:cantSplit/>
        </w:trPr>
        <w:tc>
          <w:tcPr>
            <w:tcW w:w="6345" w:type="dxa"/>
          </w:tcPr>
          <w:p w14:paraId="14DB4AFC" w14:textId="77777777" w:rsidR="00E307F2" w:rsidRPr="00D12153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12153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D12153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D1215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D12153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D1215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12153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3BD87366" w14:textId="77777777" w:rsidR="00E307F2" w:rsidRPr="00D12153" w:rsidRDefault="00E307F2" w:rsidP="005335D1">
            <w:pPr>
              <w:spacing w:line="240" w:lineRule="atLeast"/>
              <w:jc w:val="right"/>
            </w:pPr>
            <w:r w:rsidRPr="00D1215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8266312" wp14:editId="73B3A73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D12153" w14:paraId="58B1685A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6B77A19" w14:textId="77777777" w:rsidR="00E307F2" w:rsidRPr="00D12153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7D3F02B" w14:textId="77777777" w:rsidR="00E307F2" w:rsidRPr="00D12153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D12153" w14:paraId="3B56F133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8FD3085" w14:textId="77777777" w:rsidR="00E307F2" w:rsidRPr="00D12153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43B2068" w14:textId="77777777" w:rsidR="00E307F2" w:rsidRPr="00D12153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02049" w:rsidRPr="00D12153" w14:paraId="67521330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1700CF1" w14:textId="77777777" w:rsidR="00502049" w:rsidRPr="00D12153" w:rsidRDefault="00502049" w:rsidP="005020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D12153">
              <w:rPr>
                <w:rFonts w:ascii="Verdana" w:hAnsi="Verdana"/>
                <w:b/>
                <w:sz w:val="20"/>
              </w:rPr>
              <w:t>SESIÓN PLENARIA</w:t>
            </w:r>
          </w:p>
          <w:p w14:paraId="12AD441C" w14:textId="77777777" w:rsidR="00502049" w:rsidRPr="00D12153" w:rsidRDefault="00502049" w:rsidP="005020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1C1A8F63" w14:textId="77777777" w:rsidR="00502049" w:rsidRPr="00D12153" w:rsidRDefault="00502049" w:rsidP="005020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1FB78B2" w14:textId="3009AEE1" w:rsidR="00502049" w:rsidRPr="00D12153" w:rsidRDefault="00A22260" w:rsidP="00A2226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Revisión 1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rFonts w:ascii="Verdana" w:hAnsi="Verdana"/>
                <w:b/>
                <w:sz w:val="20"/>
              </w:rPr>
              <w:t xml:space="preserve">del </w:t>
            </w:r>
            <w:r w:rsidR="00502049" w:rsidRPr="00D12153">
              <w:rPr>
                <w:rFonts w:ascii="Verdana" w:hAnsi="Verdana"/>
                <w:b/>
                <w:sz w:val="20"/>
              </w:rPr>
              <w:t>Documento RA19/PLEN/31-S</w:t>
            </w:r>
          </w:p>
        </w:tc>
      </w:tr>
      <w:tr w:rsidR="00502049" w:rsidRPr="00D12153" w14:paraId="40EC4D81" w14:textId="77777777">
        <w:trPr>
          <w:cantSplit/>
          <w:trHeight w:val="23"/>
        </w:trPr>
        <w:tc>
          <w:tcPr>
            <w:tcW w:w="6345" w:type="dxa"/>
            <w:vMerge/>
          </w:tcPr>
          <w:p w14:paraId="52B70010" w14:textId="77777777" w:rsidR="00502049" w:rsidRPr="00D12153" w:rsidRDefault="00502049" w:rsidP="005020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18A47AB" w14:textId="5B46391B" w:rsidR="00502049" w:rsidRPr="00D12153" w:rsidRDefault="00502049" w:rsidP="0050204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12153">
              <w:rPr>
                <w:rFonts w:ascii="Verdana" w:hAnsi="Verdana"/>
                <w:b/>
                <w:sz w:val="20"/>
              </w:rPr>
              <w:t>2</w:t>
            </w:r>
            <w:r w:rsidR="00A22260">
              <w:rPr>
                <w:rFonts w:ascii="Verdana" w:hAnsi="Verdana"/>
                <w:b/>
                <w:sz w:val="20"/>
              </w:rPr>
              <w:t>1</w:t>
            </w:r>
            <w:r w:rsidRPr="00D12153">
              <w:rPr>
                <w:rFonts w:ascii="Verdana" w:hAnsi="Verdana"/>
                <w:b/>
                <w:sz w:val="20"/>
              </w:rPr>
              <w:t xml:space="preserve"> de octubre de 2019</w:t>
            </w:r>
          </w:p>
        </w:tc>
      </w:tr>
      <w:tr w:rsidR="00502049" w:rsidRPr="00D12153" w14:paraId="07687B86" w14:textId="77777777">
        <w:trPr>
          <w:cantSplit/>
          <w:trHeight w:val="23"/>
        </w:trPr>
        <w:tc>
          <w:tcPr>
            <w:tcW w:w="6345" w:type="dxa"/>
            <w:vMerge/>
          </w:tcPr>
          <w:p w14:paraId="4466144C" w14:textId="77777777" w:rsidR="00502049" w:rsidRPr="00D12153" w:rsidRDefault="00502049" w:rsidP="005020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B25778F" w14:textId="18342ED7" w:rsidR="00502049" w:rsidRPr="00D12153" w:rsidRDefault="00502049" w:rsidP="0050204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12153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BA3DBD" w:rsidRPr="00D12153" w14:paraId="0D7A4016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4E577D99" w14:textId="18E03CAD" w:rsidR="00BA3DBD" w:rsidRPr="00D12153" w:rsidRDefault="00502049" w:rsidP="00BA3DBD">
            <w:pPr>
              <w:pStyle w:val="Source"/>
            </w:pPr>
            <w:r w:rsidRPr="00D12153">
              <w:t>Propuestas comunes de la Comunidad Regional de Comunicaciones</w:t>
            </w:r>
          </w:p>
        </w:tc>
      </w:tr>
      <w:tr w:rsidR="00BA3DBD" w:rsidRPr="00D12153" w14:paraId="6494C0D1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5F935E1" w14:textId="77777777" w:rsidR="00BA3DBD" w:rsidRPr="00D12153" w:rsidRDefault="00BA3DBD" w:rsidP="00BA3DBD">
            <w:pPr>
              <w:pStyle w:val="Title1"/>
            </w:pPr>
          </w:p>
        </w:tc>
      </w:tr>
      <w:tr w:rsidR="00BA3DBD" w:rsidRPr="00D12153" w14:paraId="17611EFE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39B60817" w14:textId="77777777" w:rsidR="00BA3DBD" w:rsidRPr="00D12153" w:rsidRDefault="00BA3DBD" w:rsidP="00BA3DBD">
            <w:pPr>
              <w:pStyle w:val="Title2"/>
            </w:pPr>
          </w:p>
        </w:tc>
      </w:tr>
    </w:tbl>
    <w:p w14:paraId="7AA745AB" w14:textId="77777777" w:rsidR="00502049" w:rsidRPr="00D12153" w:rsidRDefault="00502049" w:rsidP="00502049">
      <w:pPr>
        <w:pStyle w:val="Headingb"/>
      </w:pPr>
      <w:r w:rsidRPr="00D12153">
        <w:t>Introducción</w:t>
      </w:r>
    </w:p>
    <w:p w14:paraId="7E28AFF9" w14:textId="58EE3FB9" w:rsidR="00502049" w:rsidRPr="00D12153" w:rsidRDefault="00502049" w:rsidP="00502049">
      <w:r w:rsidRPr="00D12153">
        <w:t>Para el examen de la organización de los trabajos del Sector de Radiocomunicaciones de la UIT</w:t>
      </w:r>
      <w:r w:rsidR="005945AD">
        <w:t xml:space="preserve"> (UIT</w:t>
      </w:r>
      <w:r w:rsidRPr="00D12153">
        <w:t xml:space="preserve">-R), los Estados Miembros de la UIT cuyas administraciones son miembros de la Comunidad Regional de Comunicaciones (CRC) someten las siguientes propuestas para los trabajos de la Asamblea de Radiocomunicaciones </w:t>
      </w:r>
      <w:r w:rsidR="00A22260">
        <w:t xml:space="preserve">de 2019 </w:t>
      </w:r>
      <w:r w:rsidRPr="00D12153">
        <w:t>(AR-19).</w:t>
      </w:r>
    </w:p>
    <w:p w14:paraId="79F3D139" w14:textId="77777777" w:rsidR="00502049" w:rsidRPr="00D12153" w:rsidRDefault="00502049" w:rsidP="00502049"/>
    <w:p w14:paraId="19AE7BF5" w14:textId="77777777" w:rsidR="00502049" w:rsidRPr="00D12153" w:rsidRDefault="00502049" w:rsidP="00502049"/>
    <w:p w14:paraId="55D63068" w14:textId="77777777" w:rsidR="00502049" w:rsidRPr="00D12153" w:rsidRDefault="00502049" w:rsidP="00502049"/>
    <w:p w14:paraId="150BEDC9" w14:textId="77777777" w:rsidR="00502049" w:rsidRPr="00D12153" w:rsidRDefault="00502049" w:rsidP="00502049"/>
    <w:p w14:paraId="05ADEFFF" w14:textId="77777777" w:rsidR="00502049" w:rsidRPr="00D12153" w:rsidRDefault="00502049" w:rsidP="00502049"/>
    <w:p w14:paraId="39810807" w14:textId="77777777" w:rsidR="00502049" w:rsidRPr="00D12153" w:rsidRDefault="00502049" w:rsidP="00502049"/>
    <w:p w14:paraId="261DD953" w14:textId="77777777" w:rsidR="00502049" w:rsidRPr="00D12153" w:rsidRDefault="00502049" w:rsidP="00502049"/>
    <w:p w14:paraId="1F2E463D" w14:textId="77777777" w:rsidR="00502049" w:rsidRPr="00D12153" w:rsidRDefault="00502049" w:rsidP="00502049">
      <w:pPr>
        <w:sectPr w:rsidR="00502049" w:rsidRPr="00D12153" w:rsidSect="0022505D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 w:rsidRPr="00D12153">
        <w:rPr>
          <w:b/>
          <w:bCs/>
        </w:rPr>
        <w:t>Anexo:</w:t>
      </w:r>
      <w:r w:rsidRPr="00D12153">
        <w:t xml:space="preserve"> 1</w:t>
      </w:r>
    </w:p>
    <w:p w14:paraId="576FFE49" w14:textId="77777777" w:rsidR="00502049" w:rsidRPr="00D12153" w:rsidRDefault="00502049" w:rsidP="0011231F">
      <w:pPr>
        <w:pStyle w:val="AnnexNo"/>
      </w:pPr>
      <w:r w:rsidRPr="00D12153">
        <w:lastRenderedPageBreak/>
        <w:t>anexO</w:t>
      </w:r>
    </w:p>
    <w:p w14:paraId="7E7B0B69" w14:textId="435416D5" w:rsidR="00502049" w:rsidRPr="00D12153" w:rsidRDefault="00502049" w:rsidP="00502049">
      <w:pPr>
        <w:pStyle w:val="Annextitle"/>
        <w:rPr>
          <w:highlight w:val="green"/>
        </w:rPr>
      </w:pPr>
      <w:r w:rsidRPr="00D12153">
        <w:t>Cuadro de signatarios de las propuestas comunes de la CRC</w:t>
      </w:r>
      <w:r w:rsidR="00D12153" w:rsidRPr="00D12153">
        <w:br/>
      </w:r>
      <w:r w:rsidRPr="00D12153">
        <w:t>para los trabajos de</w:t>
      </w:r>
      <w:r w:rsidR="00DF5B42" w:rsidRPr="00D12153">
        <w:t> </w:t>
      </w:r>
      <w:r w:rsidRPr="00D12153">
        <w:t>la AR-19</w:t>
      </w:r>
    </w:p>
    <w:p w14:paraId="23BA50B6" w14:textId="092EAAD0" w:rsidR="006E004C" w:rsidRDefault="006E004C" w:rsidP="00EA4BA6"/>
    <w:tbl>
      <w:tblPr>
        <w:tblW w:w="87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7"/>
        <w:gridCol w:w="707"/>
        <w:gridCol w:w="688"/>
        <w:gridCol w:w="688"/>
        <w:gridCol w:w="688"/>
        <w:gridCol w:w="689"/>
        <w:gridCol w:w="689"/>
        <w:gridCol w:w="689"/>
        <w:gridCol w:w="832"/>
        <w:gridCol w:w="709"/>
      </w:tblGrid>
      <w:tr w:rsidR="00A22260" w:rsidRPr="00D12153" w14:paraId="705C2657" w14:textId="77777777" w:rsidTr="00EA4BA6">
        <w:trPr>
          <w:cantSplit/>
          <w:trHeight w:val="397"/>
          <w:tblHeader/>
          <w:jc w:val="center"/>
        </w:trPr>
        <w:tc>
          <w:tcPr>
            <w:tcW w:w="2407" w:type="dxa"/>
            <w:noWrap/>
            <w:vAlign w:val="center"/>
          </w:tcPr>
          <w:p w14:paraId="7EF28F22" w14:textId="77777777" w:rsidR="00A22260" w:rsidRPr="0011231F" w:rsidRDefault="00A22260" w:rsidP="0011231F">
            <w:pPr>
              <w:pStyle w:val="Tablehead"/>
            </w:pPr>
            <w:r w:rsidRPr="0011231F">
              <w:t>Documento de la AR-19</w:t>
            </w:r>
          </w:p>
        </w:tc>
        <w:tc>
          <w:tcPr>
            <w:tcW w:w="707" w:type="dxa"/>
            <w:noWrap/>
            <w:vAlign w:val="center"/>
          </w:tcPr>
          <w:p w14:paraId="3A6A0F60" w14:textId="77777777" w:rsidR="00A22260" w:rsidRPr="0011231F" w:rsidRDefault="00A22260" w:rsidP="0011231F">
            <w:pPr>
              <w:pStyle w:val="Tablehead"/>
            </w:pPr>
            <w:r w:rsidRPr="0011231F">
              <w:t>ARM</w:t>
            </w:r>
          </w:p>
        </w:tc>
        <w:tc>
          <w:tcPr>
            <w:tcW w:w="688" w:type="dxa"/>
            <w:noWrap/>
            <w:vAlign w:val="center"/>
          </w:tcPr>
          <w:p w14:paraId="11DCB1D1" w14:textId="77777777" w:rsidR="00A22260" w:rsidRPr="0011231F" w:rsidRDefault="00A22260" w:rsidP="0011231F">
            <w:pPr>
              <w:pStyle w:val="Tablehead"/>
            </w:pPr>
            <w:r w:rsidRPr="0011231F">
              <w:t>AZE</w:t>
            </w:r>
          </w:p>
        </w:tc>
        <w:tc>
          <w:tcPr>
            <w:tcW w:w="688" w:type="dxa"/>
            <w:noWrap/>
            <w:vAlign w:val="center"/>
          </w:tcPr>
          <w:p w14:paraId="5A9E4D88" w14:textId="77777777" w:rsidR="00A22260" w:rsidRPr="0011231F" w:rsidRDefault="00A22260" w:rsidP="0011231F">
            <w:pPr>
              <w:pStyle w:val="Tablehead"/>
            </w:pPr>
            <w:r w:rsidRPr="0011231F">
              <w:t>BLR</w:t>
            </w:r>
          </w:p>
        </w:tc>
        <w:tc>
          <w:tcPr>
            <w:tcW w:w="688" w:type="dxa"/>
            <w:noWrap/>
            <w:vAlign w:val="center"/>
          </w:tcPr>
          <w:p w14:paraId="5CF167DA" w14:textId="77777777" w:rsidR="00A22260" w:rsidRPr="0011231F" w:rsidRDefault="00A22260" w:rsidP="0011231F">
            <w:pPr>
              <w:pStyle w:val="Tablehead"/>
            </w:pPr>
            <w:r w:rsidRPr="0011231F">
              <w:t>KAZ</w:t>
            </w:r>
          </w:p>
        </w:tc>
        <w:tc>
          <w:tcPr>
            <w:tcW w:w="689" w:type="dxa"/>
            <w:noWrap/>
            <w:vAlign w:val="center"/>
          </w:tcPr>
          <w:p w14:paraId="3429F26F" w14:textId="77777777" w:rsidR="00A22260" w:rsidRPr="0011231F" w:rsidRDefault="00A22260" w:rsidP="0011231F">
            <w:pPr>
              <w:pStyle w:val="Tablehead"/>
            </w:pPr>
            <w:r w:rsidRPr="0011231F">
              <w:t>KGZ</w:t>
            </w:r>
          </w:p>
        </w:tc>
        <w:tc>
          <w:tcPr>
            <w:tcW w:w="689" w:type="dxa"/>
            <w:noWrap/>
            <w:vAlign w:val="center"/>
          </w:tcPr>
          <w:p w14:paraId="484656CE" w14:textId="77777777" w:rsidR="00A22260" w:rsidRPr="0011231F" w:rsidRDefault="00A22260" w:rsidP="0011231F">
            <w:pPr>
              <w:pStyle w:val="Tablehead"/>
            </w:pPr>
            <w:r w:rsidRPr="0011231F">
              <w:t>RUS</w:t>
            </w:r>
          </w:p>
        </w:tc>
        <w:tc>
          <w:tcPr>
            <w:tcW w:w="689" w:type="dxa"/>
            <w:noWrap/>
            <w:vAlign w:val="center"/>
          </w:tcPr>
          <w:p w14:paraId="4D7CE571" w14:textId="77777777" w:rsidR="00A22260" w:rsidRPr="0011231F" w:rsidRDefault="00A22260" w:rsidP="0011231F">
            <w:pPr>
              <w:pStyle w:val="Tablehead"/>
            </w:pPr>
            <w:r w:rsidRPr="0011231F">
              <w:t>TJK</w:t>
            </w:r>
          </w:p>
        </w:tc>
        <w:tc>
          <w:tcPr>
            <w:tcW w:w="832" w:type="dxa"/>
            <w:noWrap/>
            <w:vAlign w:val="center"/>
          </w:tcPr>
          <w:p w14:paraId="4B7AFA44" w14:textId="77777777" w:rsidR="00A22260" w:rsidRPr="0011231F" w:rsidRDefault="00A22260" w:rsidP="0011231F">
            <w:pPr>
              <w:pStyle w:val="Tablehead"/>
            </w:pPr>
            <w:r w:rsidRPr="0011231F">
              <w:t>TKM</w:t>
            </w:r>
          </w:p>
        </w:tc>
        <w:tc>
          <w:tcPr>
            <w:tcW w:w="709" w:type="dxa"/>
            <w:noWrap/>
            <w:vAlign w:val="center"/>
          </w:tcPr>
          <w:p w14:paraId="47DFD0DA" w14:textId="77777777" w:rsidR="00A22260" w:rsidRPr="0011231F" w:rsidRDefault="00A22260" w:rsidP="0011231F">
            <w:pPr>
              <w:pStyle w:val="Tablehead"/>
            </w:pPr>
            <w:r w:rsidRPr="0011231F">
              <w:t>UZB</w:t>
            </w:r>
          </w:p>
        </w:tc>
      </w:tr>
      <w:tr w:rsidR="00A22260" w:rsidRPr="00D12153" w14:paraId="401E01AE" w14:textId="77777777" w:rsidTr="00EA4BA6">
        <w:trPr>
          <w:cantSplit/>
          <w:trHeight w:val="397"/>
          <w:jc w:val="center"/>
        </w:trPr>
        <w:tc>
          <w:tcPr>
            <w:tcW w:w="2407" w:type="dxa"/>
            <w:noWrap/>
            <w:vAlign w:val="center"/>
          </w:tcPr>
          <w:p w14:paraId="1A37CE12" w14:textId="7E5643AB" w:rsidR="00A22260" w:rsidRPr="0011231F" w:rsidRDefault="00A22260" w:rsidP="0011231F">
            <w:pPr>
              <w:pStyle w:val="Tabletext"/>
            </w:pPr>
            <w:r w:rsidRPr="0011231F">
              <w:t>Add.1 −</w:t>
            </w:r>
            <w:r w:rsidRPr="0011231F">
              <w:rPr>
                <w:rFonts w:eastAsia="Malgun Gothic"/>
              </w:rPr>
              <w:t xml:space="preserve"> </w:t>
            </w:r>
            <w:r w:rsidRPr="0011231F">
              <w:t>RA19/PLEN/7-S</w:t>
            </w:r>
          </w:p>
        </w:tc>
        <w:tc>
          <w:tcPr>
            <w:tcW w:w="707" w:type="dxa"/>
            <w:noWrap/>
            <w:vAlign w:val="center"/>
          </w:tcPr>
          <w:p w14:paraId="69E942C2" w14:textId="479894AF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34B2EB7D" w14:textId="438CD82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4F00DA2C" w14:textId="0D4D8DE4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25EFA12D" w14:textId="73491401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7506FA5C" w14:textId="559162B2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27BF9269" w14:textId="45843C14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7B608AB3" w14:textId="7D0196F1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832" w:type="dxa"/>
            <w:noWrap/>
            <w:vAlign w:val="center"/>
          </w:tcPr>
          <w:p w14:paraId="41B5FCF3" w14:textId="77777777" w:rsidR="00A22260" w:rsidRPr="0011231F" w:rsidRDefault="00A22260" w:rsidP="0072361E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14:paraId="7DB5BCEE" w14:textId="410886EC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</w:tr>
      <w:tr w:rsidR="00A22260" w:rsidRPr="00D12153" w14:paraId="06B4B7A3" w14:textId="77777777" w:rsidTr="00EA4BA6">
        <w:trPr>
          <w:cantSplit/>
          <w:trHeight w:val="397"/>
          <w:jc w:val="center"/>
        </w:trPr>
        <w:tc>
          <w:tcPr>
            <w:tcW w:w="2407" w:type="dxa"/>
            <w:noWrap/>
            <w:vAlign w:val="center"/>
          </w:tcPr>
          <w:p w14:paraId="5A333691" w14:textId="136ECD2E" w:rsidR="00A22260" w:rsidRPr="0011231F" w:rsidRDefault="00A22260" w:rsidP="0011231F">
            <w:pPr>
              <w:pStyle w:val="Tabletext"/>
            </w:pPr>
            <w:r w:rsidRPr="0011231F">
              <w:t>Add.</w:t>
            </w:r>
            <w:r w:rsidRPr="0011231F">
              <w:rPr>
                <w:rFonts w:eastAsia="Malgun Gothic"/>
              </w:rPr>
              <w:t xml:space="preserve">2 − </w:t>
            </w:r>
            <w:r w:rsidRPr="0011231F">
              <w:t>RA19/PLEN/8-S</w:t>
            </w:r>
          </w:p>
        </w:tc>
        <w:tc>
          <w:tcPr>
            <w:tcW w:w="707" w:type="dxa"/>
            <w:noWrap/>
            <w:vAlign w:val="center"/>
          </w:tcPr>
          <w:p w14:paraId="79C14804" w14:textId="7F2CF0CF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06F4BE83" w14:textId="7A1F36AC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763D6135" w14:textId="1A815FE5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11798542" w14:textId="70488DF5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7DF9FB8E" w14:textId="2A7AF1EE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7A347AD5" w14:textId="49A0101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4A592E25" w14:textId="1C968AB7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832" w:type="dxa"/>
            <w:noWrap/>
            <w:vAlign w:val="center"/>
          </w:tcPr>
          <w:p w14:paraId="5A4C2984" w14:textId="77777777" w:rsidR="00A22260" w:rsidRPr="0011231F" w:rsidRDefault="00A22260" w:rsidP="0072361E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14:paraId="36E19242" w14:textId="56545D14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</w:tr>
      <w:tr w:rsidR="00A22260" w:rsidRPr="00D12153" w14:paraId="29AC6948" w14:textId="77777777" w:rsidTr="00EA4BA6">
        <w:trPr>
          <w:cantSplit/>
          <w:trHeight w:val="397"/>
          <w:jc w:val="center"/>
        </w:trPr>
        <w:tc>
          <w:tcPr>
            <w:tcW w:w="2407" w:type="dxa"/>
            <w:noWrap/>
            <w:vAlign w:val="center"/>
          </w:tcPr>
          <w:p w14:paraId="5DF58A88" w14:textId="5C0BD0C1" w:rsidR="00A22260" w:rsidRPr="0011231F" w:rsidRDefault="00A22260" w:rsidP="0011231F">
            <w:pPr>
              <w:pStyle w:val="Tabletext"/>
            </w:pPr>
            <w:r w:rsidRPr="0011231F">
              <w:t>Add.3 − RA19/PLEN/9-S</w:t>
            </w:r>
          </w:p>
        </w:tc>
        <w:tc>
          <w:tcPr>
            <w:tcW w:w="707" w:type="dxa"/>
            <w:noWrap/>
            <w:vAlign w:val="center"/>
          </w:tcPr>
          <w:p w14:paraId="2FD06497" w14:textId="7D83B6DB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68AFBEE2" w14:textId="410AF3A8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393ACFA0" w14:textId="5C3256DC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37E73A4B" w14:textId="123B262B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3CB42929" w14:textId="0233F6D9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669BE288" w14:textId="1E91914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054E770B" w14:textId="517F8F0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832" w:type="dxa"/>
            <w:noWrap/>
            <w:vAlign w:val="center"/>
          </w:tcPr>
          <w:p w14:paraId="2E39893C" w14:textId="77777777" w:rsidR="00A22260" w:rsidRPr="0011231F" w:rsidRDefault="00A22260" w:rsidP="0072361E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14:paraId="70528B06" w14:textId="259F443B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</w:tr>
      <w:tr w:rsidR="00A22260" w:rsidRPr="00D12153" w14:paraId="0B7CF8F1" w14:textId="77777777" w:rsidTr="00EA4BA6">
        <w:trPr>
          <w:cantSplit/>
          <w:trHeight w:val="397"/>
          <w:jc w:val="center"/>
        </w:trPr>
        <w:tc>
          <w:tcPr>
            <w:tcW w:w="2407" w:type="dxa"/>
            <w:noWrap/>
            <w:vAlign w:val="center"/>
          </w:tcPr>
          <w:p w14:paraId="564FAB9F" w14:textId="7645CFE8" w:rsidR="00A22260" w:rsidRPr="0011231F" w:rsidRDefault="00A22260" w:rsidP="0011231F">
            <w:pPr>
              <w:pStyle w:val="Tabletext"/>
            </w:pPr>
            <w:r w:rsidRPr="0011231F">
              <w:t>Add.4 − RA19/PLEN/10-S</w:t>
            </w:r>
          </w:p>
        </w:tc>
        <w:tc>
          <w:tcPr>
            <w:tcW w:w="707" w:type="dxa"/>
            <w:noWrap/>
            <w:vAlign w:val="center"/>
          </w:tcPr>
          <w:p w14:paraId="4977E301" w14:textId="6A095DD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174C7AF4" w14:textId="04626CE9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6C159118" w14:textId="4EF8CBA9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8" w:type="dxa"/>
            <w:noWrap/>
            <w:vAlign w:val="center"/>
          </w:tcPr>
          <w:p w14:paraId="5C8FD9D4" w14:textId="39A9E1E5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15A47C79" w14:textId="454BDD51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6247FB5B" w14:textId="0A763F13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689" w:type="dxa"/>
            <w:noWrap/>
            <w:vAlign w:val="center"/>
          </w:tcPr>
          <w:p w14:paraId="7E82C43F" w14:textId="755E7CCA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  <w:tc>
          <w:tcPr>
            <w:tcW w:w="832" w:type="dxa"/>
            <w:noWrap/>
            <w:vAlign w:val="center"/>
          </w:tcPr>
          <w:p w14:paraId="79AF9E31" w14:textId="77777777" w:rsidR="00A22260" w:rsidRPr="0011231F" w:rsidRDefault="00A22260" w:rsidP="0072361E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14:paraId="6154C100" w14:textId="44E636C3" w:rsidR="00A22260" w:rsidRPr="0011231F" w:rsidRDefault="00A22260" w:rsidP="0072361E">
            <w:pPr>
              <w:pStyle w:val="Tabletext"/>
              <w:jc w:val="center"/>
            </w:pPr>
            <w:r w:rsidRPr="0011231F">
              <w:t>√</w:t>
            </w:r>
          </w:p>
        </w:tc>
      </w:tr>
    </w:tbl>
    <w:p w14:paraId="5E5BB318" w14:textId="77BA23A4" w:rsidR="00A22260" w:rsidRPr="00D12153" w:rsidRDefault="00A22260" w:rsidP="00411C49">
      <w:pPr>
        <w:pStyle w:val="Reasons"/>
      </w:pPr>
      <w:bookmarkStart w:id="0" w:name="_GoBack"/>
      <w:bookmarkEnd w:id="0"/>
    </w:p>
    <w:p w14:paraId="3DB72DA2" w14:textId="77777777" w:rsidR="006E004C" w:rsidRPr="00D12153" w:rsidRDefault="006E004C">
      <w:pPr>
        <w:jc w:val="center"/>
      </w:pPr>
      <w:r w:rsidRPr="00D12153">
        <w:t>______________</w:t>
      </w:r>
    </w:p>
    <w:sectPr w:rsidR="006E004C" w:rsidRPr="00D12153" w:rsidSect="0022505D">
      <w:head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90D4" w14:textId="77777777" w:rsidR="00502049" w:rsidRDefault="00502049">
      <w:r>
        <w:separator/>
      </w:r>
    </w:p>
  </w:endnote>
  <w:endnote w:type="continuationSeparator" w:id="0">
    <w:p w14:paraId="581F9CBD" w14:textId="77777777" w:rsidR="00502049" w:rsidRDefault="0050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18DB" w14:textId="43D94B42" w:rsidR="00020ACE" w:rsidRPr="00D12153" w:rsidRDefault="00020ACE">
    <w:pPr>
      <w:rPr>
        <w:lang w:val="es-ES"/>
      </w:rPr>
    </w:pPr>
    <w:r>
      <w:fldChar w:fldCharType="begin"/>
    </w:r>
    <w:r w:rsidRPr="00D12153">
      <w:rPr>
        <w:lang w:val="es-ES"/>
      </w:rPr>
      <w:instrText xml:space="preserve"> FILENAME \p  \* MERGEFORMAT </w:instrText>
    </w:r>
    <w:r>
      <w:fldChar w:fldCharType="separate"/>
    </w:r>
    <w:r w:rsidR="00D12153" w:rsidRPr="00D12153">
      <w:rPr>
        <w:noProof/>
        <w:lang w:val="es-ES"/>
      </w:rPr>
      <w:t>P:\ESP\ITU-R\CONF-R\AR19\PLEN\000\031S.docx</w:t>
    </w:r>
    <w:r>
      <w:fldChar w:fldCharType="end"/>
    </w:r>
    <w:r w:rsidRPr="00D1215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3A42">
      <w:rPr>
        <w:noProof/>
      </w:rPr>
      <w:t>21.10.19</w:t>
    </w:r>
    <w:r>
      <w:fldChar w:fldCharType="end"/>
    </w:r>
    <w:r w:rsidRPr="00D1215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2153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4BC7" w14:textId="37FA378E" w:rsidR="00F81F39" w:rsidRPr="00D12153" w:rsidRDefault="00F81F39" w:rsidP="00F81F39">
    <w:pPr>
      <w:pStyle w:val="Footer"/>
      <w:rPr>
        <w:lang w:val="es-ES"/>
      </w:rPr>
    </w:pPr>
    <w:r>
      <w:fldChar w:fldCharType="begin"/>
    </w:r>
    <w:r w:rsidRPr="00D12153">
      <w:rPr>
        <w:lang w:val="es-ES"/>
      </w:rPr>
      <w:instrText xml:space="preserve"> FILENAME \p  \* MERGEFORMAT </w:instrText>
    </w:r>
    <w:r>
      <w:fldChar w:fldCharType="separate"/>
    </w:r>
    <w:r w:rsidR="00D12153" w:rsidRPr="00D12153">
      <w:rPr>
        <w:lang w:val="es-ES"/>
      </w:rPr>
      <w:t>P:\ESP\ITU-R\CONF-R\AR19\PLEN\000\031S.docx</w:t>
    </w:r>
    <w:r>
      <w:fldChar w:fldCharType="end"/>
    </w:r>
  </w:p>
  <w:p w14:paraId="7EC8ECED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3219" w14:textId="2310B287" w:rsidR="00020ACE" w:rsidRPr="00502049" w:rsidRDefault="00653A42" w:rsidP="00502049">
    <w:pPr>
      <w:pStyle w:val="Footer"/>
      <w:rPr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EA4BA6">
      <w:t>P:\ESP\ITU-R\CONF-R\AR19\PLEN\000\031REV1S.docx</w:t>
    </w:r>
    <w:r>
      <w:fldChar w:fldCharType="end"/>
    </w:r>
    <w:r w:rsidR="00502049">
      <w:t xml:space="preserve"> (</w:t>
    </w:r>
    <w:r w:rsidR="00EA4BA6">
      <w:t>462978</w:t>
    </w:r>
    <w:r w:rsidR="0050204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0E8B8" w14:textId="77777777" w:rsidR="00502049" w:rsidRDefault="00502049">
      <w:r>
        <w:rPr>
          <w:b/>
        </w:rPr>
        <w:t>_______________</w:t>
      </w:r>
    </w:p>
  </w:footnote>
  <w:footnote w:type="continuationSeparator" w:id="0">
    <w:p w14:paraId="5643745D" w14:textId="77777777" w:rsidR="00502049" w:rsidRDefault="0050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5B35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3E9DB0E2" w14:textId="77777777" w:rsidR="0022505D" w:rsidRDefault="0022505D" w:rsidP="0022505D">
    <w:pPr>
      <w:pStyle w:val="Header"/>
    </w:pPr>
    <w:r>
      <w:t>RA19/xx-S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543A" w14:textId="3C41F8E2" w:rsidR="00EA4BA6" w:rsidRDefault="00EA4BA6" w:rsidP="00502049">
    <w:pPr>
      <w:pStyle w:val="Header"/>
    </w:pPr>
    <w:r>
      <w:t>2</w:t>
    </w:r>
  </w:p>
  <w:p w14:paraId="652301CA" w14:textId="42D32ABE" w:rsidR="00502049" w:rsidRDefault="00502049" w:rsidP="00502049">
    <w:pPr>
      <w:pStyle w:val="Header"/>
      <w:rPr>
        <w:lang w:val="en-GB"/>
      </w:rPr>
    </w:pPr>
    <w:r>
      <w:t>RA19/PLEN/31</w:t>
    </w:r>
    <w:r w:rsidR="00EA4BA6">
      <w:t>(Rev.1)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49"/>
    <w:rsid w:val="00012B52"/>
    <w:rsid w:val="00016A7C"/>
    <w:rsid w:val="00020ACE"/>
    <w:rsid w:val="0011231F"/>
    <w:rsid w:val="001721DD"/>
    <w:rsid w:val="0022505D"/>
    <w:rsid w:val="002334F2"/>
    <w:rsid w:val="002B6243"/>
    <w:rsid w:val="00466F3C"/>
    <w:rsid w:val="00502049"/>
    <w:rsid w:val="005335D1"/>
    <w:rsid w:val="0056472A"/>
    <w:rsid w:val="005648DF"/>
    <w:rsid w:val="005945AD"/>
    <w:rsid w:val="005C4F7E"/>
    <w:rsid w:val="006050EE"/>
    <w:rsid w:val="00614A14"/>
    <w:rsid w:val="00653A42"/>
    <w:rsid w:val="00693CB4"/>
    <w:rsid w:val="006E004C"/>
    <w:rsid w:val="0072361E"/>
    <w:rsid w:val="008246E6"/>
    <w:rsid w:val="008E02B6"/>
    <w:rsid w:val="009630C4"/>
    <w:rsid w:val="00A22260"/>
    <w:rsid w:val="00AD7C15"/>
    <w:rsid w:val="00AF7660"/>
    <w:rsid w:val="00B5074A"/>
    <w:rsid w:val="00BA3DBD"/>
    <w:rsid w:val="00BF1023"/>
    <w:rsid w:val="00C278F8"/>
    <w:rsid w:val="00D12153"/>
    <w:rsid w:val="00DE35E9"/>
    <w:rsid w:val="00DF5B42"/>
    <w:rsid w:val="00E01901"/>
    <w:rsid w:val="00E307F2"/>
    <w:rsid w:val="00EA4BA6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AD60F5"/>
  <w15:docId w15:val="{6AE22513-7EFD-4E85-821C-EBBCA9F4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uiPriority w:val="99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D121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153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EA4BA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11</TotalTime>
  <Pages>2</Pages>
  <Words>161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6</cp:revision>
  <cp:lastPrinted>2019-10-11T09:17:00Z</cp:lastPrinted>
  <dcterms:created xsi:type="dcterms:W3CDTF">2019-10-21T14:14:00Z</dcterms:created>
  <dcterms:modified xsi:type="dcterms:W3CDTF">2019-10-21T14:35:00Z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