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63017DFF" w14:textId="77777777">
        <w:trPr>
          <w:cantSplit/>
        </w:trPr>
        <w:tc>
          <w:tcPr>
            <w:tcW w:w="6345" w:type="dxa"/>
          </w:tcPr>
          <w:p w14:paraId="1871FE4C" w14:textId="77777777" w:rsidR="00192E45" w:rsidRPr="004844C1" w:rsidRDefault="00192E45" w:rsidP="00192E45">
            <w:pPr>
              <w:spacing w:before="400" w:after="48" w:line="240" w:lineRule="atLeast"/>
              <w:rPr>
                <w:rFonts w:ascii="Verdana" w:hAnsi="Verdana"/>
                <w:position w:val="6"/>
                <w:sz w:val="22"/>
                <w:szCs w:val="22"/>
              </w:rPr>
            </w:pPr>
            <w:r>
              <w:rPr>
                <w:rFonts w:ascii="Verdana" w:hAnsi="Verdana" w:hint="eastAsia"/>
                <w:b/>
              </w:rPr>
              <w:t>无线电通信全会（</w:t>
            </w:r>
            <w:r>
              <w:rPr>
                <w:rFonts w:ascii="Verdana" w:hAnsi="Verdana" w:hint="eastAsia"/>
                <w:b/>
              </w:rPr>
              <w:t>RA-19</w:t>
            </w:r>
            <w:r>
              <w:rPr>
                <w:rFonts w:ascii="Verdana" w:hAnsi="Verdana" w:hint="eastAsia"/>
                <w:b/>
              </w:rPr>
              <w:t>）</w:t>
            </w:r>
            <w:r>
              <w:rPr>
                <w:rFonts w:ascii="Verdana" w:hAnsi="Verdana" w:hint="eastAsia"/>
                <w:b/>
              </w:rPr>
              <w:br/>
              <w:t>2019</w:t>
            </w:r>
            <w:r>
              <w:rPr>
                <w:rFonts w:ascii="Verdana" w:hAnsi="Verdana" w:hint="eastAsia"/>
                <w:b/>
              </w:rPr>
              <w:t>年</w:t>
            </w:r>
            <w:r>
              <w:rPr>
                <w:rFonts w:ascii="Verdana" w:hAnsi="Verdana" w:hint="eastAsia"/>
                <w:b/>
              </w:rPr>
              <w:t>10</w:t>
            </w:r>
            <w:r>
              <w:rPr>
                <w:rFonts w:ascii="Verdana" w:hAnsi="Verdana" w:hint="eastAsia"/>
                <w:b/>
              </w:rPr>
              <w:t>月</w:t>
            </w:r>
            <w:r>
              <w:rPr>
                <w:rFonts w:ascii="Verdana" w:hAnsi="Verdana" w:hint="eastAsia"/>
                <w:b/>
              </w:rPr>
              <w:t>21-25</w:t>
            </w:r>
            <w:r>
              <w:rPr>
                <w:rFonts w:ascii="Verdana" w:hAnsi="Verdana" w:hint="eastAsia"/>
                <w:b/>
              </w:rPr>
              <w:t>日，埃及沙姆沙伊赫</w:t>
            </w:r>
          </w:p>
        </w:tc>
        <w:tc>
          <w:tcPr>
            <w:tcW w:w="3686" w:type="dxa"/>
          </w:tcPr>
          <w:p w14:paraId="6835621A" w14:textId="77777777" w:rsidR="00192E45" w:rsidRDefault="00405BB5" w:rsidP="00D262CE">
            <w:pPr>
              <w:spacing w:line="240" w:lineRule="atLeast"/>
              <w:jc w:val="right"/>
            </w:pPr>
            <w:r w:rsidRPr="00622560">
              <w:rPr>
                <w:rFonts w:ascii="Verdana" w:hAnsi="Verdana"/>
                <w:b/>
                <w:bCs/>
                <w:noProof/>
                <w:sz w:val="20"/>
              </w:rPr>
              <w:drawing>
                <wp:inline distT="0" distB="0" distL="0" distR="0" wp14:anchorId="420A9348" wp14:editId="2AC10EF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192E45" w:rsidRPr="00617BE4" w14:paraId="26318562" w14:textId="77777777">
        <w:trPr>
          <w:cantSplit/>
        </w:trPr>
        <w:tc>
          <w:tcPr>
            <w:tcW w:w="6345" w:type="dxa"/>
            <w:tcBorders>
              <w:bottom w:val="single" w:sz="12" w:space="0" w:color="auto"/>
            </w:tcBorders>
          </w:tcPr>
          <w:p w14:paraId="4B4B97D2"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E0C3A9E" w14:textId="77777777" w:rsidR="00192E45" w:rsidRPr="00617BE4" w:rsidRDefault="00192E45" w:rsidP="00192E45">
            <w:pPr>
              <w:spacing w:before="0" w:line="240" w:lineRule="atLeast"/>
              <w:rPr>
                <w:rFonts w:ascii="Verdana" w:hAnsi="Verdana"/>
                <w:szCs w:val="24"/>
              </w:rPr>
            </w:pPr>
          </w:p>
        </w:tc>
      </w:tr>
      <w:tr w:rsidR="00192E45" w:rsidRPr="00C324A8" w14:paraId="1424DC10" w14:textId="77777777">
        <w:trPr>
          <w:cantSplit/>
        </w:trPr>
        <w:tc>
          <w:tcPr>
            <w:tcW w:w="6345" w:type="dxa"/>
            <w:tcBorders>
              <w:top w:val="single" w:sz="12" w:space="0" w:color="auto"/>
            </w:tcBorders>
          </w:tcPr>
          <w:p w14:paraId="54D6CD1A"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F8749BE" w14:textId="77777777" w:rsidR="00192E45" w:rsidRPr="00C324A8" w:rsidRDefault="00192E45" w:rsidP="00192E45">
            <w:pPr>
              <w:spacing w:before="0" w:line="240" w:lineRule="atLeast"/>
              <w:rPr>
                <w:rFonts w:ascii="Verdana" w:hAnsi="Verdana"/>
                <w:sz w:val="20"/>
              </w:rPr>
            </w:pPr>
          </w:p>
        </w:tc>
      </w:tr>
      <w:tr w:rsidR="009620FA" w:rsidRPr="00C324A8" w14:paraId="3D92BB5D" w14:textId="77777777">
        <w:trPr>
          <w:cantSplit/>
          <w:trHeight w:val="23"/>
        </w:trPr>
        <w:tc>
          <w:tcPr>
            <w:tcW w:w="6345" w:type="dxa"/>
            <w:vMerge w:val="restart"/>
          </w:tcPr>
          <w:p w14:paraId="651B03B6" w14:textId="77777777" w:rsidR="009620FA" w:rsidRPr="006904BD" w:rsidRDefault="009620FA" w:rsidP="009620FA">
            <w:pPr>
              <w:tabs>
                <w:tab w:val="left" w:pos="851"/>
              </w:tabs>
              <w:spacing w:before="0" w:line="240" w:lineRule="atLeast"/>
              <w:rPr>
                <w:rFonts w:ascii="Verdana" w:hAnsi="Verdana"/>
                <w:b/>
                <w:sz w:val="20"/>
              </w:rPr>
            </w:pPr>
            <w:bookmarkStart w:id="1" w:name="dnum"/>
            <w:bookmarkStart w:id="2" w:name="dmeeting"/>
            <w:bookmarkEnd w:id="0"/>
            <w:r>
              <w:rPr>
                <w:rFonts w:ascii="Verdana" w:hAnsi="Verdana" w:hint="eastAsia"/>
                <w:b/>
                <w:sz w:val="20"/>
              </w:rPr>
              <w:t>全体会议</w:t>
            </w:r>
          </w:p>
          <w:p w14:paraId="586A5C45" w14:textId="77777777" w:rsidR="009620FA" w:rsidRPr="006904BD" w:rsidRDefault="009620FA" w:rsidP="009620FA">
            <w:pPr>
              <w:tabs>
                <w:tab w:val="left" w:pos="851"/>
              </w:tabs>
              <w:spacing w:before="0" w:line="240" w:lineRule="atLeast"/>
              <w:rPr>
                <w:rFonts w:ascii="Verdana" w:hAnsi="Verdana"/>
                <w:b/>
                <w:sz w:val="20"/>
                <w:lang w:val="en-US"/>
              </w:rPr>
            </w:pPr>
          </w:p>
          <w:p w14:paraId="0362A647" w14:textId="77777777" w:rsidR="009620FA" w:rsidRPr="00192E45" w:rsidRDefault="009620FA" w:rsidP="009620FA">
            <w:pPr>
              <w:tabs>
                <w:tab w:val="left" w:pos="851"/>
              </w:tabs>
              <w:spacing w:before="0" w:line="240" w:lineRule="atLeast"/>
              <w:rPr>
                <w:rFonts w:ascii="Verdana" w:hAnsi="Verdana"/>
                <w:sz w:val="20"/>
              </w:rPr>
            </w:pPr>
          </w:p>
        </w:tc>
        <w:tc>
          <w:tcPr>
            <w:tcW w:w="3686" w:type="dxa"/>
          </w:tcPr>
          <w:p w14:paraId="7A9191C9" w14:textId="77777777" w:rsidR="009620FA" w:rsidRPr="0004240D" w:rsidRDefault="009620FA" w:rsidP="009620FA">
            <w:pPr>
              <w:tabs>
                <w:tab w:val="left" w:pos="851"/>
              </w:tabs>
              <w:spacing w:before="0" w:line="240" w:lineRule="atLeast"/>
              <w:rPr>
                <w:rFonts w:ascii="Verdana" w:hAnsi="Verdana"/>
                <w:sz w:val="20"/>
              </w:rPr>
            </w:pPr>
            <w:r>
              <w:rPr>
                <w:rFonts w:ascii="Verdana" w:hAnsi="Verdana" w:hint="eastAsia"/>
                <w:b/>
                <w:sz w:val="20"/>
              </w:rPr>
              <w:t>文件</w:t>
            </w:r>
            <w:r>
              <w:rPr>
                <w:rFonts w:ascii="Verdana" w:hAnsi="Verdana" w:hint="eastAsia"/>
                <w:b/>
                <w:sz w:val="20"/>
              </w:rPr>
              <w:t xml:space="preserve">  RA19/PLEN/29-C</w:t>
            </w:r>
          </w:p>
        </w:tc>
      </w:tr>
      <w:tr w:rsidR="009620FA" w:rsidRPr="00C324A8" w14:paraId="2F0D16E0" w14:textId="77777777">
        <w:trPr>
          <w:cantSplit/>
          <w:trHeight w:val="23"/>
        </w:trPr>
        <w:tc>
          <w:tcPr>
            <w:tcW w:w="6345" w:type="dxa"/>
            <w:vMerge/>
          </w:tcPr>
          <w:p w14:paraId="412AB5A1" w14:textId="77777777" w:rsidR="009620FA" w:rsidRPr="00C324A8" w:rsidRDefault="009620FA" w:rsidP="009620FA">
            <w:pPr>
              <w:tabs>
                <w:tab w:val="left" w:pos="851"/>
              </w:tabs>
              <w:spacing w:line="240" w:lineRule="atLeast"/>
              <w:rPr>
                <w:rFonts w:ascii="Verdana" w:hAnsi="Verdana"/>
                <w:b/>
                <w:sz w:val="20"/>
              </w:rPr>
            </w:pPr>
            <w:bookmarkStart w:id="3" w:name="ddate"/>
            <w:bookmarkEnd w:id="1"/>
            <w:bookmarkEnd w:id="2"/>
          </w:p>
        </w:tc>
        <w:tc>
          <w:tcPr>
            <w:tcW w:w="3686" w:type="dxa"/>
          </w:tcPr>
          <w:p w14:paraId="1E86A8F9" w14:textId="77777777" w:rsidR="009620FA" w:rsidRPr="0004240D" w:rsidRDefault="009620FA" w:rsidP="009620FA">
            <w:pPr>
              <w:tabs>
                <w:tab w:val="left" w:pos="993"/>
              </w:tabs>
              <w:spacing w:before="0"/>
              <w:rPr>
                <w:rFonts w:ascii="Verdana" w:hAnsi="Verdana"/>
                <w:sz w:val="20"/>
              </w:rPr>
            </w:pPr>
            <w:r>
              <w:rPr>
                <w:rFonts w:ascii="Verdana" w:hAnsi="Verdana" w:hint="eastAsia"/>
                <w:b/>
                <w:sz w:val="20"/>
              </w:rPr>
              <w:t>2019</w:t>
            </w:r>
            <w:r>
              <w:rPr>
                <w:rFonts w:ascii="Verdana" w:hAnsi="Verdana" w:hint="eastAsia"/>
                <w:b/>
                <w:sz w:val="20"/>
              </w:rPr>
              <w:t>年</w:t>
            </w:r>
            <w:r>
              <w:rPr>
                <w:rFonts w:ascii="Verdana" w:hAnsi="Verdana" w:hint="eastAsia"/>
                <w:b/>
                <w:sz w:val="20"/>
              </w:rPr>
              <w:t>9</w:t>
            </w:r>
            <w:r>
              <w:rPr>
                <w:rFonts w:ascii="Verdana" w:hAnsi="Verdana" w:hint="eastAsia"/>
                <w:b/>
                <w:sz w:val="20"/>
              </w:rPr>
              <w:t>月</w:t>
            </w:r>
            <w:r>
              <w:rPr>
                <w:rFonts w:ascii="Verdana" w:hAnsi="Verdana" w:hint="eastAsia"/>
                <w:b/>
                <w:sz w:val="20"/>
              </w:rPr>
              <w:t>30</w:t>
            </w:r>
            <w:r>
              <w:rPr>
                <w:rFonts w:ascii="Verdana" w:hAnsi="Verdana" w:hint="eastAsia"/>
                <w:b/>
                <w:sz w:val="20"/>
              </w:rPr>
              <w:t>日</w:t>
            </w:r>
          </w:p>
        </w:tc>
      </w:tr>
      <w:tr w:rsidR="009620FA" w:rsidRPr="00C324A8" w14:paraId="5E43ECDF" w14:textId="77777777">
        <w:trPr>
          <w:cantSplit/>
          <w:trHeight w:val="23"/>
        </w:trPr>
        <w:tc>
          <w:tcPr>
            <w:tcW w:w="6345" w:type="dxa"/>
            <w:vMerge/>
          </w:tcPr>
          <w:p w14:paraId="24334E9E" w14:textId="77777777" w:rsidR="009620FA" w:rsidRPr="00C324A8" w:rsidRDefault="009620FA" w:rsidP="009620FA">
            <w:pPr>
              <w:tabs>
                <w:tab w:val="left" w:pos="851"/>
              </w:tabs>
              <w:spacing w:line="240" w:lineRule="atLeast"/>
              <w:rPr>
                <w:rFonts w:ascii="Verdana" w:hAnsi="Verdana"/>
                <w:b/>
                <w:sz w:val="20"/>
              </w:rPr>
            </w:pPr>
            <w:bookmarkStart w:id="4" w:name="dorlang"/>
            <w:bookmarkEnd w:id="3"/>
          </w:p>
        </w:tc>
        <w:tc>
          <w:tcPr>
            <w:tcW w:w="3686" w:type="dxa"/>
          </w:tcPr>
          <w:p w14:paraId="5F5BC290" w14:textId="77777777" w:rsidR="009620FA" w:rsidRPr="0004240D" w:rsidRDefault="009620FA" w:rsidP="009620FA">
            <w:pPr>
              <w:tabs>
                <w:tab w:val="left" w:pos="993"/>
              </w:tabs>
              <w:spacing w:before="0" w:after="120"/>
              <w:rPr>
                <w:rFonts w:ascii="Verdana" w:hAnsi="Verdana"/>
                <w:sz w:val="20"/>
              </w:rPr>
            </w:pPr>
            <w:r>
              <w:rPr>
                <w:rFonts w:ascii="Verdana" w:hAnsi="Verdana" w:hint="eastAsia"/>
                <w:b/>
                <w:sz w:val="20"/>
              </w:rPr>
              <w:t>原文：英文</w:t>
            </w:r>
          </w:p>
        </w:tc>
      </w:tr>
      <w:tr w:rsidR="00192E45" w14:paraId="16F7AD9C" w14:textId="77777777">
        <w:trPr>
          <w:cantSplit/>
        </w:trPr>
        <w:tc>
          <w:tcPr>
            <w:tcW w:w="10031" w:type="dxa"/>
            <w:gridSpan w:val="2"/>
          </w:tcPr>
          <w:p w14:paraId="6EE309B1" w14:textId="77777777" w:rsidR="00192E45" w:rsidRDefault="009620FA">
            <w:pPr>
              <w:pStyle w:val="Source"/>
            </w:pPr>
            <w:bookmarkStart w:id="5" w:name="dsource"/>
            <w:bookmarkEnd w:id="4"/>
            <w:r>
              <w:rPr>
                <w:rFonts w:hint="eastAsia"/>
              </w:rPr>
              <w:t>巴西（共和国）</w:t>
            </w:r>
          </w:p>
        </w:tc>
      </w:tr>
      <w:tr w:rsidR="00A1487D" w14:paraId="26942A09" w14:textId="77777777">
        <w:trPr>
          <w:cantSplit/>
        </w:trPr>
        <w:tc>
          <w:tcPr>
            <w:tcW w:w="10031" w:type="dxa"/>
            <w:gridSpan w:val="2"/>
          </w:tcPr>
          <w:p w14:paraId="0C1F4484" w14:textId="3C02C7A8" w:rsidR="00A1487D" w:rsidRPr="00F24320" w:rsidRDefault="00A1487D" w:rsidP="009620FA">
            <w:pPr>
              <w:pStyle w:val="QuestionNo"/>
              <w:spacing w:before="120"/>
            </w:pPr>
            <w:bookmarkStart w:id="6" w:name="dtitle1"/>
            <w:bookmarkEnd w:id="5"/>
            <w:r>
              <w:rPr>
                <w:rFonts w:hint="eastAsia"/>
              </w:rPr>
              <w:t>第</w:t>
            </w:r>
            <w:r>
              <w:rPr>
                <w:rFonts w:hint="eastAsia"/>
              </w:rPr>
              <w:t>[</w:t>
            </w:r>
            <w:r w:rsidR="00F90F42" w:rsidRPr="00F90F42">
              <w:t>B/IMPACT_UNINTENTIONAL_ELECTROMAG</w:t>
            </w:r>
            <w:r>
              <w:rPr>
                <w:rFonts w:hint="eastAsia"/>
              </w:rPr>
              <w:t>]</w:t>
            </w:r>
            <w:r>
              <w:rPr>
                <w:rFonts w:hint="eastAsia"/>
              </w:rPr>
              <w:t>号</w:t>
            </w:r>
            <w:r>
              <w:rPr>
                <w:rFonts w:hint="eastAsia"/>
              </w:rPr>
              <w:t>ITU</w:t>
            </w:r>
            <w:r w:rsidRPr="007A05B8">
              <w:t>-R</w:t>
            </w:r>
            <w:r>
              <w:rPr>
                <w:rFonts w:hint="eastAsia"/>
              </w:rPr>
              <w:t>新课题草案</w:t>
            </w:r>
            <w:r>
              <w:rPr>
                <w:rFonts w:hint="eastAsia"/>
              </w:rPr>
              <w:t xml:space="preserve"> </w:t>
            </w:r>
          </w:p>
        </w:tc>
      </w:tr>
      <w:tr w:rsidR="00A1487D" w14:paraId="0C76381E" w14:textId="77777777">
        <w:trPr>
          <w:cantSplit/>
        </w:trPr>
        <w:tc>
          <w:tcPr>
            <w:tcW w:w="10031" w:type="dxa"/>
            <w:gridSpan w:val="2"/>
          </w:tcPr>
          <w:p w14:paraId="1D1D69F2" w14:textId="77777777" w:rsidR="00A1487D" w:rsidRDefault="00A1487D" w:rsidP="009620FA">
            <w:pPr>
              <w:jc w:val="center"/>
            </w:pPr>
            <w:bookmarkStart w:id="7" w:name="dtitle2"/>
            <w:bookmarkEnd w:id="6"/>
            <w:r>
              <w:rPr>
                <w:rFonts w:hint="eastAsia"/>
                <w:b/>
                <w:sz w:val="28"/>
                <w:szCs w:val="28"/>
              </w:rPr>
              <w:t>电气或电子设备对无线电通信业务产生的无用电磁能量影响</w:t>
            </w:r>
          </w:p>
        </w:tc>
      </w:tr>
      <w:tr w:rsidR="00A1487D" w14:paraId="55E7B6EF" w14:textId="77777777">
        <w:trPr>
          <w:cantSplit/>
        </w:trPr>
        <w:tc>
          <w:tcPr>
            <w:tcW w:w="10031" w:type="dxa"/>
            <w:gridSpan w:val="2"/>
          </w:tcPr>
          <w:p w14:paraId="2E538A27" w14:textId="77777777" w:rsidR="00A1487D" w:rsidRDefault="00A1487D">
            <w:pPr>
              <w:pStyle w:val="Title3"/>
            </w:pPr>
            <w:bookmarkStart w:id="8" w:name="dtitle3"/>
            <w:bookmarkEnd w:id="7"/>
          </w:p>
        </w:tc>
      </w:tr>
    </w:tbl>
    <w:p w14:paraId="59A56F4B" w14:textId="6540F6A6" w:rsidR="009620FA" w:rsidRPr="00151C79" w:rsidRDefault="00151C79" w:rsidP="00151C79">
      <w:pPr>
        <w:pStyle w:val="Heading1"/>
        <w:ind w:left="0" w:firstLine="0"/>
        <w:rPr>
          <w:bCs/>
        </w:rPr>
      </w:pPr>
      <w:bookmarkStart w:id="9" w:name="dbreak"/>
      <w:bookmarkEnd w:id="9"/>
      <w:bookmarkEnd w:id="8"/>
      <w:r w:rsidRPr="007A05B8">
        <w:t>1</w:t>
      </w:r>
      <w:r w:rsidRPr="007A05B8">
        <w:tab/>
      </w:r>
      <w:r>
        <w:rPr>
          <w:rFonts w:hint="eastAsia"/>
        </w:rPr>
        <w:t>引言</w:t>
      </w:r>
    </w:p>
    <w:p w14:paraId="3AAB78D9" w14:textId="09B44CD5" w:rsidR="009620FA" w:rsidRDefault="009620FA" w:rsidP="00151C79">
      <w:pPr>
        <w:ind w:firstLineChars="200" w:firstLine="480"/>
        <w:jc w:val="both"/>
      </w:pPr>
      <w:r>
        <w:rPr>
          <w:rFonts w:hint="eastAsia"/>
        </w:rPr>
        <w:t>现代电气或电子设备及其系统</w:t>
      </w:r>
      <w:r w:rsidR="004E5FC6">
        <w:rPr>
          <w:rFonts w:hint="eastAsia"/>
        </w:rPr>
        <w:t>（</w:t>
      </w:r>
      <w:r>
        <w:rPr>
          <w:rFonts w:hint="eastAsia"/>
        </w:rPr>
        <w:t>包括</w:t>
      </w:r>
      <w:r w:rsidR="0021352B">
        <w:rPr>
          <w:rFonts w:hint="eastAsia"/>
        </w:rPr>
        <w:t>无意</w:t>
      </w:r>
      <w:r>
        <w:rPr>
          <w:rFonts w:hint="eastAsia"/>
        </w:rPr>
        <w:t>用于电信的设备</w:t>
      </w:r>
      <w:r w:rsidR="004E5FC6">
        <w:rPr>
          <w:rFonts w:hint="eastAsia"/>
        </w:rPr>
        <w:t>）</w:t>
      </w:r>
      <w:r>
        <w:rPr>
          <w:rFonts w:hint="eastAsia"/>
        </w:rPr>
        <w:t>可能会产生相关的电磁干扰。这些事件</w:t>
      </w:r>
      <w:r w:rsidR="0021352B">
        <w:rPr>
          <w:rFonts w:hint="eastAsia"/>
        </w:rPr>
        <w:t>的出现</w:t>
      </w:r>
      <w:r>
        <w:rPr>
          <w:rFonts w:hint="eastAsia"/>
        </w:rPr>
        <w:t>与</w:t>
      </w:r>
      <w:r w:rsidR="005F733F">
        <w:rPr>
          <w:rFonts w:hint="eastAsia"/>
        </w:rPr>
        <w:t>其</w:t>
      </w:r>
      <w:r>
        <w:rPr>
          <w:rFonts w:hint="eastAsia"/>
        </w:rPr>
        <w:t>电子系统的</w:t>
      </w:r>
      <w:r w:rsidR="006353A8">
        <w:rPr>
          <w:rFonts w:hint="eastAsia"/>
        </w:rPr>
        <w:t>运行动态</w:t>
      </w:r>
      <w:r w:rsidR="005F733F">
        <w:rPr>
          <w:rFonts w:hint="eastAsia"/>
        </w:rPr>
        <w:t>，</w:t>
      </w:r>
      <w:r>
        <w:rPr>
          <w:rFonts w:hint="eastAsia"/>
        </w:rPr>
        <w:t>开关电源</w:t>
      </w:r>
      <w:r w:rsidR="0021352B">
        <w:rPr>
          <w:rFonts w:hint="eastAsia"/>
        </w:rPr>
        <w:t>的情况</w:t>
      </w:r>
      <w:r>
        <w:rPr>
          <w:rFonts w:hint="eastAsia"/>
        </w:rPr>
        <w:t>、非线性负载、机电设备、逻辑电路等有关。这些电</w:t>
      </w:r>
      <w:r w:rsidR="0021352B">
        <w:rPr>
          <w:rFonts w:hint="eastAsia"/>
        </w:rPr>
        <w:t>的</w:t>
      </w:r>
      <w:r>
        <w:rPr>
          <w:rFonts w:hint="eastAsia"/>
        </w:rPr>
        <w:t>影响可以通过辐射和传导方式体现出来，</w:t>
      </w:r>
      <w:r w:rsidR="0021352B">
        <w:rPr>
          <w:rFonts w:hint="eastAsia"/>
        </w:rPr>
        <w:t>而且</w:t>
      </w:r>
      <w:r>
        <w:rPr>
          <w:rFonts w:hint="eastAsia"/>
        </w:rPr>
        <w:t>如果不从源头上减</w:t>
      </w:r>
      <w:r w:rsidR="0021352B">
        <w:rPr>
          <w:rFonts w:hint="eastAsia"/>
        </w:rPr>
        <w:t>缓</w:t>
      </w:r>
      <w:r>
        <w:rPr>
          <w:rFonts w:hint="eastAsia"/>
        </w:rPr>
        <w:t>，则可能降低和干扰电磁频谱。</w:t>
      </w:r>
    </w:p>
    <w:p w14:paraId="5F47E62F" w14:textId="2521FA03" w:rsidR="009620FA" w:rsidRDefault="009620FA" w:rsidP="00151C79">
      <w:pPr>
        <w:ind w:firstLineChars="200" w:firstLine="480"/>
        <w:jc w:val="both"/>
      </w:pPr>
      <w:r>
        <w:rPr>
          <w:rFonts w:hint="eastAsia"/>
        </w:rPr>
        <w:t>考虑到此类技术的快速增长、扩散、</w:t>
      </w:r>
      <w:r w:rsidR="0021352B">
        <w:rPr>
          <w:rFonts w:hint="eastAsia"/>
        </w:rPr>
        <w:t>渗透</w:t>
      </w:r>
      <w:r>
        <w:rPr>
          <w:rFonts w:hint="eastAsia"/>
        </w:rPr>
        <w:t>和普遍存在，这</w:t>
      </w:r>
      <w:r w:rsidR="0021352B">
        <w:rPr>
          <w:rFonts w:hint="eastAsia"/>
        </w:rPr>
        <w:t>种情况</w:t>
      </w:r>
      <w:r>
        <w:rPr>
          <w:rFonts w:hint="eastAsia"/>
        </w:rPr>
        <w:t>可能</w:t>
      </w:r>
      <w:r w:rsidR="0021352B">
        <w:rPr>
          <w:rFonts w:hint="eastAsia"/>
        </w:rPr>
        <w:t>会</w:t>
      </w:r>
      <w:r>
        <w:rPr>
          <w:rFonts w:hint="eastAsia"/>
        </w:rPr>
        <w:t>严重影响现有和</w:t>
      </w:r>
      <w:r w:rsidR="0021352B">
        <w:rPr>
          <w:rFonts w:hint="eastAsia"/>
        </w:rPr>
        <w:t>未</w:t>
      </w:r>
      <w:r>
        <w:rPr>
          <w:rFonts w:hint="eastAsia"/>
        </w:rPr>
        <w:t>来的无线电通信业务，特别是在居住环境中，</w:t>
      </w:r>
      <w:r w:rsidR="00926A6F">
        <w:rPr>
          <w:rFonts w:hint="eastAsia"/>
        </w:rPr>
        <w:t>电子设备的</w:t>
      </w:r>
      <w:r>
        <w:rPr>
          <w:rFonts w:hint="eastAsia"/>
        </w:rPr>
        <w:t>密度</w:t>
      </w:r>
      <w:r w:rsidR="00A1487D">
        <w:rPr>
          <w:rFonts w:hint="eastAsia"/>
        </w:rPr>
        <w:t>高</w:t>
      </w:r>
      <w:r>
        <w:rPr>
          <w:rFonts w:hint="eastAsia"/>
        </w:rPr>
        <w:t>、数量</w:t>
      </w:r>
      <w:r w:rsidR="00A1487D">
        <w:rPr>
          <w:rFonts w:hint="eastAsia"/>
        </w:rPr>
        <w:t>多</w:t>
      </w:r>
      <w:r>
        <w:rPr>
          <w:rFonts w:hint="eastAsia"/>
        </w:rPr>
        <w:t>和</w:t>
      </w:r>
      <w:r w:rsidR="00A1487D">
        <w:rPr>
          <w:rFonts w:hint="eastAsia"/>
        </w:rPr>
        <w:t>种类</w:t>
      </w:r>
      <w:r>
        <w:rPr>
          <w:rFonts w:hint="eastAsia"/>
        </w:rPr>
        <w:t>丰富，</w:t>
      </w:r>
      <w:r w:rsidR="00926A6F" w:rsidRPr="00926A6F">
        <w:rPr>
          <w:rFonts w:hint="eastAsia"/>
        </w:rPr>
        <w:t>可直接影响用户或用户区域内无线电通信</w:t>
      </w:r>
      <w:r w:rsidR="004E5FC6">
        <w:rPr>
          <w:rFonts w:hint="eastAsia"/>
        </w:rPr>
        <w:t>业</w:t>
      </w:r>
      <w:r w:rsidR="00926A6F" w:rsidRPr="00926A6F">
        <w:rPr>
          <w:rFonts w:hint="eastAsia"/>
        </w:rPr>
        <w:t>务的功能</w:t>
      </w:r>
      <w:r w:rsidR="00A1487D">
        <w:rPr>
          <w:rFonts w:hint="eastAsia"/>
        </w:rPr>
        <w:t>性</w:t>
      </w:r>
      <w:r w:rsidR="00926A6F" w:rsidRPr="00926A6F">
        <w:rPr>
          <w:rFonts w:hint="eastAsia"/>
        </w:rPr>
        <w:t>。</w:t>
      </w:r>
    </w:p>
    <w:p w14:paraId="6456929B" w14:textId="53579154" w:rsidR="009620FA" w:rsidRDefault="009620FA" w:rsidP="00151C79">
      <w:pPr>
        <w:ind w:firstLineChars="200" w:firstLine="480"/>
        <w:jc w:val="both"/>
      </w:pPr>
      <w:r>
        <w:rPr>
          <w:rFonts w:hint="eastAsia"/>
        </w:rPr>
        <w:t>由于这些电磁干扰和装置的特性，可以在很宽的频率范围内检测到干扰，影响</w:t>
      </w:r>
      <w:r w:rsidR="00A1487D">
        <w:rPr>
          <w:rFonts w:hint="eastAsia"/>
        </w:rPr>
        <w:t>到</w:t>
      </w:r>
      <w:r>
        <w:rPr>
          <w:rFonts w:hint="eastAsia"/>
        </w:rPr>
        <w:t>多种无线电通信</w:t>
      </w:r>
      <w:r w:rsidR="00A1487D">
        <w:rPr>
          <w:rFonts w:hint="eastAsia"/>
        </w:rPr>
        <w:t>业</w:t>
      </w:r>
      <w:r>
        <w:rPr>
          <w:rFonts w:hint="eastAsia"/>
        </w:rPr>
        <w:t>务</w:t>
      </w:r>
      <w:r w:rsidR="00926A6F">
        <w:rPr>
          <w:rFonts w:hint="eastAsia"/>
        </w:rPr>
        <w:t>并</w:t>
      </w:r>
      <w:r w:rsidR="00A1487D">
        <w:rPr>
          <w:rFonts w:hint="eastAsia"/>
        </w:rPr>
        <w:t>且</w:t>
      </w:r>
      <w:r w:rsidR="00926A6F">
        <w:rPr>
          <w:rFonts w:hint="eastAsia"/>
        </w:rPr>
        <w:t>远距离传播</w:t>
      </w:r>
      <w:r>
        <w:rPr>
          <w:rFonts w:hint="eastAsia"/>
        </w:rPr>
        <w:t>，同时影响多个</w:t>
      </w:r>
      <w:r w:rsidR="00A1487D">
        <w:rPr>
          <w:rFonts w:hint="eastAsia"/>
        </w:rPr>
        <w:t>台</w:t>
      </w:r>
      <w:r>
        <w:rPr>
          <w:rFonts w:hint="eastAsia"/>
        </w:rPr>
        <w:t>站、接收器或终端，包括用于安全通信的</w:t>
      </w:r>
      <w:r w:rsidR="00A1487D">
        <w:rPr>
          <w:rFonts w:hint="eastAsia"/>
        </w:rPr>
        <w:t>台</w:t>
      </w:r>
      <w:r>
        <w:rPr>
          <w:rFonts w:hint="eastAsia"/>
        </w:rPr>
        <w:t>站、接收器或终端。</w:t>
      </w:r>
    </w:p>
    <w:p w14:paraId="684335F9" w14:textId="4794CBBA" w:rsidR="009620FA" w:rsidRPr="00265166" w:rsidRDefault="00151C79" w:rsidP="009620FA">
      <w:pPr>
        <w:pStyle w:val="Heading1"/>
      </w:pPr>
      <w:r w:rsidRPr="007A05B8">
        <w:t>2</w:t>
      </w:r>
      <w:r w:rsidRPr="007A05B8">
        <w:tab/>
      </w:r>
      <w:r w:rsidR="009620FA">
        <w:rPr>
          <w:rFonts w:hint="eastAsia"/>
        </w:rPr>
        <w:t>以</w:t>
      </w:r>
      <w:r w:rsidR="000662A9">
        <w:rPr>
          <w:rFonts w:hint="eastAsia"/>
        </w:rPr>
        <w:t>往</w:t>
      </w:r>
      <w:r w:rsidR="009620FA">
        <w:rPr>
          <w:rFonts w:hint="eastAsia"/>
        </w:rPr>
        <w:t>的报告</w:t>
      </w:r>
    </w:p>
    <w:p w14:paraId="757A8059" w14:textId="66591909" w:rsidR="009620FA" w:rsidRDefault="009620FA" w:rsidP="00151C79">
      <w:pPr>
        <w:ind w:firstLineChars="200" w:firstLine="480"/>
        <w:jc w:val="both"/>
      </w:pPr>
      <w:r>
        <w:rPr>
          <w:rFonts w:hint="eastAsia"/>
        </w:rPr>
        <w:t>这个问题近</w:t>
      </w:r>
      <w:r w:rsidR="00A1487D">
        <w:rPr>
          <w:rFonts w:hint="eastAsia"/>
        </w:rPr>
        <w:t>期</w:t>
      </w:r>
      <w:r>
        <w:rPr>
          <w:rFonts w:hint="eastAsia"/>
        </w:rPr>
        <w:t>引起人们的浓厚兴趣</w:t>
      </w:r>
      <w:r w:rsidR="00A1487D">
        <w:rPr>
          <w:rFonts w:hint="eastAsia"/>
        </w:rPr>
        <w:t>；</w:t>
      </w:r>
      <w:r>
        <w:rPr>
          <w:rFonts w:hint="eastAsia"/>
        </w:rPr>
        <w:t>ITU-R</w:t>
      </w:r>
      <w:r>
        <w:rPr>
          <w:rFonts w:hint="eastAsia"/>
        </w:rPr>
        <w:t>工作组已制定</w:t>
      </w:r>
      <w:r w:rsidR="00A1487D">
        <w:rPr>
          <w:rFonts w:hint="eastAsia"/>
        </w:rPr>
        <w:t>出</w:t>
      </w:r>
      <w:r>
        <w:rPr>
          <w:rFonts w:hint="eastAsia"/>
        </w:rPr>
        <w:t>第一批报告，</w:t>
      </w:r>
      <w:r w:rsidR="00A1487D">
        <w:rPr>
          <w:rFonts w:hint="eastAsia"/>
        </w:rPr>
        <w:t>并且</w:t>
      </w:r>
      <w:r>
        <w:rPr>
          <w:rFonts w:hint="eastAsia"/>
        </w:rPr>
        <w:t>与</w:t>
      </w:r>
      <w:r>
        <w:rPr>
          <w:rFonts w:hint="eastAsia"/>
        </w:rPr>
        <w:t>IEC/CISPR</w:t>
      </w:r>
      <w:r>
        <w:rPr>
          <w:rFonts w:hint="eastAsia"/>
        </w:rPr>
        <w:t>进行了多次联络</w:t>
      </w:r>
      <w:r w:rsidR="00A1487D">
        <w:rPr>
          <w:rFonts w:hint="eastAsia"/>
        </w:rPr>
        <w:t>。</w:t>
      </w:r>
    </w:p>
    <w:p w14:paraId="779ACFF0" w14:textId="77D2862B" w:rsidR="009620FA" w:rsidRDefault="009620FA" w:rsidP="00151C79">
      <w:pPr>
        <w:ind w:firstLineChars="200" w:firstLine="480"/>
        <w:jc w:val="both"/>
      </w:pPr>
      <w:r>
        <w:rPr>
          <w:rFonts w:hint="eastAsia"/>
        </w:rPr>
        <w:t>1C</w:t>
      </w:r>
      <w:r>
        <w:rPr>
          <w:rFonts w:hint="eastAsia"/>
        </w:rPr>
        <w:t>工作组在</w:t>
      </w:r>
      <w:r>
        <w:rPr>
          <w:rFonts w:hint="eastAsia"/>
        </w:rPr>
        <w:t>2017</w:t>
      </w:r>
      <w:r>
        <w:rPr>
          <w:rFonts w:hint="eastAsia"/>
        </w:rPr>
        <w:t>年</w:t>
      </w:r>
      <w:r>
        <w:rPr>
          <w:rFonts w:hint="eastAsia"/>
        </w:rPr>
        <w:t>6</w:t>
      </w:r>
      <w:r>
        <w:rPr>
          <w:rFonts w:hint="eastAsia"/>
        </w:rPr>
        <w:t>月的会议上审议了</w:t>
      </w:r>
      <w:r w:rsidR="00A1487D">
        <w:rPr>
          <w:rFonts w:hint="eastAsia"/>
        </w:rPr>
        <w:t>几份</w:t>
      </w:r>
      <w:r>
        <w:rPr>
          <w:rFonts w:hint="eastAsia"/>
        </w:rPr>
        <w:t>联络声明，其中提到了对环境中</w:t>
      </w:r>
      <w:r>
        <w:rPr>
          <w:rFonts w:hint="eastAsia"/>
        </w:rPr>
        <w:t>RF</w:t>
      </w:r>
      <w:r>
        <w:rPr>
          <w:rFonts w:hint="eastAsia"/>
        </w:rPr>
        <w:t>噪声水平不断</w:t>
      </w:r>
      <w:r w:rsidR="00B00FA8">
        <w:rPr>
          <w:rFonts w:hint="eastAsia"/>
        </w:rPr>
        <w:t>上升</w:t>
      </w:r>
      <w:r>
        <w:rPr>
          <w:rFonts w:hint="eastAsia"/>
        </w:rPr>
        <w:t>以及</w:t>
      </w:r>
      <w:r w:rsidR="00A1487D">
        <w:rPr>
          <w:rFonts w:hint="eastAsia"/>
        </w:rPr>
        <w:t>对</w:t>
      </w:r>
      <w:r>
        <w:rPr>
          <w:rFonts w:hint="eastAsia"/>
        </w:rPr>
        <w:t>各种机制导致的电磁干扰</w:t>
      </w:r>
      <w:r w:rsidR="00B00FA8">
        <w:rPr>
          <w:rFonts w:hint="eastAsia"/>
        </w:rPr>
        <w:t>实例</w:t>
      </w:r>
      <w:r>
        <w:rPr>
          <w:rFonts w:hint="eastAsia"/>
        </w:rPr>
        <w:t>增加的担忧。</w:t>
      </w:r>
    </w:p>
    <w:p w14:paraId="092822E7" w14:textId="353813FE" w:rsidR="009620FA" w:rsidRDefault="00A1487D" w:rsidP="00151C79">
      <w:pPr>
        <w:ind w:firstLineChars="200" w:firstLine="480"/>
        <w:jc w:val="both"/>
      </w:pPr>
      <w:r>
        <w:rPr>
          <w:rFonts w:hint="eastAsia"/>
        </w:rPr>
        <w:t>已</w:t>
      </w:r>
      <w:r w:rsidR="00946C9C">
        <w:rPr>
          <w:rFonts w:hint="eastAsia"/>
        </w:rPr>
        <w:t>要求</w:t>
      </w:r>
      <w:r w:rsidR="009620FA">
        <w:rPr>
          <w:rFonts w:hint="eastAsia"/>
        </w:rPr>
        <w:t>各主管部门简要报告与</w:t>
      </w:r>
      <w:r w:rsidR="009620FA">
        <w:rPr>
          <w:rFonts w:hint="eastAsia"/>
        </w:rPr>
        <w:t>LED</w:t>
      </w:r>
      <w:r w:rsidR="009620FA">
        <w:rPr>
          <w:rFonts w:hint="eastAsia"/>
        </w:rPr>
        <w:t>照明、开关电源、电器、光伏装置、电缆信号泄漏</w:t>
      </w:r>
      <w:r>
        <w:rPr>
          <w:rFonts w:hint="eastAsia"/>
        </w:rPr>
        <w:t>及</w:t>
      </w:r>
      <w:r w:rsidR="009620FA">
        <w:rPr>
          <w:rFonts w:hint="eastAsia"/>
        </w:rPr>
        <w:t>其他问题</w:t>
      </w:r>
      <w:r>
        <w:rPr>
          <w:rFonts w:hint="eastAsia"/>
        </w:rPr>
        <w:t>相</w:t>
      </w:r>
      <w:r w:rsidR="009620FA">
        <w:rPr>
          <w:rFonts w:hint="eastAsia"/>
        </w:rPr>
        <w:t>关的有害干扰的发生情况。</w:t>
      </w:r>
      <w:r w:rsidR="009620FA">
        <w:rPr>
          <w:rFonts w:hint="eastAsia"/>
        </w:rPr>
        <w:t xml:space="preserve"> </w:t>
      </w:r>
    </w:p>
    <w:p w14:paraId="63CF9D01" w14:textId="0C1739F8" w:rsidR="009620FA" w:rsidRPr="00005115" w:rsidRDefault="00F90F42" w:rsidP="00151C79">
      <w:pPr>
        <w:ind w:firstLineChars="200" w:firstLine="480"/>
        <w:jc w:val="both"/>
      </w:pPr>
      <w:hyperlink r:id="rId8" w:history="1">
        <w:r w:rsidR="00936756" w:rsidRPr="00601083">
          <w:rPr>
            <w:rStyle w:val="Hyperlink"/>
            <w:lang w:val="en-US"/>
          </w:rPr>
          <w:t>1A/213</w:t>
        </w:r>
      </w:hyperlink>
      <w:r w:rsidR="009620FA">
        <w:rPr>
          <w:rFonts w:hint="eastAsia"/>
        </w:rPr>
        <w:t>号文件中</w:t>
      </w:r>
      <w:r w:rsidR="00A1487D">
        <w:rPr>
          <w:rFonts w:hint="eastAsia"/>
        </w:rPr>
        <w:t>列举</w:t>
      </w:r>
      <w:r w:rsidR="009620FA">
        <w:rPr>
          <w:rFonts w:hint="eastAsia"/>
        </w:rPr>
        <w:t>的干扰高达</w:t>
      </w:r>
      <w:r w:rsidR="009620FA">
        <w:rPr>
          <w:rFonts w:hint="eastAsia"/>
        </w:rPr>
        <w:t>2.1 GHz</w:t>
      </w:r>
      <w:r w:rsidR="009620FA">
        <w:rPr>
          <w:rFonts w:hint="eastAsia"/>
        </w:rPr>
        <w:t>，从同频域到谐波域的距离可达</w:t>
      </w:r>
      <w:r w:rsidR="009620FA">
        <w:rPr>
          <w:rFonts w:hint="eastAsia"/>
        </w:rPr>
        <w:t>2</w:t>
      </w:r>
      <w:r w:rsidR="00A1487D">
        <w:rPr>
          <w:rFonts w:hint="eastAsia"/>
        </w:rPr>
        <w:t>公里</w:t>
      </w:r>
      <w:r w:rsidR="004E5FC6">
        <w:rPr>
          <w:rFonts w:hint="eastAsia"/>
        </w:rPr>
        <w:t>（</w:t>
      </w:r>
      <w:r w:rsidR="009620FA">
        <w:rPr>
          <w:rFonts w:hint="eastAsia"/>
        </w:rPr>
        <w:t>视情况而定</w:t>
      </w:r>
      <w:r w:rsidR="004E5FC6">
        <w:rPr>
          <w:rFonts w:hint="eastAsia"/>
        </w:rPr>
        <w:t>）</w:t>
      </w:r>
      <w:r w:rsidR="009620FA">
        <w:rPr>
          <w:rFonts w:hint="eastAsia"/>
        </w:rPr>
        <w:t>；</w:t>
      </w:r>
      <w:r w:rsidR="00AC3D09">
        <w:rPr>
          <w:rFonts w:hint="eastAsia"/>
        </w:rPr>
        <w:t>可以</w:t>
      </w:r>
      <w:r w:rsidR="009620FA">
        <w:rPr>
          <w:rFonts w:hint="eastAsia"/>
        </w:rPr>
        <w:t>影响</w:t>
      </w:r>
      <w:r w:rsidR="009620FA">
        <w:rPr>
          <w:rFonts w:hint="eastAsia"/>
        </w:rPr>
        <w:t>LTE/GSM/UMTS</w:t>
      </w:r>
      <w:r w:rsidR="009620FA">
        <w:rPr>
          <w:rFonts w:hint="eastAsia"/>
        </w:rPr>
        <w:t>网络、海事（</w:t>
      </w:r>
      <w:r w:rsidR="00A1487D">
        <w:rPr>
          <w:rFonts w:hint="eastAsia"/>
        </w:rPr>
        <w:t>国际卫星辅助搜救组织，</w:t>
      </w:r>
      <w:r w:rsidR="009620FA">
        <w:rPr>
          <w:rFonts w:hint="eastAsia"/>
        </w:rPr>
        <w:t>COSPAS-SARSAT</w:t>
      </w:r>
      <w:r w:rsidR="009620FA">
        <w:rPr>
          <w:rFonts w:hint="eastAsia"/>
        </w:rPr>
        <w:t>）、声音和电视广播、数字音频广播、警察</w:t>
      </w:r>
      <w:r w:rsidR="009620FA">
        <w:rPr>
          <w:rFonts w:hint="eastAsia"/>
        </w:rPr>
        <w:t>/</w:t>
      </w:r>
      <w:r w:rsidR="009620FA">
        <w:rPr>
          <w:rFonts w:hint="eastAsia"/>
        </w:rPr>
        <w:t>救援</w:t>
      </w:r>
      <w:r w:rsidR="009620FA">
        <w:rPr>
          <w:rFonts w:hint="eastAsia"/>
        </w:rPr>
        <w:t>/</w:t>
      </w:r>
      <w:r w:rsidR="009620FA">
        <w:rPr>
          <w:rFonts w:hint="eastAsia"/>
        </w:rPr>
        <w:t>消防部门网络、航空无线电通信、业余无线电、公民频段、</w:t>
      </w:r>
      <w:r w:rsidR="009620FA">
        <w:rPr>
          <w:rFonts w:hint="eastAsia"/>
        </w:rPr>
        <w:t>PMR</w:t>
      </w:r>
      <w:r w:rsidR="009620FA">
        <w:rPr>
          <w:rFonts w:hint="eastAsia"/>
        </w:rPr>
        <w:t>、医疗</w:t>
      </w:r>
      <w:r w:rsidR="004E5FC6">
        <w:rPr>
          <w:rFonts w:hint="eastAsia"/>
        </w:rPr>
        <w:t>（</w:t>
      </w:r>
      <w:r w:rsidR="009620FA">
        <w:rPr>
          <w:rFonts w:hint="eastAsia"/>
        </w:rPr>
        <w:t>超声</w:t>
      </w:r>
      <w:r w:rsidR="004E5FC6">
        <w:rPr>
          <w:rFonts w:hint="eastAsia"/>
        </w:rPr>
        <w:t>）</w:t>
      </w:r>
      <w:r w:rsidR="009620FA">
        <w:rPr>
          <w:rFonts w:hint="eastAsia"/>
        </w:rPr>
        <w:t>设备、无线麦克风和移动服务。</w:t>
      </w:r>
    </w:p>
    <w:p w14:paraId="2EC72C32" w14:textId="7F427C54" w:rsidR="009620FA" w:rsidRPr="003139A7" w:rsidRDefault="009620FA" w:rsidP="00151C79">
      <w:pPr>
        <w:ind w:firstLineChars="200" w:firstLine="480"/>
        <w:jc w:val="both"/>
        <w:rPr>
          <w:color w:val="000000"/>
          <w:szCs w:val="24"/>
        </w:rPr>
      </w:pPr>
      <w:r>
        <w:rPr>
          <w:rFonts w:hint="eastAsia"/>
        </w:rPr>
        <w:t>与</w:t>
      </w:r>
      <w:hyperlink r:id="rId9" w:history="1">
        <w:r w:rsidR="002B016F">
          <w:rPr>
            <w:rStyle w:val="Hyperlink"/>
            <w:lang w:val="en-US"/>
          </w:rPr>
          <w:t>1A/171</w:t>
        </w:r>
      </w:hyperlink>
      <w:r w:rsidR="00A1487D">
        <w:rPr>
          <w:rFonts w:hint="eastAsia"/>
        </w:rPr>
        <w:t>号文件相</w:t>
      </w:r>
      <w:r>
        <w:rPr>
          <w:rFonts w:hint="eastAsia"/>
        </w:rPr>
        <w:t>关的研究包括检测</w:t>
      </w:r>
      <w:proofErr w:type="gramStart"/>
      <w:r>
        <w:rPr>
          <w:rFonts w:hint="eastAsia"/>
        </w:rPr>
        <w:t>几百兆赫兹宽的</w:t>
      </w:r>
      <w:proofErr w:type="gramEnd"/>
      <w:r>
        <w:rPr>
          <w:rFonts w:hint="eastAsia"/>
        </w:rPr>
        <w:t>航空无线电信道（</w:t>
      </w:r>
      <w:r>
        <w:rPr>
          <w:rFonts w:hint="eastAsia"/>
        </w:rPr>
        <w:t>119.975</w:t>
      </w:r>
      <w:r>
        <w:rPr>
          <w:rFonts w:hint="eastAsia"/>
        </w:rPr>
        <w:t>、</w:t>
      </w:r>
      <w:r>
        <w:rPr>
          <w:rFonts w:hint="eastAsia"/>
        </w:rPr>
        <w:t>127.8</w:t>
      </w:r>
      <w:r>
        <w:rPr>
          <w:rFonts w:hint="eastAsia"/>
        </w:rPr>
        <w:t>、</w:t>
      </w:r>
      <w:r>
        <w:rPr>
          <w:rFonts w:hint="eastAsia"/>
        </w:rPr>
        <w:t>306.2</w:t>
      </w:r>
      <w:r>
        <w:rPr>
          <w:rFonts w:hint="eastAsia"/>
        </w:rPr>
        <w:t>和</w:t>
      </w:r>
      <w:r>
        <w:rPr>
          <w:rFonts w:hint="eastAsia"/>
        </w:rPr>
        <w:t>353.5 MHz</w:t>
      </w:r>
      <w:r>
        <w:rPr>
          <w:rFonts w:hint="eastAsia"/>
        </w:rPr>
        <w:t>）</w:t>
      </w:r>
      <w:r w:rsidR="00AC3D09">
        <w:rPr>
          <w:rFonts w:hint="eastAsia"/>
        </w:rPr>
        <w:t>干扰</w:t>
      </w:r>
      <w:r>
        <w:rPr>
          <w:rFonts w:hint="eastAsia"/>
        </w:rPr>
        <w:t>。</w:t>
      </w:r>
      <w:r>
        <w:rPr>
          <w:rFonts w:hint="eastAsia"/>
          <w:color w:val="000000"/>
          <w:szCs w:val="24"/>
        </w:rPr>
        <w:t>确定</w:t>
      </w:r>
      <w:r w:rsidR="00AC3D09">
        <w:rPr>
          <w:rFonts w:hint="eastAsia"/>
          <w:color w:val="000000"/>
          <w:szCs w:val="24"/>
        </w:rPr>
        <w:t>其</w:t>
      </w:r>
      <w:r>
        <w:rPr>
          <w:rFonts w:hint="eastAsia"/>
          <w:color w:val="000000"/>
          <w:szCs w:val="24"/>
        </w:rPr>
        <w:t>光源为约</w:t>
      </w:r>
      <w:r>
        <w:rPr>
          <w:rFonts w:hint="eastAsia"/>
          <w:color w:val="000000"/>
          <w:szCs w:val="24"/>
        </w:rPr>
        <w:t>2.5</w:t>
      </w:r>
      <w:r>
        <w:rPr>
          <w:rFonts w:hint="eastAsia"/>
          <w:color w:val="000000"/>
          <w:szCs w:val="24"/>
        </w:rPr>
        <w:t>公里外的</w:t>
      </w:r>
      <w:r>
        <w:rPr>
          <w:rFonts w:hint="eastAsia"/>
          <w:color w:val="000000"/>
          <w:szCs w:val="24"/>
        </w:rPr>
        <w:t>LED</w:t>
      </w:r>
      <w:r>
        <w:rPr>
          <w:rFonts w:hint="eastAsia"/>
          <w:color w:val="000000"/>
          <w:szCs w:val="24"/>
        </w:rPr>
        <w:t>照明。</w:t>
      </w:r>
      <w:r>
        <w:rPr>
          <w:rFonts w:hint="eastAsia"/>
        </w:rPr>
        <w:t>文件中还认为其</w:t>
      </w:r>
      <w:r>
        <w:rPr>
          <w:rFonts w:hint="eastAsia"/>
        </w:rPr>
        <w:lastRenderedPageBreak/>
        <w:t>他系统（如</w:t>
      </w:r>
      <w:r>
        <w:rPr>
          <w:rFonts w:hint="eastAsia"/>
        </w:rPr>
        <w:t>GNSS</w:t>
      </w:r>
      <w:r>
        <w:rPr>
          <w:rFonts w:hint="eastAsia"/>
        </w:rPr>
        <w:t>和雷达）在底噪声方面非常有限，为了保护此类系统，应限制干扰源，例如</w:t>
      </w:r>
      <w:r w:rsidR="00D169D3">
        <w:rPr>
          <w:rFonts w:hint="eastAsia"/>
        </w:rPr>
        <w:t>使其</w:t>
      </w:r>
      <w:r>
        <w:rPr>
          <w:rFonts w:hint="eastAsia"/>
        </w:rPr>
        <w:t>不会导致底噪声增加到不可接受的程度，</w:t>
      </w:r>
      <w:r w:rsidR="00D169D3">
        <w:rPr>
          <w:rFonts w:hint="eastAsia"/>
        </w:rPr>
        <w:t>文中</w:t>
      </w:r>
      <w:r w:rsidR="00FB7211" w:rsidRPr="00766381">
        <w:rPr>
          <w:rFonts w:hint="eastAsia"/>
        </w:rPr>
        <w:t>不仅</w:t>
      </w:r>
      <w:r>
        <w:rPr>
          <w:rFonts w:hint="eastAsia"/>
        </w:rPr>
        <w:t>提到</w:t>
      </w:r>
      <w:r w:rsidR="00FB7211">
        <w:rPr>
          <w:rFonts w:hint="eastAsia"/>
        </w:rPr>
        <w:t>了</w:t>
      </w:r>
      <w:r w:rsidR="00766381" w:rsidRPr="00766381">
        <w:rPr>
          <w:rFonts w:hint="eastAsia"/>
        </w:rPr>
        <w:t>单个来源</w:t>
      </w:r>
      <w:r w:rsidR="00D169D3">
        <w:rPr>
          <w:rFonts w:hint="eastAsia"/>
        </w:rPr>
        <w:t>的影响</w:t>
      </w:r>
      <w:r w:rsidR="00766381" w:rsidRPr="00766381">
        <w:rPr>
          <w:rFonts w:hint="eastAsia"/>
        </w:rPr>
        <w:t>，还包括潜在干扰网络的综合影响</w:t>
      </w:r>
      <w:r>
        <w:rPr>
          <w:rFonts w:hint="eastAsia"/>
        </w:rPr>
        <w:t>。</w:t>
      </w:r>
    </w:p>
    <w:p w14:paraId="29F7452B" w14:textId="1A735C5C" w:rsidR="009620FA" w:rsidRDefault="00F90F42" w:rsidP="00151C79">
      <w:pPr>
        <w:ind w:firstLineChars="200" w:firstLine="480"/>
        <w:jc w:val="both"/>
      </w:pPr>
      <w:hyperlink r:id="rId10" w:history="1">
        <w:r w:rsidR="001A42D3" w:rsidRPr="00601083">
          <w:rPr>
            <w:rStyle w:val="Hyperlink"/>
            <w:lang w:val="en-US"/>
          </w:rPr>
          <w:t>5B/700</w:t>
        </w:r>
      </w:hyperlink>
      <w:r w:rsidR="001A42D3">
        <w:rPr>
          <w:rFonts w:hint="eastAsia"/>
        </w:rPr>
        <w:t>号文件涵盖了</w:t>
      </w:r>
      <w:r w:rsidR="001A42D3">
        <w:rPr>
          <w:rFonts w:hint="eastAsia"/>
        </w:rPr>
        <w:t>LED</w:t>
      </w:r>
      <w:r w:rsidR="001A42D3">
        <w:rPr>
          <w:rFonts w:hint="eastAsia"/>
        </w:rPr>
        <w:t>照明系统对海上船舶的干扰影响，同时</w:t>
      </w:r>
      <w:r w:rsidR="007825AE">
        <w:rPr>
          <w:rFonts w:hint="eastAsia"/>
        </w:rPr>
        <w:t>考虑到</w:t>
      </w:r>
      <w:r w:rsidR="00A1487D">
        <w:rPr>
          <w:rFonts w:hint="eastAsia"/>
        </w:rPr>
        <w:t>来自</w:t>
      </w:r>
      <w:r w:rsidR="007825AE">
        <w:rPr>
          <w:rFonts w:hint="eastAsia"/>
        </w:rPr>
        <w:t>全球海难和安全系统</w:t>
      </w:r>
      <w:r w:rsidR="004E5FC6">
        <w:rPr>
          <w:rFonts w:hint="eastAsia"/>
        </w:rPr>
        <w:t>（</w:t>
      </w:r>
      <w:r w:rsidR="007825AE">
        <w:rPr>
          <w:rFonts w:hint="eastAsia"/>
        </w:rPr>
        <w:t>GMDSS</w:t>
      </w:r>
      <w:r w:rsidR="004E5FC6">
        <w:rPr>
          <w:rFonts w:hint="eastAsia"/>
        </w:rPr>
        <w:t>）</w:t>
      </w:r>
      <w:r w:rsidR="007825AE">
        <w:rPr>
          <w:rFonts w:hint="eastAsia"/>
        </w:rPr>
        <w:t>、搜救、无线电话、数字选择呼叫</w:t>
      </w:r>
      <w:r w:rsidR="004E5FC6">
        <w:rPr>
          <w:rFonts w:hint="eastAsia"/>
        </w:rPr>
        <w:t>（</w:t>
      </w:r>
      <w:r w:rsidR="007825AE">
        <w:rPr>
          <w:rFonts w:hint="eastAsia"/>
        </w:rPr>
        <w:t>DSC</w:t>
      </w:r>
      <w:r w:rsidR="004E5FC6">
        <w:rPr>
          <w:rFonts w:hint="eastAsia"/>
        </w:rPr>
        <w:t>）</w:t>
      </w:r>
      <w:r w:rsidR="007825AE">
        <w:rPr>
          <w:rFonts w:hint="eastAsia"/>
        </w:rPr>
        <w:t>和自动识别系统</w:t>
      </w:r>
      <w:r w:rsidR="004E5FC6">
        <w:rPr>
          <w:rFonts w:hint="eastAsia"/>
        </w:rPr>
        <w:t>（</w:t>
      </w:r>
      <w:r w:rsidR="007825AE">
        <w:rPr>
          <w:rFonts w:hint="eastAsia"/>
        </w:rPr>
        <w:t>AIS</w:t>
      </w:r>
      <w:r w:rsidR="004E5FC6">
        <w:rPr>
          <w:rFonts w:hint="eastAsia"/>
        </w:rPr>
        <w:t>）</w:t>
      </w:r>
      <w:r w:rsidR="001A42D3">
        <w:rPr>
          <w:rFonts w:hint="eastAsia"/>
        </w:rPr>
        <w:t>所用的</w:t>
      </w:r>
      <w:r w:rsidR="001A42D3">
        <w:rPr>
          <w:rFonts w:hint="eastAsia"/>
        </w:rPr>
        <w:t>VHF</w:t>
      </w:r>
      <w:r w:rsidR="001A42D3">
        <w:rPr>
          <w:rFonts w:hint="eastAsia"/>
        </w:rPr>
        <w:t>水上频率方面的</w:t>
      </w:r>
      <w:r w:rsidR="007825AE">
        <w:rPr>
          <w:rFonts w:hint="eastAsia"/>
        </w:rPr>
        <w:t>接收不良</w:t>
      </w:r>
      <w:r w:rsidR="001A42D3">
        <w:rPr>
          <w:rFonts w:hint="eastAsia"/>
        </w:rPr>
        <w:t>报告</w:t>
      </w:r>
      <w:r w:rsidR="009620FA">
        <w:rPr>
          <w:rFonts w:hint="eastAsia"/>
        </w:rPr>
        <w:t>。结论暴露</w:t>
      </w:r>
      <w:r w:rsidR="00FB7211">
        <w:rPr>
          <w:rFonts w:hint="eastAsia"/>
        </w:rPr>
        <w:t>出</w:t>
      </w:r>
      <w:r w:rsidR="001A42D3">
        <w:rPr>
          <w:rFonts w:hint="eastAsia"/>
        </w:rPr>
        <w:t>的问题涉及</w:t>
      </w:r>
      <w:r w:rsidR="009620FA">
        <w:rPr>
          <w:rFonts w:hint="eastAsia"/>
        </w:rPr>
        <w:t>最近发生的广泛的重大海洋安全隐患，因为</w:t>
      </w:r>
      <w:r w:rsidR="001A42D3">
        <w:rPr>
          <w:rFonts w:hint="eastAsia"/>
        </w:rPr>
        <w:t>此</w:t>
      </w:r>
      <w:r w:rsidR="009620FA">
        <w:rPr>
          <w:rFonts w:hint="eastAsia"/>
        </w:rPr>
        <w:t>问题实质上是</w:t>
      </w:r>
      <w:r w:rsidR="009620FA">
        <w:rPr>
          <w:rFonts w:hint="eastAsia"/>
        </w:rPr>
        <w:t>AIS</w:t>
      </w:r>
      <w:r w:rsidR="009620FA">
        <w:rPr>
          <w:rFonts w:hint="eastAsia"/>
        </w:rPr>
        <w:t>的接收器和用于</w:t>
      </w:r>
      <w:r w:rsidR="009620FA">
        <w:rPr>
          <w:rFonts w:hint="eastAsia"/>
        </w:rPr>
        <w:t>GMDSS</w:t>
      </w:r>
      <w:r w:rsidR="009620FA">
        <w:rPr>
          <w:rFonts w:hint="eastAsia"/>
        </w:rPr>
        <w:t>的海洋无线电设备</w:t>
      </w:r>
      <w:r w:rsidR="00104ABA">
        <w:rPr>
          <w:rFonts w:hint="eastAsia"/>
        </w:rPr>
        <w:t>被遮挡</w:t>
      </w:r>
      <w:r w:rsidR="009620FA">
        <w:rPr>
          <w:rFonts w:hint="eastAsia"/>
        </w:rPr>
        <w:t>。</w:t>
      </w:r>
      <w:hyperlink r:id="rId11" w:history="1">
        <w:r w:rsidR="000B5089" w:rsidRPr="00601083">
          <w:rPr>
            <w:rStyle w:val="Hyperlink"/>
          </w:rPr>
          <w:t>5B/369</w:t>
        </w:r>
      </w:hyperlink>
      <w:r w:rsidR="001A42D3">
        <w:rPr>
          <w:rFonts w:hint="eastAsia"/>
        </w:rPr>
        <w:t>号文件</w:t>
      </w:r>
      <w:r w:rsidR="009620FA">
        <w:rPr>
          <w:rFonts w:hint="eastAsia"/>
        </w:rPr>
        <w:t>中还</w:t>
      </w:r>
      <w:r w:rsidR="00104ABA">
        <w:rPr>
          <w:rFonts w:hint="eastAsia"/>
        </w:rPr>
        <w:t>提到</w:t>
      </w:r>
      <w:r w:rsidR="009620FA">
        <w:rPr>
          <w:rFonts w:hint="eastAsia"/>
        </w:rPr>
        <w:t>海上</w:t>
      </w:r>
      <w:r w:rsidR="009620FA">
        <w:rPr>
          <w:rFonts w:hint="eastAsia"/>
        </w:rPr>
        <w:t>HF</w:t>
      </w:r>
      <w:r w:rsidR="009620FA">
        <w:rPr>
          <w:rFonts w:hint="eastAsia"/>
        </w:rPr>
        <w:t>无线电噪声</w:t>
      </w:r>
      <w:r w:rsidR="001A42D3">
        <w:rPr>
          <w:rFonts w:hint="eastAsia"/>
        </w:rPr>
        <w:t>的</w:t>
      </w:r>
      <w:r w:rsidR="009620FA">
        <w:rPr>
          <w:rFonts w:hint="eastAsia"/>
        </w:rPr>
        <w:t>普遍增加。</w:t>
      </w:r>
    </w:p>
    <w:p w14:paraId="0E2555A5" w14:textId="7B60EC1C" w:rsidR="009620FA" w:rsidRDefault="009620FA" w:rsidP="00151C79">
      <w:pPr>
        <w:ind w:firstLineChars="200" w:firstLine="480"/>
        <w:jc w:val="both"/>
        <w:rPr>
          <w:rStyle w:val="tlid-translation"/>
        </w:rPr>
      </w:pPr>
      <w:r>
        <w:rPr>
          <w:rFonts w:hint="eastAsia"/>
        </w:rPr>
        <w:t>在</w:t>
      </w:r>
      <w:r>
        <w:rPr>
          <w:rFonts w:hint="eastAsia"/>
        </w:rPr>
        <w:t>2019</w:t>
      </w:r>
      <w:r>
        <w:rPr>
          <w:rFonts w:hint="eastAsia"/>
        </w:rPr>
        <w:t>年，</w:t>
      </w:r>
      <w:r w:rsidR="001A42D3">
        <w:rPr>
          <w:rFonts w:hint="eastAsia"/>
        </w:rPr>
        <w:t>开展了</w:t>
      </w:r>
      <w:r w:rsidR="00D179DB" w:rsidRPr="00601083">
        <w:rPr>
          <w:szCs w:val="24"/>
          <w:lang w:val="en-US" w:eastAsia="pt-BR"/>
        </w:rPr>
        <w:t>1A/454</w:t>
      </w:r>
      <w:r w:rsidR="001A42D3">
        <w:rPr>
          <w:rFonts w:hint="eastAsia"/>
          <w:szCs w:val="24"/>
          <w:lang w:val="en-US"/>
        </w:rPr>
        <w:t>号</w:t>
      </w:r>
      <w:r w:rsidR="00D179DB">
        <w:rPr>
          <w:rFonts w:hint="eastAsia"/>
        </w:rPr>
        <w:t>文件</w:t>
      </w:r>
      <w:r w:rsidR="001A42D3">
        <w:rPr>
          <w:rFonts w:hint="eastAsia"/>
        </w:rPr>
        <w:t>附件</w:t>
      </w:r>
      <w:r w:rsidR="004E5FC6">
        <w:rPr>
          <w:rFonts w:hint="eastAsia"/>
        </w:rPr>
        <w:t>12</w:t>
      </w:r>
      <w:r w:rsidR="001A42D3">
        <w:rPr>
          <w:rFonts w:hint="eastAsia"/>
        </w:rPr>
        <w:t>中所述的</w:t>
      </w:r>
      <w:r w:rsidR="00D179DB">
        <w:rPr>
          <w:rFonts w:hint="eastAsia"/>
        </w:rPr>
        <w:t>对</w:t>
      </w:r>
      <w:r w:rsidR="001A42D3">
        <w:rPr>
          <w:rFonts w:hint="eastAsia"/>
        </w:rPr>
        <w:t>物联网（</w:t>
      </w:r>
      <w:r w:rsidR="001A42D3">
        <w:t>IoT</w:t>
      </w:r>
      <w:r w:rsidR="001A42D3">
        <w:rPr>
          <w:rFonts w:hint="eastAsia"/>
        </w:rPr>
        <w:t>）</w:t>
      </w:r>
      <w:r>
        <w:rPr>
          <w:rFonts w:hint="eastAsia"/>
        </w:rPr>
        <w:t>网络上家用电器的辐射电磁干扰进行了评估。</w:t>
      </w:r>
      <w:r w:rsidR="001A42D3">
        <w:rPr>
          <w:rFonts w:hint="eastAsia"/>
        </w:rPr>
        <w:t>此</w:t>
      </w:r>
      <w:r>
        <w:rPr>
          <w:rFonts w:hint="eastAsia"/>
        </w:rPr>
        <w:t>研究</w:t>
      </w:r>
      <w:r w:rsidR="001A42D3">
        <w:rPr>
          <w:rFonts w:hint="eastAsia"/>
        </w:rPr>
        <w:t>审议</w:t>
      </w:r>
      <w:r>
        <w:rPr>
          <w:rFonts w:hint="eastAsia"/>
        </w:rPr>
        <w:t>了这些干扰对在</w:t>
      </w:r>
      <w:r>
        <w:rPr>
          <w:rFonts w:hint="eastAsia"/>
        </w:rPr>
        <w:t>915 MHz</w:t>
      </w:r>
      <w:r>
        <w:rPr>
          <w:rFonts w:hint="eastAsia"/>
        </w:rPr>
        <w:t>附近无线传感器网络中接收</w:t>
      </w:r>
      <w:r w:rsidR="001A42D3">
        <w:rPr>
          <w:rFonts w:hint="eastAsia"/>
        </w:rPr>
        <w:t>到的</w:t>
      </w:r>
      <w:r>
        <w:rPr>
          <w:rFonts w:hint="eastAsia"/>
        </w:rPr>
        <w:t>信号强度指示（</w:t>
      </w:r>
      <w:r>
        <w:rPr>
          <w:rFonts w:hint="eastAsia"/>
        </w:rPr>
        <w:t>RSSI</w:t>
      </w:r>
      <w:r>
        <w:rPr>
          <w:rFonts w:hint="eastAsia"/>
        </w:rPr>
        <w:t>）和数据包错误率（</w:t>
      </w:r>
      <w:r>
        <w:rPr>
          <w:rFonts w:hint="eastAsia"/>
        </w:rPr>
        <w:t>PER</w:t>
      </w:r>
      <w:r>
        <w:rPr>
          <w:rFonts w:hint="eastAsia"/>
        </w:rPr>
        <w:t>）的影响。</w:t>
      </w:r>
    </w:p>
    <w:p w14:paraId="4953584F" w14:textId="504EEB9A" w:rsidR="009620FA" w:rsidRPr="005B1739" w:rsidRDefault="001A42D3" w:rsidP="00151C79">
      <w:pPr>
        <w:ind w:firstLineChars="200" w:firstLine="480"/>
        <w:jc w:val="both"/>
      </w:pPr>
      <w:r>
        <w:rPr>
          <w:rFonts w:hint="eastAsia"/>
        </w:rPr>
        <w:t>根据</w:t>
      </w:r>
      <w:hyperlink r:id="rId12" w:history="1">
        <w:r w:rsidR="00D179DB" w:rsidRPr="00601083">
          <w:rPr>
            <w:rStyle w:val="Hyperlink"/>
          </w:rPr>
          <w:t>1A/55</w:t>
        </w:r>
      </w:hyperlink>
      <w:r>
        <w:rPr>
          <w:rFonts w:hint="eastAsia"/>
        </w:rPr>
        <w:t>号文件</w:t>
      </w:r>
      <w:r w:rsidR="004E5FC6">
        <w:rPr>
          <w:rFonts w:hint="eastAsia"/>
        </w:rPr>
        <w:t>，</w:t>
      </w:r>
      <w:r w:rsidR="009620FA">
        <w:rPr>
          <w:rFonts w:hint="eastAsia"/>
        </w:rPr>
        <w:t>广播</w:t>
      </w:r>
      <w:r w:rsidR="00354E6D">
        <w:rPr>
          <w:rFonts w:hint="eastAsia"/>
        </w:rPr>
        <w:t>业</w:t>
      </w:r>
      <w:r w:rsidR="009620FA">
        <w:rPr>
          <w:rFonts w:hint="eastAsia"/>
        </w:rPr>
        <w:t>务也受到</w:t>
      </w:r>
      <w:r w:rsidR="00354E6D">
        <w:rPr>
          <w:rFonts w:hint="eastAsia"/>
        </w:rPr>
        <w:t>了</w:t>
      </w:r>
      <w:r w:rsidR="009620FA">
        <w:rPr>
          <w:rFonts w:hint="eastAsia"/>
        </w:rPr>
        <w:t>影响，</w:t>
      </w:r>
      <w:r w:rsidR="00354E6D">
        <w:rPr>
          <w:rFonts w:hint="eastAsia"/>
        </w:rPr>
        <w:t>并</w:t>
      </w:r>
      <w:r w:rsidR="009620FA">
        <w:rPr>
          <w:rFonts w:hint="eastAsia"/>
        </w:rPr>
        <w:t>且于</w:t>
      </w:r>
      <w:r w:rsidR="009620FA">
        <w:rPr>
          <w:rFonts w:hint="eastAsia"/>
        </w:rPr>
        <w:t>2018</w:t>
      </w:r>
      <w:r w:rsidR="009620FA">
        <w:rPr>
          <w:rFonts w:hint="eastAsia"/>
        </w:rPr>
        <w:t>年</w:t>
      </w:r>
      <w:r w:rsidR="00354E6D">
        <w:rPr>
          <w:rFonts w:hint="eastAsia"/>
        </w:rPr>
        <w:t>举办了一次国际电联讲习班（</w:t>
      </w:r>
      <w:hyperlink r:id="rId13" w:history="1">
        <w:r w:rsidR="00D179DB" w:rsidRPr="00601083">
          <w:rPr>
            <w:rStyle w:val="Hyperlink"/>
          </w:rPr>
          <w:t>1A/433</w:t>
        </w:r>
      </w:hyperlink>
      <w:r w:rsidR="00354E6D">
        <w:rPr>
          <w:rFonts w:hint="eastAsia"/>
        </w:rPr>
        <w:t>号文件）</w:t>
      </w:r>
      <w:r w:rsidR="009620FA">
        <w:rPr>
          <w:rFonts w:hint="eastAsia"/>
        </w:rPr>
        <w:t>，提高了人们对</w:t>
      </w:r>
      <w:r w:rsidR="009620FA">
        <w:rPr>
          <w:rFonts w:hint="eastAsia"/>
        </w:rPr>
        <w:t>VHF</w:t>
      </w:r>
      <w:r w:rsidR="009620FA">
        <w:rPr>
          <w:rFonts w:hint="eastAsia"/>
        </w:rPr>
        <w:t>范围内数字音频广播（</w:t>
      </w:r>
      <w:r w:rsidR="009620FA">
        <w:rPr>
          <w:rFonts w:hint="eastAsia"/>
        </w:rPr>
        <w:t>DAB</w:t>
      </w:r>
      <w:r w:rsidR="009620FA">
        <w:rPr>
          <w:rFonts w:hint="eastAsia"/>
        </w:rPr>
        <w:t>）干扰风险的认识。</w:t>
      </w:r>
    </w:p>
    <w:p w14:paraId="1D6F9F79" w14:textId="7D8F5AE2" w:rsidR="009620FA" w:rsidRDefault="009620FA" w:rsidP="00151C79">
      <w:pPr>
        <w:ind w:firstLineChars="200" w:firstLine="480"/>
        <w:jc w:val="both"/>
      </w:pPr>
      <w:r>
        <w:rPr>
          <w:rStyle w:val="tlid-translation"/>
          <w:rFonts w:hint="eastAsia"/>
        </w:rPr>
        <w:t>ITU-R</w:t>
      </w:r>
      <w:r>
        <w:rPr>
          <w:rStyle w:val="tlid-translation"/>
          <w:rFonts w:hint="eastAsia"/>
        </w:rPr>
        <w:t>工作组与</w:t>
      </w:r>
      <w:r>
        <w:rPr>
          <w:rStyle w:val="tlid-translation"/>
          <w:rFonts w:hint="eastAsia"/>
        </w:rPr>
        <w:t>CISPR</w:t>
      </w:r>
      <w:r>
        <w:rPr>
          <w:rStyle w:val="tlid-translation"/>
          <w:rFonts w:hint="eastAsia"/>
        </w:rPr>
        <w:t>之间进行了广泛的联络交流。</w:t>
      </w:r>
      <w:r>
        <w:rPr>
          <w:rFonts w:hint="eastAsia"/>
        </w:rPr>
        <w:t>最近的研究（见</w:t>
      </w:r>
      <w:hyperlink r:id="rId14" w:history="1">
        <w:r w:rsidR="00F72B07" w:rsidRPr="00601083">
          <w:rPr>
            <w:rStyle w:val="Hyperlink"/>
          </w:rPr>
          <w:t>5B/721</w:t>
        </w:r>
      </w:hyperlink>
      <w:r w:rsidR="00354E6D">
        <w:rPr>
          <w:rFonts w:hint="eastAsia"/>
        </w:rPr>
        <w:t>号文件）</w:t>
      </w:r>
      <w:r>
        <w:rPr>
          <w:rFonts w:hint="eastAsia"/>
        </w:rPr>
        <w:t>表明，</w:t>
      </w:r>
      <w:r w:rsidR="00354E6D">
        <w:rPr>
          <w:rFonts w:hint="eastAsia"/>
        </w:rPr>
        <w:t>一</w:t>
      </w:r>
      <w:r>
        <w:rPr>
          <w:rFonts w:hint="eastAsia"/>
        </w:rPr>
        <w:t>些引起干扰的设备符合</w:t>
      </w:r>
      <w:r>
        <w:rPr>
          <w:rFonts w:hint="eastAsia"/>
        </w:rPr>
        <w:t>CISPR</w:t>
      </w:r>
      <w:r>
        <w:rPr>
          <w:rFonts w:hint="eastAsia"/>
        </w:rPr>
        <w:t>标准，</w:t>
      </w:r>
      <w:r w:rsidR="00354E6D">
        <w:rPr>
          <w:rFonts w:hint="eastAsia"/>
        </w:rPr>
        <w:t>这</w:t>
      </w:r>
      <w:r>
        <w:rPr>
          <w:rFonts w:hint="eastAsia"/>
        </w:rPr>
        <w:t>引起了人们对设置辐射或传导干扰</w:t>
      </w:r>
      <w:r w:rsidR="00354E6D">
        <w:rPr>
          <w:rFonts w:hint="eastAsia"/>
        </w:rPr>
        <w:t>某些</w:t>
      </w:r>
      <w:r>
        <w:rPr>
          <w:rFonts w:hint="eastAsia"/>
        </w:rPr>
        <w:t>限制的传统方式的关</w:t>
      </w:r>
      <w:r w:rsidR="00354E6D">
        <w:rPr>
          <w:rFonts w:hint="eastAsia"/>
        </w:rPr>
        <w:t>切</w:t>
      </w:r>
      <w:r>
        <w:rPr>
          <w:rFonts w:hint="eastAsia"/>
        </w:rPr>
        <w:t>。</w:t>
      </w:r>
    </w:p>
    <w:p w14:paraId="5E45B774" w14:textId="7E19146D" w:rsidR="009620FA" w:rsidRDefault="009620FA" w:rsidP="00151C79">
      <w:pPr>
        <w:ind w:firstLineChars="200" w:firstLine="480"/>
        <w:jc w:val="both"/>
      </w:pPr>
      <w:r>
        <w:rPr>
          <w:rFonts w:hint="eastAsia"/>
        </w:rPr>
        <w:t>在</w:t>
      </w:r>
      <w:hyperlink r:id="rId15" w:history="1">
        <w:r w:rsidR="00F72B07" w:rsidRPr="00601083">
          <w:rPr>
            <w:rStyle w:val="Hyperlink"/>
          </w:rPr>
          <w:t>1A/400</w:t>
        </w:r>
      </w:hyperlink>
      <w:r>
        <w:rPr>
          <w:rFonts w:hint="eastAsia"/>
        </w:rPr>
        <w:t>号文件中提到了</w:t>
      </w:r>
      <w:r w:rsidR="00354E6D">
        <w:rPr>
          <w:rFonts w:hint="eastAsia"/>
        </w:rPr>
        <w:t>对</w:t>
      </w:r>
      <w:r>
        <w:rPr>
          <w:rFonts w:hint="eastAsia"/>
        </w:rPr>
        <w:t>人为底噪声增加的测量。</w:t>
      </w:r>
      <w:hyperlink r:id="rId16" w:history="1">
        <w:r w:rsidR="00F72B07" w:rsidRPr="00601083">
          <w:rPr>
            <w:rStyle w:val="Hyperlink"/>
            <w:lang w:val="en-US"/>
          </w:rPr>
          <w:t>1A/438</w:t>
        </w:r>
      </w:hyperlink>
      <w:r>
        <w:rPr>
          <w:rFonts w:hint="eastAsia"/>
        </w:rPr>
        <w:t>号文件第</w:t>
      </w:r>
      <w:r>
        <w:rPr>
          <w:rFonts w:hint="eastAsia"/>
        </w:rPr>
        <w:t>5</w:t>
      </w:r>
      <w:r>
        <w:rPr>
          <w:rFonts w:hint="eastAsia"/>
        </w:rPr>
        <w:t>和</w:t>
      </w:r>
      <w:r>
        <w:rPr>
          <w:rFonts w:hint="eastAsia"/>
        </w:rPr>
        <w:t>6.2</w:t>
      </w:r>
      <w:r>
        <w:rPr>
          <w:rFonts w:hint="eastAsia"/>
        </w:rPr>
        <w:t>章中提供了有关此问题的演变的更新</w:t>
      </w:r>
      <w:r w:rsidR="00354E6D">
        <w:rPr>
          <w:rFonts w:hint="eastAsia"/>
        </w:rPr>
        <w:t>和</w:t>
      </w:r>
      <w:r>
        <w:rPr>
          <w:rFonts w:hint="eastAsia"/>
        </w:rPr>
        <w:t>更完整的总结。</w:t>
      </w:r>
    </w:p>
    <w:p w14:paraId="339BB675" w14:textId="5614E499" w:rsidR="009620FA" w:rsidRPr="001F3534" w:rsidRDefault="00151C79" w:rsidP="009620FA">
      <w:pPr>
        <w:pStyle w:val="Heading1"/>
        <w:ind w:left="0" w:firstLine="0"/>
      </w:pPr>
      <w:r w:rsidRPr="007A05B8">
        <w:t>3</w:t>
      </w:r>
      <w:r w:rsidRPr="007A05B8">
        <w:tab/>
      </w:r>
      <w:r w:rsidR="009620FA">
        <w:rPr>
          <w:rFonts w:hint="eastAsia"/>
        </w:rPr>
        <w:t>建议</w:t>
      </w:r>
    </w:p>
    <w:p w14:paraId="77B36DC2" w14:textId="4E7A4F79" w:rsidR="009620FA" w:rsidRPr="001F3534" w:rsidRDefault="009620FA" w:rsidP="00151C79">
      <w:pPr>
        <w:ind w:firstLineChars="200" w:firstLine="480"/>
        <w:jc w:val="both"/>
        <w:rPr>
          <w:szCs w:val="24"/>
        </w:rPr>
      </w:pPr>
      <w:r>
        <w:rPr>
          <w:rFonts w:hint="eastAsia"/>
        </w:rPr>
        <w:t>考虑到</w:t>
      </w:r>
      <w:r w:rsidR="00354E6D">
        <w:rPr>
          <w:rFonts w:hint="eastAsia"/>
        </w:rPr>
        <w:t>以往</w:t>
      </w:r>
      <w:r>
        <w:rPr>
          <w:rFonts w:hint="eastAsia"/>
        </w:rPr>
        <w:t>的研究表明</w:t>
      </w:r>
      <w:r w:rsidR="00354E6D">
        <w:rPr>
          <w:rFonts w:hint="eastAsia"/>
        </w:rPr>
        <w:t>，</w:t>
      </w:r>
      <w:r>
        <w:rPr>
          <w:rFonts w:hint="eastAsia"/>
        </w:rPr>
        <w:t>电气或电子设备产生的干扰和底噪声在严重增加，这可能会</w:t>
      </w:r>
      <w:r w:rsidR="00FF41C9">
        <w:rPr>
          <w:rFonts w:hint="eastAsia"/>
        </w:rPr>
        <w:t>影响</w:t>
      </w:r>
      <w:r>
        <w:rPr>
          <w:rFonts w:hint="eastAsia"/>
        </w:rPr>
        <w:t>当前和未来无线电通信</w:t>
      </w:r>
      <w:r w:rsidR="00354E6D">
        <w:rPr>
          <w:rFonts w:hint="eastAsia"/>
        </w:rPr>
        <w:t>业</w:t>
      </w:r>
      <w:r>
        <w:rPr>
          <w:rFonts w:hint="eastAsia"/>
        </w:rPr>
        <w:t>务的可用性和存在，</w:t>
      </w:r>
      <w:r w:rsidR="00354E6D">
        <w:rPr>
          <w:rFonts w:hint="eastAsia"/>
        </w:rPr>
        <w:t>本</w:t>
      </w:r>
      <w:r w:rsidR="008A73E3" w:rsidRPr="008A73E3">
        <w:rPr>
          <w:rFonts w:hint="eastAsia"/>
        </w:rPr>
        <w:t>提案旨在促进应用研究，以便在考虑到无线电通信业务保护的情况下更好地理解这些干扰</w:t>
      </w:r>
      <w:r w:rsidR="008A73E3">
        <w:rPr>
          <w:rFonts w:hint="eastAsia"/>
        </w:rPr>
        <w:t>，</w:t>
      </w:r>
      <w:r w:rsidR="000D330E">
        <w:rPr>
          <w:rFonts w:hint="eastAsia"/>
        </w:rPr>
        <w:t>同时</w:t>
      </w:r>
      <w:r>
        <w:rPr>
          <w:rFonts w:hint="eastAsia"/>
        </w:rPr>
        <w:t>考虑其实际的操作环境，寻求技术和</w:t>
      </w:r>
      <w:r w:rsidR="00354E6D">
        <w:rPr>
          <w:rFonts w:hint="eastAsia"/>
        </w:rPr>
        <w:t>规则</w:t>
      </w:r>
      <w:r>
        <w:rPr>
          <w:rFonts w:hint="eastAsia"/>
        </w:rPr>
        <w:t>方法来减少环境中的电磁噪声量，保护</w:t>
      </w:r>
      <w:r>
        <w:rPr>
          <w:rFonts w:hint="eastAsia"/>
        </w:rPr>
        <w:t>RF</w:t>
      </w:r>
      <w:r>
        <w:rPr>
          <w:rFonts w:hint="eastAsia"/>
        </w:rPr>
        <w:t>频谱，并为无线电通信</w:t>
      </w:r>
      <w:r w:rsidR="00354E6D">
        <w:rPr>
          <w:rFonts w:hint="eastAsia"/>
        </w:rPr>
        <w:t>业</w:t>
      </w:r>
      <w:r>
        <w:rPr>
          <w:rFonts w:hint="eastAsia"/>
        </w:rPr>
        <w:t>务提供有效的保护。</w:t>
      </w:r>
    </w:p>
    <w:p w14:paraId="3986A1B7" w14:textId="77777777" w:rsidR="009620FA" w:rsidRDefault="009620FA" w:rsidP="009620FA">
      <w:pPr>
        <w:rPr>
          <w:lang w:val="en-US"/>
        </w:rPr>
      </w:pPr>
    </w:p>
    <w:p w14:paraId="7CF6B53B" w14:textId="77777777" w:rsidR="009620FA" w:rsidRDefault="009620FA" w:rsidP="009620FA">
      <w:pPr>
        <w:rPr>
          <w:lang w:val="en-US"/>
        </w:rPr>
      </w:pPr>
    </w:p>
    <w:p w14:paraId="1F938AC7" w14:textId="77777777" w:rsidR="007F2D21" w:rsidRDefault="007F2D21">
      <w:pPr>
        <w:tabs>
          <w:tab w:val="clear" w:pos="1134"/>
          <w:tab w:val="clear" w:pos="1871"/>
          <w:tab w:val="clear" w:pos="2268"/>
        </w:tabs>
        <w:overflowPunct/>
        <w:autoSpaceDE/>
        <w:autoSpaceDN/>
        <w:adjustRightInd/>
        <w:spacing w:before="0"/>
        <w:textAlignment w:val="auto"/>
        <w:rPr>
          <w:lang w:val="en-US"/>
        </w:rPr>
      </w:pPr>
      <w:r>
        <w:rPr>
          <w:lang w:val="en-US"/>
        </w:rPr>
        <w:br w:type="page"/>
      </w:r>
    </w:p>
    <w:p w14:paraId="7827F5D2" w14:textId="1DD2438A" w:rsidR="009620FA" w:rsidRPr="00265166" w:rsidRDefault="00354E6D" w:rsidP="009620FA">
      <w:pPr>
        <w:pStyle w:val="QuestionNo"/>
      </w:pPr>
      <w:r>
        <w:rPr>
          <w:rFonts w:hint="eastAsia"/>
        </w:rPr>
        <w:lastRenderedPageBreak/>
        <w:t>第</w:t>
      </w:r>
      <w:r>
        <w:rPr>
          <w:rFonts w:hint="eastAsia"/>
        </w:rPr>
        <w:t>[</w:t>
      </w:r>
      <w:r w:rsidR="00FA651D" w:rsidRPr="007A05B8">
        <w:t>B/IMPACT_UNINTENTIONAL_ELECTROMAG</w:t>
      </w:r>
      <w:r>
        <w:rPr>
          <w:rFonts w:hint="eastAsia"/>
        </w:rPr>
        <w:t>]</w:t>
      </w:r>
      <w:r>
        <w:rPr>
          <w:rFonts w:hint="eastAsia"/>
        </w:rPr>
        <w:t>号</w:t>
      </w:r>
      <w:r w:rsidR="009620FA">
        <w:rPr>
          <w:rFonts w:hint="eastAsia"/>
        </w:rPr>
        <w:t>ITU</w:t>
      </w:r>
      <w:r>
        <w:rPr>
          <w:rFonts w:hint="eastAsia"/>
        </w:rPr>
        <w:t>-R</w:t>
      </w:r>
      <w:r>
        <w:rPr>
          <w:rFonts w:hint="eastAsia"/>
        </w:rPr>
        <w:t>新</w:t>
      </w:r>
      <w:r w:rsidR="009620FA">
        <w:rPr>
          <w:rFonts w:hint="eastAsia"/>
        </w:rPr>
        <w:t>课题草案</w:t>
      </w:r>
    </w:p>
    <w:p w14:paraId="300E6D34" w14:textId="76FC71FD" w:rsidR="009620FA" w:rsidRPr="00022741" w:rsidRDefault="009620FA" w:rsidP="009620FA">
      <w:pPr>
        <w:jc w:val="center"/>
        <w:rPr>
          <w:b/>
          <w:sz w:val="28"/>
          <w:szCs w:val="28"/>
        </w:rPr>
      </w:pPr>
      <w:r>
        <w:rPr>
          <w:rFonts w:hint="eastAsia"/>
          <w:b/>
          <w:sz w:val="28"/>
          <w:szCs w:val="28"/>
        </w:rPr>
        <w:t>电气或电子设备</w:t>
      </w:r>
      <w:r w:rsidR="00354E6D">
        <w:rPr>
          <w:rFonts w:hint="eastAsia"/>
          <w:b/>
          <w:sz w:val="28"/>
          <w:szCs w:val="28"/>
        </w:rPr>
        <w:t>对无线电通信业务</w:t>
      </w:r>
      <w:r>
        <w:rPr>
          <w:rFonts w:hint="eastAsia"/>
          <w:b/>
          <w:sz w:val="28"/>
          <w:szCs w:val="28"/>
        </w:rPr>
        <w:t>产生的</w:t>
      </w:r>
      <w:r w:rsidR="007F2D21">
        <w:rPr>
          <w:rFonts w:hint="eastAsia"/>
          <w:b/>
          <w:sz w:val="28"/>
          <w:szCs w:val="28"/>
        </w:rPr>
        <w:t>无</w:t>
      </w:r>
      <w:r w:rsidR="00354E6D">
        <w:rPr>
          <w:rFonts w:hint="eastAsia"/>
          <w:b/>
          <w:sz w:val="28"/>
          <w:szCs w:val="28"/>
        </w:rPr>
        <w:t>用</w:t>
      </w:r>
      <w:r>
        <w:rPr>
          <w:rFonts w:hint="eastAsia"/>
          <w:b/>
          <w:sz w:val="28"/>
          <w:szCs w:val="28"/>
        </w:rPr>
        <w:t>电磁能</w:t>
      </w:r>
      <w:r w:rsidR="00354E6D">
        <w:rPr>
          <w:rFonts w:hint="eastAsia"/>
          <w:b/>
          <w:sz w:val="28"/>
          <w:szCs w:val="28"/>
        </w:rPr>
        <w:t>量</w:t>
      </w:r>
      <w:r>
        <w:rPr>
          <w:rFonts w:hint="eastAsia"/>
          <w:b/>
          <w:sz w:val="28"/>
          <w:szCs w:val="28"/>
        </w:rPr>
        <w:t>的影响</w:t>
      </w:r>
    </w:p>
    <w:p w14:paraId="34803DBB" w14:textId="186110F6" w:rsidR="009620FA" w:rsidRPr="00AB1994" w:rsidRDefault="003D7D88" w:rsidP="009620FA">
      <w:pPr>
        <w:pStyle w:val="Questiondate"/>
      </w:pPr>
      <w:r>
        <w:rPr>
          <w:rFonts w:hint="eastAsia"/>
        </w:rPr>
        <w:t>（</w:t>
      </w:r>
      <w:r w:rsidR="00FB2388" w:rsidRPr="007A05B8">
        <w:t>2019</w:t>
      </w:r>
      <w:r w:rsidR="00FB2388">
        <w:rPr>
          <w:rFonts w:hint="eastAsia"/>
        </w:rPr>
        <w:t>）</w:t>
      </w:r>
    </w:p>
    <w:p w14:paraId="36CD009B" w14:textId="77777777" w:rsidR="009620FA" w:rsidRPr="00BE3D94" w:rsidRDefault="009620FA" w:rsidP="009620FA">
      <w:pPr>
        <w:pStyle w:val="Normalaftertitle0"/>
        <w:jc w:val="both"/>
      </w:pPr>
      <w:r>
        <w:rPr>
          <w:rFonts w:hint="eastAsia"/>
        </w:rPr>
        <w:t>国际电联无线电通信全会，</w:t>
      </w:r>
    </w:p>
    <w:p w14:paraId="719D13B2" w14:textId="77777777" w:rsidR="000D330E" w:rsidRPr="000D330E" w:rsidRDefault="000D330E" w:rsidP="000D330E">
      <w:pPr>
        <w:pStyle w:val="Call"/>
        <w:jc w:val="both"/>
        <w:rPr>
          <w:rFonts w:ascii="STKaiti" w:eastAsia="STKaiti" w:hAnsi="STKaiti" w:cstheme="majorBidi"/>
          <w:i w:val="0"/>
          <w:iCs/>
          <w:szCs w:val="24"/>
        </w:rPr>
      </w:pPr>
      <w:bookmarkStart w:id="10" w:name="lt_pId047"/>
      <w:r w:rsidRPr="000D330E">
        <w:rPr>
          <w:rFonts w:ascii="STKaiti" w:eastAsia="STKaiti" w:hAnsi="STKaiti" w:cstheme="majorBidi" w:hint="eastAsia"/>
          <w:i w:val="0"/>
          <w:iCs/>
          <w:szCs w:val="24"/>
        </w:rPr>
        <w:t>考虑到</w:t>
      </w:r>
    </w:p>
    <w:p w14:paraId="32098841" w14:textId="0E8D6590" w:rsidR="009620FA" w:rsidRPr="004A53A5" w:rsidRDefault="000D330E" w:rsidP="009620FA">
      <w:pPr>
        <w:jc w:val="both"/>
      </w:pPr>
      <w:r w:rsidRPr="00590FDA">
        <w:rPr>
          <w:i/>
          <w:iCs/>
          <w:lang w:val="en-US"/>
        </w:rPr>
        <w:t>a)</w:t>
      </w:r>
      <w:bookmarkEnd w:id="10"/>
      <w:r w:rsidRPr="00590FDA">
        <w:rPr>
          <w:lang w:val="en-US"/>
        </w:rPr>
        <w:tab/>
      </w:r>
      <w:r w:rsidR="009620FA">
        <w:rPr>
          <w:rFonts w:hint="eastAsia"/>
        </w:rPr>
        <w:t>电气和电子技术的发展是一个持续的</w:t>
      </w:r>
      <w:r w:rsidR="00354E6D">
        <w:rPr>
          <w:rFonts w:hint="eastAsia"/>
        </w:rPr>
        <w:t>进</w:t>
      </w:r>
      <w:r w:rsidR="009620FA">
        <w:rPr>
          <w:rFonts w:hint="eastAsia"/>
        </w:rPr>
        <w:t>程，</w:t>
      </w:r>
      <w:r w:rsidR="00270281">
        <w:rPr>
          <w:rFonts w:hint="eastAsia"/>
        </w:rPr>
        <w:t>这</w:t>
      </w:r>
      <w:r w:rsidR="009620FA">
        <w:rPr>
          <w:rFonts w:hint="eastAsia"/>
        </w:rPr>
        <w:t>为设备及其系统的创建、设计和组成开辟了新的途径；</w:t>
      </w:r>
    </w:p>
    <w:p w14:paraId="32BCF15E" w14:textId="617DFBA2" w:rsidR="009620FA" w:rsidRPr="004A53A5" w:rsidRDefault="00270281" w:rsidP="009620FA">
      <w:pPr>
        <w:jc w:val="both"/>
      </w:pPr>
      <w:bookmarkStart w:id="11" w:name="lt_pId049"/>
      <w:r w:rsidRPr="003D7D88">
        <w:rPr>
          <w:i/>
          <w:iCs/>
        </w:rPr>
        <w:t>b)</w:t>
      </w:r>
      <w:bookmarkEnd w:id="11"/>
      <w:r w:rsidRPr="00590FDA">
        <w:tab/>
      </w:r>
      <w:r w:rsidR="009620FA">
        <w:rPr>
          <w:rFonts w:hint="eastAsia"/>
        </w:rPr>
        <w:t>不能以使辐射最小化的方式设计或安装电气或电子设备及其系统；</w:t>
      </w:r>
    </w:p>
    <w:p w14:paraId="15846F21" w14:textId="45A671FE" w:rsidR="009620FA" w:rsidRPr="004A53A5" w:rsidRDefault="00270281" w:rsidP="009620FA">
      <w:pPr>
        <w:jc w:val="both"/>
      </w:pPr>
      <w:bookmarkStart w:id="12" w:name="lt_pId051"/>
      <w:r w:rsidRPr="003D7D88">
        <w:rPr>
          <w:i/>
          <w:iCs/>
        </w:rPr>
        <w:t>c)</w:t>
      </w:r>
      <w:bookmarkEnd w:id="12"/>
      <w:r w:rsidRPr="00590FDA">
        <w:tab/>
      </w:r>
      <w:r w:rsidR="009620FA">
        <w:rPr>
          <w:rFonts w:hint="eastAsia"/>
        </w:rPr>
        <w:t>此类技术在不断增加、传播、</w:t>
      </w:r>
      <w:r w:rsidR="00354E6D">
        <w:rPr>
          <w:rFonts w:hint="eastAsia"/>
        </w:rPr>
        <w:t>渗透</w:t>
      </w:r>
      <w:r w:rsidR="009620FA">
        <w:rPr>
          <w:rFonts w:hint="eastAsia"/>
        </w:rPr>
        <w:t>和普遍存在，特别是在无线电通信</w:t>
      </w:r>
      <w:r w:rsidR="00354E6D">
        <w:rPr>
          <w:rFonts w:hint="eastAsia"/>
        </w:rPr>
        <w:t>业</w:t>
      </w:r>
      <w:r w:rsidR="009620FA">
        <w:rPr>
          <w:rFonts w:hint="eastAsia"/>
        </w:rPr>
        <w:t>务使用非常密集且还在发展中的居民区；</w:t>
      </w:r>
    </w:p>
    <w:p w14:paraId="14A7FF83" w14:textId="2E543134" w:rsidR="009620FA" w:rsidRPr="004A53A5" w:rsidRDefault="00270281" w:rsidP="009620FA">
      <w:pPr>
        <w:jc w:val="both"/>
      </w:pPr>
      <w:bookmarkStart w:id="13" w:name="lt_pId053"/>
      <w:r w:rsidRPr="003D7D88">
        <w:rPr>
          <w:i/>
          <w:iCs/>
        </w:rPr>
        <w:t>d)</w:t>
      </w:r>
      <w:bookmarkEnd w:id="13"/>
      <w:r w:rsidRPr="00590FDA">
        <w:tab/>
      </w:r>
      <w:r w:rsidR="009620FA">
        <w:rPr>
          <w:rFonts w:hint="eastAsia"/>
        </w:rPr>
        <w:t>来自此类装置和系统的辐射，包括</w:t>
      </w:r>
      <w:r w:rsidR="00354E6D">
        <w:rPr>
          <w:rFonts w:hint="eastAsia"/>
        </w:rPr>
        <w:t>不是</w:t>
      </w:r>
      <w:r w:rsidR="009620FA">
        <w:rPr>
          <w:rFonts w:hint="eastAsia"/>
        </w:rPr>
        <w:t>专门用于进行无线电通信的辐射，可能会对无线电通信业务产生干扰，特别是在</w:t>
      </w:r>
      <w:r w:rsidR="009620FA">
        <w:rPr>
          <w:rFonts w:hint="eastAsia"/>
        </w:rPr>
        <w:t>LF</w:t>
      </w:r>
      <w:r w:rsidR="009620FA">
        <w:rPr>
          <w:rFonts w:hint="eastAsia"/>
        </w:rPr>
        <w:t>、</w:t>
      </w:r>
      <w:r w:rsidR="009620FA">
        <w:rPr>
          <w:rFonts w:hint="eastAsia"/>
        </w:rPr>
        <w:t>MF</w:t>
      </w:r>
      <w:r w:rsidR="009620FA">
        <w:rPr>
          <w:rFonts w:hint="eastAsia"/>
        </w:rPr>
        <w:t>、</w:t>
      </w:r>
      <w:r w:rsidR="009620FA">
        <w:rPr>
          <w:rFonts w:hint="eastAsia"/>
        </w:rPr>
        <w:t>HF</w:t>
      </w:r>
      <w:r w:rsidR="009620FA">
        <w:rPr>
          <w:rFonts w:hint="eastAsia"/>
        </w:rPr>
        <w:t>、</w:t>
      </w:r>
      <w:r w:rsidR="009620FA">
        <w:rPr>
          <w:rFonts w:hint="eastAsia"/>
        </w:rPr>
        <w:t>VHF</w:t>
      </w:r>
      <w:r w:rsidR="009620FA">
        <w:rPr>
          <w:rFonts w:hint="eastAsia"/>
        </w:rPr>
        <w:t>和</w:t>
      </w:r>
      <w:r w:rsidR="009620FA">
        <w:rPr>
          <w:rFonts w:hint="eastAsia"/>
        </w:rPr>
        <w:t>UHF</w:t>
      </w:r>
      <w:r w:rsidR="009620FA">
        <w:rPr>
          <w:rFonts w:hint="eastAsia"/>
        </w:rPr>
        <w:t>频段；</w:t>
      </w:r>
    </w:p>
    <w:p w14:paraId="0C01F2C0" w14:textId="4910AD3C" w:rsidR="009620FA" w:rsidRPr="004A53A5" w:rsidRDefault="00270281" w:rsidP="009620FA">
      <w:pPr>
        <w:jc w:val="both"/>
        <w:rPr>
          <w:iCs/>
        </w:rPr>
      </w:pPr>
      <w:bookmarkStart w:id="14" w:name="lt_pId055"/>
      <w:r w:rsidRPr="003D7D88">
        <w:rPr>
          <w:i/>
          <w:iCs/>
        </w:rPr>
        <w:t>e)</w:t>
      </w:r>
      <w:bookmarkEnd w:id="14"/>
      <w:r w:rsidRPr="00590FDA">
        <w:tab/>
      </w:r>
      <w:r w:rsidR="009620FA">
        <w:rPr>
          <w:rFonts w:hint="eastAsia"/>
        </w:rPr>
        <w:t>无线电噪声实际上限制了无线电系统和射电天文业务的性能和存在</w:t>
      </w:r>
      <w:r w:rsidR="00DD0D38">
        <w:rPr>
          <w:rFonts w:hint="eastAsia"/>
        </w:rPr>
        <w:t>；</w:t>
      </w:r>
    </w:p>
    <w:p w14:paraId="41CA5F08" w14:textId="62E1A7BC" w:rsidR="009620FA" w:rsidRPr="00BE3D94" w:rsidRDefault="00270281" w:rsidP="009620FA">
      <w:pPr>
        <w:jc w:val="both"/>
      </w:pPr>
      <w:bookmarkStart w:id="15" w:name="lt_pId057"/>
      <w:r w:rsidRPr="003D7D88">
        <w:rPr>
          <w:i/>
          <w:iCs/>
        </w:rPr>
        <w:t>f)</w:t>
      </w:r>
      <w:bookmarkEnd w:id="15"/>
      <w:r w:rsidRPr="00590FDA">
        <w:tab/>
      </w:r>
      <w:r w:rsidR="009620FA">
        <w:rPr>
          <w:rFonts w:hint="eastAsia"/>
        </w:rPr>
        <w:t>必须根据</w:t>
      </w:r>
      <w:r w:rsidR="00354E6D">
        <w:rPr>
          <w:rFonts w:hint="eastAsia"/>
        </w:rPr>
        <w:t>《无线电规则》第</w:t>
      </w:r>
      <w:r w:rsidR="009620FA">
        <w:rPr>
          <w:rFonts w:hint="eastAsia"/>
        </w:rPr>
        <w:t>15.12</w:t>
      </w:r>
      <w:r w:rsidR="00354E6D">
        <w:rPr>
          <w:rFonts w:hint="eastAsia"/>
        </w:rPr>
        <w:t>、</w:t>
      </w:r>
      <w:proofErr w:type="gramStart"/>
      <w:r w:rsidR="009620FA">
        <w:rPr>
          <w:rFonts w:hint="eastAsia"/>
        </w:rPr>
        <w:t>15.13</w:t>
      </w:r>
      <w:r w:rsidR="00354E6D">
        <w:rPr>
          <w:rFonts w:hint="eastAsia"/>
        </w:rPr>
        <w:t>款</w:t>
      </w:r>
      <w:r w:rsidR="009620FA">
        <w:rPr>
          <w:rFonts w:hint="eastAsia"/>
        </w:rPr>
        <w:t>保护无线电通信业务免受任何形式的干扰。这项任务需要在</w:t>
      </w:r>
      <w:r w:rsidR="00354E6D">
        <w:rPr>
          <w:rFonts w:hint="eastAsia"/>
        </w:rPr>
        <w:t>国际电联</w:t>
      </w:r>
      <w:r w:rsidR="009620FA">
        <w:rPr>
          <w:rFonts w:hint="eastAsia"/>
        </w:rPr>
        <w:t>内部进行进一步连续研究</w:t>
      </w:r>
      <w:proofErr w:type="gramEnd"/>
      <w:r w:rsidR="00354E6D">
        <w:rPr>
          <w:rFonts w:hint="eastAsia"/>
        </w:rPr>
        <w:t>；</w:t>
      </w:r>
    </w:p>
    <w:p w14:paraId="0BAC80FD" w14:textId="77777777" w:rsidR="009620FA" w:rsidRPr="001B6A4F" w:rsidRDefault="009620FA" w:rsidP="009620FA">
      <w:pPr>
        <w:pStyle w:val="Call"/>
        <w:jc w:val="both"/>
        <w:rPr>
          <w:rFonts w:ascii="STKaiti" w:eastAsia="STKaiti" w:hAnsi="STKaiti"/>
          <w:i w:val="0"/>
          <w:szCs w:val="24"/>
        </w:rPr>
      </w:pPr>
      <w:r w:rsidRPr="001B6A4F">
        <w:rPr>
          <w:rFonts w:ascii="STKaiti" w:eastAsia="STKaiti" w:hAnsi="STKaiti" w:hint="eastAsia"/>
          <w:i w:val="0"/>
          <w:szCs w:val="24"/>
        </w:rPr>
        <w:t>做出决定，应研究以下课题</w:t>
      </w:r>
    </w:p>
    <w:p w14:paraId="73DD1D88" w14:textId="73085547" w:rsidR="009620FA" w:rsidRPr="00BB3221" w:rsidRDefault="001B6A4F" w:rsidP="009620FA">
      <w:pPr>
        <w:jc w:val="both"/>
      </w:pPr>
      <w:r w:rsidRPr="00BB3221">
        <w:rPr>
          <w:bCs/>
        </w:rPr>
        <w:t>1</w:t>
      </w:r>
      <w:r w:rsidRPr="00BB3221">
        <w:rPr>
          <w:b/>
          <w:bCs/>
        </w:rPr>
        <w:tab/>
      </w:r>
      <w:r w:rsidR="009620FA">
        <w:rPr>
          <w:rFonts w:hint="eastAsia"/>
        </w:rPr>
        <w:t>电气或电子设备及其系统的发展和扩散如何影响无线电频谱中的人为噪声水平</w:t>
      </w:r>
      <w:r w:rsidR="00DD0D38">
        <w:rPr>
          <w:rFonts w:hint="eastAsia"/>
        </w:rPr>
        <w:t>？</w:t>
      </w:r>
    </w:p>
    <w:p w14:paraId="04C2F062" w14:textId="60B6C6F1" w:rsidR="009620FA" w:rsidRPr="00BB3221" w:rsidRDefault="001B6A4F" w:rsidP="009620FA">
      <w:pPr>
        <w:jc w:val="both"/>
      </w:pPr>
      <w:r w:rsidRPr="00BB3221">
        <w:rPr>
          <w:lang w:val="en-US"/>
        </w:rPr>
        <w:t>2</w:t>
      </w:r>
      <w:r w:rsidRPr="00BB3221">
        <w:rPr>
          <w:lang w:val="en-US"/>
        </w:rPr>
        <w:tab/>
      </w:r>
      <w:r w:rsidR="009620FA">
        <w:rPr>
          <w:rFonts w:hint="eastAsia"/>
        </w:rPr>
        <w:t>考虑到实际运行环境以及</w:t>
      </w:r>
      <w:r w:rsidR="00354E6D">
        <w:rPr>
          <w:rFonts w:hint="eastAsia"/>
        </w:rPr>
        <w:t>电气或电子设备及其系统</w:t>
      </w:r>
      <w:r w:rsidR="009620FA">
        <w:rPr>
          <w:rFonts w:hint="eastAsia"/>
        </w:rPr>
        <w:t>通常靠近无线电通信设备和系统的情况</w:t>
      </w:r>
      <w:r w:rsidR="00354E6D">
        <w:rPr>
          <w:rFonts w:hint="eastAsia"/>
        </w:rPr>
        <w:t>，其</w:t>
      </w:r>
      <w:r w:rsidR="009620FA">
        <w:rPr>
          <w:rFonts w:hint="eastAsia"/>
        </w:rPr>
        <w:t>发展和扩散如何影响测量干扰的方式？</w:t>
      </w:r>
    </w:p>
    <w:p w14:paraId="458C8A63" w14:textId="38E9CC04" w:rsidR="009620FA" w:rsidRPr="00BB3221" w:rsidRDefault="001B6A4F" w:rsidP="009620FA">
      <w:pPr>
        <w:jc w:val="both"/>
      </w:pPr>
      <w:r w:rsidRPr="00BB3221">
        <w:rPr>
          <w:lang w:val="en-US"/>
        </w:rPr>
        <w:t>3</w:t>
      </w:r>
      <w:r w:rsidRPr="00BB3221">
        <w:rPr>
          <w:lang w:val="en-US"/>
        </w:rPr>
        <w:tab/>
      </w:r>
      <w:r w:rsidR="009620FA">
        <w:rPr>
          <w:rFonts w:hint="eastAsia"/>
        </w:rPr>
        <w:t>电气或电子设备及其系统应采用哪些技术特性和限制，以避免对无线电通信</w:t>
      </w:r>
      <w:r w:rsidR="00354E6D">
        <w:rPr>
          <w:rFonts w:hint="eastAsia"/>
        </w:rPr>
        <w:t>业</w:t>
      </w:r>
      <w:r w:rsidR="009620FA">
        <w:rPr>
          <w:rFonts w:hint="eastAsia"/>
        </w:rPr>
        <w:t>务产生有害干扰，且不增加底噪声</w:t>
      </w:r>
      <w:r w:rsidR="0011414B">
        <w:rPr>
          <w:rFonts w:hint="eastAsia"/>
        </w:rPr>
        <w:t>？</w:t>
      </w:r>
    </w:p>
    <w:p w14:paraId="3BA5C6F1" w14:textId="5B94C101" w:rsidR="009620FA" w:rsidRPr="00BB3221" w:rsidRDefault="001B6A4F" w:rsidP="009620FA">
      <w:pPr>
        <w:jc w:val="both"/>
      </w:pPr>
      <w:r w:rsidRPr="00BB3221">
        <w:rPr>
          <w:lang w:val="en-US"/>
        </w:rPr>
        <w:t>4</w:t>
      </w:r>
      <w:r w:rsidRPr="00BB3221">
        <w:rPr>
          <w:lang w:val="en-US"/>
        </w:rPr>
        <w:tab/>
      </w:r>
      <w:r w:rsidR="009620FA">
        <w:rPr>
          <w:rFonts w:hint="eastAsia"/>
        </w:rPr>
        <w:t>需要哪些</w:t>
      </w:r>
      <w:r w:rsidR="0011414B">
        <w:rPr>
          <w:rFonts w:hint="eastAsia"/>
        </w:rPr>
        <w:t>规则条款</w:t>
      </w:r>
      <w:r w:rsidR="009620FA">
        <w:rPr>
          <w:rFonts w:hint="eastAsia"/>
        </w:rPr>
        <w:t>来为无线电通信</w:t>
      </w:r>
      <w:r w:rsidR="0011414B">
        <w:rPr>
          <w:rFonts w:hint="eastAsia"/>
        </w:rPr>
        <w:t>业</w:t>
      </w:r>
      <w:r w:rsidR="009620FA">
        <w:rPr>
          <w:rFonts w:hint="eastAsia"/>
        </w:rPr>
        <w:t>务提供有效的保护，使其免受此类设备及其系统的有害干扰，从而使底噪声尽可能</w:t>
      </w:r>
      <w:r w:rsidR="0011414B">
        <w:rPr>
          <w:rFonts w:hint="eastAsia"/>
        </w:rPr>
        <w:t>的</w:t>
      </w:r>
      <w:r w:rsidR="009620FA">
        <w:rPr>
          <w:rFonts w:hint="eastAsia"/>
        </w:rPr>
        <w:t>低？</w:t>
      </w:r>
    </w:p>
    <w:p w14:paraId="61CDD042" w14:textId="16CB5472" w:rsidR="009620FA" w:rsidRPr="001B6A4F" w:rsidRDefault="009620FA" w:rsidP="009620FA">
      <w:pPr>
        <w:pStyle w:val="Call"/>
        <w:jc w:val="both"/>
        <w:rPr>
          <w:rFonts w:ascii="STKaiti" w:eastAsia="STKaiti" w:hAnsi="STKaiti"/>
          <w:i w:val="0"/>
          <w:iCs/>
          <w:szCs w:val="24"/>
        </w:rPr>
      </w:pPr>
      <w:r w:rsidRPr="001B6A4F">
        <w:rPr>
          <w:rFonts w:ascii="STKaiti" w:eastAsia="STKaiti" w:hAnsi="STKaiti" w:hint="eastAsia"/>
          <w:i w:val="0"/>
          <w:iCs/>
          <w:szCs w:val="24"/>
        </w:rPr>
        <w:t>进一步</w:t>
      </w:r>
      <w:r w:rsidR="0011414B">
        <w:rPr>
          <w:rFonts w:ascii="STKaiti" w:eastAsia="STKaiti" w:hAnsi="STKaiti" w:hint="eastAsia"/>
          <w:i w:val="0"/>
          <w:iCs/>
          <w:szCs w:val="24"/>
        </w:rPr>
        <w:t>做</w:t>
      </w:r>
      <w:r w:rsidRPr="001B6A4F">
        <w:rPr>
          <w:rFonts w:ascii="STKaiti" w:eastAsia="STKaiti" w:hAnsi="STKaiti" w:hint="eastAsia"/>
          <w:i w:val="0"/>
          <w:iCs/>
          <w:szCs w:val="24"/>
        </w:rPr>
        <w:t>出决定</w:t>
      </w:r>
    </w:p>
    <w:p w14:paraId="2FBB6379" w14:textId="16B357EC" w:rsidR="001B6A4F" w:rsidRPr="00BB3221" w:rsidRDefault="001B6A4F" w:rsidP="001B6A4F">
      <w:pPr>
        <w:jc w:val="both"/>
        <w:rPr>
          <w:lang w:val="en-US"/>
        </w:rPr>
      </w:pPr>
      <w:bookmarkStart w:id="16" w:name="_Hlk21461946"/>
      <w:r w:rsidRPr="00BB3221">
        <w:rPr>
          <w:lang w:val="en-US"/>
        </w:rPr>
        <w:t>1</w:t>
      </w:r>
      <w:r w:rsidRPr="00BB3221">
        <w:rPr>
          <w:lang w:val="en-US"/>
        </w:rPr>
        <w:tab/>
      </w:r>
      <w:bookmarkStart w:id="17" w:name="lt_pId070"/>
      <w:bookmarkEnd w:id="16"/>
      <w:r w:rsidRPr="00451934">
        <w:rPr>
          <w:rFonts w:hint="eastAsia"/>
          <w:szCs w:val="24"/>
        </w:rPr>
        <w:t>上述研究的结果应纳入</w:t>
      </w:r>
      <w:r w:rsidR="0011414B">
        <w:rPr>
          <w:rFonts w:hint="eastAsia"/>
          <w:szCs w:val="24"/>
        </w:rPr>
        <w:t>一项或多项</w:t>
      </w:r>
      <w:r w:rsidRPr="00451934">
        <w:rPr>
          <w:rFonts w:hint="eastAsia"/>
          <w:szCs w:val="24"/>
        </w:rPr>
        <w:t>建议书和</w:t>
      </w:r>
      <w:r w:rsidRPr="00451934">
        <w:rPr>
          <w:szCs w:val="24"/>
        </w:rPr>
        <w:t>/</w:t>
      </w:r>
      <w:r w:rsidRPr="00451934">
        <w:rPr>
          <w:rFonts w:hint="eastAsia"/>
          <w:szCs w:val="24"/>
        </w:rPr>
        <w:t>或报告；</w:t>
      </w:r>
      <w:bookmarkEnd w:id="17"/>
    </w:p>
    <w:p w14:paraId="42E3D739" w14:textId="77777777" w:rsidR="001B6A4F" w:rsidRPr="00970B63" w:rsidRDefault="001B6A4F" w:rsidP="001B6A4F">
      <w:r>
        <w:rPr>
          <w:lang w:val="en-US"/>
        </w:rPr>
        <w:t>2</w:t>
      </w:r>
      <w:r>
        <w:rPr>
          <w:lang w:val="en-US"/>
        </w:rPr>
        <w:tab/>
      </w:r>
      <w:bookmarkStart w:id="18" w:name="lt_pId072"/>
      <w:r w:rsidRPr="00451934">
        <w:rPr>
          <w:rFonts w:hint="eastAsia"/>
          <w:szCs w:val="24"/>
        </w:rPr>
        <w:t>上述研究应在</w:t>
      </w:r>
      <w:r w:rsidRPr="00451934">
        <w:rPr>
          <w:szCs w:val="24"/>
        </w:rPr>
        <w:t>2023</w:t>
      </w:r>
      <w:r w:rsidRPr="00451934">
        <w:rPr>
          <w:rFonts w:hint="eastAsia"/>
          <w:szCs w:val="24"/>
        </w:rPr>
        <w:t>年前完成。</w:t>
      </w:r>
      <w:bookmarkEnd w:id="18"/>
    </w:p>
    <w:p w14:paraId="21BC7A35" w14:textId="77777777" w:rsidR="00DD0D38" w:rsidRDefault="00DD0D38" w:rsidP="00411C49">
      <w:pPr>
        <w:pStyle w:val="Reasons"/>
      </w:pPr>
    </w:p>
    <w:p w14:paraId="56A90F01" w14:textId="77777777" w:rsidR="00DD0D38" w:rsidRDefault="00DD0D38">
      <w:pPr>
        <w:jc w:val="center"/>
      </w:pPr>
      <w:r>
        <w:t>______________</w:t>
      </w:r>
    </w:p>
    <w:sectPr w:rsidR="00DD0D38" w:rsidSect="009447A3">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97D3B" w14:textId="77777777" w:rsidR="008C0A28" w:rsidRDefault="008C0A28">
      <w:r>
        <w:separator/>
      </w:r>
    </w:p>
  </w:endnote>
  <w:endnote w:type="continuationSeparator" w:id="0">
    <w:p w14:paraId="78402151" w14:textId="77777777" w:rsidR="008C0A28" w:rsidRDefault="008C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565E" w14:textId="63869015" w:rsidR="009447A3" w:rsidRPr="009447A3" w:rsidRDefault="009447A3">
    <w:r>
      <w:fldChar w:fldCharType="begin"/>
    </w:r>
    <w:r w:rsidRPr="009447A3">
      <w:rPr>
        <w:rFonts w:hint="eastAsia"/>
      </w:rPr>
      <w:instrText xml:space="preserve"> FILENAME \p  \* MERGEFORMAT </w:instrText>
    </w:r>
    <w:r>
      <w:fldChar w:fldCharType="separate"/>
    </w:r>
    <w:r w:rsidR="00405BB5">
      <w:rPr>
        <w:rFonts w:hint="eastAsia"/>
        <w:noProof/>
      </w:rPr>
      <w:t>C:\Users\X1Carbon\Desktop\</w:t>
    </w:r>
    <w:r w:rsidR="00405BB5">
      <w:rPr>
        <w:rFonts w:hint="eastAsia"/>
        <w:noProof/>
      </w:rPr>
      <w:t>翻译</w:t>
    </w:r>
    <w:r w:rsidR="00405BB5">
      <w:rPr>
        <w:rFonts w:hint="eastAsia"/>
        <w:noProof/>
      </w:rPr>
      <w:t>\10-3\zh-CN\029e.docx</w:t>
    </w:r>
    <w:r>
      <w:fldChar w:fldCharType="end"/>
    </w:r>
    <w:r>
      <w:rPr>
        <w:rFonts w:hint="eastAsia"/>
      </w:rPr>
      <w:tab/>
    </w:r>
    <w:r>
      <w:fldChar w:fldCharType="begin"/>
    </w:r>
    <w:r>
      <w:instrText xml:space="preserve"> SAVEDATE \@ DD.MM.YY </w:instrText>
    </w:r>
    <w:r>
      <w:fldChar w:fldCharType="separate"/>
    </w:r>
    <w:r w:rsidR="00F90F42">
      <w:rPr>
        <w:noProof/>
      </w:rPr>
      <w:t>16.10.19</w:t>
    </w:r>
    <w:r>
      <w:fldChar w:fldCharType="end"/>
    </w:r>
    <w:r>
      <w:rPr>
        <w:rFonts w:hint="eastAsia"/>
      </w:rPr>
      <w:tab/>
    </w:r>
    <w:r>
      <w:fldChar w:fldCharType="begin"/>
    </w:r>
    <w:r>
      <w:instrText xml:space="preserve"> PRINTDATE \@ DD.MM.YY </w:instrText>
    </w:r>
    <w:r>
      <w:fldChar w:fldCharType="separate"/>
    </w:r>
    <w:r w:rsidR="00405BB5">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C3C5" w14:textId="5A4099B5" w:rsidR="009447A3" w:rsidRPr="009620FA" w:rsidRDefault="009620FA" w:rsidP="00521E96">
    <w:pPr>
      <w:pStyle w:val="Footer"/>
    </w:pPr>
    <w:r>
      <w:fldChar w:fldCharType="begin"/>
    </w:r>
    <w:r w:rsidRPr="009447A3">
      <w:rPr>
        <w:rFonts w:hint="eastAsia"/>
      </w:rPr>
      <w:instrText xml:space="preserve"> FILENAME \p  \* MERGEFORMAT </w:instrText>
    </w:r>
    <w:r>
      <w:fldChar w:fldCharType="separate"/>
    </w:r>
    <w:r w:rsidR="00DD629D">
      <w:t>P:\CHI\ITU-R\CONF-R\AR19\PLEN\000\029C.docx</w:t>
    </w:r>
    <w:r>
      <w:fldChar w:fldCharType="end"/>
    </w:r>
    <w:r w:rsidR="00DD629D">
      <w:t xml:space="preserve"> (461633)</w:t>
    </w:r>
    <w:r>
      <w:rPr>
        <w:rFonts w:hint="eastAsia"/>
      </w:rPr>
      <w:t xml:space="preserve"> </w:t>
    </w:r>
    <w:r>
      <w:rPr>
        <w:rFonts w:hint="eastAsia"/>
      </w:rPr>
      <w:tab/>
    </w:r>
    <w:bookmarkStart w:id="19" w:name="_GoBack"/>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83E6" w14:textId="71D42D02" w:rsidR="009447A3" w:rsidRPr="009620FA" w:rsidRDefault="009620FA" w:rsidP="009620FA">
    <w:pPr>
      <w:pStyle w:val="Footer"/>
    </w:pPr>
    <w:r>
      <w:fldChar w:fldCharType="begin"/>
    </w:r>
    <w:r w:rsidRPr="009447A3">
      <w:rPr>
        <w:rFonts w:hint="eastAsia"/>
      </w:rPr>
      <w:instrText xml:space="preserve"> FILENAME \p  \* MERGEFORMAT </w:instrText>
    </w:r>
    <w:r>
      <w:fldChar w:fldCharType="separate"/>
    </w:r>
    <w:r w:rsidR="00DD629D">
      <w:t>P:\CHI\ITU-R\CONF-R\AR19\PLEN\000\029C.docx</w:t>
    </w:r>
    <w:r>
      <w:fldChar w:fldCharType="end"/>
    </w:r>
    <w:r w:rsidR="00DD629D">
      <w:t xml:space="preserve"> (461633)</w:t>
    </w:r>
    <w:r>
      <w:rPr>
        <w:rFonts w:hint="eastAsia"/>
      </w:rPr>
      <w:t xml:space="preserve"> </w:t>
    </w:r>
    <w:r>
      <w:rPr>
        <w:rFonts w:hint="eastAsia"/>
      </w:rPr>
      <w:tab/>
    </w:r>
    <w:r>
      <w:fldChar w:fldCharType="begin"/>
    </w:r>
    <w:r>
      <w:instrText xml:space="preserve"> SAVEDATE \@ DD.MM.YY </w:instrText>
    </w:r>
    <w:r>
      <w:fldChar w:fldCharType="separate"/>
    </w:r>
    <w:r w:rsidR="00F90F42">
      <w:t>16.10.19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5E4B" w14:textId="77777777" w:rsidR="008C0A28" w:rsidRDefault="008C0A28">
      <w:r>
        <w:rPr>
          <w:b/>
        </w:rPr>
        <w:t>_______________</w:t>
      </w:r>
    </w:p>
  </w:footnote>
  <w:footnote w:type="continuationSeparator" w:id="0">
    <w:p w14:paraId="5A077883" w14:textId="77777777" w:rsidR="008C0A28" w:rsidRDefault="008C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A8A6" w14:textId="77777777" w:rsidR="00F90F42" w:rsidRDefault="00F90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5830" w14:textId="77777777" w:rsidR="00192E45" w:rsidRDefault="00192E45">
    <w:pPr>
      <w:pStyle w:val="Header"/>
    </w:pPr>
    <w:r>
      <w:fldChar w:fldCharType="begin"/>
    </w:r>
    <w:r>
      <w:instrText xml:space="preserve"> PAGE  \* MERGEFORMAT </w:instrText>
    </w:r>
    <w:r>
      <w:fldChar w:fldCharType="separate"/>
    </w:r>
    <w:r w:rsidR="009620FA">
      <w:rPr>
        <w:rFonts w:hint="eastAsia"/>
      </w:rPr>
      <w:t>3</w:t>
    </w:r>
    <w:r>
      <w:fldChar w:fldCharType="end"/>
    </w:r>
  </w:p>
  <w:p w14:paraId="3B62E12F" w14:textId="381B1E05" w:rsidR="00192E45" w:rsidRDefault="00DD629D" w:rsidP="00A35F66">
    <w:pPr>
      <w:pStyle w:val="Header"/>
    </w:pPr>
    <w:r>
      <w:t>RA19/PLEN/29-C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8E94" w14:textId="77777777" w:rsidR="00F90F42" w:rsidRDefault="00F90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FA"/>
    <w:rsid w:val="000662A9"/>
    <w:rsid w:val="000B4F8D"/>
    <w:rsid w:val="000B5089"/>
    <w:rsid w:val="000D1293"/>
    <w:rsid w:val="000D330E"/>
    <w:rsid w:val="00104ABA"/>
    <w:rsid w:val="0011414B"/>
    <w:rsid w:val="00151C79"/>
    <w:rsid w:val="00183220"/>
    <w:rsid w:val="00192E45"/>
    <w:rsid w:val="001A42D3"/>
    <w:rsid w:val="001B225D"/>
    <w:rsid w:val="001B6A4F"/>
    <w:rsid w:val="00206408"/>
    <w:rsid w:val="0021352B"/>
    <w:rsid w:val="00270281"/>
    <w:rsid w:val="00282C22"/>
    <w:rsid w:val="002B016F"/>
    <w:rsid w:val="002D1A43"/>
    <w:rsid w:val="0030579C"/>
    <w:rsid w:val="00354E6D"/>
    <w:rsid w:val="003D7D88"/>
    <w:rsid w:val="003E7DFA"/>
    <w:rsid w:val="00405BB5"/>
    <w:rsid w:val="00425F3D"/>
    <w:rsid w:val="00444D67"/>
    <w:rsid w:val="00471425"/>
    <w:rsid w:val="004844C1"/>
    <w:rsid w:val="004D6FFE"/>
    <w:rsid w:val="004E5FC6"/>
    <w:rsid w:val="00521E96"/>
    <w:rsid w:val="005E0BE1"/>
    <w:rsid w:val="005F1974"/>
    <w:rsid w:val="005F1E0F"/>
    <w:rsid w:val="005F733F"/>
    <w:rsid w:val="005F79C5"/>
    <w:rsid w:val="006353A8"/>
    <w:rsid w:val="006904BD"/>
    <w:rsid w:val="006D1683"/>
    <w:rsid w:val="0071246B"/>
    <w:rsid w:val="00756B1C"/>
    <w:rsid w:val="00766381"/>
    <w:rsid w:val="007825AE"/>
    <w:rsid w:val="007C6911"/>
    <w:rsid w:val="007F2D21"/>
    <w:rsid w:val="008145E1"/>
    <w:rsid w:val="00873327"/>
    <w:rsid w:val="00880578"/>
    <w:rsid w:val="008A73E3"/>
    <w:rsid w:val="008A7B8E"/>
    <w:rsid w:val="008C0A28"/>
    <w:rsid w:val="008E470E"/>
    <w:rsid w:val="00906929"/>
    <w:rsid w:val="00926A6F"/>
    <w:rsid w:val="00936756"/>
    <w:rsid w:val="00940726"/>
    <w:rsid w:val="009447A3"/>
    <w:rsid w:val="00946C9C"/>
    <w:rsid w:val="00952F59"/>
    <w:rsid w:val="009620FA"/>
    <w:rsid w:val="0097736A"/>
    <w:rsid w:val="00993768"/>
    <w:rsid w:val="009E375D"/>
    <w:rsid w:val="00A05CE9"/>
    <w:rsid w:val="00A1487D"/>
    <w:rsid w:val="00A35F66"/>
    <w:rsid w:val="00A464BA"/>
    <w:rsid w:val="00AC3D09"/>
    <w:rsid w:val="00AE529C"/>
    <w:rsid w:val="00B00FA8"/>
    <w:rsid w:val="00BB03AF"/>
    <w:rsid w:val="00BE5003"/>
    <w:rsid w:val="00BF5E61"/>
    <w:rsid w:val="00C44E4C"/>
    <w:rsid w:val="00C46060"/>
    <w:rsid w:val="00C567F1"/>
    <w:rsid w:val="00CB1338"/>
    <w:rsid w:val="00D169D3"/>
    <w:rsid w:val="00D179DB"/>
    <w:rsid w:val="00D262CE"/>
    <w:rsid w:val="00D471A9"/>
    <w:rsid w:val="00D50D44"/>
    <w:rsid w:val="00DA716F"/>
    <w:rsid w:val="00DD0D38"/>
    <w:rsid w:val="00DD629D"/>
    <w:rsid w:val="00E123D4"/>
    <w:rsid w:val="00E424C3"/>
    <w:rsid w:val="00EE1A06"/>
    <w:rsid w:val="00EE4AD6"/>
    <w:rsid w:val="00F329B0"/>
    <w:rsid w:val="00F72B07"/>
    <w:rsid w:val="00F90F42"/>
    <w:rsid w:val="00F94CB9"/>
    <w:rsid w:val="00FA651D"/>
    <w:rsid w:val="00FB2388"/>
    <w:rsid w:val="00FB7211"/>
    <w:rsid w:val="00FD4869"/>
    <w:rsid w:val="00FF41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87400E"/>
  <w15:docId w15:val="{7D92B268-0128-43D0-823E-6F4C5DA7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eastAsia="SimSu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eastAsia="SimSu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eastAsia="SimSun" w:hAnsi="Times New Roman"/>
      <w:caps/>
      <w:noProof/>
      <w:sz w:val="16"/>
      <w:lang w:val="en-GB" w:eastAsia="zh-CN"/>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eastAsia="SimSun" w:hAnsi="Times New Roman"/>
      <w:sz w:val="24"/>
      <w:lang w:val="en-GB" w:eastAsia="zh-CN"/>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eastAsia="SimSun" w:hAnsi="Times New Roman"/>
      <w:sz w:val="18"/>
      <w:lang w:val="en-GB" w:eastAsia="zh-CN"/>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eastAsia="SimSu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eastAsia="SimSu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9620FA"/>
    <w:rPr>
      <w:rFonts w:ascii="Times New Roman" w:eastAsia="SimSun" w:hAnsi="Times New Roman"/>
      <w:i/>
      <w:sz w:val="24"/>
      <w:lang w:val="en-GB" w:eastAsia="zh-CN"/>
    </w:rPr>
  </w:style>
  <w:style w:type="paragraph" w:customStyle="1" w:styleId="Normalaftertitle0">
    <w:name w:val="Normal_after_title"/>
    <w:basedOn w:val="Normal"/>
    <w:next w:val="Normal"/>
    <w:rsid w:val="009620FA"/>
    <w:pPr>
      <w:spacing w:before="360"/>
    </w:pPr>
  </w:style>
  <w:style w:type="character" w:styleId="Hyperlink">
    <w:name w:val="Hyperlink"/>
    <w:basedOn w:val="DefaultParagraphFont"/>
    <w:uiPriority w:val="99"/>
    <w:unhideWhenUsed/>
    <w:rsid w:val="009620FA"/>
    <w:rPr>
      <w:color w:val="0000FF"/>
      <w:u w:val="single"/>
    </w:rPr>
  </w:style>
  <w:style w:type="character" w:customStyle="1" w:styleId="tlid-translation">
    <w:name w:val="tlid-translation"/>
    <w:basedOn w:val="DefaultParagraphFont"/>
    <w:rsid w:val="0096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1A-C-0213" TargetMode="External"/><Relationship Id="rId13" Type="http://schemas.openxmlformats.org/officeDocument/2006/relationships/hyperlink" Target="https://www.itu.int/md/R15-WP1A-C-0433/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md/R15-WP1A-C-0055/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meetingdoc.asp?lang=en&amp;parent=R15-WP1A-C-043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B-C-0369/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15-WP1A-C-0400/en" TargetMode="External"/><Relationship Id="rId23" Type="http://schemas.openxmlformats.org/officeDocument/2006/relationships/fontTable" Target="fontTable.xml"/><Relationship Id="rId10" Type="http://schemas.openxmlformats.org/officeDocument/2006/relationships/hyperlink" Target="https://www.itu.int/md/R15-WP5B-C-0700/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WP1A-C-0171" TargetMode="External"/><Relationship Id="rId14" Type="http://schemas.openxmlformats.org/officeDocument/2006/relationships/hyperlink" Target="https://www.itu.int/md/R15-WP5B-C-0721/e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79</TotalTime>
  <Pages>3</Pages>
  <Words>2077</Words>
  <Characters>992</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Yuan, Tianxiang</cp:lastModifiedBy>
  <cp:revision>17</cp:revision>
  <cp:lastPrinted>2003-04-25T07:33:00Z</cp:lastPrinted>
  <dcterms:created xsi:type="dcterms:W3CDTF">2019-10-15T14:00:00Z</dcterms:created>
  <dcterms:modified xsi:type="dcterms:W3CDTF">2019-10-17T08:43:00Z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