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BA4F89C" w14:textId="77777777" w:rsidTr="006A640D">
        <w:trPr>
          <w:cantSplit/>
          <w:trHeight w:val="20"/>
        </w:trPr>
        <w:tc>
          <w:tcPr>
            <w:tcW w:w="6770" w:type="dxa"/>
            <w:vAlign w:val="center"/>
          </w:tcPr>
          <w:p w14:paraId="2FDF99C4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119" w:type="dxa"/>
          </w:tcPr>
          <w:p w14:paraId="301AB52B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1FC50788" wp14:editId="64BEB6C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565A42B" w14:textId="77777777" w:rsidTr="00D44350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14:paraId="52E21ECF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47C4D67F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1E436D8" w14:textId="77777777" w:rsidTr="00D44350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14:paraId="07580441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56A7E40A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6626E74F" w14:textId="77777777" w:rsidTr="00D44350">
        <w:trPr>
          <w:cantSplit/>
        </w:trPr>
        <w:tc>
          <w:tcPr>
            <w:tcW w:w="6770" w:type="dxa"/>
          </w:tcPr>
          <w:p w14:paraId="2B189C77" w14:textId="005A6159" w:rsidR="00A809E8" w:rsidRPr="0038326F" w:rsidRDefault="00A809E8" w:rsidP="0038326F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rFonts w:ascii="Traditional Arabic" w:hAnsi="Traditional Arabic" w:cs="Traditional Arabic"/>
                <w:b w:val="0"/>
                <w:bCs/>
                <w:sz w:val="30"/>
                <w:szCs w:val="30"/>
                <w:rtl/>
              </w:rPr>
            </w:pPr>
            <w:r w:rsidRPr="0038326F">
              <w:rPr>
                <w:rFonts w:ascii="Traditional Arabic" w:hAnsi="Traditional Arabic" w:cs="Traditional Arabic"/>
                <w:b w:val="0"/>
                <w:bCs/>
                <w:sz w:val="30"/>
                <w:szCs w:val="30"/>
                <w:rtl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14:paraId="6A374A36" w14:textId="274F614B" w:rsidR="00A809E8" w:rsidRPr="00E46647" w:rsidRDefault="001D1A37" w:rsidP="0038326F">
            <w:pPr>
              <w:pStyle w:val="Adress"/>
              <w:framePr w:hSpace="0" w:wrap="auto" w:xAlign="left" w:yAlign="inline"/>
              <w:spacing w:before="0" w:line="300" w:lineRule="exact"/>
              <w:rPr>
                <w:rFonts w:ascii="Verdana" w:hAnsi="Verdana"/>
                <w:rtl/>
              </w:rPr>
            </w:pPr>
            <w:r w:rsidRPr="00E46647">
              <w:rPr>
                <w:rFonts w:ascii="Verdana" w:hAnsi="Verdana" w:hint="cs"/>
                <w:rtl/>
              </w:rPr>
              <w:t xml:space="preserve">الإضافة </w:t>
            </w:r>
            <w:r w:rsidRPr="00E46647">
              <w:rPr>
                <w:rFonts w:ascii="Verdana" w:hAnsi="Verdana"/>
              </w:rPr>
              <w:t>3</w:t>
            </w:r>
            <w:r w:rsidRPr="00E46647">
              <w:rPr>
                <w:rFonts w:ascii="Verdana" w:hAnsi="Verdana"/>
              </w:rPr>
              <w:br/>
            </w:r>
            <w:r w:rsidRPr="00E46647">
              <w:rPr>
                <w:rFonts w:ascii="Verdana" w:hAnsi="Verdana" w:hint="cs"/>
                <w:rtl/>
              </w:rPr>
              <w:t>ل</w:t>
            </w:r>
            <w:r w:rsidR="00A809E8" w:rsidRPr="00E46647">
              <w:rPr>
                <w:rFonts w:ascii="Verdana" w:hAnsi="Verdana" w:hint="cs"/>
                <w:rtl/>
              </w:rPr>
              <w:t>ل</w:t>
            </w:r>
            <w:r w:rsidR="00A809E8" w:rsidRPr="00E46647">
              <w:rPr>
                <w:rFonts w:ascii="Verdana" w:hAnsi="Verdana"/>
                <w:rtl/>
              </w:rPr>
              <w:t>و</w:t>
            </w:r>
            <w:r w:rsidR="00A809E8" w:rsidRPr="00E46647">
              <w:rPr>
                <w:rFonts w:ascii="Verdana" w:hAnsi="Verdana" w:hint="cs"/>
                <w:rtl/>
              </w:rPr>
              <w:t xml:space="preserve">ثيقة </w:t>
            </w:r>
            <w:r w:rsidR="006A640D" w:rsidRPr="00E46647">
              <w:rPr>
                <w:rFonts w:ascii="Verdana" w:hAnsi="Verdana"/>
              </w:rPr>
              <w:t>RA19/</w:t>
            </w:r>
            <w:r w:rsidR="00BD67C0" w:rsidRPr="00E46647">
              <w:rPr>
                <w:rFonts w:ascii="Verdana" w:hAnsi="Verdana"/>
              </w:rPr>
              <w:t>PLEN</w:t>
            </w:r>
            <w:r w:rsidR="006A640D" w:rsidRPr="00E46647">
              <w:rPr>
                <w:rFonts w:ascii="Verdana" w:hAnsi="Verdana"/>
              </w:rPr>
              <w:t>/</w:t>
            </w:r>
            <w:r w:rsidR="00BD67C0" w:rsidRPr="00E46647">
              <w:rPr>
                <w:rFonts w:ascii="Verdana" w:hAnsi="Verdana"/>
              </w:rPr>
              <w:t>2</w:t>
            </w:r>
            <w:r w:rsidR="00C86728" w:rsidRPr="00E46647">
              <w:rPr>
                <w:rFonts w:ascii="Verdana" w:hAnsi="Verdana"/>
              </w:rPr>
              <w:t>8</w:t>
            </w:r>
            <w:r w:rsidR="00A809E8" w:rsidRPr="00E46647">
              <w:rPr>
                <w:rFonts w:ascii="Verdana" w:hAnsi="Verdana"/>
              </w:rPr>
              <w:t>-A</w:t>
            </w:r>
          </w:p>
        </w:tc>
      </w:tr>
      <w:tr w:rsidR="00A809E8" w14:paraId="5990CAC4" w14:textId="77777777" w:rsidTr="00D44350">
        <w:trPr>
          <w:cantSplit/>
        </w:trPr>
        <w:tc>
          <w:tcPr>
            <w:tcW w:w="6770" w:type="dxa"/>
          </w:tcPr>
          <w:p w14:paraId="7D84BEE7" w14:textId="77777777" w:rsidR="00A809E8" w:rsidRPr="006A640D" w:rsidRDefault="00A809E8" w:rsidP="0038326F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119" w:type="dxa"/>
            <w:vAlign w:val="center"/>
          </w:tcPr>
          <w:p w14:paraId="689C91C3" w14:textId="42D143E1" w:rsidR="00A809E8" w:rsidRPr="00E46647" w:rsidRDefault="00353792" w:rsidP="0038326F">
            <w:pPr>
              <w:pStyle w:val="Adress"/>
              <w:framePr w:hSpace="0" w:wrap="auto" w:xAlign="left" w:yAlign="inline"/>
              <w:spacing w:before="0" w:line="300" w:lineRule="exact"/>
              <w:rPr>
                <w:rFonts w:ascii="Verdana" w:hAnsi="Verdana"/>
                <w:rtl/>
              </w:rPr>
            </w:pPr>
            <w:r w:rsidRPr="00E46647">
              <w:rPr>
                <w:rFonts w:ascii="Verdana" w:hAnsi="Verdana"/>
              </w:rPr>
              <w:t>30</w:t>
            </w:r>
            <w:r w:rsidR="00A809E8" w:rsidRPr="00E46647">
              <w:rPr>
                <w:rFonts w:ascii="Verdana" w:hAnsi="Verdana" w:hint="cs"/>
                <w:rtl/>
              </w:rPr>
              <w:t xml:space="preserve"> </w:t>
            </w:r>
            <w:r w:rsidRPr="00E46647">
              <w:rPr>
                <w:rFonts w:ascii="Verdana" w:hAnsi="Verdana" w:hint="cs"/>
                <w:rtl/>
              </w:rPr>
              <w:t>سبتمبر</w:t>
            </w:r>
            <w:r w:rsidR="00A809E8" w:rsidRPr="00E46647">
              <w:rPr>
                <w:rFonts w:ascii="Verdana" w:hAnsi="Verdana" w:hint="cs"/>
                <w:rtl/>
              </w:rPr>
              <w:t xml:space="preserve"> </w:t>
            </w:r>
            <w:r w:rsidR="00A809E8" w:rsidRPr="00E46647">
              <w:rPr>
                <w:rFonts w:ascii="Verdana" w:hAnsi="Verdana"/>
              </w:rPr>
              <w:t>201</w:t>
            </w:r>
            <w:r w:rsidR="00A375BD" w:rsidRPr="00E46647">
              <w:rPr>
                <w:rFonts w:ascii="Verdana" w:hAnsi="Verdana"/>
              </w:rPr>
              <w:t>9</w:t>
            </w:r>
          </w:p>
        </w:tc>
      </w:tr>
      <w:tr w:rsidR="00A809E8" w14:paraId="38494802" w14:textId="77777777" w:rsidTr="00D44350">
        <w:trPr>
          <w:cantSplit/>
        </w:trPr>
        <w:tc>
          <w:tcPr>
            <w:tcW w:w="6770" w:type="dxa"/>
          </w:tcPr>
          <w:p w14:paraId="22BFB4BF" w14:textId="77777777" w:rsidR="00A809E8" w:rsidRPr="006A640D" w:rsidRDefault="00A809E8" w:rsidP="0038326F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14:paraId="2F85BA4F" w14:textId="60F99767" w:rsidR="00A809E8" w:rsidRPr="00E46647" w:rsidRDefault="00A809E8" w:rsidP="0038326F">
            <w:pPr>
              <w:pStyle w:val="Adress"/>
              <w:framePr w:hSpace="0" w:wrap="auto" w:xAlign="left" w:yAlign="inline"/>
              <w:spacing w:before="0" w:line="300" w:lineRule="exact"/>
              <w:rPr>
                <w:rFonts w:ascii="Verdana" w:eastAsia="SimSun" w:hAnsi="Verdana"/>
                <w:rtl/>
              </w:rPr>
            </w:pPr>
            <w:r w:rsidRPr="00E46647">
              <w:rPr>
                <w:rFonts w:ascii="Verdana" w:hAnsi="Verdana" w:hint="cs"/>
                <w:rtl/>
              </w:rPr>
              <w:t xml:space="preserve">الأصل: </w:t>
            </w:r>
            <w:r w:rsidR="00353792" w:rsidRPr="00E46647">
              <w:rPr>
                <w:rFonts w:ascii="Verdana" w:hAnsi="Verdana" w:hint="cs"/>
                <w:rtl/>
              </w:rPr>
              <w:t>بالإنكليزية</w:t>
            </w:r>
          </w:p>
        </w:tc>
      </w:tr>
      <w:tr w:rsidR="00764079" w14:paraId="6683DF3E" w14:textId="77777777" w:rsidTr="00D44350">
        <w:trPr>
          <w:cantSplit/>
        </w:trPr>
        <w:tc>
          <w:tcPr>
            <w:tcW w:w="9889" w:type="dxa"/>
            <w:gridSpan w:val="2"/>
          </w:tcPr>
          <w:p w14:paraId="6E5C505D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14:paraId="780C5109" w14:textId="77777777" w:rsidTr="00D44350">
        <w:trPr>
          <w:cantSplit/>
        </w:trPr>
        <w:tc>
          <w:tcPr>
            <w:tcW w:w="9889" w:type="dxa"/>
            <w:gridSpan w:val="2"/>
          </w:tcPr>
          <w:p w14:paraId="6C18373F" w14:textId="71E49F69" w:rsidR="00764079" w:rsidRPr="00E74D61" w:rsidRDefault="001D1A37" w:rsidP="00D44350">
            <w:pPr>
              <w:pStyle w:val="Source"/>
              <w:rPr>
                <w:highlight w:val="green"/>
                <w:rtl/>
              </w:rPr>
            </w:pPr>
            <w:r w:rsidRPr="00402D80">
              <w:rPr>
                <w:rFonts w:hint="cs"/>
                <w:rtl/>
              </w:rPr>
              <w:t>مقترح أوروبي مشترك</w:t>
            </w:r>
          </w:p>
        </w:tc>
      </w:tr>
      <w:tr w:rsidR="00764079" w14:paraId="5A45D338" w14:textId="77777777" w:rsidTr="00D44350">
        <w:trPr>
          <w:cantSplit/>
        </w:trPr>
        <w:tc>
          <w:tcPr>
            <w:tcW w:w="9889" w:type="dxa"/>
            <w:gridSpan w:val="2"/>
          </w:tcPr>
          <w:p w14:paraId="0B8DCEDE" w14:textId="48714830" w:rsidR="00764079" w:rsidRPr="00FF35F6" w:rsidRDefault="001D1A37" w:rsidP="001D1A37">
            <w:pPr>
              <w:pStyle w:val="Title1"/>
              <w:rPr>
                <w:highlight w:val="green"/>
                <w:rtl/>
              </w:rPr>
            </w:pPr>
            <w:r w:rsidRPr="00402D80">
              <w:rPr>
                <w:rFonts w:hint="cs"/>
                <w:rtl/>
              </w:rPr>
              <w:t xml:space="preserve">مقترح بشأن أعمال </w:t>
            </w:r>
            <w:r w:rsidR="00887057" w:rsidRPr="00402D80">
              <w:rPr>
                <w:rFonts w:hint="cs"/>
                <w:rtl/>
              </w:rPr>
              <w:t>الجمعية</w:t>
            </w:r>
          </w:p>
        </w:tc>
      </w:tr>
      <w:tr w:rsidR="00764079" w14:paraId="74652490" w14:textId="77777777" w:rsidTr="00D44350">
        <w:trPr>
          <w:cantSplit/>
        </w:trPr>
        <w:tc>
          <w:tcPr>
            <w:tcW w:w="9889" w:type="dxa"/>
            <w:gridSpan w:val="2"/>
          </w:tcPr>
          <w:p w14:paraId="43C4EA81" w14:textId="210F8F3C" w:rsidR="00764079" w:rsidRPr="00BD6EF3" w:rsidRDefault="00764079" w:rsidP="00324B4F">
            <w:pPr>
              <w:pStyle w:val="Rectitle"/>
              <w:rPr>
                <w:rtl/>
              </w:rPr>
            </w:pPr>
          </w:p>
        </w:tc>
      </w:tr>
      <w:tr w:rsidR="00764079" w14:paraId="7FF9ABE9" w14:textId="77777777" w:rsidTr="00D44350">
        <w:trPr>
          <w:cantSplit/>
        </w:trPr>
        <w:tc>
          <w:tcPr>
            <w:tcW w:w="9889" w:type="dxa"/>
            <w:gridSpan w:val="2"/>
          </w:tcPr>
          <w:p w14:paraId="67389003" w14:textId="19E3B940" w:rsidR="00764079" w:rsidRPr="002919E1" w:rsidRDefault="00572D98" w:rsidP="00572D98">
            <w:pPr>
              <w:pStyle w:val="Title3"/>
            </w:pPr>
            <w:r>
              <w:rPr>
                <w:rFonts w:hint="cs"/>
                <w:rtl/>
              </w:rPr>
              <w:t xml:space="preserve">القرار الجديد </w:t>
            </w:r>
            <w:r w:rsidRPr="001D1A37">
              <w:rPr>
                <w:lang w:val="en-GB"/>
              </w:rPr>
              <w:t>ITU-R [ITS]</w:t>
            </w:r>
          </w:p>
        </w:tc>
      </w:tr>
    </w:tbl>
    <w:p w14:paraId="5D9F5713" w14:textId="2F1A3AEE" w:rsidR="00FF35F6" w:rsidRDefault="00E74D61" w:rsidP="00572D98">
      <w:pPr>
        <w:pStyle w:val="Headingb"/>
        <w:spacing w:before="360"/>
        <w:rPr>
          <w:rtl/>
        </w:rPr>
      </w:pPr>
      <w:r>
        <w:rPr>
          <w:rFonts w:hint="cs"/>
          <w:rtl/>
        </w:rPr>
        <w:t>مقدمة</w:t>
      </w:r>
    </w:p>
    <w:p w14:paraId="1C539494" w14:textId="612B7B8E" w:rsidR="00E74D61" w:rsidRPr="0038326F" w:rsidRDefault="00EA4199" w:rsidP="00572D98">
      <w:pPr>
        <w:rPr>
          <w:spacing w:val="-6"/>
          <w:rtl/>
          <w:lang w:val="en-GB" w:bidi="ar-EG"/>
        </w:rPr>
      </w:pPr>
      <w:r w:rsidRPr="0038326F">
        <w:rPr>
          <w:rFonts w:hint="cs"/>
          <w:spacing w:val="-6"/>
          <w:rtl/>
          <w:lang w:val="en-GB" w:bidi="ar-EG"/>
        </w:rPr>
        <w:t xml:space="preserve">أجرت </w:t>
      </w:r>
      <w:r w:rsidRPr="0038326F">
        <w:rPr>
          <w:spacing w:val="-6"/>
          <w:rtl/>
          <w:lang w:val="en-GB"/>
        </w:rPr>
        <w:t>بلدان المؤتمر الأوروبي لإدارات البريد والاتصالات</w:t>
      </w:r>
      <w:r w:rsidRPr="0038326F">
        <w:rPr>
          <w:rFonts w:hint="cs"/>
          <w:spacing w:val="-6"/>
          <w:rtl/>
          <w:lang w:val="en-GB"/>
        </w:rPr>
        <w:t xml:space="preserve"> </w:t>
      </w:r>
      <w:r w:rsidR="00572D98" w:rsidRPr="0038326F">
        <w:rPr>
          <w:spacing w:val="-6"/>
          <w:lang w:val="en-GB"/>
        </w:rPr>
        <w:t>(</w:t>
      </w:r>
      <w:r w:rsidRPr="0038326F">
        <w:rPr>
          <w:spacing w:val="-6"/>
        </w:rPr>
        <w:t>CEPT</w:t>
      </w:r>
      <w:r w:rsidR="00572D98" w:rsidRPr="0038326F">
        <w:rPr>
          <w:spacing w:val="-6"/>
        </w:rPr>
        <w:t>)</w:t>
      </w:r>
      <w:r w:rsidR="00572D98" w:rsidRPr="0038326F">
        <w:rPr>
          <w:rFonts w:hint="cs"/>
          <w:spacing w:val="-6"/>
          <w:rtl/>
          <w:lang w:val="en-GB"/>
        </w:rPr>
        <w:t xml:space="preserve"> </w:t>
      </w:r>
      <w:r w:rsidRPr="0038326F">
        <w:rPr>
          <w:rFonts w:hint="cs"/>
          <w:spacing w:val="-6"/>
          <w:rtl/>
        </w:rPr>
        <w:t>ت</w:t>
      </w:r>
      <w:r w:rsidR="00572D98" w:rsidRPr="0038326F">
        <w:rPr>
          <w:rFonts w:hint="cs"/>
          <w:spacing w:val="-6"/>
          <w:rtl/>
        </w:rPr>
        <w:t>حليلاً دقيق</w:t>
      </w:r>
      <w:r w:rsidRPr="0038326F">
        <w:rPr>
          <w:rFonts w:hint="cs"/>
          <w:spacing w:val="-6"/>
          <w:rtl/>
        </w:rPr>
        <w:t>ا</w:t>
      </w:r>
      <w:r w:rsidR="00572D98" w:rsidRPr="0038326F">
        <w:rPr>
          <w:rFonts w:hint="cs"/>
          <w:spacing w:val="-6"/>
          <w:rtl/>
        </w:rPr>
        <w:t>ً</w:t>
      </w:r>
      <w:r w:rsidRPr="0038326F">
        <w:rPr>
          <w:rFonts w:hint="cs"/>
          <w:spacing w:val="-6"/>
          <w:rtl/>
        </w:rPr>
        <w:t xml:space="preserve"> ل</w:t>
      </w:r>
      <w:r w:rsidR="00FB7EEC" w:rsidRPr="0038326F">
        <w:rPr>
          <w:rFonts w:hint="cs"/>
          <w:spacing w:val="-6"/>
          <w:rtl/>
        </w:rPr>
        <w:t xml:space="preserve">نتائج الدراسات الخاصة </w:t>
      </w:r>
      <w:r w:rsidR="00F825A2" w:rsidRPr="0038326F">
        <w:rPr>
          <w:rFonts w:hint="cs"/>
          <w:spacing w:val="-6"/>
          <w:rtl/>
        </w:rPr>
        <w:t xml:space="preserve">بأنظمة النقل الذكية </w:t>
      </w:r>
      <w:r w:rsidR="00D42DA6" w:rsidRPr="0038326F">
        <w:rPr>
          <w:rFonts w:hint="cs"/>
          <w:spacing w:val="-6"/>
          <w:rtl/>
        </w:rPr>
        <w:t>التي أجراها قطاع الاتصالات الراديوية (</w:t>
      </w:r>
      <w:r w:rsidR="00B25C61" w:rsidRPr="0038326F">
        <w:rPr>
          <w:rFonts w:hint="cs"/>
          <w:spacing w:val="-6"/>
          <w:rtl/>
        </w:rPr>
        <w:t>فرقة العمل</w:t>
      </w:r>
      <w:r w:rsidR="00D42DA6" w:rsidRPr="0038326F">
        <w:rPr>
          <w:rFonts w:hint="cs"/>
          <w:spacing w:val="-6"/>
          <w:rtl/>
        </w:rPr>
        <w:t xml:space="preserve"> </w:t>
      </w:r>
      <w:r w:rsidR="00D42DA6" w:rsidRPr="0038326F">
        <w:rPr>
          <w:spacing w:val="-6"/>
          <w:lang w:val="en-GB"/>
        </w:rPr>
        <w:t>5A</w:t>
      </w:r>
      <w:r w:rsidR="00D42DA6" w:rsidRPr="0038326F">
        <w:rPr>
          <w:rFonts w:hint="cs"/>
          <w:spacing w:val="-6"/>
          <w:rtl/>
          <w:lang w:val="en-GB" w:bidi="ar-EG"/>
        </w:rPr>
        <w:t xml:space="preserve"> والدورة الثانية للاجتماع التحضيري للمؤتمر لعام </w:t>
      </w:r>
      <w:r w:rsidR="00D42DA6" w:rsidRPr="0038326F">
        <w:rPr>
          <w:spacing w:val="-6"/>
          <w:lang w:val="en-GB" w:bidi="ar-EG"/>
        </w:rPr>
        <w:t>2019</w:t>
      </w:r>
      <w:r w:rsidR="00D42DA6" w:rsidRPr="0038326F">
        <w:rPr>
          <w:rFonts w:hint="cs"/>
          <w:spacing w:val="-6"/>
          <w:rtl/>
          <w:lang w:val="en-GB" w:bidi="ar-EG"/>
        </w:rPr>
        <w:t xml:space="preserve"> </w:t>
      </w:r>
      <w:r w:rsidR="00C375EF" w:rsidRPr="0038326F">
        <w:rPr>
          <w:spacing w:val="-6"/>
          <w:lang w:val="en-GB" w:bidi="ar-EG"/>
        </w:rPr>
        <w:t>(</w:t>
      </w:r>
      <w:r w:rsidR="00D42DA6" w:rsidRPr="0038326F">
        <w:rPr>
          <w:spacing w:val="-6"/>
          <w:lang w:val="en-GB" w:bidi="ar-EG"/>
        </w:rPr>
        <w:t>CPM19-2</w:t>
      </w:r>
      <w:r w:rsidR="00C375EF" w:rsidRPr="0038326F">
        <w:rPr>
          <w:spacing w:val="-6"/>
          <w:lang w:val="en-GB" w:bidi="ar-EG"/>
        </w:rPr>
        <w:t>)</w:t>
      </w:r>
      <w:r w:rsidR="00D42DA6" w:rsidRPr="0038326F">
        <w:rPr>
          <w:rFonts w:hint="cs"/>
          <w:spacing w:val="-6"/>
          <w:rtl/>
          <w:lang w:val="en-GB" w:bidi="ar-EG"/>
        </w:rPr>
        <w:t>)</w:t>
      </w:r>
      <w:r w:rsidR="00B25C61" w:rsidRPr="0038326F">
        <w:rPr>
          <w:rFonts w:hint="cs"/>
          <w:spacing w:val="-6"/>
          <w:rtl/>
          <w:lang w:val="en-GB" w:bidi="ar-EG"/>
        </w:rPr>
        <w:t xml:space="preserve"> فضلاً عن اعتبارات </w:t>
      </w:r>
      <w:r w:rsidR="00F21487" w:rsidRPr="0038326F">
        <w:rPr>
          <w:rFonts w:hint="cs"/>
          <w:spacing w:val="-6"/>
          <w:rtl/>
          <w:lang w:val="en-GB" w:bidi="ar-EG"/>
        </w:rPr>
        <w:t xml:space="preserve">المجموعات الإقليمية الأخرى بشأن المسائل العملية للبند </w:t>
      </w:r>
      <w:r w:rsidR="00F21487" w:rsidRPr="0038326F">
        <w:rPr>
          <w:spacing w:val="-6"/>
          <w:lang w:val="en-GB" w:bidi="ar-EG"/>
        </w:rPr>
        <w:t>12.1</w:t>
      </w:r>
      <w:r w:rsidR="00F21487" w:rsidRPr="0038326F">
        <w:rPr>
          <w:rFonts w:hint="cs"/>
          <w:spacing w:val="-6"/>
          <w:rtl/>
          <w:lang w:val="en-GB" w:bidi="ar-EG"/>
        </w:rPr>
        <w:t xml:space="preserve"> من جدول أعمال المؤتمر العالمي للاتصالات الراديوية لعام</w:t>
      </w:r>
      <w:r w:rsidR="0038326F" w:rsidRPr="0038326F">
        <w:rPr>
          <w:rFonts w:hint="eastAsia"/>
          <w:spacing w:val="-6"/>
          <w:rtl/>
          <w:lang w:val="en-GB" w:bidi="ar-EG"/>
        </w:rPr>
        <w:t> </w:t>
      </w:r>
      <w:r w:rsidR="00F21487" w:rsidRPr="0038326F">
        <w:rPr>
          <w:spacing w:val="-6"/>
          <w:lang w:val="en-GB" w:bidi="ar-EG"/>
        </w:rPr>
        <w:t>2019</w:t>
      </w:r>
      <w:r w:rsidR="00F21487" w:rsidRPr="0038326F">
        <w:rPr>
          <w:rFonts w:hint="cs"/>
          <w:spacing w:val="-6"/>
          <w:rtl/>
          <w:lang w:val="en-GB" w:bidi="ar-EG"/>
        </w:rPr>
        <w:t xml:space="preserve"> </w:t>
      </w:r>
      <w:r w:rsidR="00572D98" w:rsidRPr="0038326F">
        <w:rPr>
          <w:spacing w:val="-6"/>
          <w:lang w:val="en-GB" w:bidi="ar-EG"/>
        </w:rPr>
        <w:t>(</w:t>
      </w:r>
      <w:r w:rsidR="00F21487" w:rsidRPr="0038326F">
        <w:rPr>
          <w:spacing w:val="-6"/>
          <w:lang w:val="en-GB" w:bidi="ar-EG"/>
        </w:rPr>
        <w:t>WRC</w:t>
      </w:r>
      <w:r w:rsidR="0038326F" w:rsidRPr="0038326F">
        <w:rPr>
          <w:spacing w:val="-6"/>
          <w:lang w:val="en-GB" w:bidi="ar-EG"/>
        </w:rPr>
        <w:noBreakHyphen/>
      </w:r>
      <w:r w:rsidR="00F21487" w:rsidRPr="0038326F">
        <w:rPr>
          <w:spacing w:val="-6"/>
          <w:lang w:val="en-GB" w:bidi="ar-EG"/>
        </w:rPr>
        <w:t>19</w:t>
      </w:r>
      <w:r w:rsidR="00572D98" w:rsidRPr="0038326F">
        <w:rPr>
          <w:spacing w:val="-6"/>
          <w:lang w:val="en-GB" w:bidi="ar-EG"/>
        </w:rPr>
        <w:t>)</w:t>
      </w:r>
      <w:r w:rsidR="00572D98" w:rsidRPr="0038326F">
        <w:rPr>
          <w:rFonts w:hint="cs"/>
          <w:spacing w:val="-6"/>
          <w:rtl/>
          <w:lang w:val="en-GB" w:bidi="ar-EG"/>
        </w:rPr>
        <w:t>.</w:t>
      </w:r>
    </w:p>
    <w:p w14:paraId="05FFFFDB" w14:textId="23729E41" w:rsidR="0039650B" w:rsidRDefault="0039650B" w:rsidP="00572D98">
      <w:pPr>
        <w:rPr>
          <w:rtl/>
          <w:lang w:eastAsia="zh-CN" w:bidi="ar-EG"/>
        </w:rPr>
      </w:pPr>
      <w:r>
        <w:rPr>
          <w:rFonts w:hint="cs"/>
          <w:rtl/>
          <w:lang w:val="en-GB" w:bidi="ar-EG"/>
        </w:rPr>
        <w:t xml:space="preserve">وقد لوحظ أن أحد إنجازات العمل على أنظمة النقل الذكية قد تحقق مع نشر التوصية </w:t>
      </w:r>
      <w:r w:rsidRPr="003E0F45">
        <w:rPr>
          <w:lang w:eastAsia="zh-CN"/>
        </w:rPr>
        <w:t>ITU-R M.2121</w:t>
      </w:r>
      <w:r w:rsidR="00980DEB">
        <w:rPr>
          <w:rFonts w:hint="cs"/>
          <w:rtl/>
          <w:lang w:eastAsia="zh-CN" w:bidi="ar-EG"/>
        </w:rPr>
        <w:t>. ولا يزال العمل الشامل في</w:t>
      </w:r>
      <w:r w:rsidR="0038326F">
        <w:rPr>
          <w:rFonts w:hint="eastAsia"/>
          <w:rtl/>
          <w:lang w:eastAsia="zh-CN" w:bidi="ar-EG"/>
        </w:rPr>
        <w:t> </w:t>
      </w:r>
      <w:r w:rsidR="00980DEB">
        <w:rPr>
          <w:rFonts w:hint="cs"/>
          <w:rtl/>
          <w:lang w:eastAsia="zh-CN" w:bidi="ar-EG"/>
        </w:rPr>
        <w:t xml:space="preserve">فرقة العمل </w:t>
      </w:r>
      <w:r w:rsidR="00980DEB">
        <w:rPr>
          <w:lang w:eastAsia="zh-CN" w:bidi="ar-EG"/>
        </w:rPr>
        <w:t>5A</w:t>
      </w:r>
      <w:r w:rsidR="00980DEB">
        <w:rPr>
          <w:rFonts w:hint="cs"/>
          <w:rtl/>
          <w:lang w:eastAsia="zh-CN" w:bidi="ar-EG"/>
        </w:rPr>
        <w:t xml:space="preserve"> </w:t>
      </w:r>
      <w:r w:rsidR="00572D98">
        <w:rPr>
          <w:rFonts w:hint="cs"/>
          <w:rtl/>
          <w:lang w:eastAsia="zh-CN" w:bidi="ar-EG"/>
        </w:rPr>
        <w:t>جاري</w:t>
      </w:r>
      <w:r w:rsidR="00575B42">
        <w:rPr>
          <w:rFonts w:hint="cs"/>
          <w:rtl/>
          <w:lang w:eastAsia="zh-CN" w:bidi="ar-EG"/>
        </w:rPr>
        <w:t>ا</w:t>
      </w:r>
      <w:r w:rsidR="00572D98">
        <w:rPr>
          <w:rFonts w:hint="cs"/>
          <w:rtl/>
          <w:lang w:eastAsia="zh-CN" w:bidi="ar-EG"/>
        </w:rPr>
        <w:t>ً</w:t>
      </w:r>
      <w:r w:rsidR="00575B42">
        <w:rPr>
          <w:rFonts w:hint="cs"/>
          <w:rtl/>
          <w:lang w:eastAsia="zh-CN" w:bidi="ar-EG"/>
        </w:rPr>
        <w:t xml:space="preserve"> و</w:t>
      </w:r>
      <w:r w:rsidR="00EA4199">
        <w:rPr>
          <w:rFonts w:hint="cs"/>
          <w:rtl/>
          <w:lang w:eastAsia="zh-CN" w:bidi="ar-EG"/>
        </w:rPr>
        <w:t xml:space="preserve">لا </w:t>
      </w:r>
      <w:r w:rsidR="00575B42">
        <w:rPr>
          <w:rFonts w:hint="cs"/>
          <w:rtl/>
          <w:lang w:eastAsia="zh-CN" w:bidi="ar-EG"/>
        </w:rPr>
        <w:t>يبدو من المحتمل الانتهاء من كل العناصر الضرورية للتنفيذ الكامل لأنظمة النقل الذكية المستقبلية ضمن</w:t>
      </w:r>
      <w:r w:rsidR="00572D98">
        <w:rPr>
          <w:rFonts w:hint="cs"/>
          <w:rtl/>
          <w:lang w:eastAsia="zh-CN" w:bidi="ar-EG"/>
        </w:rPr>
        <w:t xml:space="preserve"> هذه</w:t>
      </w:r>
      <w:r w:rsidR="00575B42">
        <w:rPr>
          <w:rFonts w:hint="cs"/>
          <w:rtl/>
          <w:lang w:eastAsia="zh-CN" w:bidi="ar-EG"/>
        </w:rPr>
        <w:t xml:space="preserve"> الدورة الدراسية. وإضافة</w:t>
      </w:r>
      <w:r w:rsidR="0038326F">
        <w:rPr>
          <w:rFonts w:hint="cs"/>
          <w:rtl/>
          <w:lang w:eastAsia="zh-CN" w:bidi="ar-EG"/>
        </w:rPr>
        <w:t>ً</w:t>
      </w:r>
      <w:r w:rsidR="00575B42">
        <w:rPr>
          <w:rFonts w:hint="cs"/>
          <w:rtl/>
          <w:lang w:eastAsia="zh-CN" w:bidi="ar-EG"/>
        </w:rPr>
        <w:t xml:space="preserve"> إلى ذلك، يهتم الكثيرون م</w:t>
      </w:r>
      <w:r w:rsidR="00572D98">
        <w:rPr>
          <w:rFonts w:hint="cs"/>
          <w:rtl/>
          <w:lang w:eastAsia="zh-CN" w:bidi="ar-EG"/>
        </w:rPr>
        <w:t>ن أعضاء الاتحاد</w:t>
      </w:r>
      <w:r w:rsidR="00575B42">
        <w:rPr>
          <w:rFonts w:hint="cs"/>
          <w:rtl/>
          <w:lang w:eastAsia="zh-CN" w:bidi="ar-EG"/>
        </w:rPr>
        <w:t xml:space="preserve"> بهذه النتيجة وجوان</w:t>
      </w:r>
      <w:r w:rsidR="00572D98">
        <w:rPr>
          <w:rFonts w:hint="cs"/>
          <w:rtl/>
          <w:lang w:eastAsia="zh-CN" w:bidi="ar-EG"/>
        </w:rPr>
        <w:t>ب تنفيذها</w:t>
      </w:r>
      <w:r w:rsidR="00572D98">
        <w:rPr>
          <w:rFonts w:hint="eastAsia"/>
          <w:rtl/>
          <w:lang w:eastAsia="zh-CN" w:bidi="ar-EG"/>
        </w:rPr>
        <w:t> </w:t>
      </w:r>
      <w:r w:rsidR="00572D98">
        <w:rPr>
          <w:rFonts w:hint="cs"/>
          <w:rtl/>
          <w:lang w:eastAsia="zh-CN" w:bidi="ar-EG"/>
        </w:rPr>
        <w:t>عملي</w:t>
      </w:r>
      <w:r w:rsidR="00792AA0">
        <w:rPr>
          <w:rFonts w:hint="cs"/>
          <w:rtl/>
          <w:lang w:eastAsia="zh-CN" w:bidi="ar-EG"/>
        </w:rPr>
        <w:t>ا</w:t>
      </w:r>
      <w:r w:rsidR="00572D98">
        <w:rPr>
          <w:rFonts w:hint="cs"/>
          <w:rtl/>
          <w:lang w:eastAsia="zh-CN" w:bidi="ar-EG"/>
        </w:rPr>
        <w:t>ً</w:t>
      </w:r>
      <w:r w:rsidR="00792AA0">
        <w:rPr>
          <w:rFonts w:hint="cs"/>
          <w:rtl/>
          <w:lang w:eastAsia="zh-CN" w:bidi="ar-EG"/>
        </w:rPr>
        <w:t>.</w:t>
      </w:r>
    </w:p>
    <w:p w14:paraId="2428B885" w14:textId="3CD34227" w:rsidR="00792AA0" w:rsidRPr="00D42DA6" w:rsidRDefault="00792AA0" w:rsidP="0039650B">
      <w:pPr>
        <w:rPr>
          <w:rtl/>
          <w:lang w:val="en-GB" w:bidi="ar-EG"/>
        </w:rPr>
      </w:pPr>
      <w:r>
        <w:rPr>
          <w:rFonts w:hint="cs"/>
          <w:rtl/>
          <w:lang w:eastAsia="zh-CN" w:bidi="ar-EG"/>
        </w:rPr>
        <w:t>ومع ذلك، يتم النظر في نطاقات تردد جديدة على المستوى الإقليمي من أجل مزيد من تطوير أنظمة النقل الذكية، فضلاً عن التطب</w:t>
      </w:r>
      <w:r w:rsidR="00572D98">
        <w:rPr>
          <w:rFonts w:hint="cs"/>
          <w:rtl/>
          <w:lang w:eastAsia="zh-CN" w:bidi="ar-EG"/>
        </w:rPr>
        <w:t>يقات المتزايدة قيد التطوير حالي</w:t>
      </w:r>
      <w:r>
        <w:rPr>
          <w:rFonts w:hint="cs"/>
          <w:rtl/>
          <w:lang w:eastAsia="zh-CN" w:bidi="ar-EG"/>
        </w:rPr>
        <w:t>ا</w:t>
      </w:r>
      <w:r w:rsidR="00572D98">
        <w:rPr>
          <w:rFonts w:hint="cs"/>
          <w:rtl/>
          <w:lang w:eastAsia="zh-CN" w:bidi="ar-EG"/>
        </w:rPr>
        <w:t>ً</w:t>
      </w:r>
      <w:r>
        <w:rPr>
          <w:rFonts w:hint="cs"/>
          <w:rtl/>
          <w:lang w:eastAsia="zh-CN" w:bidi="ar-EG"/>
        </w:rPr>
        <w:t>. ويتعين أن يستمر العمل في قطاع الاتصالات الراديوية في التطور بالتوازي مع هذه التطورات.</w:t>
      </w:r>
    </w:p>
    <w:p w14:paraId="279C969B" w14:textId="481C3ACC" w:rsidR="001D1A37" w:rsidRDefault="001D1A37" w:rsidP="001D1A37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2E9BF599" w14:textId="768F2E5E" w:rsidR="00E74D61" w:rsidRDefault="008B06AC" w:rsidP="00572D98">
      <w:pPr>
        <w:rPr>
          <w:rtl/>
          <w:lang w:bidi="ar-EG"/>
        </w:rPr>
      </w:pPr>
      <w:r>
        <w:rPr>
          <w:rFonts w:hint="cs"/>
          <w:rtl/>
        </w:rPr>
        <w:t>ك</w:t>
      </w:r>
      <w:r w:rsidR="00C74D4E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3C4B">
        <w:rPr>
          <w:rFonts w:hint="cs"/>
          <w:rtl/>
        </w:rPr>
        <w:t>ّ</w:t>
      </w:r>
      <w:r>
        <w:rPr>
          <w:rFonts w:hint="cs"/>
          <w:rtl/>
        </w:rPr>
        <w:t xml:space="preserve">فت فرقة العمل </w:t>
      </w:r>
      <w:r>
        <w:rPr>
          <w:lang w:bidi="ar-EG"/>
        </w:rPr>
        <w:t>5A</w:t>
      </w:r>
      <w:r>
        <w:rPr>
          <w:rFonts w:hint="cs"/>
          <w:rtl/>
          <w:lang w:bidi="ar-EG"/>
        </w:rPr>
        <w:t xml:space="preserve"> بقطاع الاتصالات الراديوية </w:t>
      </w:r>
      <w:r w:rsidR="00572D98">
        <w:rPr>
          <w:rFonts w:hint="cs"/>
          <w:rtl/>
        </w:rPr>
        <w:t>بإعداد</w:t>
      </w:r>
      <w:r>
        <w:rPr>
          <w:rFonts w:hint="cs"/>
          <w:rtl/>
          <w:lang w:bidi="ar-EG"/>
        </w:rPr>
        <w:t xml:space="preserve"> مشروع نص </w:t>
      </w:r>
      <w:r w:rsidR="00C74D4E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لاجتماع التحضيري للمؤتمر و</w:t>
      </w:r>
      <w:r w:rsidR="00C74D4E">
        <w:rPr>
          <w:rFonts w:hint="cs"/>
          <w:rtl/>
          <w:lang w:bidi="ar-EG"/>
        </w:rPr>
        <w:t xml:space="preserve">نواتج أخرى صادرة عن القطاع فيما يتعلق بالبند </w:t>
      </w:r>
      <w:r w:rsidR="00C74D4E">
        <w:rPr>
          <w:lang w:bidi="ar-EG"/>
        </w:rPr>
        <w:t>12.1</w:t>
      </w:r>
      <w:r w:rsidR="00C74D4E">
        <w:rPr>
          <w:rFonts w:hint="cs"/>
          <w:rtl/>
          <w:lang w:bidi="ar-EG"/>
        </w:rPr>
        <w:t xml:space="preserve"> من جدول أعمال المؤتمر العالمي للاتصالات الراديوية لعام </w:t>
      </w:r>
      <w:r w:rsidR="00C74D4E">
        <w:rPr>
          <w:lang w:bidi="ar-EG"/>
        </w:rPr>
        <w:t>2019</w:t>
      </w:r>
      <w:r w:rsidR="00C74D4E">
        <w:rPr>
          <w:rFonts w:hint="cs"/>
          <w:rtl/>
          <w:lang w:bidi="ar-EG"/>
        </w:rPr>
        <w:t xml:space="preserve"> </w:t>
      </w:r>
      <w:r w:rsidR="00572D98">
        <w:rPr>
          <w:lang w:bidi="ar-EG"/>
        </w:rPr>
        <w:t>(</w:t>
      </w:r>
      <w:r w:rsidR="00C74D4E">
        <w:rPr>
          <w:lang w:bidi="ar-EG"/>
        </w:rPr>
        <w:t>WRC-19</w:t>
      </w:r>
      <w:r w:rsidR="00572D98">
        <w:rPr>
          <w:lang w:bidi="ar-EG"/>
        </w:rPr>
        <w:t>)</w:t>
      </w:r>
      <w:r w:rsidR="00C74D4E">
        <w:rPr>
          <w:rFonts w:hint="cs"/>
          <w:rtl/>
          <w:lang w:bidi="ar-EG"/>
        </w:rPr>
        <w:t>. وخلال الدورة الثانية للا</w:t>
      </w:r>
      <w:r w:rsidR="00572D98">
        <w:rPr>
          <w:rFonts w:hint="cs"/>
          <w:rtl/>
          <w:lang w:bidi="ar-EG"/>
        </w:rPr>
        <w:t>جتماع التحضيري للمؤتمر بدا واضح</w:t>
      </w:r>
      <w:r w:rsidR="00C74D4E">
        <w:rPr>
          <w:rFonts w:hint="cs"/>
          <w:rtl/>
          <w:lang w:bidi="ar-EG"/>
        </w:rPr>
        <w:t>ا</w:t>
      </w:r>
      <w:r w:rsidR="00572D98">
        <w:rPr>
          <w:rFonts w:hint="cs"/>
          <w:rtl/>
          <w:lang w:bidi="ar-EG"/>
        </w:rPr>
        <w:t>ً</w:t>
      </w:r>
      <w:r w:rsidR="00C74D4E">
        <w:rPr>
          <w:rFonts w:hint="cs"/>
          <w:rtl/>
          <w:lang w:bidi="ar-EG"/>
        </w:rPr>
        <w:t xml:space="preserve"> </w:t>
      </w:r>
      <w:r w:rsidR="00572D98">
        <w:rPr>
          <w:rFonts w:hint="cs"/>
          <w:rtl/>
          <w:lang w:bidi="ar-EG"/>
        </w:rPr>
        <w:t>أن من الضروري</w:t>
      </w:r>
      <w:r w:rsidR="00C74D4E">
        <w:rPr>
          <w:rFonts w:hint="cs"/>
          <w:rtl/>
          <w:lang w:bidi="ar-EG"/>
        </w:rPr>
        <w:t xml:space="preserve"> السماح بتطور أنظمة النقل الذكية وإيجاد حلول تتسم بالمرونة. وفي هذا الصدد، </w:t>
      </w:r>
      <w:r w:rsidR="00836212">
        <w:rPr>
          <w:rFonts w:hint="cs"/>
          <w:rtl/>
          <w:lang w:bidi="ar-EG"/>
        </w:rPr>
        <w:t xml:space="preserve">ستستمر </w:t>
      </w:r>
      <w:r w:rsidR="00C74D4E">
        <w:rPr>
          <w:rFonts w:hint="cs"/>
          <w:rtl/>
          <w:lang w:bidi="ar-EG"/>
        </w:rPr>
        <w:t xml:space="preserve">الدراسات </w:t>
      </w:r>
      <w:r w:rsidR="00572D98">
        <w:rPr>
          <w:rFonts w:hint="cs"/>
          <w:rtl/>
          <w:lang w:bidi="ar-EG"/>
        </w:rPr>
        <w:t>جنب</w:t>
      </w:r>
      <w:r w:rsidR="00836212">
        <w:rPr>
          <w:rFonts w:hint="cs"/>
          <w:rtl/>
          <w:lang w:bidi="ar-EG"/>
        </w:rPr>
        <w:t>ا</w:t>
      </w:r>
      <w:r w:rsidR="00572D98">
        <w:rPr>
          <w:rFonts w:hint="cs"/>
          <w:rtl/>
          <w:lang w:bidi="ar-EG"/>
        </w:rPr>
        <w:t>ً</w:t>
      </w:r>
      <w:r w:rsidR="00836212">
        <w:rPr>
          <w:rFonts w:hint="cs"/>
          <w:rtl/>
          <w:lang w:bidi="ar-EG"/>
        </w:rPr>
        <w:t xml:space="preserve"> إلى جنب مع </w:t>
      </w:r>
      <w:r w:rsidR="00572D98">
        <w:rPr>
          <w:rFonts w:hint="cs"/>
          <w:rtl/>
          <w:lang w:bidi="ar-EG"/>
        </w:rPr>
        <w:t xml:space="preserve">استمرار </w:t>
      </w:r>
      <w:r w:rsidR="00836212">
        <w:rPr>
          <w:rFonts w:hint="cs"/>
          <w:rtl/>
          <w:lang w:bidi="ar-EG"/>
        </w:rPr>
        <w:t>تطور أنظمة النقل الذكية و</w:t>
      </w:r>
      <w:r w:rsidR="00572D98">
        <w:rPr>
          <w:rFonts w:hint="cs"/>
          <w:rtl/>
          <w:lang w:bidi="ar-EG"/>
        </w:rPr>
        <w:t xml:space="preserve">النظر في </w:t>
      </w:r>
      <w:r w:rsidR="00836212">
        <w:rPr>
          <w:rFonts w:hint="cs"/>
          <w:rtl/>
          <w:lang w:bidi="ar-EG"/>
        </w:rPr>
        <w:t>نطاقات التردد الجديدة. ويتعين استمرار نواتج قطاع الاتصالات الراديوية في التطور مع تقديم الإرشادات العملية لإدارات الاتحاد و</w:t>
      </w:r>
      <w:r w:rsidR="00572D98">
        <w:rPr>
          <w:rFonts w:hint="cs"/>
          <w:rtl/>
          <w:lang w:bidi="ar-EG"/>
        </w:rPr>
        <w:t>اليقين التنظيمي للمورّدين</w:t>
      </w:r>
      <w:r w:rsidR="00572D98">
        <w:rPr>
          <w:rFonts w:hint="eastAsia"/>
          <w:rtl/>
          <w:lang w:bidi="ar-EG"/>
        </w:rPr>
        <w:t> </w:t>
      </w:r>
      <w:r w:rsidR="001054AA">
        <w:rPr>
          <w:rFonts w:hint="cs"/>
          <w:rtl/>
          <w:lang w:bidi="ar-EG"/>
        </w:rPr>
        <w:t>والمشغلين.</w:t>
      </w:r>
    </w:p>
    <w:p w14:paraId="533B328E" w14:textId="1BD5308D" w:rsidR="00341D04" w:rsidRDefault="00E74D61" w:rsidP="00E74D61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216C8CC8" w14:textId="6B0AAC8C" w:rsidR="00E74D61" w:rsidRPr="00341D04" w:rsidRDefault="001054AA" w:rsidP="00E03C4B">
      <w:pPr>
        <w:rPr>
          <w:lang w:bidi="ar-EG"/>
        </w:rPr>
      </w:pPr>
      <w:r>
        <w:rPr>
          <w:rFonts w:hint="cs"/>
          <w:rtl/>
          <w:lang w:bidi="ar-EG"/>
        </w:rPr>
        <w:t xml:space="preserve">تقترح </w:t>
      </w:r>
      <w:r w:rsidRPr="0039650B">
        <w:rPr>
          <w:rtl/>
          <w:lang w:val="en-GB"/>
        </w:rPr>
        <w:t>بلدان المؤتمر الأوروبي لإدارات البريد والاتصالات</w:t>
      </w:r>
      <w:r>
        <w:rPr>
          <w:rFonts w:hint="cs"/>
          <w:rtl/>
          <w:lang w:val="en-GB"/>
        </w:rPr>
        <w:t xml:space="preserve"> </w:t>
      </w:r>
      <w:r w:rsidR="00EE5FB0">
        <w:rPr>
          <w:rFonts w:hint="cs"/>
          <w:rtl/>
          <w:lang w:val="en-GB"/>
        </w:rPr>
        <w:t xml:space="preserve">النظر في قرار جديد </w:t>
      </w:r>
      <w:r w:rsidR="00E03C4B">
        <w:rPr>
          <w:rFonts w:hint="cs"/>
          <w:rtl/>
          <w:lang w:val="en-GB"/>
        </w:rPr>
        <w:t>ل</w:t>
      </w:r>
      <w:r w:rsidR="00EE5FB0">
        <w:rPr>
          <w:rFonts w:hint="cs"/>
          <w:rtl/>
          <w:lang w:val="en-GB"/>
        </w:rPr>
        <w:t>قطاع الاتصالات الراديوية حسب المبين أدناه.</w:t>
      </w:r>
    </w:p>
    <w:p w14:paraId="0A573008" w14:textId="1C081D2B" w:rsidR="00E74D61" w:rsidRDefault="001D1A37" w:rsidP="001D1A37">
      <w:pPr>
        <w:pStyle w:val="Proposal"/>
      </w:pPr>
      <w:r>
        <w:lastRenderedPageBreak/>
        <w:t>ADD</w:t>
      </w:r>
      <w:r>
        <w:tab/>
      </w:r>
      <w:r w:rsidRPr="001D1A37">
        <w:rPr>
          <w:lang w:val="en-GB"/>
        </w:rPr>
        <w:t>EUR/XX/1</w:t>
      </w:r>
    </w:p>
    <w:p w14:paraId="62026767" w14:textId="3B2CB045" w:rsidR="001D1A37" w:rsidRDefault="001D1A37" w:rsidP="001D1A37">
      <w:pPr>
        <w:pStyle w:val="ResNo"/>
        <w:rPr>
          <w:rtl/>
        </w:rPr>
      </w:pPr>
      <w:r>
        <w:rPr>
          <w:rFonts w:hint="cs"/>
          <w:rtl/>
        </w:rPr>
        <w:t xml:space="preserve">مشروع </w:t>
      </w:r>
      <w:r w:rsidR="00C47648">
        <w:rPr>
          <w:rFonts w:hint="cs"/>
          <w:rtl/>
        </w:rPr>
        <w:t>القرار الجديد</w:t>
      </w:r>
      <w:r>
        <w:rPr>
          <w:rFonts w:hint="cs"/>
          <w:rtl/>
        </w:rPr>
        <w:t xml:space="preserve"> </w:t>
      </w:r>
      <w:r w:rsidRPr="001D1A37">
        <w:rPr>
          <w:lang w:val="en-GB"/>
        </w:rPr>
        <w:t>ITU-R [ITS]</w:t>
      </w:r>
    </w:p>
    <w:p w14:paraId="4DAC2E34" w14:textId="3F884F45" w:rsidR="00E74D61" w:rsidRDefault="00EE5FB0" w:rsidP="00E03C4B">
      <w:pPr>
        <w:pStyle w:val="Restitle"/>
        <w:rPr>
          <w:rtl/>
          <w:lang w:bidi="ar-EG"/>
        </w:rPr>
      </w:pPr>
      <w:r>
        <w:rPr>
          <w:rFonts w:hint="cs"/>
          <w:rtl/>
          <w:lang w:bidi="ar-EG"/>
        </w:rPr>
        <w:t xml:space="preserve">الدراسات المتعلقة </w:t>
      </w:r>
      <w:r w:rsidR="00E03C4B">
        <w:rPr>
          <w:rFonts w:hint="cs"/>
          <w:rtl/>
          <w:lang w:bidi="ar-EG"/>
        </w:rPr>
        <w:t>بمواصلة</w:t>
      </w:r>
      <w:r>
        <w:rPr>
          <w:rFonts w:hint="cs"/>
          <w:rtl/>
          <w:lang w:bidi="ar-EG"/>
        </w:rPr>
        <w:t xml:space="preserve"> تطوير أنظمة النقل الذكية</w:t>
      </w:r>
    </w:p>
    <w:p w14:paraId="07D1A794" w14:textId="35E7ABC2" w:rsidR="001D1A37" w:rsidRDefault="001D1A37" w:rsidP="001D1A37">
      <w:pPr>
        <w:pStyle w:val="Resdate"/>
        <w:rPr>
          <w:lang w:val="en-US"/>
        </w:rPr>
      </w:pPr>
      <w:r>
        <w:rPr>
          <w:lang w:val="en-US"/>
        </w:rPr>
        <w:t>(2019)</w:t>
      </w:r>
    </w:p>
    <w:p w14:paraId="13B4F956" w14:textId="7B199FEB" w:rsidR="001D1A37" w:rsidRDefault="001D1A37" w:rsidP="001D1A37">
      <w:pPr>
        <w:pStyle w:val="Normalaftertitle"/>
        <w:rPr>
          <w:rtl/>
          <w:lang w:bidi="ar-EG"/>
        </w:rPr>
      </w:pPr>
      <w:r w:rsidRPr="001D1A37">
        <w:rPr>
          <w:rtl/>
          <w:lang w:bidi="ar-SY"/>
        </w:rPr>
        <w:t>إن جمعية الاتصالات الراديوية للاتحاد الدولي للاتصالات</w:t>
      </w:r>
      <w:r>
        <w:rPr>
          <w:rFonts w:hint="cs"/>
          <w:rtl/>
          <w:lang w:bidi="ar-EG"/>
        </w:rPr>
        <w:t>،</w:t>
      </w:r>
    </w:p>
    <w:p w14:paraId="2118ECB7" w14:textId="568AAF51" w:rsidR="001D1A37" w:rsidRDefault="001D1A37" w:rsidP="001D1A37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إذ تضع في اعتبارها</w:t>
      </w:r>
    </w:p>
    <w:p w14:paraId="21749FC7" w14:textId="2B13B378" w:rsidR="001D1A37" w:rsidRDefault="001D1A37" w:rsidP="00E03C4B">
      <w:pPr>
        <w:rPr>
          <w:rtl/>
          <w:lang w:bidi="ar-EG"/>
        </w:rPr>
      </w:pPr>
      <w:r w:rsidRPr="001D1A37">
        <w:rPr>
          <w:rFonts w:hint="cs"/>
          <w:i/>
          <w:iCs/>
          <w:rtl/>
          <w:lang w:bidi="ar-EG"/>
        </w:rPr>
        <w:t xml:space="preserve"> </w:t>
      </w:r>
      <w:proofErr w:type="gramStart"/>
      <w:r w:rsidRPr="001D1A37">
        <w:rPr>
          <w:rFonts w:hint="cs"/>
          <w:i/>
          <w:iCs/>
          <w:rtl/>
          <w:lang w:bidi="ar-EG"/>
        </w:rPr>
        <w:t>أ )</w:t>
      </w:r>
      <w:proofErr w:type="gramEnd"/>
      <w:r>
        <w:rPr>
          <w:i/>
          <w:iCs/>
          <w:rtl/>
          <w:lang w:bidi="ar-EG"/>
        </w:rPr>
        <w:tab/>
      </w:r>
      <w:r w:rsidR="00E03C4B">
        <w:rPr>
          <w:rFonts w:hint="cs"/>
          <w:rtl/>
          <w:lang w:bidi="ar-EG"/>
        </w:rPr>
        <w:t>أن جمعية الاتصالات الراديوية للاتحاد</w:t>
      </w:r>
      <w:r w:rsidR="00EE5FB0">
        <w:rPr>
          <w:rFonts w:hint="cs"/>
          <w:rtl/>
          <w:lang w:bidi="ar-EG"/>
        </w:rPr>
        <w:t xml:space="preserve"> الدولي للاتصالات قد وافقت على </w:t>
      </w:r>
      <w:r w:rsidRPr="001D1A37">
        <w:rPr>
          <w:rFonts w:hint="cs"/>
          <w:rtl/>
          <w:lang w:bidi="ar-EG"/>
        </w:rPr>
        <w:t>المسألة</w:t>
      </w:r>
      <w:r w:rsidRPr="001D1A37">
        <w:rPr>
          <w:lang w:val="en-GB" w:bidi="ar-EG"/>
        </w:rPr>
        <w:t>ITU</w:t>
      </w:r>
      <w:r w:rsidRPr="001D1A37">
        <w:rPr>
          <w:lang w:val="en-GB" w:bidi="ar-EG"/>
        </w:rPr>
        <w:noBreakHyphen/>
        <w:t>R 205-5/5</w:t>
      </w:r>
      <w:r w:rsidRPr="001D1A37">
        <w:rPr>
          <w:i/>
          <w:iCs/>
          <w:lang w:val="en-GB" w:bidi="ar-EG"/>
        </w:rPr>
        <w:t xml:space="preserve"> </w:t>
      </w:r>
      <w:r w:rsidR="00EE5FB0">
        <w:rPr>
          <w:rFonts w:hint="cs"/>
          <w:rtl/>
          <w:lang w:bidi="ar-EG"/>
        </w:rPr>
        <w:t xml:space="preserve"> </w:t>
      </w:r>
      <w:r w:rsidR="00E03C4B">
        <w:rPr>
          <w:rFonts w:hint="cs"/>
          <w:rtl/>
          <w:lang w:bidi="ar-EG"/>
        </w:rPr>
        <w:t xml:space="preserve">بشأن </w:t>
      </w:r>
      <w:r w:rsidR="00EE5FB0">
        <w:rPr>
          <w:rFonts w:hint="cs"/>
          <w:rtl/>
          <w:lang w:bidi="ar-EG"/>
        </w:rPr>
        <w:t>"أنظمة النقل الذكية"</w:t>
      </w:r>
      <w:r w:rsidRPr="001D1A37">
        <w:rPr>
          <w:rFonts w:hint="cs"/>
          <w:rtl/>
          <w:lang w:bidi="ar-EG"/>
        </w:rPr>
        <w:t>؛</w:t>
      </w:r>
    </w:p>
    <w:p w14:paraId="1643F8DE" w14:textId="695D2CB4" w:rsidR="001D1A37" w:rsidRDefault="001D1A37" w:rsidP="001D1A37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3688F72B" w14:textId="3CCC814A" w:rsidR="001D1A37" w:rsidRDefault="001D1A37" w:rsidP="001D1A37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تدرك</w:t>
      </w:r>
    </w:p>
    <w:p w14:paraId="0C88C449" w14:textId="6ED33671" w:rsidR="001D1A37" w:rsidRDefault="001D1A37" w:rsidP="001D1A37">
      <w:pPr>
        <w:rPr>
          <w:rtl/>
          <w:lang w:bidi="ar-EG"/>
        </w:rPr>
      </w:pPr>
      <w:proofErr w:type="gramStart"/>
      <w:r w:rsidRPr="001D1A37">
        <w:rPr>
          <w:rFonts w:hint="cs"/>
          <w:i/>
          <w:iCs/>
          <w:rtl/>
          <w:lang w:bidi="ar-EG"/>
        </w:rPr>
        <w:t>أ )</w:t>
      </w:r>
      <w:proofErr w:type="gramEnd"/>
      <w:r>
        <w:rPr>
          <w:i/>
          <w:iCs/>
          <w:rtl/>
          <w:lang w:bidi="ar-EG"/>
        </w:rPr>
        <w:tab/>
      </w:r>
      <w:r w:rsidR="00191FC4">
        <w:rPr>
          <w:rFonts w:hint="cs"/>
          <w:rtl/>
          <w:lang w:bidi="ar-EG"/>
        </w:rPr>
        <w:t xml:space="preserve">أن التوصية </w:t>
      </w:r>
      <w:r w:rsidR="00191FC4">
        <w:rPr>
          <w:lang w:bidi="ar-EG"/>
        </w:rPr>
        <w:t>ITU-R M.2121</w:t>
      </w:r>
      <w:r w:rsidR="00E03C4B">
        <w:rPr>
          <w:rFonts w:hint="cs"/>
          <w:rtl/>
          <w:lang w:bidi="ar-EG"/>
        </w:rPr>
        <w:t xml:space="preserve"> ت</w:t>
      </w:r>
      <w:r w:rsidR="00191FC4">
        <w:rPr>
          <w:rFonts w:hint="cs"/>
          <w:rtl/>
          <w:lang w:bidi="ar-EG"/>
        </w:rPr>
        <w:t>صف نطاقات التردد المنسقة لأنظمة النقل الذكية في الخدمة المتنقلة</w:t>
      </w:r>
      <w:r>
        <w:rPr>
          <w:rFonts w:hint="cs"/>
          <w:rtl/>
          <w:lang w:bidi="ar-EG"/>
        </w:rPr>
        <w:t>؛</w:t>
      </w:r>
    </w:p>
    <w:p w14:paraId="5C36959F" w14:textId="629073D2" w:rsidR="001D1A37" w:rsidRDefault="001D1A37" w:rsidP="00402D80">
      <w:pPr>
        <w:rPr>
          <w:rtl/>
          <w:lang w:bidi="ar-EG"/>
        </w:rPr>
      </w:pPr>
      <w:r w:rsidRPr="00402D80">
        <w:rPr>
          <w:rFonts w:hint="cs"/>
          <w:i/>
          <w:iCs/>
          <w:rtl/>
          <w:lang w:bidi="ar-EG"/>
        </w:rPr>
        <w:t>ب)</w:t>
      </w:r>
      <w:r w:rsidRPr="00402D80">
        <w:rPr>
          <w:rtl/>
          <w:lang w:bidi="ar-EG"/>
        </w:rPr>
        <w:tab/>
      </w:r>
      <w:r w:rsidR="00191FC4" w:rsidRPr="00402D80">
        <w:rPr>
          <w:rFonts w:hint="cs"/>
          <w:rtl/>
        </w:rPr>
        <w:t xml:space="preserve">أن التقرير </w:t>
      </w:r>
      <w:r w:rsidR="00191FC4" w:rsidRPr="00402D80">
        <w:rPr>
          <w:iCs/>
          <w:lang w:val="en-GB" w:bidi="ar-EG"/>
        </w:rPr>
        <w:t>ITU-R M.2444</w:t>
      </w:r>
      <w:r w:rsidR="00191FC4" w:rsidRPr="00402D80">
        <w:rPr>
          <w:rFonts w:hint="cs"/>
          <w:i/>
          <w:rtl/>
        </w:rPr>
        <w:t xml:space="preserve"> </w:t>
      </w:r>
      <w:r w:rsidR="00191FC4" w:rsidRPr="00402D80">
        <w:rPr>
          <w:rFonts w:hint="cs"/>
          <w:rtl/>
        </w:rPr>
        <w:t xml:space="preserve">يعرض أمثلة </w:t>
      </w:r>
      <w:r w:rsidR="00191FC4" w:rsidRPr="00402D80">
        <w:rPr>
          <w:rFonts w:hint="cs"/>
          <w:rtl/>
          <w:lang w:bidi="ar-EG"/>
        </w:rPr>
        <w:t xml:space="preserve">لترتيبات </w:t>
      </w:r>
      <w:r w:rsidR="007B6039" w:rsidRPr="00402D80">
        <w:rPr>
          <w:rFonts w:hint="cs"/>
          <w:rtl/>
          <w:lang w:bidi="ar-EG"/>
        </w:rPr>
        <w:t xml:space="preserve">الترددات من أجل </w:t>
      </w:r>
      <w:r w:rsidR="00191FC4" w:rsidRPr="00402D80">
        <w:rPr>
          <w:rFonts w:hint="cs"/>
          <w:rtl/>
          <w:lang w:bidi="ar-EG"/>
        </w:rPr>
        <w:t>نشر أنظمة النقل الذكية في بعض المناطق</w:t>
      </w:r>
      <w:r w:rsidR="00402D80" w:rsidRPr="00402D80">
        <w:rPr>
          <w:rFonts w:hint="eastAsia"/>
          <w:rtl/>
          <w:lang w:bidi="ar-EG"/>
        </w:rPr>
        <w:t> </w:t>
      </w:r>
      <w:r w:rsidR="00191FC4" w:rsidRPr="00402D80">
        <w:rPr>
          <w:rFonts w:hint="cs"/>
          <w:rtl/>
          <w:lang w:bidi="ar-EG"/>
        </w:rPr>
        <w:t>والبلدان</w:t>
      </w:r>
      <w:r w:rsidRPr="00402D80">
        <w:rPr>
          <w:rFonts w:hint="cs"/>
          <w:rtl/>
          <w:lang w:bidi="ar-EG"/>
        </w:rPr>
        <w:t>؛</w:t>
      </w:r>
    </w:p>
    <w:p w14:paraId="31923480" w14:textId="34CBDA73" w:rsidR="001D1A37" w:rsidRDefault="001D1A37" w:rsidP="00E03C4B">
      <w:pPr>
        <w:rPr>
          <w:rtl/>
          <w:lang w:bidi="ar-EG"/>
        </w:rPr>
      </w:pPr>
      <w:r w:rsidRPr="001D1A37">
        <w:rPr>
          <w:rFonts w:hint="cs"/>
          <w:i/>
          <w:iCs/>
          <w:rtl/>
          <w:lang w:bidi="ar-EG"/>
        </w:rPr>
        <w:t>ج)</w:t>
      </w:r>
      <w:r>
        <w:rPr>
          <w:rtl/>
          <w:lang w:bidi="ar-EG"/>
        </w:rPr>
        <w:tab/>
      </w:r>
      <w:r w:rsidR="007B6039">
        <w:rPr>
          <w:rFonts w:hint="cs"/>
          <w:rtl/>
          <w:lang w:bidi="ar-EG"/>
        </w:rPr>
        <w:t xml:space="preserve">أن التقرير </w:t>
      </w:r>
      <w:r w:rsidR="007B6039" w:rsidRPr="00402D80">
        <w:rPr>
          <w:iCs/>
          <w:lang w:val="en-GB" w:bidi="ar-EG"/>
        </w:rPr>
        <w:t>ITU-R M.244</w:t>
      </w:r>
      <w:r w:rsidR="00E03C4B" w:rsidRPr="00402D80">
        <w:rPr>
          <w:iCs/>
          <w:lang w:val="en-GB" w:bidi="ar-EG"/>
        </w:rPr>
        <w:t>5</w:t>
      </w:r>
      <w:r w:rsidR="007B6039">
        <w:rPr>
          <w:rFonts w:hint="cs"/>
          <w:rtl/>
          <w:lang w:bidi="ar-EG"/>
        </w:rPr>
        <w:t xml:space="preserve"> يصف استخدام أنظمة النقل الذكية في الدول الأ</w:t>
      </w:r>
      <w:r w:rsidR="00E03C4B">
        <w:rPr>
          <w:rFonts w:hint="cs"/>
          <w:rtl/>
          <w:lang w:bidi="ar-EG"/>
        </w:rPr>
        <w:t>عضاء في الاتحاد</w:t>
      </w:r>
      <w:r>
        <w:rPr>
          <w:rFonts w:hint="cs"/>
          <w:rtl/>
          <w:lang w:bidi="ar-EG"/>
        </w:rPr>
        <w:t>،</w:t>
      </w:r>
    </w:p>
    <w:p w14:paraId="316D636D" w14:textId="274AF0FE" w:rsidR="001D1A37" w:rsidRDefault="001D1A37" w:rsidP="001D1A37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تقرر</w:t>
      </w:r>
    </w:p>
    <w:p w14:paraId="010C1073" w14:textId="02475745" w:rsidR="001D1A37" w:rsidRDefault="001D1A37" w:rsidP="00E03C4B">
      <w:r w:rsidRPr="00402D80">
        <w:rPr>
          <w:lang w:bidi="ar-EG"/>
        </w:rPr>
        <w:t>1</w:t>
      </w:r>
      <w:r w:rsidRPr="00402D80">
        <w:rPr>
          <w:lang w:bidi="ar-EG"/>
        </w:rPr>
        <w:tab/>
      </w:r>
      <w:r w:rsidR="00E03C4B" w:rsidRPr="00402D80">
        <w:rPr>
          <w:rFonts w:hint="cs"/>
          <w:rtl/>
          <w:lang w:bidi="ar-EG"/>
        </w:rPr>
        <w:t xml:space="preserve">مواصلة </w:t>
      </w:r>
      <w:r w:rsidR="00E03C4B" w:rsidRPr="00402D80">
        <w:rPr>
          <w:rFonts w:eastAsia="Batang"/>
          <w:rtl/>
          <w:lang w:val="en-GB" w:bidi="ar-EG"/>
        </w:rPr>
        <w:t>إجراء دراسات بشأن الحلول الم</w:t>
      </w:r>
      <w:r w:rsidR="00E03C4B" w:rsidRPr="00402D80">
        <w:rPr>
          <w:rFonts w:eastAsia="Batang" w:hint="cs"/>
          <w:rtl/>
          <w:lang w:val="en-GB" w:bidi="ar-EG"/>
        </w:rPr>
        <w:t>مكن</w:t>
      </w:r>
      <w:r w:rsidR="00887057" w:rsidRPr="00402D80">
        <w:rPr>
          <w:rFonts w:eastAsia="Batang"/>
          <w:rtl/>
          <w:lang w:val="en-GB" w:bidi="ar-EG"/>
        </w:rPr>
        <w:t xml:space="preserve">ة لتنسيق نطاقات تردد </w:t>
      </w:r>
      <w:r w:rsidR="002041DD" w:rsidRPr="00402D80">
        <w:rPr>
          <w:rFonts w:eastAsia="Batang" w:hint="cs"/>
          <w:rtl/>
          <w:lang w:val="en-GB" w:bidi="ar-EG"/>
        </w:rPr>
        <w:t xml:space="preserve">من أجل أنظمة النقل الذكية </w:t>
      </w:r>
      <w:r w:rsidR="00887057" w:rsidRPr="00402D80">
        <w:rPr>
          <w:rFonts w:eastAsia="Batang"/>
          <w:rtl/>
          <w:lang w:val="en-GB"/>
        </w:rPr>
        <w:t>على الصعيدين العالمي/الإقليمي في</w:t>
      </w:r>
      <w:r w:rsidR="00887057" w:rsidRPr="00402D80">
        <w:rPr>
          <w:rFonts w:hint="cs"/>
          <w:rtl/>
        </w:rPr>
        <w:t> </w:t>
      </w:r>
      <w:r w:rsidR="00E03C4B" w:rsidRPr="00402D80">
        <w:rPr>
          <w:rFonts w:eastAsia="Batang"/>
          <w:rtl/>
          <w:lang w:val="en-GB"/>
        </w:rPr>
        <w:t>النطاقات الموزعة بالفعل للخدم</w:t>
      </w:r>
      <w:r w:rsidR="00E03C4B" w:rsidRPr="00402D80">
        <w:rPr>
          <w:rFonts w:eastAsia="Batang" w:hint="cs"/>
          <w:rtl/>
          <w:lang w:val="en-GB"/>
        </w:rPr>
        <w:t>ة</w:t>
      </w:r>
      <w:r w:rsidR="00887057" w:rsidRPr="00402D80">
        <w:rPr>
          <w:rFonts w:eastAsia="Batang"/>
          <w:rtl/>
          <w:lang w:val="en-GB"/>
        </w:rPr>
        <w:t xml:space="preserve"> </w:t>
      </w:r>
      <w:r w:rsidR="00143573" w:rsidRPr="00402D80">
        <w:rPr>
          <w:rFonts w:eastAsia="Batang" w:hint="cs"/>
          <w:rtl/>
          <w:lang w:val="en-GB"/>
        </w:rPr>
        <w:t>المتنقلة</w:t>
      </w:r>
      <w:r w:rsidR="00E03C4B" w:rsidRPr="00402D80">
        <w:rPr>
          <w:rFonts w:eastAsia="Batang" w:hint="cs"/>
          <w:rtl/>
          <w:lang w:val="en-GB"/>
        </w:rPr>
        <w:t>،</w:t>
      </w:r>
      <w:r w:rsidR="00887057" w:rsidRPr="00402D80">
        <w:rPr>
          <w:rFonts w:eastAsia="Batang"/>
          <w:rtl/>
          <w:lang w:val="en-GB"/>
        </w:rPr>
        <w:t xml:space="preserve"> مع مراعاة ما يلي:</w:t>
      </w:r>
    </w:p>
    <w:p w14:paraId="43CFD8BC" w14:textId="1E59CDDE" w:rsidR="001D1A37" w:rsidRPr="00887057" w:rsidRDefault="001D1A37" w:rsidP="00402D80">
      <w:pPr>
        <w:pStyle w:val="enemlev1"/>
        <w:rPr>
          <w:rtl/>
        </w:rPr>
      </w:pPr>
      <w:r w:rsidRPr="00887057">
        <w:rPr>
          <w:rFonts w:hint="cs"/>
          <w:lang w:bidi="ar-EG"/>
        </w:rPr>
        <w:t>-</w:t>
      </w:r>
      <w:r w:rsidRPr="00887057">
        <w:rPr>
          <w:rFonts w:hint="cs"/>
          <w:lang w:bidi="ar-EG"/>
        </w:rPr>
        <w:tab/>
      </w:r>
      <w:r w:rsidR="002041DD">
        <w:rPr>
          <w:rFonts w:hint="cs"/>
          <w:rtl/>
          <w:lang w:bidi="ar-EG"/>
        </w:rPr>
        <w:t>التكنولوجيات الحالية والمستقبلية من أجل تعظيم كفاءة ومرونة استخدام الطيف؛</w:t>
      </w:r>
    </w:p>
    <w:p w14:paraId="38D94FD1" w14:textId="05EBA5BC" w:rsidR="001D1A37" w:rsidRDefault="0023449D" w:rsidP="00402D80">
      <w:pPr>
        <w:pStyle w:val="enemlev1"/>
        <w:rPr>
          <w:rtl/>
          <w:lang w:val="en-GB" w:bidi="ar-EG"/>
        </w:rPr>
      </w:pPr>
      <w:r w:rsidRPr="00887057">
        <w:rPr>
          <w:rFonts w:hint="cs"/>
          <w:lang w:bidi="ar-EG"/>
        </w:rPr>
        <w:t>-</w:t>
      </w:r>
      <w:r w:rsidR="001D1A37">
        <w:rPr>
          <w:lang w:bidi="ar-EG"/>
        </w:rPr>
        <w:tab/>
      </w:r>
      <w:r w:rsidR="00144880">
        <w:rPr>
          <w:rFonts w:hint="cs"/>
          <w:rtl/>
          <w:lang w:val="en-GB" w:bidi="ar-EG"/>
        </w:rPr>
        <w:t xml:space="preserve">خصائص النظام والممارسات التشغيلية </w:t>
      </w:r>
      <w:r w:rsidR="000166C3">
        <w:rPr>
          <w:rFonts w:hint="cs"/>
          <w:rtl/>
          <w:lang w:val="en-GB" w:bidi="ar-EG"/>
        </w:rPr>
        <w:t>التي</w:t>
      </w:r>
      <w:r w:rsidR="00144880">
        <w:rPr>
          <w:rFonts w:hint="cs"/>
          <w:rtl/>
          <w:lang w:val="en-GB" w:bidi="ar-EG"/>
        </w:rPr>
        <w:t xml:space="preserve"> تيس</w:t>
      </w:r>
      <w:r w:rsidR="00E03C4B">
        <w:rPr>
          <w:rFonts w:hint="cs"/>
          <w:rtl/>
          <w:lang w:val="en-GB" w:bidi="ar-EG"/>
        </w:rPr>
        <w:t>ّ</w:t>
      </w:r>
      <w:r w:rsidR="00144880">
        <w:rPr>
          <w:rFonts w:hint="cs"/>
          <w:rtl/>
          <w:lang w:val="en-GB" w:bidi="ar-EG"/>
        </w:rPr>
        <w:t>ر التنفيذ؛</w:t>
      </w:r>
    </w:p>
    <w:p w14:paraId="7D8BB898" w14:textId="780EBD3A" w:rsidR="001D1A37" w:rsidRPr="00144880" w:rsidRDefault="0023449D" w:rsidP="00402D80">
      <w:pPr>
        <w:pStyle w:val="enemlev1"/>
        <w:rPr>
          <w:lang w:bidi="ar-EG"/>
        </w:rPr>
      </w:pPr>
      <w:r w:rsidRPr="00887057">
        <w:rPr>
          <w:rFonts w:hint="cs"/>
          <w:lang w:bidi="ar-EG"/>
        </w:rPr>
        <w:t>-</w:t>
      </w:r>
      <w:r w:rsidR="001D1A37">
        <w:rPr>
          <w:lang w:bidi="ar-EG"/>
        </w:rPr>
        <w:tab/>
      </w:r>
      <w:r w:rsidR="00144880">
        <w:rPr>
          <w:rFonts w:hint="cs"/>
          <w:rtl/>
          <w:lang w:bidi="ar-EG"/>
        </w:rPr>
        <w:t>جدوى نشر تطبيقات معينة لأنظمة النقل الذكية في نطاقات تردد محددة؛</w:t>
      </w:r>
    </w:p>
    <w:p w14:paraId="064E9451" w14:textId="5C2FD359" w:rsidR="001D1A37" w:rsidRDefault="0023449D" w:rsidP="00402D80">
      <w:pPr>
        <w:pStyle w:val="enemlev1"/>
        <w:rPr>
          <w:lang w:bidi="ar-EG"/>
        </w:rPr>
      </w:pPr>
      <w:r w:rsidRPr="00887057">
        <w:rPr>
          <w:rFonts w:hint="cs"/>
          <w:lang w:bidi="ar-EG"/>
        </w:rPr>
        <w:t>-</w:t>
      </w:r>
      <w:r w:rsidR="001D1A37">
        <w:rPr>
          <w:lang w:bidi="ar-EG"/>
        </w:rPr>
        <w:tab/>
      </w:r>
      <w:r w:rsidR="00144880" w:rsidRPr="00E03C4B">
        <w:rPr>
          <w:rFonts w:hint="cs"/>
          <w:spacing w:val="-2"/>
          <w:rtl/>
          <w:lang w:bidi="ar-EG"/>
        </w:rPr>
        <w:t>نتائج الدراسات القائمة بالفعل في توصيات قطاع الاتصالات الراديوية و</w:t>
      </w:r>
      <w:r w:rsidR="00E03C4B" w:rsidRPr="00E03C4B">
        <w:rPr>
          <w:rFonts w:hint="cs"/>
          <w:spacing w:val="-2"/>
          <w:rtl/>
          <w:lang w:bidi="ar-EG"/>
        </w:rPr>
        <w:t xml:space="preserve">/أو </w:t>
      </w:r>
      <w:r w:rsidR="00144880" w:rsidRPr="00E03C4B">
        <w:rPr>
          <w:rFonts w:hint="cs"/>
          <w:spacing w:val="-2"/>
          <w:rtl/>
          <w:lang w:bidi="ar-EG"/>
        </w:rPr>
        <w:t xml:space="preserve">تقاريره </w:t>
      </w:r>
      <w:r w:rsidR="00E03C4B" w:rsidRPr="00E03C4B">
        <w:rPr>
          <w:rFonts w:hint="cs"/>
          <w:spacing w:val="-2"/>
          <w:rtl/>
          <w:lang w:bidi="ar-EG"/>
        </w:rPr>
        <w:t>(مثل المشار إليها في</w:t>
      </w:r>
      <w:r w:rsidR="00673617" w:rsidRPr="00E03C4B">
        <w:rPr>
          <w:rFonts w:hint="cs"/>
          <w:spacing w:val="-2"/>
          <w:rtl/>
          <w:lang w:bidi="ar-EG"/>
        </w:rPr>
        <w:t xml:space="preserve"> الفقرات </w:t>
      </w:r>
      <w:r w:rsidR="00673617" w:rsidRPr="00673617">
        <w:rPr>
          <w:rFonts w:hint="cs"/>
          <w:i/>
          <w:iCs/>
          <w:rtl/>
          <w:lang w:bidi="ar-EG"/>
        </w:rPr>
        <w:t>أ)</w:t>
      </w:r>
      <w:r w:rsidR="00673617">
        <w:rPr>
          <w:rFonts w:hint="cs"/>
          <w:rtl/>
          <w:lang w:bidi="ar-EG"/>
        </w:rPr>
        <w:t xml:space="preserve"> و</w:t>
      </w:r>
      <w:r w:rsidR="00673617" w:rsidRPr="00673617">
        <w:rPr>
          <w:rFonts w:hint="cs"/>
          <w:i/>
          <w:iCs/>
          <w:rtl/>
          <w:lang w:bidi="ar-EG"/>
        </w:rPr>
        <w:t>ب)</w:t>
      </w:r>
      <w:r w:rsidR="00673617">
        <w:rPr>
          <w:rFonts w:hint="cs"/>
          <w:rtl/>
          <w:lang w:bidi="ar-EG"/>
        </w:rPr>
        <w:t xml:space="preserve"> </w:t>
      </w:r>
      <w:proofErr w:type="spellStart"/>
      <w:r w:rsidR="00673617">
        <w:rPr>
          <w:rFonts w:hint="cs"/>
          <w:rtl/>
          <w:lang w:bidi="ar-EG"/>
        </w:rPr>
        <w:t>و</w:t>
      </w:r>
      <w:r w:rsidR="00673617" w:rsidRPr="00673617">
        <w:rPr>
          <w:rFonts w:hint="cs"/>
          <w:i/>
          <w:iCs/>
          <w:rtl/>
          <w:lang w:bidi="ar-EG"/>
        </w:rPr>
        <w:t>ج</w:t>
      </w:r>
      <w:proofErr w:type="spellEnd"/>
      <w:r w:rsidR="00673617" w:rsidRPr="00673617">
        <w:rPr>
          <w:rFonts w:hint="cs"/>
          <w:i/>
          <w:iCs/>
          <w:rtl/>
          <w:lang w:bidi="ar-EG"/>
        </w:rPr>
        <w:t>)</w:t>
      </w:r>
      <w:r w:rsidR="00673617">
        <w:rPr>
          <w:rFonts w:hint="cs"/>
          <w:rtl/>
          <w:lang w:bidi="ar-EG"/>
        </w:rPr>
        <w:t xml:space="preserve"> من </w:t>
      </w:r>
      <w:r w:rsidR="00673617" w:rsidRPr="00673617">
        <w:rPr>
          <w:rFonts w:hint="cs"/>
          <w:i/>
          <w:iCs/>
          <w:rtl/>
          <w:lang w:bidi="ar-EG"/>
        </w:rPr>
        <w:t>"</w:t>
      </w:r>
      <w:r w:rsidR="0038326F">
        <w:rPr>
          <w:rFonts w:hint="cs"/>
          <w:i/>
          <w:iCs/>
          <w:rtl/>
          <w:lang w:bidi="ar-EG"/>
        </w:rPr>
        <w:t>و</w:t>
      </w:r>
      <w:r w:rsidR="00673617" w:rsidRPr="00673617">
        <w:rPr>
          <w:rFonts w:hint="cs"/>
          <w:i/>
          <w:iCs/>
          <w:rtl/>
          <w:lang w:bidi="ar-EG"/>
        </w:rPr>
        <w:t>إذ تدرك</w:t>
      </w:r>
      <w:proofErr w:type="gramStart"/>
      <w:r w:rsidR="00673617" w:rsidRPr="00673617">
        <w:rPr>
          <w:rFonts w:hint="cs"/>
          <w:i/>
          <w:iCs/>
          <w:rtl/>
          <w:lang w:bidi="ar-EG"/>
        </w:rPr>
        <w:t>"</w:t>
      </w:r>
      <w:r w:rsidR="00673617">
        <w:rPr>
          <w:rFonts w:hint="cs"/>
          <w:rtl/>
          <w:lang w:bidi="ar-EG"/>
        </w:rPr>
        <w:t>)،</w:t>
      </w:r>
      <w:proofErr w:type="gramEnd"/>
      <w:r w:rsidR="00673617">
        <w:rPr>
          <w:rFonts w:hint="cs"/>
          <w:rtl/>
          <w:lang w:bidi="ar-EG"/>
        </w:rPr>
        <w:t xml:space="preserve"> حسب ا</w:t>
      </w:r>
      <w:r w:rsidR="00402D80">
        <w:rPr>
          <w:rFonts w:hint="cs"/>
          <w:rtl/>
          <w:lang w:bidi="ar-EG"/>
        </w:rPr>
        <w:t>لاقتضاء</w:t>
      </w:r>
      <w:r w:rsidR="00E46647">
        <w:rPr>
          <w:rFonts w:hint="cs"/>
          <w:rtl/>
          <w:lang w:bidi="ar-EG"/>
        </w:rPr>
        <w:t>؛</w:t>
      </w:r>
    </w:p>
    <w:p w14:paraId="01670990" w14:textId="6A4FE7E5" w:rsidR="001D1A37" w:rsidRDefault="001D1A37" w:rsidP="00E03C4B">
      <w:pPr>
        <w:rPr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E03C4B">
        <w:rPr>
          <w:rFonts w:hint="cs"/>
          <w:rtl/>
          <w:lang w:bidi="ar-EG"/>
        </w:rPr>
        <w:t>مراجعة</w:t>
      </w:r>
      <w:r w:rsidR="00673617">
        <w:rPr>
          <w:rFonts w:hint="cs"/>
          <w:rtl/>
          <w:lang w:bidi="ar-EG"/>
        </w:rPr>
        <w:t xml:space="preserve"> التوصيات و</w:t>
      </w:r>
      <w:r w:rsidR="00402D80">
        <w:rPr>
          <w:rFonts w:hint="cs"/>
          <w:rtl/>
          <w:lang w:bidi="ar-EG"/>
        </w:rPr>
        <w:t>/</w:t>
      </w:r>
      <w:r w:rsidR="00E423F7">
        <w:rPr>
          <w:rFonts w:hint="cs"/>
          <w:rtl/>
          <w:lang w:bidi="ar-EG"/>
        </w:rPr>
        <w:t xml:space="preserve">أو </w:t>
      </w:r>
      <w:r w:rsidR="00673617">
        <w:rPr>
          <w:rFonts w:hint="cs"/>
          <w:rtl/>
          <w:lang w:bidi="ar-EG"/>
        </w:rPr>
        <w:t xml:space="preserve">التقارير القائمة الصادرة عن قطاع الاتصالات الراديوية، </w:t>
      </w:r>
      <w:r w:rsidR="00E03C4B">
        <w:rPr>
          <w:rFonts w:hint="cs"/>
          <w:rtl/>
          <w:lang w:bidi="ar-EG"/>
        </w:rPr>
        <w:t>و/أو إعداد</w:t>
      </w:r>
      <w:r w:rsidR="00673617">
        <w:rPr>
          <w:rFonts w:hint="cs"/>
          <w:rtl/>
          <w:lang w:bidi="ar-EG"/>
        </w:rPr>
        <w:t xml:space="preserve"> </w:t>
      </w:r>
      <w:r w:rsidR="00402D80">
        <w:rPr>
          <w:rFonts w:hint="cs"/>
          <w:rtl/>
          <w:lang w:bidi="ar-EG"/>
        </w:rPr>
        <w:t>توصيات و/</w:t>
      </w:r>
      <w:r w:rsidR="00E423F7">
        <w:rPr>
          <w:rFonts w:hint="cs"/>
          <w:rtl/>
          <w:lang w:bidi="ar-EG"/>
        </w:rPr>
        <w:t>أو تقارير جديدة</w:t>
      </w:r>
      <w:r w:rsidR="00E03C4B">
        <w:rPr>
          <w:rFonts w:hint="cs"/>
          <w:rtl/>
          <w:lang w:bidi="ar-EG"/>
        </w:rPr>
        <w:t xml:space="preserve"> </w:t>
      </w:r>
      <w:r w:rsidR="00E423F7">
        <w:rPr>
          <w:rFonts w:hint="cs"/>
          <w:rtl/>
          <w:lang w:bidi="ar-EG"/>
        </w:rPr>
        <w:t>بناء</w:t>
      </w:r>
      <w:r w:rsidR="00E03C4B">
        <w:rPr>
          <w:rFonts w:hint="cs"/>
          <w:rtl/>
          <w:lang w:bidi="ar-EG"/>
        </w:rPr>
        <w:t>ً</w:t>
      </w:r>
      <w:r w:rsidR="00E423F7">
        <w:rPr>
          <w:rFonts w:hint="cs"/>
          <w:rtl/>
          <w:lang w:bidi="ar-EG"/>
        </w:rPr>
        <w:t xml:space="preserve"> على الدراسات السابق ذكرها، حسب الاقتضاء</w:t>
      </w:r>
      <w:r w:rsidR="00E46647">
        <w:rPr>
          <w:rFonts w:hint="cs"/>
          <w:rtl/>
          <w:lang w:bidi="ar-EG"/>
        </w:rPr>
        <w:t>،</w:t>
      </w:r>
    </w:p>
    <w:p w14:paraId="3E66955E" w14:textId="59641BD1" w:rsidR="001D1A37" w:rsidRDefault="001D1A37" w:rsidP="001D1A37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تدعو الدول الأعضاء</w:t>
      </w:r>
    </w:p>
    <w:p w14:paraId="708BFA8A" w14:textId="5537F15B" w:rsidR="001D1A37" w:rsidRPr="00671ED9" w:rsidRDefault="00E423F7" w:rsidP="00402D80">
      <w:pPr>
        <w:rPr>
          <w:spacing w:val="-2"/>
          <w:rtl/>
          <w:lang w:bidi="ar-EG"/>
        </w:rPr>
      </w:pPr>
      <w:r w:rsidRPr="00671ED9">
        <w:rPr>
          <w:rFonts w:hint="cs"/>
          <w:spacing w:val="-2"/>
          <w:rtl/>
          <w:lang w:bidi="ar-EG"/>
        </w:rPr>
        <w:t>إلى النظر في</w:t>
      </w:r>
      <w:r w:rsidR="00E03C4B" w:rsidRPr="00671ED9">
        <w:rPr>
          <w:rFonts w:hint="cs"/>
          <w:spacing w:val="-2"/>
          <w:rtl/>
          <w:lang w:bidi="ar-EG"/>
        </w:rPr>
        <w:t xml:space="preserve"> نتائج</w:t>
      </w:r>
      <w:r w:rsidRPr="00671ED9">
        <w:rPr>
          <w:rFonts w:hint="cs"/>
          <w:spacing w:val="-2"/>
          <w:rtl/>
          <w:lang w:bidi="ar-EG"/>
        </w:rPr>
        <w:t xml:space="preserve"> الدراسات بغية اتخاذ الإجراءات اللازمة فيما </w:t>
      </w:r>
      <w:r w:rsidR="00E03C4B" w:rsidRPr="00671ED9">
        <w:rPr>
          <w:rFonts w:hint="cs"/>
          <w:spacing w:val="-2"/>
          <w:rtl/>
          <w:lang w:bidi="ar-EG"/>
        </w:rPr>
        <w:t>يتعلق بلوائح</w:t>
      </w:r>
      <w:r w:rsidRPr="00671ED9">
        <w:rPr>
          <w:rFonts w:hint="cs"/>
          <w:spacing w:val="-2"/>
          <w:rtl/>
          <w:lang w:bidi="ar-EG"/>
        </w:rPr>
        <w:t>ها الوطنية من أجل أنظمة النقل الذكية، حسب</w:t>
      </w:r>
      <w:r w:rsidR="00402D80" w:rsidRPr="00671ED9">
        <w:rPr>
          <w:rFonts w:hint="eastAsia"/>
          <w:spacing w:val="-2"/>
          <w:rtl/>
          <w:lang w:bidi="ar-EG"/>
        </w:rPr>
        <w:t> </w:t>
      </w:r>
      <w:r w:rsidRPr="00671ED9">
        <w:rPr>
          <w:rFonts w:hint="cs"/>
          <w:spacing w:val="-2"/>
          <w:rtl/>
          <w:lang w:bidi="ar-EG"/>
        </w:rPr>
        <w:t>الاقتضاء</w:t>
      </w:r>
      <w:r w:rsidR="001D1A37" w:rsidRPr="00671ED9">
        <w:rPr>
          <w:rFonts w:hint="cs"/>
          <w:spacing w:val="-2"/>
          <w:rtl/>
          <w:lang w:bidi="ar-EG"/>
        </w:rPr>
        <w:t>،</w:t>
      </w:r>
    </w:p>
    <w:p w14:paraId="3A7C30B1" w14:textId="3D5DF080" w:rsidR="001D1A37" w:rsidRDefault="001D1A37" w:rsidP="001D1A37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 xml:space="preserve">تدعو الدول الأعضاء </w:t>
      </w:r>
      <w:r w:rsidR="00312003">
        <w:rPr>
          <w:rFonts w:hint="cs"/>
          <w:rtl/>
          <w:lang w:bidi="ar-EG"/>
        </w:rPr>
        <w:t>وأعضاء القطاعات</w:t>
      </w:r>
    </w:p>
    <w:p w14:paraId="4E1FBD06" w14:textId="207A9EDC" w:rsidR="001D1A37" w:rsidRDefault="00830B6C" w:rsidP="00E03C4B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إلى المشاركة </w:t>
      </w:r>
      <w:r w:rsidR="00E03C4B">
        <w:rPr>
          <w:rFonts w:hint="cs"/>
          <w:rtl/>
          <w:lang w:bidi="ar-EG"/>
        </w:rPr>
        <w:t>بنشاط</w:t>
      </w:r>
      <w:r>
        <w:rPr>
          <w:rFonts w:hint="cs"/>
          <w:rtl/>
          <w:lang w:bidi="ar-EG"/>
        </w:rPr>
        <w:t xml:space="preserve"> في الدراسات عن طريق تقديم المساهمات إلى قطاع الاتصالات الراديوية</w:t>
      </w:r>
      <w:r w:rsidR="001D1A37">
        <w:rPr>
          <w:rFonts w:hint="cs"/>
          <w:rtl/>
          <w:lang w:bidi="ar-EG"/>
        </w:rPr>
        <w:t>،</w:t>
      </w:r>
    </w:p>
    <w:p w14:paraId="0F9E39B8" w14:textId="437507EA" w:rsidR="001D1A37" w:rsidRDefault="001D1A37" w:rsidP="001D1A37">
      <w:pPr>
        <w:pStyle w:val="Call"/>
        <w:rPr>
          <w:rtl/>
        </w:rPr>
      </w:pPr>
      <w:r w:rsidRPr="00402D80">
        <w:rPr>
          <w:rFonts w:hint="cs"/>
          <w:rtl/>
          <w:lang w:bidi="ar-EG"/>
        </w:rPr>
        <w:lastRenderedPageBreak/>
        <w:t xml:space="preserve">تدعو </w:t>
      </w:r>
      <w:r w:rsidR="00830B6C" w:rsidRPr="00402D80">
        <w:rPr>
          <w:rFonts w:hint="cs"/>
          <w:rtl/>
        </w:rPr>
        <w:t xml:space="preserve">قطاع </w:t>
      </w:r>
      <w:r w:rsidRPr="00402D80">
        <w:rPr>
          <w:rFonts w:hint="cs"/>
          <w:rtl/>
        </w:rPr>
        <w:t>الاتصالات الراديوية</w:t>
      </w:r>
    </w:p>
    <w:p w14:paraId="5A1E1EE7" w14:textId="028C42F1" w:rsidR="001D1A37" w:rsidRPr="001D1A37" w:rsidRDefault="00830B6C" w:rsidP="00E03C4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إلى تعزيز </w:t>
      </w:r>
      <w:r w:rsidR="00E03C4B">
        <w:rPr>
          <w:rFonts w:hint="cs"/>
          <w:rtl/>
          <w:lang w:bidi="ar-EG"/>
        </w:rPr>
        <w:t xml:space="preserve">ومواصلة </w:t>
      </w:r>
      <w:r>
        <w:rPr>
          <w:rFonts w:hint="cs"/>
          <w:rtl/>
          <w:lang w:bidi="ar-EG"/>
        </w:rPr>
        <w:t>التبادل المستمر للمعلومات بشأن أنظمة النقل الذكية بين أعضاء قطاع الاتصالات الراديوية والمنظمات الأخرى، وفق</w:t>
      </w:r>
      <w:r w:rsidR="00E46647">
        <w:rPr>
          <w:rFonts w:hint="cs"/>
          <w:rtl/>
          <w:lang w:bidi="ar-EG"/>
        </w:rPr>
        <w:t>اً</w:t>
      </w:r>
      <w:r>
        <w:rPr>
          <w:rFonts w:hint="cs"/>
          <w:rtl/>
          <w:lang w:bidi="ar-EG"/>
        </w:rPr>
        <w:t xml:space="preserve"> للقرار 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</w:t>
      </w:r>
      <w:r w:rsidR="00E03C4B">
        <w:rPr>
          <w:rFonts w:hint="cs"/>
          <w:rtl/>
          <w:lang w:bidi="ar-EG"/>
        </w:rPr>
        <w:t>لقطاع</w:t>
      </w:r>
      <w:r>
        <w:rPr>
          <w:rFonts w:hint="cs"/>
          <w:rtl/>
          <w:lang w:bidi="ar-EG"/>
        </w:rPr>
        <w:t xml:space="preserve"> الاتصالات الراديوية.</w:t>
      </w:r>
    </w:p>
    <w:p w14:paraId="3C623CD8" w14:textId="53279610" w:rsidR="006A640D" w:rsidRDefault="00324B4F" w:rsidP="00324B4F">
      <w:pPr>
        <w:spacing w:before="600"/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___________</w:t>
      </w:r>
      <w:bookmarkStart w:id="1" w:name="_GoBack"/>
      <w:bookmarkEnd w:id="1"/>
    </w:p>
    <w:sectPr w:rsidR="006A640D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0FF82" w14:textId="77777777" w:rsidR="00186367" w:rsidRDefault="00186367" w:rsidP="002919E1">
      <w:r>
        <w:separator/>
      </w:r>
    </w:p>
    <w:p w14:paraId="7826C868" w14:textId="77777777" w:rsidR="00186367" w:rsidRDefault="00186367" w:rsidP="002919E1"/>
    <w:p w14:paraId="02E3481A" w14:textId="77777777" w:rsidR="00186367" w:rsidRDefault="00186367" w:rsidP="002919E1"/>
    <w:p w14:paraId="6451CCE8" w14:textId="77777777" w:rsidR="00186367" w:rsidRDefault="00186367"/>
  </w:endnote>
  <w:endnote w:type="continuationSeparator" w:id="0">
    <w:p w14:paraId="6D8987AD" w14:textId="77777777" w:rsidR="00186367" w:rsidRDefault="00186367" w:rsidP="002919E1">
      <w:r>
        <w:continuationSeparator/>
      </w:r>
    </w:p>
    <w:p w14:paraId="5026F8F3" w14:textId="77777777" w:rsidR="00186367" w:rsidRDefault="00186367" w:rsidP="002919E1"/>
    <w:p w14:paraId="02295AEC" w14:textId="77777777" w:rsidR="00186367" w:rsidRDefault="00186367" w:rsidP="002919E1"/>
    <w:p w14:paraId="0791BEA5" w14:textId="77777777" w:rsidR="00186367" w:rsidRDefault="00186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F18EF" w14:textId="70252401" w:rsidR="006A640D" w:rsidRPr="00402D80" w:rsidRDefault="00C86728" w:rsidP="00C86728">
    <w:pPr>
      <w:pStyle w:val="Footer"/>
      <w:tabs>
        <w:tab w:val="clear" w:pos="1134"/>
        <w:tab w:val="clear" w:pos="1871"/>
        <w:tab w:val="clear" w:pos="2268"/>
        <w:tab w:val="clear" w:pos="5812"/>
        <w:tab w:val="left" w:pos="6030"/>
      </w:tabs>
      <w:rPr>
        <w:lang w:val="es-ES"/>
      </w:rPr>
    </w:pPr>
    <w:r>
      <w:fldChar w:fldCharType="begin"/>
    </w:r>
    <w:r w:rsidRPr="00402D80">
      <w:rPr>
        <w:lang w:val="es-ES"/>
      </w:rPr>
      <w:instrText xml:space="preserve"> FILENAME \p \* MERGEFORMAT </w:instrText>
    </w:r>
    <w:r>
      <w:fldChar w:fldCharType="separate"/>
    </w:r>
    <w:r w:rsidR="00A14B18">
      <w:rPr>
        <w:noProof/>
        <w:lang w:val="es-ES"/>
      </w:rPr>
      <w:t>P:\ARA\ITU-R\CONF-R\AR19\PLEN\000\028ADD03A.docx</w:t>
    </w:r>
    <w:r>
      <w:fldChar w:fldCharType="end"/>
    </w:r>
    <w:r w:rsidRPr="00402D80">
      <w:rPr>
        <w:lang w:val="es-ES"/>
      </w:rPr>
      <w:t xml:space="preserve">   (461629)</w:t>
    </w:r>
    <w:r w:rsidRPr="00402D8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14B18">
      <w:rPr>
        <w:noProof/>
      </w:rPr>
      <w:t>15.10.19</w:t>
    </w:r>
    <w:r w:rsidRPr="00B12661">
      <w:fldChar w:fldCharType="end"/>
    </w:r>
    <w:r w:rsidRPr="00402D8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14B18">
      <w:rPr>
        <w:noProof/>
      </w:rPr>
      <w:t>15.10.19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22BE5" w14:textId="3A9C0307" w:rsidR="00281F5F" w:rsidRPr="003D203A" w:rsidRDefault="00281F5F" w:rsidP="00E7512D">
    <w:pPr>
      <w:pStyle w:val="Footer"/>
      <w:tabs>
        <w:tab w:val="clear" w:pos="1134"/>
        <w:tab w:val="clear" w:pos="1871"/>
        <w:tab w:val="clear" w:pos="2268"/>
        <w:tab w:val="clear" w:pos="5812"/>
        <w:tab w:val="left" w:pos="6030"/>
      </w:tabs>
      <w:rPr>
        <w:lang w:val="es-ES"/>
      </w:rPr>
    </w:pPr>
    <w:r>
      <w:fldChar w:fldCharType="begin"/>
    </w:r>
    <w:r w:rsidRPr="003D203A">
      <w:rPr>
        <w:lang w:val="es-ES"/>
      </w:rPr>
      <w:instrText xml:space="preserve"> FILENAME \p \* MERGEFORMAT </w:instrText>
    </w:r>
    <w:r>
      <w:fldChar w:fldCharType="separate"/>
    </w:r>
    <w:r w:rsidR="003E37F4">
      <w:rPr>
        <w:noProof/>
        <w:lang w:val="es-ES"/>
      </w:rPr>
      <w:t>P:\ARA\ITU-R\CONF-R\AR19\PLEN\000\028ADD03A.docx</w:t>
    </w:r>
    <w:r>
      <w:fldChar w:fldCharType="end"/>
    </w:r>
    <w:r w:rsidRPr="003D203A">
      <w:rPr>
        <w:lang w:val="es-ES"/>
      </w:rPr>
      <w:t xml:space="preserve">   (</w:t>
    </w:r>
    <w:r w:rsidR="00C86728" w:rsidRPr="003D203A">
      <w:rPr>
        <w:lang w:val="es-ES"/>
      </w:rPr>
      <w:t>461629</w:t>
    </w:r>
    <w:r w:rsidRPr="003D203A">
      <w:rPr>
        <w:lang w:val="es-ES"/>
      </w:rPr>
      <w:t>)</w:t>
    </w:r>
    <w:r w:rsidRPr="003D203A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8326F">
      <w:rPr>
        <w:noProof/>
      </w:rPr>
      <w:t>15.10.19</w:t>
    </w:r>
    <w:r w:rsidRPr="00B12661">
      <w:fldChar w:fldCharType="end"/>
    </w:r>
    <w:r w:rsidRPr="003D203A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E37F4">
      <w:rPr>
        <w:noProof/>
      </w:rPr>
      <w:t>15.10.19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281DD" w14:textId="77777777" w:rsidR="00186367" w:rsidRDefault="00186367" w:rsidP="002919E1">
      <w:r>
        <w:t>___________________</w:t>
      </w:r>
    </w:p>
  </w:footnote>
  <w:footnote w:type="continuationSeparator" w:id="0">
    <w:p w14:paraId="1BCA331F" w14:textId="77777777" w:rsidR="00186367" w:rsidRDefault="00186367" w:rsidP="002919E1">
      <w:r>
        <w:continuationSeparator/>
      </w:r>
    </w:p>
    <w:p w14:paraId="3717EA9A" w14:textId="77777777" w:rsidR="00186367" w:rsidRDefault="00186367" w:rsidP="002919E1"/>
    <w:p w14:paraId="2B8FF495" w14:textId="77777777" w:rsidR="00186367" w:rsidRDefault="00186367" w:rsidP="002919E1"/>
    <w:p w14:paraId="4CA6BB6A" w14:textId="77777777" w:rsidR="00186367" w:rsidRDefault="001863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8BEF" w14:textId="77777777" w:rsidR="00281F5F" w:rsidRDefault="00281F5F" w:rsidP="002919E1"/>
  <w:p w14:paraId="044D3BA6" w14:textId="77777777" w:rsidR="00281F5F" w:rsidRDefault="00281F5F" w:rsidP="002919E1"/>
  <w:p w14:paraId="21F6116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50C96" w14:textId="5637FE4B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D203A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BD67C0">
      <w:rPr>
        <w:rStyle w:val="PageNumber"/>
      </w:rPr>
      <w:t>/PLEN</w:t>
    </w:r>
    <w:r w:rsidR="00A809E8">
      <w:rPr>
        <w:rStyle w:val="PageNumber"/>
      </w:rPr>
      <w:t>/</w:t>
    </w:r>
    <w:r w:rsidR="00353792">
      <w:rPr>
        <w:rStyle w:val="PageNumber"/>
        <w:rFonts w:hint="cs"/>
        <w:rtl/>
      </w:rPr>
      <w:t>2</w:t>
    </w:r>
    <w:r w:rsidR="00C86728">
      <w:rPr>
        <w:rStyle w:val="PageNumber"/>
      </w:rPr>
      <w:t>8</w:t>
    </w:r>
    <w:r w:rsidR="003D203A">
      <w:rPr>
        <w:rStyle w:val="PageNumber"/>
      </w:rPr>
      <w:t>(Add.3)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67"/>
    <w:rsid w:val="00001AE5"/>
    <w:rsid w:val="00007A32"/>
    <w:rsid w:val="00011021"/>
    <w:rsid w:val="000114EC"/>
    <w:rsid w:val="00011F8C"/>
    <w:rsid w:val="000166C3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054AA"/>
    <w:rsid w:val="00143573"/>
    <w:rsid w:val="00144880"/>
    <w:rsid w:val="001464F2"/>
    <w:rsid w:val="00167364"/>
    <w:rsid w:val="00186367"/>
    <w:rsid w:val="001903B2"/>
    <w:rsid w:val="00191FC4"/>
    <w:rsid w:val="001D1A37"/>
    <w:rsid w:val="001E190C"/>
    <w:rsid w:val="001E51EE"/>
    <w:rsid w:val="001E54F6"/>
    <w:rsid w:val="001E5A8C"/>
    <w:rsid w:val="00201A0A"/>
    <w:rsid w:val="002041DD"/>
    <w:rsid w:val="002075D4"/>
    <w:rsid w:val="00211B2A"/>
    <w:rsid w:val="002333A0"/>
    <w:rsid w:val="0023449D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12003"/>
    <w:rsid w:val="00324B4F"/>
    <w:rsid w:val="0033737F"/>
    <w:rsid w:val="00341D04"/>
    <w:rsid w:val="00353652"/>
    <w:rsid w:val="00353792"/>
    <w:rsid w:val="003569E1"/>
    <w:rsid w:val="003815E2"/>
    <w:rsid w:val="00381FAD"/>
    <w:rsid w:val="00382A66"/>
    <w:rsid w:val="0038326F"/>
    <w:rsid w:val="003923B1"/>
    <w:rsid w:val="0039650B"/>
    <w:rsid w:val="003965FE"/>
    <w:rsid w:val="003B27AD"/>
    <w:rsid w:val="003B4F23"/>
    <w:rsid w:val="003C12F6"/>
    <w:rsid w:val="003C3A13"/>
    <w:rsid w:val="003D203A"/>
    <w:rsid w:val="003E02EF"/>
    <w:rsid w:val="003E1D90"/>
    <w:rsid w:val="003E37F4"/>
    <w:rsid w:val="00400CD4"/>
    <w:rsid w:val="00402D80"/>
    <w:rsid w:val="004147B9"/>
    <w:rsid w:val="00422C04"/>
    <w:rsid w:val="00426144"/>
    <w:rsid w:val="00430E25"/>
    <w:rsid w:val="0043105E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2D98"/>
    <w:rsid w:val="00575B42"/>
    <w:rsid w:val="00576D0A"/>
    <w:rsid w:val="00576FCC"/>
    <w:rsid w:val="00584333"/>
    <w:rsid w:val="005953EC"/>
    <w:rsid w:val="005B00A1"/>
    <w:rsid w:val="005C25A5"/>
    <w:rsid w:val="005C29C8"/>
    <w:rsid w:val="005C5D25"/>
    <w:rsid w:val="005D6D48"/>
    <w:rsid w:val="005D72A4"/>
    <w:rsid w:val="005F05CC"/>
    <w:rsid w:val="005F65DE"/>
    <w:rsid w:val="00613492"/>
    <w:rsid w:val="006264E6"/>
    <w:rsid w:val="006315B5"/>
    <w:rsid w:val="00642F92"/>
    <w:rsid w:val="0065562F"/>
    <w:rsid w:val="00671ED9"/>
    <w:rsid w:val="00673617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2AA0"/>
    <w:rsid w:val="007A0802"/>
    <w:rsid w:val="007B1FCA"/>
    <w:rsid w:val="007B6039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B6C"/>
    <w:rsid w:val="00830D96"/>
    <w:rsid w:val="00836212"/>
    <w:rsid w:val="0085569D"/>
    <w:rsid w:val="00855B59"/>
    <w:rsid w:val="0085774F"/>
    <w:rsid w:val="008657CB"/>
    <w:rsid w:val="0088384B"/>
    <w:rsid w:val="00887057"/>
    <w:rsid w:val="00893E53"/>
    <w:rsid w:val="008A1137"/>
    <w:rsid w:val="008A1788"/>
    <w:rsid w:val="008A3E57"/>
    <w:rsid w:val="008A4185"/>
    <w:rsid w:val="008A6552"/>
    <w:rsid w:val="008B06AC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062EF"/>
    <w:rsid w:val="00951718"/>
    <w:rsid w:val="00960962"/>
    <w:rsid w:val="00972CE0"/>
    <w:rsid w:val="00980DEB"/>
    <w:rsid w:val="009A3D30"/>
    <w:rsid w:val="009D6348"/>
    <w:rsid w:val="009E613F"/>
    <w:rsid w:val="009F042B"/>
    <w:rsid w:val="00A03FD6"/>
    <w:rsid w:val="00A116A8"/>
    <w:rsid w:val="00A14B18"/>
    <w:rsid w:val="00A22AE9"/>
    <w:rsid w:val="00A26758"/>
    <w:rsid w:val="00A26D0E"/>
    <w:rsid w:val="00A278E9"/>
    <w:rsid w:val="00A3451F"/>
    <w:rsid w:val="00A36268"/>
    <w:rsid w:val="00A375BD"/>
    <w:rsid w:val="00A40B2C"/>
    <w:rsid w:val="00A4469C"/>
    <w:rsid w:val="00A66D2B"/>
    <w:rsid w:val="00A809E8"/>
    <w:rsid w:val="00A870AD"/>
    <w:rsid w:val="00A90843"/>
    <w:rsid w:val="00A9645C"/>
    <w:rsid w:val="00AB2A33"/>
    <w:rsid w:val="00AB6FDE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25C61"/>
    <w:rsid w:val="00B357E9"/>
    <w:rsid w:val="00B365D2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7C0"/>
    <w:rsid w:val="00BD6EF3"/>
    <w:rsid w:val="00BE69C3"/>
    <w:rsid w:val="00C1165E"/>
    <w:rsid w:val="00C22074"/>
    <w:rsid w:val="00C2377B"/>
    <w:rsid w:val="00C3693C"/>
    <w:rsid w:val="00C375EF"/>
    <w:rsid w:val="00C47648"/>
    <w:rsid w:val="00C53F6F"/>
    <w:rsid w:val="00C5489D"/>
    <w:rsid w:val="00C71759"/>
    <w:rsid w:val="00C74D4E"/>
    <w:rsid w:val="00C8199C"/>
    <w:rsid w:val="00C84112"/>
    <w:rsid w:val="00C841EB"/>
    <w:rsid w:val="00C8665F"/>
    <w:rsid w:val="00C86728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2DA6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97EAD"/>
    <w:rsid w:val="00DA1AE0"/>
    <w:rsid w:val="00DC29DD"/>
    <w:rsid w:val="00DC7C0E"/>
    <w:rsid w:val="00DF2A6A"/>
    <w:rsid w:val="00DF3B72"/>
    <w:rsid w:val="00E03C4B"/>
    <w:rsid w:val="00E10821"/>
    <w:rsid w:val="00E2489D"/>
    <w:rsid w:val="00E258A8"/>
    <w:rsid w:val="00E26520"/>
    <w:rsid w:val="00E343A3"/>
    <w:rsid w:val="00E423F7"/>
    <w:rsid w:val="00E46647"/>
    <w:rsid w:val="00E51BFA"/>
    <w:rsid w:val="00E621A3"/>
    <w:rsid w:val="00E74D61"/>
    <w:rsid w:val="00E7512D"/>
    <w:rsid w:val="00E833BC"/>
    <w:rsid w:val="00E8580E"/>
    <w:rsid w:val="00E92729"/>
    <w:rsid w:val="00EA1B76"/>
    <w:rsid w:val="00EA4199"/>
    <w:rsid w:val="00EA77D7"/>
    <w:rsid w:val="00EC09B9"/>
    <w:rsid w:val="00ED048C"/>
    <w:rsid w:val="00EE5FB0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1487"/>
    <w:rsid w:val="00F25B80"/>
    <w:rsid w:val="00F2685F"/>
    <w:rsid w:val="00F33A34"/>
    <w:rsid w:val="00F350C8"/>
    <w:rsid w:val="00F43FEB"/>
    <w:rsid w:val="00F5583F"/>
    <w:rsid w:val="00F825A2"/>
    <w:rsid w:val="00F84613"/>
    <w:rsid w:val="00F8654D"/>
    <w:rsid w:val="00F900C9"/>
    <w:rsid w:val="00F92C96"/>
    <w:rsid w:val="00FA0D4E"/>
    <w:rsid w:val="00FB0753"/>
    <w:rsid w:val="00FB5CC8"/>
    <w:rsid w:val="00FB7EEC"/>
    <w:rsid w:val="00FC2CD0"/>
    <w:rsid w:val="00FD0594"/>
    <w:rsid w:val="00FF35F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8517CF5"/>
  <w15:docId w15:val="{DD28B43C-AEF1-487E-BDFF-EE0C21F9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057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"/>
    <w:basedOn w:val="DefaultParagraphFont"/>
    <w:qFormat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emlev1">
    <w:name w:val="enemlev1"/>
    <w:basedOn w:val="Normal"/>
    <w:rsid w:val="00A4469C"/>
    <w:pPr>
      <w:ind w:left="1138" w:hanging="1138"/>
    </w:pPr>
    <w:rPr>
      <w:rFonts w:ascii="Traditional Arabic" w:hAnsi="Traditional Arabic"/>
      <w:sz w:val="30"/>
    </w:rPr>
  </w:style>
  <w:style w:type="paragraph" w:customStyle="1" w:styleId="enumlev2">
    <w:name w:val="enumlev2"/>
    <w:basedOn w:val="Normal"/>
    <w:next w:val="Normal"/>
    <w:link w:val="enumlev2Char"/>
    <w:qFormat/>
    <w:rsid w:val="00A4469C"/>
    <w:pPr>
      <w:tabs>
        <w:tab w:val="clear" w:pos="2268"/>
        <w:tab w:val="left" w:pos="2608"/>
        <w:tab w:val="left" w:pos="3345"/>
      </w:tabs>
      <w:spacing w:before="80"/>
      <w:ind w:left="1871" w:hanging="737"/>
    </w:pPr>
  </w:style>
  <w:style w:type="character" w:customStyle="1" w:styleId="enumlev2Char">
    <w:name w:val="enumlev2 Char"/>
    <w:basedOn w:val="DefaultParagraphFont"/>
    <w:link w:val="enumlev2"/>
    <w:rsid w:val="00A4469C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character" w:styleId="Hyperlink">
    <w:name w:val="Hyperlink"/>
    <w:basedOn w:val="DefaultParagraphFont"/>
    <w:unhideWhenUsed/>
    <w:rsid w:val="0035379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792"/>
    <w:rPr>
      <w:color w:val="605E5C"/>
      <w:shd w:val="clear" w:color="auto" w:fill="E1DFDD"/>
    </w:rPr>
  </w:style>
  <w:style w:type="paragraph" w:customStyle="1" w:styleId="Recref">
    <w:name w:val="Rec_ref"/>
    <w:basedOn w:val="Normal"/>
    <w:next w:val="Recdate"/>
    <w:semiHidden/>
    <w:rsid w:val="00E92729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cdate">
    <w:name w:val="Rec_date"/>
    <w:basedOn w:val="Normal"/>
    <w:next w:val="Normal"/>
    <w:rsid w:val="00E92729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HeadingSum">
    <w:name w:val="Heading_Sum"/>
    <w:basedOn w:val="Normal"/>
    <w:next w:val="Normal"/>
    <w:rsid w:val="00E92729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180"/>
      <w:textAlignment w:val="baseline"/>
    </w:pPr>
    <w:rPr>
      <w:rFonts w:ascii="Times New Roman Bold" w:hAnsi="Times New Roman Bold"/>
      <w:b/>
      <w:bCs/>
      <w:lang w:eastAsia="fr-FR"/>
    </w:rPr>
  </w:style>
  <w:style w:type="paragraph" w:customStyle="1" w:styleId="SectionNo0">
    <w:name w:val="Section No"/>
    <w:basedOn w:val="Normal"/>
    <w:qFormat/>
    <w:rsid w:val="00324B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Sectiontitle">
    <w:name w:val="Section title"/>
    <w:basedOn w:val="Normal"/>
    <w:qFormat/>
    <w:rsid w:val="00324B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Footnotetexte">
    <w:name w:val="Footnote texte"/>
    <w:basedOn w:val="Normal"/>
    <w:qFormat/>
    <w:rsid w:val="00E74D61"/>
    <w:pPr>
      <w:tabs>
        <w:tab w:val="clear" w:pos="1134"/>
        <w:tab w:val="clear" w:pos="1871"/>
        <w:tab w:val="clear" w:pos="2268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88705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870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C4C3-DC4A-4907-A9BB-98121FAC99D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http://purl.org/dc/terms/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78A0DF-74A1-45D8-B469-AC9AE474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567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Aly, Abdullah</dc:creator>
  <cp:keywords>WRC-12</cp:keywords>
  <cp:lastModifiedBy>Arabic</cp:lastModifiedBy>
  <cp:revision>11</cp:revision>
  <cp:lastPrinted>2019-10-15T07:07:00Z</cp:lastPrinted>
  <dcterms:created xsi:type="dcterms:W3CDTF">2019-10-14T14:22:00Z</dcterms:created>
  <dcterms:modified xsi:type="dcterms:W3CDTF">2019-10-15T08:08:00Z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