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14:paraId="209A8C4C" w14:textId="77777777">
        <w:trPr>
          <w:cantSplit/>
        </w:trPr>
        <w:tc>
          <w:tcPr>
            <w:tcW w:w="6345" w:type="dxa"/>
          </w:tcPr>
          <w:p w14:paraId="1EB03DB6" w14:textId="77777777" w:rsidR="00E307F2" w:rsidRPr="00C63EB5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(AR-19)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22505D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21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6A3C2669" w14:textId="77777777" w:rsidR="00E307F2" w:rsidRDefault="00E307F2" w:rsidP="005335D1">
            <w:pPr>
              <w:spacing w:line="240" w:lineRule="atLeast"/>
              <w:jc w:val="righ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2E4ABD1" wp14:editId="39A04359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617BE4" w14:paraId="3E629C9C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640506A4" w14:textId="77777777" w:rsidR="00E307F2" w:rsidRPr="00617BE4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2FDCA2E9" w14:textId="77777777" w:rsidR="00E307F2" w:rsidRPr="00617BE4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C324A8" w14:paraId="37AB5EF4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681EEFF3" w14:textId="77777777" w:rsidR="00E307F2" w:rsidRPr="00C324A8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05E830F8" w14:textId="77777777" w:rsidR="00E307F2" w:rsidRPr="00C324A8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C324A8" w14:paraId="1BD29F77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059E7E7F" w14:textId="2F312B1D" w:rsidR="00BA3DBD" w:rsidRPr="00C324A8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686" w:type="dxa"/>
          </w:tcPr>
          <w:p w14:paraId="2C678E80" w14:textId="3ECEA5F9" w:rsidR="00E307F2" w:rsidRPr="00C324A8" w:rsidRDefault="008F1F0B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Addéndum 2 al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22505D">
              <w:rPr>
                <w:rFonts w:ascii="Verdana" w:hAnsi="Verdana"/>
                <w:b/>
                <w:sz w:val="20"/>
              </w:rPr>
              <w:t>Documento RA19/</w:t>
            </w:r>
            <w:r w:rsidR="00302DCD">
              <w:rPr>
                <w:rFonts w:ascii="Verdana" w:hAnsi="Verdana"/>
                <w:b/>
                <w:sz w:val="20"/>
              </w:rPr>
              <w:t>PLEN/28</w:t>
            </w:r>
            <w:r w:rsidR="0022505D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C324A8" w14:paraId="342BFE58" w14:textId="77777777">
        <w:trPr>
          <w:cantSplit/>
          <w:trHeight w:val="23"/>
        </w:trPr>
        <w:tc>
          <w:tcPr>
            <w:tcW w:w="6345" w:type="dxa"/>
            <w:vMerge/>
          </w:tcPr>
          <w:p w14:paraId="7A3C5F56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79224E8A" w14:textId="77777777" w:rsidR="00E307F2" w:rsidRPr="00C324A8" w:rsidRDefault="006861D8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30</w:t>
            </w:r>
            <w:r w:rsidR="0022505D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septiembre</w:t>
            </w:r>
            <w:r w:rsidR="0022505D">
              <w:rPr>
                <w:rFonts w:ascii="Verdana" w:hAnsi="Verdana"/>
                <w:b/>
                <w:sz w:val="20"/>
              </w:rPr>
              <w:t xml:space="preserve"> de 201</w:t>
            </w:r>
            <w:r w:rsidR="00B507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C324A8" w14:paraId="3FBBDAF3" w14:textId="77777777">
        <w:trPr>
          <w:cantSplit/>
          <w:trHeight w:val="23"/>
        </w:trPr>
        <w:tc>
          <w:tcPr>
            <w:tcW w:w="6345" w:type="dxa"/>
            <w:vMerge/>
          </w:tcPr>
          <w:p w14:paraId="16C93356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3FC33B04" w14:textId="77777777" w:rsidR="00E307F2" w:rsidRPr="00C324A8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61D8" w:rsidRPr="00C324A8" w14:paraId="2C6B0F7A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24CB7598" w14:textId="22A935AE" w:rsidR="006861D8" w:rsidRPr="005A20FC" w:rsidRDefault="006861D8" w:rsidP="006861D8">
            <w:pPr>
              <w:pStyle w:val="Source"/>
              <w:rPr>
                <w:lang w:val="es-ES"/>
              </w:rPr>
            </w:pPr>
            <w:r w:rsidRPr="005A20FC">
              <w:rPr>
                <w:lang w:val="es-ES"/>
              </w:rPr>
              <w:t xml:space="preserve">Propuesta </w:t>
            </w:r>
            <w:r w:rsidR="0049390B" w:rsidRPr="005A20FC">
              <w:rPr>
                <w:lang w:val="es-ES"/>
              </w:rPr>
              <w:t>Común Europea</w:t>
            </w:r>
          </w:p>
        </w:tc>
      </w:tr>
      <w:tr w:rsidR="006861D8" w:rsidRPr="00C324A8" w14:paraId="2E11C8C5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223D8B32" w14:textId="77777777" w:rsidR="006861D8" w:rsidRPr="005A20FC" w:rsidRDefault="006861D8" w:rsidP="006861D8">
            <w:pPr>
              <w:pStyle w:val="Title1"/>
              <w:rPr>
                <w:lang w:val="es-ES"/>
              </w:rPr>
            </w:pPr>
            <w:r w:rsidRPr="005A20FC">
              <w:rPr>
                <w:lang w:val="es-ES"/>
              </w:rPr>
              <w:t>PROPUESTA PARA LOS TRABAJOS DE LA ASAMBLEA</w:t>
            </w:r>
          </w:p>
        </w:tc>
      </w:tr>
      <w:tr w:rsidR="006861D8" w:rsidRPr="006861D8" w14:paraId="440E826F" w14:textId="77777777" w:rsidTr="00E70ED4">
        <w:trPr>
          <w:cantSplit/>
        </w:trPr>
        <w:tc>
          <w:tcPr>
            <w:tcW w:w="10031" w:type="dxa"/>
            <w:gridSpan w:val="2"/>
          </w:tcPr>
          <w:p w14:paraId="7B4FEB9B" w14:textId="7AE7DA1C" w:rsidR="006861D8" w:rsidRPr="006861D8" w:rsidRDefault="00302DCD" w:rsidP="006861D8">
            <w:pPr>
              <w:pStyle w:val="Title2"/>
              <w:rPr>
                <w:lang w:val="es-ES"/>
              </w:rPr>
            </w:pPr>
            <w:r w:rsidRPr="006861D8">
              <w:rPr>
                <w:lang w:val="es-ES"/>
              </w:rPr>
              <w:t>NUEVA RESOLUCIÓN UIT-R [RSTT]</w:t>
            </w:r>
          </w:p>
        </w:tc>
      </w:tr>
    </w:tbl>
    <w:p w14:paraId="33D37EC0" w14:textId="77777777" w:rsidR="006861D8" w:rsidRPr="005A20FC" w:rsidRDefault="006861D8" w:rsidP="006861D8">
      <w:pPr>
        <w:pStyle w:val="Headingb"/>
        <w:rPr>
          <w:lang w:val="es-ES"/>
        </w:rPr>
      </w:pPr>
      <w:bookmarkStart w:id="0" w:name="_Toc451865291"/>
      <w:r w:rsidRPr="005A20FC">
        <w:rPr>
          <w:lang w:val="es-ES"/>
        </w:rPr>
        <w:t>Introducción</w:t>
      </w:r>
    </w:p>
    <w:p w14:paraId="53B24A04" w14:textId="33176642" w:rsidR="006861D8" w:rsidRPr="005A20FC" w:rsidRDefault="006861D8" w:rsidP="001A121D">
      <w:pPr>
        <w:rPr>
          <w:lang w:val="es-ES" w:eastAsia="zh-CN"/>
        </w:rPr>
      </w:pPr>
      <w:r w:rsidRPr="005A20FC">
        <w:rPr>
          <w:lang w:val="es-ES" w:eastAsia="zh-CN"/>
        </w:rPr>
        <w:t xml:space="preserve">En la CEPT se han </w:t>
      </w:r>
      <w:r>
        <w:rPr>
          <w:lang w:val="es-ES" w:eastAsia="zh-CN"/>
        </w:rPr>
        <w:t>analizado</w:t>
      </w:r>
      <w:r w:rsidRPr="005A20FC">
        <w:rPr>
          <w:lang w:val="es-ES" w:eastAsia="zh-CN"/>
        </w:rPr>
        <w:t xml:space="preserve"> en detalle los resultados de los estudios sobre RSTT en el UIT-R (Grupo</w:t>
      </w:r>
      <w:r w:rsidR="00C7086B">
        <w:rPr>
          <w:lang w:val="es-ES" w:eastAsia="zh-CN"/>
        </w:rPr>
        <w:t> </w:t>
      </w:r>
      <w:r w:rsidRPr="005A20FC">
        <w:rPr>
          <w:lang w:val="es-ES" w:eastAsia="zh-CN"/>
        </w:rPr>
        <w:t>de Trabajo 5A y RPC19-2) así como las consideraciones de otros grupos regionales relativos a las cuestiones prácticas del punto 1.11 del orden del día de la CMR-19.</w:t>
      </w:r>
    </w:p>
    <w:p w14:paraId="79CE531E" w14:textId="23BAC30D" w:rsidR="006861D8" w:rsidRPr="005A20FC" w:rsidRDefault="006861D8" w:rsidP="001A121D">
      <w:pPr>
        <w:rPr>
          <w:lang w:val="es-ES" w:eastAsia="zh-CN"/>
        </w:rPr>
      </w:pPr>
      <w:r w:rsidRPr="005A20FC">
        <w:rPr>
          <w:lang w:val="es-ES" w:eastAsia="zh-CN"/>
        </w:rPr>
        <w:t xml:space="preserve">Se ha observado que el trabajo </w:t>
      </w:r>
      <w:r>
        <w:rPr>
          <w:lang w:val="es-ES" w:eastAsia="zh-CN"/>
        </w:rPr>
        <w:t>general</w:t>
      </w:r>
      <w:r w:rsidRPr="005A20FC">
        <w:rPr>
          <w:lang w:val="es-ES" w:eastAsia="zh-CN"/>
        </w:rPr>
        <w:t xml:space="preserve"> del Grupo de Trabajo 5A del UIT-R está todavía progresando y que parece poco probable que se puedan finalizar</w:t>
      </w:r>
      <w:r>
        <w:rPr>
          <w:lang w:val="es-ES" w:eastAsia="zh-CN"/>
        </w:rPr>
        <w:t>,</w:t>
      </w:r>
      <w:r w:rsidRPr="005A20FC">
        <w:rPr>
          <w:lang w:val="es-ES" w:eastAsia="zh-CN"/>
        </w:rPr>
        <w:t xml:space="preserve"> durante este ciclo de estudios</w:t>
      </w:r>
      <w:r>
        <w:rPr>
          <w:lang w:val="es-ES" w:eastAsia="zh-CN"/>
        </w:rPr>
        <w:t>,</w:t>
      </w:r>
      <w:r w:rsidRPr="005A20FC">
        <w:rPr>
          <w:lang w:val="es-ES" w:eastAsia="zh-CN"/>
        </w:rPr>
        <w:t xml:space="preserve"> todos los elementos necesarios para una implementación completa de los futuros RSTT. Por otro lado, muchos Miembros de la UIT tienen interés en estos resultados y los aspectos prácticos de su implementación.</w:t>
      </w:r>
    </w:p>
    <w:p w14:paraId="7B5793AA" w14:textId="0BB87BC4" w:rsidR="006861D8" w:rsidRPr="005A20FC" w:rsidRDefault="006861D8" w:rsidP="001A121D">
      <w:pPr>
        <w:rPr>
          <w:lang w:val="es-ES" w:eastAsia="zh-CN"/>
        </w:rPr>
      </w:pPr>
      <w:r w:rsidRPr="005A20FC">
        <w:rPr>
          <w:lang w:val="es-ES" w:eastAsia="zh-CN"/>
        </w:rPr>
        <w:t>Sin embargo, los métodos propuestos para tratar el punto 1.11 del orden del día en el Informe de la</w:t>
      </w:r>
      <w:r w:rsidR="008F1F0B">
        <w:rPr>
          <w:lang w:val="es-ES" w:eastAsia="zh-CN"/>
        </w:rPr>
        <w:t> </w:t>
      </w:r>
      <w:r w:rsidRPr="005A20FC">
        <w:rPr>
          <w:lang w:val="es-ES" w:eastAsia="zh-CN"/>
        </w:rPr>
        <w:t xml:space="preserve">RPC a la CMR-19 están centrados en la armonización reglamentaria internacional (regional y mundial) de las bandas de frecuencias específicas del servicio móvil, mientras que los aspectos de evolución de los futuros RSTT y su disponibilidad no se están </w:t>
      </w:r>
      <w:r>
        <w:rPr>
          <w:lang w:val="es-ES" w:eastAsia="zh-CN"/>
        </w:rPr>
        <w:t>tratando en profundidad</w:t>
      </w:r>
      <w:r w:rsidRPr="005A20FC">
        <w:rPr>
          <w:lang w:val="es-ES" w:eastAsia="zh-CN"/>
        </w:rPr>
        <w:t>.</w:t>
      </w:r>
    </w:p>
    <w:p w14:paraId="69C8E501" w14:textId="77777777" w:rsidR="006861D8" w:rsidRPr="005A20FC" w:rsidRDefault="006861D8" w:rsidP="006861D8">
      <w:pPr>
        <w:pStyle w:val="Headingb"/>
        <w:rPr>
          <w:lang w:val="es-ES"/>
        </w:rPr>
      </w:pPr>
      <w:r w:rsidRPr="005A20FC">
        <w:rPr>
          <w:lang w:val="es-ES"/>
        </w:rPr>
        <w:t>Antecedentes</w:t>
      </w:r>
    </w:p>
    <w:p w14:paraId="5B064821" w14:textId="192304A7" w:rsidR="006861D8" w:rsidRPr="005A20FC" w:rsidRDefault="006861D8" w:rsidP="001A121D">
      <w:pPr>
        <w:rPr>
          <w:lang w:val="es-ES" w:eastAsia="zh-CN"/>
        </w:rPr>
      </w:pPr>
      <w:r w:rsidRPr="005A20FC">
        <w:rPr>
          <w:lang w:val="es-ES" w:eastAsia="zh-CN"/>
        </w:rPr>
        <w:t>El Grupo de Trabajo 5A del UIT-R recibió e</w:t>
      </w:r>
      <w:r>
        <w:rPr>
          <w:lang w:val="es-ES" w:eastAsia="zh-CN"/>
        </w:rPr>
        <w:t>l</w:t>
      </w:r>
      <w:r w:rsidRPr="005A20FC">
        <w:rPr>
          <w:lang w:val="es-ES" w:eastAsia="zh-CN"/>
        </w:rPr>
        <w:t xml:space="preserve"> encargo de redactar el proyecto de texto de la RPC y otros productos </w:t>
      </w:r>
      <w:r>
        <w:rPr>
          <w:lang w:val="es-ES" w:eastAsia="zh-CN"/>
        </w:rPr>
        <w:t>del U</w:t>
      </w:r>
      <w:r w:rsidRPr="005A20FC">
        <w:rPr>
          <w:lang w:val="es-ES" w:eastAsia="zh-CN"/>
        </w:rPr>
        <w:t>I</w:t>
      </w:r>
      <w:r>
        <w:rPr>
          <w:lang w:val="es-ES" w:eastAsia="zh-CN"/>
        </w:rPr>
        <w:t>T</w:t>
      </w:r>
      <w:r w:rsidRPr="005A20FC">
        <w:rPr>
          <w:lang w:val="es-ES" w:eastAsia="zh-CN"/>
        </w:rPr>
        <w:t>-R relativos al punto 1.11 del orden del día de la CMR-19. Durante la RPC</w:t>
      </w:r>
      <w:bookmarkStart w:id="1" w:name="_GoBack"/>
      <w:bookmarkEnd w:id="1"/>
      <w:r w:rsidRPr="005A20FC">
        <w:rPr>
          <w:lang w:val="es-ES" w:eastAsia="zh-CN"/>
        </w:rPr>
        <w:t xml:space="preserve">19-2 se han debatido con una fuerte controversia los tres métodos, indicando que cualquier armonización de bandas de frecuencias a nivel regional o mundial, debe tener en cuenta la disponibilidad de tecnología para los fines de los RSTT. En este sentido, son necesarios </w:t>
      </w:r>
      <w:r>
        <w:rPr>
          <w:lang w:val="es-ES" w:eastAsia="zh-CN"/>
        </w:rPr>
        <w:t xml:space="preserve">más </w:t>
      </w:r>
      <w:r w:rsidRPr="005A20FC">
        <w:rPr>
          <w:lang w:val="es-ES" w:eastAsia="zh-CN"/>
        </w:rPr>
        <w:t>estudios para proporcionar unas directrices prácticas a las administraciones de la UIT y una certidumbre reglamentaria a vendedores y operadores.</w:t>
      </w:r>
    </w:p>
    <w:p w14:paraId="1B0A01FE" w14:textId="77777777" w:rsidR="006861D8" w:rsidRPr="005A20FC" w:rsidRDefault="006861D8" w:rsidP="006861D8">
      <w:pPr>
        <w:pStyle w:val="Headingb"/>
        <w:rPr>
          <w:lang w:val="es-ES"/>
        </w:rPr>
      </w:pPr>
      <w:r w:rsidRPr="005A20FC">
        <w:rPr>
          <w:lang w:val="es-ES"/>
        </w:rPr>
        <w:t>Propuesta</w:t>
      </w:r>
    </w:p>
    <w:p w14:paraId="4A408222" w14:textId="77777777" w:rsidR="001A121D" w:rsidRDefault="006861D8" w:rsidP="001A121D">
      <w:pPr>
        <w:rPr>
          <w:lang w:val="es-ES" w:eastAsia="zh-CN"/>
        </w:rPr>
      </w:pPr>
      <w:r w:rsidRPr="005A20FC">
        <w:rPr>
          <w:lang w:val="es-ES" w:eastAsia="zh-CN"/>
        </w:rPr>
        <w:t xml:space="preserve">La CEPT propone el examen de una nueva Resolución del UIT-R </w:t>
      </w:r>
      <w:r>
        <w:rPr>
          <w:lang w:val="es-ES" w:eastAsia="zh-CN"/>
        </w:rPr>
        <w:t>que</w:t>
      </w:r>
      <w:r w:rsidRPr="005A20FC">
        <w:rPr>
          <w:lang w:val="es-ES" w:eastAsia="zh-CN"/>
        </w:rPr>
        <w:t xml:space="preserve"> se describe a continuación.</w:t>
      </w:r>
    </w:p>
    <w:p w14:paraId="69FB253E" w14:textId="5F47381C" w:rsidR="006861D8" w:rsidRPr="005A20FC" w:rsidRDefault="006861D8" w:rsidP="006861D8">
      <w:pPr>
        <w:rPr>
          <w:lang w:val="es-ES"/>
        </w:rPr>
      </w:pPr>
      <w:r w:rsidRPr="005A20FC">
        <w:rPr>
          <w:lang w:val="es-ES"/>
        </w:rPr>
        <w:br w:type="page"/>
      </w:r>
    </w:p>
    <w:bookmarkEnd w:id="0"/>
    <w:p w14:paraId="62D0AFA9" w14:textId="5D83FAA1" w:rsidR="006861D8" w:rsidRPr="001A121D" w:rsidRDefault="006861D8" w:rsidP="001A121D">
      <w:pPr>
        <w:pStyle w:val="Proposal"/>
        <w:rPr>
          <w:b/>
          <w:bCs/>
        </w:rPr>
      </w:pPr>
      <w:r w:rsidRPr="001A121D">
        <w:rPr>
          <w:b/>
          <w:bCs/>
        </w:rPr>
        <w:lastRenderedPageBreak/>
        <w:t>ADD</w:t>
      </w:r>
      <w:r w:rsidRPr="001A121D">
        <w:rPr>
          <w:b/>
          <w:bCs/>
        </w:rPr>
        <w:tab/>
        <w:t>EUR/XX/1</w:t>
      </w:r>
    </w:p>
    <w:p w14:paraId="7AEFD50F" w14:textId="77777777" w:rsidR="006861D8" w:rsidRPr="005A20FC" w:rsidRDefault="006861D8" w:rsidP="006861D8">
      <w:pPr>
        <w:pStyle w:val="ResNo"/>
        <w:rPr>
          <w:lang w:val="es-ES" w:eastAsia="zh-CN"/>
        </w:rPr>
      </w:pPr>
      <w:r w:rsidRPr="005A20FC">
        <w:rPr>
          <w:lang w:val="es-ES"/>
        </w:rPr>
        <w:t>PROYECTO DE NUEVA RESOLUCIÓN UIT-R [RSTT]</w:t>
      </w:r>
    </w:p>
    <w:p w14:paraId="5DCDAB84" w14:textId="77777777" w:rsidR="006861D8" w:rsidRPr="005A20FC" w:rsidRDefault="006861D8" w:rsidP="006861D8">
      <w:pPr>
        <w:pStyle w:val="Restitle"/>
        <w:rPr>
          <w:lang w:val="es-ES"/>
        </w:rPr>
      </w:pPr>
      <w:r w:rsidRPr="005A20FC">
        <w:rPr>
          <w:lang w:val="es-ES"/>
        </w:rPr>
        <w:t xml:space="preserve">Estudios relacionados con el futuro desarrollo de los RSTT </w:t>
      </w:r>
    </w:p>
    <w:p w14:paraId="3639C597" w14:textId="77777777" w:rsidR="006861D8" w:rsidRPr="005A20FC" w:rsidRDefault="006861D8" w:rsidP="006861D8">
      <w:pPr>
        <w:pStyle w:val="Resdate"/>
        <w:rPr>
          <w:lang w:val="es-ES"/>
        </w:rPr>
      </w:pPr>
      <w:r w:rsidRPr="005A20FC">
        <w:rPr>
          <w:lang w:val="es-ES"/>
        </w:rPr>
        <w:t>(2019)</w:t>
      </w:r>
    </w:p>
    <w:p w14:paraId="615DF524" w14:textId="77777777" w:rsidR="006861D8" w:rsidRPr="005A20FC" w:rsidRDefault="006861D8" w:rsidP="006861D8">
      <w:pPr>
        <w:pStyle w:val="Normalaftertitle"/>
        <w:rPr>
          <w:lang w:val="es-ES"/>
        </w:rPr>
      </w:pPr>
      <w:r w:rsidRPr="005A20FC">
        <w:rPr>
          <w:lang w:val="es-ES"/>
        </w:rPr>
        <w:t>La Asamblea de Radiocomunicaciones de la UIT,</w:t>
      </w:r>
    </w:p>
    <w:p w14:paraId="6C924443" w14:textId="77777777" w:rsidR="006861D8" w:rsidRPr="000366BA" w:rsidRDefault="006861D8" w:rsidP="006861D8">
      <w:pPr>
        <w:pStyle w:val="Call"/>
        <w:rPr>
          <w:lang w:val="es-ES"/>
        </w:rPr>
      </w:pPr>
      <w:r w:rsidRPr="000366BA">
        <w:rPr>
          <w:lang w:val="es-ES"/>
        </w:rPr>
        <w:t>considerando</w:t>
      </w:r>
    </w:p>
    <w:p w14:paraId="4251A48B" w14:textId="04089248" w:rsidR="006861D8" w:rsidRPr="000366BA" w:rsidRDefault="006861D8" w:rsidP="006861D8">
      <w:pPr>
        <w:rPr>
          <w:lang w:val="es-ES"/>
        </w:rPr>
      </w:pPr>
      <w:r w:rsidRPr="000366BA">
        <w:rPr>
          <w:i/>
          <w:lang w:val="es-ES"/>
        </w:rPr>
        <w:t>a)</w:t>
      </w:r>
      <w:r w:rsidRPr="000366BA">
        <w:rPr>
          <w:lang w:val="es-ES"/>
        </w:rPr>
        <w:tab/>
        <w:t>que los sistemas de transporte por ferrocarril están creciendo y evolucionando;</w:t>
      </w:r>
    </w:p>
    <w:p w14:paraId="5122390B" w14:textId="57E0792B" w:rsidR="006861D8" w:rsidRPr="000366BA" w:rsidRDefault="006861D8" w:rsidP="006861D8">
      <w:pPr>
        <w:rPr>
          <w:lang w:val="es-ES" w:eastAsia="ko-KR"/>
        </w:rPr>
      </w:pPr>
      <w:r w:rsidRPr="000366BA">
        <w:rPr>
          <w:i/>
          <w:iCs/>
          <w:lang w:val="es-ES" w:eastAsia="ko-KR"/>
        </w:rPr>
        <w:t>b)</w:t>
      </w:r>
      <w:r w:rsidRPr="000366BA">
        <w:rPr>
          <w:lang w:val="es-ES" w:eastAsia="ko-KR"/>
        </w:rPr>
        <w:tab/>
        <w:t>que los sistemas de radiocomunicaciones ferroviarias entre el tren y el entorno de las vías (RSTT) es fundamental para proporcionar un control del tráfico ferroviario mejorado, una mayor protección para los pasajeros y una mayor seguridad para el funcionamiento de los trenes;</w:t>
      </w:r>
    </w:p>
    <w:p w14:paraId="28F33EF4" w14:textId="77777777" w:rsidR="006861D8" w:rsidRPr="005A20FC" w:rsidRDefault="006861D8" w:rsidP="006861D8">
      <w:pPr>
        <w:rPr>
          <w:iCs/>
          <w:lang w:val="es-ES" w:eastAsia="ko-KR"/>
        </w:rPr>
      </w:pPr>
      <w:r w:rsidRPr="000366BA">
        <w:rPr>
          <w:i/>
          <w:iCs/>
          <w:lang w:val="es-ES" w:eastAsia="ko-KR"/>
        </w:rPr>
        <w:t>c)</w:t>
      </w:r>
      <w:r w:rsidRPr="000366BA">
        <w:rPr>
          <w:i/>
          <w:iCs/>
          <w:lang w:val="es-ES" w:eastAsia="ko-KR"/>
        </w:rPr>
        <w:tab/>
      </w:r>
      <w:r w:rsidRPr="000366BA">
        <w:rPr>
          <w:iCs/>
          <w:lang w:val="es-ES" w:eastAsia="ko-KR"/>
        </w:rPr>
        <w:t>que muchas administraciones desean facilitar la interoperabilidad de los RSTT, tanto para las operaciones a nivel</w:t>
      </w:r>
      <w:r w:rsidRPr="005A20FC">
        <w:rPr>
          <w:iCs/>
          <w:lang w:val="es-ES" w:eastAsia="ko-KR"/>
        </w:rPr>
        <w:t xml:space="preserve"> nacional como transfronterizas;</w:t>
      </w:r>
    </w:p>
    <w:p w14:paraId="16C2D5F5" w14:textId="3F70D6F5" w:rsidR="006861D8" w:rsidRPr="005A20FC" w:rsidRDefault="006861D8" w:rsidP="006861D8">
      <w:pPr>
        <w:rPr>
          <w:iCs/>
          <w:lang w:val="es-ES" w:eastAsia="ko-KR"/>
        </w:rPr>
      </w:pPr>
      <w:r w:rsidRPr="005A20FC">
        <w:rPr>
          <w:i/>
          <w:iCs/>
          <w:lang w:val="es-ES" w:eastAsia="ko-KR"/>
        </w:rPr>
        <w:t>d)</w:t>
      </w:r>
      <w:r w:rsidRPr="005A20FC">
        <w:rPr>
          <w:iCs/>
          <w:lang w:val="es-ES" w:eastAsia="ko-KR"/>
        </w:rPr>
        <w:tab/>
        <w:t>que algunas organizaciones y organismos de normalización nacionales e internacionales de ferrocarriles han comenzado a investigar nuevas tecnologías para los sistemas de radiocomunicaciones ferroviarias;</w:t>
      </w:r>
    </w:p>
    <w:p w14:paraId="4B96DE23" w14:textId="2B32D9BE" w:rsidR="006861D8" w:rsidRPr="005A20FC" w:rsidRDefault="006861D8" w:rsidP="006861D8">
      <w:pPr>
        <w:rPr>
          <w:lang w:val="es-ES"/>
        </w:rPr>
      </w:pPr>
      <w:r w:rsidRPr="005A20FC">
        <w:rPr>
          <w:i/>
          <w:lang w:val="es-ES"/>
        </w:rPr>
        <w:t>e)</w:t>
      </w:r>
      <w:r w:rsidRPr="005A20FC">
        <w:rPr>
          <w:i/>
          <w:lang w:val="es-ES"/>
        </w:rPr>
        <w:tab/>
      </w:r>
      <w:r w:rsidRPr="005A20FC">
        <w:rPr>
          <w:lang w:val="es-ES"/>
        </w:rPr>
        <w:t xml:space="preserve">que es necesario integrar diferentes tecnologías </w:t>
      </w:r>
      <w:r>
        <w:rPr>
          <w:lang w:val="es-ES"/>
        </w:rPr>
        <w:t>para</w:t>
      </w:r>
      <w:r w:rsidRPr="005A20FC">
        <w:rPr>
          <w:lang w:val="es-ES"/>
        </w:rPr>
        <w:t xml:space="preserve"> facilitar varias funciones, como por ejemplo el envío de órdenes, el control de las operaciones y la transmisión de datos, en los sistemas ferroviarios en el tren y en el entorno de las vías </w:t>
      </w:r>
      <w:r>
        <w:rPr>
          <w:lang w:val="es-ES"/>
        </w:rPr>
        <w:t>y</w:t>
      </w:r>
      <w:r w:rsidRPr="005A20FC">
        <w:rPr>
          <w:lang w:val="es-ES"/>
        </w:rPr>
        <w:t xml:space="preserve"> responder </w:t>
      </w:r>
      <w:r>
        <w:rPr>
          <w:lang w:val="es-ES"/>
        </w:rPr>
        <w:t xml:space="preserve">también </w:t>
      </w:r>
      <w:r w:rsidRPr="005A20FC">
        <w:rPr>
          <w:lang w:val="es-ES"/>
        </w:rPr>
        <w:t>a las necesidades del entorno de los ferrocarriles de alta velocidad;</w:t>
      </w:r>
    </w:p>
    <w:p w14:paraId="75D4BF26" w14:textId="58D80D09" w:rsidR="006861D8" w:rsidRPr="005A20FC" w:rsidRDefault="006861D8" w:rsidP="006861D8">
      <w:pPr>
        <w:rPr>
          <w:rFonts w:eastAsia="Malgun Gothic"/>
          <w:iCs/>
          <w:lang w:val="es-ES" w:eastAsia="ko-KR"/>
        </w:rPr>
      </w:pPr>
      <w:r w:rsidRPr="005A20FC">
        <w:rPr>
          <w:i/>
          <w:iCs/>
          <w:lang w:val="es-ES" w:eastAsia="ko-KR"/>
        </w:rPr>
        <w:t>f)</w:t>
      </w:r>
      <w:r w:rsidRPr="005A20FC">
        <w:rPr>
          <w:iCs/>
          <w:lang w:val="es-ES" w:eastAsia="ko-KR"/>
        </w:rPr>
        <w:tab/>
        <w:t>que el desarrollo continuo de nuevas tecnologías puede servir, apoyar o complementar los RSTT;</w:t>
      </w:r>
    </w:p>
    <w:p w14:paraId="7DB61E38" w14:textId="73790941" w:rsidR="006861D8" w:rsidRPr="005A20FC" w:rsidRDefault="006861D8" w:rsidP="006861D8">
      <w:pPr>
        <w:rPr>
          <w:lang w:val="es-ES"/>
        </w:rPr>
      </w:pPr>
      <w:r w:rsidRPr="005A20FC">
        <w:rPr>
          <w:i/>
          <w:iCs/>
          <w:szCs w:val="24"/>
          <w:lang w:val="es-ES" w:eastAsia="ko-KR"/>
        </w:rPr>
        <w:t>g)</w:t>
      </w:r>
      <w:r w:rsidRPr="005A20FC">
        <w:rPr>
          <w:iCs/>
          <w:szCs w:val="24"/>
          <w:lang w:val="es-ES" w:eastAsia="ko-KR"/>
        </w:rPr>
        <w:tab/>
        <w:t>que las administraciones pueden tener diferentes requisitos para las operaciones ferroviarias en función de sus necesidades nacionales, los requisitos de espectro, los objetivos de las políticas y los entornos de funcionamiento;</w:t>
      </w:r>
    </w:p>
    <w:p w14:paraId="4EB24FA4" w14:textId="0564ED8A" w:rsidR="006861D8" w:rsidRPr="005A20FC" w:rsidRDefault="006861D8" w:rsidP="006861D8">
      <w:pPr>
        <w:rPr>
          <w:iCs/>
          <w:lang w:val="es-ES" w:eastAsia="ko-KR"/>
        </w:rPr>
      </w:pPr>
      <w:r w:rsidRPr="005A20FC">
        <w:rPr>
          <w:i/>
          <w:iCs/>
          <w:lang w:val="es-ES" w:eastAsia="ko-KR"/>
        </w:rPr>
        <w:t>h)</w:t>
      </w:r>
      <w:r w:rsidRPr="005A20FC">
        <w:rPr>
          <w:i/>
          <w:iCs/>
          <w:lang w:val="es-ES" w:eastAsia="ko-KR"/>
        </w:rPr>
        <w:tab/>
      </w:r>
      <w:r w:rsidRPr="005A20FC">
        <w:rPr>
          <w:lang w:val="es-ES" w:eastAsia="ko-KR"/>
        </w:rPr>
        <w:t>que la cooperación entre administraciones y organizaciones ferroviarias facilitará mayores niveles de armonización del espectro;</w:t>
      </w:r>
    </w:p>
    <w:p w14:paraId="29A625D0" w14:textId="0BF98268" w:rsidR="006861D8" w:rsidRPr="005A20FC" w:rsidRDefault="006861D8" w:rsidP="006861D8">
      <w:pPr>
        <w:rPr>
          <w:iCs/>
          <w:lang w:val="es-ES" w:eastAsia="ko-KR"/>
        </w:rPr>
      </w:pPr>
      <w:r w:rsidRPr="005A20FC">
        <w:rPr>
          <w:i/>
          <w:iCs/>
          <w:lang w:val="es-ES" w:eastAsia="zh-CN"/>
        </w:rPr>
        <w:t>i</w:t>
      </w:r>
      <w:r w:rsidRPr="005A20FC">
        <w:rPr>
          <w:i/>
          <w:iCs/>
          <w:lang w:val="es-ES" w:eastAsia="ko-KR"/>
        </w:rPr>
        <w:t>)</w:t>
      </w:r>
      <w:r w:rsidRPr="005A20FC">
        <w:rPr>
          <w:i/>
          <w:iCs/>
          <w:lang w:val="es-ES" w:eastAsia="ko-KR"/>
        </w:rPr>
        <w:tab/>
      </w:r>
      <w:r w:rsidRPr="005A20FC">
        <w:rPr>
          <w:iCs/>
          <w:lang w:val="es-ES" w:eastAsia="ko-KR"/>
        </w:rPr>
        <w:t>que la utilización de bandas de frecuencias armonizadas permitirá a las administraciones beneficiarse de la armonización y</w:t>
      </w:r>
      <w:r>
        <w:rPr>
          <w:iCs/>
          <w:lang w:val="es-ES" w:eastAsia="ko-KR"/>
        </w:rPr>
        <w:t>,</w:t>
      </w:r>
      <w:r w:rsidRPr="005A20FC">
        <w:rPr>
          <w:iCs/>
          <w:lang w:val="es-ES" w:eastAsia="ko-KR"/>
        </w:rPr>
        <w:t xml:space="preserve"> </w:t>
      </w:r>
      <w:r>
        <w:rPr>
          <w:iCs/>
          <w:lang w:val="es-ES" w:eastAsia="ko-KR"/>
        </w:rPr>
        <w:t xml:space="preserve">por otro lado, </w:t>
      </w:r>
      <w:r w:rsidRPr="005A20FC">
        <w:rPr>
          <w:iCs/>
          <w:lang w:val="es-ES" w:eastAsia="ko-KR"/>
        </w:rPr>
        <w:t>seguir respondiendo a las necesidades de la</w:t>
      </w:r>
      <w:r>
        <w:rPr>
          <w:iCs/>
          <w:lang w:val="es-ES" w:eastAsia="ko-KR"/>
        </w:rPr>
        <w:t>s</w:t>
      </w:r>
      <w:r w:rsidRPr="005A20FC">
        <w:rPr>
          <w:iCs/>
          <w:lang w:val="es-ES" w:eastAsia="ko-KR"/>
        </w:rPr>
        <w:t xml:space="preserve"> planificaci</w:t>
      </w:r>
      <w:r>
        <w:rPr>
          <w:iCs/>
          <w:lang w:val="es-ES" w:eastAsia="ko-KR"/>
        </w:rPr>
        <w:t>ones</w:t>
      </w:r>
      <w:r w:rsidRPr="005A20FC">
        <w:rPr>
          <w:iCs/>
          <w:lang w:val="es-ES" w:eastAsia="ko-KR"/>
        </w:rPr>
        <w:t xml:space="preserve"> nacional</w:t>
      </w:r>
      <w:r>
        <w:rPr>
          <w:iCs/>
          <w:lang w:val="es-ES" w:eastAsia="ko-KR"/>
        </w:rPr>
        <w:t>es</w:t>
      </w:r>
      <w:r w:rsidRPr="005A20FC">
        <w:rPr>
          <w:iCs/>
          <w:lang w:val="es-ES" w:eastAsia="ko-KR"/>
        </w:rPr>
        <w:t>;</w:t>
      </w:r>
    </w:p>
    <w:p w14:paraId="6605713B" w14:textId="7E0C76E4" w:rsidR="006861D8" w:rsidRPr="005A20FC" w:rsidRDefault="006861D8" w:rsidP="006861D8">
      <w:pPr>
        <w:rPr>
          <w:szCs w:val="24"/>
          <w:lang w:val="es-ES"/>
        </w:rPr>
      </w:pPr>
      <w:r w:rsidRPr="005A20FC">
        <w:rPr>
          <w:i/>
          <w:iCs/>
          <w:lang w:val="es-ES" w:eastAsia="zh-CN"/>
        </w:rPr>
        <w:t>j</w:t>
      </w:r>
      <w:r w:rsidRPr="005A20FC">
        <w:rPr>
          <w:i/>
          <w:iCs/>
          <w:lang w:val="es-ES" w:eastAsia="ko-KR"/>
        </w:rPr>
        <w:t>)</w:t>
      </w:r>
      <w:r w:rsidRPr="005A20FC">
        <w:rPr>
          <w:szCs w:val="24"/>
          <w:lang w:val="es-ES"/>
        </w:rPr>
        <w:tab/>
        <w:t>que las normas internacionales y un espectro de frecuencias armonizad</w:t>
      </w:r>
      <w:r>
        <w:rPr>
          <w:szCs w:val="24"/>
          <w:lang w:val="es-ES"/>
        </w:rPr>
        <w:t>o</w:t>
      </w:r>
      <w:r w:rsidRPr="005A20FC">
        <w:rPr>
          <w:szCs w:val="24"/>
          <w:lang w:val="es-ES"/>
        </w:rPr>
        <w:t xml:space="preserve"> facilitará el despliegue mundial de RSTT y proporcionará ahorros de escala en el transporte ferroviario;</w:t>
      </w:r>
    </w:p>
    <w:p w14:paraId="79D5C803" w14:textId="3F3A01FD" w:rsidR="006861D8" w:rsidRPr="005A20FC" w:rsidRDefault="006861D8" w:rsidP="006861D8">
      <w:pPr>
        <w:rPr>
          <w:szCs w:val="24"/>
          <w:lang w:val="es-ES"/>
        </w:rPr>
      </w:pPr>
      <w:r w:rsidRPr="005A20FC">
        <w:rPr>
          <w:i/>
          <w:szCs w:val="24"/>
          <w:lang w:val="es-ES"/>
        </w:rPr>
        <w:t>k)</w:t>
      </w:r>
      <w:r w:rsidRPr="005A20FC">
        <w:rPr>
          <w:i/>
          <w:szCs w:val="24"/>
          <w:lang w:val="es-ES"/>
        </w:rPr>
        <w:tab/>
      </w:r>
      <w:r>
        <w:rPr>
          <w:iCs/>
          <w:szCs w:val="24"/>
          <w:lang w:val="es-ES"/>
        </w:rPr>
        <w:t>la continua necesidad de desarrollar disposiciones de frecuencias armonizadas a nivel regional a fin de implementar los RSTT;</w:t>
      </w:r>
    </w:p>
    <w:p w14:paraId="1967044B" w14:textId="2F6B15D0" w:rsidR="006861D8" w:rsidRPr="005A20FC" w:rsidRDefault="006861D8" w:rsidP="006861D8">
      <w:pPr>
        <w:rPr>
          <w:szCs w:val="24"/>
          <w:lang w:val="es-ES"/>
        </w:rPr>
      </w:pPr>
      <w:r w:rsidRPr="005A20FC">
        <w:rPr>
          <w:i/>
          <w:szCs w:val="24"/>
          <w:lang w:val="es-ES"/>
        </w:rPr>
        <w:t>l)</w:t>
      </w:r>
      <w:r w:rsidRPr="005A20FC">
        <w:rPr>
          <w:szCs w:val="24"/>
          <w:lang w:val="es-ES"/>
        </w:rPr>
        <w:tab/>
        <w:t xml:space="preserve">que las bandas de frecuencias que deben armonizarse están atribuidas a una variedad de servicios de conformidad con las disposiciones del Reglamento de Radiocomunicaciones, en </w:t>
      </w:r>
      <w:r>
        <w:rPr>
          <w:szCs w:val="24"/>
          <w:lang w:val="es-ES"/>
        </w:rPr>
        <w:t>particular</w:t>
      </w:r>
      <w:r w:rsidRPr="005A20FC">
        <w:rPr>
          <w:szCs w:val="24"/>
          <w:lang w:val="es-ES"/>
        </w:rPr>
        <w:t xml:space="preserve"> al servicio móvil a título primario,</w:t>
      </w:r>
    </w:p>
    <w:p w14:paraId="201C65A0" w14:textId="77777777" w:rsidR="006861D8" w:rsidRPr="005A20FC" w:rsidRDefault="006861D8" w:rsidP="006861D8">
      <w:pPr>
        <w:pStyle w:val="Call"/>
        <w:rPr>
          <w:lang w:val="es-ES"/>
        </w:rPr>
      </w:pPr>
      <w:r w:rsidRPr="005A20FC">
        <w:rPr>
          <w:lang w:val="es-ES"/>
        </w:rPr>
        <w:t>reconociendo</w:t>
      </w:r>
    </w:p>
    <w:p w14:paraId="7C735D53" w14:textId="77777777" w:rsidR="006861D8" w:rsidRPr="005A20FC" w:rsidRDefault="006861D8" w:rsidP="006861D8">
      <w:pPr>
        <w:rPr>
          <w:rFonts w:asciiTheme="majorBidi" w:hAnsiTheme="majorBidi" w:cstheme="majorBidi"/>
          <w:lang w:val="es-ES" w:eastAsia="ko-KR"/>
        </w:rPr>
      </w:pPr>
      <w:r w:rsidRPr="005A20FC">
        <w:rPr>
          <w:i/>
          <w:iCs/>
          <w:lang w:val="es-ES"/>
        </w:rPr>
        <w:t>a)</w:t>
      </w:r>
      <w:r w:rsidRPr="005A20FC">
        <w:rPr>
          <w:lang w:val="es-ES"/>
        </w:rPr>
        <w:tab/>
        <w:t>la Recomendación UIT-R M.[FRQ];</w:t>
      </w:r>
    </w:p>
    <w:p w14:paraId="70D02DD0" w14:textId="472B0B4A" w:rsidR="006861D8" w:rsidRPr="005A20FC" w:rsidRDefault="006861D8" w:rsidP="006861D8">
      <w:pPr>
        <w:rPr>
          <w:lang w:val="es-ES"/>
        </w:rPr>
      </w:pPr>
      <w:r w:rsidRPr="005A20FC">
        <w:rPr>
          <w:i/>
          <w:iCs/>
          <w:lang w:val="es-ES"/>
        </w:rPr>
        <w:lastRenderedPageBreak/>
        <w:t>b)</w:t>
      </w:r>
      <w:r w:rsidRPr="005A20FC">
        <w:rPr>
          <w:lang w:val="es-ES"/>
        </w:rPr>
        <w:tab/>
        <w:t xml:space="preserve">la Recomendación </w:t>
      </w:r>
      <w:hyperlink r:id="rId9" w:history="1">
        <w:r w:rsidRPr="005A20FC">
          <w:rPr>
            <w:rStyle w:val="Hyperlink"/>
            <w:lang w:val="es-ES"/>
          </w:rPr>
          <w:t>UIT-R SM.1896</w:t>
        </w:r>
      </w:hyperlink>
      <w:r w:rsidRPr="005A20FC">
        <w:rPr>
          <w:lang w:val="es-ES" w:eastAsia="ja-JP"/>
        </w:rPr>
        <w:t xml:space="preserve"> – </w:t>
      </w:r>
      <w:r w:rsidRPr="005A20FC">
        <w:rPr>
          <w:i/>
          <w:iCs/>
          <w:lang w:val="es-ES" w:eastAsia="ja-JP"/>
        </w:rPr>
        <w:t>Gamas de frecuencia para la armonización mundial o regional de los dispositivos de corto alcance</w:t>
      </w:r>
      <w:r w:rsidRPr="005A20FC">
        <w:rPr>
          <w:lang w:val="es-ES" w:eastAsia="zh-CN"/>
        </w:rPr>
        <w:t>;</w:t>
      </w:r>
    </w:p>
    <w:p w14:paraId="7D7A7DB8" w14:textId="46913AD4" w:rsidR="006861D8" w:rsidRPr="005A20FC" w:rsidRDefault="006861D8" w:rsidP="006861D8">
      <w:pPr>
        <w:rPr>
          <w:lang w:val="es-ES" w:eastAsia="zh-CN"/>
        </w:rPr>
      </w:pPr>
      <w:r w:rsidRPr="005A20FC">
        <w:rPr>
          <w:i/>
          <w:iCs/>
          <w:lang w:val="es-ES"/>
        </w:rPr>
        <w:t>c)</w:t>
      </w:r>
      <w:r w:rsidRPr="005A20FC">
        <w:rPr>
          <w:lang w:val="es-ES"/>
        </w:rPr>
        <w:tab/>
        <w:t xml:space="preserve">el Informe </w:t>
      </w:r>
      <w:hyperlink r:id="rId10" w:history="1">
        <w:r w:rsidRPr="005A20FC">
          <w:rPr>
            <w:rStyle w:val="Hyperlink"/>
            <w:lang w:val="es-ES"/>
          </w:rPr>
          <w:t>UIT-R M.2418</w:t>
        </w:r>
      </w:hyperlink>
      <w:r w:rsidRPr="005A20FC">
        <w:rPr>
          <w:lang w:val="es-ES"/>
        </w:rPr>
        <w:t xml:space="preserve"> – </w:t>
      </w:r>
      <w:r w:rsidRPr="005A20FC">
        <w:rPr>
          <w:i/>
          <w:iCs/>
          <w:lang w:val="es-ES"/>
        </w:rPr>
        <w:t>Description of Railway Radiocommunication Systems between</w:t>
      </w:r>
      <w:r w:rsidRPr="005A20FC">
        <w:rPr>
          <w:i/>
          <w:iCs/>
          <w:color w:val="000000" w:themeColor="text1"/>
          <w:lang w:val="es-ES"/>
        </w:rPr>
        <w:t xml:space="preserve"> Train and Trackside</w:t>
      </w:r>
      <w:r w:rsidRPr="005A20FC">
        <w:rPr>
          <w:color w:val="000000" w:themeColor="text1"/>
          <w:lang w:val="es-ES"/>
        </w:rPr>
        <w:t xml:space="preserve"> (</w:t>
      </w:r>
      <w:r w:rsidRPr="008B4E36">
        <w:rPr>
          <w:i/>
          <w:iCs/>
          <w:color w:val="000000" w:themeColor="text1"/>
          <w:lang w:val="es-ES"/>
        </w:rPr>
        <w:t xml:space="preserve">Descripción de los sistemas de radiocomunicaciones </w:t>
      </w:r>
      <w:r w:rsidRPr="008B4E36">
        <w:rPr>
          <w:i/>
          <w:iCs/>
          <w:lang w:val="es-ES"/>
        </w:rPr>
        <w:t>entre el tren y el entorno de las vías</w:t>
      </w:r>
      <w:r w:rsidRPr="005A20FC">
        <w:rPr>
          <w:lang w:val="es-ES"/>
        </w:rPr>
        <w:t>);</w:t>
      </w:r>
    </w:p>
    <w:p w14:paraId="5F35F11B" w14:textId="0D6D141F" w:rsidR="006861D8" w:rsidRPr="005A20FC" w:rsidRDefault="006861D8" w:rsidP="006861D8">
      <w:pPr>
        <w:rPr>
          <w:lang w:val="es-ES" w:eastAsia="zh-CN"/>
        </w:rPr>
      </w:pPr>
      <w:r w:rsidRPr="005A20FC">
        <w:rPr>
          <w:i/>
          <w:iCs/>
          <w:lang w:val="es-ES"/>
        </w:rPr>
        <w:t>d)</w:t>
      </w:r>
      <w:r w:rsidRPr="005A20FC">
        <w:rPr>
          <w:lang w:val="es-ES"/>
        </w:rPr>
        <w:tab/>
        <w:t xml:space="preserve">el Informe </w:t>
      </w:r>
      <w:hyperlink r:id="rId11" w:history="1">
        <w:r w:rsidRPr="005A20FC">
          <w:rPr>
            <w:rStyle w:val="Hyperlink"/>
            <w:lang w:val="es-ES"/>
          </w:rPr>
          <w:t>UIT-R M.2442</w:t>
        </w:r>
      </w:hyperlink>
      <w:r w:rsidRPr="005A20FC">
        <w:rPr>
          <w:lang w:val="es-ES" w:eastAsia="ko-KR"/>
        </w:rPr>
        <w:t xml:space="preserve"> – </w:t>
      </w:r>
      <w:r w:rsidRPr="005A20FC">
        <w:rPr>
          <w:i/>
          <w:iCs/>
          <w:lang w:val="es-ES" w:eastAsia="zh-CN"/>
        </w:rPr>
        <w:t xml:space="preserve">Current and future usage of railway radiocommunication systems between train and trackside (RSTT) </w:t>
      </w:r>
      <w:r w:rsidRPr="005A20FC">
        <w:rPr>
          <w:lang w:val="es-ES" w:eastAsia="zh-CN"/>
        </w:rPr>
        <w:t>(</w:t>
      </w:r>
      <w:r w:rsidRPr="008B4E36">
        <w:rPr>
          <w:i/>
          <w:iCs/>
          <w:lang w:val="es-ES" w:eastAsia="zh-CN"/>
        </w:rPr>
        <w:t>Utilización actual y futura de los sistemas de radiocomunicaciones entre el tren y el entorno de las vías (RSTT)</w:t>
      </w:r>
      <w:r w:rsidRPr="005A20FC">
        <w:rPr>
          <w:lang w:val="es-ES" w:eastAsia="zh-CN"/>
        </w:rPr>
        <w:t>),</w:t>
      </w:r>
    </w:p>
    <w:p w14:paraId="336F7CFD" w14:textId="77777777" w:rsidR="006861D8" w:rsidRPr="005A20FC" w:rsidRDefault="006861D8" w:rsidP="006861D8">
      <w:pPr>
        <w:pStyle w:val="Call"/>
        <w:rPr>
          <w:lang w:val="es-ES"/>
        </w:rPr>
      </w:pPr>
      <w:r w:rsidRPr="005A20FC">
        <w:rPr>
          <w:lang w:val="es-ES"/>
        </w:rPr>
        <w:t>resuelve</w:t>
      </w:r>
    </w:p>
    <w:p w14:paraId="571ACA21" w14:textId="4C8AB726" w:rsidR="006861D8" w:rsidRPr="005A20FC" w:rsidRDefault="006861D8" w:rsidP="006861D8">
      <w:pPr>
        <w:rPr>
          <w:lang w:val="es-ES" w:eastAsia="nl-NL"/>
        </w:rPr>
      </w:pPr>
      <w:r w:rsidRPr="005A20FC">
        <w:rPr>
          <w:bCs/>
          <w:lang w:val="es-ES" w:eastAsia="nl-NL"/>
        </w:rPr>
        <w:t>1</w:t>
      </w:r>
      <w:r w:rsidRPr="005A20FC">
        <w:rPr>
          <w:lang w:val="es-ES" w:eastAsia="nl-NL"/>
        </w:rPr>
        <w:tab/>
        <w:t xml:space="preserve">proseguir los estudios sobre posibles soluciones </w:t>
      </w:r>
      <w:r>
        <w:rPr>
          <w:lang w:val="es-ES" w:eastAsia="nl-NL"/>
        </w:rPr>
        <w:t>y la</w:t>
      </w:r>
      <w:r w:rsidRPr="005A20FC">
        <w:rPr>
          <w:lang w:val="es-ES" w:eastAsia="nl-NL"/>
        </w:rPr>
        <w:t xml:space="preserve"> implantación de la armonización a nivel regional/mundial de bandas de frecuencias para RSTT en bandas ya atribuidas al servicio móvil, teniendo en cuenta:</w:t>
      </w:r>
    </w:p>
    <w:p w14:paraId="39C9341F" w14:textId="3A26BC50" w:rsidR="006861D8" w:rsidRPr="005A20FC" w:rsidRDefault="006861D8" w:rsidP="006861D8">
      <w:pPr>
        <w:pStyle w:val="enumlev1"/>
        <w:rPr>
          <w:lang w:val="es-ES" w:eastAsia="ja-JP"/>
        </w:rPr>
      </w:pPr>
      <w:r w:rsidRPr="005A20FC">
        <w:rPr>
          <w:lang w:val="es-ES"/>
        </w:rPr>
        <w:t>–</w:t>
      </w:r>
      <w:r w:rsidRPr="005A20FC">
        <w:rPr>
          <w:lang w:val="es-ES"/>
        </w:rPr>
        <w:tab/>
        <w:t>las tecnologías actuales y futuras para maximizar la utilización flexible y eficiente del espectro;</w:t>
      </w:r>
    </w:p>
    <w:p w14:paraId="76E164D2" w14:textId="7B132393" w:rsidR="006861D8" w:rsidRPr="005A20FC" w:rsidRDefault="006861D8" w:rsidP="006861D8">
      <w:pPr>
        <w:pStyle w:val="enumlev1"/>
        <w:rPr>
          <w:lang w:val="es-ES"/>
        </w:rPr>
      </w:pPr>
      <w:r w:rsidRPr="005A20FC">
        <w:rPr>
          <w:lang w:val="es-ES"/>
        </w:rPr>
        <w:t>–</w:t>
      </w:r>
      <w:r w:rsidRPr="005A20FC">
        <w:rPr>
          <w:lang w:val="es-ES"/>
        </w:rPr>
        <w:tab/>
        <w:t>características y requisitos de funcionamiento de los sistemas que faciliten la implementación;</w:t>
      </w:r>
    </w:p>
    <w:p w14:paraId="3FE5CB25" w14:textId="2848A86D" w:rsidR="006861D8" w:rsidRPr="005A20FC" w:rsidRDefault="006861D8" w:rsidP="006861D8">
      <w:pPr>
        <w:pStyle w:val="enumlev1"/>
        <w:rPr>
          <w:lang w:val="es-ES"/>
        </w:rPr>
      </w:pPr>
      <w:r w:rsidRPr="005A20FC">
        <w:rPr>
          <w:lang w:val="es-ES"/>
        </w:rPr>
        <w:t>–</w:t>
      </w:r>
      <w:r w:rsidRPr="005A20FC">
        <w:rPr>
          <w:lang w:val="es-ES"/>
        </w:rPr>
        <w:tab/>
        <w:t xml:space="preserve">la posibilidad de </w:t>
      </w:r>
      <w:r>
        <w:rPr>
          <w:lang w:val="es-ES"/>
        </w:rPr>
        <w:t>utilizar</w:t>
      </w:r>
      <w:r w:rsidRPr="005A20FC">
        <w:rPr>
          <w:lang w:val="es-ES"/>
        </w:rPr>
        <w:t xml:space="preserve"> las aplicaciones de las cuatro categorías de RSTT en bandas de frecuencias específicas;</w:t>
      </w:r>
    </w:p>
    <w:p w14:paraId="6DAF11D8" w14:textId="34357881" w:rsidR="006861D8" w:rsidRPr="005A20FC" w:rsidRDefault="006861D8" w:rsidP="006861D8">
      <w:pPr>
        <w:pStyle w:val="enumlev1"/>
        <w:rPr>
          <w:lang w:val="es-ES"/>
        </w:rPr>
      </w:pPr>
      <w:r w:rsidRPr="005A20FC">
        <w:rPr>
          <w:lang w:val="es-ES"/>
        </w:rPr>
        <w:t>–</w:t>
      </w:r>
      <w:r w:rsidRPr="005A20FC">
        <w:rPr>
          <w:lang w:val="es-ES"/>
        </w:rPr>
        <w:tab/>
        <w:t xml:space="preserve">los resultados existentes de los estudios de las Recomendaciones </w:t>
      </w:r>
      <w:r>
        <w:rPr>
          <w:lang w:val="es-ES"/>
        </w:rPr>
        <w:t>y los</w:t>
      </w:r>
      <w:r w:rsidRPr="005A20FC">
        <w:rPr>
          <w:lang w:val="es-ES"/>
        </w:rPr>
        <w:t xml:space="preserve"> Informes existentes del UIT-R</w:t>
      </w:r>
      <w:r w:rsidR="00C23CBA">
        <w:rPr>
          <w:lang w:val="es-ES"/>
        </w:rPr>
        <w:t xml:space="preserve"> </w:t>
      </w:r>
      <w:r w:rsidRPr="005A20FC">
        <w:rPr>
          <w:lang w:val="es-ES"/>
        </w:rPr>
        <w:t xml:space="preserve">(por ejemplo, </w:t>
      </w:r>
      <w:r w:rsidRPr="005A20FC">
        <w:rPr>
          <w:i/>
          <w:lang w:val="es-ES"/>
        </w:rPr>
        <w:t>reconociendo a</w:t>
      </w:r>
      <w:r w:rsidR="001A121D">
        <w:rPr>
          <w:i/>
          <w:lang w:val="es-ES"/>
        </w:rPr>
        <w:t>)</w:t>
      </w:r>
      <w:r w:rsidRPr="005A20FC">
        <w:rPr>
          <w:i/>
          <w:lang w:val="es-ES"/>
        </w:rPr>
        <w:t xml:space="preserve"> </w:t>
      </w:r>
      <w:r w:rsidRPr="005A20FC">
        <w:rPr>
          <w:iCs/>
          <w:lang w:val="es-ES"/>
        </w:rPr>
        <w:t>a</w:t>
      </w:r>
      <w:r w:rsidRPr="005A20FC">
        <w:rPr>
          <w:i/>
          <w:lang w:val="es-ES"/>
        </w:rPr>
        <w:t xml:space="preserve"> </w:t>
      </w:r>
      <w:r w:rsidRPr="001A121D">
        <w:rPr>
          <w:i/>
          <w:lang w:val="es-ES"/>
        </w:rPr>
        <w:t>d)</w:t>
      </w:r>
      <w:r w:rsidR="008B4E36" w:rsidRPr="008B4E36">
        <w:rPr>
          <w:iCs/>
          <w:lang w:val="es-ES"/>
        </w:rPr>
        <w:t>)</w:t>
      </w:r>
      <w:r w:rsidRPr="005A20FC">
        <w:rPr>
          <w:lang w:val="es-ES"/>
        </w:rPr>
        <w:t>, según proceda;</w:t>
      </w:r>
    </w:p>
    <w:p w14:paraId="704C8FA4" w14:textId="77777777" w:rsidR="006861D8" w:rsidRPr="005A20FC" w:rsidRDefault="006861D8" w:rsidP="006861D8">
      <w:pPr>
        <w:rPr>
          <w:lang w:val="es-ES"/>
        </w:rPr>
      </w:pPr>
      <w:r w:rsidRPr="005A20FC">
        <w:rPr>
          <w:lang w:val="es-ES"/>
        </w:rPr>
        <w:t>2</w:t>
      </w:r>
      <w:r w:rsidRPr="005A20FC">
        <w:rPr>
          <w:lang w:val="es-ES"/>
        </w:rPr>
        <w:tab/>
        <w:t>el desarrollo posterior de la Recomendación UIT-R [FRQ] existente en base a los estudios mencionados anteriormente, según proceda,</w:t>
      </w:r>
    </w:p>
    <w:p w14:paraId="442F704D" w14:textId="77777777" w:rsidR="006861D8" w:rsidRPr="005A20FC" w:rsidRDefault="006861D8" w:rsidP="006861D8">
      <w:pPr>
        <w:pStyle w:val="Call"/>
        <w:rPr>
          <w:lang w:val="es-ES"/>
        </w:rPr>
      </w:pPr>
      <w:r w:rsidRPr="005A20FC">
        <w:rPr>
          <w:lang w:val="es-ES"/>
        </w:rPr>
        <w:t>invita a los Estados Miembros</w:t>
      </w:r>
    </w:p>
    <w:p w14:paraId="6AF41F33" w14:textId="59955C7B" w:rsidR="006861D8" w:rsidRPr="005A20FC" w:rsidRDefault="006861D8" w:rsidP="001A121D">
      <w:pPr>
        <w:rPr>
          <w:lang w:val="es-ES" w:eastAsia="ko-KR"/>
        </w:rPr>
      </w:pPr>
      <w:r w:rsidRPr="005A20FC">
        <w:rPr>
          <w:lang w:val="es-ES" w:eastAsia="ko-KR"/>
        </w:rPr>
        <w:t>a examinar los resultados de los estudios a fin de adoptar, según procedan, las medidas necesarias relacionadas con sus reglamentaciones nacionales para RSTT</w:t>
      </w:r>
      <w:r w:rsidR="00C23CBA">
        <w:rPr>
          <w:lang w:val="es-ES" w:eastAsia="ko-KR"/>
        </w:rPr>
        <w:t>,</w:t>
      </w:r>
    </w:p>
    <w:p w14:paraId="325DD094" w14:textId="77777777" w:rsidR="006861D8" w:rsidRPr="005A20FC" w:rsidRDefault="006861D8" w:rsidP="006861D8">
      <w:pPr>
        <w:pStyle w:val="Call"/>
        <w:rPr>
          <w:lang w:val="es-ES"/>
        </w:rPr>
      </w:pPr>
      <w:r w:rsidRPr="005A20FC">
        <w:rPr>
          <w:lang w:val="es-ES"/>
        </w:rPr>
        <w:t>encarga al Director de la Oficina de Radiocomunicaciones</w:t>
      </w:r>
    </w:p>
    <w:p w14:paraId="54178AB7" w14:textId="77777777" w:rsidR="006861D8" w:rsidRPr="005A20FC" w:rsidRDefault="006861D8" w:rsidP="006861D8">
      <w:pPr>
        <w:rPr>
          <w:lang w:val="es-ES"/>
        </w:rPr>
      </w:pPr>
      <w:r w:rsidRPr="005A20FC">
        <w:rPr>
          <w:lang w:val="es-ES"/>
        </w:rPr>
        <w:t>1</w:t>
      </w:r>
      <w:r w:rsidRPr="005A20FC">
        <w:rPr>
          <w:lang w:val="es-ES"/>
        </w:rPr>
        <w:tab/>
        <w:t>que señale esta Resolución a la atención de [la Unión Internacional de Ferrocarriles (UIC) y otras organizaciones interesadas en los RSTT];</w:t>
      </w:r>
    </w:p>
    <w:p w14:paraId="26317D3A" w14:textId="77777777" w:rsidR="006861D8" w:rsidRPr="005A20FC" w:rsidRDefault="006861D8" w:rsidP="006861D8">
      <w:pPr>
        <w:rPr>
          <w:lang w:val="es-ES"/>
        </w:rPr>
      </w:pPr>
      <w:r w:rsidRPr="005A20FC">
        <w:rPr>
          <w:lang w:val="es-ES"/>
        </w:rPr>
        <w:t>2</w:t>
      </w:r>
      <w:r w:rsidRPr="005A20FC">
        <w:rPr>
          <w:lang w:val="es-ES"/>
        </w:rPr>
        <w:tab/>
        <w:t>que mantenga el intercambio de información sobre los RSTT entre los Miembros del UIT-R y otras organizaciones, de acuerdo con la Resolución UIT</w:t>
      </w:r>
      <w:r w:rsidRPr="005A20FC">
        <w:rPr>
          <w:lang w:val="es-ES"/>
        </w:rPr>
        <w:noBreakHyphen/>
        <w:t>R 9.</w:t>
      </w:r>
    </w:p>
    <w:p w14:paraId="6A8F66C0" w14:textId="77777777" w:rsidR="006861D8" w:rsidRPr="005A20FC" w:rsidRDefault="006861D8" w:rsidP="006861D8">
      <w:pPr>
        <w:pStyle w:val="Reasons"/>
        <w:rPr>
          <w:lang w:val="es-ES"/>
        </w:rPr>
      </w:pPr>
    </w:p>
    <w:p w14:paraId="1A65BDC7" w14:textId="77777777" w:rsidR="006861D8" w:rsidRPr="005A20FC" w:rsidRDefault="006861D8" w:rsidP="006861D8">
      <w:pPr>
        <w:jc w:val="center"/>
        <w:rPr>
          <w:lang w:val="es-ES"/>
        </w:rPr>
      </w:pPr>
      <w:r w:rsidRPr="005A20FC">
        <w:rPr>
          <w:lang w:val="es-ES"/>
        </w:rPr>
        <w:t>______________</w:t>
      </w:r>
    </w:p>
    <w:sectPr w:rsidR="006861D8" w:rsidRPr="005A20FC" w:rsidSect="0022505D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ECF3E" w14:textId="77777777" w:rsidR="006861D8" w:rsidRDefault="006861D8">
      <w:r>
        <w:separator/>
      </w:r>
    </w:p>
  </w:endnote>
  <w:endnote w:type="continuationSeparator" w:id="0">
    <w:p w14:paraId="272D0333" w14:textId="77777777" w:rsidR="006861D8" w:rsidRDefault="0068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A8BD7" w14:textId="2567C5FB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F1F0B">
      <w:rPr>
        <w:noProof/>
        <w:lang w:val="en-US"/>
      </w:rPr>
      <w:t>P:\ESP\ITU-R\CONF-R\AR19\PLEN\000\028ADD02S.docx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175B1">
      <w:rPr>
        <w:noProof/>
      </w:rPr>
      <w:t>04.10.19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1F0B">
      <w:rPr>
        <w:noProof/>
      </w:rPr>
      <w:t>04.10.19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E4D09" w14:textId="42DFF872" w:rsidR="00020ACE" w:rsidRPr="00F81F39" w:rsidRDefault="001175B1" w:rsidP="00F81F39">
    <w:pPr>
      <w:pStyle w:val="Footer"/>
    </w:pPr>
    <w:r>
      <w:fldChar w:fldCharType="begin"/>
    </w:r>
    <w:r>
      <w:instrText xml:space="preserve"> FILENAME \p  \*</w:instrText>
    </w:r>
    <w:r>
      <w:instrText xml:space="preserve"> MERGEFORMAT </w:instrText>
    </w:r>
    <w:r>
      <w:fldChar w:fldCharType="separate"/>
    </w:r>
    <w:r w:rsidR="008F1F0B">
      <w:t>P:\ESP\ITU-R\CONF-R\AR19\PLEN\000\028ADD02S.docx</w:t>
    </w:r>
    <w:r>
      <w:fldChar w:fldCharType="end"/>
    </w:r>
    <w:r w:rsidR="00302DCD">
      <w:t xml:space="preserve"> (461628)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F0A66" w14:textId="418C624E" w:rsidR="00020ACE" w:rsidRPr="0049390B" w:rsidRDefault="001175B1" w:rsidP="00F81F3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F1F0B">
      <w:t>P:\ESP\ITU-R\CONF-R\AR19\PLEN\000\028ADD02S.docx</w:t>
    </w:r>
    <w:r>
      <w:fldChar w:fldCharType="end"/>
    </w:r>
    <w:r w:rsidR="00302DCD">
      <w:t xml:space="preserve"> (461628)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83D32" w14:textId="77777777" w:rsidR="006861D8" w:rsidRDefault="006861D8">
      <w:r>
        <w:rPr>
          <w:b/>
        </w:rPr>
        <w:t>_______________</w:t>
      </w:r>
    </w:p>
  </w:footnote>
  <w:footnote w:type="continuationSeparator" w:id="0">
    <w:p w14:paraId="3A336961" w14:textId="77777777" w:rsidR="006861D8" w:rsidRDefault="0068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C3981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2E16DDC9" w14:textId="1D26DFC9" w:rsidR="0022505D" w:rsidRDefault="0022505D" w:rsidP="0022505D">
    <w:pPr>
      <w:pStyle w:val="Header"/>
    </w:pPr>
    <w:r>
      <w:t>RA19</w:t>
    </w:r>
    <w:r w:rsidR="00C23CBA">
      <w:t>-</w:t>
    </w:r>
    <w:r w:rsidR="00C23CBA" w:rsidRPr="00C23CBA">
      <w:t>PLEN/28(Add.</w:t>
    </w:r>
    <w:r w:rsidR="00C23CBA">
      <w:t>2</w:t>
    </w:r>
    <w:r w:rsidR="00C23CBA" w:rsidRPr="00C23CBA">
      <w:t>)-S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D8"/>
    <w:rsid w:val="00012B52"/>
    <w:rsid w:val="00016A7C"/>
    <w:rsid w:val="00020ACE"/>
    <w:rsid w:val="001175B1"/>
    <w:rsid w:val="001721DD"/>
    <w:rsid w:val="001A121D"/>
    <w:rsid w:val="0022505D"/>
    <w:rsid w:val="002334F2"/>
    <w:rsid w:val="002B6243"/>
    <w:rsid w:val="00302DCD"/>
    <w:rsid w:val="00466F3C"/>
    <w:rsid w:val="0049390B"/>
    <w:rsid w:val="004B67E1"/>
    <w:rsid w:val="005335D1"/>
    <w:rsid w:val="005476F8"/>
    <w:rsid w:val="005648DF"/>
    <w:rsid w:val="005C4F7E"/>
    <w:rsid w:val="006050EE"/>
    <w:rsid w:val="006861D8"/>
    <w:rsid w:val="00693CB4"/>
    <w:rsid w:val="008246E6"/>
    <w:rsid w:val="008B4E36"/>
    <w:rsid w:val="008E02B6"/>
    <w:rsid w:val="008F1F0B"/>
    <w:rsid w:val="009630C4"/>
    <w:rsid w:val="00AF7660"/>
    <w:rsid w:val="00B46216"/>
    <w:rsid w:val="00B5074A"/>
    <w:rsid w:val="00BA3DBD"/>
    <w:rsid w:val="00BF1023"/>
    <w:rsid w:val="00C23CBA"/>
    <w:rsid w:val="00C278F8"/>
    <w:rsid w:val="00C7086B"/>
    <w:rsid w:val="00DE35E9"/>
    <w:rsid w:val="00E01901"/>
    <w:rsid w:val="00E307F2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D7EAF0A"/>
  <w15:docId w15:val="{984CC4CD-EC93-4B48-A4EC-CA324D51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aliases w:val="pie de página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qFormat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customStyle="1" w:styleId="CallChar">
    <w:name w:val="Call Char"/>
    <w:basedOn w:val="DefaultParagraphFont"/>
    <w:link w:val="Call"/>
    <w:locked/>
    <w:rsid w:val="006861D8"/>
    <w:rPr>
      <w:rFonts w:ascii="Times New Roman" w:hAnsi="Times New Roman"/>
      <w:i/>
      <w:sz w:val="24"/>
      <w:lang w:val="es-ES_tradnl" w:eastAsia="en-US"/>
    </w:rPr>
  </w:style>
  <w:style w:type="character" w:styleId="Hyperlink">
    <w:name w:val="Hyperlink"/>
    <w:aliases w:val="CEO_Hyperlink"/>
    <w:uiPriority w:val="99"/>
    <w:unhideWhenUsed/>
    <w:qFormat/>
    <w:rsid w:val="006861D8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5476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R-REP-M.2442/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itu.int/pub/R-REP-M.2418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rec/R-REC-SM.1896/es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ll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89039-EE77-40CF-BEC3-284698F6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84</TotalTime>
  <Pages>3</Pages>
  <Words>978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Spanish83</cp:lastModifiedBy>
  <cp:revision>10</cp:revision>
  <cp:lastPrinted>2019-10-04T10:02:00Z</cp:lastPrinted>
  <dcterms:created xsi:type="dcterms:W3CDTF">2019-10-03T07:29:00Z</dcterms:created>
  <dcterms:modified xsi:type="dcterms:W3CDTF">2019-10-04T11:56:00Z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