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B0C52" w:rsidRPr="008E4CA8" w14:paraId="1005EB62" w14:textId="77777777" w:rsidTr="00F20EDD">
        <w:trPr>
          <w:cantSplit/>
        </w:trPr>
        <w:tc>
          <w:tcPr>
            <w:tcW w:w="6345" w:type="dxa"/>
          </w:tcPr>
          <w:p w14:paraId="29D4DDC2" w14:textId="77777777" w:rsidR="00AB0C52" w:rsidRPr="008E4CA8" w:rsidRDefault="00AB0C52" w:rsidP="00C34D3C">
            <w:pPr>
              <w:spacing w:before="400" w:after="48"/>
              <w:rPr>
                <w:rFonts w:ascii="Verdana" w:hAnsi="Verdana"/>
                <w:position w:val="6"/>
              </w:rPr>
            </w:pPr>
            <w:r w:rsidRPr="008E4CA8">
              <w:rPr>
                <w:rFonts w:ascii="Verdana" w:hAnsi="Verdana" w:cs="Times New Roman Bold"/>
                <w:b/>
                <w:szCs w:val="24"/>
              </w:rPr>
              <w:t>Asamblea de Radiocomunicaciones (AR-19)</w:t>
            </w:r>
            <w:r w:rsidRPr="008E4CA8">
              <w:rPr>
                <w:rFonts w:ascii="Verdana" w:hAnsi="Verdana" w:cs="Times"/>
                <w:b/>
                <w:position w:val="6"/>
                <w:sz w:val="20"/>
              </w:rPr>
              <w:t xml:space="preserve"> </w:t>
            </w:r>
            <w:r w:rsidRPr="008E4CA8">
              <w:rPr>
                <w:rFonts w:ascii="Verdana" w:hAnsi="Verdana" w:cs="Times"/>
                <w:b/>
                <w:position w:val="6"/>
                <w:sz w:val="20"/>
              </w:rPr>
              <w:br/>
            </w:r>
            <w:r w:rsidRPr="008E4CA8">
              <w:rPr>
                <w:rFonts w:ascii="Verdana" w:hAnsi="Verdana" w:cs="Times New Roman Bold"/>
                <w:b/>
                <w:bCs/>
                <w:sz w:val="20"/>
              </w:rPr>
              <w:t>Sharm el-Sheikh (Egipto),</w:t>
            </w:r>
            <w:r w:rsidRPr="008E4CA8">
              <w:rPr>
                <w:rFonts w:ascii="Verdana" w:hAnsi="Verdana"/>
                <w:b/>
                <w:bCs/>
                <w:position w:val="6"/>
                <w:sz w:val="17"/>
                <w:szCs w:val="17"/>
              </w:rPr>
              <w:t xml:space="preserve"> </w:t>
            </w:r>
            <w:r w:rsidRPr="008E4CA8">
              <w:rPr>
                <w:rFonts w:ascii="Verdana" w:hAnsi="Verdana" w:cs="Times New Roman Bold"/>
                <w:b/>
                <w:bCs/>
                <w:sz w:val="20"/>
              </w:rPr>
              <w:t>21-25 de octubre de 2019</w:t>
            </w:r>
          </w:p>
        </w:tc>
        <w:tc>
          <w:tcPr>
            <w:tcW w:w="3686" w:type="dxa"/>
          </w:tcPr>
          <w:p w14:paraId="664C1671" w14:textId="77777777" w:rsidR="00AB0C52" w:rsidRPr="008E4CA8" w:rsidRDefault="00AB0C52" w:rsidP="00C34D3C">
            <w:pPr>
              <w:jc w:val="right"/>
            </w:pPr>
            <w:r w:rsidRPr="008E4CA8">
              <w:rPr>
                <w:rFonts w:ascii="Verdana" w:hAnsi="Verdana"/>
                <w:b/>
                <w:bCs/>
                <w:noProof/>
                <w:szCs w:val="24"/>
                <w:lang w:eastAsia="es-ES_tradnl"/>
              </w:rPr>
              <w:drawing>
                <wp:inline distT="0" distB="0" distL="0" distR="0" wp14:anchorId="073063FD" wp14:editId="66788E6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AB0C52" w:rsidRPr="008E4CA8" w14:paraId="0DC4D0CE" w14:textId="77777777" w:rsidTr="00F20EDD">
        <w:trPr>
          <w:cantSplit/>
        </w:trPr>
        <w:tc>
          <w:tcPr>
            <w:tcW w:w="6345" w:type="dxa"/>
            <w:tcBorders>
              <w:bottom w:val="single" w:sz="12" w:space="0" w:color="auto"/>
            </w:tcBorders>
          </w:tcPr>
          <w:p w14:paraId="4E23CB85" w14:textId="77777777" w:rsidR="00AB0C52" w:rsidRPr="008E4CA8" w:rsidRDefault="00AB0C52" w:rsidP="00C34D3C">
            <w:pPr>
              <w:spacing w:before="0" w:after="48"/>
              <w:rPr>
                <w:b/>
                <w:smallCaps/>
                <w:szCs w:val="24"/>
              </w:rPr>
            </w:pPr>
          </w:p>
        </w:tc>
        <w:tc>
          <w:tcPr>
            <w:tcW w:w="3686" w:type="dxa"/>
            <w:tcBorders>
              <w:bottom w:val="single" w:sz="12" w:space="0" w:color="auto"/>
            </w:tcBorders>
          </w:tcPr>
          <w:p w14:paraId="4E437AA4" w14:textId="77777777" w:rsidR="00AB0C52" w:rsidRPr="008E4CA8" w:rsidRDefault="00AB0C52" w:rsidP="00C34D3C">
            <w:pPr>
              <w:spacing w:before="0"/>
              <w:rPr>
                <w:rFonts w:ascii="Verdana" w:hAnsi="Verdana"/>
                <w:szCs w:val="24"/>
              </w:rPr>
            </w:pPr>
          </w:p>
        </w:tc>
      </w:tr>
      <w:tr w:rsidR="00AB0C52" w:rsidRPr="008E4CA8" w14:paraId="16EA3FBC" w14:textId="77777777" w:rsidTr="00F20EDD">
        <w:trPr>
          <w:cantSplit/>
        </w:trPr>
        <w:tc>
          <w:tcPr>
            <w:tcW w:w="6345" w:type="dxa"/>
            <w:tcBorders>
              <w:top w:val="single" w:sz="12" w:space="0" w:color="auto"/>
            </w:tcBorders>
          </w:tcPr>
          <w:p w14:paraId="528B1F8A" w14:textId="77777777" w:rsidR="00AB0C52" w:rsidRPr="008E4CA8" w:rsidRDefault="00AB0C52" w:rsidP="00C34D3C">
            <w:pPr>
              <w:spacing w:before="0" w:after="48"/>
              <w:rPr>
                <w:rFonts w:ascii="Verdana" w:hAnsi="Verdana"/>
                <w:b/>
                <w:smallCaps/>
                <w:sz w:val="20"/>
              </w:rPr>
            </w:pPr>
          </w:p>
        </w:tc>
        <w:tc>
          <w:tcPr>
            <w:tcW w:w="3686" w:type="dxa"/>
            <w:tcBorders>
              <w:top w:val="single" w:sz="12" w:space="0" w:color="auto"/>
            </w:tcBorders>
          </w:tcPr>
          <w:p w14:paraId="3E45CD85" w14:textId="77777777" w:rsidR="00AB0C52" w:rsidRPr="008E4CA8" w:rsidRDefault="00AB0C52" w:rsidP="00C34D3C">
            <w:pPr>
              <w:spacing w:before="0"/>
              <w:rPr>
                <w:rFonts w:ascii="Verdana" w:hAnsi="Verdana"/>
                <w:sz w:val="20"/>
              </w:rPr>
            </w:pPr>
          </w:p>
        </w:tc>
      </w:tr>
      <w:tr w:rsidR="00AB0C52" w:rsidRPr="008E4CA8" w14:paraId="20F5CD88" w14:textId="77777777" w:rsidTr="00F20EDD">
        <w:trPr>
          <w:cantSplit/>
          <w:trHeight w:val="23"/>
        </w:trPr>
        <w:tc>
          <w:tcPr>
            <w:tcW w:w="6345" w:type="dxa"/>
            <w:vMerge w:val="restart"/>
          </w:tcPr>
          <w:p w14:paraId="35D94316" w14:textId="77777777" w:rsidR="00AB0C52" w:rsidRPr="008E4CA8" w:rsidRDefault="00AB0C52" w:rsidP="00C34D3C">
            <w:pPr>
              <w:tabs>
                <w:tab w:val="left" w:pos="851"/>
              </w:tabs>
              <w:spacing w:before="0"/>
              <w:rPr>
                <w:rFonts w:ascii="Verdana" w:hAnsi="Verdana"/>
                <w:b/>
                <w:sz w:val="20"/>
              </w:rPr>
            </w:pPr>
            <w:r w:rsidRPr="008E4CA8">
              <w:rPr>
                <w:rFonts w:ascii="Verdana" w:hAnsi="Verdana"/>
                <w:b/>
                <w:sz w:val="20"/>
              </w:rPr>
              <w:t>SESIÓN PLENARIA</w:t>
            </w:r>
          </w:p>
          <w:p w14:paraId="7C4D9A52" w14:textId="77777777" w:rsidR="00C34D3C" w:rsidRPr="008E4CA8" w:rsidRDefault="00C34D3C" w:rsidP="00C34D3C">
            <w:pPr>
              <w:tabs>
                <w:tab w:val="left" w:pos="851"/>
              </w:tabs>
              <w:spacing w:before="0"/>
              <w:rPr>
                <w:rFonts w:ascii="Verdana" w:hAnsi="Verdana"/>
                <w:b/>
                <w:sz w:val="20"/>
              </w:rPr>
            </w:pPr>
          </w:p>
          <w:p w14:paraId="339BCFA9" w14:textId="3A0954E5" w:rsidR="00C34D3C" w:rsidRPr="008E4CA8" w:rsidRDefault="00696F13" w:rsidP="005E6EB7">
            <w:pPr>
              <w:tabs>
                <w:tab w:val="left" w:pos="851"/>
              </w:tabs>
              <w:spacing w:before="0"/>
              <w:rPr>
                <w:rFonts w:ascii="Verdana" w:hAnsi="Verdana"/>
                <w:b/>
                <w:sz w:val="20"/>
              </w:rPr>
            </w:pPr>
            <w:r w:rsidRPr="008E4CA8">
              <w:rPr>
                <w:rFonts w:ascii="Verdana" w:hAnsi="Verdana"/>
                <w:sz w:val="20"/>
              </w:rPr>
              <w:t>Asunto</w:t>
            </w:r>
            <w:r w:rsidR="00C34D3C" w:rsidRPr="008E4CA8">
              <w:rPr>
                <w:rFonts w:ascii="Verdana" w:hAnsi="Verdana"/>
                <w:sz w:val="20"/>
              </w:rPr>
              <w:t>:</w:t>
            </w:r>
            <w:r w:rsidR="00C34D3C" w:rsidRPr="008E4CA8">
              <w:rPr>
                <w:rFonts w:ascii="Verdana" w:hAnsi="Verdana"/>
                <w:sz w:val="20"/>
              </w:rPr>
              <w:tab/>
            </w:r>
            <w:r w:rsidR="00C34D3C" w:rsidRPr="008E4CA8">
              <w:rPr>
                <w:rFonts w:ascii="Verdana" w:hAnsi="Verdana"/>
                <w:sz w:val="20"/>
              </w:rPr>
              <w:tab/>
              <w:t>Resolución 59-1</w:t>
            </w:r>
          </w:p>
        </w:tc>
        <w:tc>
          <w:tcPr>
            <w:tcW w:w="3686" w:type="dxa"/>
          </w:tcPr>
          <w:p w14:paraId="7B7A615B" w14:textId="02396CF6" w:rsidR="00AB0C52" w:rsidRPr="008E4CA8" w:rsidRDefault="00AB0C52" w:rsidP="00C34D3C">
            <w:pPr>
              <w:tabs>
                <w:tab w:val="left" w:pos="851"/>
              </w:tabs>
              <w:spacing w:before="0"/>
              <w:rPr>
                <w:rFonts w:ascii="Verdana" w:hAnsi="Verdana"/>
                <w:b/>
                <w:sz w:val="20"/>
              </w:rPr>
            </w:pPr>
            <w:r w:rsidRPr="008E4CA8">
              <w:rPr>
                <w:rFonts w:ascii="Verdana" w:hAnsi="Verdana"/>
                <w:b/>
                <w:sz w:val="20"/>
              </w:rPr>
              <w:t>Documento RA19/PLEN/2</w:t>
            </w:r>
            <w:r w:rsidR="00433DB7" w:rsidRPr="008E4CA8">
              <w:rPr>
                <w:rFonts w:ascii="Verdana" w:hAnsi="Verdana"/>
                <w:b/>
                <w:sz w:val="20"/>
              </w:rPr>
              <w:t>7</w:t>
            </w:r>
            <w:r w:rsidRPr="008E4CA8">
              <w:rPr>
                <w:rFonts w:ascii="Verdana" w:hAnsi="Verdana"/>
                <w:b/>
                <w:sz w:val="20"/>
              </w:rPr>
              <w:t>-S</w:t>
            </w:r>
          </w:p>
        </w:tc>
      </w:tr>
      <w:tr w:rsidR="00AB0C52" w:rsidRPr="008E4CA8" w14:paraId="43280C1C" w14:textId="77777777" w:rsidTr="00F20EDD">
        <w:trPr>
          <w:cantSplit/>
          <w:trHeight w:val="23"/>
        </w:trPr>
        <w:tc>
          <w:tcPr>
            <w:tcW w:w="6345" w:type="dxa"/>
            <w:vMerge/>
          </w:tcPr>
          <w:p w14:paraId="10DA9C6C" w14:textId="77777777" w:rsidR="00AB0C52" w:rsidRPr="008E4CA8" w:rsidRDefault="00AB0C52" w:rsidP="00C34D3C">
            <w:pPr>
              <w:tabs>
                <w:tab w:val="left" w:pos="851"/>
              </w:tabs>
              <w:spacing w:before="0"/>
              <w:rPr>
                <w:rFonts w:ascii="Verdana" w:hAnsi="Verdana"/>
                <w:b/>
                <w:sz w:val="20"/>
              </w:rPr>
            </w:pPr>
          </w:p>
        </w:tc>
        <w:tc>
          <w:tcPr>
            <w:tcW w:w="3686" w:type="dxa"/>
          </w:tcPr>
          <w:p w14:paraId="2DAF8FB0" w14:textId="77777777" w:rsidR="00AB0C52" w:rsidRPr="008E4CA8" w:rsidRDefault="00AB0C52" w:rsidP="00C34D3C">
            <w:pPr>
              <w:tabs>
                <w:tab w:val="left" w:pos="993"/>
              </w:tabs>
              <w:spacing w:before="0"/>
              <w:rPr>
                <w:rFonts w:ascii="Verdana" w:hAnsi="Verdana"/>
                <w:b/>
                <w:sz w:val="20"/>
              </w:rPr>
            </w:pPr>
            <w:r w:rsidRPr="008E4CA8">
              <w:rPr>
                <w:rFonts w:ascii="Verdana" w:hAnsi="Verdana"/>
                <w:b/>
                <w:sz w:val="20"/>
              </w:rPr>
              <w:t>30 de septiembre de 2019</w:t>
            </w:r>
          </w:p>
        </w:tc>
      </w:tr>
      <w:tr w:rsidR="00AB0C52" w:rsidRPr="008E4CA8" w14:paraId="26FDFB28" w14:textId="77777777" w:rsidTr="00F20EDD">
        <w:trPr>
          <w:cantSplit/>
          <w:trHeight w:val="23"/>
        </w:trPr>
        <w:tc>
          <w:tcPr>
            <w:tcW w:w="6345" w:type="dxa"/>
            <w:vMerge/>
          </w:tcPr>
          <w:p w14:paraId="72655859" w14:textId="77777777" w:rsidR="00AB0C52" w:rsidRPr="008E4CA8" w:rsidRDefault="00AB0C52" w:rsidP="00C34D3C">
            <w:pPr>
              <w:tabs>
                <w:tab w:val="left" w:pos="851"/>
              </w:tabs>
              <w:spacing w:before="0"/>
              <w:rPr>
                <w:rFonts w:ascii="Verdana" w:hAnsi="Verdana"/>
                <w:b/>
                <w:sz w:val="20"/>
              </w:rPr>
            </w:pPr>
          </w:p>
        </w:tc>
        <w:tc>
          <w:tcPr>
            <w:tcW w:w="3686" w:type="dxa"/>
          </w:tcPr>
          <w:p w14:paraId="34FB47CB" w14:textId="77777777" w:rsidR="00AB0C52" w:rsidRPr="008E4CA8" w:rsidRDefault="00AB0C52" w:rsidP="00C34D3C">
            <w:pPr>
              <w:tabs>
                <w:tab w:val="left" w:pos="993"/>
              </w:tabs>
              <w:spacing w:before="0"/>
              <w:rPr>
                <w:rFonts w:ascii="Verdana" w:hAnsi="Verdana"/>
                <w:b/>
                <w:sz w:val="20"/>
              </w:rPr>
            </w:pPr>
            <w:r w:rsidRPr="008E4CA8">
              <w:rPr>
                <w:rFonts w:ascii="Verdana" w:hAnsi="Verdana"/>
                <w:b/>
                <w:sz w:val="20"/>
              </w:rPr>
              <w:t>Original: inglés</w:t>
            </w:r>
          </w:p>
        </w:tc>
      </w:tr>
      <w:tr w:rsidR="00AB0C52" w:rsidRPr="008E4CA8" w14:paraId="20CE03EB" w14:textId="77777777" w:rsidTr="00F20EDD">
        <w:trPr>
          <w:cantSplit/>
          <w:trHeight w:val="23"/>
        </w:trPr>
        <w:tc>
          <w:tcPr>
            <w:tcW w:w="10031" w:type="dxa"/>
            <w:gridSpan w:val="2"/>
          </w:tcPr>
          <w:p w14:paraId="78990126" w14:textId="7CF81A7C" w:rsidR="00AB0C52" w:rsidRPr="008E4CA8" w:rsidRDefault="00433DB7" w:rsidP="00C34D3C">
            <w:pPr>
              <w:pStyle w:val="Source"/>
            </w:pPr>
            <w:r w:rsidRPr="008E4CA8">
              <w:t>Alemania</w:t>
            </w:r>
            <w:r w:rsidR="00AB0C52" w:rsidRPr="008E4CA8">
              <w:t xml:space="preserve"> (República </w:t>
            </w:r>
            <w:r w:rsidRPr="008E4CA8">
              <w:t>Federal</w:t>
            </w:r>
            <w:r w:rsidR="00AB0C52" w:rsidRPr="008E4CA8">
              <w:t xml:space="preserve"> de)</w:t>
            </w:r>
          </w:p>
        </w:tc>
      </w:tr>
      <w:tr w:rsidR="00AB0C52" w:rsidRPr="008E4CA8" w14:paraId="347E777F" w14:textId="77777777" w:rsidTr="00F20EDD">
        <w:trPr>
          <w:cantSplit/>
          <w:trHeight w:val="410"/>
        </w:trPr>
        <w:tc>
          <w:tcPr>
            <w:tcW w:w="10031" w:type="dxa"/>
            <w:gridSpan w:val="2"/>
          </w:tcPr>
          <w:p w14:paraId="1A79249E" w14:textId="1D2E4610" w:rsidR="00AB0C52" w:rsidRPr="008E4CA8" w:rsidRDefault="00433DB7" w:rsidP="00C34D3C">
            <w:pPr>
              <w:pStyle w:val="ResNo"/>
            </w:pPr>
            <w:r w:rsidRPr="008E4CA8">
              <w:t>opinión sobre una propuesta de actualización de la resolución uit-r 59-1</w:t>
            </w:r>
          </w:p>
        </w:tc>
      </w:tr>
      <w:tr w:rsidR="00192E45" w:rsidRPr="008E4CA8" w14:paraId="10282AED" w14:textId="77777777">
        <w:trPr>
          <w:cantSplit/>
        </w:trPr>
        <w:tc>
          <w:tcPr>
            <w:tcW w:w="10031" w:type="dxa"/>
            <w:gridSpan w:val="2"/>
          </w:tcPr>
          <w:p w14:paraId="72BB2285" w14:textId="0BD9F6BB" w:rsidR="00192E45" w:rsidRPr="008E4CA8" w:rsidRDefault="00CE728F" w:rsidP="00C34D3C">
            <w:pPr>
              <w:pStyle w:val="Restitle"/>
            </w:pPr>
            <w:bookmarkStart w:id="0" w:name="dtitle2" w:colFirst="0" w:colLast="0"/>
            <w:r w:rsidRPr="008E4CA8">
              <w:rPr>
                <w:lang w:eastAsia="nl-NL"/>
              </w:rPr>
              <w:t xml:space="preserve">Estudios sobre disponibilidad de bandas de frecuencias y/o gamas de sintonía </w:t>
            </w:r>
            <w:r w:rsidRPr="008E4CA8">
              <w:t>para</w:t>
            </w:r>
            <w:r w:rsidRPr="008E4CA8">
              <w:rPr>
                <w:lang w:eastAsia="nl-NL"/>
              </w:rPr>
              <w:t xml:space="preserve"> la armonización a nivel mundial y/o regional y condiciones para su utilización por los sistemas electrónicos terrenales de periodismo electrónico</w:t>
            </w:r>
          </w:p>
        </w:tc>
      </w:tr>
      <w:tr w:rsidR="00192E45" w:rsidRPr="008E4CA8" w14:paraId="50954B7D" w14:textId="77777777">
        <w:trPr>
          <w:cantSplit/>
        </w:trPr>
        <w:tc>
          <w:tcPr>
            <w:tcW w:w="10031" w:type="dxa"/>
            <w:gridSpan w:val="2"/>
          </w:tcPr>
          <w:p w14:paraId="70037B12" w14:textId="55364F2F" w:rsidR="00192E45" w:rsidRPr="008E4CA8" w:rsidRDefault="00192E45" w:rsidP="00C34D3C">
            <w:pPr>
              <w:pStyle w:val="Title3"/>
              <w:rPr>
                <w:b/>
                <w:bCs/>
              </w:rPr>
            </w:pPr>
            <w:bookmarkStart w:id="1" w:name="dtitle3" w:colFirst="0" w:colLast="0"/>
            <w:bookmarkEnd w:id="0"/>
          </w:p>
        </w:tc>
      </w:tr>
    </w:tbl>
    <w:p w14:paraId="13403ABE" w14:textId="46A7052B" w:rsidR="00433DB7" w:rsidRPr="008E4CA8" w:rsidRDefault="00433DB7" w:rsidP="00C34D3C">
      <w:pPr>
        <w:pStyle w:val="Headingb"/>
      </w:pPr>
      <w:bookmarkStart w:id="2" w:name="dbreak"/>
      <w:bookmarkEnd w:id="1"/>
      <w:bookmarkEnd w:id="2"/>
      <w:r w:rsidRPr="008E4CA8">
        <w:t>Resumen</w:t>
      </w:r>
    </w:p>
    <w:p w14:paraId="107E192B" w14:textId="62ADCD96" w:rsidR="00433DB7" w:rsidRPr="008E4CA8" w:rsidRDefault="00433DB7" w:rsidP="00C34D3C">
      <w:r w:rsidRPr="008E4CA8">
        <w:t>Tras reflexionar sobre las propuestas existentes y los resultados asociado</w:t>
      </w:r>
      <w:r w:rsidR="00F03596" w:rsidRPr="008E4CA8">
        <w:t>s en relación con la Resolución </w:t>
      </w:r>
      <w:r w:rsidRPr="008E4CA8">
        <w:rPr>
          <w:b/>
          <w:bCs/>
        </w:rPr>
        <w:t xml:space="preserve">59-1 </w:t>
      </w:r>
      <w:r w:rsidRPr="008E4CA8">
        <w:t>durante el último ciclo, Alemania ha observado que no se ha avanzado en los trabajos de</w:t>
      </w:r>
      <w:r w:rsidR="00F03596" w:rsidRPr="008E4CA8">
        <w:t xml:space="preserve"> actualización de la Resolución </w:t>
      </w:r>
      <w:r w:rsidRPr="008E4CA8">
        <w:rPr>
          <w:b/>
          <w:bCs/>
        </w:rPr>
        <w:t xml:space="preserve">59-1 </w:t>
      </w:r>
      <w:r w:rsidRPr="008E4CA8">
        <w:t xml:space="preserve">sobre los estudios relativos a la disponibilidad de bandas de frecuencias y/o gamas de sintonía para la armonización a nivel mundial y/o regional y condiciones para su utilización por los sistemas electrónicos terrenales de periodismo electrónico (ENG). </w:t>
      </w:r>
      <w:r w:rsidR="00F03596" w:rsidRPr="008E4CA8">
        <w:t>La CE</w:t>
      </w:r>
      <w:r w:rsidR="00E22F70" w:rsidRPr="008E4CA8">
        <w:t> </w:t>
      </w:r>
      <w:r w:rsidR="00F03596" w:rsidRPr="008E4CA8">
        <w:t>5 eligió al GT </w:t>
      </w:r>
      <w:r w:rsidR="002D7058" w:rsidRPr="008E4CA8">
        <w:t>5C para encargarle l</w:t>
      </w:r>
      <w:r w:rsidR="00F03596" w:rsidRPr="008E4CA8">
        <w:t>os trabajos sobre la Resolución </w:t>
      </w:r>
      <w:r w:rsidR="002D7058" w:rsidRPr="008E4CA8">
        <w:rPr>
          <w:b/>
          <w:bCs/>
        </w:rPr>
        <w:t>59-1</w:t>
      </w:r>
      <w:r w:rsidR="002D7058" w:rsidRPr="008E4CA8">
        <w:t xml:space="preserve">. </w:t>
      </w:r>
      <w:r w:rsidR="00A8750D">
        <w:t xml:space="preserve">En opinión de </w:t>
      </w:r>
      <w:r w:rsidR="002D7058" w:rsidRPr="008E4CA8">
        <w:t>Alemania</w:t>
      </w:r>
      <w:r w:rsidR="00A8750D">
        <w:t xml:space="preserve">, </w:t>
      </w:r>
      <w:bookmarkStart w:id="3" w:name="_GoBack"/>
      <w:bookmarkEnd w:id="3"/>
      <w:r w:rsidR="002D7058" w:rsidRPr="008E4CA8">
        <w:t>hay que revisar y renovar las tareas para superar la falta de orientación de los grup</w:t>
      </w:r>
      <w:r w:rsidR="00F03596" w:rsidRPr="008E4CA8">
        <w:t>os involucrados, a saber, el GT 5A y el GT </w:t>
      </w:r>
      <w:r w:rsidR="002D7058" w:rsidRPr="008E4CA8">
        <w:t>5C. Además, Alemania considera que la cuestión de la continuación de los estudios sobre ENG/OB, SAB/SAP y PMSE no exige ninguna actualización sustancial d</w:t>
      </w:r>
      <w:r w:rsidR="00F03596" w:rsidRPr="008E4CA8">
        <w:t>e la Resolución </w:t>
      </w:r>
      <w:r w:rsidR="002D7058" w:rsidRPr="008E4CA8">
        <w:rPr>
          <w:b/>
          <w:bCs/>
        </w:rPr>
        <w:t xml:space="preserve">59-1 </w:t>
      </w:r>
      <w:r w:rsidR="002D7058" w:rsidRPr="008E4CA8">
        <w:t xml:space="preserve">teniendo en cuenta el resultado </w:t>
      </w:r>
      <w:r w:rsidR="00F03596" w:rsidRPr="008E4CA8">
        <w:t>de la reciente reunión de la CE </w:t>
      </w:r>
      <w:r w:rsidR="002D7058" w:rsidRPr="008E4CA8">
        <w:t>5.</w:t>
      </w:r>
    </w:p>
    <w:p w14:paraId="3AA3915B" w14:textId="16910DF9" w:rsidR="00633E08" w:rsidRPr="008E4CA8" w:rsidRDefault="00633E08" w:rsidP="00C34D3C">
      <w:pPr>
        <w:pStyle w:val="Headingb"/>
      </w:pPr>
      <w:r w:rsidRPr="008E4CA8">
        <w:t>Introducción</w:t>
      </w:r>
    </w:p>
    <w:p w14:paraId="55D1B72A" w14:textId="283C4FCE" w:rsidR="00633E08" w:rsidRPr="008E4CA8" w:rsidRDefault="00633E08" w:rsidP="00C34D3C">
      <w:r w:rsidRPr="008E4CA8">
        <w:t>La actualiz</w:t>
      </w:r>
      <w:r w:rsidR="00F03596" w:rsidRPr="008E4CA8">
        <w:t>ación prevista de la Resolución </w:t>
      </w:r>
      <w:r w:rsidRPr="008E4CA8">
        <w:rPr>
          <w:b/>
          <w:bCs/>
        </w:rPr>
        <w:t>59-1</w:t>
      </w:r>
      <w:r w:rsidRPr="008E4CA8">
        <w:t xml:space="preserve"> consistirá en Informes y Recomendaciones actualizados y nuevos que proporcionen una visión general de las frecuencias disponibles actualmente y de las condiciones de utilización a escala mundial. Uno de esos Informes o Recomendaciones también debe proporcionar orientación sobre la disponibilidad de espectro y el acceso a estas importantes aplicaciones. Todos los trabajos actuales, </w:t>
      </w:r>
      <w:r w:rsidR="00A709C4" w:rsidRPr="008E4CA8">
        <w:t>principalmente los que se encuentran</w:t>
      </w:r>
      <w:r w:rsidRPr="008E4CA8">
        <w:t xml:space="preserve"> en curso en </w:t>
      </w:r>
      <w:r w:rsidR="00A709C4" w:rsidRPr="008E4CA8">
        <w:t>diversos</w:t>
      </w:r>
      <w:r w:rsidRPr="008E4CA8">
        <w:t xml:space="preserve"> grupos de trabajo de la UIT, van a proporcionar la información necesaria, pero se considera</w:t>
      </w:r>
      <w:r w:rsidR="00A709C4" w:rsidRPr="008E4CA8">
        <w:t>n</w:t>
      </w:r>
      <w:r w:rsidRPr="008E4CA8">
        <w:t xml:space="preserve"> bastante inmaduro</w:t>
      </w:r>
      <w:r w:rsidR="00A709C4" w:rsidRPr="008E4CA8">
        <w:t>s</w:t>
      </w:r>
      <w:r w:rsidRPr="008E4CA8">
        <w:t xml:space="preserve"> para </w:t>
      </w:r>
      <w:r w:rsidR="00A709C4" w:rsidRPr="008E4CA8">
        <w:t>utilizarlos en la</w:t>
      </w:r>
      <w:r w:rsidRPr="008E4CA8">
        <w:t xml:space="preserve"> actualización de la Resolución al final de este ciclo.</w:t>
      </w:r>
    </w:p>
    <w:p w14:paraId="50A3D9EE" w14:textId="24E2AD14" w:rsidR="00A709C4" w:rsidRPr="008E4CA8" w:rsidRDefault="00836D56" w:rsidP="005E6EB7">
      <w:pPr>
        <w:keepLines/>
      </w:pPr>
      <w:r w:rsidRPr="008E4CA8">
        <w:lastRenderedPageBreak/>
        <w:t>Los</w:t>
      </w:r>
      <w:r w:rsidR="00A709C4" w:rsidRPr="008E4CA8">
        <w:t xml:space="preserve"> trabajo</w:t>
      </w:r>
      <w:r w:rsidRPr="008E4CA8">
        <w:t>s</w:t>
      </w:r>
      <w:r w:rsidR="00A709C4" w:rsidRPr="008E4CA8">
        <w:t xml:space="preserve"> se centra</w:t>
      </w:r>
      <w:r w:rsidRPr="008E4CA8">
        <w:t>n</w:t>
      </w:r>
      <w:r w:rsidR="00A709C4" w:rsidRPr="008E4CA8">
        <w:t xml:space="preserve"> actualmente en los términos comunes utilizados en la UIT</w:t>
      </w:r>
      <w:r w:rsidR="00421ED9" w:rsidRPr="008E4CA8">
        <w:rPr>
          <w:rStyle w:val="FootnoteReference"/>
        </w:rPr>
        <w:footnoteReference w:customMarkFollows="1" w:id="1"/>
        <w:t>1</w:t>
      </w:r>
      <w:r w:rsidR="00A709C4" w:rsidRPr="008E4CA8">
        <w:t xml:space="preserve"> para </w:t>
      </w:r>
      <w:r w:rsidRPr="008E4CA8">
        <w:t>estos</w:t>
      </w:r>
      <w:r w:rsidR="00A709C4" w:rsidRPr="008E4CA8">
        <w:t xml:space="preserve"> equipos, por ejemplo, los micrófonos inalámbricos y los sistemas de </w:t>
      </w:r>
      <w:r w:rsidR="00002132" w:rsidRPr="008E4CA8">
        <w:t>transmisión simultánea</w:t>
      </w:r>
      <w:r w:rsidR="00A709C4" w:rsidRPr="008E4CA8">
        <w:t xml:space="preserve"> de </w:t>
      </w:r>
      <w:r w:rsidR="00421ED9" w:rsidRPr="008E4CA8">
        <w:t xml:space="preserve">instrucciones. </w:t>
      </w:r>
      <w:r w:rsidR="00A709C4" w:rsidRPr="008E4CA8">
        <w:t xml:space="preserve">Los sistemas inalámbricos de control auricular y las cámaras de vídeo inalámbricas son las principales herramientas </w:t>
      </w:r>
      <w:r w:rsidR="008E2C48" w:rsidRPr="008E4CA8">
        <w:t xml:space="preserve">inalámbricas </w:t>
      </w:r>
      <w:r w:rsidR="00A709C4" w:rsidRPr="008E4CA8">
        <w:t xml:space="preserve">de producción que se utilizan </w:t>
      </w:r>
      <w:r w:rsidR="00837A60" w:rsidRPr="008E4CA8">
        <w:t xml:space="preserve">de forma generalizada y </w:t>
      </w:r>
      <w:r w:rsidR="00A709C4" w:rsidRPr="008E4CA8">
        <w:t xml:space="preserve">a diario para la </w:t>
      </w:r>
      <w:r w:rsidR="008E2C48" w:rsidRPr="008E4CA8">
        <w:t>creación</w:t>
      </w:r>
      <w:r w:rsidR="00A709C4" w:rsidRPr="008E4CA8">
        <w:t xml:space="preserve">/captura de </w:t>
      </w:r>
      <w:r w:rsidR="008E2C48" w:rsidRPr="008E4CA8">
        <w:t xml:space="preserve">los </w:t>
      </w:r>
      <w:r w:rsidR="00A709C4" w:rsidRPr="008E4CA8">
        <w:t xml:space="preserve">contenidos audiovisuales, noticias y eventos que se distribuyen en todo el mundo a una audiencia mundial a través de una </w:t>
      </w:r>
      <w:r w:rsidR="008E2C48" w:rsidRPr="008E4CA8">
        <w:t>vasta</w:t>
      </w:r>
      <w:r w:rsidR="00A709C4" w:rsidRPr="008E4CA8">
        <w:t xml:space="preserve"> gama de plataformas de distribución. Un gran número de </w:t>
      </w:r>
      <w:r w:rsidR="00837A60" w:rsidRPr="008E4CA8">
        <w:t xml:space="preserve">los </w:t>
      </w:r>
      <w:r w:rsidR="00A709C4" w:rsidRPr="008E4CA8">
        <w:t>sectores que realizan estas actividades</w:t>
      </w:r>
      <w:r w:rsidR="00421ED9" w:rsidRPr="008E4CA8">
        <w:rPr>
          <w:rStyle w:val="FootnoteReference"/>
        </w:rPr>
        <w:footnoteReference w:customMarkFollows="1" w:id="2"/>
        <w:t>2</w:t>
      </w:r>
      <w:r w:rsidR="00A709C4" w:rsidRPr="008E4CA8">
        <w:t xml:space="preserve"> dependen de la disponibilidad de espectro radioeléctrico, </w:t>
      </w:r>
      <w:r w:rsidR="008E2C48" w:rsidRPr="008E4CA8">
        <w:t xml:space="preserve">pero aún deben estudiarse y examinarse algunos de sus </w:t>
      </w:r>
      <w:r w:rsidR="00A709C4" w:rsidRPr="008E4CA8">
        <w:t xml:space="preserve">aspectos. </w:t>
      </w:r>
      <w:r w:rsidR="006C01B0" w:rsidRPr="008E4CA8">
        <w:t>O</w:t>
      </w:r>
      <w:r w:rsidR="00A709C4" w:rsidRPr="008E4CA8">
        <w:t xml:space="preserve">tros usuarios/sectores de </w:t>
      </w:r>
      <w:r w:rsidR="006C01B0" w:rsidRPr="008E4CA8">
        <w:t xml:space="preserve">la </w:t>
      </w:r>
      <w:r w:rsidR="00A709C4" w:rsidRPr="008E4CA8">
        <w:t xml:space="preserve">PMSE de audio que utilizan </w:t>
      </w:r>
      <w:r w:rsidR="00837A60" w:rsidRPr="008E4CA8">
        <w:t>espectro en las bandas de ondas métricas y decimétricas</w:t>
      </w:r>
      <w:r w:rsidR="00A709C4" w:rsidRPr="008E4CA8">
        <w:t xml:space="preserve"> son las organizaciones de noticias, los servicios de salud, </w:t>
      </w:r>
      <w:r w:rsidR="00837A60" w:rsidRPr="008E4CA8">
        <w:t>las instituciones docentes</w:t>
      </w:r>
      <w:r w:rsidR="00A709C4" w:rsidRPr="008E4CA8">
        <w:t xml:space="preserve">, </w:t>
      </w:r>
      <w:r w:rsidR="00837A60" w:rsidRPr="008E4CA8">
        <w:t>los</w:t>
      </w:r>
      <w:r w:rsidR="00A709C4" w:rsidRPr="008E4CA8">
        <w:t xml:space="preserve"> gobierno</w:t>
      </w:r>
      <w:r w:rsidR="00837A60" w:rsidRPr="008E4CA8">
        <w:t>s</w:t>
      </w:r>
      <w:r w:rsidR="00A709C4" w:rsidRPr="008E4CA8">
        <w:t xml:space="preserve"> local</w:t>
      </w:r>
      <w:r w:rsidR="00837A60" w:rsidRPr="008E4CA8">
        <w:t>es</w:t>
      </w:r>
      <w:r w:rsidR="00A709C4" w:rsidRPr="008E4CA8">
        <w:t xml:space="preserve">, </w:t>
      </w:r>
      <w:r w:rsidR="006C01B0" w:rsidRPr="008E4CA8">
        <w:t>los programas de</w:t>
      </w:r>
      <w:r w:rsidR="00A709C4" w:rsidRPr="008E4CA8">
        <w:t xml:space="preserve"> política y la cobertura electoral, las </w:t>
      </w:r>
      <w:r w:rsidR="006C01B0" w:rsidRPr="008E4CA8">
        <w:t>ceremonias</w:t>
      </w:r>
      <w:r w:rsidR="00A709C4" w:rsidRPr="008E4CA8">
        <w:t xml:space="preserve"> religiosas y las conferencias. Por consiguiente, los Informes y Recomendaciones del UIT</w:t>
      </w:r>
      <w:r w:rsidR="00F03596" w:rsidRPr="008E4CA8">
        <w:t>-R mencionados en la Resolución </w:t>
      </w:r>
      <w:r w:rsidR="00A709C4" w:rsidRPr="008E4CA8">
        <w:rPr>
          <w:b/>
        </w:rPr>
        <w:t>59</w:t>
      </w:r>
      <w:r w:rsidR="002B2C9C" w:rsidRPr="008E4CA8">
        <w:rPr>
          <w:b/>
        </w:rPr>
        <w:t>-1</w:t>
      </w:r>
      <w:r w:rsidR="00A709C4" w:rsidRPr="008E4CA8">
        <w:t xml:space="preserve"> deben actualizarse y mejorarse en lo que respecta a la utilización de las bandas, el posible espectro disponible, las tecnologías actuales y futuras y las posibles técnicas de </w:t>
      </w:r>
      <w:r w:rsidR="00285B1F" w:rsidRPr="008E4CA8">
        <w:t>mitigación que</w:t>
      </w:r>
      <w:r w:rsidR="00837A60" w:rsidRPr="008E4CA8">
        <w:t xml:space="preserve"> permitan</w:t>
      </w:r>
      <w:r w:rsidR="00A709C4" w:rsidRPr="008E4CA8">
        <w:t xml:space="preserve"> compartirlas con otros servicios y aplicaciones.</w:t>
      </w:r>
    </w:p>
    <w:p w14:paraId="09F1B840" w14:textId="3078A466" w:rsidR="00837A60" w:rsidRPr="008E4CA8" w:rsidRDefault="00837A60" w:rsidP="00C34D3C">
      <w:pPr>
        <w:pStyle w:val="Headingb"/>
      </w:pPr>
      <w:r w:rsidRPr="008E4CA8">
        <w:t>Propuesta</w:t>
      </w:r>
    </w:p>
    <w:p w14:paraId="1F47B087" w14:textId="73590B47" w:rsidR="00837A60" w:rsidRPr="008E4CA8" w:rsidRDefault="00837A60" w:rsidP="00C34D3C">
      <w:r w:rsidRPr="008E4CA8">
        <w:t xml:space="preserve">Teniendo en cuenta el número de actividades </w:t>
      </w:r>
      <w:r w:rsidR="001933DA" w:rsidRPr="008E4CA8">
        <w:t xml:space="preserve">del UIT-R </w:t>
      </w:r>
      <w:r w:rsidRPr="008E4CA8">
        <w:t>en curso</w:t>
      </w:r>
      <w:r w:rsidR="006C01B0" w:rsidRPr="008E4CA8">
        <w:t>,</w:t>
      </w:r>
      <w:r w:rsidRPr="008E4CA8">
        <w:t xml:space="preserve"> </w:t>
      </w:r>
      <w:r w:rsidR="001933DA" w:rsidRPr="008E4CA8">
        <w:t>en relación con</w:t>
      </w:r>
      <w:r w:rsidRPr="008E4CA8">
        <w:t xml:space="preserve"> la utilización actual de las bandas y tecnologías SAP/SAB, ENG y PMSE, por una parte, y de las tecnologías futuras y la posible utilización de bandas, por otra, </w:t>
      </w:r>
      <w:r w:rsidR="00E22F70" w:rsidRPr="008E4CA8">
        <w:t>es necesario concluir que la CE </w:t>
      </w:r>
      <w:r w:rsidRPr="008E4CA8">
        <w:t xml:space="preserve">5 </w:t>
      </w:r>
      <w:r w:rsidR="006C01B0" w:rsidRPr="008E4CA8">
        <w:t xml:space="preserve">sigue trabajando en </w:t>
      </w:r>
      <w:r w:rsidR="00D1652B" w:rsidRPr="008E4CA8">
        <w:t>cumplimiento de</w:t>
      </w:r>
      <w:r w:rsidR="00F03596" w:rsidRPr="008E4CA8">
        <w:t xml:space="preserve"> la Resolución </w:t>
      </w:r>
      <w:r w:rsidRPr="008E4CA8">
        <w:rPr>
          <w:b/>
          <w:bCs/>
        </w:rPr>
        <w:t>59-1</w:t>
      </w:r>
      <w:r w:rsidRPr="008E4CA8">
        <w:t xml:space="preserve"> y que, una vez que se hayan realizado con éxito los trabajos sobre las cuestiones pendientes, se podrá invitar a l</w:t>
      </w:r>
      <w:r w:rsidR="00F03596" w:rsidRPr="008E4CA8">
        <w:t>a AR-23 a revisar la Resolución </w:t>
      </w:r>
      <w:r w:rsidRPr="008E4CA8">
        <w:rPr>
          <w:b/>
          <w:bCs/>
        </w:rPr>
        <w:t>59-1</w:t>
      </w:r>
      <w:r w:rsidRPr="008E4CA8">
        <w:t xml:space="preserve"> </w:t>
      </w:r>
      <w:r w:rsidR="00826FCC" w:rsidRPr="008E4CA8">
        <w:t>como corresponde</w:t>
      </w:r>
      <w:r w:rsidRPr="008E4CA8">
        <w:t xml:space="preserve">. A este respecto, en el </w:t>
      </w:r>
      <w:r w:rsidR="008E4CA8" w:rsidRPr="008E4CA8">
        <w:t xml:space="preserve">Documento </w:t>
      </w:r>
      <w:r w:rsidR="00F03596" w:rsidRPr="008E4CA8">
        <w:t>5/189-E se invitó a la CE </w:t>
      </w:r>
      <w:r w:rsidRPr="008E4CA8">
        <w:t>5 a informar a la AR-19 sobre su plan de trabajo.</w:t>
      </w:r>
    </w:p>
    <w:p w14:paraId="4540011A" w14:textId="77777777" w:rsidR="002D7058" w:rsidRPr="008E4CA8" w:rsidRDefault="002D7058" w:rsidP="00C34D3C"/>
    <w:p w14:paraId="118A717C" w14:textId="572FA0D0" w:rsidR="00521E96" w:rsidRPr="008E4CA8" w:rsidRDefault="00421ED9" w:rsidP="00C34D3C">
      <w:pPr>
        <w:jc w:val="center"/>
      </w:pPr>
      <w:r w:rsidRPr="008E4CA8">
        <w:t>______________</w:t>
      </w:r>
    </w:p>
    <w:sectPr w:rsidR="00521E96" w:rsidRPr="008E4CA8"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61C2" w14:textId="77777777" w:rsidR="00CB2B9A" w:rsidRDefault="00CB2B9A">
      <w:r>
        <w:separator/>
      </w:r>
    </w:p>
  </w:endnote>
  <w:endnote w:type="continuationSeparator" w:id="0">
    <w:p w14:paraId="50D2CDDE" w14:textId="77777777" w:rsidR="00CB2B9A" w:rsidRDefault="00CB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CC90" w14:textId="50F1C475" w:rsidR="009447A3" w:rsidRPr="00910837" w:rsidRDefault="009447A3">
    <w:pPr>
      <w:rPr>
        <w:lang w:val="es-ES"/>
      </w:rPr>
    </w:pPr>
    <w:r>
      <w:fldChar w:fldCharType="begin"/>
    </w:r>
    <w:r w:rsidRPr="00910837">
      <w:rPr>
        <w:lang w:val="es-ES"/>
      </w:rPr>
      <w:instrText xml:space="preserve"> FILENAME \p  \* MERGEFORMAT </w:instrText>
    </w:r>
    <w:r>
      <w:fldChar w:fldCharType="separate"/>
    </w:r>
    <w:r w:rsidR="00910837">
      <w:rPr>
        <w:noProof/>
        <w:lang w:val="es-ES"/>
      </w:rPr>
      <w:t>P:\ESP\ITU-R\CONF-R\AR19\PLEN\000\027S.docx</w:t>
    </w:r>
    <w:r>
      <w:fldChar w:fldCharType="end"/>
    </w:r>
    <w:r w:rsidRPr="00910837">
      <w:rPr>
        <w:lang w:val="es-ES"/>
      </w:rPr>
      <w:tab/>
    </w:r>
    <w:r>
      <w:fldChar w:fldCharType="begin"/>
    </w:r>
    <w:r>
      <w:instrText xml:space="preserve"> SAVEDATE \@ DD.MM.YY </w:instrText>
    </w:r>
    <w:r>
      <w:fldChar w:fldCharType="separate"/>
    </w:r>
    <w:r w:rsidR="00A8750D">
      <w:rPr>
        <w:noProof/>
      </w:rPr>
      <w:t>04.10.19</w:t>
    </w:r>
    <w:r>
      <w:fldChar w:fldCharType="end"/>
    </w:r>
    <w:r w:rsidRPr="00910837">
      <w:rPr>
        <w:lang w:val="es-ES"/>
      </w:rPr>
      <w:tab/>
    </w:r>
    <w:r>
      <w:fldChar w:fldCharType="begin"/>
    </w:r>
    <w:r>
      <w:instrText xml:space="preserve"> PRINTDATE \@ DD.MM.YY </w:instrText>
    </w:r>
    <w:r>
      <w:fldChar w:fldCharType="separate"/>
    </w:r>
    <w:r w:rsidR="00910837">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59D0" w14:textId="6DDBDDCD" w:rsidR="009447A3" w:rsidRPr="00CE728F" w:rsidRDefault="00CE728F" w:rsidP="00CE728F">
    <w:pPr>
      <w:pStyle w:val="Footer"/>
    </w:pPr>
    <w:r>
      <w:fldChar w:fldCharType="begin"/>
    </w:r>
    <w:r w:rsidRPr="00CE728F">
      <w:instrText xml:space="preserve"> FILENAME \p  \* MERGEFORMAT </w:instrText>
    </w:r>
    <w:r>
      <w:fldChar w:fldCharType="separate"/>
    </w:r>
    <w:r w:rsidR="00910837">
      <w:t>P:\ESP\ITU-R\CONF-R\AR19\PLEN\000\027S.docx</w:t>
    </w:r>
    <w:r>
      <w:fldChar w:fldCharType="end"/>
    </w:r>
    <w:r>
      <w:t xml:space="preserve"> (461616</w:t>
    </w:r>
    <w:r w:rsidRPr="00CE728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9077" w14:textId="6D44C5A0" w:rsidR="009447A3" w:rsidRPr="00CE728F" w:rsidRDefault="00CE728F" w:rsidP="00CE728F">
    <w:pPr>
      <w:pStyle w:val="Footer"/>
    </w:pPr>
    <w:r>
      <w:fldChar w:fldCharType="begin"/>
    </w:r>
    <w:r w:rsidRPr="00CE728F">
      <w:instrText xml:space="preserve"> FILENAME \p  \* MERGEFORMAT </w:instrText>
    </w:r>
    <w:r>
      <w:fldChar w:fldCharType="separate"/>
    </w:r>
    <w:r w:rsidR="00910837">
      <w:t>P:\ESP\ITU-R\CONF-R\AR19\PLEN\000\027S.docx</w:t>
    </w:r>
    <w:r>
      <w:fldChar w:fldCharType="end"/>
    </w:r>
    <w:r>
      <w:t xml:space="preserve"> (461616</w:t>
    </w:r>
    <w:r w:rsidRPr="00CE728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C12B" w14:textId="77777777" w:rsidR="00CB2B9A" w:rsidRDefault="00CB2B9A">
      <w:r>
        <w:rPr>
          <w:b/>
        </w:rPr>
        <w:t>_______________</w:t>
      </w:r>
    </w:p>
  </w:footnote>
  <w:footnote w:type="continuationSeparator" w:id="0">
    <w:p w14:paraId="44516DF4" w14:textId="77777777" w:rsidR="00CB2B9A" w:rsidRDefault="00CB2B9A">
      <w:r>
        <w:continuationSeparator/>
      </w:r>
    </w:p>
  </w:footnote>
  <w:footnote w:id="1">
    <w:p w14:paraId="4B863142" w14:textId="077EB856" w:rsidR="00421ED9" w:rsidRPr="005E6EB7" w:rsidRDefault="00421ED9">
      <w:pPr>
        <w:pStyle w:val="FootnoteText"/>
        <w:rPr>
          <w:lang w:val="en-GB"/>
        </w:rPr>
      </w:pPr>
      <w:r w:rsidRPr="005E6EB7">
        <w:rPr>
          <w:rStyle w:val="FootnoteReference"/>
          <w:lang w:val="en-GB"/>
        </w:rPr>
        <w:t>1</w:t>
      </w:r>
      <w:r w:rsidR="005E6EB7" w:rsidRPr="005E6EB7">
        <w:rPr>
          <w:lang w:val="en-GB"/>
        </w:rPr>
        <w:tab/>
      </w:r>
      <w:r w:rsidRPr="005E6EB7">
        <w:rPr>
          <w:lang w:val="en-GB"/>
        </w:rPr>
        <w:t>ENG/OB, SAB/SAP, SNG</w:t>
      </w:r>
      <w:r w:rsidR="005E6EB7" w:rsidRPr="005E6EB7">
        <w:rPr>
          <w:lang w:val="en-GB"/>
        </w:rPr>
        <w:t>.</w:t>
      </w:r>
    </w:p>
  </w:footnote>
  <w:footnote w:id="2">
    <w:p w14:paraId="29D51737" w14:textId="559EAC09" w:rsidR="00421ED9" w:rsidRPr="00421ED9" w:rsidRDefault="00421ED9">
      <w:pPr>
        <w:pStyle w:val="FootnoteText"/>
        <w:rPr>
          <w:lang w:val="es-ES"/>
        </w:rPr>
      </w:pPr>
      <w:r w:rsidRPr="00421ED9">
        <w:rPr>
          <w:rStyle w:val="FootnoteReference"/>
        </w:rPr>
        <w:t>2</w:t>
      </w:r>
      <w:r w:rsidR="005E6EB7">
        <w:tab/>
      </w:r>
      <w:r w:rsidR="002B2C9C">
        <w:rPr>
          <w:lang w:val="es-ES"/>
        </w:rPr>
        <w:t>P</w:t>
      </w:r>
      <w:r w:rsidRPr="00285B1F">
        <w:rPr>
          <w:lang w:val="es-ES"/>
        </w:rPr>
        <w:t>roducción/captura de contenidos para artes escénicas, radiodifusión, periodismo, producción de televisión y de cine independiente, eventos corporativos, conciertos, locales nocturnos, eventos deportivos y ceremonias religiosas,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92DB" w14:textId="54467126" w:rsidR="00192E45" w:rsidRDefault="00192E45">
    <w:pPr>
      <w:pStyle w:val="Header"/>
    </w:pPr>
    <w:r>
      <w:fldChar w:fldCharType="begin"/>
    </w:r>
    <w:r>
      <w:instrText xml:space="preserve"> PAGE  \* MERGEFORMAT </w:instrText>
    </w:r>
    <w:r>
      <w:fldChar w:fldCharType="separate"/>
    </w:r>
    <w:r w:rsidR="002B2C9C">
      <w:rPr>
        <w:noProof/>
      </w:rPr>
      <w:t>2</w:t>
    </w:r>
    <w:r>
      <w:fldChar w:fldCharType="end"/>
    </w:r>
  </w:p>
  <w:p w14:paraId="4D52C56F" w14:textId="3E4159A8" w:rsidR="00192E45" w:rsidRDefault="00192E45" w:rsidP="00A35F66">
    <w:pPr>
      <w:pStyle w:val="Header"/>
    </w:pPr>
    <w:r>
      <w:t>RA1</w:t>
    </w:r>
    <w:r w:rsidR="00A35F66">
      <w:t>9</w:t>
    </w:r>
    <w:r>
      <w:t>/</w:t>
    </w:r>
    <w:r w:rsidR="000076F8">
      <w:t>PLEN/2</w:t>
    </w:r>
    <w:r w:rsidR="00F03596">
      <w:t>7-S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F8"/>
    <w:rsid w:val="00002132"/>
    <w:rsid w:val="000076F8"/>
    <w:rsid w:val="000D1293"/>
    <w:rsid w:val="00192E45"/>
    <w:rsid w:val="001933DA"/>
    <w:rsid w:val="001B225D"/>
    <w:rsid w:val="00206408"/>
    <w:rsid w:val="00255879"/>
    <w:rsid w:val="00263310"/>
    <w:rsid w:val="00285B1F"/>
    <w:rsid w:val="002A7A7D"/>
    <w:rsid w:val="002B2C9C"/>
    <w:rsid w:val="002D7058"/>
    <w:rsid w:val="0030579C"/>
    <w:rsid w:val="00421ED9"/>
    <w:rsid w:val="00425F3D"/>
    <w:rsid w:val="00433DB7"/>
    <w:rsid w:val="004638D4"/>
    <w:rsid w:val="00471425"/>
    <w:rsid w:val="004844C1"/>
    <w:rsid w:val="00484824"/>
    <w:rsid w:val="00493C0F"/>
    <w:rsid w:val="004D6FFE"/>
    <w:rsid w:val="00521E96"/>
    <w:rsid w:val="0057747B"/>
    <w:rsid w:val="005E0BE1"/>
    <w:rsid w:val="005E6EB7"/>
    <w:rsid w:val="005F1974"/>
    <w:rsid w:val="005F3155"/>
    <w:rsid w:val="006205CF"/>
    <w:rsid w:val="00633E08"/>
    <w:rsid w:val="006904BD"/>
    <w:rsid w:val="00696F13"/>
    <w:rsid w:val="006C01B0"/>
    <w:rsid w:val="0071246B"/>
    <w:rsid w:val="00756B1C"/>
    <w:rsid w:val="00763186"/>
    <w:rsid w:val="007C6911"/>
    <w:rsid w:val="008145E1"/>
    <w:rsid w:val="00826FCC"/>
    <w:rsid w:val="00836D56"/>
    <w:rsid w:val="00837A60"/>
    <w:rsid w:val="00880578"/>
    <w:rsid w:val="008A7B8E"/>
    <w:rsid w:val="008E2C48"/>
    <w:rsid w:val="008E470E"/>
    <w:rsid w:val="008E4CA8"/>
    <w:rsid w:val="00910837"/>
    <w:rsid w:val="009447A3"/>
    <w:rsid w:val="00993768"/>
    <w:rsid w:val="009B64D1"/>
    <w:rsid w:val="009E375D"/>
    <w:rsid w:val="00A05CE9"/>
    <w:rsid w:val="00A35F66"/>
    <w:rsid w:val="00A709C4"/>
    <w:rsid w:val="00A8750D"/>
    <w:rsid w:val="00AB0C52"/>
    <w:rsid w:val="00AD4743"/>
    <w:rsid w:val="00B41ACF"/>
    <w:rsid w:val="00BB03AF"/>
    <w:rsid w:val="00BE5003"/>
    <w:rsid w:val="00BF5E61"/>
    <w:rsid w:val="00C34C7A"/>
    <w:rsid w:val="00C34D3C"/>
    <w:rsid w:val="00C46060"/>
    <w:rsid w:val="00CB1338"/>
    <w:rsid w:val="00CB2B9A"/>
    <w:rsid w:val="00CE728F"/>
    <w:rsid w:val="00D1652B"/>
    <w:rsid w:val="00D262CE"/>
    <w:rsid w:val="00D43C05"/>
    <w:rsid w:val="00D471A9"/>
    <w:rsid w:val="00D50D44"/>
    <w:rsid w:val="00DA716F"/>
    <w:rsid w:val="00E123D4"/>
    <w:rsid w:val="00E22F70"/>
    <w:rsid w:val="00E424C3"/>
    <w:rsid w:val="00EE1A06"/>
    <w:rsid w:val="00EE4AD6"/>
    <w:rsid w:val="00F03596"/>
    <w:rsid w:val="00F14324"/>
    <w:rsid w:val="00F329B0"/>
    <w:rsid w:val="00F71A05"/>
    <w:rsid w:val="00F94CB9"/>
    <w:rsid w:val="00F96E87"/>
    <w:rsid w:val="00FC0AB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CFC629"/>
  <w15:docId w15:val="{281C5244-DB69-4607-971E-3F4DDE5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0076F8"/>
    <w:rPr>
      <w:rFonts w:ascii="Times New Roman" w:hAnsi="Times New Roman"/>
      <w:b/>
      <w:sz w:val="28"/>
      <w:lang w:val="en-GB" w:eastAsia="en-US"/>
    </w:rPr>
  </w:style>
  <w:style w:type="character" w:styleId="Hyperlink">
    <w:name w:val="Hyperlink"/>
    <w:aliases w:val="CEO_Hyperlink"/>
    <w:basedOn w:val="DefaultParagraphFont"/>
    <w:uiPriority w:val="99"/>
    <w:unhideWhenUsed/>
    <w:rsid w:val="000076F8"/>
    <w:rPr>
      <w:rFonts w:cs="Times New Roman"/>
      <w:color w:val="0000FF" w:themeColor="hyperlink"/>
      <w:u w:val="single"/>
    </w:rPr>
  </w:style>
  <w:style w:type="character" w:styleId="FollowedHyperlink">
    <w:name w:val="FollowedHyperlink"/>
    <w:basedOn w:val="DefaultParagraphFont"/>
    <w:semiHidden/>
    <w:unhideWhenUsed/>
    <w:rsid w:val="00AB0C52"/>
    <w:rPr>
      <w:color w:val="800080" w:themeColor="followedHyperlink"/>
      <w:u w:val="single"/>
    </w:rPr>
  </w:style>
  <w:style w:type="paragraph" w:styleId="BalloonText">
    <w:name w:val="Balloon Text"/>
    <w:basedOn w:val="Normal"/>
    <w:link w:val="BalloonTextChar"/>
    <w:semiHidden/>
    <w:unhideWhenUsed/>
    <w:rsid w:val="00F96E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6E8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073B-0FA8-4772-8463-B6769E0B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61</TotalTime>
  <Pages>2</Pages>
  <Words>655</Words>
  <Characters>3634</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Spanish</cp:lastModifiedBy>
  <cp:revision>17</cp:revision>
  <cp:lastPrinted>2019-10-04T13:56:00Z</cp:lastPrinted>
  <dcterms:created xsi:type="dcterms:W3CDTF">2019-10-03T08:55:00Z</dcterms:created>
  <dcterms:modified xsi:type="dcterms:W3CDTF">2019-10-04T14:19:00Z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