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BA4F89C" w14:textId="77777777" w:rsidTr="006A640D">
        <w:trPr>
          <w:cantSplit/>
          <w:trHeight w:val="20"/>
        </w:trPr>
        <w:tc>
          <w:tcPr>
            <w:tcW w:w="6770" w:type="dxa"/>
            <w:vAlign w:val="center"/>
          </w:tcPr>
          <w:p w14:paraId="2FDF99C4"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119" w:type="dxa"/>
          </w:tcPr>
          <w:p w14:paraId="301AB52B" w14:textId="77777777" w:rsidR="00280E04" w:rsidRDefault="00A375BD" w:rsidP="00D44350">
            <w:pPr>
              <w:rPr>
                <w:rtl/>
                <w:lang w:bidi="ar-EG"/>
              </w:rPr>
            </w:pPr>
            <w:bookmarkStart w:id="0" w:name="ditulogo"/>
            <w:bookmarkEnd w:id="0"/>
            <w:r>
              <w:rPr>
                <w:noProof/>
                <w:lang w:val="en-GB" w:eastAsia="zh-CN"/>
              </w:rPr>
              <w:drawing>
                <wp:inline distT="0" distB="0" distL="0" distR="0" wp14:anchorId="1FC50788" wp14:editId="64BEB6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565A42B" w14:textId="77777777" w:rsidTr="00D44350">
        <w:trPr>
          <w:cantSplit/>
          <w:trHeight w:val="20"/>
        </w:trPr>
        <w:tc>
          <w:tcPr>
            <w:tcW w:w="6770" w:type="dxa"/>
            <w:tcBorders>
              <w:bottom w:val="single" w:sz="12" w:space="0" w:color="auto"/>
            </w:tcBorders>
          </w:tcPr>
          <w:p w14:paraId="52E21ECF" w14:textId="77777777" w:rsidR="00280E04" w:rsidRPr="00960962" w:rsidRDefault="00280E04" w:rsidP="00AB1226">
            <w:pPr>
              <w:spacing w:line="240" w:lineRule="exact"/>
              <w:rPr>
                <w:rtl/>
                <w:lang w:bidi="ar-EG"/>
              </w:rPr>
            </w:pPr>
          </w:p>
        </w:tc>
        <w:tc>
          <w:tcPr>
            <w:tcW w:w="3119" w:type="dxa"/>
            <w:tcBorders>
              <w:bottom w:val="single" w:sz="12" w:space="0" w:color="auto"/>
            </w:tcBorders>
          </w:tcPr>
          <w:p w14:paraId="47C4D67F" w14:textId="77777777" w:rsidR="00280E04" w:rsidRPr="00A9645C" w:rsidRDefault="00280E04" w:rsidP="00AB1226">
            <w:pPr>
              <w:spacing w:line="240" w:lineRule="exact"/>
              <w:rPr>
                <w:lang w:bidi="ar-EG"/>
              </w:rPr>
            </w:pPr>
          </w:p>
        </w:tc>
      </w:tr>
      <w:tr w:rsidR="00280E04" w14:paraId="01E436D8" w14:textId="77777777" w:rsidTr="00D44350">
        <w:trPr>
          <w:cantSplit/>
          <w:trHeight w:val="20"/>
        </w:trPr>
        <w:tc>
          <w:tcPr>
            <w:tcW w:w="6770" w:type="dxa"/>
            <w:tcBorders>
              <w:top w:val="single" w:sz="12" w:space="0" w:color="auto"/>
            </w:tcBorders>
          </w:tcPr>
          <w:p w14:paraId="07580441" w14:textId="77777777" w:rsidR="00280E04" w:rsidRPr="00BD6EF3" w:rsidRDefault="00280E04" w:rsidP="00D44350">
            <w:pPr>
              <w:pStyle w:val="Adress"/>
              <w:framePr w:hSpace="0" w:wrap="auto" w:xAlign="left" w:yAlign="inline"/>
              <w:rPr>
                <w:rtl/>
              </w:rPr>
            </w:pPr>
          </w:p>
        </w:tc>
        <w:tc>
          <w:tcPr>
            <w:tcW w:w="3119" w:type="dxa"/>
            <w:tcBorders>
              <w:top w:val="single" w:sz="12" w:space="0" w:color="auto"/>
            </w:tcBorders>
          </w:tcPr>
          <w:p w14:paraId="56A7E40A" w14:textId="77777777" w:rsidR="00280E04" w:rsidRPr="00BD6EF3" w:rsidRDefault="00280E04" w:rsidP="00D44350">
            <w:pPr>
              <w:pStyle w:val="Adress"/>
              <w:framePr w:hSpace="0" w:wrap="auto" w:xAlign="left" w:yAlign="inline"/>
            </w:pPr>
          </w:p>
        </w:tc>
      </w:tr>
      <w:tr w:rsidR="00A809E8" w14:paraId="6626E74F" w14:textId="77777777" w:rsidTr="00D44350">
        <w:trPr>
          <w:cantSplit/>
        </w:trPr>
        <w:tc>
          <w:tcPr>
            <w:tcW w:w="6770" w:type="dxa"/>
          </w:tcPr>
          <w:p w14:paraId="2B189C77" w14:textId="005A6159" w:rsidR="00A809E8" w:rsidRPr="00BD67C0" w:rsidRDefault="00A809E8" w:rsidP="002E7E8D">
            <w:pPr>
              <w:pStyle w:val="Committee"/>
              <w:framePr w:hSpace="0" w:wrap="auto" w:hAnchor="text" w:yAlign="inline"/>
              <w:bidi/>
              <w:spacing w:line="300" w:lineRule="exact"/>
              <w:rPr>
                <w:rFonts w:ascii="Verdana Bold" w:hAnsi="Verdana Bold"/>
                <w:sz w:val="19"/>
                <w:szCs w:val="30"/>
                <w:rtl/>
              </w:rPr>
            </w:pPr>
            <w:r w:rsidRPr="00BD67C0">
              <w:rPr>
                <w:rFonts w:ascii="Verdana Bold" w:hAnsi="Verdana Bold" w:cs="Traditional Arabic"/>
                <w:bCs/>
                <w:sz w:val="19"/>
                <w:szCs w:val="30"/>
                <w:rtl/>
                <w:lang w:val="en-US" w:bidi="ar-EG"/>
              </w:rPr>
              <w:t>الجلسة العامة</w:t>
            </w:r>
          </w:p>
        </w:tc>
        <w:tc>
          <w:tcPr>
            <w:tcW w:w="3119" w:type="dxa"/>
            <w:vAlign w:val="center"/>
          </w:tcPr>
          <w:p w14:paraId="6A374A36" w14:textId="1DB875A7"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BD67C0">
              <w:t>PLEN</w:t>
            </w:r>
            <w:r w:rsidR="006A640D" w:rsidRPr="006A640D">
              <w:t>/</w:t>
            </w:r>
            <w:r w:rsidR="00BD67C0">
              <w:t>2</w:t>
            </w:r>
            <w:r w:rsidR="00E74D61">
              <w:t>7</w:t>
            </w:r>
            <w:r w:rsidRPr="006A640D">
              <w:t>-A</w:t>
            </w:r>
          </w:p>
        </w:tc>
      </w:tr>
      <w:tr w:rsidR="00A809E8" w14:paraId="5990CAC4" w14:textId="77777777" w:rsidTr="00D44350">
        <w:trPr>
          <w:cantSplit/>
        </w:trPr>
        <w:tc>
          <w:tcPr>
            <w:tcW w:w="6770" w:type="dxa"/>
          </w:tcPr>
          <w:p w14:paraId="7D84BEE7" w14:textId="77777777" w:rsidR="00A809E8" w:rsidRPr="006A640D" w:rsidRDefault="00A809E8" w:rsidP="002E7E8D">
            <w:pPr>
              <w:pStyle w:val="Adress"/>
              <w:framePr w:hSpace="0" w:wrap="auto" w:xAlign="left" w:yAlign="inline"/>
              <w:spacing w:before="0" w:line="300" w:lineRule="exact"/>
              <w:rPr>
                <w:rtl/>
              </w:rPr>
            </w:pPr>
          </w:p>
        </w:tc>
        <w:tc>
          <w:tcPr>
            <w:tcW w:w="3119" w:type="dxa"/>
            <w:vAlign w:val="center"/>
          </w:tcPr>
          <w:p w14:paraId="689C91C3" w14:textId="42D143E1" w:rsidR="00A809E8" w:rsidRPr="006A640D" w:rsidRDefault="00353792" w:rsidP="002E7E8D">
            <w:pPr>
              <w:pStyle w:val="Adress"/>
              <w:framePr w:hSpace="0" w:wrap="auto" w:xAlign="left" w:yAlign="inline"/>
              <w:spacing w:before="0" w:line="300" w:lineRule="exact"/>
              <w:rPr>
                <w:rtl/>
              </w:rPr>
            </w:pPr>
            <w:r>
              <w:t>30</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38494802" w14:textId="77777777" w:rsidTr="00AB1226">
        <w:trPr>
          <w:cantSplit/>
          <w:trHeight w:val="336"/>
        </w:trPr>
        <w:tc>
          <w:tcPr>
            <w:tcW w:w="6770" w:type="dxa"/>
          </w:tcPr>
          <w:p w14:paraId="22BFB4BF" w14:textId="02F69F8D" w:rsidR="00A809E8" w:rsidRPr="00C028C8" w:rsidRDefault="00C028C8" w:rsidP="00F34663">
            <w:pPr>
              <w:pStyle w:val="Adress"/>
              <w:framePr w:hSpace="0" w:wrap="auto" w:xAlign="left" w:yAlign="inline"/>
              <w:tabs>
                <w:tab w:val="left" w:pos="915"/>
              </w:tabs>
              <w:spacing w:before="0" w:line="300" w:lineRule="exact"/>
              <w:rPr>
                <w:rFonts w:asciiTheme="minorHAnsi" w:eastAsia="SimSun" w:hAnsiTheme="minorHAnsi"/>
                <w:b w:val="0"/>
                <w:bCs w:val="0"/>
              </w:rPr>
            </w:pPr>
            <w:r w:rsidRPr="00C028C8">
              <w:rPr>
                <w:rFonts w:eastAsia="SimSun" w:hint="cs"/>
                <w:b w:val="0"/>
                <w:bCs w:val="0"/>
                <w:rtl/>
              </w:rPr>
              <w:t xml:space="preserve">الموضوع: </w:t>
            </w:r>
            <w:r w:rsidR="00F34663">
              <w:rPr>
                <w:rFonts w:eastAsia="SimSun"/>
                <w:b w:val="0"/>
                <w:bCs w:val="0"/>
              </w:rPr>
              <w:tab/>
            </w:r>
            <w:r w:rsidRPr="00C028C8">
              <w:rPr>
                <w:rFonts w:eastAsia="SimSun" w:hint="cs"/>
                <w:b w:val="0"/>
                <w:bCs w:val="0"/>
                <w:rtl/>
              </w:rPr>
              <w:t xml:space="preserve">القرار </w:t>
            </w:r>
            <w:r w:rsidRPr="00AB1226">
              <w:rPr>
                <w:rFonts w:ascii="Verdana" w:eastAsia="SimSun" w:hAnsi="Verdana"/>
                <w:b w:val="0"/>
                <w:bCs w:val="0"/>
              </w:rPr>
              <w:t>59-1</w:t>
            </w:r>
          </w:p>
        </w:tc>
        <w:tc>
          <w:tcPr>
            <w:tcW w:w="3119" w:type="dxa"/>
            <w:vAlign w:val="center"/>
          </w:tcPr>
          <w:p w14:paraId="2F85BA4F" w14:textId="60F99767" w:rsidR="00A809E8" w:rsidRPr="006A640D" w:rsidRDefault="00A809E8" w:rsidP="002E7E8D">
            <w:pPr>
              <w:pStyle w:val="Adress"/>
              <w:framePr w:hSpace="0" w:wrap="auto" w:xAlign="left" w:yAlign="inline"/>
              <w:spacing w:before="0" w:line="300" w:lineRule="exact"/>
              <w:rPr>
                <w:rFonts w:eastAsia="SimSun" w:hint="eastAsia"/>
                <w:rtl/>
              </w:rPr>
            </w:pPr>
            <w:r w:rsidRPr="006A640D">
              <w:rPr>
                <w:rFonts w:hint="cs"/>
                <w:rtl/>
              </w:rPr>
              <w:t xml:space="preserve">الأصل: </w:t>
            </w:r>
            <w:r w:rsidR="00353792">
              <w:rPr>
                <w:rFonts w:hint="cs"/>
                <w:rtl/>
              </w:rPr>
              <w:t>بالإنكليزية</w:t>
            </w:r>
          </w:p>
        </w:tc>
      </w:tr>
      <w:tr w:rsidR="00764079" w14:paraId="6683DF3E" w14:textId="77777777" w:rsidTr="00D44350">
        <w:trPr>
          <w:cantSplit/>
        </w:trPr>
        <w:tc>
          <w:tcPr>
            <w:tcW w:w="9889" w:type="dxa"/>
            <w:gridSpan w:val="2"/>
          </w:tcPr>
          <w:p w14:paraId="6E5C505D" w14:textId="77777777" w:rsidR="00764079" w:rsidRDefault="00764079" w:rsidP="00D44350">
            <w:pPr>
              <w:pStyle w:val="Adress"/>
              <w:framePr w:hSpace="0" w:wrap="auto" w:xAlign="left" w:yAlign="inline"/>
              <w:rPr>
                <w:rFonts w:eastAsia="SimSun" w:hint="eastAsia"/>
              </w:rPr>
            </w:pPr>
          </w:p>
        </w:tc>
      </w:tr>
      <w:tr w:rsidR="00764079" w14:paraId="780C5109" w14:textId="77777777" w:rsidTr="00D44350">
        <w:trPr>
          <w:cantSplit/>
        </w:trPr>
        <w:tc>
          <w:tcPr>
            <w:tcW w:w="9889" w:type="dxa"/>
            <w:gridSpan w:val="2"/>
          </w:tcPr>
          <w:p w14:paraId="6C18373F" w14:textId="08E47D2C" w:rsidR="00764079" w:rsidRPr="00B357EA" w:rsidRDefault="00B357EA" w:rsidP="00D44350">
            <w:pPr>
              <w:pStyle w:val="Source"/>
              <w:rPr>
                <w:rtl/>
              </w:rPr>
            </w:pPr>
            <w:r>
              <w:rPr>
                <w:rFonts w:hint="cs"/>
                <w:rtl/>
              </w:rPr>
              <w:t>جمهورية ألمانيا الاتحادية</w:t>
            </w:r>
          </w:p>
        </w:tc>
      </w:tr>
      <w:tr w:rsidR="00764079" w14:paraId="5A45D338" w14:textId="77777777" w:rsidTr="00D44350">
        <w:trPr>
          <w:cantSplit/>
        </w:trPr>
        <w:tc>
          <w:tcPr>
            <w:tcW w:w="9889" w:type="dxa"/>
            <w:gridSpan w:val="2"/>
          </w:tcPr>
          <w:p w14:paraId="0B8DCEDE" w14:textId="5DABE5B0" w:rsidR="00764079" w:rsidRPr="00B357EA" w:rsidRDefault="00B357EA" w:rsidP="00225E6C">
            <w:pPr>
              <w:pStyle w:val="ResNo"/>
            </w:pPr>
            <w:r>
              <w:rPr>
                <w:rFonts w:hint="cs"/>
                <w:rtl/>
              </w:rPr>
              <w:t xml:space="preserve">الرأي إزاء التحديث المقترح للقرار </w:t>
            </w:r>
            <w:r>
              <w:t>ITU-R 59-1</w:t>
            </w:r>
          </w:p>
        </w:tc>
      </w:tr>
      <w:tr w:rsidR="00764079" w14:paraId="74652490" w14:textId="77777777" w:rsidTr="00225E6C">
        <w:trPr>
          <w:cantSplit/>
          <w:trHeight w:val="1372"/>
        </w:trPr>
        <w:tc>
          <w:tcPr>
            <w:tcW w:w="9889" w:type="dxa"/>
            <w:gridSpan w:val="2"/>
          </w:tcPr>
          <w:p w14:paraId="43C4EA81" w14:textId="256EC677" w:rsidR="00764079" w:rsidRPr="00BD6EF3" w:rsidRDefault="00E74D61" w:rsidP="00225E6C">
            <w:pPr>
              <w:pStyle w:val="Restitle"/>
              <w:rPr>
                <w:rtl/>
              </w:rPr>
            </w:pPr>
            <w:r>
              <w:rPr>
                <w:rtl/>
              </w:rPr>
              <w:t>دراسات بشأن توفر نطاقات التردد و/أو مديات التوليف للتنسيق على الصعيد العالمي و/أو الإقليمي وشروط استعمالها لأنظمة الأرض للتجميع الإلكتروني للأخبار</w:t>
            </w:r>
          </w:p>
        </w:tc>
      </w:tr>
      <w:tr w:rsidR="00764079" w14:paraId="7FF9ABE9" w14:textId="77777777" w:rsidTr="00D44350">
        <w:trPr>
          <w:cantSplit/>
        </w:trPr>
        <w:tc>
          <w:tcPr>
            <w:tcW w:w="9889" w:type="dxa"/>
            <w:gridSpan w:val="2"/>
          </w:tcPr>
          <w:p w14:paraId="67389003" w14:textId="2C986B99" w:rsidR="00764079" w:rsidRPr="002919E1" w:rsidRDefault="00764079" w:rsidP="00D44350">
            <w:pPr>
              <w:pStyle w:val="Agendaitem"/>
              <w:spacing w:before="240" w:line="192" w:lineRule="auto"/>
            </w:pPr>
          </w:p>
        </w:tc>
      </w:tr>
    </w:tbl>
    <w:p w14:paraId="20035859" w14:textId="4913980D" w:rsidR="00FF35F6" w:rsidRDefault="00FF35F6" w:rsidP="00FF35F6">
      <w:pPr>
        <w:pStyle w:val="Headingb"/>
        <w:rPr>
          <w:rtl/>
        </w:rPr>
      </w:pPr>
      <w:r>
        <w:rPr>
          <w:rFonts w:hint="cs"/>
          <w:rtl/>
        </w:rPr>
        <w:t>م</w:t>
      </w:r>
      <w:r w:rsidR="00E74D61">
        <w:rPr>
          <w:rFonts w:hint="cs"/>
          <w:rtl/>
        </w:rPr>
        <w:t>لخص</w:t>
      </w:r>
    </w:p>
    <w:p w14:paraId="5AF80C3B" w14:textId="7756B5CA" w:rsidR="00E74D61" w:rsidRPr="00C028C8" w:rsidRDefault="00B357EA" w:rsidP="00A80B70">
      <w:pPr>
        <w:rPr>
          <w:rtl/>
        </w:rPr>
      </w:pPr>
      <w:r w:rsidRPr="00C028C8">
        <w:rPr>
          <w:rFonts w:hint="cs"/>
          <w:rtl/>
        </w:rPr>
        <w:t xml:space="preserve">تعليقاً على المقترحات المتاحة والنتائج ذات الصلة بخصوص القرار </w:t>
      </w:r>
      <w:r w:rsidRPr="00C028C8">
        <w:rPr>
          <w:b/>
          <w:bCs/>
        </w:rPr>
        <w:t>59-1</w:t>
      </w:r>
      <w:r w:rsidRPr="00C028C8">
        <w:rPr>
          <w:rFonts w:hint="cs"/>
          <w:rtl/>
        </w:rPr>
        <w:t xml:space="preserve"> خلال الدورة الماضية</w:t>
      </w:r>
      <w:r w:rsidR="00225E6C">
        <w:rPr>
          <w:rFonts w:hint="cs"/>
          <w:rtl/>
        </w:rPr>
        <w:t>،</w:t>
      </w:r>
      <w:r w:rsidRPr="00C028C8">
        <w:rPr>
          <w:rFonts w:hint="cs"/>
          <w:rtl/>
        </w:rPr>
        <w:t xml:space="preserve"> لاحظت ألمانيا عدم تحقيق تقدم في</w:t>
      </w:r>
      <w:r w:rsidR="00A80B70">
        <w:rPr>
          <w:rFonts w:hint="eastAsia"/>
          <w:rtl/>
        </w:rPr>
        <w:t> </w:t>
      </w:r>
      <w:r w:rsidRPr="00C028C8">
        <w:rPr>
          <w:rFonts w:hint="cs"/>
          <w:rtl/>
        </w:rPr>
        <w:t xml:space="preserve">العمل المتعلق بتحديث القرار </w:t>
      </w:r>
      <w:r w:rsidRPr="00A80B70">
        <w:rPr>
          <w:b/>
          <w:bCs/>
        </w:rPr>
        <w:t>59-1</w:t>
      </w:r>
      <w:r w:rsidRPr="00C028C8">
        <w:rPr>
          <w:rFonts w:hint="cs"/>
          <w:rtl/>
        </w:rPr>
        <w:t xml:space="preserve"> "</w:t>
      </w:r>
      <w:r w:rsidRPr="00C028C8">
        <w:rPr>
          <w:rtl/>
        </w:rPr>
        <w:t>دراسات بشأن توفر نطاقات التردد و/أو</w:t>
      </w:r>
      <w:r w:rsidRPr="00C028C8">
        <w:rPr>
          <w:rFonts w:hint="cs"/>
          <w:rtl/>
        </w:rPr>
        <w:t> </w:t>
      </w:r>
      <w:r w:rsidRPr="00C028C8">
        <w:rPr>
          <w:rtl/>
        </w:rPr>
        <w:t>مديات التوليف للتنسيق على الصعيد العالمي و/أو الإقليمي وشروط استعمالها لأنظمة الأرض للتجميع الإلكتروني للأخبار</w:t>
      </w:r>
      <w:r w:rsidR="00225E6C">
        <w:rPr>
          <w:rFonts w:hint="cs"/>
          <w:rtl/>
        </w:rPr>
        <w:t xml:space="preserve"> </w:t>
      </w:r>
      <w:r w:rsidR="00225E6C">
        <w:t>(ENG)</w:t>
      </w:r>
      <w:r w:rsidRPr="00C028C8">
        <w:rPr>
          <w:rFonts w:hint="cs"/>
          <w:rtl/>
        </w:rPr>
        <w:t xml:space="preserve">". واختارت لجنة الدراسات </w:t>
      </w:r>
      <w:r w:rsidRPr="00C028C8">
        <w:t>5</w:t>
      </w:r>
      <w:r w:rsidRPr="00C028C8">
        <w:rPr>
          <w:rFonts w:hint="cs"/>
          <w:rtl/>
        </w:rPr>
        <w:t xml:space="preserve"> فرقة العمل </w:t>
      </w:r>
      <w:r w:rsidRPr="00C028C8">
        <w:t>5C</w:t>
      </w:r>
      <w:r w:rsidRPr="00C028C8">
        <w:rPr>
          <w:rFonts w:hint="cs"/>
          <w:rtl/>
        </w:rPr>
        <w:t xml:space="preserve"> لتتولى مسؤولية العمل بشأن القرار </w:t>
      </w:r>
      <w:r w:rsidRPr="00A80B70">
        <w:rPr>
          <w:b/>
          <w:bCs/>
        </w:rPr>
        <w:t>59</w:t>
      </w:r>
      <w:r w:rsidRPr="00A80B70">
        <w:rPr>
          <w:b/>
          <w:bCs/>
        </w:rPr>
        <w:noBreakHyphen/>
        <w:t>1</w:t>
      </w:r>
      <w:r w:rsidRPr="00C028C8">
        <w:rPr>
          <w:rFonts w:hint="cs"/>
          <w:rtl/>
        </w:rPr>
        <w:t>. وترى ألمانيا</w:t>
      </w:r>
      <w:r w:rsidR="00C028C8" w:rsidRPr="00C028C8">
        <w:rPr>
          <w:rFonts w:hint="cs"/>
          <w:rtl/>
        </w:rPr>
        <w:t xml:space="preserve"> أن هناك حاجة إلى مراجعة المهمة</w:t>
      </w:r>
      <w:r w:rsidRPr="00C028C8">
        <w:rPr>
          <w:rFonts w:hint="cs"/>
          <w:rtl/>
        </w:rPr>
        <w:t xml:space="preserve"> المقصودة وتحديثها للتغلب على عدم وجود توجيه لفرقتي العمل الضالعتين </w:t>
      </w:r>
      <w:r w:rsidRPr="00C028C8">
        <w:t>5A</w:t>
      </w:r>
      <w:r w:rsidRPr="00C028C8">
        <w:rPr>
          <w:rFonts w:hint="cs"/>
          <w:rtl/>
        </w:rPr>
        <w:t xml:space="preserve"> و</w:t>
      </w:r>
      <w:r w:rsidRPr="00C028C8">
        <w:t>5C</w:t>
      </w:r>
      <w:r w:rsidRPr="00C028C8">
        <w:rPr>
          <w:rFonts w:hint="cs"/>
          <w:rtl/>
        </w:rPr>
        <w:t xml:space="preserve">. وعلاوةً على ذلك، ترى ألمانيا أن إجراء مزيد من الدراسات بشأن تجميع الأخبار إلكترونيا/الإذاعة الخارجية </w:t>
      </w:r>
      <w:r w:rsidRPr="00C028C8">
        <w:t>(OB/ENG)</w:t>
      </w:r>
      <w:r w:rsidRPr="00C028C8">
        <w:rPr>
          <w:rFonts w:hint="cs"/>
          <w:rtl/>
        </w:rPr>
        <w:t xml:space="preserve"> والخدمات المساعدة للإذاعة/إنتاج البرامج </w:t>
      </w:r>
      <w:r w:rsidRPr="00C028C8">
        <w:t>(SAB/SAP)</w:t>
      </w:r>
      <w:r w:rsidRPr="00C028C8">
        <w:rPr>
          <w:rFonts w:hint="cs"/>
          <w:rtl/>
        </w:rPr>
        <w:t xml:space="preserve"> وإعداد </w:t>
      </w:r>
      <w:r w:rsidR="009C363B" w:rsidRPr="00C028C8">
        <w:rPr>
          <w:rFonts w:hint="cs"/>
          <w:rtl/>
        </w:rPr>
        <w:t xml:space="preserve">البرامج والأحداث الخاصة </w:t>
      </w:r>
      <w:r w:rsidR="009C363B" w:rsidRPr="00C028C8">
        <w:t>(PMSE)</w:t>
      </w:r>
      <w:r w:rsidR="009C363B" w:rsidRPr="00C028C8">
        <w:rPr>
          <w:rFonts w:hint="cs"/>
          <w:rtl/>
        </w:rPr>
        <w:t xml:space="preserve"> لا</w:t>
      </w:r>
      <w:r w:rsidR="00A80B70">
        <w:rPr>
          <w:rFonts w:hint="eastAsia"/>
          <w:rtl/>
        </w:rPr>
        <w:t> </w:t>
      </w:r>
      <w:r w:rsidR="009C363B" w:rsidRPr="00C028C8">
        <w:rPr>
          <w:rFonts w:hint="cs"/>
          <w:rtl/>
        </w:rPr>
        <w:t xml:space="preserve">يتطلب أي تعديلات جوهرية على القرار </w:t>
      </w:r>
      <w:r w:rsidR="009C363B" w:rsidRPr="00A80B70">
        <w:rPr>
          <w:b/>
          <w:bCs/>
        </w:rPr>
        <w:t>59-1</w:t>
      </w:r>
      <w:r w:rsidR="009C363B" w:rsidRPr="00A80B70">
        <w:rPr>
          <w:rFonts w:hint="cs"/>
          <w:b/>
          <w:bCs/>
          <w:rtl/>
        </w:rPr>
        <w:t xml:space="preserve"> </w:t>
      </w:r>
      <w:r w:rsidR="009C363B" w:rsidRPr="00C028C8">
        <w:rPr>
          <w:rFonts w:hint="cs"/>
          <w:rtl/>
        </w:rPr>
        <w:t xml:space="preserve">طبقاً لنتائج الاجتماع الأخير للجنة الدراسات </w:t>
      </w:r>
      <w:r w:rsidR="009C363B" w:rsidRPr="00C028C8">
        <w:t>5</w:t>
      </w:r>
      <w:r w:rsidR="009C363B" w:rsidRPr="00C028C8">
        <w:rPr>
          <w:rFonts w:hint="cs"/>
          <w:rtl/>
        </w:rPr>
        <w:t>.</w:t>
      </w:r>
    </w:p>
    <w:p w14:paraId="5D9F5713" w14:textId="2F1A3AEE" w:rsidR="00FF35F6" w:rsidRDefault="00E74D61" w:rsidP="00FF35F6">
      <w:pPr>
        <w:pStyle w:val="Headingb"/>
        <w:rPr>
          <w:rtl/>
        </w:rPr>
      </w:pPr>
      <w:r>
        <w:rPr>
          <w:rFonts w:hint="cs"/>
          <w:rtl/>
        </w:rPr>
        <w:t>مقدمة</w:t>
      </w:r>
    </w:p>
    <w:p w14:paraId="4B3788B8" w14:textId="4BF23DA6" w:rsidR="00E74D61" w:rsidRPr="00C51C0D" w:rsidRDefault="00C57D0B" w:rsidP="00C028C8">
      <w:pPr>
        <w:rPr>
          <w:rtl/>
        </w:rPr>
      </w:pPr>
      <w:r w:rsidRPr="00C51C0D">
        <w:rPr>
          <w:rFonts w:hint="cs"/>
          <w:rtl/>
        </w:rPr>
        <w:t xml:space="preserve">سيتضمن التحديث المتوخى للقرار </w:t>
      </w:r>
      <w:r w:rsidRPr="00A80B70">
        <w:rPr>
          <w:b/>
          <w:bCs/>
        </w:rPr>
        <w:t>59-1</w:t>
      </w:r>
      <w:r w:rsidRPr="00C51C0D">
        <w:rPr>
          <w:rFonts w:hint="cs"/>
          <w:rtl/>
        </w:rPr>
        <w:t xml:space="preserve"> التقارير والتوصيات المحدثة والجديدة لتوفير نظرة عامة بشأن الترددات المتاحة حالياً وشروط الاستعمال على صعيد عالمي. وينبغي لواحد من هذه التقارير أو واحدة من هذه التوصيات أن توفر أيضاً التوجيهات بشأن تيسّر الطيف والنفاذ لهذه التطبيقات الهامة. والعمل الحالي بأكمله الجاري بشكل أساسي في فرق عمل مختلفة بالاتحاد من المزمع أن يوفر المعلوما</w:t>
      </w:r>
      <w:bookmarkStart w:id="1" w:name="_GoBack"/>
      <w:bookmarkEnd w:id="1"/>
      <w:r w:rsidRPr="00C51C0D">
        <w:rPr>
          <w:rFonts w:hint="cs"/>
          <w:rtl/>
        </w:rPr>
        <w:t>ت المطلوبة، ولكنه يعتبر غير مكتمل بحيث يمثل تحديثاً للقرار في نهاية هذه الدورة.</w:t>
      </w:r>
    </w:p>
    <w:p w14:paraId="72FF51C7" w14:textId="54890084" w:rsidR="00C57D0B" w:rsidRPr="00EE73C2" w:rsidRDefault="00C57D0B" w:rsidP="00EE73C2">
      <w:pPr>
        <w:rPr>
          <w:rtl/>
        </w:rPr>
      </w:pPr>
      <w:r w:rsidRPr="00EE73C2">
        <w:rPr>
          <w:rFonts w:hint="cs"/>
          <w:rtl/>
        </w:rPr>
        <w:t>وينصب تركيز العمل حالياً على المصطلحات المشتركة المستعملة في الاتحاد</w:t>
      </w:r>
      <w:r w:rsidRPr="00225E6C">
        <w:rPr>
          <w:rStyle w:val="FootnoteReference"/>
          <w:sz w:val="16"/>
          <w:szCs w:val="16"/>
          <w:rtl/>
          <w:lang w:bidi="ar-EG"/>
        </w:rPr>
        <w:footnoteReference w:id="1"/>
      </w:r>
      <w:r w:rsidRPr="00EE73C2">
        <w:rPr>
          <w:rFonts w:hint="cs"/>
          <w:rtl/>
        </w:rPr>
        <w:t xml:space="preserve"> للمعدات المستعمل</w:t>
      </w:r>
      <w:r w:rsidR="00B715CB" w:rsidRPr="00EE73C2">
        <w:rPr>
          <w:rFonts w:hint="cs"/>
          <w:rtl/>
        </w:rPr>
        <w:t xml:space="preserve">ة مثل الميكروفونات اللاسلكية، وأنظمة معاودة الاتصال، وأنظمة التحكم في الصوت اللاسلكية المثبتة في الأذن، وكاميرات الفيديو اللاسلكية، وهي أدوات الإنتاج اللاسلكية الأساسية المستعملة بكثافة بصورة يومية لأغراض إنتاج/التقاط المحتوى السمعي المرئي والأخبار والأحداث التي تبث </w:t>
      </w:r>
      <w:r w:rsidR="00B715CB" w:rsidRPr="00EE73C2">
        <w:rPr>
          <w:rFonts w:hint="cs"/>
          <w:rtl/>
        </w:rPr>
        <w:lastRenderedPageBreak/>
        <w:t>للجمهور العالمي في جميع أنحاء العالم عبر طائفة واسعة من منصات التوزيع. ويعتمد عدد كبير من القطاعات التي تضطلع بهذه الأنشطة</w:t>
      </w:r>
      <w:r w:rsidR="00B715CB" w:rsidRPr="001C7DC8">
        <w:rPr>
          <w:rStyle w:val="FootnoteReference"/>
          <w:sz w:val="16"/>
          <w:szCs w:val="16"/>
          <w:rtl/>
          <w:lang w:bidi="ar-EG"/>
        </w:rPr>
        <w:footnoteReference w:id="2"/>
      </w:r>
      <w:r w:rsidR="00B715CB" w:rsidRPr="00EE73C2">
        <w:rPr>
          <w:rFonts w:hint="cs"/>
          <w:rtl/>
        </w:rPr>
        <w:t xml:space="preserve"> على مدى تيسّر الطيف الراديوي التي لا تزال هناك حاجة إلى دراسة جوانبه وتحليلها. وإلى جانب ذلك، فإن من بين مستعملي/قطاعات إعداد البرامج والأحداث الخاصة السمعية ممن يستعلمون طيف النطاقات </w:t>
      </w:r>
      <w:r w:rsidR="00B715CB" w:rsidRPr="00EE73C2">
        <w:t>UHF/VHF</w:t>
      </w:r>
      <w:r w:rsidR="00B715CB" w:rsidRPr="00EE73C2">
        <w:rPr>
          <w:rFonts w:hint="cs"/>
          <w:rtl/>
        </w:rPr>
        <w:t xml:space="preserve"> المنظمات الإخبارية والخدمات الصحية والتعليم والحكومات المحلية وتغطية البرامج السياسية والانتخابات والمؤسسات الدينية والمؤتمرات. لذا، تحتاج قرارات وتوصيات قطاع الاتصالات الراديوية المحال إليها في القرار </w:t>
      </w:r>
      <w:r w:rsidR="00B715CB" w:rsidRPr="00EE73C2">
        <w:t>59</w:t>
      </w:r>
      <w:r w:rsidR="00B715CB" w:rsidRPr="00EE73C2">
        <w:rPr>
          <w:rFonts w:hint="cs"/>
          <w:rtl/>
        </w:rPr>
        <w:t xml:space="preserve"> إلى التحديث والتحسين فيما يتعلق باستعمال النطاقات والطيف المحتمل المتاح والتكنولوجيات الحالية والمستقبلية وتقنيات التخفيف المحتملة لتبادلها مع الخدمات والتطبيقات</w:t>
      </w:r>
      <w:r w:rsidR="00B715CB" w:rsidRPr="00EE73C2">
        <w:rPr>
          <w:rFonts w:hint="eastAsia"/>
          <w:rtl/>
        </w:rPr>
        <w:t> </w:t>
      </w:r>
      <w:r w:rsidR="00B715CB" w:rsidRPr="00EE73C2">
        <w:rPr>
          <w:rFonts w:hint="cs"/>
          <w:rtl/>
        </w:rPr>
        <w:t>الأخرى.</w:t>
      </w:r>
    </w:p>
    <w:p w14:paraId="533B328E" w14:textId="1BD5308D" w:rsidR="00341D04" w:rsidRDefault="00E74D61" w:rsidP="00E74D61">
      <w:pPr>
        <w:pStyle w:val="Headingb"/>
        <w:rPr>
          <w:rtl/>
        </w:rPr>
      </w:pPr>
      <w:r>
        <w:rPr>
          <w:rFonts w:hint="cs"/>
          <w:rtl/>
        </w:rPr>
        <w:t>المقترح</w:t>
      </w:r>
    </w:p>
    <w:p w14:paraId="216C8CC8" w14:textId="1C10791A" w:rsidR="00E74D61" w:rsidRPr="00C028C8" w:rsidRDefault="00B715CB" w:rsidP="00C028C8">
      <w:pPr>
        <w:rPr>
          <w:rtl/>
        </w:rPr>
      </w:pPr>
      <w:r>
        <w:rPr>
          <w:rFonts w:hint="cs"/>
          <w:rtl/>
          <w:lang w:bidi="ar-EG"/>
        </w:rPr>
        <w:t xml:space="preserve">بالنظر إلى عدد الأنشطة الجارية في قطاع الاتصالات الراديوية بشأن الاستعمال الحالي </w:t>
      </w:r>
      <w:r w:rsidR="00C028C8">
        <w:rPr>
          <w:rFonts w:hint="cs"/>
          <w:rtl/>
          <w:lang w:bidi="ar-EG"/>
        </w:rPr>
        <w:t xml:space="preserve">لخدمات المساعدة للإذاعة/إنتاج البرامج </w:t>
      </w:r>
      <w:r w:rsidR="00C028C8">
        <w:rPr>
          <w:lang w:bidi="ar-EG"/>
        </w:rPr>
        <w:t>(SAB/SAP)</w:t>
      </w:r>
      <w:r w:rsidR="00C028C8">
        <w:rPr>
          <w:rFonts w:hint="cs"/>
          <w:rtl/>
          <w:lang w:bidi="ar-EG"/>
        </w:rPr>
        <w:t xml:space="preserve"> وتجميع الأخبار إلكترونياً </w:t>
      </w:r>
      <w:r w:rsidR="00C028C8">
        <w:rPr>
          <w:lang w:bidi="ar-EG"/>
        </w:rPr>
        <w:t>(ENG)</w:t>
      </w:r>
      <w:r w:rsidR="00C028C8">
        <w:rPr>
          <w:rFonts w:hint="cs"/>
          <w:rtl/>
        </w:rPr>
        <w:t xml:space="preserve"> وإعداد البرامج والأحداث الخاصة </w:t>
      </w:r>
      <w:r w:rsidR="00C028C8">
        <w:t>(PMSE)</w:t>
      </w:r>
      <w:r w:rsidR="00C028C8">
        <w:rPr>
          <w:rFonts w:hint="cs"/>
          <w:rtl/>
          <w:lang w:val="en-GB"/>
        </w:rPr>
        <w:t>، والنطاقات والتكنولوجيات الخاصة بها من جهة والتكنولوجيات المستقبل</w:t>
      </w:r>
      <w:r w:rsidR="001C7DC8">
        <w:rPr>
          <w:rFonts w:hint="cs"/>
          <w:rtl/>
          <w:lang w:val="en-GB"/>
        </w:rPr>
        <w:t>ية</w:t>
      </w:r>
      <w:r w:rsidR="00C028C8">
        <w:rPr>
          <w:rFonts w:hint="cs"/>
          <w:rtl/>
          <w:lang w:val="en-GB"/>
        </w:rPr>
        <w:t xml:space="preserve"> والاستعمال المحتمل للنطاقات من جهة أخرى، ي</w:t>
      </w:r>
      <w:r w:rsidR="001C7DC8">
        <w:rPr>
          <w:rFonts w:hint="cs"/>
          <w:rtl/>
          <w:lang w:val="en-GB"/>
        </w:rPr>
        <w:t>ج</w:t>
      </w:r>
      <w:r w:rsidR="00C028C8">
        <w:rPr>
          <w:rFonts w:hint="cs"/>
          <w:rtl/>
          <w:lang w:val="en-GB"/>
        </w:rPr>
        <w:t xml:space="preserve">ب القول بأن أعمال التحديث استجابة للقرار </w:t>
      </w:r>
      <w:r w:rsidR="00C028C8" w:rsidRPr="00A80B70">
        <w:rPr>
          <w:b/>
          <w:bCs/>
        </w:rPr>
        <w:t>59-1</w:t>
      </w:r>
      <w:r w:rsidR="00C028C8">
        <w:rPr>
          <w:rFonts w:hint="cs"/>
          <w:rtl/>
        </w:rPr>
        <w:t xml:space="preserve"> لا تزال جارية في لجنة الدراسات </w:t>
      </w:r>
      <w:r w:rsidR="00C028C8">
        <w:t>5</w:t>
      </w:r>
      <w:r w:rsidR="00C028C8">
        <w:rPr>
          <w:rFonts w:hint="cs"/>
          <w:rtl/>
          <w:lang w:val="en-GB"/>
        </w:rPr>
        <w:t xml:space="preserve">، وأنه بعد نجاح العمل بشأن المسائل المفتوحة، يمكن دعوة المؤتمر العالمي للاتصالات الراديوية لعام </w:t>
      </w:r>
      <w:r w:rsidR="00C028C8">
        <w:t>2023</w:t>
      </w:r>
      <w:r w:rsidR="00C028C8">
        <w:rPr>
          <w:rFonts w:hint="cs"/>
          <w:rtl/>
        </w:rPr>
        <w:t xml:space="preserve"> إلى مراجعة القرار </w:t>
      </w:r>
      <w:r w:rsidR="00C028C8" w:rsidRPr="00C028C8">
        <w:rPr>
          <w:b/>
          <w:bCs/>
        </w:rPr>
        <w:t>59-1</w:t>
      </w:r>
      <w:r w:rsidR="00C028C8">
        <w:rPr>
          <w:rFonts w:hint="cs"/>
          <w:rtl/>
        </w:rPr>
        <w:t xml:space="preserve"> تبعاً لذلك. وفي هذا الصدد، دُعيت لجنة الدراسات </w:t>
      </w:r>
      <w:r w:rsidR="00C028C8">
        <w:t>5</w:t>
      </w:r>
      <w:r w:rsidR="00C028C8">
        <w:rPr>
          <w:rFonts w:hint="cs"/>
          <w:rtl/>
        </w:rPr>
        <w:t xml:space="preserve"> عبر الوثيقة </w:t>
      </w:r>
      <w:r w:rsidR="001C7DC8">
        <w:t>5/189-A</w:t>
      </w:r>
      <w:r w:rsidR="00C028C8">
        <w:rPr>
          <w:rFonts w:hint="cs"/>
          <w:rtl/>
          <w:lang w:val="en-GB"/>
        </w:rPr>
        <w:t xml:space="preserve"> إلى إحاطة جمعية الاتصالات الراديوية لعام</w:t>
      </w:r>
      <w:r w:rsidR="00C028C8">
        <w:rPr>
          <w:rFonts w:hint="eastAsia"/>
          <w:rtl/>
          <w:lang w:val="en-GB"/>
        </w:rPr>
        <w:t> </w:t>
      </w:r>
      <w:r w:rsidR="00C028C8">
        <w:t>2019</w:t>
      </w:r>
      <w:r w:rsidR="00C028C8">
        <w:rPr>
          <w:rFonts w:hint="cs"/>
          <w:rtl/>
          <w:lang w:val="en-GB"/>
        </w:rPr>
        <w:t xml:space="preserve"> </w:t>
      </w:r>
      <w:r w:rsidR="00C028C8">
        <w:t>(RA-19)</w:t>
      </w:r>
      <w:r w:rsidR="00C028C8">
        <w:rPr>
          <w:rFonts w:hint="cs"/>
          <w:rtl/>
        </w:rPr>
        <w:t xml:space="preserve"> بخطة عملها.</w:t>
      </w:r>
    </w:p>
    <w:p w14:paraId="3C623CD8" w14:textId="5F39EAD1" w:rsidR="006A640D" w:rsidRDefault="00C028C8" w:rsidP="00324B4F">
      <w:pPr>
        <w:spacing w:before="600"/>
        <w:jc w:val="center"/>
      </w:pPr>
      <w:r>
        <w:rPr>
          <w:rFonts w:hint="cs"/>
          <w:rtl/>
          <w:lang w:bidi="ar-EG"/>
        </w:rPr>
        <w:t>__________</w:t>
      </w:r>
    </w:p>
    <w:sectPr w:rsidR="006A640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FF82" w14:textId="77777777" w:rsidR="00186367" w:rsidRDefault="00186367" w:rsidP="002919E1">
      <w:r>
        <w:separator/>
      </w:r>
    </w:p>
    <w:p w14:paraId="7826C868" w14:textId="77777777" w:rsidR="00186367" w:rsidRDefault="00186367" w:rsidP="002919E1"/>
    <w:p w14:paraId="02E3481A" w14:textId="77777777" w:rsidR="00186367" w:rsidRDefault="00186367" w:rsidP="002919E1"/>
    <w:p w14:paraId="6451CCE8" w14:textId="77777777" w:rsidR="00186367" w:rsidRDefault="00186367"/>
  </w:endnote>
  <w:endnote w:type="continuationSeparator" w:id="0">
    <w:p w14:paraId="6D8987AD" w14:textId="77777777" w:rsidR="00186367" w:rsidRDefault="00186367" w:rsidP="002919E1">
      <w:r>
        <w:continuationSeparator/>
      </w:r>
    </w:p>
    <w:p w14:paraId="5026F8F3" w14:textId="77777777" w:rsidR="00186367" w:rsidRDefault="00186367" w:rsidP="002919E1"/>
    <w:p w14:paraId="02295AEC" w14:textId="77777777" w:rsidR="00186367" w:rsidRDefault="00186367" w:rsidP="002919E1"/>
    <w:p w14:paraId="0791BEA5" w14:textId="77777777" w:rsidR="00186367" w:rsidRDefault="0018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18EF" w14:textId="7B560377" w:rsidR="006A640D" w:rsidRPr="00A80B70" w:rsidRDefault="00E74D61" w:rsidP="00E74D61">
    <w:pPr>
      <w:pStyle w:val="Footer"/>
      <w:tabs>
        <w:tab w:val="clear" w:pos="1134"/>
        <w:tab w:val="clear" w:pos="1871"/>
        <w:tab w:val="clear" w:pos="2268"/>
        <w:tab w:val="clear" w:pos="5812"/>
        <w:tab w:val="left" w:pos="6030"/>
      </w:tabs>
      <w:rPr>
        <w:lang w:val="es-ES"/>
      </w:rPr>
    </w:pPr>
    <w:r>
      <w:fldChar w:fldCharType="begin"/>
    </w:r>
    <w:r w:rsidRPr="00A80B70">
      <w:rPr>
        <w:lang w:val="es-ES"/>
      </w:rPr>
      <w:instrText xml:space="preserve"> FILENAME \p \* MERGEFORMAT </w:instrText>
    </w:r>
    <w:r>
      <w:fldChar w:fldCharType="separate"/>
    </w:r>
    <w:r w:rsidR="009A5CC9">
      <w:rPr>
        <w:noProof/>
        <w:lang w:val="es-ES"/>
      </w:rPr>
      <w:t>P:\ARA\ITU-R\CONF-R\AR19\PLEN\000\027A.docx</w:t>
    </w:r>
    <w:r>
      <w:fldChar w:fldCharType="end"/>
    </w:r>
    <w:r w:rsidRPr="00A80B70">
      <w:rPr>
        <w:lang w:val="es-ES"/>
      </w:rPr>
      <w:t xml:space="preserve">   (461616)</w:t>
    </w:r>
    <w:r w:rsidRPr="00A80B70">
      <w:rPr>
        <w:lang w:val="es-ES"/>
      </w:rPr>
      <w:tab/>
    </w:r>
    <w:r w:rsidRPr="00B12661">
      <w:fldChar w:fldCharType="begin"/>
    </w:r>
    <w:r w:rsidRPr="00B12661">
      <w:instrText xml:space="preserve"> savedate \@ dd.MM.yy </w:instrText>
    </w:r>
    <w:r w:rsidRPr="00B12661">
      <w:fldChar w:fldCharType="separate"/>
    </w:r>
    <w:r w:rsidR="009A5CC9">
      <w:rPr>
        <w:noProof/>
      </w:rPr>
      <w:t>08.10.19</w:t>
    </w:r>
    <w:r w:rsidRPr="00B12661">
      <w:fldChar w:fldCharType="end"/>
    </w:r>
    <w:r w:rsidRPr="00A80B70">
      <w:rPr>
        <w:lang w:val="es-ES"/>
      </w:rPr>
      <w:tab/>
    </w:r>
    <w:r w:rsidRPr="00B12661">
      <w:fldChar w:fldCharType="begin"/>
    </w:r>
    <w:r w:rsidRPr="00B12661">
      <w:instrText xml:space="preserve"> printdate \@ dd.MM.yy </w:instrText>
    </w:r>
    <w:r w:rsidRPr="00B12661">
      <w:fldChar w:fldCharType="separate"/>
    </w:r>
    <w:r w:rsidR="009A5CC9">
      <w:rPr>
        <w:noProof/>
      </w:rPr>
      <w:t>08.10.19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2BE5" w14:textId="676F3CDD" w:rsidR="00281F5F" w:rsidRPr="00A80B70" w:rsidRDefault="00281F5F" w:rsidP="00E7512D">
    <w:pPr>
      <w:pStyle w:val="Footer"/>
      <w:tabs>
        <w:tab w:val="clear" w:pos="1134"/>
        <w:tab w:val="clear" w:pos="1871"/>
        <w:tab w:val="clear" w:pos="2268"/>
        <w:tab w:val="clear" w:pos="5812"/>
        <w:tab w:val="left" w:pos="6030"/>
      </w:tabs>
      <w:rPr>
        <w:lang w:val="es-ES"/>
      </w:rPr>
    </w:pPr>
    <w:r>
      <w:fldChar w:fldCharType="begin"/>
    </w:r>
    <w:r w:rsidRPr="00A80B70">
      <w:rPr>
        <w:lang w:val="es-ES"/>
      </w:rPr>
      <w:instrText xml:space="preserve"> FILENAME \p \* MERGEFORMAT </w:instrText>
    </w:r>
    <w:r>
      <w:fldChar w:fldCharType="separate"/>
    </w:r>
    <w:r w:rsidR="009A5CC9">
      <w:rPr>
        <w:noProof/>
        <w:lang w:val="es-ES"/>
      </w:rPr>
      <w:t>P:\ARA\ITU-R\CONF-R\AR19\PLEN\000\027A.docx</w:t>
    </w:r>
    <w:r>
      <w:fldChar w:fldCharType="end"/>
    </w:r>
    <w:r w:rsidRPr="00A80B70">
      <w:rPr>
        <w:lang w:val="es-ES"/>
      </w:rPr>
      <w:t xml:space="preserve">   (</w:t>
    </w:r>
    <w:r w:rsidR="00E74D61" w:rsidRPr="00A80B70">
      <w:rPr>
        <w:lang w:val="es-ES"/>
      </w:rPr>
      <w:t>461616</w:t>
    </w:r>
    <w:r w:rsidRPr="00A80B70">
      <w:rPr>
        <w:lang w:val="es-ES"/>
      </w:rPr>
      <w:t>)</w:t>
    </w:r>
    <w:r w:rsidRPr="00A80B70">
      <w:rPr>
        <w:lang w:val="es-ES"/>
      </w:rPr>
      <w:tab/>
    </w:r>
    <w:r w:rsidRPr="00B12661">
      <w:fldChar w:fldCharType="begin"/>
    </w:r>
    <w:r w:rsidRPr="00B12661">
      <w:instrText xml:space="preserve"> savedate \@ dd.MM.yy </w:instrText>
    </w:r>
    <w:r w:rsidRPr="00B12661">
      <w:fldChar w:fldCharType="separate"/>
    </w:r>
    <w:r w:rsidR="009A5CC9">
      <w:rPr>
        <w:noProof/>
      </w:rPr>
      <w:t>08.10.19</w:t>
    </w:r>
    <w:r w:rsidRPr="00B12661">
      <w:fldChar w:fldCharType="end"/>
    </w:r>
    <w:r w:rsidRPr="00A80B70">
      <w:rPr>
        <w:lang w:val="es-ES"/>
      </w:rPr>
      <w:tab/>
    </w:r>
    <w:r w:rsidRPr="00B12661">
      <w:fldChar w:fldCharType="begin"/>
    </w:r>
    <w:r w:rsidRPr="00B12661">
      <w:instrText xml:space="preserve"> printdate \@ dd.MM.yy </w:instrText>
    </w:r>
    <w:r w:rsidRPr="00B12661">
      <w:fldChar w:fldCharType="separate"/>
    </w:r>
    <w:r w:rsidR="009A5CC9">
      <w:rPr>
        <w:noProof/>
      </w:rPr>
      <w:t>08.10.19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81DD" w14:textId="77777777" w:rsidR="00186367" w:rsidRDefault="00186367" w:rsidP="002919E1">
      <w:r>
        <w:t>___________________</w:t>
      </w:r>
    </w:p>
  </w:footnote>
  <w:footnote w:type="continuationSeparator" w:id="0">
    <w:p w14:paraId="1BCA331F" w14:textId="77777777" w:rsidR="00186367" w:rsidRDefault="00186367" w:rsidP="002919E1">
      <w:r>
        <w:continuationSeparator/>
      </w:r>
    </w:p>
    <w:p w14:paraId="3717EA9A" w14:textId="77777777" w:rsidR="00186367" w:rsidRDefault="00186367" w:rsidP="002919E1"/>
    <w:p w14:paraId="2B8FF495" w14:textId="77777777" w:rsidR="00186367" w:rsidRDefault="00186367" w:rsidP="002919E1"/>
    <w:p w14:paraId="4CA6BB6A" w14:textId="77777777" w:rsidR="00186367" w:rsidRDefault="00186367"/>
  </w:footnote>
  <w:footnote w:id="1">
    <w:p w14:paraId="2AB5C76B" w14:textId="7491DBEC" w:rsidR="00C57D0B" w:rsidRPr="00C57D0B" w:rsidRDefault="00C57D0B" w:rsidP="001C7DC8">
      <w:pPr>
        <w:pStyle w:val="FootnoteText"/>
        <w:keepLines w:val="0"/>
        <w:spacing w:after="120"/>
        <w:rPr>
          <w:lang w:val="en-GB" w:bidi="ar-SA"/>
        </w:rPr>
      </w:pPr>
      <w:r w:rsidRPr="00C028C8">
        <w:rPr>
          <w:rStyle w:val="FootnoteReference"/>
          <w:sz w:val="16"/>
          <w:szCs w:val="16"/>
        </w:rPr>
        <w:footnoteRef/>
      </w:r>
      <w:r>
        <w:rPr>
          <w:rtl/>
          <w:lang w:bidi="ar-SA"/>
        </w:rPr>
        <w:tab/>
      </w:r>
      <w:r w:rsidRPr="00A80B70">
        <w:rPr>
          <w:rFonts w:hint="cs"/>
          <w:spacing w:val="-4"/>
          <w:rtl/>
          <w:lang w:bidi="ar-SA"/>
        </w:rPr>
        <w:t>تجميع الأخبار إلكترونيا</w:t>
      </w:r>
      <w:r w:rsidR="007C2907">
        <w:rPr>
          <w:rFonts w:hint="cs"/>
          <w:spacing w:val="-4"/>
          <w:rtl/>
          <w:lang w:bidi="ar-SA"/>
        </w:rPr>
        <w:t>ً</w:t>
      </w:r>
      <w:r w:rsidRPr="00A80B70">
        <w:rPr>
          <w:rFonts w:hint="cs"/>
          <w:spacing w:val="-4"/>
          <w:rtl/>
          <w:lang w:bidi="ar-SA"/>
        </w:rPr>
        <w:t xml:space="preserve">/الإذاعة الخارجية </w:t>
      </w:r>
      <w:r w:rsidRPr="00A80B70">
        <w:rPr>
          <w:spacing w:val="-4"/>
          <w:lang w:bidi="ar-SA"/>
        </w:rPr>
        <w:t>(OB/ENG)</w:t>
      </w:r>
      <w:r w:rsidRPr="00A80B70">
        <w:rPr>
          <w:rFonts w:hint="cs"/>
          <w:spacing w:val="-4"/>
          <w:rtl/>
          <w:lang w:bidi="ar-SA"/>
        </w:rPr>
        <w:t xml:space="preserve">، والخدمات المساعدة للإذاعة/إنتاج البرامج </w:t>
      </w:r>
      <w:r w:rsidRPr="00A80B70">
        <w:rPr>
          <w:spacing w:val="-4"/>
          <w:lang w:bidi="ar-SA"/>
        </w:rPr>
        <w:t>(SAB/SAP)</w:t>
      </w:r>
      <w:r w:rsidRPr="00A80B70">
        <w:rPr>
          <w:rFonts w:hint="cs"/>
          <w:spacing w:val="-4"/>
          <w:rtl/>
          <w:lang w:bidi="ar-SA"/>
        </w:rPr>
        <w:t>، تجميع الأخبار</w:t>
      </w:r>
      <w:r>
        <w:rPr>
          <w:rFonts w:hint="cs"/>
          <w:rtl/>
          <w:lang w:bidi="ar-SA"/>
        </w:rPr>
        <w:t xml:space="preserve"> ساتلياً</w:t>
      </w:r>
      <w:r w:rsidR="00A80B70">
        <w:rPr>
          <w:rFonts w:hint="cs"/>
          <w:rtl/>
          <w:lang w:bidi="ar-SA"/>
        </w:rPr>
        <w:t xml:space="preserve"> </w:t>
      </w:r>
      <w:r>
        <w:rPr>
          <w:lang w:bidi="ar-SA"/>
        </w:rPr>
        <w:t>(SNG)</w:t>
      </w:r>
      <w:r>
        <w:rPr>
          <w:rFonts w:hint="cs"/>
          <w:rtl/>
          <w:lang w:val="en-GB" w:bidi="ar-SA"/>
        </w:rPr>
        <w:t>.</w:t>
      </w:r>
    </w:p>
  </w:footnote>
  <w:footnote w:id="2">
    <w:p w14:paraId="270FE704" w14:textId="2A629311" w:rsidR="00B715CB" w:rsidRDefault="00B715CB" w:rsidP="00FB1DFA">
      <w:pPr>
        <w:pStyle w:val="FootnoteText"/>
        <w:keepLines w:val="0"/>
        <w:spacing w:after="120"/>
        <w:rPr>
          <w:lang w:bidi="ar-SA"/>
        </w:rPr>
      </w:pPr>
      <w:r w:rsidRPr="00C028C8">
        <w:rPr>
          <w:rStyle w:val="FootnoteReference"/>
          <w:sz w:val="16"/>
          <w:szCs w:val="16"/>
        </w:rPr>
        <w:footnoteRef/>
      </w:r>
      <w:r>
        <w:rPr>
          <w:rtl/>
          <w:lang w:bidi="ar-SA"/>
        </w:rPr>
        <w:tab/>
      </w:r>
      <w:r>
        <w:rPr>
          <w:rFonts w:hint="cs"/>
          <w:rtl/>
          <w:lang w:bidi="ar-SA"/>
        </w:rPr>
        <w:t>إنتاج/التقاط المحتوى لأغراض الفنون التعبيرية والإذاعة وتجميع الأخبار والإنتاج المستقل للأفلام والبرامج التلفزيونية وفعاليات الشركات والحفلات الموسيقية والأحداث الرياضية والكنائس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8BEF" w14:textId="77777777" w:rsidR="00281F5F" w:rsidRDefault="00281F5F" w:rsidP="002919E1"/>
  <w:p w14:paraId="044D3BA6" w14:textId="77777777" w:rsidR="00281F5F" w:rsidRDefault="00281F5F" w:rsidP="002919E1"/>
  <w:p w14:paraId="21F6116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0C96" w14:textId="7DDDEBA7"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C2907">
      <w:rPr>
        <w:rStyle w:val="PageNumber"/>
        <w:noProof/>
      </w:rPr>
      <w:t>2</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BD67C0">
      <w:rPr>
        <w:rStyle w:val="PageNumber"/>
      </w:rPr>
      <w:t>/PLEN</w:t>
    </w:r>
    <w:r w:rsidR="00A809E8">
      <w:rPr>
        <w:rStyle w:val="PageNumber"/>
      </w:rPr>
      <w:t>/</w:t>
    </w:r>
    <w:r w:rsidR="00353792">
      <w:rPr>
        <w:rStyle w:val="PageNumber"/>
        <w:rFonts w:hint="cs"/>
        <w:rtl/>
      </w:rPr>
      <w:t>2</w:t>
    </w:r>
    <w:r w:rsidR="00E74D61">
      <w:rPr>
        <w:rStyle w:val="PageNumber"/>
      </w:rPr>
      <w:t>7</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EG" w:vendorID="64" w:dllVersion="6" w:nlCheck="1" w:checkStyle="0"/>
  <w:activeWritingStyle w:appName="MSWord" w:lang="ar-SA" w:vendorID="64" w:dllVersion="6" w:nlCheck="1" w:checkStyle="0"/>
  <w:activeWritingStyle w:appName="MSWord" w:lang="es-ES" w:vendorID="64" w:dllVersion="6" w:nlCheck="1" w:checkStyle="1"/>
  <w:activeWritingStyle w:appName="MSWord" w:lang="ar-EG" w:vendorID="64" w:dllVersion="0" w:nlCheck="1" w:checkStyle="0"/>
  <w:activeWritingStyle w:appName="MSWord" w:lang="ar-S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67"/>
    <w:rsid w:val="00001AE5"/>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86367"/>
    <w:rsid w:val="001903B2"/>
    <w:rsid w:val="001C7DC8"/>
    <w:rsid w:val="001E190C"/>
    <w:rsid w:val="001E51EE"/>
    <w:rsid w:val="001E54F6"/>
    <w:rsid w:val="001E5A8C"/>
    <w:rsid w:val="00201A0A"/>
    <w:rsid w:val="002075D4"/>
    <w:rsid w:val="00211B2A"/>
    <w:rsid w:val="00225E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24B4F"/>
    <w:rsid w:val="0033737F"/>
    <w:rsid w:val="00341D04"/>
    <w:rsid w:val="00353652"/>
    <w:rsid w:val="0035379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30E25"/>
    <w:rsid w:val="0043105E"/>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24EE9"/>
    <w:rsid w:val="006264E6"/>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907"/>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A5CC9"/>
    <w:rsid w:val="009C363B"/>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7229E"/>
    <w:rsid w:val="00A809E8"/>
    <w:rsid w:val="00A80B70"/>
    <w:rsid w:val="00A870AD"/>
    <w:rsid w:val="00A90843"/>
    <w:rsid w:val="00A9645C"/>
    <w:rsid w:val="00AB1226"/>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357EA"/>
    <w:rsid w:val="00B365D2"/>
    <w:rsid w:val="00B4164D"/>
    <w:rsid w:val="00B425C1"/>
    <w:rsid w:val="00B606BA"/>
    <w:rsid w:val="00B66817"/>
    <w:rsid w:val="00B715CB"/>
    <w:rsid w:val="00B71E3B"/>
    <w:rsid w:val="00B721D5"/>
    <w:rsid w:val="00B81CB5"/>
    <w:rsid w:val="00B8351F"/>
    <w:rsid w:val="00B86C44"/>
    <w:rsid w:val="00B9727C"/>
    <w:rsid w:val="00BA7D44"/>
    <w:rsid w:val="00BD67C0"/>
    <w:rsid w:val="00BD6EF3"/>
    <w:rsid w:val="00BE69C3"/>
    <w:rsid w:val="00C028C8"/>
    <w:rsid w:val="00C1165E"/>
    <w:rsid w:val="00C22074"/>
    <w:rsid w:val="00C2377B"/>
    <w:rsid w:val="00C3693C"/>
    <w:rsid w:val="00C51C0D"/>
    <w:rsid w:val="00C53F6F"/>
    <w:rsid w:val="00C5489D"/>
    <w:rsid w:val="00C57D0B"/>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B13B5"/>
    <w:rsid w:val="00DC29DD"/>
    <w:rsid w:val="00DC7C0E"/>
    <w:rsid w:val="00DF2A6A"/>
    <w:rsid w:val="00DF3B72"/>
    <w:rsid w:val="00E10821"/>
    <w:rsid w:val="00E2489D"/>
    <w:rsid w:val="00E258A8"/>
    <w:rsid w:val="00E26520"/>
    <w:rsid w:val="00E343A3"/>
    <w:rsid w:val="00E51BFA"/>
    <w:rsid w:val="00E621A3"/>
    <w:rsid w:val="00E74D61"/>
    <w:rsid w:val="00E7512D"/>
    <w:rsid w:val="00E833BC"/>
    <w:rsid w:val="00E8580E"/>
    <w:rsid w:val="00E92729"/>
    <w:rsid w:val="00EA1B76"/>
    <w:rsid w:val="00EA77D7"/>
    <w:rsid w:val="00EC09B9"/>
    <w:rsid w:val="00ED048C"/>
    <w:rsid w:val="00EE60E9"/>
    <w:rsid w:val="00EE73C2"/>
    <w:rsid w:val="00EF38AF"/>
    <w:rsid w:val="00F00143"/>
    <w:rsid w:val="00F055F8"/>
    <w:rsid w:val="00F10CB4"/>
    <w:rsid w:val="00F11B3D"/>
    <w:rsid w:val="00F14763"/>
    <w:rsid w:val="00F16212"/>
    <w:rsid w:val="00F16602"/>
    <w:rsid w:val="00F25B80"/>
    <w:rsid w:val="00F2685F"/>
    <w:rsid w:val="00F33A34"/>
    <w:rsid w:val="00F34663"/>
    <w:rsid w:val="00F350C8"/>
    <w:rsid w:val="00F84613"/>
    <w:rsid w:val="00F8654D"/>
    <w:rsid w:val="00F900C9"/>
    <w:rsid w:val="00F92C96"/>
    <w:rsid w:val="00FA0D4E"/>
    <w:rsid w:val="00FB0753"/>
    <w:rsid w:val="00FB1DFA"/>
    <w:rsid w:val="00FB5CC8"/>
    <w:rsid w:val="00FC2CD0"/>
    <w:rsid w:val="00FD0594"/>
    <w:rsid w:val="00FF35F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517CF5"/>
  <w15:docId w15:val="{DD28B43C-AEF1-487E-BDFF-EE0C21F9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3C2"/>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unhideWhenUsed/>
    <w:rsid w:val="00353792"/>
    <w:rPr>
      <w:color w:val="0000FF" w:themeColor="hyperlink"/>
      <w:u w:val="single"/>
    </w:rPr>
  </w:style>
  <w:style w:type="character" w:customStyle="1" w:styleId="UnresolvedMention1">
    <w:name w:val="Unresolved Mention1"/>
    <w:basedOn w:val="DefaultParagraphFont"/>
    <w:uiPriority w:val="99"/>
    <w:semiHidden/>
    <w:unhideWhenUsed/>
    <w:rsid w:val="00353792"/>
    <w:rPr>
      <w:color w:val="605E5C"/>
      <w:shd w:val="clear" w:color="auto" w:fill="E1DFDD"/>
    </w:rPr>
  </w:style>
  <w:style w:type="paragraph" w:customStyle="1" w:styleId="Recref">
    <w:name w:val="Rec_ref"/>
    <w:basedOn w:val="Normal"/>
    <w:next w:val="Recdate"/>
    <w:semiHidden/>
    <w:rsid w:val="00E92729"/>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cdate">
    <w:name w:val="Rec_date"/>
    <w:basedOn w:val="Normal"/>
    <w:next w:val="Normal"/>
    <w:rsid w:val="00E92729"/>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HeadingSum">
    <w:name w:val="Heading_Sum"/>
    <w:basedOn w:val="Normal"/>
    <w:next w:val="Normal"/>
    <w:rsid w:val="00E92729"/>
    <w:pPr>
      <w:keepNext/>
      <w:tabs>
        <w:tab w:val="clear" w:pos="1134"/>
        <w:tab w:val="clear" w:pos="1871"/>
        <w:tab w:val="clear" w:pos="2268"/>
      </w:tabs>
      <w:overflowPunct w:val="0"/>
      <w:autoSpaceDE w:val="0"/>
      <w:autoSpaceDN w:val="0"/>
      <w:adjustRightInd w:val="0"/>
      <w:spacing w:before="180"/>
      <w:textAlignment w:val="baseline"/>
    </w:pPr>
    <w:rPr>
      <w:rFonts w:ascii="Times New Roman Bold" w:hAnsi="Times New Roman Bold"/>
      <w:b/>
      <w:bCs/>
      <w:lang w:eastAsia="fr-FR"/>
    </w:rPr>
  </w:style>
  <w:style w:type="paragraph" w:customStyle="1" w:styleId="SectionNo0">
    <w:name w:val="Section No"/>
    <w:basedOn w:val="Normal"/>
    <w:qFormat/>
    <w:rsid w:val="00324B4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324B4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E74D61"/>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9AFCC99-A082-4FE1-8779-465A34D9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3</TotalTime>
  <Pages>1</Pages>
  <Words>490</Words>
  <Characters>2849</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Manafikhi, Muwafaq</dc:creator>
  <cp:keywords>WRC-12</cp:keywords>
  <cp:lastModifiedBy>Riz, Imad</cp:lastModifiedBy>
  <cp:revision>4</cp:revision>
  <cp:lastPrinted>2019-10-08T14:45:00Z</cp:lastPrinted>
  <dcterms:created xsi:type="dcterms:W3CDTF">2019-10-08T14:41:00Z</dcterms:created>
  <dcterms:modified xsi:type="dcterms:W3CDTF">2019-10-08T14:47:00Z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