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3B4C1C4E" w14:textId="77777777">
        <w:trPr>
          <w:cantSplit/>
        </w:trPr>
        <w:tc>
          <w:tcPr>
            <w:tcW w:w="6345" w:type="dxa"/>
          </w:tcPr>
          <w:p w14:paraId="21F698BE"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0C4E84DF" w14:textId="77777777" w:rsidR="00192E45" w:rsidRDefault="00192E45" w:rsidP="00D262CE">
            <w:pPr>
              <w:spacing w:line="240" w:lineRule="atLeast"/>
              <w:jc w:val="right"/>
            </w:pPr>
            <w:r>
              <w:rPr>
                <w:noProof/>
                <w:lang w:val="en-US" w:eastAsia="zh-CN"/>
              </w:rPr>
              <w:drawing>
                <wp:inline distT="0" distB="0" distL="0" distR="0" wp14:anchorId="7E12BD57" wp14:editId="2FF6A5F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362F4A9B" w14:textId="77777777">
        <w:trPr>
          <w:cantSplit/>
        </w:trPr>
        <w:tc>
          <w:tcPr>
            <w:tcW w:w="6345" w:type="dxa"/>
            <w:tcBorders>
              <w:bottom w:val="single" w:sz="12" w:space="0" w:color="auto"/>
            </w:tcBorders>
          </w:tcPr>
          <w:p w14:paraId="71E6A623"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388089B2" w14:textId="77777777" w:rsidR="00192E45" w:rsidRPr="00617BE4" w:rsidRDefault="00192E45" w:rsidP="00192E45">
            <w:pPr>
              <w:spacing w:before="0" w:line="240" w:lineRule="atLeast"/>
              <w:rPr>
                <w:rFonts w:ascii="Verdana" w:hAnsi="Verdana"/>
                <w:szCs w:val="24"/>
              </w:rPr>
            </w:pPr>
          </w:p>
        </w:tc>
      </w:tr>
      <w:tr w:rsidR="00192E45" w:rsidRPr="00C324A8" w14:paraId="77D5BAAF" w14:textId="77777777">
        <w:trPr>
          <w:cantSplit/>
        </w:trPr>
        <w:tc>
          <w:tcPr>
            <w:tcW w:w="6345" w:type="dxa"/>
            <w:tcBorders>
              <w:top w:val="single" w:sz="12" w:space="0" w:color="auto"/>
            </w:tcBorders>
          </w:tcPr>
          <w:p w14:paraId="4F4DE716"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7AA71B78" w14:textId="77777777" w:rsidR="00192E45" w:rsidRPr="00C324A8" w:rsidRDefault="00192E45" w:rsidP="00192E45">
            <w:pPr>
              <w:spacing w:before="0" w:line="240" w:lineRule="atLeast"/>
              <w:rPr>
                <w:rFonts w:ascii="Verdana" w:hAnsi="Verdana"/>
                <w:sz w:val="20"/>
              </w:rPr>
            </w:pPr>
          </w:p>
        </w:tc>
      </w:tr>
      <w:tr w:rsidR="00192E45" w:rsidRPr="00C324A8" w14:paraId="274E62ED" w14:textId="77777777">
        <w:trPr>
          <w:cantSplit/>
          <w:trHeight w:val="23"/>
        </w:trPr>
        <w:tc>
          <w:tcPr>
            <w:tcW w:w="6345" w:type="dxa"/>
            <w:vMerge w:val="restart"/>
          </w:tcPr>
          <w:p w14:paraId="5D67C196"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707A74A0" w14:textId="77777777" w:rsidR="006904BD" w:rsidRPr="006904BD" w:rsidRDefault="006904BD" w:rsidP="006904BD">
            <w:pPr>
              <w:tabs>
                <w:tab w:val="left" w:pos="851"/>
              </w:tabs>
              <w:spacing w:before="0" w:line="240" w:lineRule="atLeast"/>
              <w:rPr>
                <w:rFonts w:ascii="Verdana" w:hAnsi="Verdana"/>
                <w:b/>
                <w:sz w:val="20"/>
                <w:lang w:val="en-US"/>
              </w:rPr>
            </w:pPr>
          </w:p>
          <w:p w14:paraId="24D915DD"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37287CF4" w14:textId="6EF5AA84" w:rsidR="00192E45" w:rsidRPr="00192E45" w:rsidRDefault="00192E45" w:rsidP="00192E45">
            <w:pPr>
              <w:tabs>
                <w:tab w:val="left" w:pos="851"/>
              </w:tabs>
              <w:spacing w:before="0" w:line="240" w:lineRule="atLeast"/>
              <w:rPr>
                <w:rFonts w:ascii="Verdana" w:hAnsi="Verdana"/>
                <w:sz w:val="20"/>
              </w:rPr>
            </w:pPr>
            <w:r>
              <w:rPr>
                <w:rFonts w:ascii="Verdana" w:hAnsi="Verdana"/>
                <w:b/>
                <w:sz w:val="20"/>
              </w:rPr>
              <w:t>Document RA19/</w:t>
            </w:r>
            <w:r w:rsidR="00134107">
              <w:rPr>
                <w:rFonts w:ascii="Verdana" w:hAnsi="Verdana"/>
                <w:b/>
                <w:sz w:val="20"/>
              </w:rPr>
              <w:t>23</w:t>
            </w:r>
            <w:r>
              <w:rPr>
                <w:rFonts w:ascii="Verdana" w:hAnsi="Verdana"/>
                <w:b/>
                <w:sz w:val="20"/>
              </w:rPr>
              <w:t>-E</w:t>
            </w:r>
          </w:p>
        </w:tc>
      </w:tr>
      <w:tr w:rsidR="00192E45" w:rsidRPr="00C324A8" w14:paraId="75D8DF14" w14:textId="77777777">
        <w:trPr>
          <w:cantSplit/>
          <w:trHeight w:val="23"/>
        </w:trPr>
        <w:tc>
          <w:tcPr>
            <w:tcW w:w="6345" w:type="dxa"/>
            <w:vMerge/>
          </w:tcPr>
          <w:p w14:paraId="0535E01D"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7EE36CFB" w14:textId="1FF9C522" w:rsidR="00192E45" w:rsidRPr="00192E45" w:rsidRDefault="002634B2" w:rsidP="008E470E">
            <w:pPr>
              <w:tabs>
                <w:tab w:val="left" w:pos="993"/>
              </w:tabs>
              <w:spacing w:before="0"/>
              <w:rPr>
                <w:rFonts w:ascii="Verdana" w:hAnsi="Verdana"/>
                <w:sz w:val="20"/>
              </w:rPr>
            </w:pPr>
            <w:r>
              <w:rPr>
                <w:rFonts w:ascii="Verdana" w:hAnsi="Verdana"/>
                <w:b/>
                <w:sz w:val="20"/>
              </w:rPr>
              <w:t>1 October</w:t>
            </w:r>
            <w:r w:rsidR="00192E45">
              <w:rPr>
                <w:rFonts w:ascii="Verdana" w:hAnsi="Verdana"/>
                <w:b/>
                <w:sz w:val="20"/>
              </w:rPr>
              <w:t xml:space="preserve"> 201</w:t>
            </w:r>
            <w:r w:rsidR="008E470E">
              <w:rPr>
                <w:rFonts w:ascii="Verdana" w:hAnsi="Verdana"/>
                <w:b/>
                <w:sz w:val="20"/>
              </w:rPr>
              <w:t>9</w:t>
            </w:r>
          </w:p>
        </w:tc>
      </w:tr>
      <w:tr w:rsidR="00192E45" w:rsidRPr="00C324A8" w14:paraId="46C8EBB5" w14:textId="77777777">
        <w:trPr>
          <w:cantSplit/>
          <w:trHeight w:val="23"/>
        </w:trPr>
        <w:tc>
          <w:tcPr>
            <w:tcW w:w="6345" w:type="dxa"/>
            <w:vMerge/>
          </w:tcPr>
          <w:p w14:paraId="1BF2F2E3"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25CA23D" w14:textId="67849692" w:rsidR="00192E45" w:rsidRPr="00192E45" w:rsidRDefault="00192E45" w:rsidP="00192E45">
            <w:pPr>
              <w:tabs>
                <w:tab w:val="left" w:pos="993"/>
              </w:tabs>
              <w:spacing w:before="0" w:after="120"/>
              <w:rPr>
                <w:rFonts w:ascii="Verdana" w:hAnsi="Verdana"/>
                <w:sz w:val="20"/>
              </w:rPr>
            </w:pPr>
            <w:r>
              <w:rPr>
                <w:rFonts w:ascii="Verdana" w:hAnsi="Verdana"/>
                <w:b/>
                <w:sz w:val="20"/>
              </w:rPr>
              <w:t xml:space="preserve">Original: </w:t>
            </w:r>
            <w:r w:rsidR="002634B2">
              <w:rPr>
                <w:rFonts w:ascii="Verdana" w:hAnsi="Verdana"/>
                <w:b/>
                <w:sz w:val="20"/>
              </w:rPr>
              <w:t>Chinese</w:t>
            </w:r>
          </w:p>
        </w:tc>
      </w:tr>
      <w:tr w:rsidR="00192E45" w14:paraId="2354EE1F" w14:textId="77777777">
        <w:trPr>
          <w:cantSplit/>
        </w:trPr>
        <w:tc>
          <w:tcPr>
            <w:tcW w:w="10031" w:type="dxa"/>
            <w:gridSpan w:val="2"/>
          </w:tcPr>
          <w:p w14:paraId="250747A9" w14:textId="467CAA6C" w:rsidR="00192E45" w:rsidRDefault="002634B2">
            <w:pPr>
              <w:pStyle w:val="Source"/>
            </w:pPr>
            <w:bookmarkStart w:id="5" w:name="dsource" w:colFirst="0" w:colLast="0"/>
            <w:bookmarkEnd w:id="4"/>
            <w:r w:rsidRPr="002634B2">
              <w:t>China (People</w:t>
            </w:r>
            <w:r w:rsidR="0001293F">
              <w:t>’</w:t>
            </w:r>
            <w:r w:rsidRPr="002634B2">
              <w:t>s Republic of)</w:t>
            </w:r>
          </w:p>
        </w:tc>
      </w:tr>
      <w:tr w:rsidR="00192E45" w14:paraId="0871E8BF" w14:textId="77777777">
        <w:trPr>
          <w:cantSplit/>
        </w:trPr>
        <w:tc>
          <w:tcPr>
            <w:tcW w:w="10031" w:type="dxa"/>
            <w:gridSpan w:val="2"/>
          </w:tcPr>
          <w:p w14:paraId="0C3FD8EE" w14:textId="6363FE92" w:rsidR="00192E45" w:rsidRDefault="002634B2">
            <w:pPr>
              <w:pStyle w:val="Title1"/>
              <w:rPr>
                <w:lang w:eastAsia="zh-CN"/>
              </w:rPr>
            </w:pPr>
            <w:bookmarkStart w:id="6" w:name="dtitle1" w:colFirst="0" w:colLast="0"/>
            <w:bookmarkEnd w:id="5"/>
            <w:r>
              <w:rPr>
                <w:lang w:eastAsia="zh-CN"/>
              </w:rPr>
              <w:t xml:space="preserve">Views </w:t>
            </w:r>
            <w:r>
              <w:rPr>
                <w:rFonts w:hint="eastAsia"/>
                <w:lang w:val="en-US" w:eastAsia="zh-CN"/>
              </w:rPr>
              <w:t>AND PROPOSALS RELATED TO</w:t>
            </w:r>
            <w:r>
              <w:rPr>
                <w:lang w:eastAsia="zh-CN"/>
              </w:rPr>
              <w:t xml:space="preserve"> THE DRAFT REVISION OF RECOMMENDATION ITU-R M.1036-5</w:t>
            </w:r>
          </w:p>
        </w:tc>
      </w:tr>
      <w:tr w:rsidR="00192E45" w14:paraId="6F4188DD" w14:textId="77777777">
        <w:trPr>
          <w:cantSplit/>
        </w:trPr>
        <w:tc>
          <w:tcPr>
            <w:tcW w:w="10031" w:type="dxa"/>
            <w:gridSpan w:val="2"/>
          </w:tcPr>
          <w:p w14:paraId="14FAA967" w14:textId="77777777" w:rsidR="00192E45" w:rsidRDefault="00192E45">
            <w:pPr>
              <w:pStyle w:val="Title2"/>
            </w:pPr>
            <w:bookmarkStart w:id="7" w:name="dtitle2" w:colFirst="0" w:colLast="0"/>
            <w:bookmarkEnd w:id="6"/>
          </w:p>
        </w:tc>
      </w:tr>
      <w:tr w:rsidR="00192E45" w14:paraId="080AB155" w14:textId="77777777">
        <w:trPr>
          <w:cantSplit/>
        </w:trPr>
        <w:tc>
          <w:tcPr>
            <w:tcW w:w="10031" w:type="dxa"/>
            <w:gridSpan w:val="2"/>
          </w:tcPr>
          <w:p w14:paraId="402C8C2F" w14:textId="77777777" w:rsidR="00192E45" w:rsidRDefault="00192E45">
            <w:pPr>
              <w:pStyle w:val="Title3"/>
            </w:pPr>
            <w:bookmarkStart w:id="8" w:name="dtitle3" w:colFirst="0" w:colLast="0"/>
            <w:bookmarkEnd w:id="7"/>
          </w:p>
        </w:tc>
      </w:tr>
    </w:tbl>
    <w:bookmarkEnd w:id="8"/>
    <w:p w14:paraId="1D41BD95" w14:textId="6FED4F42" w:rsidR="00521E96" w:rsidRDefault="002634B2" w:rsidP="00723414">
      <w:pPr>
        <w:pStyle w:val="Heading1"/>
      </w:pPr>
      <w:r>
        <w:t>1</w:t>
      </w:r>
      <w:r>
        <w:tab/>
        <w:t>Introduction</w:t>
      </w:r>
    </w:p>
    <w:p w14:paraId="60681FC0" w14:textId="122CD64A" w:rsidR="002634B2" w:rsidRDefault="002634B2" w:rsidP="002634B2">
      <w:pPr>
        <w:rPr>
          <w:lang w:eastAsia="ko-KR"/>
        </w:rPr>
      </w:pPr>
      <w:bookmarkStart w:id="9" w:name="_Hlk21597029"/>
      <w:r>
        <w:rPr>
          <w:lang w:eastAsia="ko-KR"/>
        </w:rPr>
        <w:t>As listed in the Chairman’s report of the 32</w:t>
      </w:r>
      <w:r>
        <w:rPr>
          <w:vertAlign w:val="superscript"/>
          <w:lang w:eastAsia="ko-KR"/>
        </w:rPr>
        <w:t>nd</w:t>
      </w:r>
      <w:r>
        <w:rPr>
          <w:lang w:eastAsia="ko-KR"/>
        </w:rPr>
        <w:t xml:space="preserve"> meeting of WP 5D, some issues still remained to be discu</w:t>
      </w:r>
      <w:r>
        <w:rPr>
          <w:rFonts w:eastAsia="SimSun" w:hint="eastAsia"/>
          <w:lang w:val="en-US" w:eastAsia="zh-CN"/>
        </w:rPr>
        <w:t xml:space="preserve">ssed in the </w:t>
      </w:r>
      <w:r>
        <w:rPr>
          <w:lang w:eastAsia="ko-KR"/>
        </w:rPr>
        <w:t>draft revision of Recommendation ITU-R M.1036-5</w:t>
      </w:r>
      <w:r>
        <w:rPr>
          <w:rFonts w:eastAsia="SimSun" w:hint="eastAsia"/>
          <w:lang w:val="en-US" w:eastAsia="zh-CN"/>
        </w:rPr>
        <w:t>.</w:t>
      </w:r>
      <w:r>
        <w:rPr>
          <w:lang w:eastAsia="ko-KR"/>
        </w:rPr>
        <w:t xml:space="preserve"> </w:t>
      </w:r>
      <w:r>
        <w:rPr>
          <w:rFonts w:eastAsia="SimSun" w:hint="eastAsia"/>
          <w:lang w:val="en-US" w:eastAsia="zh-CN"/>
        </w:rPr>
        <w:t>In the last meeting of Study Group 5 (2-3</w:t>
      </w:r>
      <w:r w:rsidR="00723414" w:rsidRPr="00723414">
        <w:rPr>
          <w:rFonts w:eastAsia="SimSun" w:hint="eastAsia"/>
          <w:lang w:val="en-US" w:eastAsia="zh-CN"/>
        </w:rPr>
        <w:t xml:space="preserve"> </w:t>
      </w:r>
      <w:r w:rsidR="00723414">
        <w:rPr>
          <w:rFonts w:eastAsia="SimSun" w:hint="eastAsia"/>
          <w:lang w:val="en-US" w:eastAsia="zh-CN"/>
        </w:rPr>
        <w:t>Sep.</w:t>
      </w:r>
      <w:r>
        <w:rPr>
          <w:rFonts w:eastAsia="SimSun" w:hint="eastAsia"/>
          <w:lang w:val="en-US" w:eastAsia="zh-CN"/>
        </w:rPr>
        <w:t xml:space="preserve">, in Geneva) </w:t>
      </w:r>
      <w:r>
        <w:rPr>
          <w:lang w:eastAsia="ko-KR"/>
        </w:rPr>
        <w:t xml:space="preserve">it was agreed that the revision document would be submitted to </w:t>
      </w:r>
      <w:r>
        <w:rPr>
          <w:rFonts w:eastAsia="SimSun" w:hint="eastAsia"/>
          <w:lang w:val="en-US" w:eastAsia="zh-CN"/>
        </w:rPr>
        <w:t>RA</w:t>
      </w:r>
      <w:r w:rsidR="007817F0">
        <w:rPr>
          <w:rFonts w:eastAsia="SimSun"/>
          <w:lang w:val="en-US" w:eastAsia="zh-CN"/>
        </w:rPr>
        <w:noBreakHyphen/>
      </w:r>
      <w:r>
        <w:rPr>
          <w:rFonts w:eastAsia="SimSun" w:hint="eastAsia"/>
          <w:lang w:val="en-US" w:eastAsia="zh-CN"/>
        </w:rPr>
        <w:t>19</w:t>
      </w:r>
      <w:r>
        <w:rPr>
          <w:lang w:eastAsia="ko-KR"/>
        </w:rPr>
        <w:t xml:space="preserve"> for further </w:t>
      </w:r>
      <w:r>
        <w:rPr>
          <w:rFonts w:eastAsia="SimSun" w:hint="eastAsia"/>
          <w:lang w:val="en-US" w:eastAsia="zh-CN"/>
        </w:rPr>
        <w:t>consideration</w:t>
      </w:r>
      <w:r>
        <w:rPr>
          <w:lang w:eastAsia="ko-KR"/>
        </w:rPr>
        <w:t xml:space="preserve"> and possible agreement on the approval process. As indicated in Document </w:t>
      </w:r>
      <w:hyperlink r:id="rId9" w:history="1">
        <w:r>
          <w:rPr>
            <w:rStyle w:val="Hyperlink"/>
            <w:szCs w:val="24"/>
            <w:lang w:eastAsia="ko-KR"/>
          </w:rPr>
          <w:t>5/174</w:t>
        </w:r>
      </w:hyperlink>
      <w:r>
        <w:rPr>
          <w:lang w:eastAsia="ko-KR"/>
        </w:rPr>
        <w:t>, the open issues are:</w:t>
      </w:r>
    </w:p>
    <w:p w14:paraId="0F45297E" w14:textId="77777777" w:rsidR="002634B2" w:rsidRPr="00723414" w:rsidRDefault="002634B2" w:rsidP="00723414">
      <w:pPr>
        <w:rPr>
          <w:i/>
          <w:iCs/>
          <w:lang w:eastAsia="ko-KR"/>
        </w:rPr>
      </w:pPr>
      <w:bookmarkStart w:id="10" w:name="_Hlk21597050"/>
      <w:bookmarkEnd w:id="9"/>
      <w:r w:rsidRPr="00723414">
        <w:rPr>
          <w:i/>
          <w:iCs/>
          <w:lang w:eastAsia="ko-KR"/>
        </w:rPr>
        <w:t>1</w:t>
      </w:r>
      <w:r w:rsidRPr="00723414">
        <w:rPr>
          <w:i/>
          <w:iCs/>
          <w:lang w:eastAsia="ko-KR"/>
        </w:rPr>
        <w:tab/>
        <w:t>The modified version of the paragraph at the beginning of Table 1 in Attachment 1 to the Annex of this PDRR ITU-R M.1036-5 needs to be further discussed.</w:t>
      </w:r>
    </w:p>
    <w:p w14:paraId="6B55875C" w14:textId="77777777" w:rsidR="002634B2" w:rsidRPr="00723414" w:rsidRDefault="002634B2" w:rsidP="00723414">
      <w:pPr>
        <w:rPr>
          <w:i/>
          <w:iCs/>
          <w:lang w:eastAsia="ko-KR"/>
        </w:rPr>
      </w:pPr>
      <w:r w:rsidRPr="00723414">
        <w:rPr>
          <w:i/>
          <w:iCs/>
          <w:lang w:eastAsia="ko-KR"/>
        </w:rPr>
        <w:t>2</w:t>
      </w:r>
      <w:r w:rsidRPr="00723414">
        <w:rPr>
          <w:i/>
          <w:iCs/>
          <w:lang w:eastAsia="ko-KR"/>
        </w:rPr>
        <w:tab/>
        <w:t>With regards to the treatment of Section 4 “Frequency arrangements in the band 1 427</w:t>
      </w:r>
      <w:r w:rsidRPr="00723414">
        <w:rPr>
          <w:i/>
          <w:iCs/>
          <w:lang w:eastAsia="ko-KR"/>
        </w:rPr>
        <w:noBreakHyphen/>
        <w:t>1 518 MHz”, there were some concerns by certain ITU-R members to include section 4 in the revision of Recommendation ITU-R M.1036-5 and there was no agreement on this issue, while two views were expressed.</w:t>
      </w:r>
    </w:p>
    <w:p w14:paraId="4B36C44A" w14:textId="74C4F11A" w:rsidR="002634B2" w:rsidRPr="00723414" w:rsidRDefault="002634B2" w:rsidP="00723414">
      <w:pPr>
        <w:rPr>
          <w:i/>
          <w:iCs/>
          <w:lang w:eastAsia="ko-KR"/>
        </w:rPr>
      </w:pPr>
      <w:r w:rsidRPr="00723414">
        <w:rPr>
          <w:i/>
          <w:iCs/>
          <w:lang w:eastAsia="ko-KR"/>
        </w:rPr>
        <w:t>3</w:t>
      </w:r>
      <w:r w:rsidRPr="00723414">
        <w:rPr>
          <w:i/>
          <w:iCs/>
          <w:lang w:eastAsia="ko-KR"/>
        </w:rPr>
        <w:tab/>
        <w:t xml:space="preserve">Concerning Note 5 under section 5, there is still a square bracket put for the last sentence of this note as there </w:t>
      </w:r>
      <w:r w:rsidR="00723414" w:rsidRPr="00723414">
        <w:rPr>
          <w:i/>
          <w:iCs/>
          <w:lang w:eastAsia="ko-KR"/>
        </w:rPr>
        <w:t>was</w:t>
      </w:r>
      <w:r w:rsidRPr="00723414">
        <w:rPr>
          <w:i/>
          <w:iCs/>
          <w:lang w:eastAsia="ko-KR"/>
        </w:rPr>
        <w:t xml:space="preserve"> no agreement reached.</w:t>
      </w:r>
    </w:p>
    <w:p w14:paraId="4033F880" w14:textId="251A04E1" w:rsidR="002634B2" w:rsidRDefault="002634B2" w:rsidP="00723414">
      <w:pPr>
        <w:pStyle w:val="Heading1"/>
        <w:rPr>
          <w:lang w:val="en-US" w:eastAsia="ja-JP"/>
        </w:rPr>
      </w:pPr>
      <w:bookmarkStart w:id="11" w:name="_Hlk21597086"/>
      <w:bookmarkEnd w:id="10"/>
      <w:r>
        <w:rPr>
          <w:rFonts w:hint="eastAsia"/>
          <w:lang w:val="en-US" w:eastAsia="zh-CN"/>
        </w:rPr>
        <w:t>2</w:t>
      </w:r>
      <w:r>
        <w:tab/>
      </w:r>
      <w:r>
        <w:rPr>
          <w:rFonts w:eastAsia="SimSun" w:hint="eastAsia"/>
          <w:lang w:val="en-US" w:eastAsia="zh-CN"/>
        </w:rPr>
        <w:t>Views</w:t>
      </w:r>
      <w:r>
        <w:rPr>
          <w:rFonts w:hint="eastAsia"/>
          <w:lang w:val="en-US" w:eastAsia="zh-CN"/>
        </w:rPr>
        <w:t xml:space="preserve"> </w:t>
      </w:r>
      <w:r>
        <w:rPr>
          <w:rFonts w:eastAsia="SimSun" w:hint="eastAsia"/>
          <w:lang w:val="en-US" w:eastAsia="zh-CN"/>
        </w:rPr>
        <w:t>related to the f</w:t>
      </w:r>
      <w:r>
        <w:rPr>
          <w:lang w:val="en-US" w:eastAsia="ja-JP"/>
        </w:rPr>
        <w:t>requency arrangements in the band 1 710-2 200</w:t>
      </w:r>
      <w:r w:rsidR="007817F0">
        <w:rPr>
          <w:lang w:val="en-US" w:eastAsia="ja-JP"/>
        </w:rPr>
        <w:t> </w:t>
      </w:r>
      <w:r>
        <w:rPr>
          <w:lang w:val="en-US" w:eastAsia="ja-JP"/>
        </w:rPr>
        <w:t>MHz</w:t>
      </w:r>
    </w:p>
    <w:p w14:paraId="24D10DAF" w14:textId="01B269A9" w:rsidR="002634B2" w:rsidRDefault="002634B2" w:rsidP="00723414">
      <w:pPr>
        <w:rPr>
          <w:lang w:val="en-US" w:eastAsia="zh-CN"/>
        </w:rPr>
      </w:pPr>
      <w:r>
        <w:rPr>
          <w:lang w:val="en-US" w:eastAsia="zh-CN"/>
        </w:rPr>
        <w:t xml:space="preserve">With regard to the frequency band 1 710-2 200 MHz, the </w:t>
      </w:r>
      <w:r>
        <w:rPr>
          <w:rFonts w:hint="eastAsia"/>
          <w:lang w:val="en-US" w:eastAsia="zh-CN"/>
        </w:rPr>
        <w:t>d</w:t>
      </w:r>
      <w:r>
        <w:rPr>
          <w:lang w:val="en-US" w:eastAsia="zh-CN"/>
        </w:rPr>
        <w:t>raft revision of Recommendation ITU</w:t>
      </w:r>
      <w:r w:rsidR="001E58B2">
        <w:rPr>
          <w:lang w:val="en-US" w:eastAsia="zh-CN"/>
        </w:rPr>
        <w:noBreakHyphen/>
      </w:r>
      <w:r>
        <w:rPr>
          <w:lang w:val="en-US" w:eastAsia="zh-CN"/>
        </w:rPr>
        <w:t>R</w:t>
      </w:r>
      <w:r w:rsidR="001E58B2">
        <w:rPr>
          <w:lang w:val="en-US" w:eastAsia="zh-CN"/>
        </w:rPr>
        <w:t> </w:t>
      </w:r>
      <w:r>
        <w:rPr>
          <w:lang w:val="en-US" w:eastAsia="zh-CN"/>
        </w:rPr>
        <w:t xml:space="preserve">M.1036-5 contains proposals for modification </w:t>
      </w:r>
      <w:r>
        <w:rPr>
          <w:bCs/>
          <w:i/>
          <w:lang w:val="en-US" w:eastAsia="zh-CN"/>
        </w:rPr>
        <w:t>recognizing</w:t>
      </w:r>
      <w:r>
        <w:rPr>
          <w:i/>
          <w:lang w:val="en-US" w:eastAsia="zh-CN"/>
        </w:rPr>
        <w:t xml:space="preserve"> c and d</w:t>
      </w:r>
      <w:r>
        <w:rPr>
          <w:lang w:val="en-US" w:eastAsia="zh-CN"/>
        </w:rPr>
        <w:t xml:space="preserve"> and Note 5 to Table 4</w:t>
      </w:r>
      <w:r>
        <w:rPr>
          <w:rFonts w:hint="eastAsia"/>
          <w:lang w:val="en-US" w:eastAsia="zh-CN"/>
        </w:rPr>
        <w:t xml:space="preserve"> </w:t>
      </w:r>
      <w:r>
        <w:rPr>
          <w:lang w:eastAsia="ja-JP"/>
        </w:rPr>
        <w:t>under Section 5</w:t>
      </w:r>
      <w:r>
        <w:rPr>
          <w:lang w:val="en-US" w:eastAsia="zh-CN"/>
        </w:rPr>
        <w:t>.</w:t>
      </w:r>
      <w:r>
        <w:rPr>
          <w:rFonts w:eastAsia="SimSun" w:hint="eastAsia"/>
          <w:lang w:val="en-US" w:eastAsia="zh-CN"/>
        </w:rPr>
        <w:t>T</w:t>
      </w:r>
      <w:r>
        <w:rPr>
          <w:lang w:eastAsia="ja-JP"/>
        </w:rPr>
        <w:t xml:space="preserve">he last sentence of Note 5 </w:t>
      </w:r>
      <w:r>
        <w:rPr>
          <w:rFonts w:eastAsia="SimSun" w:hint="eastAsia"/>
          <w:lang w:val="en-US" w:eastAsia="zh-CN"/>
        </w:rPr>
        <w:t xml:space="preserve">in the </w:t>
      </w:r>
      <w:r>
        <w:rPr>
          <w:lang w:eastAsia="ko-KR"/>
        </w:rPr>
        <w:t>draft revision of Recommendation ITU-R M.1036-5</w:t>
      </w:r>
      <w:r>
        <w:rPr>
          <w:rFonts w:eastAsia="SimSun" w:hint="eastAsia"/>
          <w:lang w:val="en-US" w:eastAsia="zh-CN"/>
        </w:rPr>
        <w:t xml:space="preserve"> is still in</w:t>
      </w:r>
      <w:r>
        <w:rPr>
          <w:lang w:eastAsia="ja-JP"/>
        </w:rPr>
        <w:t xml:space="preserve"> square brackets. </w:t>
      </w:r>
    </w:p>
    <w:p w14:paraId="0306BB7C" w14:textId="77777777" w:rsidR="002634B2" w:rsidRDefault="002634B2" w:rsidP="00723414">
      <w:pPr>
        <w:rPr>
          <w:lang w:val="en-US" w:eastAsia="zh-CN"/>
        </w:rPr>
      </w:pPr>
      <w:r>
        <w:rPr>
          <w:rFonts w:hint="eastAsia"/>
          <w:b/>
          <w:i/>
          <w:iCs/>
          <w:lang w:val="en-US" w:eastAsia="zh-CN"/>
        </w:rPr>
        <w:t>First</w:t>
      </w:r>
      <w:r>
        <w:rPr>
          <w:rFonts w:hint="eastAsia"/>
          <w:lang w:val="en-US" w:eastAsia="zh-CN"/>
        </w:rPr>
        <w:t xml:space="preserve">, it should be noted that </w:t>
      </w:r>
      <w:r>
        <w:rPr>
          <w:i/>
          <w:iCs/>
          <w:lang w:val="en-US" w:eastAsia="zh-CN"/>
        </w:rPr>
        <w:t>invites ITU-R</w:t>
      </w:r>
      <w:r>
        <w:rPr>
          <w:lang w:val="en-US" w:eastAsia="zh-CN"/>
        </w:rPr>
        <w:t xml:space="preserve"> section of Resolution 2</w:t>
      </w:r>
      <w:r>
        <w:rPr>
          <w:rFonts w:eastAsia="SimSun" w:hint="eastAsia"/>
          <w:lang w:val="en-US" w:eastAsia="zh-CN"/>
        </w:rPr>
        <w:t>12</w:t>
      </w:r>
      <w:r>
        <w:rPr>
          <w:lang w:val="en-US" w:eastAsia="zh-CN"/>
        </w:rPr>
        <w:t xml:space="preserve"> (Rev. WRC-15) indicates the following actions to be taken:</w:t>
      </w:r>
    </w:p>
    <w:p w14:paraId="34532D69" w14:textId="1DC87B8B" w:rsidR="002634B2" w:rsidRDefault="00723414" w:rsidP="00723414">
      <w:r>
        <w:t>“</w:t>
      </w:r>
      <w:r w:rsidR="002634B2">
        <w:t>to study possible technical and operational measures to ensure coexistence and compatibility between the terrestrial component of IMT (in the mobile service) and the satellite component of IMT (in the mobile service and the mobile-satellite service)</w:t>
      </w:r>
      <w:r>
        <w:t xml:space="preserve"> </w:t>
      </w:r>
      <w:r w:rsidR="002634B2">
        <w:t>in the frequency bands 1 980-</w:t>
      </w:r>
      <w:r w:rsidR="002634B2">
        <w:lastRenderedPageBreak/>
        <w:t>2 010 MHz and 2 170</w:t>
      </w:r>
      <w:r w:rsidR="002634B2">
        <w:noBreakHyphen/>
        <w: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bookmarkEnd w:id="11"/>
      <w:r>
        <w:rPr>
          <w:rFonts w:eastAsia="SimSun"/>
          <w:lang w:eastAsia="zh-CN"/>
        </w:rPr>
        <w:t>”</w:t>
      </w:r>
    </w:p>
    <w:p w14:paraId="7601D2CF" w14:textId="2F384CC7" w:rsidR="002634B2" w:rsidRDefault="002634B2" w:rsidP="002634B2">
      <w:pPr>
        <w:jc w:val="both"/>
        <w:rPr>
          <w:color w:val="000000"/>
          <w:szCs w:val="24"/>
          <w:lang w:val="en-US" w:eastAsia="zh-CN"/>
        </w:rPr>
      </w:pPr>
      <w:bookmarkStart w:id="12" w:name="_Hlk21597101"/>
      <w:r>
        <w:rPr>
          <w:rFonts w:hint="eastAsia"/>
          <w:color w:val="000000"/>
          <w:szCs w:val="24"/>
          <w:lang w:val="en-US" w:eastAsia="zh-CN"/>
        </w:rPr>
        <w:t xml:space="preserve">Within the above scope, the sharing study </w:t>
      </w:r>
      <w:r w:rsidR="00723414">
        <w:rPr>
          <w:color w:val="000000"/>
          <w:szCs w:val="24"/>
          <w:lang w:val="en-US" w:eastAsia="zh-CN"/>
        </w:rPr>
        <w:t>of 9.1.1</w:t>
      </w:r>
      <w:r>
        <w:rPr>
          <w:rFonts w:hint="eastAsia"/>
          <w:color w:val="000000"/>
          <w:szCs w:val="24"/>
          <w:lang w:val="en-US" w:eastAsia="zh-CN"/>
        </w:rPr>
        <w:t xml:space="preserve"> issue of WRC-19 is not finalized by ITU-R at present and the Report ITU-R </w:t>
      </w:r>
      <w:proofErr w:type="gramStart"/>
      <w:r>
        <w:rPr>
          <w:rFonts w:hint="eastAsia"/>
          <w:color w:val="000000"/>
          <w:szCs w:val="24"/>
          <w:lang w:val="en-US" w:eastAsia="zh-CN"/>
        </w:rPr>
        <w:t>M.[</w:t>
      </w:r>
      <w:proofErr w:type="gramEnd"/>
      <w:r>
        <w:rPr>
          <w:rFonts w:hint="eastAsia"/>
          <w:color w:val="000000"/>
          <w:szCs w:val="24"/>
          <w:lang w:val="en-US" w:eastAsia="zh-CN"/>
        </w:rPr>
        <w:t>MSS&amp;IMT-ADVANCED SHARING] is not completed yet.</w:t>
      </w:r>
    </w:p>
    <w:bookmarkEnd w:id="12"/>
    <w:p w14:paraId="3F0152D9" w14:textId="42D51774" w:rsidR="002634B2" w:rsidRDefault="002634B2" w:rsidP="00723414">
      <w:pPr>
        <w:rPr>
          <w:lang w:val="en-US" w:eastAsia="zh-CN"/>
        </w:rPr>
      </w:pPr>
      <w:r>
        <w:rPr>
          <w:rFonts w:hint="eastAsia"/>
          <w:b/>
          <w:bCs/>
          <w:i/>
          <w:iCs/>
          <w:lang w:val="en-US" w:eastAsia="zh-CN"/>
        </w:rPr>
        <w:t>Second,</w:t>
      </w:r>
      <w:r>
        <w:rPr>
          <w:rFonts w:hint="eastAsia"/>
          <w:lang w:val="en-US" w:eastAsia="zh-CN"/>
        </w:rPr>
        <w:t xml:space="preserve"> during the </w:t>
      </w:r>
      <w:r>
        <w:rPr>
          <w:lang w:val="en-US" w:eastAsia="zh-CN"/>
        </w:rPr>
        <w:t>work on revision of Recommendation ITU-R</w:t>
      </w:r>
      <w:r>
        <w:rPr>
          <w:rFonts w:hint="eastAsia"/>
          <w:lang w:val="en-US" w:eastAsia="zh-CN"/>
        </w:rPr>
        <w:t xml:space="preserve"> </w:t>
      </w:r>
      <w:r>
        <w:rPr>
          <w:lang w:val="en-US" w:eastAsia="zh-CN"/>
        </w:rPr>
        <w:t>M.1036-5</w:t>
      </w:r>
      <w:r>
        <w:rPr>
          <w:rFonts w:hint="eastAsia"/>
          <w:lang w:val="en-US" w:eastAsia="zh-CN"/>
        </w:rPr>
        <w:t>,</w:t>
      </w:r>
      <w:r>
        <w:rPr>
          <w:lang w:val="en-US" w:eastAsia="zh-CN"/>
        </w:rPr>
        <w:t xml:space="preserve"> an agreement was reached between the SG5 and SG4 (</w:t>
      </w:r>
      <w:r w:rsidR="00723414">
        <w:rPr>
          <w:lang w:val="en-US" w:eastAsia="zh-CN"/>
        </w:rPr>
        <w:t>D</w:t>
      </w:r>
      <w:r>
        <w:rPr>
          <w:lang w:val="en-US" w:eastAsia="zh-CN"/>
        </w:rPr>
        <w:t>ocument</w:t>
      </w:r>
      <w:r w:rsidR="00723414">
        <w:rPr>
          <w:lang w:val="en-US" w:eastAsia="zh-CN"/>
        </w:rPr>
        <w:t>s</w:t>
      </w:r>
      <w:r>
        <w:rPr>
          <w:lang w:val="en-US" w:eastAsia="zh-CN"/>
        </w:rPr>
        <w:t xml:space="preserve"> 4/3 and 5/3, p</w:t>
      </w:r>
      <w:r>
        <w:rPr>
          <w:rFonts w:hint="eastAsia"/>
          <w:lang w:val="en-US" w:eastAsia="zh-CN"/>
        </w:rPr>
        <w:t>.</w:t>
      </w:r>
      <w:r>
        <w:rPr>
          <w:lang w:val="en-US" w:eastAsia="zh-CN"/>
        </w:rPr>
        <w:t>7) that:</w:t>
      </w:r>
    </w:p>
    <w:p w14:paraId="16F24C7A" w14:textId="48F95C71" w:rsidR="002634B2" w:rsidRDefault="002634B2" w:rsidP="00723414">
      <w:pPr>
        <w:rPr>
          <w:rFonts w:eastAsia="SimSun"/>
          <w:lang w:val="en-US" w:eastAsia="zh-CN"/>
        </w:rPr>
      </w:pPr>
      <w:r>
        <w:rPr>
          <w:color w:val="000000"/>
          <w:szCs w:val="24"/>
          <w:lang w:val="en-US" w:eastAsia="zh-CN"/>
        </w:rPr>
        <w:t>“</w:t>
      </w:r>
      <w:r w:rsidR="00D31414">
        <w:rPr>
          <w:color w:val="000000"/>
          <w:szCs w:val="24"/>
          <w:lang w:val="en-US" w:eastAsia="zh-CN"/>
        </w:rPr>
        <w:t xml:space="preserve">... </w:t>
      </w:r>
      <w:bookmarkStart w:id="13" w:name="_GoBack"/>
      <w:bookmarkEnd w:id="13"/>
      <w:r>
        <w:rPr>
          <w:rFonts w:hint="eastAsia"/>
          <w:lang w:eastAsia="ja-JP"/>
        </w:rPr>
        <w:t>any revisions for the satellite-related texts will be done through liaison activity between the relevant Working Parties. When the output for the draft revision is prepared by the Working Parties, it should be sent to Study Group 5 for formal action on its adoption and approval. The draft text should also be sent to Study Group 4 for its consideration, as required. If the Study Group 5 meeting introduces further non-editorial modifications to the satellite-related texts, then the revision of recommendations and/or other satellite service relevant text need to be sent back to the relevant Working Parties for review.</w:t>
      </w:r>
      <w:r>
        <w:rPr>
          <w:rFonts w:eastAsia="SimSun"/>
          <w:lang w:val="en-US" w:eastAsia="zh-CN"/>
        </w:rPr>
        <w:t>”</w:t>
      </w:r>
    </w:p>
    <w:p w14:paraId="686C93D3" w14:textId="49165EC1" w:rsidR="002634B2" w:rsidRDefault="002634B2" w:rsidP="002634B2">
      <w:pPr>
        <w:rPr>
          <w:lang w:eastAsia="ja-JP"/>
        </w:rPr>
      </w:pPr>
      <w:r>
        <w:rPr>
          <w:rFonts w:hint="eastAsia"/>
          <w:lang w:eastAsia="ja-JP"/>
        </w:rPr>
        <w:t xml:space="preserve">The changes proposed by WP5D to </w:t>
      </w:r>
      <w:r>
        <w:rPr>
          <w:rFonts w:hint="eastAsia"/>
          <w:bCs/>
          <w:i/>
          <w:color w:val="000000"/>
          <w:szCs w:val="24"/>
          <w:lang w:val="en-US" w:eastAsia="ja-JP"/>
        </w:rPr>
        <w:t>recognizing c and d</w:t>
      </w:r>
      <w:r>
        <w:rPr>
          <w:rFonts w:hint="eastAsia"/>
          <w:lang w:eastAsia="ja-JP"/>
        </w:rPr>
        <w:t> and Note 5 to Table 4 of Recommendation ITU-R M.1036-5 are not editorial changes and had to be agreed by WP4</w:t>
      </w:r>
      <w:r w:rsidR="00723414">
        <w:rPr>
          <w:rFonts w:eastAsia="MS Mincho" w:hint="eastAsia"/>
          <w:lang w:eastAsia="ja-JP"/>
        </w:rPr>
        <w:t>C</w:t>
      </w:r>
      <w:r>
        <w:rPr>
          <w:rFonts w:hint="eastAsia"/>
          <w:lang w:eastAsia="ja-JP"/>
        </w:rPr>
        <w:t>.</w:t>
      </w:r>
    </w:p>
    <w:p w14:paraId="286FE5A3" w14:textId="77777777" w:rsidR="002634B2" w:rsidRDefault="002634B2" w:rsidP="00723414">
      <w:pPr>
        <w:pStyle w:val="Heading1"/>
        <w:rPr>
          <w:szCs w:val="22"/>
          <w:lang w:val="en-US" w:eastAsia="ja-JP"/>
        </w:rPr>
      </w:pPr>
      <w:r>
        <w:rPr>
          <w:rFonts w:eastAsia="SimSun" w:hint="eastAsia"/>
          <w:lang w:val="en-US" w:eastAsia="zh-CN"/>
        </w:rPr>
        <w:t>3</w:t>
      </w:r>
      <w:r>
        <w:tab/>
      </w:r>
      <w:r>
        <w:rPr>
          <w:rFonts w:hint="eastAsia"/>
          <w:lang w:val="en-US" w:eastAsia="zh-CN"/>
        </w:rPr>
        <w:t>Proposal</w:t>
      </w:r>
    </w:p>
    <w:p w14:paraId="67C96BD7" w14:textId="77777777" w:rsidR="002634B2" w:rsidRDefault="002634B2" w:rsidP="00723414">
      <w:pPr>
        <w:rPr>
          <w:lang w:val="en-US" w:eastAsia="zh-CN"/>
        </w:rPr>
      </w:pPr>
      <w:r>
        <w:rPr>
          <w:rFonts w:hint="eastAsia"/>
          <w:lang w:val="en-US" w:eastAsia="zh-CN"/>
        </w:rPr>
        <w:t xml:space="preserve">Based on the above observations, </w:t>
      </w:r>
      <w:r>
        <w:rPr>
          <w:lang w:val="en-US" w:eastAsia="zh-CN"/>
        </w:rPr>
        <w:t>China</w:t>
      </w:r>
      <w:r>
        <w:rPr>
          <w:rFonts w:hint="eastAsia"/>
          <w:lang w:val="en-US" w:eastAsia="zh-CN"/>
        </w:rPr>
        <w:t xml:space="preserve"> propose</w:t>
      </w:r>
      <w:r>
        <w:rPr>
          <w:lang w:val="en-US" w:eastAsia="zh-CN"/>
        </w:rPr>
        <w:t>s</w:t>
      </w:r>
      <w:r>
        <w:rPr>
          <w:rFonts w:hint="eastAsia"/>
          <w:lang w:val="en-US" w:eastAsia="zh-CN"/>
        </w:rPr>
        <w:t xml:space="preserve"> that the original </w:t>
      </w:r>
      <w:r>
        <w:rPr>
          <w:rFonts w:hint="eastAsia"/>
          <w:lang w:eastAsia="ja-JP"/>
        </w:rPr>
        <w:t>texts</w:t>
      </w:r>
      <w:r>
        <w:rPr>
          <w:rFonts w:hint="eastAsia"/>
          <w:lang w:val="en-US" w:eastAsia="zh-CN"/>
        </w:rPr>
        <w:t xml:space="preserve"> should be retained if no consensus could be reached on any revisions of satellite-related texts in the draft revision of Recommendation ITU-R M.1036-5.</w:t>
      </w:r>
    </w:p>
    <w:p w14:paraId="353AF7D7" w14:textId="7A3DDFA9" w:rsidR="002634B2" w:rsidRDefault="002634B2" w:rsidP="00723414">
      <w:pPr>
        <w:rPr>
          <w:lang w:val="en-US" w:eastAsia="zh-CN"/>
        </w:rPr>
      </w:pPr>
      <w:r>
        <w:rPr>
          <w:lang w:eastAsia="ko-KR"/>
        </w:rPr>
        <w:t xml:space="preserve">Concerning Note 5 under Section 5, </w:t>
      </w:r>
      <w:r>
        <w:rPr>
          <w:rFonts w:hint="eastAsia"/>
          <w:lang w:val="en-US" w:eastAsia="zh-CN"/>
        </w:rPr>
        <w:t>as a way forward, China</w:t>
      </w:r>
      <w:r>
        <w:rPr>
          <w:lang w:eastAsia="ko-KR"/>
        </w:rPr>
        <w:t xml:space="preserve"> </w:t>
      </w:r>
      <w:r>
        <w:rPr>
          <w:rFonts w:hint="eastAsia"/>
          <w:lang w:val="en-US" w:eastAsia="zh-CN"/>
        </w:rPr>
        <w:t>propose</w:t>
      </w:r>
      <w:r>
        <w:rPr>
          <w:lang w:val="en-US" w:eastAsia="zh-CN"/>
        </w:rPr>
        <w:t>s</w:t>
      </w:r>
      <w:r>
        <w:rPr>
          <w:rFonts w:hint="eastAsia"/>
          <w:lang w:val="en-US" w:eastAsia="zh-CN"/>
        </w:rPr>
        <w:t xml:space="preserve"> to delete the</w:t>
      </w:r>
      <w:r>
        <w:rPr>
          <w:lang w:eastAsia="ko-KR"/>
        </w:rPr>
        <w:t xml:space="preserve"> square bracket and </w:t>
      </w:r>
      <w:r>
        <w:rPr>
          <w:rFonts w:hint="eastAsia"/>
          <w:lang w:val="en-US" w:eastAsia="zh-CN"/>
        </w:rPr>
        <w:t xml:space="preserve">retain the last sentence of Note 5 (as follows in turquoise) </w:t>
      </w:r>
      <w:r>
        <w:rPr>
          <w:lang w:val="en-US" w:eastAsia="zh-CN"/>
        </w:rPr>
        <w:t xml:space="preserve">to reflect the situation that the sharing studies between terrestrial IMT and satellite IMT is not finalized in ITU-R Study Group level, which is essential to provide technical assistance </w:t>
      </w:r>
      <w:r>
        <w:rPr>
          <w:rFonts w:hint="eastAsia"/>
          <w:lang w:val="en-US" w:eastAsia="zh-CN"/>
        </w:rPr>
        <w:t xml:space="preserve">for administrations to </w:t>
      </w:r>
      <w:r>
        <w:rPr>
          <w:lang w:val="en-US" w:eastAsia="zh-CN"/>
        </w:rPr>
        <w:t xml:space="preserve">deploy terrestrial components and satellite components </w:t>
      </w:r>
      <w:r>
        <w:rPr>
          <w:rFonts w:hint="eastAsia"/>
          <w:lang w:val="en-US" w:eastAsia="zh-CN"/>
        </w:rPr>
        <w:t xml:space="preserve">of IMT </w:t>
      </w:r>
      <w:r>
        <w:rPr>
          <w:lang w:val="en-US" w:eastAsia="zh-CN"/>
        </w:rPr>
        <w:t xml:space="preserve">in </w:t>
      </w:r>
      <w:r>
        <w:rPr>
          <w:rFonts w:hint="eastAsia"/>
          <w:lang w:val="en-US" w:eastAsia="zh-CN"/>
        </w:rPr>
        <w:t>different countries</w:t>
      </w:r>
      <w:r>
        <w:rPr>
          <w:lang w:val="en-US"/>
        </w:rPr>
        <w:t xml:space="preserve"> in the same frequency bands</w:t>
      </w:r>
      <w:r>
        <w:rPr>
          <w:rFonts w:hint="eastAsia"/>
          <w:lang w:val="en-US" w:eastAsia="zh-CN"/>
        </w:rPr>
        <w:t>.</w:t>
      </w:r>
    </w:p>
    <w:p w14:paraId="3242B9B0" w14:textId="70C7EB7A" w:rsidR="002634B2" w:rsidRDefault="002634B2" w:rsidP="002634B2">
      <w:pPr>
        <w:pStyle w:val="Note"/>
        <w:rPr>
          <w:rFonts w:eastAsia="SimSun"/>
          <w:highlight w:val="cyan"/>
          <w:lang w:val="en-US" w:eastAsia="zh-CN"/>
        </w:rPr>
      </w:pPr>
      <w:r>
        <w:t>“</w:t>
      </w:r>
      <w:r>
        <w:rPr>
          <w:lang w:val="en-US"/>
        </w:rPr>
        <w:t xml:space="preserve">NOTE 5 − A unique situation exists for the frequency arrangements B6 and B7 and parts of arrangements B3 and B5 in the bands 1 980-2 010 MHz and 2 170-2 200 MHz, which have been identified for the terrestrial component of IMT and the satellite component of IMT as outlined in </w:t>
      </w:r>
      <w:r>
        <w:rPr>
          <w:i/>
          <w:lang w:val="en-US"/>
        </w:rPr>
        <w:t>recognizing d).</w:t>
      </w:r>
      <w:r w:rsidR="007817F0">
        <w:rPr>
          <w:i/>
          <w:lang w:val="en-US"/>
        </w:rPr>
        <w:t xml:space="preserve"> </w:t>
      </w:r>
      <w:r>
        <w:rPr>
          <w:lang w:val="en-US"/>
        </w:rPr>
        <w:t>Co</w:t>
      </w:r>
      <w:r>
        <w:rPr>
          <w:lang w:val="en-US"/>
        </w:rPr>
        <w:noBreakHyphen/>
        <w:t xml:space="preserve">coverage, co-frequency deployment of independent satellite and terrestrial IMT components is not feasible unless appropriate mitigation techniques are applied. When these components are deployed in adjacent geographical areas in the same frequency bands, technical or operational measures need to be implemented if harmful interference is </w:t>
      </w:r>
      <w:r w:rsidR="00723414">
        <w:rPr>
          <w:lang w:val="en-US"/>
        </w:rPr>
        <w:t>reported.</w:t>
      </w:r>
      <w:r w:rsidR="007B0622">
        <w:rPr>
          <w:lang w:val="en-US"/>
        </w:rPr>
        <w:t xml:space="preserve"> </w:t>
      </w:r>
      <w:r w:rsidR="00723414" w:rsidRPr="002634B2">
        <w:rPr>
          <w:highlight w:val="cyan"/>
          <w:lang w:val="en-US"/>
        </w:rPr>
        <w:t>[</w:t>
      </w:r>
      <w:r>
        <w:rPr>
          <w:highlight w:val="cyan"/>
          <w:lang w:val="en-US"/>
        </w:rPr>
        <w:t>Further studies are being carried out by the ITU</w:t>
      </w:r>
      <w:r>
        <w:rPr>
          <w:highlight w:val="cyan"/>
          <w:lang w:val="en-US"/>
        </w:rPr>
        <w:noBreakHyphen/>
        <w:t>R.</w:t>
      </w:r>
      <w:r w:rsidRPr="007817F0">
        <w:rPr>
          <w:highlight w:val="cyan"/>
          <w:lang w:val="en-US"/>
        </w:rPr>
        <w:t>]</w:t>
      </w:r>
      <w:r>
        <w:rPr>
          <w:rFonts w:eastAsia="SimSun"/>
          <w:lang w:val="en-US" w:eastAsia="zh-CN"/>
        </w:rPr>
        <w:t>”</w:t>
      </w:r>
    </w:p>
    <w:p w14:paraId="7239F610" w14:textId="77777777" w:rsidR="007817F0" w:rsidRDefault="007817F0" w:rsidP="007817F0"/>
    <w:p w14:paraId="34A1CB35" w14:textId="77777777" w:rsidR="007817F0" w:rsidRDefault="007817F0">
      <w:pPr>
        <w:jc w:val="center"/>
      </w:pPr>
      <w:r>
        <w:t>______________</w:t>
      </w:r>
    </w:p>
    <w:p w14:paraId="1E6B49DD" w14:textId="77777777" w:rsidR="002634B2" w:rsidRPr="002634B2" w:rsidRDefault="002634B2" w:rsidP="000D1293">
      <w:pPr>
        <w:rPr>
          <w:lang w:val="en-US"/>
        </w:rPr>
      </w:pPr>
    </w:p>
    <w:sectPr w:rsidR="002634B2" w:rsidRPr="002634B2"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BDF0" w14:textId="77777777" w:rsidR="00416568" w:rsidRDefault="00416568">
      <w:r>
        <w:separator/>
      </w:r>
    </w:p>
  </w:endnote>
  <w:endnote w:type="continuationSeparator" w:id="0">
    <w:p w14:paraId="3A9A388D" w14:textId="77777777" w:rsidR="00416568" w:rsidRDefault="0041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FF33" w14:textId="2DA0187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16568">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100F0D">
      <w:rPr>
        <w:noProof/>
      </w:rPr>
      <w:t>11.10.19</w:t>
    </w:r>
    <w:r>
      <w:fldChar w:fldCharType="end"/>
    </w:r>
    <w:r w:rsidRPr="009447A3">
      <w:rPr>
        <w:lang w:val="es-ES_tradnl"/>
      </w:rPr>
      <w:tab/>
    </w:r>
    <w:r>
      <w:fldChar w:fldCharType="begin"/>
    </w:r>
    <w:r>
      <w:instrText xml:space="preserve"> PRINTDATE \@ DD.MM.YY </w:instrText>
    </w:r>
    <w:r>
      <w:fldChar w:fldCharType="separate"/>
    </w:r>
    <w:r w:rsidR="00416568">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3D19" w14:textId="338B6A23" w:rsidR="009447A3" w:rsidRPr="002634B2" w:rsidRDefault="00521E96" w:rsidP="00521E96">
    <w:pPr>
      <w:pStyle w:val="Footer"/>
      <w:rPr>
        <w:lang w:val="en-US"/>
      </w:rPr>
    </w:pPr>
    <w:r>
      <w:fldChar w:fldCharType="begin"/>
    </w:r>
    <w:r w:rsidRPr="009447A3">
      <w:rPr>
        <w:lang w:val="es-ES_tradnl"/>
      </w:rPr>
      <w:instrText xml:space="preserve"> FILENAME \p  \* MERGEFORMAT </w:instrText>
    </w:r>
    <w:r>
      <w:fldChar w:fldCharType="separate"/>
    </w:r>
    <w:r w:rsidR="001E58B2">
      <w:rPr>
        <w:lang w:val="es-ES_tradnl"/>
      </w:rPr>
      <w:t>P:\ENG\ITU-R\CONF-R\AR19\PLEN\000\23E.docx</w:t>
    </w:r>
    <w:r>
      <w:fldChar w:fldCharType="end"/>
    </w:r>
    <w:r w:rsidR="002634B2">
      <w:t xml:space="preserve"> (</w:t>
    </w:r>
    <w:r w:rsidR="001E58B2">
      <w:t>451587</w:t>
    </w:r>
    <w:r w:rsidR="002634B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6C6C" w14:textId="22B3EEFC" w:rsidR="009447A3" w:rsidRPr="00A35F66" w:rsidRDefault="007B0622" w:rsidP="00521E96">
    <w:pPr>
      <w:pStyle w:val="Footer"/>
      <w:rPr>
        <w:lang w:val="en-US"/>
      </w:rPr>
    </w:pPr>
    <w:fldSimple w:instr=" FILENAME \p \* MERGEFORMAT ">
      <w:r w:rsidR="001E58B2">
        <w:t>P:\ENG\ITU-R\CONF-R\AR19\PLEN\000\23E.docx</w:t>
      </w:r>
    </w:fldSimple>
    <w:r w:rsidR="002634B2">
      <w:t xml:space="preserve"> (461</w:t>
    </w:r>
    <w:r w:rsidR="001E58B2">
      <w:t>587</w:t>
    </w:r>
    <w:r w:rsidR="002634B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20918" w14:textId="77777777" w:rsidR="00416568" w:rsidRDefault="00416568">
      <w:r>
        <w:rPr>
          <w:b/>
        </w:rPr>
        <w:t>_______________</w:t>
      </w:r>
    </w:p>
  </w:footnote>
  <w:footnote w:type="continuationSeparator" w:id="0">
    <w:p w14:paraId="469DB6AC" w14:textId="77777777" w:rsidR="00416568" w:rsidRDefault="0041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6AD8"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6338B3F0" w14:textId="12CF1F67" w:rsidR="00192E45" w:rsidRDefault="00192E45" w:rsidP="00A35F66">
    <w:pPr>
      <w:pStyle w:val="Header"/>
    </w:pPr>
    <w:r>
      <w:t>RA1</w:t>
    </w:r>
    <w:r w:rsidR="00A35F66">
      <w:t>9</w:t>
    </w:r>
    <w:r>
      <w:t>/</w:t>
    </w:r>
    <w:r w:rsidR="00DA0981">
      <w:t>PLEN/</w:t>
    </w:r>
    <w:r w:rsidR="00A15078">
      <w:t>23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68"/>
    <w:rsid w:val="0001293F"/>
    <w:rsid w:val="000D1293"/>
    <w:rsid w:val="00100F0D"/>
    <w:rsid w:val="00134107"/>
    <w:rsid w:val="00192E45"/>
    <w:rsid w:val="001B225D"/>
    <w:rsid w:val="001E58B2"/>
    <w:rsid w:val="00206408"/>
    <w:rsid w:val="002634B2"/>
    <w:rsid w:val="0030579C"/>
    <w:rsid w:val="00416568"/>
    <w:rsid w:val="00425F3D"/>
    <w:rsid w:val="00471425"/>
    <w:rsid w:val="004844C1"/>
    <w:rsid w:val="004D6FFE"/>
    <w:rsid w:val="00521E96"/>
    <w:rsid w:val="005E0BE1"/>
    <w:rsid w:val="005F1974"/>
    <w:rsid w:val="006904BD"/>
    <w:rsid w:val="0071246B"/>
    <w:rsid w:val="00723414"/>
    <w:rsid w:val="00756B1C"/>
    <w:rsid w:val="007817F0"/>
    <w:rsid w:val="007B0622"/>
    <w:rsid w:val="007B368B"/>
    <w:rsid w:val="007C6911"/>
    <w:rsid w:val="008145E1"/>
    <w:rsid w:val="00880578"/>
    <w:rsid w:val="008A7B8E"/>
    <w:rsid w:val="008E470E"/>
    <w:rsid w:val="009447A3"/>
    <w:rsid w:val="00993768"/>
    <w:rsid w:val="009E375D"/>
    <w:rsid w:val="00A05CE9"/>
    <w:rsid w:val="00A15078"/>
    <w:rsid w:val="00A35F66"/>
    <w:rsid w:val="00BB03AF"/>
    <w:rsid w:val="00BE5003"/>
    <w:rsid w:val="00BF5E61"/>
    <w:rsid w:val="00C46060"/>
    <w:rsid w:val="00CB1338"/>
    <w:rsid w:val="00D262CE"/>
    <w:rsid w:val="00D31414"/>
    <w:rsid w:val="00D471A9"/>
    <w:rsid w:val="00D50D44"/>
    <w:rsid w:val="00DA0981"/>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3C4DAC"/>
  <w15:docId w15:val="{382FC859-BE2A-47D4-B9C7-2929A2D3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arattere"/>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Title1Carattere">
    <w:name w:val="Title 1 Carattere"/>
    <w:basedOn w:val="DefaultParagraphFont"/>
    <w:link w:val="Title1"/>
    <w:locked/>
    <w:rsid w:val="002634B2"/>
    <w:rPr>
      <w:rFonts w:ascii="Times New Roman" w:hAnsi="Times New Roman"/>
      <w:caps/>
      <w:sz w:val="28"/>
      <w:lang w:val="en-GB" w:eastAsia="en-US"/>
    </w:rPr>
  </w:style>
  <w:style w:type="character" w:styleId="Hyperlink">
    <w:name w:val="Hyperlink"/>
    <w:basedOn w:val="DefaultParagraphFont"/>
    <w:unhideWhenUsed/>
    <w:qFormat/>
    <w:rsid w:val="002634B2"/>
    <w:rPr>
      <w:color w:val="0000FF"/>
      <w:u w:val="single"/>
    </w:rPr>
  </w:style>
  <w:style w:type="paragraph" w:customStyle="1" w:styleId="Normalaftertitle0">
    <w:name w:val="Normal_after_title"/>
    <w:basedOn w:val="Normal"/>
    <w:next w:val="Normal"/>
    <w:qFormat/>
    <w:rsid w:val="002634B2"/>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meetingdoc.asp?lang=en&amp;parent=R15-SG05-C-017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c\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4BF6-BAED-4553-A67B-FBD5D599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282</TotalTime>
  <Pages>2</Pages>
  <Words>800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English</dc:creator>
  <cp:keywords/>
  <dc:description>PE_RA12.dotm  For: _x000d_Document date: _x000d_Saved by MM-106465 at 11:44:53 on 04/04/11</dc:description>
  <cp:lastModifiedBy>Scott, Sarah</cp:lastModifiedBy>
  <cp:revision>9</cp:revision>
  <cp:lastPrinted>2003-04-25T07:33:00Z</cp:lastPrinted>
  <dcterms:created xsi:type="dcterms:W3CDTF">2019-10-10T09:40:00Z</dcterms:created>
  <dcterms:modified xsi:type="dcterms:W3CDTF">2019-10-11T14:18:00Z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