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D10EA0">
        <w:trPr>
          <w:cantSplit/>
          <w:trHeight w:val="20"/>
        </w:trPr>
        <w:tc>
          <w:tcPr>
            <w:tcW w:w="6619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10EA0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8C2C8A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8C2C8A">
            <w:pPr>
              <w:spacing w:line="240" w:lineRule="exact"/>
              <w:rPr>
                <w:lang w:bidi="ar-EG"/>
              </w:rPr>
            </w:pPr>
          </w:p>
        </w:tc>
      </w:tr>
      <w:tr w:rsidR="00280E04" w14:paraId="01E436D8" w14:textId="77777777" w:rsidTr="00D10EA0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10EA0">
        <w:trPr>
          <w:cantSplit/>
        </w:trPr>
        <w:tc>
          <w:tcPr>
            <w:tcW w:w="6619" w:type="dxa"/>
          </w:tcPr>
          <w:p w14:paraId="2B189C77" w14:textId="005A6159" w:rsidR="00A809E8" w:rsidRPr="00BD67C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374A36" w14:textId="6D52E484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BD67C0">
              <w:t>2</w:t>
            </w:r>
            <w:r w:rsidR="00D10EA0">
              <w:t>3</w:t>
            </w:r>
            <w:r w:rsidRPr="006A640D">
              <w:t>-A</w:t>
            </w:r>
          </w:p>
        </w:tc>
      </w:tr>
      <w:tr w:rsidR="00A809E8" w14:paraId="5990CAC4" w14:textId="77777777" w:rsidTr="00D10EA0">
        <w:trPr>
          <w:cantSplit/>
        </w:trPr>
        <w:tc>
          <w:tcPr>
            <w:tcW w:w="6619" w:type="dxa"/>
          </w:tcPr>
          <w:p w14:paraId="7D84BEE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9C91C3" w14:textId="50BB79FD" w:rsidR="00A809E8" w:rsidRPr="006A640D" w:rsidRDefault="009E30AC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1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38494802" w14:textId="77777777" w:rsidTr="00D10EA0">
        <w:trPr>
          <w:cantSplit/>
        </w:trPr>
        <w:tc>
          <w:tcPr>
            <w:tcW w:w="6619" w:type="dxa"/>
          </w:tcPr>
          <w:p w14:paraId="22BFB4B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F85BA4F" w14:textId="5F84140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8C2C8A">
              <w:rPr>
                <w:rFonts w:hint="cs"/>
                <w:rtl/>
              </w:rPr>
              <w:t>بالصينية</w:t>
            </w:r>
          </w:p>
        </w:tc>
      </w:tr>
      <w:tr w:rsidR="00764079" w14:paraId="780C5109" w14:textId="77777777" w:rsidTr="00D10EA0">
        <w:trPr>
          <w:cantSplit/>
        </w:trPr>
        <w:tc>
          <w:tcPr>
            <w:tcW w:w="9672" w:type="dxa"/>
            <w:gridSpan w:val="2"/>
          </w:tcPr>
          <w:p w14:paraId="6C18373F" w14:textId="7B06F74D" w:rsidR="00764079" w:rsidRPr="00E621A3" w:rsidRDefault="00D10EA0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764079" w14:paraId="5A45D338" w14:textId="77777777" w:rsidTr="00D10EA0">
        <w:trPr>
          <w:cantSplit/>
        </w:trPr>
        <w:tc>
          <w:tcPr>
            <w:tcW w:w="9672" w:type="dxa"/>
            <w:gridSpan w:val="2"/>
          </w:tcPr>
          <w:p w14:paraId="0B8DCEDE" w14:textId="68DCA0B4" w:rsidR="00764079" w:rsidRPr="00BD6EF3" w:rsidRDefault="00F73981" w:rsidP="009E30AC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val="es-ES"/>
              </w:rPr>
              <w:t xml:space="preserve">آراء ومقترحات بشأن مشروع مراجعة التوصية </w:t>
            </w:r>
            <w:bookmarkStart w:id="1" w:name="_Hlk22110024"/>
            <w:r w:rsidR="00D10EA0" w:rsidRPr="00D10EA0">
              <w:rPr>
                <w:rFonts w:hint="eastAsia"/>
              </w:rPr>
              <w:t>ITU-R M.1036-5</w:t>
            </w:r>
            <w:bookmarkEnd w:id="1"/>
          </w:p>
        </w:tc>
      </w:tr>
      <w:tr w:rsidR="00764079" w14:paraId="74652490" w14:textId="77777777" w:rsidTr="00D10EA0">
        <w:trPr>
          <w:cantSplit/>
        </w:trPr>
        <w:tc>
          <w:tcPr>
            <w:tcW w:w="9672" w:type="dxa"/>
            <w:gridSpan w:val="2"/>
          </w:tcPr>
          <w:p w14:paraId="43C4EA81" w14:textId="6F95B1C9" w:rsidR="00764079" w:rsidRPr="00BD6EF3" w:rsidRDefault="00764079" w:rsidP="00A12F7F">
            <w:pPr>
              <w:pStyle w:val="Rectitle"/>
              <w:framePr w:hSpace="0" w:wrap="auto" w:vAnchor="margin" w:xAlign="left" w:yAlign="inline"/>
              <w:rPr>
                <w:rFonts w:hint="cs"/>
                <w:rtl/>
                <w:lang w:bidi="ar-EG"/>
              </w:rPr>
            </w:pPr>
          </w:p>
        </w:tc>
      </w:tr>
      <w:tr w:rsidR="00764079" w14:paraId="7FF9ABE9" w14:textId="77777777" w:rsidTr="00D10EA0">
        <w:trPr>
          <w:cantSplit/>
        </w:trPr>
        <w:tc>
          <w:tcPr>
            <w:tcW w:w="9672" w:type="dxa"/>
            <w:gridSpan w:val="2"/>
          </w:tcPr>
          <w:p w14:paraId="67389003" w14:textId="2C986B99" w:rsidR="00764079" w:rsidRPr="008220FC" w:rsidRDefault="00764079" w:rsidP="00D44350">
            <w:pPr>
              <w:pStyle w:val="Agendaitem"/>
              <w:spacing w:before="240" w:line="192" w:lineRule="auto"/>
              <w:rPr>
                <w:sz w:val="10"/>
                <w:szCs w:val="16"/>
                <w:lang w:val="en-US"/>
              </w:rPr>
            </w:pPr>
          </w:p>
        </w:tc>
      </w:tr>
    </w:tbl>
    <w:p w14:paraId="3B344E32" w14:textId="2EAB32E4" w:rsidR="00EC1889" w:rsidRDefault="00EC1889" w:rsidP="00A12F7F">
      <w:pPr>
        <w:pStyle w:val="Heading1"/>
        <w:rPr>
          <w:rtl/>
        </w:rPr>
      </w:pPr>
      <w:r w:rsidRPr="00EC1889">
        <w:t>1</w:t>
      </w:r>
      <w:r w:rsidRPr="00EC1889">
        <w:tab/>
      </w:r>
      <w:r w:rsidRPr="00EC1889">
        <w:rPr>
          <w:rFonts w:hint="cs"/>
          <w:rtl/>
        </w:rPr>
        <w:t>مقدمة</w:t>
      </w:r>
    </w:p>
    <w:p w14:paraId="57689E56" w14:textId="30ED6183" w:rsidR="00EC1889" w:rsidRPr="00A67638" w:rsidRDefault="00F73981" w:rsidP="00A67638">
      <w:pPr>
        <w:rPr>
          <w:rtl/>
          <w:lang w:val="es-ES" w:bidi="ar-EG"/>
        </w:rPr>
      </w:pPr>
      <w:r>
        <w:rPr>
          <w:rFonts w:hint="cs"/>
          <w:rtl/>
        </w:rPr>
        <w:t>وفقاً لل</w:t>
      </w:r>
      <w:r w:rsidR="0006446A">
        <w:rPr>
          <w:rFonts w:hint="cs"/>
          <w:rtl/>
        </w:rPr>
        <w:t>نقاط ال</w:t>
      </w:r>
      <w:r>
        <w:rPr>
          <w:rFonts w:hint="cs"/>
          <w:rtl/>
        </w:rPr>
        <w:t>مسرود</w:t>
      </w:r>
      <w:r w:rsidR="0006446A">
        <w:rPr>
          <w:rFonts w:hint="cs"/>
          <w:rtl/>
        </w:rPr>
        <w:t>ة</w:t>
      </w:r>
      <w:r>
        <w:rPr>
          <w:rFonts w:hint="cs"/>
          <w:rtl/>
        </w:rPr>
        <w:t xml:space="preserve"> في تقرير رئيس الاجتماع </w:t>
      </w:r>
      <w:r>
        <w:rPr>
          <w:rFonts w:hint="cs"/>
          <w:rtl/>
          <w:lang w:val="es-ES" w:bidi="ar-EG"/>
        </w:rPr>
        <w:t xml:space="preserve">الثاني والثلاثين لفرقة العمل </w:t>
      </w:r>
      <w:r>
        <w:rPr>
          <w:lang w:val="en-GB" w:bidi="ar-EG"/>
        </w:rPr>
        <w:t>5D</w:t>
      </w:r>
      <w:r>
        <w:rPr>
          <w:rFonts w:hint="cs"/>
          <w:rtl/>
          <w:lang w:val="es-ES" w:bidi="ar-EG"/>
        </w:rPr>
        <w:t xml:space="preserve">، ما زال ينبغي مناقشة بعض </w:t>
      </w:r>
      <w:r w:rsidR="001C5138">
        <w:rPr>
          <w:rFonts w:hint="cs"/>
          <w:rtl/>
          <w:lang w:val="es-ES" w:bidi="ar-EG"/>
        </w:rPr>
        <w:t xml:space="preserve">المسائل </w:t>
      </w:r>
      <w:r>
        <w:rPr>
          <w:rFonts w:hint="cs"/>
          <w:rtl/>
          <w:lang w:val="es-ES" w:bidi="ar-EG"/>
        </w:rPr>
        <w:t xml:space="preserve">في مشروع مراجعة التوصية </w:t>
      </w:r>
      <w:r w:rsidRPr="00F73981">
        <w:rPr>
          <w:rFonts w:hint="eastAsia"/>
          <w:lang w:bidi="ar-EG"/>
        </w:rPr>
        <w:t>ITU-R M.1036-5</w:t>
      </w:r>
      <w:r>
        <w:rPr>
          <w:rFonts w:hint="cs"/>
          <w:rtl/>
          <w:lang w:bidi="ar-EG"/>
        </w:rPr>
        <w:t xml:space="preserve">. </w:t>
      </w:r>
      <w:r w:rsidR="0099652E">
        <w:rPr>
          <w:rFonts w:hint="cs"/>
          <w:rtl/>
          <w:lang w:bidi="ar-EG"/>
        </w:rPr>
        <w:t xml:space="preserve">وفي الاجتماع الأخير للجنة الدراسات </w:t>
      </w:r>
      <w:r w:rsidR="0099652E">
        <w:rPr>
          <w:lang w:val="en-GB" w:bidi="ar-EG"/>
        </w:rPr>
        <w:t>5</w:t>
      </w:r>
      <w:r w:rsidR="0099652E">
        <w:rPr>
          <w:rFonts w:hint="cs"/>
          <w:rtl/>
          <w:lang w:val="es-ES" w:bidi="ar-EG"/>
        </w:rPr>
        <w:t xml:space="preserve"> (الذي عُقد يومي </w:t>
      </w:r>
      <w:r w:rsidR="0099652E">
        <w:rPr>
          <w:lang w:val="en-GB" w:bidi="ar-EG"/>
        </w:rPr>
        <w:t>2</w:t>
      </w:r>
      <w:r w:rsidR="0099652E">
        <w:rPr>
          <w:rFonts w:hint="cs"/>
          <w:rtl/>
          <w:lang w:val="es-ES" w:bidi="ar-EG"/>
        </w:rPr>
        <w:t xml:space="preserve"> و</w:t>
      </w:r>
      <w:r w:rsidR="0099652E">
        <w:rPr>
          <w:lang w:val="en-GB" w:bidi="ar-EG"/>
        </w:rPr>
        <w:t>3</w:t>
      </w:r>
      <w:r w:rsidR="0099652E">
        <w:rPr>
          <w:rFonts w:hint="cs"/>
          <w:rtl/>
          <w:lang w:val="es-ES" w:bidi="ar-EG"/>
        </w:rPr>
        <w:t xml:space="preserve"> سبتمبر في جنيف)، اتُّفق على تقديم وثيقة المراجعة إلى جميعة الاتصالات الراديوية لعام </w:t>
      </w:r>
      <w:r w:rsidR="0099652E">
        <w:rPr>
          <w:lang w:val="en-GB" w:bidi="ar-EG"/>
        </w:rPr>
        <w:t>2019</w:t>
      </w:r>
      <w:r w:rsidR="0099652E">
        <w:rPr>
          <w:rFonts w:hint="cs"/>
          <w:rtl/>
          <w:lang w:val="es-ES" w:bidi="ar-EG"/>
        </w:rPr>
        <w:t xml:space="preserve"> </w:t>
      </w:r>
      <w:r w:rsidR="0099652E">
        <w:rPr>
          <w:lang w:val="en-GB" w:bidi="ar-EG"/>
        </w:rPr>
        <w:t>(RA-19)</w:t>
      </w:r>
      <w:r w:rsidR="0099652E">
        <w:rPr>
          <w:rFonts w:hint="cs"/>
          <w:rtl/>
          <w:lang w:val="es-ES" w:bidi="ar-EG"/>
        </w:rPr>
        <w:t xml:space="preserve"> </w:t>
      </w:r>
      <w:r w:rsidR="00A67638">
        <w:rPr>
          <w:rFonts w:hint="cs"/>
          <w:rtl/>
          <w:lang w:val="es-ES" w:bidi="ar-EG"/>
        </w:rPr>
        <w:t>لمزيد من النظر فيها وتوخي</w:t>
      </w:r>
      <w:r w:rsidR="0099652E">
        <w:rPr>
          <w:rFonts w:hint="cs"/>
          <w:rtl/>
          <w:lang w:val="es-ES" w:bidi="ar-EG"/>
        </w:rPr>
        <w:t xml:space="preserve"> إمكانية الموافقة على بدء عملية الموافقة الرسمية عليها. وفيما يلي </w:t>
      </w:r>
      <w:r w:rsidR="001C5138">
        <w:rPr>
          <w:rFonts w:hint="cs"/>
          <w:rtl/>
          <w:lang w:val="es-ES" w:bidi="ar-EG"/>
        </w:rPr>
        <w:t>المسائل</w:t>
      </w:r>
      <w:r w:rsidR="0099652E">
        <w:rPr>
          <w:rFonts w:hint="cs"/>
          <w:rtl/>
          <w:lang w:val="es-ES" w:bidi="ar-EG"/>
        </w:rPr>
        <w:t xml:space="preserve"> المفتوحة للنقاش وفقاً لما تشير إليه الوثيقة </w:t>
      </w:r>
      <w:hyperlink r:id="rId13" w:history="1">
        <w:r w:rsidR="0099652E">
          <w:rPr>
            <w:rStyle w:val="Hyperlink"/>
            <w:szCs w:val="24"/>
            <w:lang w:eastAsia="ko-KR"/>
          </w:rPr>
          <w:t>5/174</w:t>
        </w:r>
      </w:hyperlink>
      <w:r w:rsidR="0099652E">
        <w:rPr>
          <w:rFonts w:hint="cs"/>
          <w:rtl/>
          <w:lang w:val="es-ES" w:bidi="ar-EG"/>
        </w:rPr>
        <w:t>:</w:t>
      </w:r>
    </w:p>
    <w:p w14:paraId="06A33E66" w14:textId="38336C3E" w:rsidR="00EC1889" w:rsidRPr="001C5138" w:rsidRDefault="00EC1889" w:rsidP="00EC1889">
      <w:pPr>
        <w:rPr>
          <w:i/>
          <w:iCs/>
          <w:rtl/>
          <w:lang w:val="es-ES" w:bidi="ar-EG"/>
        </w:rPr>
      </w:pPr>
      <w:r w:rsidRPr="00EC1889">
        <w:rPr>
          <w:i/>
          <w:iCs/>
        </w:rPr>
        <w:t>1</w:t>
      </w:r>
      <w:r w:rsidRPr="00EC1889">
        <w:rPr>
          <w:i/>
          <w:iCs/>
          <w:rtl/>
          <w:lang w:bidi="ar-EG"/>
        </w:rPr>
        <w:tab/>
      </w:r>
      <w:r w:rsidR="00A67638" w:rsidRPr="001C5138">
        <w:rPr>
          <w:rFonts w:hint="cs"/>
          <w:i/>
          <w:iCs/>
          <w:rtl/>
          <w:lang w:bidi="ar-EG"/>
        </w:rPr>
        <w:t xml:space="preserve">يلزم مواصلة مناقشة الصيغة المعدَّلة للفقرة الواردة في بداية الجدول </w:t>
      </w:r>
      <w:r w:rsidR="00A67638" w:rsidRPr="001C5138">
        <w:rPr>
          <w:i/>
          <w:iCs/>
          <w:lang w:val="en-GB" w:bidi="ar-EG"/>
        </w:rPr>
        <w:t>1</w:t>
      </w:r>
      <w:r w:rsidR="00A67638" w:rsidRPr="001C5138">
        <w:rPr>
          <w:rFonts w:hint="cs"/>
          <w:i/>
          <w:iCs/>
          <w:rtl/>
          <w:lang w:val="es-ES" w:bidi="ar-EG"/>
        </w:rPr>
        <w:t xml:space="preserve"> في المرفق </w:t>
      </w:r>
      <w:r w:rsidR="00A67638" w:rsidRPr="001C5138">
        <w:rPr>
          <w:i/>
          <w:iCs/>
          <w:lang w:val="en-GB" w:bidi="ar-EG"/>
        </w:rPr>
        <w:t>1</w:t>
      </w:r>
      <w:r w:rsidR="00A67638" w:rsidRPr="001C5138">
        <w:rPr>
          <w:rFonts w:hint="cs"/>
          <w:i/>
          <w:iCs/>
          <w:rtl/>
          <w:lang w:val="es-ES" w:bidi="ar-EG"/>
        </w:rPr>
        <w:t xml:space="preserve"> بملحق المشروع الأولي لمراجعة التوصية</w:t>
      </w:r>
      <w:r w:rsidR="00FE0233">
        <w:rPr>
          <w:rFonts w:hint="eastAsia"/>
          <w:i/>
          <w:iCs/>
          <w:rtl/>
          <w:lang w:val="es-ES" w:bidi="ar-EG"/>
        </w:rPr>
        <w:t> </w:t>
      </w:r>
      <w:r w:rsidR="00A67638" w:rsidRPr="001C5138">
        <w:rPr>
          <w:rFonts w:hint="eastAsia"/>
          <w:i/>
          <w:iCs/>
          <w:lang w:bidi="ar-EG"/>
        </w:rPr>
        <w:t>ITU-R M.1036-5</w:t>
      </w:r>
      <w:r w:rsidR="00A67638" w:rsidRPr="001C5138">
        <w:rPr>
          <w:rFonts w:hint="cs"/>
          <w:i/>
          <w:iCs/>
          <w:rtl/>
          <w:lang w:bidi="ar-EG"/>
        </w:rPr>
        <w:t>.</w:t>
      </w:r>
    </w:p>
    <w:p w14:paraId="1D0B00F1" w14:textId="76B31A2D" w:rsidR="00EC1889" w:rsidRPr="00A12F7F" w:rsidRDefault="00EC1889" w:rsidP="001C5138">
      <w:pPr>
        <w:rPr>
          <w:rFonts w:ascii="Times New Roman italic" w:hAnsi="Times New Roman italic"/>
          <w:i/>
          <w:iCs/>
          <w:spacing w:val="-8"/>
          <w:rtl/>
          <w:lang w:val="es-ES" w:bidi="ar-EG"/>
        </w:rPr>
      </w:pPr>
      <w:r w:rsidRPr="00A12F7F">
        <w:rPr>
          <w:rFonts w:ascii="Times New Roman italic" w:hAnsi="Times New Roman italic"/>
          <w:i/>
          <w:iCs/>
          <w:spacing w:val="-8"/>
          <w:lang w:bidi="ar-EG"/>
        </w:rPr>
        <w:t>2</w:t>
      </w:r>
      <w:r w:rsidRPr="00A12F7F">
        <w:rPr>
          <w:rFonts w:ascii="Times New Roman italic" w:hAnsi="Times New Roman italic"/>
          <w:i/>
          <w:iCs/>
          <w:spacing w:val="-8"/>
          <w:rtl/>
          <w:lang w:bidi="ar-EG"/>
        </w:rPr>
        <w:tab/>
      </w:r>
      <w:r w:rsidR="00A67638" w:rsidRPr="00A12F7F">
        <w:rPr>
          <w:rFonts w:ascii="Times New Roman italic" w:hAnsi="Times New Roman italic" w:hint="cs"/>
          <w:i/>
          <w:iCs/>
          <w:spacing w:val="-8"/>
          <w:rtl/>
          <w:lang w:bidi="ar-EG"/>
        </w:rPr>
        <w:t xml:space="preserve">فيما يتعلق بمعالجة القسم </w:t>
      </w:r>
      <w:r w:rsidR="00A67638" w:rsidRPr="00A12F7F">
        <w:rPr>
          <w:rFonts w:ascii="Times New Roman italic" w:hAnsi="Times New Roman italic"/>
          <w:i/>
          <w:iCs/>
          <w:spacing w:val="-8"/>
          <w:lang w:val="en-GB" w:bidi="ar-EG"/>
        </w:rPr>
        <w:t>4</w:t>
      </w:r>
      <w:r w:rsidR="00A676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 xml:space="preserve">، </w:t>
      </w:r>
      <w:bookmarkStart w:id="2" w:name="_Hlk22112134"/>
      <w:r w:rsidR="001C51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>"</w:t>
      </w:r>
      <w:r w:rsidR="001C5138" w:rsidRPr="00A12F7F">
        <w:rPr>
          <w:rFonts w:ascii="Times New Roman italic" w:hAnsi="Times New Roman italic"/>
          <w:i/>
          <w:iCs/>
          <w:spacing w:val="-8"/>
          <w:rtl/>
          <w:lang w:val="es-ES"/>
        </w:rPr>
        <w:t>ترتيبات التردد</w:t>
      </w:r>
      <w:r w:rsidR="001C5138" w:rsidRPr="00A12F7F">
        <w:rPr>
          <w:rFonts w:ascii="Times New Roman italic" w:hAnsi="Times New Roman italic" w:hint="cs"/>
          <w:i/>
          <w:iCs/>
          <w:spacing w:val="-8"/>
          <w:rtl/>
          <w:lang w:val="es-ES"/>
        </w:rPr>
        <w:t xml:space="preserve">ات </w:t>
      </w:r>
      <w:r w:rsidR="001C5138" w:rsidRPr="00A12F7F">
        <w:rPr>
          <w:rFonts w:ascii="Times New Roman italic" w:hAnsi="Times New Roman italic"/>
          <w:i/>
          <w:iCs/>
          <w:spacing w:val="-8"/>
          <w:rtl/>
          <w:lang w:val="es-ES"/>
        </w:rPr>
        <w:t>في النطاق</w:t>
      </w:r>
      <w:r w:rsidR="00794279" w:rsidRPr="00A12F7F">
        <w:rPr>
          <w:rFonts w:ascii="Times New Roman italic" w:hAnsi="Times New Roman italic" w:hint="cs"/>
          <w:i/>
          <w:iCs/>
          <w:spacing w:val="-8"/>
          <w:rtl/>
          <w:lang w:val="es-ES"/>
        </w:rPr>
        <w:t xml:space="preserve"> </w:t>
      </w:r>
      <w:r w:rsidR="001C5138" w:rsidRPr="00A12F7F">
        <w:rPr>
          <w:rFonts w:ascii="Times New Roman italic" w:hAnsi="Times New Roman italic"/>
          <w:i/>
          <w:iCs/>
          <w:spacing w:val="-8"/>
          <w:lang w:bidi="ar-EG"/>
        </w:rPr>
        <w:t>MHz 1 518-1 427</w:t>
      </w:r>
      <w:bookmarkEnd w:id="2"/>
      <w:r w:rsidR="00A676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>"، أعرب بعض أعضاء قطاع الاتصالات الراديوية عن شواغل بشأن إدراج هذا القسم</w:t>
      </w:r>
      <w:r w:rsidR="001C51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 xml:space="preserve"> في مراجعة التوصية </w:t>
      </w:r>
      <w:r w:rsidR="001C5138" w:rsidRPr="00A12F7F">
        <w:rPr>
          <w:rFonts w:ascii="Times New Roman italic" w:hAnsi="Times New Roman italic" w:hint="eastAsia"/>
          <w:i/>
          <w:iCs/>
          <w:spacing w:val="-8"/>
          <w:lang w:bidi="ar-EG"/>
        </w:rPr>
        <w:t>ITU-R M.1036-5</w:t>
      </w:r>
      <w:r w:rsidR="001C5138" w:rsidRPr="00A12F7F">
        <w:rPr>
          <w:rFonts w:ascii="Times New Roman italic" w:hAnsi="Times New Roman italic" w:hint="cs"/>
          <w:i/>
          <w:iCs/>
          <w:spacing w:val="-8"/>
          <w:rtl/>
          <w:lang w:bidi="ar-EG"/>
        </w:rPr>
        <w:t xml:space="preserve"> ولم يُتَّفق على هذه المسألة</w:t>
      </w:r>
      <w:r w:rsidR="001C51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>، في</w:t>
      </w:r>
      <w:r w:rsidR="00A12F7F" w:rsidRPr="00A12F7F">
        <w:rPr>
          <w:rFonts w:ascii="Times New Roman italic" w:hAnsi="Times New Roman italic" w:hint="eastAsia"/>
          <w:i/>
          <w:iCs/>
          <w:spacing w:val="-8"/>
          <w:rtl/>
          <w:lang w:val="es-ES" w:bidi="ar-EG"/>
        </w:rPr>
        <w:t> </w:t>
      </w:r>
      <w:r w:rsidR="001C5138" w:rsidRPr="00A12F7F">
        <w:rPr>
          <w:rFonts w:ascii="Times New Roman italic" w:hAnsi="Times New Roman italic" w:hint="cs"/>
          <w:i/>
          <w:iCs/>
          <w:spacing w:val="-8"/>
          <w:rtl/>
          <w:lang w:val="es-ES" w:bidi="ar-EG"/>
        </w:rPr>
        <w:t>حين أُعرب عن رأيين فيها.</w:t>
      </w:r>
    </w:p>
    <w:p w14:paraId="01192C69" w14:textId="4D230676" w:rsidR="00EC1889" w:rsidRPr="001C5138" w:rsidRDefault="00EC1889" w:rsidP="00EC1889">
      <w:pPr>
        <w:rPr>
          <w:i/>
          <w:iCs/>
          <w:rtl/>
          <w:lang w:val="es-ES" w:bidi="ar-EG"/>
        </w:rPr>
      </w:pPr>
      <w:r w:rsidRPr="00EC1889">
        <w:rPr>
          <w:i/>
          <w:iCs/>
          <w:lang w:bidi="ar-EG"/>
        </w:rPr>
        <w:t>3</w:t>
      </w:r>
      <w:r w:rsidRPr="00EC1889">
        <w:rPr>
          <w:i/>
          <w:iCs/>
          <w:rtl/>
          <w:lang w:bidi="ar-EG"/>
        </w:rPr>
        <w:tab/>
      </w:r>
      <w:r w:rsidR="001C5138">
        <w:rPr>
          <w:rFonts w:hint="cs"/>
          <w:i/>
          <w:iCs/>
          <w:rtl/>
          <w:lang w:bidi="ar-EG"/>
        </w:rPr>
        <w:t xml:space="preserve">وفيما يخص الملاحظة </w:t>
      </w:r>
      <w:r w:rsidR="001C5138">
        <w:rPr>
          <w:i/>
          <w:iCs/>
          <w:lang w:val="en-GB" w:bidi="ar-EG"/>
        </w:rPr>
        <w:t>5</w:t>
      </w:r>
      <w:r w:rsidR="001C5138">
        <w:rPr>
          <w:rFonts w:hint="cs"/>
          <w:i/>
          <w:iCs/>
          <w:rtl/>
          <w:lang w:val="es-ES" w:bidi="ar-EG"/>
        </w:rPr>
        <w:t xml:space="preserve"> في القسم </w:t>
      </w:r>
      <w:r w:rsidR="001C5138">
        <w:rPr>
          <w:i/>
          <w:iCs/>
          <w:lang w:val="en-GB" w:bidi="ar-EG"/>
        </w:rPr>
        <w:t>5</w:t>
      </w:r>
      <w:r w:rsidR="001C5138">
        <w:rPr>
          <w:rFonts w:hint="cs"/>
          <w:i/>
          <w:iCs/>
          <w:rtl/>
          <w:lang w:val="es-ES" w:bidi="ar-EG"/>
        </w:rPr>
        <w:t>، لا تزال الجملة الأخيرة في هذه الملاحظة موضوعةً بين قوسين معقوفين لعدم التوصل إلى اتفاق بشأنها.</w:t>
      </w:r>
    </w:p>
    <w:p w14:paraId="184B6020" w14:textId="54FD2594" w:rsidR="00EC1889" w:rsidRDefault="00EC1889" w:rsidP="00A12F7F">
      <w:pPr>
        <w:pStyle w:val="Heading1"/>
        <w:rPr>
          <w:rtl/>
          <w:lang w:val="es-ES"/>
        </w:rPr>
      </w:pPr>
      <w:r>
        <w:t>2</w:t>
      </w:r>
      <w:r>
        <w:rPr>
          <w:rtl/>
        </w:rPr>
        <w:tab/>
      </w:r>
      <w:r w:rsidR="001C5138" w:rsidRPr="001C5138">
        <w:rPr>
          <w:rFonts w:hint="cs"/>
          <w:rtl/>
        </w:rPr>
        <w:t xml:space="preserve">آراء بشأن </w:t>
      </w:r>
      <w:r w:rsidR="001C5138" w:rsidRPr="001C5138">
        <w:rPr>
          <w:rtl/>
        </w:rPr>
        <w:t>ترتيبات التردد</w:t>
      </w:r>
      <w:r w:rsidR="001C5138" w:rsidRPr="001C5138">
        <w:rPr>
          <w:rFonts w:hint="cs"/>
          <w:rtl/>
        </w:rPr>
        <w:t xml:space="preserve">ات </w:t>
      </w:r>
      <w:r w:rsidR="001C5138" w:rsidRPr="001C5138">
        <w:rPr>
          <w:rtl/>
        </w:rPr>
        <w:t xml:space="preserve">في </w:t>
      </w:r>
      <w:r w:rsidR="009E30AC" w:rsidRPr="001C5138">
        <w:rPr>
          <w:rFonts w:hint="cs"/>
          <w:rtl/>
        </w:rPr>
        <w:t>النطاق</w:t>
      </w:r>
      <w:r w:rsidR="009E30AC">
        <w:rPr>
          <w:rFonts w:hint="cs"/>
          <w:rtl/>
        </w:rPr>
        <w:t xml:space="preserve"> </w:t>
      </w:r>
      <w:r w:rsidR="009E30AC" w:rsidRPr="001C5138">
        <w:t>MHz</w:t>
      </w:r>
      <w:r w:rsidR="001C5138" w:rsidRPr="001C5138">
        <w:t xml:space="preserve"> </w:t>
      </w:r>
      <w:r w:rsidR="0068324C">
        <w:t>2</w:t>
      </w:r>
      <w:r w:rsidR="001C5138" w:rsidRPr="001C5138">
        <w:t xml:space="preserve"> </w:t>
      </w:r>
      <w:r w:rsidR="0068324C">
        <w:t>200</w:t>
      </w:r>
      <w:r w:rsidR="001C5138" w:rsidRPr="001C5138">
        <w:t xml:space="preserve">-1 </w:t>
      </w:r>
      <w:r w:rsidR="0068324C">
        <w:t>710</w:t>
      </w:r>
    </w:p>
    <w:p w14:paraId="400721EE" w14:textId="7A7280BB" w:rsidR="0068324C" w:rsidRPr="00D44D66" w:rsidRDefault="0068324C" w:rsidP="00BB70C2">
      <w:pPr>
        <w:rPr>
          <w:b/>
          <w:bCs/>
          <w:rtl/>
          <w:lang w:val="es-ES"/>
        </w:rPr>
      </w:pPr>
      <w:r w:rsidRPr="00D44D66">
        <w:rPr>
          <w:rFonts w:hint="cs"/>
          <w:rtl/>
          <w:lang w:val="es-ES"/>
        </w:rPr>
        <w:t xml:space="preserve">فيما يتعلق بترتيبات الترددات في </w:t>
      </w:r>
      <w:r w:rsidR="009E30AC" w:rsidRPr="00D44D66">
        <w:rPr>
          <w:rFonts w:hint="cs"/>
          <w:rtl/>
        </w:rPr>
        <w:t xml:space="preserve">النطاق </w:t>
      </w:r>
      <w:r w:rsidR="009E30AC" w:rsidRPr="00D44D66">
        <w:t>MHz</w:t>
      </w:r>
      <w:r w:rsidRPr="00D44D66">
        <w:t xml:space="preserve"> 2 200-1 710</w:t>
      </w:r>
      <w:r w:rsidRPr="00D44D66">
        <w:rPr>
          <w:rFonts w:hint="cs"/>
          <w:rtl/>
        </w:rPr>
        <w:t xml:space="preserve">، يتضمن مشروع مراجعة التوصية </w:t>
      </w:r>
      <w:r w:rsidRPr="00D44D66">
        <w:rPr>
          <w:rFonts w:hint="eastAsia"/>
        </w:rPr>
        <w:t>ITU-R M.1036-5</w:t>
      </w:r>
      <w:r w:rsidRPr="00D44D66">
        <w:rPr>
          <w:rFonts w:hint="cs"/>
          <w:rtl/>
        </w:rPr>
        <w:t xml:space="preserve"> مقترحات بتعديل الفقرتين </w:t>
      </w:r>
      <w:r w:rsidRPr="00D44D66">
        <w:rPr>
          <w:rFonts w:hint="cs"/>
          <w:iCs/>
          <w:rtl/>
        </w:rPr>
        <w:t xml:space="preserve">ج </w:t>
      </w:r>
      <w:r w:rsidRPr="00D44D66">
        <w:rPr>
          <w:rFonts w:hint="cs"/>
          <w:rtl/>
        </w:rPr>
        <w:t>و</w:t>
      </w:r>
      <w:r w:rsidRPr="00D44D66">
        <w:rPr>
          <w:rFonts w:hint="cs"/>
          <w:iCs/>
          <w:rtl/>
        </w:rPr>
        <w:t>د</w:t>
      </w:r>
      <w:r w:rsidRPr="00D44D66">
        <w:rPr>
          <w:rFonts w:hint="cs"/>
          <w:rtl/>
        </w:rPr>
        <w:t xml:space="preserve"> من </w:t>
      </w:r>
      <w:r w:rsidRPr="00D44D66">
        <w:rPr>
          <w:rFonts w:hint="cs"/>
          <w:iCs/>
          <w:rtl/>
        </w:rPr>
        <w:t xml:space="preserve">وإذ </w:t>
      </w:r>
      <w:r w:rsidR="00D44D66" w:rsidRPr="00D44D66">
        <w:rPr>
          <w:rFonts w:hint="cs"/>
          <w:iCs/>
          <w:rtl/>
        </w:rPr>
        <w:t>تدرك</w:t>
      </w:r>
      <w:r w:rsidR="00D44D66">
        <w:rPr>
          <w:rFonts w:hint="cs"/>
          <w:iCs/>
          <w:rtl/>
        </w:rPr>
        <w:t>،</w:t>
      </w:r>
      <w:r w:rsidR="00D44D66" w:rsidRPr="00D44D66">
        <w:rPr>
          <w:rFonts w:hint="cs"/>
          <w:iCs/>
          <w:rtl/>
        </w:rPr>
        <w:t xml:space="preserve"> </w:t>
      </w:r>
      <w:r w:rsidR="00D44D66" w:rsidRPr="00D44D66">
        <w:rPr>
          <w:rFonts w:hint="cs"/>
          <w:rtl/>
        </w:rPr>
        <w:t xml:space="preserve">والملاحظة </w:t>
      </w:r>
      <w:r w:rsidR="00D44D66" w:rsidRPr="00D44D66">
        <w:rPr>
          <w:lang w:val="en-GB"/>
        </w:rPr>
        <w:t>5</w:t>
      </w:r>
      <w:r w:rsidR="00D44D66" w:rsidRPr="00D44D66">
        <w:rPr>
          <w:rFonts w:hint="cs"/>
          <w:rtl/>
          <w:lang w:val="es-ES"/>
        </w:rPr>
        <w:t xml:space="preserve"> </w:t>
      </w:r>
      <w:r w:rsidR="00F73551">
        <w:rPr>
          <w:rFonts w:hint="cs"/>
          <w:rtl/>
          <w:lang w:val="es-ES"/>
        </w:rPr>
        <w:t>بشأن</w:t>
      </w:r>
      <w:r w:rsidR="00D44D66" w:rsidRPr="00D44D66">
        <w:rPr>
          <w:rFonts w:hint="cs"/>
          <w:rtl/>
          <w:lang w:val="es-ES"/>
        </w:rPr>
        <w:t xml:space="preserve"> الجدول </w:t>
      </w:r>
      <w:r w:rsidR="00D44D66" w:rsidRPr="00D44D66">
        <w:rPr>
          <w:lang w:val="en-GB"/>
        </w:rPr>
        <w:t>4</w:t>
      </w:r>
      <w:r w:rsidR="00D44D66" w:rsidRPr="00D44D66">
        <w:rPr>
          <w:rFonts w:hint="cs"/>
          <w:rtl/>
          <w:lang w:val="es-ES"/>
        </w:rPr>
        <w:t xml:space="preserve"> في القسم </w:t>
      </w:r>
      <w:r w:rsidR="00D44D66" w:rsidRPr="00D44D66">
        <w:rPr>
          <w:lang w:val="en-GB"/>
        </w:rPr>
        <w:t>5</w:t>
      </w:r>
      <w:r w:rsidR="00D44D66" w:rsidRPr="00D44D66">
        <w:rPr>
          <w:rFonts w:hint="cs"/>
          <w:rtl/>
          <w:lang w:val="es-ES"/>
        </w:rPr>
        <w:t xml:space="preserve">. ولا تزال الجملة الأخيرة في الملاحظة </w:t>
      </w:r>
      <w:r w:rsidR="00D44D66">
        <w:rPr>
          <w:lang w:val="en-GB"/>
        </w:rPr>
        <w:t>5</w:t>
      </w:r>
      <w:r w:rsidR="00D44D66">
        <w:rPr>
          <w:rFonts w:hint="cs"/>
          <w:rtl/>
          <w:lang w:val="es-ES"/>
        </w:rPr>
        <w:t xml:space="preserve"> </w:t>
      </w:r>
      <w:r w:rsidR="00D44D66" w:rsidRPr="00D44D66">
        <w:rPr>
          <w:rFonts w:hint="cs"/>
          <w:rtl/>
          <w:lang w:val="es-ES"/>
        </w:rPr>
        <w:t>موضوعةً بين قوسين معقوفين</w:t>
      </w:r>
      <w:r w:rsidR="00D44D66">
        <w:rPr>
          <w:rFonts w:hint="cs"/>
          <w:rtl/>
          <w:lang w:val="es-ES"/>
        </w:rPr>
        <w:t>.</w:t>
      </w:r>
    </w:p>
    <w:p w14:paraId="74D6F13E" w14:textId="27CC4C22" w:rsidR="00EC1889" w:rsidRPr="00A12F7F" w:rsidRDefault="006B106F" w:rsidP="00A12F7F">
      <w:pPr>
        <w:pStyle w:val="Headingb"/>
        <w:keepNext w:val="0"/>
        <w:rPr>
          <w:rFonts w:ascii="Times New Roman" w:hAnsi="Times New Roman"/>
          <w:b w:val="0"/>
          <w:bCs w:val="0"/>
          <w:spacing w:val="-8"/>
          <w:rtl/>
          <w:lang w:val="es-ES"/>
        </w:rPr>
      </w:pPr>
      <w:r w:rsidRPr="00A12F7F">
        <w:rPr>
          <w:rFonts w:ascii="Times New Roman" w:hAnsi="Times New Roman" w:hint="cs"/>
          <w:i/>
          <w:iCs/>
          <w:spacing w:val="-8"/>
          <w:rtl/>
          <w:lang w:val="es-ES"/>
        </w:rPr>
        <w:t>أولاً،</w:t>
      </w:r>
      <w:r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 xml:space="preserve"> ينبغي الإشارة إلى أن الفقرة </w:t>
      </w:r>
      <w:r w:rsidRPr="00A12F7F">
        <w:rPr>
          <w:rFonts w:ascii="Times New Roman" w:hAnsi="Times New Roman" w:hint="cs"/>
          <w:b w:val="0"/>
          <w:bCs w:val="0"/>
          <w:iCs/>
          <w:spacing w:val="-8"/>
          <w:rtl/>
          <w:lang w:val="es-ES"/>
        </w:rPr>
        <w:t>يدعو قطاع الاتصالات الراديوية</w:t>
      </w:r>
      <w:r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 xml:space="preserve"> في القرار </w:t>
      </w:r>
      <w:r w:rsidRPr="00A12F7F">
        <w:rPr>
          <w:rFonts w:ascii="Times New Roman" w:hAnsi="Times New Roman"/>
          <w:b w:val="0"/>
          <w:bCs w:val="0"/>
          <w:spacing w:val="-8"/>
          <w:lang w:val="en-GB"/>
        </w:rPr>
        <w:t>(</w:t>
      </w:r>
      <w:r w:rsidRPr="00A12F7F">
        <w:rPr>
          <w:rFonts w:ascii="Times New Roman" w:hAnsi="Times New Roman"/>
          <w:b w:val="0"/>
          <w:bCs w:val="0"/>
          <w:spacing w:val="-8"/>
        </w:rPr>
        <w:t>Rev.</w:t>
      </w:r>
      <w:r w:rsidRPr="00A12F7F">
        <w:rPr>
          <w:rFonts w:ascii="Times New Roman" w:hAnsi="Times New Roman"/>
          <w:b w:val="0"/>
          <w:bCs w:val="0"/>
          <w:spacing w:val="-8"/>
          <w:lang w:val="en-GB"/>
        </w:rPr>
        <w:t>WRC-15)</w:t>
      </w:r>
      <w:r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 xml:space="preserve"> </w:t>
      </w:r>
      <w:r w:rsidRPr="00A12F7F">
        <w:rPr>
          <w:rFonts w:ascii="Times New Roman" w:hAnsi="Times New Roman"/>
          <w:b w:val="0"/>
          <w:bCs w:val="0"/>
          <w:spacing w:val="-8"/>
          <w:lang w:val="en-GB"/>
        </w:rPr>
        <w:t>212</w:t>
      </w:r>
      <w:r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 xml:space="preserve"> </w:t>
      </w:r>
      <w:r w:rsidR="009E5D51"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>تبي</w:t>
      </w:r>
      <w:r w:rsidRPr="00A12F7F">
        <w:rPr>
          <w:rFonts w:ascii="Times New Roman" w:hAnsi="Times New Roman" w:hint="cs"/>
          <w:b w:val="0"/>
          <w:bCs w:val="0"/>
          <w:spacing w:val="-8"/>
          <w:rtl/>
          <w:lang w:val="es-ES"/>
        </w:rPr>
        <w:t>ن الإجراءات التالية التي ينبغي اتخاذها:</w:t>
      </w:r>
    </w:p>
    <w:p w14:paraId="3FAB9EAA" w14:textId="54C9C48C" w:rsidR="00D10EA0" w:rsidRDefault="006B106F" w:rsidP="00D10EA0">
      <w:pPr>
        <w:rPr>
          <w:rtl/>
        </w:rPr>
      </w:pPr>
      <w:r w:rsidRPr="006B106F">
        <w:rPr>
          <w:rFonts w:hint="cs"/>
          <w:rtl/>
        </w:rPr>
        <w:t>"</w:t>
      </w:r>
      <w:r w:rsidR="00D10EA0" w:rsidRPr="006B106F">
        <w:rPr>
          <w:rFonts w:hint="cs"/>
          <w:rtl/>
        </w:rPr>
        <w:t xml:space="preserve">إلى دراسة التدابير التقنية والتشغيلية الممكنة لضمان التعايش والتوافق بين المكون الأرضي للاتصالات المتنقلة الدولية (في الخدمة المتنقلة) والمكون الساتلي لهذه الاتصالات (في الخدمة </w:t>
      </w:r>
      <w:r w:rsidR="009E5D51">
        <w:rPr>
          <w:rFonts w:hint="cs"/>
          <w:rtl/>
        </w:rPr>
        <w:t xml:space="preserve">المتنقلة والخدمة </w:t>
      </w:r>
      <w:r w:rsidR="00D10EA0" w:rsidRPr="006B106F">
        <w:rPr>
          <w:rFonts w:hint="cs"/>
          <w:rtl/>
        </w:rPr>
        <w:t>المتنقلة الساتلية) في نطاقي التردد</w:t>
      </w:r>
      <w:r w:rsidR="00D10EA0" w:rsidRPr="006B106F">
        <w:rPr>
          <w:rFonts w:hint="eastAsia"/>
          <w:rtl/>
        </w:rPr>
        <w:t> </w:t>
      </w:r>
      <w:r w:rsidR="00D10EA0" w:rsidRPr="006B106F">
        <w:t>MHz 2 010</w:t>
      </w:r>
      <w:r w:rsidR="00D10EA0" w:rsidRPr="006B106F">
        <w:noBreakHyphen/>
        <w:t>1 980</w:t>
      </w:r>
      <w:r w:rsidR="00D10EA0" w:rsidRPr="006B106F">
        <w:rPr>
          <w:rtl/>
        </w:rPr>
        <w:t xml:space="preserve"> و</w:t>
      </w:r>
      <w:r w:rsidR="00D10EA0" w:rsidRPr="006B106F">
        <w:t>MHz 2 200</w:t>
      </w:r>
      <w:r w:rsidR="00D10EA0" w:rsidRPr="006B106F">
        <w:noBreakHyphen/>
        <w:t>2 170</w:t>
      </w:r>
      <w:r w:rsidR="00D10EA0" w:rsidRPr="006B106F">
        <w:rPr>
          <w:rFonts w:hint="cs"/>
          <w:rtl/>
        </w:rPr>
        <w: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المكونات.</w:t>
      </w:r>
      <w:r w:rsidRPr="006B106F">
        <w:rPr>
          <w:rFonts w:hint="cs"/>
          <w:rtl/>
        </w:rPr>
        <w:t>"</w:t>
      </w:r>
    </w:p>
    <w:p w14:paraId="6F26A53B" w14:textId="7599FC6A" w:rsidR="00D10EA0" w:rsidRDefault="009B7FC7" w:rsidP="00D10EA0">
      <w:pPr>
        <w:rPr>
          <w:color w:val="000000"/>
          <w:szCs w:val="24"/>
          <w:rtl/>
          <w:lang w:eastAsia="zh-CN"/>
        </w:rPr>
      </w:pPr>
      <w:r>
        <w:rPr>
          <w:rFonts w:hint="cs"/>
          <w:rtl/>
        </w:rPr>
        <w:lastRenderedPageBreak/>
        <w:t>وفي الإطار المبين أعلاه، لم ينتهِ قطاع الاتصالات الراديوية قي الوقت الحاضر من وضع الصيغة النهائية</w:t>
      </w:r>
      <w:r>
        <w:rPr>
          <w:rFonts w:hint="cs"/>
          <w:rtl/>
          <w:lang w:val="es-ES" w:bidi="ar-EG"/>
        </w:rPr>
        <w:t xml:space="preserve"> لدراسة التقاسم المتعلقة</w:t>
      </w:r>
      <w:r>
        <w:rPr>
          <w:rFonts w:hint="cs"/>
          <w:rtl/>
        </w:rPr>
        <w:t xml:space="preserve"> بالمسألة </w:t>
      </w:r>
      <w:r>
        <w:rPr>
          <w:lang w:val="en-GB"/>
        </w:rPr>
        <w:t>1.1.9</w:t>
      </w:r>
      <w:r>
        <w:rPr>
          <w:rFonts w:hint="cs"/>
          <w:rtl/>
          <w:lang w:val="en-GB"/>
        </w:rPr>
        <w:t xml:space="preserve"> في إطار المؤتمر العالمي للاتصالات الراديوية لعام </w:t>
      </w:r>
      <w:r>
        <w:rPr>
          <w:lang w:val="en-GB"/>
        </w:rPr>
        <w:t>2019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(WRC-19)</w:t>
      </w:r>
      <w:r>
        <w:rPr>
          <w:rFonts w:hint="cs"/>
          <w:rtl/>
          <w:lang w:val="es-ES" w:bidi="ar-EG"/>
        </w:rPr>
        <w:t xml:space="preserve"> ولم يُستكمل بعد </w:t>
      </w:r>
      <w:r w:rsidR="00F73551">
        <w:rPr>
          <w:rFonts w:hint="cs"/>
          <w:rtl/>
          <w:lang w:val="es-ES" w:bidi="ar-EG"/>
        </w:rPr>
        <w:t xml:space="preserve">التقرير </w:t>
      </w:r>
      <w:r w:rsidR="00F73551">
        <w:rPr>
          <w:rFonts w:hint="eastAsia"/>
          <w:color w:val="000000"/>
          <w:szCs w:val="24"/>
          <w:lang w:eastAsia="zh-CN"/>
        </w:rPr>
        <w:t>ITU</w:t>
      </w:r>
      <w:r w:rsidR="00BB70C2">
        <w:rPr>
          <w:color w:val="000000"/>
          <w:szCs w:val="24"/>
          <w:lang w:eastAsia="zh-CN"/>
        </w:rPr>
        <w:noBreakHyphen/>
      </w:r>
      <w:r w:rsidR="00F73551">
        <w:rPr>
          <w:rFonts w:hint="eastAsia"/>
          <w:color w:val="000000"/>
          <w:szCs w:val="24"/>
          <w:lang w:eastAsia="zh-CN"/>
        </w:rPr>
        <w:t>R</w:t>
      </w:r>
      <w:r w:rsidR="00BB70C2">
        <w:rPr>
          <w:color w:val="000000"/>
          <w:szCs w:val="24"/>
          <w:lang w:eastAsia="zh-CN"/>
        </w:rPr>
        <w:t> </w:t>
      </w:r>
      <w:proofErr w:type="gramStart"/>
      <w:r w:rsidR="00F73551">
        <w:rPr>
          <w:rFonts w:hint="eastAsia"/>
          <w:color w:val="000000"/>
          <w:szCs w:val="24"/>
          <w:lang w:eastAsia="zh-CN"/>
        </w:rPr>
        <w:t>M.[</w:t>
      </w:r>
      <w:proofErr w:type="gramEnd"/>
      <w:r w:rsidR="00F73551">
        <w:rPr>
          <w:rFonts w:hint="eastAsia"/>
          <w:color w:val="000000"/>
          <w:szCs w:val="24"/>
          <w:lang w:eastAsia="zh-CN"/>
        </w:rPr>
        <w:t>MSS&amp;IMT-ADVANCED SHARING]</w:t>
      </w:r>
      <w:r w:rsidR="00F73551">
        <w:rPr>
          <w:rFonts w:hint="cs"/>
          <w:color w:val="000000"/>
          <w:szCs w:val="24"/>
          <w:rtl/>
          <w:lang w:eastAsia="zh-CN"/>
        </w:rPr>
        <w:t>.</w:t>
      </w:r>
    </w:p>
    <w:p w14:paraId="1D357D7A" w14:textId="7982579F" w:rsidR="00F73551" w:rsidRPr="00F73551" w:rsidRDefault="00F73551" w:rsidP="00F73551">
      <w:pPr>
        <w:rPr>
          <w:b/>
          <w:sz w:val="30"/>
          <w:rtl/>
          <w:lang w:val="es-ES" w:bidi="ar-EG"/>
        </w:rPr>
      </w:pPr>
      <w:r w:rsidRPr="00F73551">
        <w:rPr>
          <w:rFonts w:hint="cs"/>
          <w:b/>
          <w:bCs/>
          <w:i/>
          <w:iCs/>
          <w:color w:val="000000"/>
          <w:sz w:val="30"/>
          <w:rtl/>
          <w:lang w:eastAsia="zh-CN"/>
        </w:rPr>
        <w:t>ثانياً</w:t>
      </w:r>
      <w:r w:rsidRPr="009E30AC">
        <w:rPr>
          <w:rFonts w:hint="cs"/>
          <w:i/>
          <w:iCs/>
          <w:color w:val="000000"/>
          <w:sz w:val="30"/>
          <w:rtl/>
          <w:lang w:eastAsia="zh-CN"/>
        </w:rPr>
        <w:t xml:space="preserve">، </w:t>
      </w:r>
      <w:r w:rsidRPr="009E30AC">
        <w:rPr>
          <w:rFonts w:hint="cs"/>
          <w:color w:val="000000"/>
          <w:sz w:val="30"/>
          <w:rtl/>
          <w:lang w:eastAsia="zh-CN"/>
        </w:rPr>
        <w:t>أ</w:t>
      </w:r>
      <w:r w:rsidRPr="00F73551">
        <w:rPr>
          <w:rFonts w:hint="cs"/>
          <w:color w:val="000000"/>
          <w:sz w:val="30"/>
          <w:rtl/>
          <w:lang w:eastAsia="zh-CN"/>
        </w:rPr>
        <w:t>ثناء العمل على مراجعة التوصية</w:t>
      </w:r>
      <w:r w:rsidRPr="00975A6B">
        <w:rPr>
          <w:rFonts w:hint="cs"/>
          <w:b/>
          <w:i/>
          <w:iCs/>
          <w:color w:val="000000"/>
          <w:sz w:val="30"/>
          <w:rtl/>
          <w:lang w:eastAsia="zh-CN"/>
        </w:rPr>
        <w:t xml:space="preserve"> </w:t>
      </w:r>
      <w:r w:rsidRPr="00F73551">
        <w:rPr>
          <w:rFonts w:hint="eastAsia"/>
          <w:bCs/>
          <w:lang w:bidi="ar-EG"/>
        </w:rPr>
        <w:t>ITU-R M.1036-5</w:t>
      </w:r>
      <w:r w:rsidRPr="00F73551">
        <w:rPr>
          <w:rFonts w:hint="cs"/>
          <w:bCs/>
          <w:rtl/>
          <w:lang w:bidi="ar-EG"/>
        </w:rPr>
        <w:t xml:space="preserve">، </w:t>
      </w:r>
      <w:r w:rsidRPr="00F73551">
        <w:rPr>
          <w:rFonts w:hint="cs"/>
          <w:b/>
          <w:rtl/>
          <w:lang w:bidi="ar-EG"/>
        </w:rPr>
        <w:t xml:space="preserve">اتفقت لجنتا الدراسات </w:t>
      </w:r>
      <w:r w:rsidRPr="00F73551">
        <w:rPr>
          <w:lang w:val="en-GB" w:bidi="ar-EG"/>
        </w:rPr>
        <w:t>5</w:t>
      </w:r>
      <w:r w:rsidRPr="00F73551">
        <w:rPr>
          <w:rFonts w:hint="cs"/>
          <w:rtl/>
          <w:lang w:val="es-ES" w:bidi="ar-EG"/>
        </w:rPr>
        <w:t xml:space="preserve"> و</w:t>
      </w:r>
      <w:r w:rsidRPr="00F73551">
        <w:rPr>
          <w:lang w:val="en-GB" w:bidi="ar-EG"/>
        </w:rPr>
        <w:t>4</w:t>
      </w:r>
      <w:r w:rsidRPr="00F73551">
        <w:rPr>
          <w:rFonts w:hint="cs"/>
          <w:rtl/>
          <w:lang w:val="es-ES" w:bidi="ar-EG"/>
        </w:rPr>
        <w:t xml:space="preserve"> (الوثيقتان </w:t>
      </w:r>
      <w:r>
        <w:rPr>
          <w:lang w:val="en-GB" w:bidi="ar-EG"/>
        </w:rPr>
        <w:t>3/4</w:t>
      </w:r>
      <w:r w:rsidRPr="00F73551">
        <w:rPr>
          <w:rFonts w:hint="cs"/>
          <w:rtl/>
          <w:lang w:val="es-ES" w:bidi="ar-EG"/>
        </w:rPr>
        <w:t xml:space="preserve"> و</w:t>
      </w:r>
      <w:r w:rsidRPr="00F73551">
        <w:rPr>
          <w:lang w:val="en-GB" w:bidi="ar-EG"/>
        </w:rPr>
        <w:t>3/5</w:t>
      </w:r>
      <w:r w:rsidRPr="00F73551">
        <w:rPr>
          <w:rFonts w:hint="cs"/>
          <w:rtl/>
          <w:lang w:val="es-ES" w:bidi="ar-EG"/>
        </w:rPr>
        <w:t>،</w:t>
      </w:r>
      <w:r w:rsidRPr="00F73551">
        <w:rPr>
          <w:rFonts w:hint="cs"/>
          <w:b/>
          <w:rtl/>
          <w:lang w:val="es-ES" w:bidi="ar-EG"/>
        </w:rPr>
        <w:t xml:space="preserve"> الصفحة</w:t>
      </w:r>
      <w:r w:rsidR="009E4D70">
        <w:rPr>
          <w:rFonts w:hint="eastAsia"/>
          <w:b/>
          <w:rtl/>
          <w:lang w:val="es-ES" w:bidi="ar-EG"/>
        </w:rPr>
        <w:t> </w:t>
      </w:r>
      <w:r w:rsidRPr="00F73551">
        <w:rPr>
          <w:b/>
          <w:lang w:val="en-GB" w:bidi="ar-EG"/>
        </w:rPr>
        <w:t>7</w:t>
      </w:r>
      <w:r w:rsidRPr="00F73551">
        <w:rPr>
          <w:rFonts w:hint="cs"/>
          <w:b/>
          <w:rtl/>
          <w:lang w:val="es-ES" w:bidi="ar-EG"/>
        </w:rPr>
        <w:t xml:space="preserve">) على </w:t>
      </w:r>
      <w:r w:rsidR="00831FC1">
        <w:rPr>
          <w:rFonts w:hint="cs"/>
          <w:b/>
          <w:rtl/>
          <w:lang w:val="es-ES" w:bidi="ar-EG"/>
        </w:rPr>
        <w:t>ما يلي</w:t>
      </w:r>
      <w:r w:rsidRPr="00F73551">
        <w:rPr>
          <w:rFonts w:hint="cs"/>
          <w:b/>
          <w:rtl/>
          <w:lang w:val="es-ES" w:bidi="ar-EG"/>
        </w:rPr>
        <w:t>:</w:t>
      </w:r>
    </w:p>
    <w:p w14:paraId="35690AA1" w14:textId="7103AAEC" w:rsidR="00D10EA0" w:rsidRPr="001C693E" w:rsidRDefault="009E5D51" w:rsidP="00BB70C2">
      <w:pPr>
        <w:rPr>
          <w:rtl/>
          <w:lang w:val="es-ES" w:bidi="ar-EG"/>
        </w:rPr>
      </w:pPr>
      <w:r>
        <w:rPr>
          <w:rFonts w:ascii="Traditional Arabic" w:hAnsi="Traditional Arabic"/>
          <w:rtl/>
          <w:lang w:val="es-ES" w:bidi="ar-EG"/>
        </w:rPr>
        <w:t>”</w:t>
      </w:r>
      <w:r w:rsidR="00F73551">
        <w:rPr>
          <w:rFonts w:hint="cs"/>
          <w:rtl/>
          <w:lang w:val="es-ES" w:bidi="ar-EG"/>
        </w:rPr>
        <w:t xml:space="preserve">.. </w:t>
      </w:r>
      <w:r w:rsidR="00831FC1">
        <w:rPr>
          <w:rFonts w:hint="cs"/>
          <w:rtl/>
          <w:lang w:val="es-ES" w:bidi="ar-EG"/>
        </w:rPr>
        <w:t xml:space="preserve">ستُجرى أي مراجعات للنصوص المتعلقة </w:t>
      </w:r>
      <w:proofErr w:type="spellStart"/>
      <w:r w:rsidR="00831FC1">
        <w:rPr>
          <w:rFonts w:hint="cs"/>
          <w:rtl/>
          <w:lang w:val="es-ES" w:bidi="ar-EG"/>
        </w:rPr>
        <w:t>بالسواتل</w:t>
      </w:r>
      <w:proofErr w:type="spellEnd"/>
      <w:r w:rsidR="00831FC1">
        <w:rPr>
          <w:rFonts w:hint="cs"/>
          <w:rtl/>
          <w:lang w:val="es-ES" w:bidi="ar-EG"/>
        </w:rPr>
        <w:t xml:space="preserve"> عن طريق أنشطة الاتصال بين فرق العمل المعنية. وبعد أن تُعِد فرق العمل هذه </w:t>
      </w:r>
      <w:r w:rsidR="00054D9D">
        <w:rPr>
          <w:rFonts w:hint="cs"/>
          <w:rtl/>
          <w:lang w:val="es-ES" w:bidi="ar-EG"/>
        </w:rPr>
        <w:t>المخرج</w:t>
      </w:r>
      <w:r w:rsidR="00831FC1">
        <w:rPr>
          <w:rFonts w:hint="cs"/>
          <w:rtl/>
          <w:lang w:val="es-ES" w:bidi="ar-EG"/>
        </w:rPr>
        <w:t xml:space="preserve"> المتمثل في مشروع المراجعة، ينبغي إرساله إلى لجنة الدراسات </w:t>
      </w:r>
      <w:r w:rsidR="00831FC1">
        <w:rPr>
          <w:lang w:val="en-GB" w:bidi="ar-EG"/>
        </w:rPr>
        <w:t>5</w:t>
      </w:r>
      <w:r w:rsidR="00831FC1">
        <w:rPr>
          <w:rFonts w:hint="cs"/>
          <w:rtl/>
          <w:lang w:val="es-ES" w:bidi="ar-EG"/>
        </w:rPr>
        <w:t xml:space="preserve"> لتتخذ إجراءً رسمياً بشأن اعتماده والموافقة عليه. كما</w:t>
      </w:r>
      <w:r w:rsidR="00102CFD">
        <w:rPr>
          <w:rFonts w:hint="eastAsia"/>
          <w:rtl/>
          <w:lang w:val="es-ES" w:bidi="ar-EG"/>
        </w:rPr>
        <w:t> </w:t>
      </w:r>
      <w:r w:rsidR="00831FC1">
        <w:rPr>
          <w:rFonts w:hint="cs"/>
          <w:rtl/>
          <w:lang w:val="es-ES" w:bidi="ar-EG"/>
        </w:rPr>
        <w:t xml:space="preserve">ينبغي إرسال مشروع النص إلى لجنة الدراسات </w:t>
      </w:r>
      <w:r w:rsidR="00831FC1">
        <w:rPr>
          <w:lang w:val="en-GB" w:bidi="ar-EG"/>
        </w:rPr>
        <w:t>4</w:t>
      </w:r>
      <w:r w:rsidR="00831FC1">
        <w:rPr>
          <w:rFonts w:hint="cs"/>
          <w:rtl/>
          <w:lang w:val="es-ES" w:bidi="ar-EG"/>
        </w:rPr>
        <w:t xml:space="preserve"> لتنظر فيه على النحو اللازم. وإذا أُدخلت في اجتماع لجنة الدراسات</w:t>
      </w:r>
      <w:r w:rsidR="00102CFD">
        <w:rPr>
          <w:rFonts w:hint="eastAsia"/>
          <w:rtl/>
          <w:lang w:val="es-ES" w:bidi="ar-EG"/>
        </w:rPr>
        <w:t> </w:t>
      </w:r>
      <w:r w:rsidR="00831FC1">
        <w:rPr>
          <w:lang w:val="en-GB" w:bidi="ar-EG"/>
        </w:rPr>
        <w:t>5</w:t>
      </w:r>
      <w:r w:rsidR="00831FC1">
        <w:rPr>
          <w:rFonts w:hint="cs"/>
          <w:rtl/>
          <w:lang w:val="es-ES" w:bidi="ar-EG"/>
        </w:rPr>
        <w:t xml:space="preserve"> المزيد من التعديلات غير التحرير</w:t>
      </w:r>
      <w:bookmarkStart w:id="3" w:name="_GoBack"/>
      <w:bookmarkEnd w:id="3"/>
      <w:r w:rsidR="00831FC1">
        <w:rPr>
          <w:rFonts w:hint="cs"/>
          <w:rtl/>
          <w:lang w:val="es-ES" w:bidi="ar-EG"/>
        </w:rPr>
        <w:t xml:space="preserve">ية على النصوص المتعلقة </w:t>
      </w:r>
      <w:proofErr w:type="spellStart"/>
      <w:r w:rsidR="00831FC1">
        <w:rPr>
          <w:rFonts w:hint="cs"/>
          <w:rtl/>
          <w:lang w:val="es-ES" w:bidi="ar-EG"/>
        </w:rPr>
        <w:t>بالسواتل</w:t>
      </w:r>
      <w:proofErr w:type="spellEnd"/>
      <w:r w:rsidR="00831FC1">
        <w:rPr>
          <w:rFonts w:hint="cs"/>
          <w:rtl/>
          <w:lang w:val="es-ES" w:bidi="ar-EG"/>
        </w:rPr>
        <w:t xml:space="preserve">، </w:t>
      </w:r>
      <w:r w:rsidR="001576CF">
        <w:rPr>
          <w:rFonts w:hint="cs"/>
          <w:rtl/>
          <w:lang w:val="es-ES" w:bidi="ar-EG"/>
        </w:rPr>
        <w:t xml:space="preserve">يلزم عندئذٍ إعادة إرسال </w:t>
      </w:r>
      <w:r w:rsidR="001C693E">
        <w:rPr>
          <w:rFonts w:hint="cs"/>
          <w:rtl/>
          <w:lang w:val="es-ES" w:bidi="ar-EG"/>
        </w:rPr>
        <w:t>الصيغة المراجَعة</w:t>
      </w:r>
      <w:r w:rsidR="001576CF">
        <w:rPr>
          <w:rFonts w:hint="cs"/>
          <w:rtl/>
          <w:lang w:val="es-ES" w:bidi="ar-EG"/>
        </w:rPr>
        <w:t xml:space="preserve"> </w:t>
      </w:r>
      <w:r w:rsidR="001C693E">
        <w:rPr>
          <w:rFonts w:hint="cs"/>
          <w:rtl/>
          <w:lang w:val="es-ES" w:bidi="ar-EG"/>
        </w:rPr>
        <w:t>ل</w:t>
      </w:r>
      <w:r w:rsidR="001576CF">
        <w:rPr>
          <w:rFonts w:hint="cs"/>
          <w:rtl/>
          <w:lang w:val="es-ES" w:bidi="ar-EG"/>
        </w:rPr>
        <w:t>لتوصيات و/أو غيرها من النصوص المتعلقة بالخدم</w:t>
      </w:r>
      <w:r w:rsidR="004445AA">
        <w:rPr>
          <w:rFonts w:hint="cs"/>
          <w:rtl/>
          <w:lang w:val="es-ES" w:bidi="ar-EG"/>
        </w:rPr>
        <w:t>ات</w:t>
      </w:r>
      <w:r w:rsidR="001576CF">
        <w:rPr>
          <w:rFonts w:hint="cs"/>
          <w:rtl/>
          <w:lang w:val="es-ES" w:bidi="ar-EG"/>
        </w:rPr>
        <w:t xml:space="preserve"> الساتلية إلى فرق العمل المعنية لتُعيد النظر </w:t>
      </w:r>
      <w:proofErr w:type="gramStart"/>
      <w:r w:rsidR="001576CF">
        <w:rPr>
          <w:rFonts w:hint="cs"/>
          <w:rtl/>
          <w:lang w:val="es-ES" w:bidi="ar-EG"/>
        </w:rPr>
        <w:t>فيها</w:t>
      </w:r>
      <w:r w:rsidR="00BB70C2">
        <w:rPr>
          <w:rFonts w:ascii="Traditional Arabic" w:hAnsi="Traditional Arabic" w:hint="cs"/>
          <w:rtl/>
          <w:lang w:val="es-ES" w:bidi="ar-EG"/>
        </w:rPr>
        <w:t>.</w:t>
      </w:r>
      <w:r>
        <w:rPr>
          <w:rFonts w:ascii="Traditional Arabic" w:hAnsi="Traditional Arabic"/>
          <w:rtl/>
          <w:lang w:val="es-ES" w:bidi="ar-EG"/>
        </w:rPr>
        <w:t>“</w:t>
      </w:r>
      <w:proofErr w:type="gramEnd"/>
    </w:p>
    <w:p w14:paraId="64F545E7" w14:textId="7A29675D" w:rsidR="00D10EA0" w:rsidRPr="001C693E" w:rsidRDefault="00F73551" w:rsidP="001C693E">
      <w:pPr>
        <w:rPr>
          <w:rtl/>
          <w:lang w:val="es-ES" w:bidi="ar-EG"/>
        </w:rPr>
      </w:pPr>
      <w:r>
        <w:rPr>
          <w:rFonts w:hint="cs"/>
          <w:rtl/>
        </w:rPr>
        <w:t xml:space="preserve">والتغييرات التي اقترحت فرقة العمل </w:t>
      </w:r>
      <w:r>
        <w:rPr>
          <w:lang w:val="en-GB"/>
        </w:rPr>
        <w:t>5D</w:t>
      </w:r>
      <w:r>
        <w:rPr>
          <w:rFonts w:hint="cs"/>
          <w:rtl/>
          <w:lang w:val="es-ES" w:bidi="ar-EG"/>
        </w:rPr>
        <w:t xml:space="preserve"> إدخالها على </w:t>
      </w:r>
      <w:r w:rsidRPr="00F73551">
        <w:rPr>
          <w:rFonts w:hint="cs"/>
          <w:rtl/>
          <w:lang w:val="es-ES" w:bidi="ar-EG"/>
        </w:rPr>
        <w:t>الفقرتين</w:t>
      </w:r>
      <w:r w:rsidRPr="00F73551">
        <w:rPr>
          <w:rFonts w:hint="cs"/>
          <w:iCs/>
          <w:rtl/>
        </w:rPr>
        <w:t xml:space="preserve"> ج </w:t>
      </w:r>
      <w:r w:rsidRPr="00F73551">
        <w:rPr>
          <w:rFonts w:hint="cs"/>
          <w:rtl/>
        </w:rPr>
        <w:t>و</w:t>
      </w:r>
      <w:r w:rsidRPr="00F73551">
        <w:rPr>
          <w:rFonts w:hint="cs"/>
          <w:iCs/>
          <w:rtl/>
        </w:rPr>
        <w:t>د</w:t>
      </w:r>
      <w:r w:rsidRPr="00F73551">
        <w:rPr>
          <w:rFonts w:hint="cs"/>
          <w:rtl/>
        </w:rPr>
        <w:t xml:space="preserve"> من </w:t>
      </w:r>
      <w:r w:rsidRPr="00F73551">
        <w:rPr>
          <w:rFonts w:hint="cs"/>
          <w:iCs/>
          <w:rtl/>
        </w:rPr>
        <w:t xml:space="preserve">وإذ تدرك، </w:t>
      </w:r>
      <w:r w:rsidRPr="00F73551">
        <w:rPr>
          <w:rFonts w:hint="cs"/>
          <w:rtl/>
        </w:rPr>
        <w:t xml:space="preserve">والملاحظة </w:t>
      </w:r>
      <w:r w:rsidRPr="00F73551">
        <w:rPr>
          <w:lang w:val="en-GB"/>
        </w:rPr>
        <w:t>5</w:t>
      </w:r>
      <w:r w:rsidRPr="00F73551">
        <w:rPr>
          <w:rFonts w:hint="cs"/>
          <w:rtl/>
          <w:lang w:val="es-ES"/>
        </w:rPr>
        <w:t xml:space="preserve"> </w:t>
      </w:r>
      <w:r>
        <w:rPr>
          <w:rFonts w:hint="cs"/>
          <w:rtl/>
          <w:lang w:val="es-ES"/>
        </w:rPr>
        <w:t xml:space="preserve">بشأن </w:t>
      </w:r>
      <w:r w:rsidRPr="00F73551">
        <w:rPr>
          <w:rFonts w:hint="cs"/>
          <w:rtl/>
          <w:lang w:val="es-ES"/>
        </w:rPr>
        <w:t>الجدول</w:t>
      </w:r>
      <w:r w:rsidR="00102CFD">
        <w:rPr>
          <w:rFonts w:hint="eastAsia"/>
          <w:rtl/>
          <w:lang w:val="es-ES"/>
        </w:rPr>
        <w:t> </w:t>
      </w:r>
      <w:r w:rsidRPr="00F73551">
        <w:rPr>
          <w:lang w:val="en-GB"/>
        </w:rPr>
        <w:t>4</w:t>
      </w:r>
      <w:r w:rsidRPr="00F73551">
        <w:rPr>
          <w:rFonts w:hint="cs"/>
          <w:rtl/>
          <w:lang w:val="en-GB"/>
        </w:rPr>
        <w:t>، من</w:t>
      </w:r>
      <w:r w:rsidRPr="00F73551">
        <w:rPr>
          <w:rFonts w:hint="cs"/>
          <w:color w:val="000000"/>
          <w:sz w:val="30"/>
          <w:rtl/>
          <w:lang w:eastAsia="zh-CN"/>
        </w:rPr>
        <w:t xml:space="preserve"> </w:t>
      </w:r>
      <w:r>
        <w:rPr>
          <w:rFonts w:hint="cs"/>
          <w:color w:val="000000"/>
          <w:sz w:val="30"/>
          <w:rtl/>
          <w:lang w:eastAsia="zh-CN"/>
        </w:rPr>
        <w:t>ا</w:t>
      </w:r>
      <w:r w:rsidRPr="00F73551">
        <w:rPr>
          <w:rFonts w:hint="cs"/>
          <w:color w:val="000000"/>
          <w:sz w:val="30"/>
          <w:rtl/>
          <w:lang w:eastAsia="zh-CN"/>
        </w:rPr>
        <w:t>لتوصية</w:t>
      </w:r>
      <w:r w:rsidR="009E4D70" w:rsidRPr="009E4D70">
        <w:rPr>
          <w:rFonts w:hint="eastAsia"/>
          <w:b/>
          <w:color w:val="000000"/>
          <w:sz w:val="30"/>
          <w:rtl/>
          <w:lang w:eastAsia="zh-CN"/>
        </w:rPr>
        <w:t> </w:t>
      </w:r>
      <w:r w:rsidRPr="00F73551">
        <w:rPr>
          <w:rFonts w:hint="eastAsia"/>
          <w:bCs/>
          <w:lang w:bidi="ar-EG"/>
        </w:rPr>
        <w:t>ITU</w:t>
      </w:r>
      <w:r w:rsidR="009E4D70">
        <w:rPr>
          <w:bCs/>
          <w:lang w:bidi="ar-EG"/>
        </w:rPr>
        <w:noBreakHyphen/>
      </w:r>
      <w:r w:rsidRPr="00F73551">
        <w:rPr>
          <w:rFonts w:hint="eastAsia"/>
          <w:bCs/>
          <w:lang w:bidi="ar-EG"/>
        </w:rPr>
        <w:t>R M.1036-5</w:t>
      </w:r>
      <w:r w:rsidRPr="00237E21">
        <w:rPr>
          <w:rFonts w:hint="cs"/>
          <w:b/>
          <w:rtl/>
          <w:lang w:bidi="ar-EG"/>
        </w:rPr>
        <w:t xml:space="preserve"> </w:t>
      </w:r>
      <w:r w:rsidRPr="00F73551">
        <w:rPr>
          <w:rFonts w:hint="cs"/>
          <w:b/>
          <w:rtl/>
          <w:lang w:bidi="ar-EG"/>
        </w:rPr>
        <w:t>ليست تغييرات تحريرية</w:t>
      </w:r>
      <w:r w:rsidR="001C693E">
        <w:rPr>
          <w:rFonts w:hint="cs"/>
          <w:b/>
          <w:rtl/>
          <w:lang w:bidi="ar-EG"/>
        </w:rPr>
        <w:t xml:space="preserve">، ومن ثم </w:t>
      </w:r>
      <w:r w:rsidRPr="00F73551">
        <w:rPr>
          <w:rFonts w:hint="cs"/>
          <w:b/>
          <w:rtl/>
          <w:lang w:bidi="ar-EG"/>
        </w:rPr>
        <w:t xml:space="preserve">كان </w:t>
      </w:r>
      <w:r w:rsidR="004445AA">
        <w:rPr>
          <w:rFonts w:hint="cs"/>
          <w:b/>
          <w:rtl/>
          <w:lang w:bidi="ar-EG"/>
        </w:rPr>
        <w:t>يلزم</w:t>
      </w:r>
      <w:r w:rsidRPr="00F73551">
        <w:rPr>
          <w:rFonts w:hint="cs"/>
          <w:b/>
          <w:rtl/>
          <w:lang w:bidi="ar-EG"/>
        </w:rPr>
        <w:t xml:space="preserve"> أن توافق عليها فرقة العمل </w:t>
      </w:r>
      <w:r w:rsidRPr="00B0401B">
        <w:rPr>
          <w:lang w:bidi="ar-EG"/>
        </w:rPr>
        <w:t>4C</w:t>
      </w:r>
      <w:r w:rsidRPr="00F73551">
        <w:rPr>
          <w:rFonts w:hint="cs"/>
          <w:b/>
          <w:rtl/>
          <w:lang w:val="es-ES" w:bidi="ar-EG"/>
        </w:rPr>
        <w:t>.</w:t>
      </w:r>
    </w:p>
    <w:p w14:paraId="25DA59B6" w14:textId="041D233A" w:rsidR="00EC1889" w:rsidRDefault="00EC1889" w:rsidP="00962CF7">
      <w:pPr>
        <w:pStyle w:val="Heading1"/>
        <w:rPr>
          <w:rtl/>
        </w:rPr>
      </w:pPr>
      <w:r>
        <w:t>3</w:t>
      </w:r>
      <w:r w:rsidRPr="008220FC">
        <w:rPr>
          <w:rtl/>
        </w:rPr>
        <w:tab/>
      </w:r>
      <w:r w:rsidRPr="008220FC">
        <w:rPr>
          <w:rFonts w:hint="cs"/>
          <w:rtl/>
        </w:rPr>
        <w:t>المقترح</w:t>
      </w:r>
    </w:p>
    <w:p w14:paraId="7AF20A75" w14:textId="2B35D1E9" w:rsidR="00EC1889" w:rsidRPr="00EC1889" w:rsidRDefault="00B0401B" w:rsidP="00EC1889">
      <w:pPr>
        <w:rPr>
          <w:rtl/>
        </w:rPr>
      </w:pPr>
      <w:r>
        <w:rPr>
          <w:rFonts w:hint="cs"/>
          <w:rtl/>
        </w:rPr>
        <w:t xml:space="preserve">بناءً على الملاحظات المذكورة أعلاه، تقترح الصين ضرورة الإبقاء على النصوص الأصلية إذا تعذّر التوصل إلى توافق في الآراء على إجراء أي مراجعات للنصوص المتعلقة </w:t>
      </w:r>
      <w:proofErr w:type="spellStart"/>
      <w:r>
        <w:rPr>
          <w:rFonts w:hint="cs"/>
          <w:rtl/>
        </w:rPr>
        <w:t>بالسواتل</w:t>
      </w:r>
      <w:proofErr w:type="spellEnd"/>
      <w:r>
        <w:rPr>
          <w:rFonts w:hint="cs"/>
          <w:rtl/>
        </w:rPr>
        <w:t xml:space="preserve"> في مشروع مراجعة التوصية </w:t>
      </w:r>
      <w:r w:rsidRPr="00F73551">
        <w:rPr>
          <w:rFonts w:hint="eastAsia"/>
          <w:bCs/>
          <w:lang w:bidi="ar-EG"/>
        </w:rPr>
        <w:t>ITU-R M.1036-5</w:t>
      </w:r>
      <w:r>
        <w:rPr>
          <w:rFonts w:hint="cs"/>
          <w:rtl/>
        </w:rPr>
        <w:t>.</w:t>
      </w:r>
    </w:p>
    <w:p w14:paraId="30FD70CB" w14:textId="4AE8D66B" w:rsidR="00EC1889" w:rsidRPr="004F0A77" w:rsidRDefault="00B0401B" w:rsidP="004F0A77">
      <w:pPr>
        <w:rPr>
          <w:rtl/>
          <w:lang w:val="es-ES"/>
        </w:rPr>
      </w:pPr>
      <w:r>
        <w:rPr>
          <w:rFonts w:hint="cs"/>
          <w:rtl/>
        </w:rPr>
        <w:t>وفيما يتعلق ب</w:t>
      </w:r>
      <w:r w:rsidRPr="00B0401B">
        <w:rPr>
          <w:rFonts w:hint="cs"/>
          <w:rtl/>
          <w:lang w:bidi="ar-EG"/>
        </w:rPr>
        <w:t xml:space="preserve">الملاحظة </w:t>
      </w:r>
      <w:r w:rsidRPr="00B0401B">
        <w:rPr>
          <w:lang w:val="en-GB" w:bidi="ar-EG"/>
        </w:rPr>
        <w:t>5</w:t>
      </w:r>
      <w:r w:rsidRPr="00B0401B">
        <w:rPr>
          <w:rFonts w:hint="cs"/>
          <w:rtl/>
          <w:lang w:val="es-ES" w:bidi="ar-EG"/>
        </w:rPr>
        <w:t xml:space="preserve"> في القسم </w:t>
      </w:r>
      <w:r w:rsidRPr="00B0401B">
        <w:rPr>
          <w:lang w:val="en-GB" w:bidi="ar-EG"/>
        </w:rPr>
        <w:t>5</w:t>
      </w:r>
      <w:r w:rsidRPr="00B0401B">
        <w:rPr>
          <w:rFonts w:hint="cs"/>
          <w:rtl/>
          <w:lang w:val="es-ES" w:bidi="ar-EG"/>
        </w:rPr>
        <w:t>،</w:t>
      </w:r>
      <w:r>
        <w:rPr>
          <w:rFonts w:hint="cs"/>
          <w:rtl/>
          <w:lang w:val="es-ES" w:bidi="ar-EG"/>
        </w:rPr>
        <w:t xml:space="preserve"> تقترح الصين كطريق للم</w:t>
      </w:r>
      <w:r w:rsidR="004F0A77">
        <w:rPr>
          <w:rFonts w:hint="cs"/>
          <w:rtl/>
          <w:lang w:val="es-ES" w:bidi="ar-EG"/>
        </w:rPr>
        <w:t>ُ</w:t>
      </w:r>
      <w:r>
        <w:rPr>
          <w:rFonts w:hint="cs"/>
          <w:rtl/>
          <w:lang w:val="es-ES" w:bidi="ar-EG"/>
        </w:rPr>
        <w:t>ضي قُدماً حذف القوسين المعقوفين والإبقاء على الجملة الأخيرة في</w:t>
      </w:r>
      <w:r w:rsidR="0060300C">
        <w:rPr>
          <w:rFonts w:hint="eastAsia"/>
          <w:rtl/>
          <w:lang w:val="es-ES" w:bidi="ar-EG"/>
        </w:rPr>
        <w:t> </w:t>
      </w:r>
      <w:r>
        <w:rPr>
          <w:rFonts w:hint="cs"/>
          <w:rtl/>
          <w:lang w:val="es-ES" w:bidi="ar-EG"/>
        </w:rPr>
        <w:t>الملاحظة</w:t>
      </w:r>
      <w:r w:rsidR="00102CFD">
        <w:rPr>
          <w:rFonts w:hint="eastAsia"/>
          <w:rtl/>
          <w:lang w:val="es-ES" w:bidi="ar-EG"/>
        </w:rPr>
        <w:t> </w:t>
      </w:r>
      <w:r>
        <w:rPr>
          <w:lang w:val="en-GB" w:bidi="ar-EG"/>
        </w:rPr>
        <w:t>5</w:t>
      </w:r>
      <w:r>
        <w:rPr>
          <w:rFonts w:hint="cs"/>
          <w:rtl/>
          <w:lang w:val="es-ES" w:bidi="ar-EG"/>
        </w:rPr>
        <w:t xml:space="preserve"> (على النحو التالي المبي</w:t>
      </w:r>
      <w:r w:rsidR="004F0A77">
        <w:rPr>
          <w:rFonts w:hint="cs"/>
          <w:rtl/>
          <w:lang w:val="es-ES" w:bidi="ar-EG"/>
        </w:rPr>
        <w:t>َّ</w:t>
      </w:r>
      <w:r>
        <w:rPr>
          <w:rFonts w:hint="cs"/>
          <w:rtl/>
          <w:lang w:val="es-ES" w:bidi="ar-EG"/>
        </w:rPr>
        <w:t xml:space="preserve">ن باللون الفيروزي) لبيان أن الصيغة النهائية للدراسات المتعلقة بالتقاسم بين المكونين الأرضي </w:t>
      </w:r>
      <w:proofErr w:type="spellStart"/>
      <w:r w:rsidR="00BB70C2">
        <w:rPr>
          <w:rFonts w:hint="cs"/>
          <w:rtl/>
          <w:lang w:val="es-ES" w:bidi="ar-EG"/>
        </w:rPr>
        <w:t>والساتلي</w:t>
      </w:r>
      <w:proofErr w:type="spellEnd"/>
      <w:r>
        <w:rPr>
          <w:rFonts w:hint="cs"/>
          <w:rtl/>
          <w:lang w:val="es-ES" w:bidi="ar-EG"/>
        </w:rPr>
        <w:t xml:space="preserve"> لأنظمة الاتصالات المتنقلة الدولية </w:t>
      </w:r>
      <w:r>
        <w:rPr>
          <w:lang w:val="en-GB" w:bidi="ar-EG"/>
        </w:rPr>
        <w:t>(IMT)</w:t>
      </w:r>
      <w:r>
        <w:rPr>
          <w:rFonts w:hint="cs"/>
          <w:rtl/>
          <w:lang w:val="es-ES" w:bidi="ar-EG"/>
        </w:rPr>
        <w:t xml:space="preserve"> لم توضَع بعد على مستوى </w:t>
      </w:r>
      <w:r w:rsidR="00A73C71">
        <w:rPr>
          <w:rFonts w:hint="cs"/>
          <w:rtl/>
          <w:lang w:val="es-ES" w:bidi="ar-EG"/>
        </w:rPr>
        <w:t>لج</w:t>
      </w:r>
      <w:r w:rsidR="00831FC1">
        <w:rPr>
          <w:rFonts w:hint="cs"/>
          <w:rtl/>
          <w:lang w:val="es-ES" w:bidi="ar-EG"/>
        </w:rPr>
        <w:t>نتي</w:t>
      </w:r>
      <w:r w:rsidR="00A73C71">
        <w:rPr>
          <w:rFonts w:hint="cs"/>
          <w:rtl/>
          <w:lang w:val="es-ES" w:bidi="ar-EG"/>
        </w:rPr>
        <w:t xml:space="preserve"> الدراسات المعن</w:t>
      </w:r>
      <w:r w:rsidR="00831FC1">
        <w:rPr>
          <w:rFonts w:hint="cs"/>
          <w:rtl/>
          <w:lang w:val="es-ES" w:bidi="ar-EG"/>
        </w:rPr>
        <w:t>يتين</w:t>
      </w:r>
      <w:r>
        <w:rPr>
          <w:rFonts w:hint="cs"/>
          <w:rtl/>
          <w:lang w:val="es-ES" w:bidi="ar-EG"/>
        </w:rPr>
        <w:t xml:space="preserve"> في قطاع الاتصالات الراديوية، وهي مسألة لا بُد منها لتقديم المساعدة التقنية إلى الإدارات في نشر</w:t>
      </w:r>
      <w:r w:rsidR="004F0A77">
        <w:rPr>
          <w:rFonts w:hint="cs"/>
          <w:rtl/>
          <w:lang w:val="es-ES" w:bidi="ar-EG"/>
        </w:rPr>
        <w:t xml:space="preserve"> المكونات الأرضية والمكونات الساتلية لهذه الأنظمة في</w:t>
      </w:r>
      <w:r w:rsidR="0060300C">
        <w:rPr>
          <w:rFonts w:hint="eastAsia"/>
          <w:rtl/>
          <w:lang w:val="es-ES" w:bidi="ar-EG"/>
        </w:rPr>
        <w:t> </w:t>
      </w:r>
      <w:r w:rsidR="00A73C71">
        <w:rPr>
          <w:rFonts w:hint="cs"/>
          <w:rtl/>
          <w:lang w:val="es-ES" w:bidi="ar-EG"/>
        </w:rPr>
        <w:t>مختلف</w:t>
      </w:r>
      <w:r w:rsidR="004F0A77">
        <w:rPr>
          <w:rFonts w:hint="cs"/>
          <w:rtl/>
          <w:lang w:val="es-ES" w:bidi="ar-EG"/>
        </w:rPr>
        <w:t xml:space="preserve"> </w:t>
      </w:r>
      <w:r w:rsidR="00A73C71">
        <w:rPr>
          <w:rFonts w:hint="cs"/>
          <w:rtl/>
          <w:lang w:val="es-ES" w:bidi="ar-EG"/>
        </w:rPr>
        <w:t>ال</w:t>
      </w:r>
      <w:r w:rsidR="004F0A77">
        <w:rPr>
          <w:rFonts w:hint="cs"/>
          <w:rtl/>
          <w:lang w:val="es-ES" w:bidi="ar-EG"/>
        </w:rPr>
        <w:t>بلدان في نطاقات التردد ذاتها.</w:t>
      </w:r>
    </w:p>
    <w:p w14:paraId="1ADFBA67" w14:textId="07EE53B0" w:rsidR="00EC1889" w:rsidRPr="008F3437" w:rsidRDefault="00EC1889" w:rsidP="00EC1889">
      <w:pPr>
        <w:pStyle w:val="Note"/>
        <w:rPr>
          <w:rtl/>
        </w:rPr>
      </w:pPr>
      <w:r w:rsidRPr="00EC1889">
        <w:rPr>
          <w:rFonts w:hint="cs"/>
          <w:rtl/>
        </w:rPr>
        <w:t>"</w:t>
      </w:r>
      <w:r w:rsidRPr="005007EC">
        <w:rPr>
          <w:rFonts w:hint="cs"/>
          <w:b/>
          <w:bCs/>
          <w:rtl/>
        </w:rPr>
        <w:t xml:space="preserve">الملاحظة </w:t>
      </w:r>
      <w:r w:rsidRPr="005007EC">
        <w:rPr>
          <w:b/>
          <w:bCs/>
        </w:rPr>
        <w:t>5</w:t>
      </w:r>
      <w:r w:rsidRPr="005007EC">
        <w:rPr>
          <w:rFonts w:hint="cs"/>
          <w:b/>
          <w:bCs/>
          <w:rtl/>
        </w:rPr>
        <w:t xml:space="preserve"> </w:t>
      </w:r>
      <w:r w:rsidR="00BB70C2">
        <w:rPr>
          <w:rFonts w:hint="cs"/>
          <w:b/>
          <w:bCs/>
          <w:rtl/>
        </w:rPr>
        <w:t>-</w:t>
      </w:r>
      <w:r w:rsidRPr="008F3437">
        <w:rPr>
          <w:rFonts w:hint="cs"/>
          <w:rtl/>
        </w:rPr>
        <w:t xml:space="preserve"> توجد حالة فريدة في ترتيبي التردد </w:t>
      </w:r>
      <w:r w:rsidRPr="008F3437">
        <w:t>B6</w:t>
      </w:r>
      <w:r w:rsidRPr="008F3437">
        <w:rPr>
          <w:rFonts w:hint="cs"/>
          <w:rtl/>
        </w:rPr>
        <w:t xml:space="preserve"> و</w:t>
      </w:r>
      <w:r w:rsidRPr="008F3437">
        <w:t>B7</w:t>
      </w:r>
      <w:r w:rsidRPr="008F3437">
        <w:rPr>
          <w:rFonts w:hint="cs"/>
          <w:rtl/>
        </w:rPr>
        <w:t xml:space="preserve"> وأجزاء من الترتيبين </w:t>
      </w:r>
      <w:r w:rsidRPr="008F3437">
        <w:t>B3</w:t>
      </w:r>
      <w:r w:rsidRPr="008F3437">
        <w:rPr>
          <w:rFonts w:hint="cs"/>
          <w:rtl/>
        </w:rPr>
        <w:t xml:space="preserve"> و</w:t>
      </w:r>
      <w:r w:rsidRPr="008F3437">
        <w:t>B5</w:t>
      </w:r>
      <w:r w:rsidRPr="008F3437">
        <w:rPr>
          <w:rFonts w:hint="cs"/>
          <w:rtl/>
        </w:rPr>
        <w:t xml:space="preserve"> في النطاقين </w:t>
      </w:r>
      <w:r w:rsidR="00B7187B">
        <w:t>MHz</w:t>
      </w:r>
      <w:r w:rsidR="00B7187B">
        <w:t> </w:t>
      </w:r>
      <w:r w:rsidR="00B7187B">
        <w:t>2</w:t>
      </w:r>
      <w:r w:rsidR="00B7187B">
        <w:t> </w:t>
      </w:r>
      <w:r w:rsidR="00B7187B">
        <w:t>010</w:t>
      </w:r>
      <w:r w:rsidR="00B7187B">
        <w:noBreakHyphen/>
        <w:t>1</w:t>
      </w:r>
      <w:r w:rsidR="00B7187B">
        <w:t> </w:t>
      </w:r>
      <w:r w:rsidR="00B7187B">
        <w:t>980</w:t>
      </w:r>
      <w:r w:rsidRPr="008F3437">
        <w:rPr>
          <w:rFonts w:hint="cs"/>
          <w:rtl/>
        </w:rPr>
        <w:t xml:space="preserve"> و</w:t>
      </w:r>
      <w:r w:rsidRPr="008F3437">
        <w:t>MHz</w:t>
      </w:r>
      <w:r w:rsidRPr="008F3437">
        <w:t> </w:t>
      </w:r>
      <w:r w:rsidRPr="008F3437">
        <w:t>2</w:t>
      </w:r>
      <w:r w:rsidRPr="008F3437">
        <w:t> </w:t>
      </w:r>
      <w:r w:rsidRPr="008F3437">
        <w:t>200</w:t>
      </w:r>
      <w:r w:rsidRPr="008F3437">
        <w:noBreakHyphen/>
        <w:t>2</w:t>
      </w:r>
      <w:r w:rsidRPr="008F3437">
        <w:t> </w:t>
      </w:r>
      <w:r w:rsidRPr="008F3437">
        <w:t>170</w:t>
      </w:r>
      <w:r w:rsidRPr="008F3437">
        <w:rPr>
          <w:rFonts w:hint="cs"/>
          <w:rtl/>
        </w:rPr>
        <w:t xml:space="preserve"> </w:t>
      </w:r>
      <w:r w:rsidR="00BB70C2">
        <w:rPr>
          <w:rFonts w:hint="cs"/>
          <w:rtl/>
        </w:rPr>
        <w:t>اللذين تحددا</w:t>
      </w:r>
      <w:r w:rsidRPr="008F3437">
        <w:rPr>
          <w:rFonts w:hint="cs"/>
          <w:rtl/>
        </w:rPr>
        <w:t xml:space="preserve"> من أجل </w:t>
      </w:r>
      <w:r w:rsidR="00BB70C2">
        <w:rPr>
          <w:rFonts w:hint="cs"/>
          <w:rtl/>
        </w:rPr>
        <w:t>المكون الأرضي والمكون الساتلي</w:t>
      </w:r>
      <w:r w:rsidR="004445AA">
        <w:rPr>
          <w:rFonts w:hint="cs"/>
          <w:rtl/>
        </w:rPr>
        <w:t xml:space="preserve"> </w:t>
      </w:r>
      <w:r w:rsidRPr="008F3437">
        <w:rPr>
          <w:rFonts w:hint="cs"/>
          <w:rtl/>
        </w:rPr>
        <w:t>في الاتصالات المتنقلة الدولية على النحو المبين في</w:t>
      </w:r>
      <w:r w:rsidR="00102CFD">
        <w:rPr>
          <w:rFonts w:hint="eastAsia"/>
          <w:rtl/>
        </w:rPr>
        <w:t> </w:t>
      </w:r>
      <w:r w:rsidRPr="008F3437">
        <w:rPr>
          <w:rFonts w:hint="cs"/>
          <w:rtl/>
        </w:rPr>
        <w:t xml:space="preserve">القسم </w:t>
      </w:r>
      <w:r w:rsidRPr="004445AA">
        <w:rPr>
          <w:i/>
          <w:iCs/>
          <w:rtl/>
        </w:rPr>
        <w:t>وإذ تدرك</w:t>
      </w:r>
      <w:r w:rsidR="004445AA">
        <w:rPr>
          <w:rFonts w:hint="cs"/>
          <w:i/>
          <w:iCs/>
          <w:rtl/>
        </w:rPr>
        <w:t xml:space="preserve"> د)</w:t>
      </w:r>
      <w:r w:rsidRPr="008F3437">
        <w:rPr>
          <w:rtl/>
        </w:rPr>
        <w:t>.</w:t>
      </w:r>
      <w:r w:rsidRPr="008F3437">
        <w:rPr>
          <w:rFonts w:hint="cs"/>
          <w:rtl/>
        </w:rPr>
        <w:t xml:space="preserve"> </w:t>
      </w:r>
      <w:r w:rsidR="004445AA">
        <w:rPr>
          <w:rFonts w:hint="cs"/>
          <w:rtl/>
        </w:rPr>
        <w:t xml:space="preserve">فنشر مكونات أرضية </w:t>
      </w:r>
      <w:proofErr w:type="spellStart"/>
      <w:r w:rsidR="004445AA">
        <w:rPr>
          <w:rFonts w:hint="cs"/>
          <w:rtl/>
        </w:rPr>
        <w:t>وساتلية</w:t>
      </w:r>
      <w:proofErr w:type="spellEnd"/>
      <w:r w:rsidR="004445AA">
        <w:rPr>
          <w:rFonts w:hint="cs"/>
          <w:rtl/>
        </w:rPr>
        <w:t xml:space="preserve"> مستقلة </w:t>
      </w:r>
      <w:r w:rsidRPr="008F3437">
        <w:rPr>
          <w:rtl/>
        </w:rPr>
        <w:t xml:space="preserve">للاتصالات المتنقلة الدولية </w:t>
      </w:r>
      <w:r w:rsidR="004445AA">
        <w:rPr>
          <w:rFonts w:hint="cs"/>
          <w:rtl/>
        </w:rPr>
        <w:t>بتغطية مشتركة و</w:t>
      </w:r>
      <w:r w:rsidRPr="008F3437">
        <w:rPr>
          <w:rFonts w:hint="cs"/>
          <w:rtl/>
        </w:rPr>
        <w:t>ترددات مشتركة غير</w:t>
      </w:r>
      <w:r w:rsidR="00AA5B33">
        <w:rPr>
          <w:rFonts w:hint="eastAsia"/>
          <w:rtl/>
        </w:rPr>
        <w:t> </w:t>
      </w:r>
      <w:r w:rsidRPr="008F3437">
        <w:rPr>
          <w:rFonts w:hint="cs"/>
          <w:rtl/>
        </w:rPr>
        <w:t xml:space="preserve">ممكن ما لم تطبق تقنيات تخفيف ملائمة. وعند نشر </w:t>
      </w:r>
      <w:r w:rsidR="004445AA">
        <w:rPr>
          <w:rFonts w:hint="cs"/>
          <w:rtl/>
        </w:rPr>
        <w:t>هذه المكونات</w:t>
      </w:r>
      <w:r w:rsidRPr="008F3437">
        <w:rPr>
          <w:rFonts w:hint="cs"/>
          <w:rtl/>
        </w:rPr>
        <w:t xml:space="preserve"> في مناطق جغرافية متجاورة وفي نطاقات التردد نفسها، يتطلب الأمر تطبيق تدابير تقنية وتشغيلية عند الإبلاغ عن وجود تداخل ضار. </w:t>
      </w:r>
      <w:r w:rsidR="00FF26AB">
        <w:rPr>
          <w:rFonts w:hint="cs"/>
          <w:highlight w:val="cyan"/>
          <w:rtl/>
        </w:rPr>
        <w:t>[</w:t>
      </w:r>
      <w:r w:rsidRPr="00B0401B">
        <w:rPr>
          <w:rFonts w:hint="cs"/>
          <w:highlight w:val="cyan"/>
          <w:rtl/>
        </w:rPr>
        <w:t>يقوم قطاع الاتصالات الراديوية حالياً بإجراء المزيد من</w:t>
      </w:r>
      <w:r w:rsidR="00102CFD">
        <w:rPr>
          <w:rFonts w:hint="eastAsia"/>
          <w:highlight w:val="cyan"/>
          <w:rtl/>
        </w:rPr>
        <w:t> </w:t>
      </w:r>
      <w:r w:rsidRPr="004F0A77">
        <w:rPr>
          <w:rFonts w:hint="cs"/>
          <w:highlight w:val="cyan"/>
          <w:rtl/>
        </w:rPr>
        <w:t>الدراسا</w:t>
      </w:r>
      <w:r w:rsidR="004F0A77" w:rsidRPr="004F0A77">
        <w:rPr>
          <w:rFonts w:hint="cs"/>
          <w:highlight w:val="cyan"/>
          <w:rtl/>
        </w:rPr>
        <w:t>ت.</w:t>
      </w:r>
      <w:r w:rsidR="00FF26AB">
        <w:rPr>
          <w:rFonts w:hint="cs"/>
          <w:rtl/>
        </w:rPr>
        <w:t>]</w:t>
      </w:r>
      <w:r w:rsidRPr="004F0A77">
        <w:rPr>
          <w:rFonts w:hint="cs"/>
          <w:rtl/>
        </w:rPr>
        <w:t>"</w:t>
      </w:r>
    </w:p>
    <w:p w14:paraId="3C623CD8" w14:textId="53279610" w:rsidR="006A640D" w:rsidRDefault="00324B4F" w:rsidP="00324B4F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sectPr w:rsidR="006A640D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E41B" w14:textId="77777777" w:rsidR="003948B1" w:rsidRDefault="003948B1" w:rsidP="002919E1">
      <w:r>
        <w:separator/>
      </w:r>
    </w:p>
    <w:p w14:paraId="69E6CDA7" w14:textId="77777777" w:rsidR="003948B1" w:rsidRDefault="003948B1" w:rsidP="002919E1"/>
    <w:p w14:paraId="566C6472" w14:textId="77777777" w:rsidR="003948B1" w:rsidRDefault="003948B1" w:rsidP="002919E1"/>
    <w:p w14:paraId="17564F05" w14:textId="77777777" w:rsidR="003948B1" w:rsidRDefault="003948B1"/>
  </w:endnote>
  <w:endnote w:type="continuationSeparator" w:id="0">
    <w:p w14:paraId="6BE448BE" w14:textId="77777777" w:rsidR="003948B1" w:rsidRDefault="003948B1" w:rsidP="002919E1">
      <w:r>
        <w:continuationSeparator/>
      </w:r>
    </w:p>
    <w:p w14:paraId="2FC783B5" w14:textId="77777777" w:rsidR="003948B1" w:rsidRDefault="003948B1" w:rsidP="002919E1"/>
    <w:p w14:paraId="141472C6" w14:textId="77777777" w:rsidR="003948B1" w:rsidRDefault="003948B1" w:rsidP="002919E1"/>
    <w:p w14:paraId="6F83DC5C" w14:textId="77777777" w:rsidR="003948B1" w:rsidRDefault="0039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42004FEF" w:rsidR="006A640D" w:rsidRPr="00D10EA0" w:rsidRDefault="00D10EA0" w:rsidP="00D10EA0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86441">
      <w:rPr>
        <w:noProof/>
      </w:rPr>
      <w:t>P:\ARA\ITU-R\CONF-R\AR19\PLEN\000\023A.docx</w:t>
    </w:r>
    <w:r>
      <w:fldChar w:fldCharType="end"/>
    </w:r>
    <w:proofErr w:type="gramStart"/>
    <w:r w:rsidRPr="00A809E8">
      <w:t xml:space="preserve">   (</w:t>
    </w:r>
    <w:proofErr w:type="gramEnd"/>
    <w:r>
      <w:t>461587</w:t>
    </w:r>
    <w:r w:rsidRPr="00A809E8">
      <w:t>)</w:t>
    </w:r>
    <w:r w:rsidR="00AA5B33" w:rsidRPr="00D10EA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304B2F55" w:rsidR="00281F5F" w:rsidRPr="00A809E8" w:rsidRDefault="00281F5F" w:rsidP="00D10EA0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86441">
      <w:rPr>
        <w:noProof/>
      </w:rPr>
      <w:t>P:\ARA\ITU-R\CONF-R\AR19\PLEN\000\023A.docx</w:t>
    </w:r>
    <w:r>
      <w:fldChar w:fldCharType="end"/>
    </w:r>
    <w:proofErr w:type="gramStart"/>
    <w:r w:rsidRPr="00A809E8">
      <w:t xml:space="preserve">   (</w:t>
    </w:r>
    <w:proofErr w:type="gramEnd"/>
    <w:r w:rsidR="00D10EA0">
      <w:t>461587</w:t>
    </w:r>
    <w:r w:rsidRPr="00A809E8">
      <w:t>)</w:t>
    </w:r>
    <w:r w:rsidR="00AA5B33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FEAC" w14:textId="77777777" w:rsidR="003948B1" w:rsidRDefault="003948B1" w:rsidP="002919E1">
      <w:r>
        <w:t>___________________</w:t>
      </w:r>
    </w:p>
  </w:footnote>
  <w:footnote w:type="continuationSeparator" w:id="0">
    <w:p w14:paraId="29ED9B10" w14:textId="77777777" w:rsidR="003948B1" w:rsidRDefault="003948B1" w:rsidP="002919E1">
      <w:r>
        <w:continuationSeparator/>
      </w:r>
    </w:p>
    <w:p w14:paraId="1B626E96" w14:textId="77777777" w:rsidR="003948B1" w:rsidRDefault="003948B1" w:rsidP="002919E1"/>
    <w:p w14:paraId="2A3925B1" w14:textId="77777777" w:rsidR="003948B1" w:rsidRDefault="003948B1" w:rsidP="002919E1"/>
    <w:p w14:paraId="6D67CFCA" w14:textId="77777777" w:rsidR="003948B1" w:rsidRDefault="0039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281F5F" w:rsidRDefault="00281F5F" w:rsidP="002919E1"/>
  <w:p w14:paraId="044D3BA6" w14:textId="77777777" w:rsidR="00281F5F" w:rsidRDefault="00281F5F" w:rsidP="002919E1"/>
  <w:p w14:paraId="21F6116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6158CF3C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BD67C0">
      <w:rPr>
        <w:rStyle w:val="PageNumber"/>
      </w:rPr>
      <w:t>/PLEN</w:t>
    </w:r>
    <w:r w:rsidR="00A809E8">
      <w:rPr>
        <w:rStyle w:val="PageNumber"/>
      </w:rPr>
      <w:t>/</w:t>
    </w:r>
    <w:r w:rsidR="00353792">
      <w:rPr>
        <w:rStyle w:val="PageNumber"/>
        <w:rFonts w:hint="cs"/>
        <w:rtl/>
      </w:rPr>
      <w:t>2</w:t>
    </w:r>
    <w:r w:rsidR="00D10EA0">
      <w:rPr>
        <w:rStyle w:val="PageNumber"/>
      </w:rPr>
      <w:t>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54D9D"/>
    <w:rsid w:val="0006446A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2CFD"/>
    <w:rsid w:val="0010363F"/>
    <w:rsid w:val="001464F2"/>
    <w:rsid w:val="001576CF"/>
    <w:rsid w:val="00167364"/>
    <w:rsid w:val="00186367"/>
    <w:rsid w:val="001903B2"/>
    <w:rsid w:val="00192871"/>
    <w:rsid w:val="001C5138"/>
    <w:rsid w:val="001C693E"/>
    <w:rsid w:val="001E190C"/>
    <w:rsid w:val="001E51EE"/>
    <w:rsid w:val="001E54F6"/>
    <w:rsid w:val="001E5A8C"/>
    <w:rsid w:val="00201A0A"/>
    <w:rsid w:val="002075D4"/>
    <w:rsid w:val="0021001C"/>
    <w:rsid w:val="00211B2A"/>
    <w:rsid w:val="002333A0"/>
    <w:rsid w:val="00237E21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5C5D"/>
    <w:rsid w:val="002E61C2"/>
    <w:rsid w:val="002E7E8D"/>
    <w:rsid w:val="002F7960"/>
    <w:rsid w:val="00324B4F"/>
    <w:rsid w:val="0033737F"/>
    <w:rsid w:val="003438C5"/>
    <w:rsid w:val="00353652"/>
    <w:rsid w:val="00353792"/>
    <w:rsid w:val="003569E1"/>
    <w:rsid w:val="003815E2"/>
    <w:rsid w:val="00381FAD"/>
    <w:rsid w:val="00382A66"/>
    <w:rsid w:val="003923B1"/>
    <w:rsid w:val="003948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445AA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F0A77"/>
    <w:rsid w:val="004F144D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0300C"/>
    <w:rsid w:val="00613492"/>
    <w:rsid w:val="006264E6"/>
    <w:rsid w:val="006315B5"/>
    <w:rsid w:val="00642F92"/>
    <w:rsid w:val="0065562F"/>
    <w:rsid w:val="00680A66"/>
    <w:rsid w:val="00681391"/>
    <w:rsid w:val="0068324C"/>
    <w:rsid w:val="006A12AC"/>
    <w:rsid w:val="006A2162"/>
    <w:rsid w:val="006A640D"/>
    <w:rsid w:val="006B106F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279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20FC"/>
    <w:rsid w:val="008261C2"/>
    <w:rsid w:val="00830D96"/>
    <w:rsid w:val="00831FC1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2C8A"/>
    <w:rsid w:val="008C3818"/>
    <w:rsid w:val="008D6ACC"/>
    <w:rsid w:val="008D7AF0"/>
    <w:rsid w:val="008D7FE3"/>
    <w:rsid w:val="008E32DD"/>
    <w:rsid w:val="008F4626"/>
    <w:rsid w:val="009004DF"/>
    <w:rsid w:val="00904AA5"/>
    <w:rsid w:val="00951718"/>
    <w:rsid w:val="00960962"/>
    <w:rsid w:val="00962CF7"/>
    <w:rsid w:val="00972CE0"/>
    <w:rsid w:val="00975A6B"/>
    <w:rsid w:val="0099652E"/>
    <w:rsid w:val="009A3D30"/>
    <w:rsid w:val="009B7FC7"/>
    <w:rsid w:val="009D6348"/>
    <w:rsid w:val="009E30AC"/>
    <w:rsid w:val="009E4D70"/>
    <w:rsid w:val="009E5D51"/>
    <w:rsid w:val="009E613F"/>
    <w:rsid w:val="009F042B"/>
    <w:rsid w:val="00A03FD6"/>
    <w:rsid w:val="00A116A8"/>
    <w:rsid w:val="00A12F7F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67638"/>
    <w:rsid w:val="00A73C71"/>
    <w:rsid w:val="00A809E8"/>
    <w:rsid w:val="00A870AD"/>
    <w:rsid w:val="00A90843"/>
    <w:rsid w:val="00A9645C"/>
    <w:rsid w:val="00AA5B33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401B"/>
    <w:rsid w:val="00B07CEE"/>
    <w:rsid w:val="00B12661"/>
    <w:rsid w:val="00B1714C"/>
    <w:rsid w:val="00B357E9"/>
    <w:rsid w:val="00B365D2"/>
    <w:rsid w:val="00B4164D"/>
    <w:rsid w:val="00B425C1"/>
    <w:rsid w:val="00B606BA"/>
    <w:rsid w:val="00B66817"/>
    <w:rsid w:val="00B7187B"/>
    <w:rsid w:val="00B71E3B"/>
    <w:rsid w:val="00B721D5"/>
    <w:rsid w:val="00B81CB5"/>
    <w:rsid w:val="00B8351F"/>
    <w:rsid w:val="00B86C44"/>
    <w:rsid w:val="00B9727C"/>
    <w:rsid w:val="00BA7D44"/>
    <w:rsid w:val="00BB70C2"/>
    <w:rsid w:val="00BD67C0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10EA0"/>
    <w:rsid w:val="00D25120"/>
    <w:rsid w:val="00D414FC"/>
    <w:rsid w:val="00D419CB"/>
    <w:rsid w:val="00D44350"/>
    <w:rsid w:val="00D44D66"/>
    <w:rsid w:val="00D44E3F"/>
    <w:rsid w:val="00D525F5"/>
    <w:rsid w:val="00D535D0"/>
    <w:rsid w:val="00D577D8"/>
    <w:rsid w:val="00D62C78"/>
    <w:rsid w:val="00D81703"/>
    <w:rsid w:val="00D82929"/>
    <w:rsid w:val="00D84214"/>
    <w:rsid w:val="00D86441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92729"/>
    <w:rsid w:val="00EA1B76"/>
    <w:rsid w:val="00EA77D7"/>
    <w:rsid w:val="00EC09B9"/>
    <w:rsid w:val="00EC188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73551"/>
    <w:rsid w:val="00F73981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E0233"/>
    <w:rsid w:val="00FF26A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4F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pPr>
      <w:framePr w:wrap="around"/>
    </w:pPr>
    <w:rPr>
      <w:b w:val="0"/>
    </w:rPr>
  </w:style>
  <w:style w:type="paragraph" w:customStyle="1" w:styleId="Rectitle">
    <w:name w:val="Rec_title"/>
    <w:basedOn w:val="Annextitle"/>
    <w:autoRedefine/>
    <w:qFormat/>
    <w:rsid w:val="00A12F7F"/>
    <w:pPr>
      <w:framePr w:hSpace="181" w:wrap="around" w:vAnchor="page" w:hAnchor="text" w:xAlign="right" w:y="721"/>
      <w:spacing w:before="0"/>
    </w:pPr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pPr>
      <w:framePr w:wrap="around"/>
    </w:pPr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  <w:pPr>
      <w:framePr w:wrap="around"/>
    </w:pPr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framePr w:wrap="around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meetingdoc.asp?lang=en&amp;parent=R15-SG05-C-01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996b2e75-67fd-4955-a3b0-5ab9934cb50b"/>
    <ds:schemaRef ds:uri="http://purl.org/dc/terms/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57618-98F5-499B-935A-AB143EEA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733</Words>
  <Characters>3908</Characters>
  <Application>Microsoft Office Word</Application>
  <DocSecurity>0</DocSecurity>
  <Lines>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Arabic</cp:lastModifiedBy>
  <cp:revision>22</cp:revision>
  <cp:lastPrinted>2011-11-07T13:53:00Z</cp:lastPrinted>
  <dcterms:created xsi:type="dcterms:W3CDTF">2019-10-16T14:04:00Z</dcterms:created>
  <dcterms:modified xsi:type="dcterms:W3CDTF">2019-10-17T06:53:00Z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