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C23B5E" w14:paraId="39CCC3B4" w14:textId="77777777">
        <w:trPr>
          <w:cantSplit/>
        </w:trPr>
        <w:tc>
          <w:tcPr>
            <w:tcW w:w="6345" w:type="dxa"/>
          </w:tcPr>
          <w:p w14:paraId="35D63BAF" w14:textId="77777777" w:rsidR="00E307F2" w:rsidRPr="00C23B5E" w:rsidRDefault="00E307F2" w:rsidP="00D45449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C23B5E">
              <w:rPr>
                <w:rFonts w:ascii="Verdana" w:hAnsi="Verdana" w:cs="Times New Roman Bold"/>
                <w:b/>
                <w:szCs w:val="24"/>
                <w:lang w:val="es-ES"/>
              </w:rPr>
              <w:t>Asamblea de Radiocomunicaciones (AR-19)</w:t>
            </w:r>
            <w:r w:rsidRPr="00C23B5E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 xml:space="preserve"> </w:t>
            </w:r>
            <w:r w:rsidRPr="00C23B5E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22505D" w:rsidRPr="00C23B5E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Sharm el-Sheikh (Egipto),</w:t>
            </w:r>
            <w:r w:rsidR="0022505D" w:rsidRPr="00C23B5E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C23B5E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21-25 de octubre de 2019</w:t>
            </w:r>
          </w:p>
        </w:tc>
        <w:tc>
          <w:tcPr>
            <w:tcW w:w="3686" w:type="dxa"/>
          </w:tcPr>
          <w:p w14:paraId="76BC887B" w14:textId="77777777" w:rsidR="00E307F2" w:rsidRPr="00C23B5E" w:rsidRDefault="00E307F2" w:rsidP="00D45449">
            <w:pPr>
              <w:jc w:val="right"/>
              <w:rPr>
                <w:lang w:val="es-ES"/>
              </w:rPr>
            </w:pPr>
            <w:r w:rsidRPr="00C23B5E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00F0567D" wp14:editId="1F329D9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C23B5E" w14:paraId="621DFC2A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F7CB551" w14:textId="77777777" w:rsidR="00E307F2" w:rsidRPr="00C23B5E" w:rsidRDefault="00E307F2" w:rsidP="00D45449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E44D7F6" w14:textId="77777777" w:rsidR="00E307F2" w:rsidRPr="00C23B5E" w:rsidRDefault="00E307F2" w:rsidP="00D45449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E307F2" w:rsidRPr="00C23B5E" w14:paraId="6FE09A13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335FC494" w14:textId="77777777" w:rsidR="00E307F2" w:rsidRPr="00C23B5E" w:rsidRDefault="00E307F2" w:rsidP="00D4544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C053C20" w14:textId="77777777" w:rsidR="00E307F2" w:rsidRPr="00C23B5E" w:rsidRDefault="00E307F2" w:rsidP="00D45449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E307F2" w:rsidRPr="00C23B5E" w14:paraId="61248295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1683ADE3" w14:textId="77777777" w:rsidR="00BA3DBD" w:rsidRPr="00C23B5E" w:rsidRDefault="00BA3DBD" w:rsidP="00D4544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23B5E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686" w:type="dxa"/>
          </w:tcPr>
          <w:p w14:paraId="54B28EFE" w14:textId="77777777" w:rsidR="00E307F2" w:rsidRPr="00C23B5E" w:rsidRDefault="0022505D" w:rsidP="00D4544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23B5E">
              <w:rPr>
                <w:rFonts w:ascii="Verdana" w:hAnsi="Verdana"/>
                <w:b/>
                <w:sz w:val="20"/>
                <w:lang w:val="es-ES"/>
              </w:rPr>
              <w:t>Documento RA19/</w:t>
            </w:r>
            <w:r w:rsidR="00F27083" w:rsidRPr="00C23B5E">
              <w:rPr>
                <w:rFonts w:ascii="Verdana" w:hAnsi="Verdana"/>
                <w:b/>
                <w:sz w:val="20"/>
                <w:lang w:val="es-ES"/>
              </w:rPr>
              <w:t>PLEN/17</w:t>
            </w:r>
            <w:r w:rsidRPr="00C23B5E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E307F2" w:rsidRPr="00C23B5E" w14:paraId="20B7BADC" w14:textId="77777777">
        <w:trPr>
          <w:cantSplit/>
          <w:trHeight w:val="23"/>
        </w:trPr>
        <w:tc>
          <w:tcPr>
            <w:tcW w:w="6345" w:type="dxa"/>
            <w:vMerge/>
          </w:tcPr>
          <w:p w14:paraId="50B285F0" w14:textId="77777777" w:rsidR="00E307F2" w:rsidRPr="00C23B5E" w:rsidRDefault="00E307F2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  <w:pPrChange w:id="0" w:author="Spanish" w:date="2019-09-30T09:19:00Z">
                <w:pPr>
                  <w:framePr w:hSpace="180" w:wrap="around" w:hAnchor="margin" w:y="-675"/>
                  <w:tabs>
                    <w:tab w:val="left" w:pos="851"/>
                  </w:tabs>
                  <w:spacing w:before="0" w:line="240" w:lineRule="atLeast"/>
                </w:pPr>
              </w:pPrChange>
            </w:pPr>
          </w:p>
        </w:tc>
        <w:tc>
          <w:tcPr>
            <w:tcW w:w="3686" w:type="dxa"/>
          </w:tcPr>
          <w:p w14:paraId="6BC93308" w14:textId="53B863DA" w:rsidR="00E307F2" w:rsidRPr="00C23B5E" w:rsidRDefault="00F27083" w:rsidP="008F013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23B5E">
              <w:rPr>
                <w:rFonts w:ascii="Verdana" w:hAnsi="Verdana"/>
                <w:b/>
                <w:sz w:val="20"/>
                <w:lang w:val="es-ES"/>
              </w:rPr>
              <w:t>2</w:t>
            </w:r>
            <w:r w:rsidR="00BA00E1" w:rsidRPr="00C23B5E">
              <w:rPr>
                <w:rFonts w:ascii="Verdana" w:hAnsi="Verdana"/>
                <w:b/>
                <w:sz w:val="20"/>
                <w:lang w:val="es-ES"/>
              </w:rPr>
              <w:t>5</w:t>
            </w:r>
            <w:r w:rsidR="0022505D" w:rsidRPr="00C23B5E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Pr="00C23B5E">
              <w:rPr>
                <w:rFonts w:ascii="Verdana" w:hAnsi="Verdana"/>
                <w:b/>
                <w:sz w:val="20"/>
                <w:lang w:val="es-ES"/>
              </w:rPr>
              <w:t>septiembre</w:t>
            </w:r>
            <w:r w:rsidR="0022505D" w:rsidRPr="00C23B5E">
              <w:rPr>
                <w:rFonts w:ascii="Verdana" w:hAnsi="Verdana"/>
                <w:b/>
                <w:sz w:val="20"/>
                <w:lang w:val="es-ES"/>
              </w:rPr>
              <w:t xml:space="preserve"> de 201</w:t>
            </w:r>
            <w:r w:rsidR="00B5074A" w:rsidRPr="00C23B5E">
              <w:rPr>
                <w:rFonts w:ascii="Verdana" w:hAnsi="Verdana"/>
                <w:b/>
                <w:sz w:val="20"/>
                <w:lang w:val="es-ES"/>
              </w:rPr>
              <w:t>9</w:t>
            </w:r>
          </w:p>
        </w:tc>
      </w:tr>
      <w:tr w:rsidR="00E307F2" w:rsidRPr="00C23B5E" w14:paraId="477F4A11" w14:textId="77777777">
        <w:trPr>
          <w:cantSplit/>
          <w:trHeight w:val="23"/>
        </w:trPr>
        <w:tc>
          <w:tcPr>
            <w:tcW w:w="6345" w:type="dxa"/>
            <w:vMerge/>
          </w:tcPr>
          <w:p w14:paraId="438854A0" w14:textId="77777777" w:rsidR="00E307F2" w:rsidRPr="00C23B5E" w:rsidRDefault="00E307F2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  <w:pPrChange w:id="1" w:author="Spanish" w:date="2019-09-30T09:19:00Z">
                <w:pPr>
                  <w:framePr w:hSpace="180" w:wrap="around" w:hAnchor="margin" w:y="-675"/>
                  <w:tabs>
                    <w:tab w:val="left" w:pos="851"/>
                  </w:tabs>
                  <w:spacing w:before="0" w:line="240" w:lineRule="atLeast"/>
                </w:pPr>
              </w:pPrChange>
            </w:pPr>
          </w:p>
        </w:tc>
        <w:tc>
          <w:tcPr>
            <w:tcW w:w="3686" w:type="dxa"/>
          </w:tcPr>
          <w:p w14:paraId="60235BA2" w14:textId="77777777" w:rsidR="00E307F2" w:rsidRPr="00C23B5E" w:rsidRDefault="0022505D" w:rsidP="008F013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23B5E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BA3DBD" w:rsidRPr="00C23B5E" w14:paraId="09C7455D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79493D72" w14:textId="77777777" w:rsidR="00BA3DBD" w:rsidRPr="00C23B5E" w:rsidRDefault="00F27083" w:rsidP="008F013B">
            <w:pPr>
              <w:pStyle w:val="Source"/>
              <w:rPr>
                <w:lang w:val="es-ES"/>
              </w:rPr>
            </w:pPr>
            <w:r w:rsidRPr="00C23B5E">
              <w:rPr>
                <w:lang w:val="es-ES"/>
              </w:rPr>
              <w:t>Canadá</w:t>
            </w:r>
          </w:p>
        </w:tc>
      </w:tr>
      <w:tr w:rsidR="00BA3DBD" w:rsidRPr="00C23B5E" w14:paraId="2F2576F6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3CBCB982" w14:textId="3CB2F928" w:rsidR="00BA3DBD" w:rsidRPr="00C23B5E" w:rsidRDefault="00BA00E1" w:rsidP="008F013B">
            <w:pPr>
              <w:pStyle w:val="Title1"/>
              <w:rPr>
                <w:lang w:val="es-ES"/>
              </w:rPr>
            </w:pPr>
            <w:r w:rsidRPr="00C23B5E">
              <w:rPr>
                <w:lang w:val="es-ES"/>
              </w:rPr>
              <w:t xml:space="preserve">propuesta de proyecto de nueva resolución UIT-R </w:t>
            </w:r>
            <w:r w:rsidR="00D32D4F" w:rsidRPr="00C23B5E">
              <w:rPr>
                <w:lang w:val="es-ES"/>
              </w:rPr>
              <w:t>RELATIVA A</w:t>
            </w:r>
            <w:r w:rsidRPr="00C23B5E">
              <w:rPr>
                <w:lang w:val="es-ES"/>
              </w:rPr>
              <w:t xml:space="preserve"> los estudios sobre la implantación y utilización de sistemas de radiocomunicaciones que operan por encima de 275 GHz</w:t>
            </w:r>
          </w:p>
        </w:tc>
      </w:tr>
      <w:tr w:rsidR="00BA3DBD" w:rsidRPr="00C23B5E" w14:paraId="10C8071B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4B5180D3" w14:textId="77777777" w:rsidR="00BA3DBD" w:rsidRPr="00C23B5E" w:rsidRDefault="00BA3DBD" w:rsidP="008F013B">
            <w:pPr>
              <w:pStyle w:val="Title2"/>
              <w:rPr>
                <w:lang w:val="es-ES"/>
              </w:rPr>
            </w:pPr>
          </w:p>
        </w:tc>
      </w:tr>
    </w:tbl>
    <w:p w14:paraId="64C5523A" w14:textId="376526BB" w:rsidR="00E307F2" w:rsidRPr="00C23B5E" w:rsidRDefault="00887904">
      <w:pPr>
        <w:pStyle w:val="Headingb"/>
        <w:rPr>
          <w:lang w:val="es-ES"/>
        </w:rPr>
      </w:pPr>
      <w:r w:rsidRPr="00C23B5E">
        <w:rPr>
          <w:lang w:val="es-ES"/>
        </w:rPr>
        <w:t>Antecedentes y discusión</w:t>
      </w:r>
    </w:p>
    <w:p w14:paraId="5E6B91F1" w14:textId="5D965803" w:rsidR="001C2133" w:rsidRPr="00C23B5E" w:rsidRDefault="00BA00E1" w:rsidP="00D45449">
      <w:pPr>
        <w:rPr>
          <w:lang w:val="es-ES"/>
        </w:rPr>
      </w:pPr>
      <w:r w:rsidRPr="00C23B5E">
        <w:rPr>
          <w:lang w:val="es-ES"/>
        </w:rPr>
        <w:t>Aunque el RR no se ocupa de atribuciones de frecuencia</w:t>
      </w:r>
      <w:r w:rsidR="008B4B57" w:rsidRPr="00C23B5E">
        <w:rPr>
          <w:lang w:val="es-ES"/>
        </w:rPr>
        <w:t>s</w:t>
      </w:r>
      <w:r w:rsidRPr="00C23B5E">
        <w:rPr>
          <w:lang w:val="es-ES"/>
        </w:rPr>
        <w:t xml:space="preserve"> por encima de 275 GHz, se han identificado algunas bandas para que las administraciones las utilicen en aplicaciones de servicios pasivos (véase el número </w:t>
      </w:r>
      <w:r w:rsidRPr="00C23B5E">
        <w:rPr>
          <w:b/>
          <w:bCs/>
          <w:lang w:val="es-ES"/>
        </w:rPr>
        <w:t>5.565</w:t>
      </w:r>
      <w:r w:rsidRPr="00C23B5E">
        <w:rPr>
          <w:lang w:val="es-ES"/>
        </w:rPr>
        <w:t>). La utilización de la gama 275-1 000 GHz por los servicios pasivos no excluye la utilización de esta gama por los servicios activos</w:t>
      </w:r>
      <w:r w:rsidR="00437FB8" w:rsidRPr="00C23B5E">
        <w:rPr>
          <w:lang w:val="es-ES"/>
        </w:rPr>
        <w:t xml:space="preserve">, y los servicios tanto activos como pasivos pueden utilizar todas las frecuencias de la gama 1 000-3 000 GHz. </w:t>
      </w:r>
      <w:r w:rsidR="002E4656" w:rsidRPr="00C23B5E">
        <w:rPr>
          <w:lang w:val="es-ES"/>
        </w:rPr>
        <w:t>Además</w:t>
      </w:r>
      <w:r w:rsidR="00437FB8" w:rsidRPr="00C23B5E">
        <w:rPr>
          <w:lang w:val="es-ES"/>
        </w:rPr>
        <w:t xml:space="preserve">, el punto 1.15 del orden del día de la CMR-19 pide que </w:t>
      </w:r>
      <w:r w:rsidR="00B24302" w:rsidRPr="00C23B5E">
        <w:rPr>
          <w:lang w:val="es-ES"/>
        </w:rPr>
        <w:t xml:space="preserve">se </w:t>
      </w:r>
      <w:r w:rsidR="00437FB8" w:rsidRPr="00C23B5E">
        <w:rPr>
          <w:lang w:val="es-ES"/>
        </w:rPr>
        <w:t xml:space="preserve">realicen estudios </w:t>
      </w:r>
      <w:r w:rsidR="008C2AC3" w:rsidRPr="00C23B5E">
        <w:rPr>
          <w:lang w:val="es-ES"/>
        </w:rPr>
        <w:t>con el fin de identificar</w:t>
      </w:r>
      <w:r w:rsidR="001C2133" w:rsidRPr="00C23B5E">
        <w:rPr>
          <w:lang w:val="es-ES"/>
        </w:rPr>
        <w:t xml:space="preserve"> bandas de frecuencias para su utilización por las administraciones </w:t>
      </w:r>
      <w:r w:rsidR="008C2AC3" w:rsidRPr="00C23B5E">
        <w:rPr>
          <w:lang w:val="es-ES"/>
        </w:rPr>
        <w:t>en</w:t>
      </w:r>
      <w:r w:rsidR="001C2133" w:rsidRPr="00C23B5E">
        <w:rPr>
          <w:lang w:val="es-ES"/>
        </w:rPr>
        <w:t xml:space="preserve"> las aplicaciones de los servicios móvil terrestre y fijo que funcionan en la gama de frecuencias 275-450 GHz, de conformidad con la Resolución </w:t>
      </w:r>
      <w:r w:rsidR="001C2133" w:rsidRPr="00C23B5E">
        <w:rPr>
          <w:b/>
          <w:lang w:val="es-ES"/>
        </w:rPr>
        <w:t>767 (CMR-15)</w:t>
      </w:r>
      <w:r w:rsidR="00437FB8" w:rsidRPr="00C23B5E">
        <w:rPr>
          <w:bCs/>
          <w:lang w:val="es-ES"/>
        </w:rPr>
        <w:t>, lo que podría dar lugar a identificaciones de frecuencia nuevas.</w:t>
      </w:r>
    </w:p>
    <w:p w14:paraId="064DFC9E" w14:textId="4E2D0105" w:rsidR="00F27083" w:rsidRPr="00C23B5E" w:rsidRDefault="00217E9C">
      <w:pPr>
        <w:rPr>
          <w:lang w:val="es-ES"/>
        </w:rPr>
      </w:pPr>
      <w:r w:rsidRPr="00C23B5E">
        <w:rPr>
          <w:lang w:val="es-ES"/>
        </w:rPr>
        <w:t>Además, varias Cuestiones de estudio del UIT</w:t>
      </w:r>
      <w:r w:rsidR="001915B0" w:rsidRPr="00C23B5E">
        <w:rPr>
          <w:lang w:val="es-ES"/>
        </w:rPr>
        <w:noBreakHyphen/>
      </w:r>
      <w:r w:rsidRPr="00C23B5E">
        <w:rPr>
          <w:lang w:val="es-ES"/>
        </w:rPr>
        <w:t>R se ocupan de aspectos relacionados con la propagación y las características técnicas y operativas de los sistemas que funcionan por encima de 275 GHz:</w:t>
      </w:r>
    </w:p>
    <w:p w14:paraId="14ADBF20" w14:textId="14A41EBC" w:rsidR="00013FEF" w:rsidRPr="00C23B5E" w:rsidRDefault="00554458" w:rsidP="00695837">
      <w:pPr>
        <w:rPr>
          <w:lang w:val="es-ES"/>
        </w:rPr>
      </w:pPr>
      <w:hyperlink r:id="rId9" w:history="1">
        <w:r w:rsidR="00013FEF" w:rsidRPr="00C23B5E">
          <w:rPr>
            <w:rStyle w:val="Hyperlink"/>
            <w:lang w:val="es-ES"/>
          </w:rPr>
          <w:t>Cuestión UIT-R 237/1</w:t>
        </w:r>
      </w:hyperlink>
      <w:r w:rsidR="00013FEF" w:rsidRPr="00C23B5E">
        <w:rPr>
          <w:lang w:val="es-ES"/>
        </w:rPr>
        <w:t xml:space="preserve"> – Características técnicas y de funcionamiento de los servicios activos que funcionan en la gama 275-1 000 GHz.</w:t>
      </w:r>
    </w:p>
    <w:p w14:paraId="6889F4E8" w14:textId="49A481B8" w:rsidR="00013FEF" w:rsidRPr="00C23B5E" w:rsidRDefault="00554458" w:rsidP="00695837">
      <w:pPr>
        <w:rPr>
          <w:lang w:val="es-ES"/>
        </w:rPr>
      </w:pPr>
      <w:hyperlink r:id="rId10" w:history="1">
        <w:r w:rsidR="00013FEF" w:rsidRPr="00C23B5E">
          <w:rPr>
            <w:rStyle w:val="Hyperlink"/>
            <w:lang w:val="es-ES"/>
          </w:rPr>
          <w:t>Cuestión UIT-R 228/3</w:t>
        </w:r>
      </w:hyperlink>
      <w:r w:rsidR="00013FEF" w:rsidRPr="00C23B5E">
        <w:rPr>
          <w:lang w:val="es-ES"/>
        </w:rPr>
        <w:t xml:space="preserve"> – Datos de propagación requeridos para la planificación de los sistemas de radiocomunicaciones que funcionan por encima de 275 GHz.</w:t>
      </w:r>
    </w:p>
    <w:p w14:paraId="0F8550A9" w14:textId="27BEA019" w:rsidR="00013FEF" w:rsidRPr="00C23B5E" w:rsidRDefault="00554458" w:rsidP="00695837">
      <w:pPr>
        <w:rPr>
          <w:lang w:val="es-ES"/>
        </w:rPr>
      </w:pPr>
      <w:hyperlink r:id="rId11" w:history="1">
        <w:r w:rsidR="00013FEF" w:rsidRPr="00C23B5E">
          <w:rPr>
            <w:rStyle w:val="Hyperlink"/>
            <w:lang w:val="es-ES"/>
          </w:rPr>
          <w:t>Cuestión UIT-R 264/4</w:t>
        </w:r>
      </w:hyperlink>
      <w:r w:rsidR="00013FEF" w:rsidRPr="00C23B5E">
        <w:rPr>
          <w:lang w:val="es-ES"/>
        </w:rPr>
        <w:t xml:space="preserve"> – Características técnicas y operacionales de las redes del servicio fijo por satélite que funcionan por encima de 275 GHz.</w:t>
      </w:r>
    </w:p>
    <w:p w14:paraId="087417D9" w14:textId="2193FFD7" w:rsidR="00013FEF" w:rsidRPr="00C23B5E" w:rsidRDefault="00554458" w:rsidP="00695837">
      <w:pPr>
        <w:rPr>
          <w:lang w:val="es-ES"/>
        </w:rPr>
      </w:pPr>
      <w:hyperlink r:id="rId12" w:history="1">
        <w:r w:rsidR="00AF0841" w:rsidRPr="00C23B5E">
          <w:rPr>
            <w:rStyle w:val="Hyperlink"/>
            <w:lang w:val="es-ES"/>
          </w:rPr>
          <w:t>Cuestión UIT-R 256/5</w:t>
        </w:r>
      </w:hyperlink>
      <w:r w:rsidR="00013FEF" w:rsidRPr="00C23B5E">
        <w:rPr>
          <w:lang w:val="es-ES"/>
        </w:rPr>
        <w:t xml:space="preserve"> – </w:t>
      </w:r>
      <w:r w:rsidR="00AF0841" w:rsidRPr="00C23B5E">
        <w:rPr>
          <w:lang w:val="es-ES"/>
        </w:rPr>
        <w:t>Características técnicas y operativas del servicio móvil terrestre en la gama de frecuencias 275-1</w:t>
      </w:r>
      <w:r w:rsidR="00E850C9" w:rsidRPr="00C23B5E">
        <w:rPr>
          <w:lang w:val="es-ES"/>
        </w:rPr>
        <w:t> </w:t>
      </w:r>
      <w:r w:rsidR="00AF0841" w:rsidRPr="00C23B5E">
        <w:rPr>
          <w:lang w:val="es-ES"/>
        </w:rPr>
        <w:t>000 GHz</w:t>
      </w:r>
      <w:r w:rsidR="00013FEF" w:rsidRPr="00C23B5E">
        <w:rPr>
          <w:lang w:val="es-ES"/>
        </w:rPr>
        <w:t>.</w:t>
      </w:r>
    </w:p>
    <w:p w14:paraId="68C39900" w14:textId="42B3AEE2" w:rsidR="00013FEF" w:rsidRPr="00C23B5E" w:rsidRDefault="00554458" w:rsidP="00695837">
      <w:pPr>
        <w:rPr>
          <w:lang w:val="es-ES"/>
        </w:rPr>
      </w:pPr>
      <w:hyperlink r:id="rId13" w:history="1">
        <w:r w:rsidR="00AF0841" w:rsidRPr="00C23B5E">
          <w:rPr>
            <w:rStyle w:val="Hyperlink"/>
            <w:lang w:val="es-ES"/>
          </w:rPr>
          <w:t>Cuestión UIT-R 257/5</w:t>
        </w:r>
      </w:hyperlink>
      <w:r w:rsidR="00013FEF" w:rsidRPr="00C23B5E">
        <w:rPr>
          <w:lang w:val="es-ES"/>
        </w:rPr>
        <w:t xml:space="preserve"> – </w:t>
      </w:r>
      <w:r w:rsidR="00AF0841" w:rsidRPr="00C23B5E">
        <w:rPr>
          <w:lang w:val="es-ES"/>
        </w:rPr>
        <w:t>Características técnicas y operativas de las estaciones del servicio fijo en la gama de frecuencias 275-1 000 GHz</w:t>
      </w:r>
      <w:r w:rsidR="00013FEF" w:rsidRPr="00C23B5E">
        <w:rPr>
          <w:lang w:val="es-ES"/>
        </w:rPr>
        <w:t>.</w:t>
      </w:r>
    </w:p>
    <w:p w14:paraId="1C2D65F9" w14:textId="43E513C4" w:rsidR="00013FEF" w:rsidRPr="00C23B5E" w:rsidRDefault="00554458" w:rsidP="00695837">
      <w:pPr>
        <w:rPr>
          <w:lang w:val="es-ES"/>
        </w:rPr>
      </w:pPr>
      <w:hyperlink r:id="rId14" w:history="1">
        <w:r w:rsidR="00AF0841" w:rsidRPr="00C23B5E">
          <w:rPr>
            <w:rStyle w:val="Hyperlink"/>
            <w:lang w:val="es-ES"/>
          </w:rPr>
          <w:t>Cuestión UIT-R 257/7</w:t>
        </w:r>
      </w:hyperlink>
      <w:r w:rsidR="00013FEF" w:rsidRPr="00C23B5E">
        <w:rPr>
          <w:lang w:val="es-ES"/>
        </w:rPr>
        <w:t xml:space="preserve"> – </w:t>
      </w:r>
      <w:r w:rsidR="00AF0841" w:rsidRPr="00C23B5E">
        <w:rPr>
          <w:lang w:val="es-ES"/>
        </w:rPr>
        <w:t>Características técnicas y operacionales de las aplicaciones de los servicios de radioastronomía que funcionan por encima de 275 GHz</w:t>
      </w:r>
      <w:r w:rsidR="00013FEF" w:rsidRPr="00C23B5E">
        <w:rPr>
          <w:lang w:val="es-ES"/>
        </w:rPr>
        <w:t>.</w:t>
      </w:r>
    </w:p>
    <w:p w14:paraId="6C46DC55" w14:textId="4E805576" w:rsidR="00F27083" w:rsidRPr="00C23B5E" w:rsidRDefault="00217E9C">
      <w:pPr>
        <w:rPr>
          <w:lang w:val="es-ES"/>
        </w:rPr>
      </w:pPr>
      <w:r w:rsidRPr="00C23B5E">
        <w:rPr>
          <w:lang w:val="es-ES"/>
        </w:rPr>
        <w:lastRenderedPageBreak/>
        <w:t xml:space="preserve">Dado que la utilización de las frecuencias por encima de 275 GHz </w:t>
      </w:r>
      <w:r w:rsidR="00124F1D" w:rsidRPr="00C23B5E">
        <w:rPr>
          <w:lang w:val="es-ES"/>
        </w:rPr>
        <w:t>ofrece</w:t>
      </w:r>
      <w:r w:rsidRPr="00C23B5E">
        <w:rPr>
          <w:lang w:val="es-ES"/>
        </w:rPr>
        <w:t xml:space="preserve"> muchas oportunidades a medio y largo plazo, es importante continuar estudiando este asunto de manera coordinada, y una Resolución UIT</w:t>
      </w:r>
      <w:r w:rsidR="001915B0" w:rsidRPr="00C23B5E">
        <w:rPr>
          <w:lang w:val="es-ES"/>
        </w:rPr>
        <w:noBreakHyphen/>
      </w:r>
      <w:r w:rsidRPr="00C23B5E">
        <w:rPr>
          <w:lang w:val="es-ES"/>
        </w:rPr>
        <w:t>R ayudará a centrar las actividades de las Comisiones de Estudio.</w:t>
      </w:r>
    </w:p>
    <w:p w14:paraId="4D1A38E0" w14:textId="6C4C49E4" w:rsidR="00AF0841" w:rsidRPr="00C23B5E" w:rsidRDefault="00217E9C" w:rsidP="00D45449">
      <w:pPr>
        <w:rPr>
          <w:lang w:val="es-ES"/>
        </w:rPr>
      </w:pPr>
      <w:r w:rsidRPr="00C23B5E">
        <w:rPr>
          <w:lang w:val="es-ES"/>
        </w:rPr>
        <w:t>La apro</w:t>
      </w:r>
      <w:r w:rsidR="009C3873" w:rsidRPr="00C23B5E">
        <w:rPr>
          <w:lang w:val="es-ES"/>
        </w:rPr>
        <w:t>b</w:t>
      </w:r>
      <w:r w:rsidRPr="00C23B5E">
        <w:rPr>
          <w:lang w:val="es-ES"/>
        </w:rPr>
        <w:t>ación de una Resolución UIT</w:t>
      </w:r>
      <w:r w:rsidR="001915B0" w:rsidRPr="00C23B5E">
        <w:rPr>
          <w:lang w:val="es-ES"/>
        </w:rPr>
        <w:noBreakHyphen/>
      </w:r>
      <w:r w:rsidRPr="00C23B5E">
        <w:rPr>
          <w:lang w:val="es-ES"/>
        </w:rPr>
        <w:t>R no impide la adopción/aprobación de una o más Cuestiones UIT</w:t>
      </w:r>
      <w:r w:rsidR="001915B0" w:rsidRPr="00C23B5E">
        <w:rPr>
          <w:lang w:val="es-ES"/>
        </w:rPr>
        <w:noBreakHyphen/>
      </w:r>
      <w:r w:rsidRPr="00C23B5E">
        <w:rPr>
          <w:lang w:val="es-ES"/>
        </w:rPr>
        <w:t xml:space="preserve">R por cualquier Comisión de Estudio para abordar aspectos específicos de las frecuencias por encima de 275 GHz </w:t>
      </w:r>
      <w:r w:rsidR="002B1F44" w:rsidRPr="00C23B5E">
        <w:rPr>
          <w:lang w:val="es-ES"/>
        </w:rPr>
        <w:t xml:space="preserve">que sean </w:t>
      </w:r>
      <w:r w:rsidRPr="00C23B5E">
        <w:rPr>
          <w:lang w:val="es-ES"/>
        </w:rPr>
        <w:t>de interés en relación con los servicios de radiocomunicaciones cuya responsabilidad recae en esa Comisión de Estudio</w:t>
      </w:r>
      <w:r w:rsidR="00AF0841" w:rsidRPr="00C23B5E">
        <w:rPr>
          <w:lang w:val="es-ES"/>
        </w:rPr>
        <w:t>. Conviene señalar que la Asamblea de Radiocomunicaciones aplicó enfoque</w:t>
      </w:r>
      <w:r w:rsidRPr="00C23B5E">
        <w:rPr>
          <w:lang w:val="es-ES"/>
        </w:rPr>
        <w:t>s</w:t>
      </w:r>
      <w:r w:rsidR="00AF0841" w:rsidRPr="00C23B5E">
        <w:rPr>
          <w:lang w:val="es-ES"/>
        </w:rPr>
        <w:t xml:space="preserve"> similar</w:t>
      </w:r>
      <w:r w:rsidRPr="00C23B5E">
        <w:rPr>
          <w:lang w:val="es-ES"/>
        </w:rPr>
        <w:t>es</w:t>
      </w:r>
      <w:r w:rsidR="00AF0841" w:rsidRPr="00C23B5E">
        <w:rPr>
          <w:lang w:val="es-ES"/>
        </w:rPr>
        <w:t xml:space="preserve"> en 2007</w:t>
      </w:r>
      <w:r w:rsidR="00887904" w:rsidRPr="00C23B5E">
        <w:rPr>
          <w:lang w:val="es-ES"/>
        </w:rPr>
        <w:t xml:space="preserve"> </w:t>
      </w:r>
      <w:r w:rsidRPr="00C23B5E">
        <w:rPr>
          <w:lang w:val="es-ES"/>
        </w:rPr>
        <w:t xml:space="preserve">y </w:t>
      </w:r>
      <w:r w:rsidR="00887904" w:rsidRPr="00C23B5E">
        <w:rPr>
          <w:lang w:val="es-ES"/>
        </w:rPr>
        <w:t xml:space="preserve">2012 </w:t>
      </w:r>
      <w:r w:rsidR="00AF0841" w:rsidRPr="00C23B5E">
        <w:rPr>
          <w:lang w:val="es-ES"/>
        </w:rPr>
        <w:t>con la adopción de la Resolución UIT</w:t>
      </w:r>
      <w:r w:rsidR="001915B0" w:rsidRPr="00C23B5E">
        <w:rPr>
          <w:lang w:val="es-ES"/>
        </w:rPr>
        <w:noBreakHyphen/>
      </w:r>
      <w:r w:rsidR="00AF0841" w:rsidRPr="00C23B5E">
        <w:rPr>
          <w:lang w:val="es-ES"/>
        </w:rPr>
        <w:t>R</w:t>
      </w:r>
      <w:r w:rsidR="001915B0" w:rsidRPr="00C23B5E">
        <w:rPr>
          <w:lang w:val="es-ES"/>
        </w:rPr>
        <w:t> </w:t>
      </w:r>
      <w:r w:rsidR="00AF0841" w:rsidRPr="00C23B5E">
        <w:rPr>
          <w:lang w:val="es-ES"/>
        </w:rPr>
        <w:t>55</w:t>
      </w:r>
      <w:r w:rsidR="00554458">
        <w:rPr>
          <w:lang w:val="es-ES"/>
        </w:rPr>
        <w:t xml:space="preserve"> sobre los e</w:t>
      </w:r>
      <w:r w:rsidR="00AF0841" w:rsidRPr="00C23B5E">
        <w:rPr>
          <w:lang w:val="es-ES"/>
        </w:rPr>
        <w:t>studios de la UIT sobre predicción, detección, mitigación de los efectos de las catástrofes</w:t>
      </w:r>
      <w:r w:rsidR="009C3873" w:rsidRPr="00C23B5E">
        <w:rPr>
          <w:lang w:val="es-ES"/>
        </w:rPr>
        <w:t>,</w:t>
      </w:r>
      <w:r w:rsidR="00887904" w:rsidRPr="00C23B5E">
        <w:rPr>
          <w:lang w:val="es-ES"/>
        </w:rPr>
        <w:t xml:space="preserve"> </w:t>
      </w:r>
      <w:r w:rsidRPr="00C23B5E">
        <w:rPr>
          <w:lang w:val="es-ES"/>
        </w:rPr>
        <w:t xml:space="preserve">y la </w:t>
      </w:r>
      <w:r w:rsidR="00887904" w:rsidRPr="00C23B5E">
        <w:rPr>
          <w:lang w:val="es-ES"/>
        </w:rPr>
        <w:t>Resolución UIT</w:t>
      </w:r>
      <w:r w:rsidR="001915B0" w:rsidRPr="00C23B5E">
        <w:rPr>
          <w:lang w:val="es-ES"/>
        </w:rPr>
        <w:noBreakHyphen/>
      </w:r>
      <w:r w:rsidR="00887904" w:rsidRPr="00C23B5E">
        <w:rPr>
          <w:lang w:val="es-ES"/>
        </w:rPr>
        <w:t>R</w:t>
      </w:r>
      <w:r w:rsidR="001915B0" w:rsidRPr="00C23B5E">
        <w:rPr>
          <w:lang w:val="es-ES"/>
        </w:rPr>
        <w:t> </w:t>
      </w:r>
      <w:r w:rsidR="00887904" w:rsidRPr="00C23B5E">
        <w:rPr>
          <w:lang w:val="es-ES"/>
        </w:rPr>
        <w:t>58</w:t>
      </w:r>
      <w:r w:rsidR="00554458">
        <w:rPr>
          <w:lang w:val="es-ES"/>
        </w:rPr>
        <w:t xml:space="preserve"> sobre los e</w:t>
      </w:r>
      <w:bookmarkStart w:id="2" w:name="_GoBack"/>
      <w:bookmarkEnd w:id="2"/>
      <w:r w:rsidR="00887904" w:rsidRPr="00C23B5E">
        <w:rPr>
          <w:lang w:val="es-ES"/>
        </w:rPr>
        <w:t xml:space="preserve">studios sobre la implantación y utilización de sistemas de radiocomunicaciones inteligentes», </w:t>
      </w:r>
      <w:r w:rsidRPr="00C23B5E">
        <w:rPr>
          <w:lang w:val="es-ES"/>
        </w:rPr>
        <w:t>respectivamente</w:t>
      </w:r>
      <w:r w:rsidR="00AF0841" w:rsidRPr="00C23B5E">
        <w:rPr>
          <w:lang w:val="es-ES"/>
        </w:rPr>
        <w:t>.</w:t>
      </w:r>
    </w:p>
    <w:p w14:paraId="0509D03E" w14:textId="4675CB2E" w:rsidR="00F27083" w:rsidRPr="00C23B5E" w:rsidRDefault="00887904">
      <w:pPr>
        <w:pStyle w:val="Headingb"/>
        <w:rPr>
          <w:lang w:val="es-ES"/>
        </w:rPr>
      </w:pPr>
      <w:r w:rsidRPr="00C23B5E">
        <w:rPr>
          <w:lang w:val="es-ES"/>
        </w:rPr>
        <w:t>Propuesta</w:t>
      </w:r>
    </w:p>
    <w:p w14:paraId="64869351" w14:textId="350AD0C8" w:rsidR="00F27083" w:rsidRPr="00C23B5E" w:rsidRDefault="00B93820">
      <w:pPr>
        <w:rPr>
          <w:lang w:val="es-ES"/>
        </w:rPr>
      </w:pPr>
      <w:r w:rsidRPr="00C23B5E">
        <w:rPr>
          <w:lang w:val="es-ES"/>
        </w:rPr>
        <w:t xml:space="preserve">Se propone </w:t>
      </w:r>
      <w:r w:rsidR="005A279A" w:rsidRPr="00C23B5E">
        <w:rPr>
          <w:lang w:val="es-ES"/>
        </w:rPr>
        <w:t xml:space="preserve">a </w:t>
      </w:r>
      <w:r w:rsidRPr="00C23B5E">
        <w:rPr>
          <w:lang w:val="es-ES"/>
        </w:rPr>
        <w:t xml:space="preserve">la Asamblea de Radiocomunicaciones de 2019 </w:t>
      </w:r>
      <w:r w:rsidR="005A279A" w:rsidRPr="00C23B5E">
        <w:rPr>
          <w:lang w:val="es-ES"/>
        </w:rPr>
        <w:t>que</w:t>
      </w:r>
      <w:r w:rsidRPr="00C23B5E">
        <w:rPr>
          <w:lang w:val="es-ES"/>
        </w:rPr>
        <w:t xml:space="preserve"> </w:t>
      </w:r>
      <w:r w:rsidR="005A279A" w:rsidRPr="00C23B5E">
        <w:rPr>
          <w:lang w:val="es-ES"/>
        </w:rPr>
        <w:t>aprueb</w:t>
      </w:r>
      <w:r w:rsidR="00914798" w:rsidRPr="00C23B5E">
        <w:rPr>
          <w:lang w:val="es-ES"/>
        </w:rPr>
        <w:t>e el proyecto de</w:t>
      </w:r>
      <w:r w:rsidRPr="00C23B5E">
        <w:rPr>
          <w:lang w:val="es-ES"/>
        </w:rPr>
        <w:t xml:space="preserve"> Resolución UIT</w:t>
      </w:r>
      <w:r w:rsidR="00487BD0" w:rsidRPr="00C23B5E">
        <w:rPr>
          <w:lang w:val="es-ES"/>
        </w:rPr>
        <w:noBreakHyphen/>
      </w:r>
      <w:r w:rsidRPr="00C23B5E">
        <w:rPr>
          <w:lang w:val="es-ES"/>
        </w:rPr>
        <w:t>R que figura como</w:t>
      </w:r>
      <w:r w:rsidRPr="00C23B5E">
        <w:rPr>
          <w:rFonts w:ascii="inherit" w:hAnsi="inherit"/>
          <w:color w:val="000000"/>
          <w:shd w:val="clear" w:color="auto" w:fill="FFFFFF"/>
          <w:lang w:val="es-ES"/>
        </w:rPr>
        <w:t xml:space="preserve"> </w:t>
      </w:r>
      <w:hyperlink w:anchor="annex1" w:history="1">
        <w:r w:rsidRPr="00C23B5E">
          <w:rPr>
            <w:rStyle w:val="Hyperlink"/>
            <w:lang w:val="es-ES"/>
          </w:rPr>
          <w:t>Anexo 1</w:t>
        </w:r>
      </w:hyperlink>
      <w:r w:rsidR="00F27083" w:rsidRPr="00C23B5E">
        <w:rPr>
          <w:lang w:val="es-ES"/>
        </w:rPr>
        <w:t>.</w:t>
      </w:r>
    </w:p>
    <w:p w14:paraId="6BF5A928" w14:textId="2DB738E4" w:rsidR="00AF0841" w:rsidRPr="00C23B5E" w:rsidRDefault="00554458">
      <w:pPr>
        <w:spacing w:before="480"/>
        <w:ind w:left="1134" w:hanging="1134"/>
        <w:rPr>
          <w:lang w:val="es-ES"/>
        </w:rPr>
      </w:pPr>
      <w:hyperlink w:anchor="annex1" w:history="1">
        <w:r w:rsidR="00AF0841" w:rsidRPr="00C23B5E">
          <w:rPr>
            <w:rStyle w:val="Hyperlink"/>
            <w:b/>
            <w:bCs/>
            <w:lang w:val="es-ES"/>
          </w:rPr>
          <w:t>Anex</w:t>
        </w:r>
        <w:r w:rsidR="0017791F" w:rsidRPr="00C23B5E">
          <w:rPr>
            <w:rStyle w:val="Hyperlink"/>
            <w:b/>
            <w:bCs/>
            <w:lang w:val="es-ES"/>
          </w:rPr>
          <w:t>o</w:t>
        </w:r>
        <w:r w:rsidR="00AF0841" w:rsidRPr="00C23B5E">
          <w:rPr>
            <w:rStyle w:val="Hyperlink"/>
            <w:b/>
            <w:bCs/>
            <w:lang w:val="es-ES"/>
          </w:rPr>
          <w:t xml:space="preserve"> 1</w:t>
        </w:r>
      </w:hyperlink>
      <w:r w:rsidR="00AF0841" w:rsidRPr="00C23B5E">
        <w:rPr>
          <w:b/>
          <w:bCs/>
          <w:lang w:val="es-ES"/>
        </w:rPr>
        <w:t>:</w:t>
      </w:r>
      <w:r w:rsidR="00AF0841" w:rsidRPr="00C23B5E">
        <w:rPr>
          <w:lang w:val="es-ES"/>
        </w:rPr>
        <w:tab/>
      </w:r>
      <w:r w:rsidR="0017791F" w:rsidRPr="00C23B5E">
        <w:rPr>
          <w:lang w:val="es-ES"/>
        </w:rPr>
        <w:t xml:space="preserve">Proyecto de nueva Resolución </w:t>
      </w:r>
      <w:r w:rsidR="00914798" w:rsidRPr="00C23B5E">
        <w:rPr>
          <w:lang w:val="es-ES"/>
        </w:rPr>
        <w:t>UIT</w:t>
      </w:r>
      <w:r w:rsidR="00B43605" w:rsidRPr="00C23B5E">
        <w:rPr>
          <w:lang w:val="es-ES"/>
        </w:rPr>
        <w:noBreakHyphen/>
      </w:r>
      <w:r w:rsidR="00914798" w:rsidRPr="00C23B5E">
        <w:rPr>
          <w:lang w:val="es-ES"/>
        </w:rPr>
        <w:t xml:space="preserve">R </w:t>
      </w:r>
      <w:r w:rsidR="00AF0841" w:rsidRPr="00C23B5E">
        <w:rPr>
          <w:lang w:val="es-ES"/>
        </w:rPr>
        <w:t>[275</w:t>
      </w:r>
      <w:r w:rsidR="002B6629">
        <w:rPr>
          <w:lang w:val="es-ES"/>
        </w:rPr>
        <w:t>-</w:t>
      </w:r>
      <w:r w:rsidR="00AF0841" w:rsidRPr="00C23B5E">
        <w:rPr>
          <w:lang w:val="es-ES"/>
        </w:rPr>
        <w:t>3</w:t>
      </w:r>
      <w:r w:rsidR="002B6629">
        <w:rPr>
          <w:lang w:val="es-ES"/>
        </w:rPr>
        <w:t> </w:t>
      </w:r>
      <w:r w:rsidR="00AF0841" w:rsidRPr="00C23B5E">
        <w:rPr>
          <w:lang w:val="es-ES"/>
        </w:rPr>
        <w:t xml:space="preserve">000GHz] </w:t>
      </w:r>
      <w:r w:rsidR="0017791F" w:rsidRPr="00C23B5E">
        <w:rPr>
          <w:lang w:val="es-ES"/>
        </w:rPr>
        <w:t>«</w:t>
      </w:r>
      <w:r w:rsidR="00B93820" w:rsidRPr="00C23B5E">
        <w:rPr>
          <w:lang w:val="es-ES"/>
        </w:rPr>
        <w:t xml:space="preserve">Estudios sobre la implantación y utilización de sistemas de radiocomunicaciones que </w:t>
      </w:r>
      <w:r w:rsidR="008C2AC3" w:rsidRPr="00C23B5E">
        <w:rPr>
          <w:lang w:val="es-ES"/>
        </w:rPr>
        <w:t>funcionan</w:t>
      </w:r>
      <w:r w:rsidR="00B93820" w:rsidRPr="00C23B5E">
        <w:rPr>
          <w:lang w:val="es-ES"/>
        </w:rPr>
        <w:t xml:space="preserve"> en la gama 275</w:t>
      </w:r>
      <w:r w:rsidR="00E850C9" w:rsidRPr="00C23B5E">
        <w:rPr>
          <w:lang w:val="es-ES"/>
        </w:rPr>
        <w:noBreakHyphen/>
      </w:r>
      <w:r w:rsidR="00B93820" w:rsidRPr="00C23B5E">
        <w:rPr>
          <w:lang w:val="es-ES"/>
        </w:rPr>
        <w:t>3 000 GHz</w:t>
      </w:r>
      <w:r w:rsidR="0017791F" w:rsidRPr="00C23B5E">
        <w:rPr>
          <w:lang w:val="es-ES"/>
        </w:rPr>
        <w:t>»</w:t>
      </w:r>
    </w:p>
    <w:p w14:paraId="067EEF84" w14:textId="4EB753AC" w:rsidR="00F27083" w:rsidRPr="00C23B5E" w:rsidRDefault="00F270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C23B5E">
        <w:rPr>
          <w:lang w:val="es-ES"/>
        </w:rPr>
        <w:br w:type="page"/>
      </w:r>
    </w:p>
    <w:p w14:paraId="50382508" w14:textId="2D607918" w:rsidR="00F27083" w:rsidRPr="00C23B5E" w:rsidRDefault="00F27083">
      <w:pPr>
        <w:pStyle w:val="AnnexNo"/>
        <w:rPr>
          <w:lang w:val="es-ES"/>
        </w:rPr>
      </w:pPr>
      <w:bookmarkStart w:id="3" w:name="annex1"/>
      <w:r w:rsidRPr="00C23B5E">
        <w:rPr>
          <w:lang w:val="es-ES"/>
        </w:rPr>
        <w:lastRenderedPageBreak/>
        <w:t>Anex</w:t>
      </w:r>
      <w:r w:rsidR="0017791F" w:rsidRPr="00C23B5E">
        <w:rPr>
          <w:lang w:val="es-ES"/>
        </w:rPr>
        <w:t>O</w:t>
      </w:r>
      <w:r w:rsidRPr="00C23B5E">
        <w:rPr>
          <w:lang w:val="es-ES"/>
        </w:rPr>
        <w:t xml:space="preserve"> 1</w:t>
      </w:r>
      <w:bookmarkEnd w:id="3"/>
    </w:p>
    <w:p w14:paraId="0E89048A" w14:textId="5FEF3820" w:rsidR="00F27083" w:rsidRPr="00C23B5E" w:rsidRDefault="00887904">
      <w:pPr>
        <w:pStyle w:val="ResNo"/>
        <w:rPr>
          <w:lang w:val="es-ES"/>
        </w:rPr>
      </w:pPr>
      <w:r w:rsidRPr="00C23B5E">
        <w:rPr>
          <w:lang w:val="es-ES"/>
        </w:rPr>
        <w:t>PROYECTO DE NUEVA RESOLUCIÓN UIT-R</w:t>
      </w:r>
      <w:r w:rsidR="00F27083" w:rsidRPr="00C23B5E">
        <w:rPr>
          <w:lang w:val="es-ES"/>
        </w:rPr>
        <w:t xml:space="preserve"> [275</w:t>
      </w:r>
      <w:r w:rsidR="00124F1D" w:rsidRPr="00C23B5E">
        <w:rPr>
          <w:lang w:val="es-ES"/>
        </w:rPr>
        <w:t>-</w:t>
      </w:r>
      <w:r w:rsidR="00F27083" w:rsidRPr="00C23B5E">
        <w:rPr>
          <w:lang w:val="es-ES"/>
        </w:rPr>
        <w:t>3</w:t>
      </w:r>
      <w:r w:rsidR="00124F1D" w:rsidRPr="00C23B5E">
        <w:rPr>
          <w:lang w:val="es-ES"/>
        </w:rPr>
        <w:t> </w:t>
      </w:r>
      <w:r w:rsidR="00F27083" w:rsidRPr="00C23B5E">
        <w:rPr>
          <w:lang w:val="es-ES"/>
        </w:rPr>
        <w:t>000</w:t>
      </w:r>
      <w:r w:rsidR="00124F1D" w:rsidRPr="00C23B5E">
        <w:rPr>
          <w:lang w:val="es-ES"/>
        </w:rPr>
        <w:t> </w:t>
      </w:r>
      <w:r w:rsidR="00F27083" w:rsidRPr="00C23B5E">
        <w:rPr>
          <w:lang w:val="es-ES"/>
        </w:rPr>
        <w:t>GHz]</w:t>
      </w:r>
    </w:p>
    <w:p w14:paraId="397FC9B2" w14:textId="71EAFD4B" w:rsidR="00F27083" w:rsidRPr="00C23B5E" w:rsidRDefault="00124F1D">
      <w:pPr>
        <w:pStyle w:val="Restitle"/>
        <w:rPr>
          <w:lang w:val="es-ES"/>
        </w:rPr>
      </w:pPr>
      <w:r w:rsidRPr="00C23B5E">
        <w:rPr>
          <w:lang w:val="es-ES"/>
        </w:rPr>
        <w:t xml:space="preserve">Estudios sobre la implantación y utilización de sistemas de radiocomunicaciones que </w:t>
      </w:r>
      <w:r w:rsidR="008C2AC3" w:rsidRPr="00C23B5E">
        <w:rPr>
          <w:lang w:val="es-ES"/>
        </w:rPr>
        <w:t>funcionan</w:t>
      </w:r>
      <w:r w:rsidRPr="00C23B5E">
        <w:rPr>
          <w:lang w:val="es-ES"/>
        </w:rPr>
        <w:t xml:space="preserve"> en la gama 275-3 000 GHz</w:t>
      </w:r>
    </w:p>
    <w:p w14:paraId="766987E7" w14:textId="77777777" w:rsidR="00F27083" w:rsidRPr="00C23B5E" w:rsidRDefault="00F27083">
      <w:pPr>
        <w:pStyle w:val="Resdate"/>
        <w:rPr>
          <w:lang w:val="es-ES"/>
        </w:rPr>
      </w:pPr>
      <w:r w:rsidRPr="00C23B5E">
        <w:rPr>
          <w:lang w:val="es-ES"/>
        </w:rPr>
        <w:t>(…)</w:t>
      </w:r>
    </w:p>
    <w:p w14:paraId="498FABBE" w14:textId="3C005EA1" w:rsidR="00F27083" w:rsidRPr="00C23B5E" w:rsidRDefault="00887904">
      <w:pPr>
        <w:pStyle w:val="Normalaftertitle"/>
        <w:rPr>
          <w:lang w:val="es-ES"/>
        </w:rPr>
      </w:pPr>
      <w:r w:rsidRPr="00C23B5E">
        <w:rPr>
          <w:lang w:val="es-ES"/>
        </w:rPr>
        <w:t>La Asamblea de Radiocomunicaciones de la UIT,</w:t>
      </w:r>
    </w:p>
    <w:p w14:paraId="27BC778F" w14:textId="7D299B61" w:rsidR="00F27083" w:rsidRPr="00C23B5E" w:rsidRDefault="00F27083">
      <w:pPr>
        <w:pStyle w:val="Call"/>
        <w:rPr>
          <w:lang w:val="es-ES"/>
        </w:rPr>
      </w:pPr>
      <w:r w:rsidRPr="00C23B5E">
        <w:rPr>
          <w:lang w:val="es-ES"/>
        </w:rPr>
        <w:t>considerando</w:t>
      </w:r>
    </w:p>
    <w:p w14:paraId="04437322" w14:textId="3D277F33" w:rsidR="00F27083" w:rsidRPr="00C23B5E" w:rsidRDefault="00F27083">
      <w:pPr>
        <w:rPr>
          <w:lang w:val="es-ES"/>
        </w:rPr>
      </w:pPr>
      <w:r w:rsidRPr="00C23B5E">
        <w:rPr>
          <w:i/>
          <w:iCs/>
          <w:lang w:val="es-ES"/>
        </w:rPr>
        <w:t>a)</w:t>
      </w:r>
      <w:r w:rsidRPr="00C23B5E">
        <w:rPr>
          <w:lang w:val="es-ES"/>
        </w:rPr>
        <w:tab/>
      </w:r>
      <w:r w:rsidR="00124F1D" w:rsidRPr="00C23B5E">
        <w:rPr>
          <w:lang w:val="es-ES"/>
        </w:rPr>
        <w:t>que la utilización de las frecuencias por encima de 275 GHz ofrece muchas oportunidades a medio y largo plazo</w:t>
      </w:r>
      <w:r w:rsidRPr="00C23B5E">
        <w:rPr>
          <w:lang w:val="es-ES"/>
        </w:rPr>
        <w:t>;</w:t>
      </w:r>
    </w:p>
    <w:p w14:paraId="2AA48C16" w14:textId="6F7B7355" w:rsidR="00F27083" w:rsidRPr="00C23B5E" w:rsidRDefault="00F27083">
      <w:pPr>
        <w:rPr>
          <w:lang w:val="es-ES"/>
        </w:rPr>
      </w:pPr>
      <w:r w:rsidRPr="00C23B5E">
        <w:rPr>
          <w:i/>
          <w:iCs/>
          <w:lang w:val="es-ES"/>
        </w:rPr>
        <w:t>b)</w:t>
      </w:r>
      <w:r w:rsidRPr="00C23B5E">
        <w:rPr>
          <w:lang w:val="es-ES"/>
        </w:rPr>
        <w:tab/>
      </w:r>
      <w:r w:rsidR="00124F1D" w:rsidRPr="00C23B5E">
        <w:rPr>
          <w:lang w:val="es-ES"/>
        </w:rPr>
        <w:t>que el UIT-R ya ha emprendido estudios sobre las aplicaciones de los servicios de radiocomunicaci</w:t>
      </w:r>
      <w:r w:rsidR="00CB229D" w:rsidRPr="00C23B5E">
        <w:rPr>
          <w:lang w:val="es-ES"/>
        </w:rPr>
        <w:t>ones</w:t>
      </w:r>
      <w:r w:rsidR="00124F1D" w:rsidRPr="00C23B5E">
        <w:rPr>
          <w:lang w:val="es-ES"/>
        </w:rPr>
        <w:t xml:space="preserve"> por encima de 275 GHz (véanse las Cuestiones UIT-R</w:t>
      </w:r>
      <w:r w:rsidRPr="00C23B5E">
        <w:rPr>
          <w:lang w:val="es-ES"/>
        </w:rPr>
        <w:t xml:space="preserve"> </w:t>
      </w:r>
      <w:hyperlink r:id="rId15" w:history="1">
        <w:r w:rsidRPr="00C23B5E">
          <w:rPr>
            <w:rStyle w:val="Hyperlink"/>
            <w:lang w:val="es-ES"/>
          </w:rPr>
          <w:t>237/1</w:t>
        </w:r>
      </w:hyperlink>
      <w:r w:rsidRPr="00C23B5E">
        <w:rPr>
          <w:lang w:val="es-ES"/>
        </w:rPr>
        <w:t xml:space="preserve">, </w:t>
      </w:r>
      <w:hyperlink r:id="rId16" w:history="1">
        <w:r w:rsidRPr="00C23B5E">
          <w:rPr>
            <w:rStyle w:val="Hyperlink"/>
            <w:lang w:val="es-ES"/>
          </w:rPr>
          <w:t>228/3</w:t>
        </w:r>
      </w:hyperlink>
      <w:r w:rsidRPr="00C23B5E">
        <w:rPr>
          <w:lang w:val="es-ES"/>
        </w:rPr>
        <w:t xml:space="preserve">, </w:t>
      </w:r>
      <w:hyperlink r:id="rId17" w:history="1">
        <w:r w:rsidRPr="00C23B5E">
          <w:rPr>
            <w:rStyle w:val="Hyperlink"/>
            <w:lang w:val="es-ES"/>
          </w:rPr>
          <w:t>264/4</w:t>
        </w:r>
      </w:hyperlink>
      <w:r w:rsidRPr="00C23B5E">
        <w:rPr>
          <w:lang w:val="es-ES"/>
        </w:rPr>
        <w:t xml:space="preserve">, </w:t>
      </w:r>
      <w:hyperlink r:id="rId18" w:history="1">
        <w:r w:rsidRPr="00C23B5E">
          <w:rPr>
            <w:rStyle w:val="Hyperlink"/>
            <w:lang w:val="es-ES"/>
          </w:rPr>
          <w:t>256/5</w:t>
        </w:r>
      </w:hyperlink>
      <w:r w:rsidRPr="00C23B5E">
        <w:rPr>
          <w:lang w:val="es-ES"/>
        </w:rPr>
        <w:t xml:space="preserve">, </w:t>
      </w:r>
      <w:hyperlink r:id="rId19" w:history="1">
        <w:r w:rsidRPr="00C23B5E">
          <w:rPr>
            <w:rStyle w:val="Hyperlink"/>
            <w:lang w:val="es-ES"/>
          </w:rPr>
          <w:t>257/5</w:t>
        </w:r>
      </w:hyperlink>
      <w:r w:rsidRPr="00C23B5E">
        <w:rPr>
          <w:lang w:val="es-ES"/>
        </w:rPr>
        <w:t xml:space="preserve"> </w:t>
      </w:r>
      <w:r w:rsidR="00124F1D" w:rsidRPr="00C23B5E">
        <w:rPr>
          <w:lang w:val="es-ES"/>
        </w:rPr>
        <w:t>y</w:t>
      </w:r>
      <w:hyperlink r:id="rId20" w:history="1">
        <w:r w:rsidRPr="00C23B5E">
          <w:rPr>
            <w:rStyle w:val="Hyperlink"/>
            <w:lang w:val="es-ES"/>
          </w:rPr>
          <w:t xml:space="preserve"> 257/7</w:t>
        </w:r>
      </w:hyperlink>
      <w:r w:rsidRPr="00C23B5E">
        <w:rPr>
          <w:lang w:val="es-ES"/>
        </w:rPr>
        <w:t>);</w:t>
      </w:r>
    </w:p>
    <w:p w14:paraId="059EEC55" w14:textId="7ADBE34F" w:rsidR="00F27083" w:rsidRPr="00C23B5E" w:rsidRDefault="00F27083">
      <w:pPr>
        <w:rPr>
          <w:lang w:val="es-ES"/>
        </w:rPr>
      </w:pPr>
      <w:r w:rsidRPr="00C23B5E">
        <w:rPr>
          <w:i/>
          <w:iCs/>
          <w:lang w:val="es-ES"/>
        </w:rPr>
        <w:t>c)</w:t>
      </w:r>
      <w:r w:rsidRPr="00C23B5E">
        <w:rPr>
          <w:lang w:val="es-ES"/>
        </w:rPr>
        <w:tab/>
      </w:r>
      <w:r w:rsidR="00124F1D" w:rsidRPr="00C23B5E">
        <w:rPr>
          <w:lang w:val="es-ES"/>
        </w:rPr>
        <w:t xml:space="preserve">que existen planes para </w:t>
      </w:r>
      <w:r w:rsidR="007B1BF9" w:rsidRPr="00C23B5E">
        <w:rPr>
          <w:lang w:val="es-ES"/>
        </w:rPr>
        <w:t>implantar</w:t>
      </w:r>
      <w:r w:rsidR="00124F1D" w:rsidRPr="00C23B5E">
        <w:rPr>
          <w:lang w:val="es-ES"/>
        </w:rPr>
        <w:t xml:space="preserve"> sistemas de radiocomunicaci</w:t>
      </w:r>
      <w:r w:rsidR="00C60057" w:rsidRPr="00C23B5E">
        <w:rPr>
          <w:lang w:val="es-ES"/>
        </w:rPr>
        <w:t>o</w:t>
      </w:r>
      <w:r w:rsidR="00124F1D" w:rsidRPr="00C23B5E">
        <w:rPr>
          <w:lang w:val="es-ES"/>
        </w:rPr>
        <w:t>n</w:t>
      </w:r>
      <w:r w:rsidR="00C60057" w:rsidRPr="00C23B5E">
        <w:rPr>
          <w:lang w:val="es-ES"/>
        </w:rPr>
        <w:t>es</w:t>
      </w:r>
      <w:r w:rsidR="00124F1D" w:rsidRPr="00C23B5E">
        <w:rPr>
          <w:lang w:val="es-ES"/>
        </w:rPr>
        <w:t xml:space="preserve"> en frecuencias por encima de 275 GHz (véanse los Informes UIT-R</w:t>
      </w:r>
      <w:r w:rsidRPr="00C23B5E">
        <w:rPr>
          <w:lang w:val="es-ES"/>
        </w:rPr>
        <w:t xml:space="preserve"> </w:t>
      </w:r>
      <w:hyperlink r:id="rId21" w:history="1">
        <w:r w:rsidRPr="00C23B5E">
          <w:rPr>
            <w:rStyle w:val="Hyperlink"/>
            <w:lang w:val="es-ES"/>
          </w:rPr>
          <w:t>F.2416</w:t>
        </w:r>
      </w:hyperlink>
      <w:r w:rsidRPr="00C23B5E">
        <w:rPr>
          <w:lang w:val="es-ES"/>
        </w:rPr>
        <w:t xml:space="preserve">, </w:t>
      </w:r>
      <w:hyperlink r:id="rId22" w:history="1">
        <w:r w:rsidRPr="00C23B5E">
          <w:rPr>
            <w:rStyle w:val="Hyperlink"/>
            <w:lang w:val="es-ES"/>
          </w:rPr>
          <w:t>M.2417</w:t>
        </w:r>
      </w:hyperlink>
      <w:r w:rsidRPr="00C23B5E">
        <w:rPr>
          <w:lang w:val="es-ES"/>
        </w:rPr>
        <w:t xml:space="preserve">, </w:t>
      </w:r>
      <w:hyperlink r:id="rId23" w:history="1">
        <w:r w:rsidRPr="00C23B5E">
          <w:rPr>
            <w:rStyle w:val="Hyperlink"/>
            <w:lang w:val="es-ES"/>
          </w:rPr>
          <w:t>RA.2189</w:t>
        </w:r>
      </w:hyperlink>
      <w:r w:rsidRPr="00C23B5E">
        <w:rPr>
          <w:lang w:val="es-ES"/>
        </w:rPr>
        <w:t xml:space="preserve">, </w:t>
      </w:r>
      <w:hyperlink r:id="rId24" w:history="1">
        <w:r w:rsidRPr="00C23B5E">
          <w:rPr>
            <w:rStyle w:val="Hyperlink"/>
            <w:lang w:val="es-ES"/>
          </w:rPr>
          <w:t>RS.2194</w:t>
        </w:r>
      </w:hyperlink>
      <w:r w:rsidRPr="00C23B5E">
        <w:rPr>
          <w:lang w:val="es-ES"/>
        </w:rPr>
        <w:t xml:space="preserve">, </w:t>
      </w:r>
      <w:hyperlink r:id="rId25" w:history="1">
        <w:r w:rsidRPr="00C23B5E">
          <w:rPr>
            <w:rStyle w:val="Hyperlink"/>
            <w:lang w:val="es-ES"/>
          </w:rPr>
          <w:t>RS.2431</w:t>
        </w:r>
      </w:hyperlink>
      <w:r w:rsidRPr="00C23B5E">
        <w:rPr>
          <w:lang w:val="es-ES"/>
        </w:rPr>
        <w:t xml:space="preserve">, </w:t>
      </w:r>
      <w:hyperlink r:id="rId26" w:history="1">
        <w:r w:rsidRPr="00C23B5E">
          <w:rPr>
            <w:rStyle w:val="Hyperlink"/>
            <w:lang w:val="es-ES"/>
          </w:rPr>
          <w:t>SM.2352</w:t>
        </w:r>
      </w:hyperlink>
      <w:r w:rsidR="00124F1D" w:rsidRPr="00C23B5E">
        <w:rPr>
          <w:lang w:val="es-ES"/>
        </w:rPr>
        <w:t xml:space="preserve"> y</w:t>
      </w:r>
      <w:r w:rsidRPr="00C23B5E">
        <w:rPr>
          <w:lang w:val="es-ES"/>
        </w:rPr>
        <w:t xml:space="preserve"> SM.2450);</w:t>
      </w:r>
    </w:p>
    <w:p w14:paraId="3CDD1F2B" w14:textId="58FB192B" w:rsidR="00F27083" w:rsidRPr="00C23B5E" w:rsidRDefault="00F27083">
      <w:pPr>
        <w:rPr>
          <w:lang w:val="es-ES"/>
        </w:rPr>
      </w:pPr>
      <w:r w:rsidRPr="00C23B5E">
        <w:rPr>
          <w:i/>
          <w:iCs/>
          <w:lang w:val="es-ES"/>
        </w:rPr>
        <w:t>c)</w:t>
      </w:r>
      <w:r w:rsidRPr="00C23B5E">
        <w:rPr>
          <w:lang w:val="es-ES"/>
        </w:rPr>
        <w:tab/>
      </w:r>
      <w:r w:rsidR="00124F1D" w:rsidRPr="00C23B5E">
        <w:rPr>
          <w:lang w:val="es-ES"/>
        </w:rPr>
        <w:t>que es conveniente proporcionar orientación a las aplicaciones emergentes sobre la protección de las aplicaciones de servicios pasivos, y sobre la compartición entre todas las aplicaciones de servicios, y</w:t>
      </w:r>
      <w:r w:rsidRPr="00C23B5E">
        <w:rPr>
          <w:lang w:val="es-ES"/>
        </w:rPr>
        <w:t>;</w:t>
      </w:r>
    </w:p>
    <w:p w14:paraId="0A01877F" w14:textId="778FEF70" w:rsidR="00F27083" w:rsidRPr="00C23B5E" w:rsidRDefault="00F27083">
      <w:pPr>
        <w:rPr>
          <w:lang w:val="es-ES"/>
        </w:rPr>
      </w:pPr>
      <w:r w:rsidRPr="00C23B5E">
        <w:rPr>
          <w:i/>
          <w:lang w:val="es-ES"/>
        </w:rPr>
        <w:t>d)</w:t>
      </w:r>
      <w:r w:rsidRPr="00C23B5E">
        <w:rPr>
          <w:lang w:val="es-ES"/>
        </w:rPr>
        <w:tab/>
      </w:r>
      <w:r w:rsidR="00124F1D" w:rsidRPr="00C23B5E">
        <w:rPr>
          <w:lang w:val="es-ES"/>
        </w:rPr>
        <w:t>que el desarrollo tecnológico de los servicios activos por encima de 275 </w:t>
      </w:r>
      <w:r w:rsidR="00E204B6" w:rsidRPr="00C23B5E">
        <w:rPr>
          <w:lang w:val="es-ES"/>
        </w:rPr>
        <w:t>GHz</w:t>
      </w:r>
      <w:r w:rsidR="00124F1D" w:rsidRPr="00C23B5E">
        <w:rPr>
          <w:lang w:val="es-ES"/>
        </w:rPr>
        <w:t xml:space="preserve"> se encuentra en una fase embrionaria y, por tanto, se espera que evolucione a lo largo del tiempo</w:t>
      </w:r>
      <w:r w:rsidRPr="00C23B5E">
        <w:rPr>
          <w:lang w:val="es-ES"/>
        </w:rPr>
        <w:t>,</w:t>
      </w:r>
    </w:p>
    <w:p w14:paraId="77B7C290" w14:textId="5CFC395D" w:rsidR="00F27083" w:rsidRPr="00C23B5E" w:rsidRDefault="001C2133">
      <w:pPr>
        <w:pStyle w:val="Call"/>
        <w:rPr>
          <w:lang w:val="es-ES"/>
        </w:rPr>
      </w:pPr>
      <w:r w:rsidRPr="00C23B5E">
        <w:rPr>
          <w:lang w:val="es-ES"/>
        </w:rPr>
        <w:t>reconociendo</w:t>
      </w:r>
    </w:p>
    <w:p w14:paraId="5FB00DB0" w14:textId="20266D3C" w:rsidR="00F27083" w:rsidRPr="00C23B5E" w:rsidRDefault="00F27083">
      <w:pPr>
        <w:rPr>
          <w:lang w:val="es-ES"/>
        </w:rPr>
      </w:pPr>
      <w:r w:rsidRPr="00C23B5E">
        <w:rPr>
          <w:i/>
          <w:iCs/>
          <w:lang w:val="es-ES"/>
        </w:rPr>
        <w:t>a)</w:t>
      </w:r>
      <w:r w:rsidRPr="00C23B5E">
        <w:rPr>
          <w:lang w:val="es-ES"/>
        </w:rPr>
        <w:tab/>
      </w:r>
      <w:r w:rsidR="00124F1D" w:rsidRPr="00C23B5E">
        <w:rPr>
          <w:lang w:val="es-ES"/>
        </w:rPr>
        <w:t>que la gama de frecuencias 275-3 000 GHz no está atribuida</w:t>
      </w:r>
      <w:r w:rsidRPr="00C23B5E">
        <w:rPr>
          <w:lang w:val="es-ES"/>
        </w:rPr>
        <w:t>;</w:t>
      </w:r>
    </w:p>
    <w:p w14:paraId="000A110D" w14:textId="55FC7747" w:rsidR="00F27083" w:rsidRPr="00C23B5E" w:rsidRDefault="00F27083">
      <w:pPr>
        <w:rPr>
          <w:lang w:val="es-ES"/>
        </w:rPr>
      </w:pPr>
      <w:r w:rsidRPr="00C23B5E">
        <w:rPr>
          <w:i/>
          <w:lang w:val="es-ES"/>
        </w:rPr>
        <w:t>b)</w:t>
      </w:r>
      <w:r w:rsidRPr="00C23B5E">
        <w:rPr>
          <w:lang w:val="es-ES"/>
        </w:rPr>
        <w:tab/>
      </w:r>
      <w:r w:rsidR="00124F1D" w:rsidRPr="00C23B5E">
        <w:rPr>
          <w:lang w:val="es-ES"/>
        </w:rPr>
        <w:t xml:space="preserve">que el número </w:t>
      </w:r>
      <w:r w:rsidR="00124F1D" w:rsidRPr="00C23B5E">
        <w:rPr>
          <w:b/>
          <w:bCs/>
          <w:lang w:val="es-ES"/>
        </w:rPr>
        <w:t>5.565</w:t>
      </w:r>
      <w:r w:rsidR="00124F1D" w:rsidRPr="00C23B5E">
        <w:rPr>
          <w:lang w:val="es-ES"/>
        </w:rPr>
        <w:t xml:space="preserve"> del Reglamento de Radiocomunicaciones </w:t>
      </w:r>
      <w:r w:rsidR="003E5EA8" w:rsidRPr="00C23B5E">
        <w:rPr>
          <w:lang w:val="es-ES"/>
        </w:rPr>
        <w:t xml:space="preserve">identifica algunas bandas de frecuencias </w:t>
      </w:r>
      <w:r w:rsidR="000B3E2F" w:rsidRPr="00C23B5E">
        <w:rPr>
          <w:lang w:val="es-ES"/>
        </w:rPr>
        <w:t xml:space="preserve">de la gama 275-1 000 GHz </w:t>
      </w:r>
      <w:r w:rsidR="003E5EA8" w:rsidRPr="00C23B5E">
        <w:rPr>
          <w:lang w:val="es-ES"/>
        </w:rPr>
        <w:t xml:space="preserve">para que las administraciones las utilicen en aplicaciones de servicios pasivos, que deben protegerse de acuerdo con los estudios del UIT-R, </w:t>
      </w:r>
      <w:r w:rsidR="004F347B" w:rsidRPr="00C23B5E">
        <w:rPr>
          <w:lang w:val="es-ES"/>
        </w:rPr>
        <w:t>mientras</w:t>
      </w:r>
      <w:r w:rsidR="003E5EA8" w:rsidRPr="00C23B5E">
        <w:rPr>
          <w:lang w:val="es-ES"/>
        </w:rPr>
        <w:t xml:space="preserve"> que se autoriza el uso </w:t>
      </w:r>
      <w:r w:rsidR="00110D1F" w:rsidRPr="00C23B5E">
        <w:rPr>
          <w:lang w:val="es-ES"/>
        </w:rPr>
        <w:t xml:space="preserve">de esta gama </w:t>
      </w:r>
      <w:r w:rsidR="003E5EA8" w:rsidRPr="00C23B5E">
        <w:rPr>
          <w:lang w:val="es-ES"/>
        </w:rPr>
        <w:t>para sistemas activos, y los servicios tanto activos como pasivos pueden utilizar todas las frecuencias de la gama 1 000-3 000 GHz</w:t>
      </w:r>
      <w:r w:rsidRPr="00C23B5E">
        <w:rPr>
          <w:lang w:val="es-ES"/>
        </w:rPr>
        <w:t>;</w:t>
      </w:r>
    </w:p>
    <w:p w14:paraId="206EE786" w14:textId="29530304" w:rsidR="00F27083" w:rsidRPr="00C23B5E" w:rsidRDefault="0017791F" w:rsidP="00D45449">
      <w:pPr>
        <w:rPr>
          <w:lang w:val="es-ES"/>
        </w:rPr>
      </w:pPr>
      <w:r w:rsidRPr="00C23B5E">
        <w:rPr>
          <w:i/>
          <w:iCs/>
          <w:lang w:val="es-ES"/>
        </w:rPr>
        <w:t>c)</w:t>
      </w:r>
      <w:r w:rsidRPr="00C23B5E">
        <w:rPr>
          <w:i/>
          <w:iCs/>
          <w:lang w:val="es-ES"/>
        </w:rPr>
        <w:tab/>
      </w:r>
      <w:r w:rsidR="005C756F" w:rsidRPr="00C23B5E">
        <w:rPr>
          <w:lang w:val="es-ES"/>
        </w:rPr>
        <w:t>que la</w:t>
      </w:r>
      <w:r w:rsidR="005C756F" w:rsidRPr="00C23B5E">
        <w:rPr>
          <w:szCs w:val="24"/>
          <w:lang w:val="es-ES"/>
        </w:rPr>
        <w:t xml:space="preserve"> </w:t>
      </w:r>
      <w:hyperlink r:id="rId27" w:history="1">
        <w:r w:rsidR="005C756F" w:rsidRPr="00C23B5E">
          <w:rPr>
            <w:rStyle w:val="Hyperlink"/>
            <w:szCs w:val="24"/>
            <w:lang w:val="es-ES"/>
          </w:rPr>
          <w:t>Resolución 37</w:t>
        </w:r>
      </w:hyperlink>
      <w:r w:rsidR="005C756F" w:rsidRPr="00C23B5E">
        <w:rPr>
          <w:lang w:val="es-ES"/>
        </w:rPr>
        <w:t xml:space="preserve"> resuelve </w:t>
      </w:r>
      <w:r w:rsidRPr="00C23B5E">
        <w:rPr>
          <w:lang w:val="es-ES"/>
        </w:rPr>
        <w:t xml:space="preserve">que se transmita </w:t>
      </w:r>
      <w:r w:rsidR="005C756F" w:rsidRPr="00C23B5E">
        <w:rPr>
          <w:lang w:val="es-ES"/>
        </w:rPr>
        <w:t xml:space="preserve">la información de propagación </w:t>
      </w:r>
      <w:r w:rsidRPr="00C23B5E">
        <w:rPr>
          <w:lang w:val="es-ES"/>
        </w:rPr>
        <w:t>a la Comisión de Estudio 3 de Radiocomunicaciones</w:t>
      </w:r>
      <w:r w:rsidR="005C756F" w:rsidRPr="00C23B5E">
        <w:rPr>
          <w:lang w:val="es-ES"/>
        </w:rPr>
        <w:t xml:space="preserve"> </w:t>
      </w:r>
      <w:r w:rsidRPr="00C23B5E">
        <w:rPr>
          <w:lang w:val="es-ES"/>
        </w:rPr>
        <w:t>de manera que</w:t>
      </w:r>
      <w:r w:rsidR="005C756F" w:rsidRPr="00C23B5E">
        <w:rPr>
          <w:lang w:val="es-ES"/>
        </w:rPr>
        <w:t xml:space="preserve">, además del valor que aporta la contribución a la labor de las demás Comisiones de Estudio, la información </w:t>
      </w:r>
      <w:r w:rsidRPr="00C23B5E">
        <w:rPr>
          <w:lang w:val="es-ES"/>
        </w:rPr>
        <w:t>pueda utilizarse también en los futuros trabajos de la Comisión de Estudio 3 de Radiocomunicaciones,</w:t>
      </w:r>
    </w:p>
    <w:p w14:paraId="04583676" w14:textId="29C41F14" w:rsidR="00F27083" w:rsidRPr="00C23B5E" w:rsidRDefault="008F74B3">
      <w:pPr>
        <w:pStyle w:val="Call"/>
        <w:rPr>
          <w:lang w:val="es-ES"/>
        </w:rPr>
      </w:pPr>
      <w:r w:rsidRPr="00C23B5E">
        <w:rPr>
          <w:lang w:val="es-ES"/>
        </w:rPr>
        <w:t>observando</w:t>
      </w:r>
    </w:p>
    <w:p w14:paraId="472E0B0F" w14:textId="03790A6D" w:rsidR="00F27083" w:rsidRPr="00C23B5E" w:rsidRDefault="007B1BF9">
      <w:pPr>
        <w:rPr>
          <w:i/>
          <w:lang w:val="es-ES"/>
        </w:rPr>
      </w:pPr>
      <w:r w:rsidRPr="00C23B5E">
        <w:rPr>
          <w:lang w:val="es-ES"/>
        </w:rPr>
        <w:t>que se necesitan estudios para facilita</w:t>
      </w:r>
      <w:r w:rsidR="00BB01B1" w:rsidRPr="00C23B5E">
        <w:rPr>
          <w:lang w:val="es-ES"/>
        </w:rPr>
        <w:t>r</w:t>
      </w:r>
      <w:r w:rsidRPr="00C23B5E">
        <w:rPr>
          <w:lang w:val="es-ES"/>
        </w:rPr>
        <w:t xml:space="preserve"> la utilización de las frecuencias por encima de 275 GHz por todas las aplicaciones de servicios, </w:t>
      </w:r>
      <w:r w:rsidR="002D2769" w:rsidRPr="00C23B5E">
        <w:rPr>
          <w:lang w:val="es-ES"/>
        </w:rPr>
        <w:t>atendiendo a</w:t>
      </w:r>
      <w:r w:rsidRPr="00C23B5E">
        <w:rPr>
          <w:lang w:val="es-ES"/>
        </w:rPr>
        <w:t xml:space="preserve"> las características cambiantes de todas </w:t>
      </w:r>
      <w:r w:rsidR="00BB01B1" w:rsidRPr="00C23B5E">
        <w:rPr>
          <w:lang w:val="es-ES"/>
        </w:rPr>
        <w:t>las</w:t>
      </w:r>
      <w:r w:rsidRPr="00C23B5E">
        <w:rPr>
          <w:lang w:val="es-ES"/>
        </w:rPr>
        <w:t xml:space="preserve"> aplicaciones </w:t>
      </w:r>
      <w:r w:rsidR="00BB01B1" w:rsidRPr="00C23B5E">
        <w:rPr>
          <w:lang w:val="es-ES"/>
        </w:rPr>
        <w:t xml:space="preserve">de servicios </w:t>
      </w:r>
      <w:r w:rsidRPr="00C23B5E">
        <w:rPr>
          <w:lang w:val="es-ES"/>
        </w:rPr>
        <w:t xml:space="preserve">y </w:t>
      </w:r>
      <w:r w:rsidR="002D2769" w:rsidRPr="00C23B5E">
        <w:rPr>
          <w:lang w:val="es-ES"/>
        </w:rPr>
        <w:t xml:space="preserve">a </w:t>
      </w:r>
      <w:r w:rsidRPr="00C23B5E">
        <w:rPr>
          <w:lang w:val="es-ES"/>
        </w:rPr>
        <w:t>la necesidad de proteger las aplicaciones de servicios pasivos</w:t>
      </w:r>
      <w:r w:rsidR="00F27083" w:rsidRPr="00C23B5E">
        <w:rPr>
          <w:lang w:val="es-ES"/>
        </w:rPr>
        <w:t>,</w:t>
      </w:r>
    </w:p>
    <w:p w14:paraId="4C6B0F26" w14:textId="5C148831" w:rsidR="00F27083" w:rsidRPr="00C23B5E" w:rsidRDefault="00013FEF">
      <w:pPr>
        <w:pStyle w:val="Call"/>
        <w:rPr>
          <w:lang w:val="es-ES"/>
        </w:rPr>
      </w:pPr>
      <w:r w:rsidRPr="00C23B5E">
        <w:rPr>
          <w:lang w:val="es-ES"/>
        </w:rPr>
        <w:t>resuelve invitar al UIT-R</w:t>
      </w:r>
    </w:p>
    <w:p w14:paraId="4230F055" w14:textId="62E662FE" w:rsidR="00F27083" w:rsidRPr="00C23B5E" w:rsidRDefault="00F27083">
      <w:pPr>
        <w:rPr>
          <w:lang w:val="es-ES"/>
        </w:rPr>
      </w:pPr>
      <w:r w:rsidRPr="00C23B5E">
        <w:rPr>
          <w:lang w:val="es-ES"/>
        </w:rPr>
        <w:t>1</w:t>
      </w:r>
      <w:r w:rsidRPr="00C23B5E">
        <w:rPr>
          <w:lang w:val="es-ES"/>
        </w:rPr>
        <w:tab/>
      </w:r>
      <w:r w:rsidR="007B1BF9" w:rsidRPr="00C23B5E">
        <w:rPr>
          <w:lang w:val="es-ES"/>
        </w:rPr>
        <w:t xml:space="preserve">a estudiar </w:t>
      </w:r>
      <w:r w:rsidR="00C60057" w:rsidRPr="00C23B5E">
        <w:rPr>
          <w:lang w:val="es-ES"/>
        </w:rPr>
        <w:t xml:space="preserve">la implantación y utilización de sistemas de radiocomunicaciones en la gama </w:t>
      </w:r>
      <w:r w:rsidRPr="00C23B5E">
        <w:rPr>
          <w:lang w:val="es-ES"/>
        </w:rPr>
        <w:t>275</w:t>
      </w:r>
      <w:r w:rsidRPr="00C23B5E">
        <w:rPr>
          <w:lang w:val="es-ES"/>
        </w:rPr>
        <w:noBreakHyphen/>
        <w:t>3 000</w:t>
      </w:r>
      <w:r w:rsidR="00C60057" w:rsidRPr="00C23B5E">
        <w:rPr>
          <w:lang w:val="es-ES"/>
        </w:rPr>
        <w:t> </w:t>
      </w:r>
      <w:r w:rsidRPr="00C23B5E">
        <w:rPr>
          <w:lang w:val="es-ES"/>
        </w:rPr>
        <w:t>GHz;</w:t>
      </w:r>
    </w:p>
    <w:p w14:paraId="6A80CA50" w14:textId="2B1DD541" w:rsidR="00F27083" w:rsidRPr="00C23B5E" w:rsidRDefault="00F27083">
      <w:pPr>
        <w:rPr>
          <w:lang w:val="es-ES"/>
        </w:rPr>
      </w:pPr>
      <w:r w:rsidRPr="00C23B5E">
        <w:rPr>
          <w:lang w:val="es-ES"/>
        </w:rPr>
        <w:lastRenderedPageBreak/>
        <w:t>2</w:t>
      </w:r>
      <w:r w:rsidRPr="00C23B5E">
        <w:rPr>
          <w:lang w:val="es-ES"/>
        </w:rPr>
        <w:tab/>
      </w:r>
      <w:r w:rsidR="00C60057" w:rsidRPr="00C23B5E">
        <w:rPr>
          <w:lang w:val="es-ES"/>
        </w:rPr>
        <w:t>a estudiar las características</w:t>
      </w:r>
      <w:r w:rsidR="00924399" w:rsidRPr="00C23B5E">
        <w:rPr>
          <w:lang w:val="es-ES"/>
        </w:rPr>
        <w:t xml:space="preserve"> técnicas y</w:t>
      </w:r>
      <w:r w:rsidR="00D82C2E" w:rsidRPr="00C23B5E">
        <w:rPr>
          <w:lang w:val="es-ES"/>
        </w:rPr>
        <w:t xml:space="preserve"> operativas</w:t>
      </w:r>
      <w:r w:rsidR="00C60057" w:rsidRPr="00C23B5E">
        <w:rPr>
          <w:lang w:val="es-ES"/>
        </w:rPr>
        <w:t xml:space="preserve">, los requisitos y el rendimiento </w:t>
      </w:r>
      <w:r w:rsidR="005D4859" w:rsidRPr="00C23B5E">
        <w:rPr>
          <w:lang w:val="es-ES"/>
        </w:rPr>
        <w:t>asociados con</w:t>
      </w:r>
      <w:r w:rsidR="00C60057" w:rsidRPr="00C23B5E">
        <w:rPr>
          <w:lang w:val="es-ES"/>
        </w:rPr>
        <w:t xml:space="preserve"> la utilización de las frecuencias por encima de </w:t>
      </w:r>
      <w:r w:rsidRPr="00C23B5E">
        <w:rPr>
          <w:lang w:val="es-ES"/>
        </w:rPr>
        <w:t>275 GHz;</w:t>
      </w:r>
    </w:p>
    <w:p w14:paraId="05D0C59E" w14:textId="7A8C6F7C" w:rsidR="00F27083" w:rsidRPr="00C23B5E" w:rsidRDefault="00887904" w:rsidP="00D45449">
      <w:pPr>
        <w:rPr>
          <w:lang w:val="es-ES"/>
        </w:rPr>
      </w:pPr>
      <w:r w:rsidRPr="00C23B5E">
        <w:rPr>
          <w:lang w:val="es-ES"/>
        </w:rPr>
        <w:t>3</w:t>
      </w:r>
      <w:r w:rsidRPr="00C23B5E">
        <w:rPr>
          <w:lang w:val="es-ES"/>
        </w:rPr>
        <w:tab/>
        <w:t xml:space="preserve">a examinar las condiciones técnicas vinculadas a la implantación </w:t>
      </w:r>
      <w:r w:rsidR="00EB571A" w:rsidRPr="00C23B5E">
        <w:rPr>
          <w:lang w:val="es-ES"/>
        </w:rPr>
        <w:t xml:space="preserve">y utilización de sistemas de radiocomunicaciones que </w:t>
      </w:r>
      <w:r w:rsidR="00924399" w:rsidRPr="00C23B5E">
        <w:rPr>
          <w:lang w:val="es-ES"/>
        </w:rPr>
        <w:t>funcionan</w:t>
      </w:r>
      <w:r w:rsidR="00EB571A" w:rsidRPr="00C23B5E">
        <w:rPr>
          <w:lang w:val="es-ES"/>
        </w:rPr>
        <w:t xml:space="preserve"> en la banda 275-3 000 GHz </w:t>
      </w:r>
      <w:r w:rsidRPr="00C23B5E">
        <w:rPr>
          <w:lang w:val="es-ES"/>
        </w:rPr>
        <w:t xml:space="preserve">con miras a facilitar, garantizar y mejorar la coexistencia y la compartición entre los </w:t>
      </w:r>
      <w:r w:rsidR="00EB571A" w:rsidRPr="00C23B5E">
        <w:rPr>
          <w:lang w:val="es-ES"/>
        </w:rPr>
        <w:t xml:space="preserve">sistemas </w:t>
      </w:r>
      <w:r w:rsidRPr="00C23B5E">
        <w:rPr>
          <w:lang w:val="es-ES"/>
        </w:rPr>
        <w:t>de radiocomunicaciones en bandas de frecuencias específicas;</w:t>
      </w:r>
    </w:p>
    <w:p w14:paraId="72E94CD3" w14:textId="290CE94A" w:rsidR="0017791F" w:rsidRPr="00C23B5E" w:rsidRDefault="0017791F">
      <w:pPr>
        <w:rPr>
          <w:lang w:val="es-ES"/>
        </w:rPr>
      </w:pPr>
      <w:r w:rsidRPr="00C23B5E">
        <w:rPr>
          <w:bCs/>
          <w:lang w:val="es-ES"/>
        </w:rPr>
        <w:t>4</w:t>
      </w:r>
      <w:r w:rsidRPr="00C23B5E">
        <w:rPr>
          <w:lang w:val="es-ES"/>
        </w:rPr>
        <w:tab/>
      </w:r>
      <w:r w:rsidR="00EB571A" w:rsidRPr="00C23B5E">
        <w:rPr>
          <w:lang w:val="es-ES"/>
        </w:rPr>
        <w:t xml:space="preserve">a </w:t>
      </w:r>
      <w:r w:rsidRPr="00C23B5E">
        <w:rPr>
          <w:lang w:val="es-ES"/>
        </w:rPr>
        <w:t>elaborar las Recomendaciones e/o Informes UIT-R pertinentes sobre la base de los citados estudios, según corresponda,</w:t>
      </w:r>
    </w:p>
    <w:p w14:paraId="22E9F81D" w14:textId="1F35DE20" w:rsidR="00F27083" w:rsidRPr="00C23B5E" w:rsidRDefault="00887904">
      <w:pPr>
        <w:pStyle w:val="Call"/>
        <w:rPr>
          <w:lang w:val="es-ES"/>
        </w:rPr>
      </w:pPr>
      <w:r w:rsidRPr="00C23B5E">
        <w:rPr>
          <w:lang w:val="es-ES"/>
        </w:rPr>
        <w:t>invita a los miembros</w:t>
      </w:r>
    </w:p>
    <w:p w14:paraId="232491E5" w14:textId="33D8F49C" w:rsidR="00F27083" w:rsidRPr="00C23B5E" w:rsidRDefault="0017791F">
      <w:pPr>
        <w:rPr>
          <w:lang w:val="es-ES"/>
        </w:rPr>
      </w:pPr>
      <w:r w:rsidRPr="00C23B5E">
        <w:rPr>
          <w:lang w:val="es-ES"/>
        </w:rPr>
        <w:t>a participar activamente en la aplicación de la presente Resolución, entre otras, proporcionando contribuciones al UIT-R y presentando la información pertinente desde fuera del UIT</w:t>
      </w:r>
      <w:r w:rsidR="003356B1">
        <w:rPr>
          <w:lang w:val="es-ES"/>
        </w:rPr>
        <w:noBreakHyphen/>
      </w:r>
      <w:r w:rsidRPr="00C23B5E">
        <w:rPr>
          <w:lang w:val="es-ES"/>
        </w:rPr>
        <w:t>R.</w:t>
      </w:r>
    </w:p>
    <w:p w14:paraId="05D14C34" w14:textId="77777777" w:rsidR="00F27083" w:rsidRPr="00C23B5E" w:rsidRDefault="00F27083">
      <w:pPr>
        <w:pStyle w:val="Reasons"/>
        <w:rPr>
          <w:lang w:val="es-ES"/>
        </w:rPr>
      </w:pPr>
    </w:p>
    <w:p w14:paraId="49650F47" w14:textId="77777777" w:rsidR="00F27083" w:rsidRPr="00C23B5E" w:rsidRDefault="00F27083">
      <w:pPr>
        <w:jc w:val="center"/>
        <w:rPr>
          <w:lang w:val="es-ES"/>
        </w:rPr>
      </w:pPr>
      <w:r w:rsidRPr="00C23B5E">
        <w:rPr>
          <w:lang w:val="es-ES"/>
        </w:rPr>
        <w:t>______________</w:t>
      </w:r>
    </w:p>
    <w:sectPr w:rsidR="00F27083" w:rsidRPr="00C23B5E" w:rsidSect="0022505D">
      <w:headerReference w:type="default" r:id="rId28"/>
      <w:footerReference w:type="even" r:id="rId29"/>
      <w:footerReference w:type="default" r:id="rId30"/>
      <w:footerReference w:type="first" r:id="rId3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78480" w14:textId="77777777" w:rsidR="0081793B" w:rsidRDefault="0081793B">
      <w:r>
        <w:separator/>
      </w:r>
    </w:p>
  </w:endnote>
  <w:endnote w:type="continuationSeparator" w:id="0">
    <w:p w14:paraId="3DB00D0A" w14:textId="77777777" w:rsidR="0081793B" w:rsidRDefault="0081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2FA4" w14:textId="3A2820D1" w:rsidR="00020ACE" w:rsidRPr="007B6570" w:rsidRDefault="00020ACE">
    <w:pPr>
      <w:rPr>
        <w:lang w:val="es-ES"/>
      </w:rPr>
    </w:pPr>
    <w:r>
      <w:fldChar w:fldCharType="begin"/>
    </w:r>
    <w:r w:rsidRPr="007B6570">
      <w:rPr>
        <w:lang w:val="es-ES"/>
      </w:rPr>
      <w:instrText xml:space="preserve"> FILENAME \p  \* MERGEFORMAT </w:instrText>
    </w:r>
    <w:r>
      <w:fldChar w:fldCharType="separate"/>
    </w:r>
    <w:r w:rsidR="004147AC">
      <w:rPr>
        <w:noProof/>
        <w:lang w:val="es-ES"/>
      </w:rPr>
      <w:t>P:\ESP\ITU-R\CONF-R\AR19\PLEN\000\017S.docx</w:t>
    </w:r>
    <w:r>
      <w:fldChar w:fldCharType="end"/>
    </w:r>
    <w:r w:rsidRPr="007B657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47AC">
      <w:rPr>
        <w:noProof/>
      </w:rPr>
      <w:t>02.10.19</w:t>
    </w:r>
    <w:r>
      <w:fldChar w:fldCharType="end"/>
    </w:r>
    <w:r w:rsidRPr="007B657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7AC"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EF856" w14:textId="30FE1848" w:rsidR="00020ACE" w:rsidRPr="008707C4" w:rsidRDefault="00695837" w:rsidP="008707C4">
    <w:pPr>
      <w:pStyle w:val="Footer"/>
      <w:rPr>
        <w:lang w:val="es-ES"/>
      </w:rPr>
    </w:pPr>
    <w:fldSimple w:instr=" FILENAME \p  \* MERGEFORMAT ">
      <w:r w:rsidR="004147AC">
        <w:t>P:\ESP\ITU-R\CONF-R\AR19\PLEN\000\017S.docx</w:t>
      </w:r>
    </w:fldSimple>
    <w:r w:rsidR="008707C4">
      <w:t xml:space="preserve"> (461485)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6B72" w14:textId="6C08F93F" w:rsidR="00F27083" w:rsidRPr="007B6570" w:rsidRDefault="00F27083" w:rsidP="00F27083">
    <w:pPr>
      <w:pStyle w:val="Footer"/>
      <w:rPr>
        <w:lang w:val="es-ES"/>
      </w:rPr>
    </w:pPr>
    <w:r>
      <w:fldChar w:fldCharType="begin"/>
    </w:r>
    <w:r w:rsidRPr="007B6570">
      <w:rPr>
        <w:lang w:val="es-ES"/>
      </w:rPr>
      <w:instrText xml:space="preserve"> FILENAME \p  \* MERGEFORMAT </w:instrText>
    </w:r>
    <w:r>
      <w:fldChar w:fldCharType="separate"/>
    </w:r>
    <w:r w:rsidR="004147AC">
      <w:rPr>
        <w:lang w:val="es-ES"/>
      </w:rPr>
      <w:t>P:\ESP\ITU-R\CONF-R\AR19\PLEN\000\017S.docx</w:t>
    </w:r>
    <w:r>
      <w:fldChar w:fldCharType="end"/>
    </w:r>
    <w:r w:rsidRPr="007B6570">
      <w:rPr>
        <w:lang w:val="es-ES"/>
      </w:rPr>
      <w:t xml:space="preserve"> (461485)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3F7C5" w14:textId="77777777" w:rsidR="0081793B" w:rsidRDefault="0081793B">
      <w:r>
        <w:rPr>
          <w:b/>
        </w:rPr>
        <w:t>_______________</w:t>
      </w:r>
    </w:p>
  </w:footnote>
  <w:footnote w:type="continuationSeparator" w:id="0">
    <w:p w14:paraId="4407D659" w14:textId="77777777" w:rsidR="0081793B" w:rsidRDefault="0081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A618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2615AAFB" w14:textId="3BA1F6EF" w:rsidR="0022505D" w:rsidRDefault="0022505D" w:rsidP="0022505D">
    <w:pPr>
      <w:pStyle w:val="Header"/>
    </w:pPr>
    <w:r>
      <w:t>RA19/</w:t>
    </w:r>
    <w:r w:rsidR="00F27083">
      <w:t>PLEN/17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3B"/>
    <w:rsid w:val="00012B52"/>
    <w:rsid w:val="00013FEF"/>
    <w:rsid w:val="00016A7C"/>
    <w:rsid w:val="00020ACE"/>
    <w:rsid w:val="000B3E2F"/>
    <w:rsid w:val="00105432"/>
    <w:rsid w:val="00110D1F"/>
    <w:rsid w:val="0011100B"/>
    <w:rsid w:val="00124F1D"/>
    <w:rsid w:val="001721DD"/>
    <w:rsid w:val="0017791F"/>
    <w:rsid w:val="001915B0"/>
    <w:rsid w:val="001C2133"/>
    <w:rsid w:val="00217E9C"/>
    <w:rsid w:val="0022505D"/>
    <w:rsid w:val="002334F2"/>
    <w:rsid w:val="002B1F44"/>
    <w:rsid w:val="002B6243"/>
    <w:rsid w:val="002B6629"/>
    <w:rsid w:val="002C0919"/>
    <w:rsid w:val="002D2769"/>
    <w:rsid w:val="002E4656"/>
    <w:rsid w:val="00303493"/>
    <w:rsid w:val="003356B1"/>
    <w:rsid w:val="003B10EA"/>
    <w:rsid w:val="003E5EA8"/>
    <w:rsid w:val="004147AC"/>
    <w:rsid w:val="00434BF9"/>
    <w:rsid w:val="00437FB8"/>
    <w:rsid w:val="00466F3C"/>
    <w:rsid w:val="00487BD0"/>
    <w:rsid w:val="004E0477"/>
    <w:rsid w:val="004F347B"/>
    <w:rsid w:val="004F6CFC"/>
    <w:rsid w:val="005335D1"/>
    <w:rsid w:val="00554458"/>
    <w:rsid w:val="005648DF"/>
    <w:rsid w:val="005A279A"/>
    <w:rsid w:val="005C4F7E"/>
    <w:rsid w:val="005C756F"/>
    <w:rsid w:val="005D4859"/>
    <w:rsid w:val="006050EE"/>
    <w:rsid w:val="00693CB4"/>
    <w:rsid w:val="00695837"/>
    <w:rsid w:val="007551CA"/>
    <w:rsid w:val="007B1BF9"/>
    <w:rsid w:val="007B6570"/>
    <w:rsid w:val="0081793B"/>
    <w:rsid w:val="008246E6"/>
    <w:rsid w:val="008707C4"/>
    <w:rsid w:val="00887904"/>
    <w:rsid w:val="008B4B57"/>
    <w:rsid w:val="008C2AC3"/>
    <w:rsid w:val="008E02B6"/>
    <w:rsid w:val="008F013B"/>
    <w:rsid w:val="008F74B3"/>
    <w:rsid w:val="00914798"/>
    <w:rsid w:val="00924399"/>
    <w:rsid w:val="009630C4"/>
    <w:rsid w:val="009C3873"/>
    <w:rsid w:val="00AF0841"/>
    <w:rsid w:val="00AF7660"/>
    <w:rsid w:val="00B24302"/>
    <w:rsid w:val="00B43605"/>
    <w:rsid w:val="00B46B31"/>
    <w:rsid w:val="00B5074A"/>
    <w:rsid w:val="00B93820"/>
    <w:rsid w:val="00BA00E1"/>
    <w:rsid w:val="00BA3DBD"/>
    <w:rsid w:val="00BB01B1"/>
    <w:rsid w:val="00BF1023"/>
    <w:rsid w:val="00C23B5E"/>
    <w:rsid w:val="00C278F8"/>
    <w:rsid w:val="00C60057"/>
    <w:rsid w:val="00CB229D"/>
    <w:rsid w:val="00CE64E9"/>
    <w:rsid w:val="00D32D4F"/>
    <w:rsid w:val="00D45449"/>
    <w:rsid w:val="00D52F33"/>
    <w:rsid w:val="00D82C2E"/>
    <w:rsid w:val="00DE35E9"/>
    <w:rsid w:val="00E01901"/>
    <w:rsid w:val="00E204B6"/>
    <w:rsid w:val="00E307F2"/>
    <w:rsid w:val="00E850C9"/>
    <w:rsid w:val="00EB571A"/>
    <w:rsid w:val="00EB5C7B"/>
    <w:rsid w:val="00F07D6D"/>
    <w:rsid w:val="00F27083"/>
    <w:rsid w:val="00F81F39"/>
    <w:rsid w:val="00F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52438A"/>
  <w15:docId w15:val="{F3F56F95-B520-4E18-BA4D-5C459D6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F27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0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3FE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779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791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QUE-SG05.257/es" TargetMode="External"/><Relationship Id="rId18" Type="http://schemas.openxmlformats.org/officeDocument/2006/relationships/hyperlink" Target="https://www.itu.int/pub/R-QUE-SG05.256/es" TargetMode="External"/><Relationship Id="rId26" Type="http://schemas.openxmlformats.org/officeDocument/2006/relationships/hyperlink" Target="https://www.itu.int/pub/R-REP-SM.2352/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pub/R-REP-F.2416/e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QUE-SG05.256/es" TargetMode="External"/><Relationship Id="rId17" Type="http://schemas.openxmlformats.org/officeDocument/2006/relationships/hyperlink" Target="https://www.itu.int/pub/R-QUE-SG04.264/es" TargetMode="External"/><Relationship Id="rId25" Type="http://schemas.openxmlformats.org/officeDocument/2006/relationships/hyperlink" Target="https://www.itu.int/pub/R-REP-RS.2431/es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R-QUE-SG03.228/es" TargetMode="External"/><Relationship Id="rId20" Type="http://schemas.openxmlformats.org/officeDocument/2006/relationships/hyperlink" Target="https://www.itu.int/pub/R-QUE-SG07.257/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QUE-SG04.264/es" TargetMode="External"/><Relationship Id="rId24" Type="http://schemas.openxmlformats.org/officeDocument/2006/relationships/hyperlink" Target="https://www.itu.int/pub/R-REP-RS.2194/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QUE-SG01.237/es" TargetMode="External"/><Relationship Id="rId23" Type="http://schemas.openxmlformats.org/officeDocument/2006/relationships/hyperlink" Target="https://www.itu.int/pub/R-REP-RA.2189/e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pub/R-QUE-SG03.228/es" TargetMode="External"/><Relationship Id="rId19" Type="http://schemas.openxmlformats.org/officeDocument/2006/relationships/hyperlink" Target="https://www.itu.int/pub/R-QUE-SG05.257/es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1.237/es" TargetMode="External"/><Relationship Id="rId14" Type="http://schemas.openxmlformats.org/officeDocument/2006/relationships/hyperlink" Target="https://www.itu.int/pub/R-QUE-SG07.257/es" TargetMode="External"/><Relationship Id="rId22" Type="http://schemas.openxmlformats.org/officeDocument/2006/relationships/hyperlink" Target="https://www.itu.int/pub/R-REP-M.2417/es" TargetMode="External"/><Relationship Id="rId27" Type="http://schemas.openxmlformats.org/officeDocument/2006/relationships/hyperlink" Target="https://www.itu.int/pub/R-RES-R.37/es" TargetMode="External"/><Relationship Id="rId30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5FD0-81B2-4D3D-B1AB-953A9A9F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55</TotalTime>
  <Pages>4</Pages>
  <Words>1061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19</cp:revision>
  <cp:lastPrinted>2019-10-03T08:48:00Z</cp:lastPrinted>
  <dcterms:created xsi:type="dcterms:W3CDTF">2019-09-30T08:35:00Z</dcterms:created>
  <dcterms:modified xsi:type="dcterms:W3CDTF">2019-10-03T09:02:00Z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