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D06102" w14:paraId="590F6C11" w14:textId="77777777">
        <w:trPr>
          <w:cantSplit/>
        </w:trPr>
        <w:tc>
          <w:tcPr>
            <w:tcW w:w="6468" w:type="dxa"/>
          </w:tcPr>
          <w:p w14:paraId="39B50E4F" w14:textId="77777777" w:rsidR="00703FFC" w:rsidRPr="00D06102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D061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D061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D061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D0610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14:paraId="71F2C603" w14:textId="470C339E" w:rsidR="00943EBD" w:rsidRPr="00D06102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D06102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D0610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D0610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14:paraId="09A34EB7" w14:textId="77777777" w:rsidR="00943EBD" w:rsidRPr="00D06102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D06102">
              <w:rPr>
                <w:lang w:val="ru-RU"/>
              </w:rPr>
              <w:drawing>
                <wp:inline distT="0" distB="0" distL="0" distR="0" wp14:anchorId="67723CB3" wp14:editId="248F8D19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D06102" w14:paraId="2937969F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3FB19ABF" w14:textId="77777777" w:rsidR="00943EBD" w:rsidRPr="00D0610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1B8A71AC" w14:textId="77777777" w:rsidR="00943EBD" w:rsidRPr="00D0610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D06102" w14:paraId="7BC288C8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549A2202" w14:textId="77777777" w:rsidR="00943EBD" w:rsidRPr="00D0610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3817952C" w14:textId="77777777" w:rsidR="00943EBD" w:rsidRPr="00D0610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D06102" w14:paraId="71A5F69F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71064BA7" w14:textId="12DCAC4F" w:rsidR="00943EBD" w:rsidRPr="00D06102" w:rsidRDefault="007F50B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D0610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14:paraId="19912E32" w14:textId="40C03653" w:rsidR="00943EBD" w:rsidRPr="00D06102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proofErr w:type="spellEnd"/>
            <w:r w:rsidR="003E26B6"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7F50B2"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7F50B2"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/17</w:t>
            </w:r>
            <w:r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D06102" w14:paraId="5B334A19" w14:textId="77777777">
        <w:trPr>
          <w:cantSplit/>
          <w:trHeight w:val="23"/>
        </w:trPr>
        <w:tc>
          <w:tcPr>
            <w:tcW w:w="6468" w:type="dxa"/>
            <w:vMerge/>
          </w:tcPr>
          <w:p w14:paraId="06F33663" w14:textId="77777777" w:rsidR="00943EBD" w:rsidRPr="00D0610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3B7A3AEC" w14:textId="07D27078" w:rsidR="00943EBD" w:rsidRPr="00D06102" w:rsidRDefault="007F50B2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25 сентября</w:t>
            </w:r>
            <w:r w:rsidR="00AD4505"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D0610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D06102" w14:paraId="4EE7B4E4" w14:textId="77777777">
        <w:trPr>
          <w:cantSplit/>
          <w:trHeight w:val="23"/>
        </w:trPr>
        <w:tc>
          <w:tcPr>
            <w:tcW w:w="6468" w:type="dxa"/>
            <w:vMerge/>
          </w:tcPr>
          <w:p w14:paraId="59AE7D2B" w14:textId="77777777" w:rsidR="00943EBD" w:rsidRPr="00D0610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1604BD88" w14:textId="77777777" w:rsidR="00943EBD" w:rsidRPr="00D06102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D06102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D06102" w14:paraId="4594DA71" w14:textId="77777777">
        <w:trPr>
          <w:cantSplit/>
        </w:trPr>
        <w:tc>
          <w:tcPr>
            <w:tcW w:w="10031" w:type="dxa"/>
            <w:gridSpan w:val="2"/>
          </w:tcPr>
          <w:p w14:paraId="2A13684B" w14:textId="62D11052" w:rsidR="00943EBD" w:rsidRPr="00D06102" w:rsidRDefault="007F50B2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D06102">
              <w:rPr>
                <w:lang w:val="ru-RU" w:eastAsia="zh-CN"/>
              </w:rPr>
              <w:t>Канада</w:t>
            </w:r>
          </w:p>
        </w:tc>
      </w:tr>
      <w:tr w:rsidR="00943EBD" w:rsidRPr="00D06102" w14:paraId="0AC74DEE" w14:textId="77777777">
        <w:trPr>
          <w:cantSplit/>
        </w:trPr>
        <w:tc>
          <w:tcPr>
            <w:tcW w:w="10031" w:type="dxa"/>
            <w:gridSpan w:val="2"/>
          </w:tcPr>
          <w:p w14:paraId="7A8CE8AE" w14:textId="112A81CB" w:rsidR="00943EBD" w:rsidRPr="00D06102" w:rsidRDefault="00F25B5F" w:rsidP="002450CF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D06102">
              <w:rPr>
                <w:lang w:val="ru-RU"/>
              </w:rPr>
              <w:t>ПРЕДЛАГАЕМЫЙ</w:t>
            </w:r>
            <w:r w:rsidR="007409CD" w:rsidRPr="00D06102">
              <w:rPr>
                <w:lang w:val="ru-RU"/>
              </w:rPr>
              <w:t xml:space="preserve"> проект новой резолюции мсэ</w:t>
            </w:r>
            <w:r w:rsidR="007F50B2" w:rsidRPr="00D06102">
              <w:rPr>
                <w:lang w:val="ru-RU"/>
              </w:rPr>
              <w:t>-R</w:t>
            </w:r>
            <w:r w:rsidR="007409CD" w:rsidRPr="00D06102">
              <w:rPr>
                <w:lang w:val="ru-RU"/>
              </w:rPr>
              <w:t xml:space="preserve"> об исследованиях</w:t>
            </w:r>
            <w:r w:rsidR="002450CF" w:rsidRPr="00D06102">
              <w:rPr>
                <w:lang w:val="ru-RU"/>
              </w:rPr>
              <w:t xml:space="preserve"> по</w:t>
            </w:r>
            <w:r w:rsidR="007409CD" w:rsidRPr="00D06102">
              <w:rPr>
                <w:lang w:val="ru-RU"/>
              </w:rPr>
              <w:t xml:space="preserve"> внедрени</w:t>
            </w:r>
            <w:r w:rsidR="002450CF" w:rsidRPr="00D06102">
              <w:rPr>
                <w:lang w:val="ru-RU"/>
              </w:rPr>
              <w:t>ю</w:t>
            </w:r>
            <w:r w:rsidR="007409CD" w:rsidRPr="00D06102">
              <w:rPr>
                <w:lang w:val="ru-RU"/>
              </w:rPr>
              <w:t xml:space="preserve"> и использовани</w:t>
            </w:r>
            <w:r w:rsidR="002450CF" w:rsidRPr="00D06102">
              <w:rPr>
                <w:lang w:val="ru-RU"/>
              </w:rPr>
              <w:t>ю</w:t>
            </w:r>
            <w:r w:rsidR="007409CD" w:rsidRPr="00D06102">
              <w:rPr>
                <w:lang w:val="ru-RU"/>
              </w:rPr>
              <w:t xml:space="preserve"> систем РАДИОСВЯЗИ, </w:t>
            </w:r>
            <w:r w:rsidR="001A0B7B" w:rsidRPr="00D06102">
              <w:rPr>
                <w:lang w:val="ru-RU"/>
              </w:rPr>
              <w:br/>
            </w:r>
            <w:r w:rsidR="007409CD" w:rsidRPr="00D06102">
              <w:rPr>
                <w:lang w:val="ru-RU"/>
              </w:rPr>
              <w:t>РАБОТАЮЩИХ на частотах выше 275 ГГ</w:t>
            </w:r>
            <w:r w:rsidR="00A07E56" w:rsidRPr="00D06102">
              <w:rPr>
                <w:caps w:val="0"/>
                <w:lang w:val="ru-RU"/>
              </w:rPr>
              <w:t>ц</w:t>
            </w:r>
          </w:p>
        </w:tc>
      </w:tr>
      <w:tr w:rsidR="00943EBD" w:rsidRPr="00D06102" w14:paraId="376F00A7" w14:textId="77777777">
        <w:trPr>
          <w:cantSplit/>
        </w:trPr>
        <w:tc>
          <w:tcPr>
            <w:tcW w:w="10031" w:type="dxa"/>
            <w:gridSpan w:val="2"/>
          </w:tcPr>
          <w:p w14:paraId="1B055A89" w14:textId="77777777" w:rsidR="00943EBD" w:rsidRPr="00D06102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D06102" w14:paraId="0F527806" w14:textId="77777777">
        <w:trPr>
          <w:cantSplit/>
        </w:trPr>
        <w:tc>
          <w:tcPr>
            <w:tcW w:w="10031" w:type="dxa"/>
            <w:gridSpan w:val="2"/>
          </w:tcPr>
          <w:p w14:paraId="3878DA10" w14:textId="77777777" w:rsidR="00943EBD" w:rsidRPr="00D06102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1729CD3C" w14:textId="3D98BCF0" w:rsidR="00A80D47" w:rsidRPr="00D06102" w:rsidRDefault="00A80D47" w:rsidP="00683524">
      <w:pPr>
        <w:pStyle w:val="Headingb"/>
        <w:rPr>
          <w:lang w:val="ru-RU" w:eastAsia="zh-CN"/>
        </w:rPr>
      </w:pPr>
      <w:r w:rsidRPr="00D06102">
        <w:rPr>
          <w:lang w:val="ru-RU" w:eastAsia="zh-CN"/>
        </w:rPr>
        <w:t xml:space="preserve">Базовая информация и </w:t>
      </w:r>
      <w:r w:rsidR="00826CC8" w:rsidRPr="00D06102">
        <w:rPr>
          <w:lang w:val="ru-RU" w:eastAsia="zh-CN"/>
        </w:rPr>
        <w:t>обсуждение</w:t>
      </w:r>
    </w:p>
    <w:p w14:paraId="1FD9C013" w14:textId="262C04C3" w:rsidR="007F50B2" w:rsidRPr="00D06102" w:rsidRDefault="00BE2A09" w:rsidP="007F50B2">
      <w:pPr>
        <w:rPr>
          <w:b/>
          <w:lang w:val="ru-RU" w:eastAsia="zh-CN"/>
        </w:rPr>
      </w:pPr>
      <w:r w:rsidRPr="00D06102">
        <w:rPr>
          <w:lang w:val="ru-RU" w:eastAsia="zh-CN"/>
        </w:rPr>
        <w:t>В</w:t>
      </w:r>
      <w:r w:rsidR="009426B8" w:rsidRPr="00D06102">
        <w:rPr>
          <w:lang w:val="ru-RU" w:eastAsia="zh-CN"/>
        </w:rPr>
        <w:t xml:space="preserve"> Р</w:t>
      </w:r>
      <w:r w:rsidR="00F25B5F" w:rsidRPr="00D06102">
        <w:rPr>
          <w:lang w:val="ru-RU" w:eastAsia="zh-CN"/>
        </w:rPr>
        <w:t>егламенте радиосвязи</w:t>
      </w:r>
      <w:r w:rsidR="009426B8" w:rsidRPr="00D06102">
        <w:rPr>
          <w:lang w:val="ru-RU" w:eastAsia="zh-CN"/>
        </w:rPr>
        <w:t xml:space="preserve"> отсутствуют распределения частот выше 275 ГГц,</w:t>
      </w:r>
      <w:r w:rsidRPr="00D06102">
        <w:rPr>
          <w:lang w:val="ru-RU" w:eastAsia="zh-CN"/>
        </w:rPr>
        <w:t xml:space="preserve"> при этом</w:t>
      </w:r>
      <w:r w:rsidR="009426B8" w:rsidRPr="00D06102">
        <w:rPr>
          <w:lang w:val="ru-RU" w:eastAsia="zh-CN"/>
        </w:rPr>
        <w:t xml:space="preserve"> некоторые полосы частот определены для использования администрациями для применений пассивных служб (см. </w:t>
      </w:r>
      <w:r w:rsidR="00826CC8" w:rsidRPr="00D06102">
        <w:rPr>
          <w:lang w:val="ru-RU" w:eastAsia="zh-CN"/>
        </w:rPr>
        <w:t xml:space="preserve">п. </w:t>
      </w:r>
      <w:r w:rsidR="009426B8" w:rsidRPr="00D06102">
        <w:rPr>
          <w:b/>
          <w:lang w:val="ru-RU" w:eastAsia="zh-CN"/>
        </w:rPr>
        <w:t>5.565</w:t>
      </w:r>
      <w:r w:rsidR="009426B8" w:rsidRPr="00D06102">
        <w:rPr>
          <w:lang w:val="ru-RU" w:eastAsia="zh-CN"/>
        </w:rPr>
        <w:t>). Ис</w:t>
      </w:r>
      <w:r w:rsidRPr="00D06102">
        <w:rPr>
          <w:lang w:val="ru-RU" w:eastAsia="zh-CN"/>
        </w:rPr>
        <w:t>пользование диап</w:t>
      </w:r>
      <w:bookmarkStart w:id="11" w:name="_GoBack"/>
      <w:bookmarkEnd w:id="11"/>
      <w:r w:rsidRPr="00D06102">
        <w:rPr>
          <w:lang w:val="ru-RU" w:eastAsia="zh-CN"/>
        </w:rPr>
        <w:t>азона 275−1000 ГГц пассивными службами не исключает возможности использования этого диапазона активными службами</w:t>
      </w:r>
      <w:r w:rsidR="006B251A" w:rsidRPr="00D06102">
        <w:rPr>
          <w:lang w:val="ru-RU" w:eastAsia="zh-CN"/>
        </w:rPr>
        <w:t xml:space="preserve">, </w:t>
      </w:r>
      <w:r w:rsidR="00F25B5F" w:rsidRPr="00D06102">
        <w:rPr>
          <w:lang w:val="ru-RU" w:eastAsia="zh-CN"/>
        </w:rPr>
        <w:t>а</w:t>
      </w:r>
      <w:r w:rsidR="006B251A" w:rsidRPr="00D06102">
        <w:rPr>
          <w:lang w:val="ru-RU" w:eastAsia="zh-CN"/>
        </w:rPr>
        <w:t xml:space="preserve"> все частоты в диапазоне 1000−3000 ГГц могут использоваться как активными, так и пассивными службами. Кроме того, пункт</w:t>
      </w:r>
      <w:r w:rsidR="001A0B7B" w:rsidRPr="00D06102">
        <w:rPr>
          <w:lang w:val="ru-RU" w:eastAsia="zh-CN"/>
        </w:rPr>
        <w:t> </w:t>
      </w:r>
      <w:r w:rsidR="00A80D47" w:rsidRPr="00D06102">
        <w:rPr>
          <w:lang w:val="ru-RU" w:eastAsia="zh-CN"/>
        </w:rPr>
        <w:t>1.15</w:t>
      </w:r>
      <w:r w:rsidR="006B251A" w:rsidRPr="00D06102">
        <w:rPr>
          <w:lang w:val="ru-RU" w:eastAsia="zh-CN"/>
        </w:rPr>
        <w:t xml:space="preserve"> повестки дня ВКР-19 предусматривает проведение исследований для </w:t>
      </w:r>
      <w:r w:rsidR="00A80D47" w:rsidRPr="00D06102">
        <w:rPr>
          <w:lang w:val="ru-RU" w:eastAsia="zh-CN"/>
        </w:rPr>
        <w:t>определени</w:t>
      </w:r>
      <w:r w:rsidR="006B251A" w:rsidRPr="00D06102">
        <w:rPr>
          <w:lang w:val="ru-RU" w:eastAsia="zh-CN"/>
        </w:rPr>
        <w:t>я</w:t>
      </w:r>
      <w:r w:rsidR="00A80D47" w:rsidRPr="00D06102">
        <w:rPr>
          <w:lang w:val="ru-RU" w:eastAsia="zh-CN"/>
        </w:rPr>
        <w:t xml:space="preserve"> полос частот с целью использования администрациями для применений сухопутной подвижной и фиксированной служб, работающих в </w:t>
      </w:r>
      <w:r w:rsidR="006B251A" w:rsidRPr="00D06102">
        <w:rPr>
          <w:lang w:val="ru-RU" w:eastAsia="zh-CN"/>
        </w:rPr>
        <w:t>диапазоне</w:t>
      </w:r>
      <w:r w:rsidR="00A80D47" w:rsidRPr="00D06102">
        <w:rPr>
          <w:lang w:val="ru-RU" w:eastAsia="zh-CN"/>
        </w:rPr>
        <w:t xml:space="preserve"> частот 275−450 ГГц, в соответствии с Резолюцией</w:t>
      </w:r>
      <w:r w:rsidR="001A0B7B" w:rsidRPr="00D06102">
        <w:rPr>
          <w:lang w:val="ru-RU" w:eastAsia="zh-CN"/>
        </w:rPr>
        <w:t> </w:t>
      </w:r>
      <w:r w:rsidR="00A80D47" w:rsidRPr="00D06102">
        <w:rPr>
          <w:b/>
          <w:lang w:val="ru-RU" w:eastAsia="zh-CN"/>
        </w:rPr>
        <w:t>767 (ВКР-15)</w:t>
      </w:r>
      <w:r w:rsidR="006B251A" w:rsidRPr="00D06102">
        <w:rPr>
          <w:lang w:val="ru-RU" w:eastAsia="zh-CN"/>
        </w:rPr>
        <w:t xml:space="preserve">, </w:t>
      </w:r>
      <w:r w:rsidR="00B55F49" w:rsidRPr="00D06102">
        <w:rPr>
          <w:lang w:val="ru-RU" w:eastAsia="zh-CN"/>
        </w:rPr>
        <w:t>в результате чего могут появиться новые определения частот</w:t>
      </w:r>
      <w:r w:rsidR="007F50B2" w:rsidRPr="00D06102">
        <w:rPr>
          <w:lang w:val="ru-RU" w:eastAsia="zh-CN"/>
        </w:rPr>
        <w:t>.</w:t>
      </w:r>
    </w:p>
    <w:p w14:paraId="7FAA4E53" w14:textId="61CBB43F" w:rsidR="007F50B2" w:rsidRPr="00D06102" w:rsidRDefault="00B55F49" w:rsidP="007F50B2">
      <w:pPr>
        <w:rPr>
          <w:lang w:val="ru-RU" w:eastAsia="zh-CN"/>
        </w:rPr>
      </w:pPr>
      <w:r w:rsidRPr="00D06102">
        <w:rPr>
          <w:lang w:val="ru-RU" w:eastAsia="zh-CN"/>
        </w:rPr>
        <w:t>Существует также несколько вопросов</w:t>
      </w:r>
      <w:r w:rsidR="00632B5F" w:rsidRPr="00D06102">
        <w:rPr>
          <w:lang w:val="ru-RU" w:eastAsia="zh-CN"/>
        </w:rPr>
        <w:t xml:space="preserve"> </w:t>
      </w:r>
      <w:r w:rsidR="00826CC8" w:rsidRPr="00D06102">
        <w:rPr>
          <w:lang w:val="ru-RU" w:eastAsia="zh-CN"/>
        </w:rPr>
        <w:t xml:space="preserve">для изучения </w:t>
      </w:r>
      <w:r w:rsidR="00632B5F" w:rsidRPr="00D06102">
        <w:rPr>
          <w:lang w:val="ru-RU" w:eastAsia="zh-CN"/>
        </w:rPr>
        <w:t>МСЭ-R</w:t>
      </w:r>
      <w:r w:rsidRPr="00D06102">
        <w:rPr>
          <w:lang w:val="ru-RU" w:eastAsia="zh-CN"/>
        </w:rPr>
        <w:t xml:space="preserve">, касающихся аспектов распространения радиоволн, а также технических и эксплуатационных характеристик систем, работающих на частотах выше </w:t>
      </w:r>
      <w:r w:rsidR="007F50B2" w:rsidRPr="00D06102">
        <w:rPr>
          <w:lang w:val="ru-RU" w:eastAsia="zh-CN"/>
        </w:rPr>
        <w:t xml:space="preserve">275 ГГц: </w:t>
      </w:r>
    </w:p>
    <w:p w14:paraId="438BBF0D" w14:textId="48940280" w:rsidR="007F50B2" w:rsidRPr="00D06102" w:rsidRDefault="00AF5F26" w:rsidP="007F50B2">
      <w:pPr>
        <w:rPr>
          <w:lang w:val="ru-RU" w:eastAsia="zh-CN"/>
        </w:rPr>
      </w:pPr>
      <w:hyperlink r:id="rId8" w:history="1">
        <w:r w:rsidR="00B25ADA" w:rsidRPr="00D06102">
          <w:rPr>
            <w:rStyle w:val="Hyperlink"/>
            <w:lang w:val="ru-RU" w:eastAsia="zh-CN"/>
          </w:rPr>
          <w:t>Вопрос</w:t>
        </w:r>
        <w:r w:rsidR="007F50B2" w:rsidRPr="00D06102">
          <w:rPr>
            <w:rStyle w:val="Hyperlink"/>
            <w:lang w:val="ru-RU" w:eastAsia="zh-CN"/>
          </w:rPr>
          <w:t xml:space="preserve"> МСЭ-R 237/1</w:t>
        </w:r>
      </w:hyperlink>
      <w:r w:rsidR="007F50B2" w:rsidRPr="00D06102">
        <w:rPr>
          <w:lang w:val="ru-RU" w:eastAsia="zh-CN"/>
        </w:rPr>
        <w:t xml:space="preserve"> – </w:t>
      </w:r>
      <w:r w:rsidR="00680325" w:rsidRPr="00D06102">
        <w:rPr>
          <w:lang w:val="ru-RU"/>
        </w:rPr>
        <w:t>Технические и эксплуатационные характеристики активных служб, работающих в диапазоне 275–1000 ГГц</w:t>
      </w:r>
      <w:r w:rsidR="00A07E56" w:rsidRPr="00D06102">
        <w:rPr>
          <w:lang w:val="ru-RU"/>
        </w:rPr>
        <w:t>.</w:t>
      </w:r>
    </w:p>
    <w:p w14:paraId="632D1F60" w14:textId="7130CE40" w:rsidR="007F50B2" w:rsidRPr="00D06102" w:rsidRDefault="00AF5F26" w:rsidP="007F50B2">
      <w:pPr>
        <w:rPr>
          <w:lang w:val="ru-RU" w:eastAsia="zh-CN"/>
        </w:rPr>
      </w:pPr>
      <w:hyperlink r:id="rId9" w:history="1">
        <w:r w:rsidR="00B25ADA" w:rsidRPr="00D06102">
          <w:rPr>
            <w:rStyle w:val="Hyperlink"/>
            <w:lang w:val="ru-RU" w:eastAsia="zh-CN"/>
          </w:rPr>
          <w:t>Вопрос</w:t>
        </w:r>
        <w:r w:rsidR="007F50B2" w:rsidRPr="00D06102">
          <w:rPr>
            <w:rStyle w:val="Hyperlink"/>
            <w:lang w:val="ru-RU" w:eastAsia="zh-CN"/>
          </w:rPr>
          <w:t xml:space="preserve"> МСЭ-R 228/3</w:t>
        </w:r>
      </w:hyperlink>
      <w:r w:rsidR="007F50B2" w:rsidRPr="00D06102">
        <w:rPr>
          <w:lang w:val="ru-RU" w:eastAsia="zh-CN"/>
        </w:rPr>
        <w:t xml:space="preserve"> – </w:t>
      </w:r>
      <w:r w:rsidR="00680325" w:rsidRPr="00D06102">
        <w:rPr>
          <w:rFonts w:cs="Calibri"/>
          <w:lang w:val="ru-RU"/>
        </w:rPr>
        <w:t>Данные о распространении, необходимые для планирования систем радиосвязи, работающих в частотах выше 275 ГГц</w:t>
      </w:r>
      <w:r w:rsidR="00A07E56" w:rsidRPr="00D06102">
        <w:rPr>
          <w:rFonts w:cs="Calibri"/>
          <w:lang w:val="ru-RU"/>
        </w:rPr>
        <w:t>.</w:t>
      </w:r>
    </w:p>
    <w:p w14:paraId="551994EB" w14:textId="786560B6" w:rsidR="007F50B2" w:rsidRPr="00D06102" w:rsidRDefault="00AF5F26" w:rsidP="007F50B2">
      <w:pPr>
        <w:rPr>
          <w:lang w:val="ru-RU" w:eastAsia="zh-CN"/>
        </w:rPr>
      </w:pPr>
      <w:hyperlink r:id="rId10" w:history="1">
        <w:r w:rsidR="00B25ADA" w:rsidRPr="00D06102">
          <w:rPr>
            <w:rStyle w:val="Hyperlink"/>
            <w:lang w:val="ru-RU" w:eastAsia="zh-CN"/>
          </w:rPr>
          <w:t>Вопрос</w:t>
        </w:r>
        <w:r w:rsidR="007F50B2" w:rsidRPr="00D06102">
          <w:rPr>
            <w:rStyle w:val="Hyperlink"/>
            <w:lang w:val="ru-RU" w:eastAsia="zh-CN"/>
          </w:rPr>
          <w:t xml:space="preserve"> МСЭ-R 264/4</w:t>
        </w:r>
      </w:hyperlink>
      <w:r w:rsidR="007F50B2" w:rsidRPr="00D06102">
        <w:rPr>
          <w:lang w:val="ru-RU" w:eastAsia="zh-CN"/>
        </w:rPr>
        <w:t xml:space="preserve"> – </w:t>
      </w:r>
      <w:r w:rsidR="00680325" w:rsidRPr="00D06102">
        <w:rPr>
          <w:lang w:val="ru-RU"/>
        </w:rPr>
        <w:t>Технические и эксплуатационные характеристики сетей фиксированной спутниковой службы, работающих на частотах выше 275 ГГц</w:t>
      </w:r>
      <w:r w:rsidR="00A07E56" w:rsidRPr="00D06102">
        <w:rPr>
          <w:lang w:val="ru-RU"/>
        </w:rPr>
        <w:t>.</w:t>
      </w:r>
    </w:p>
    <w:p w14:paraId="5172DC8D" w14:textId="643C22DF" w:rsidR="007F50B2" w:rsidRPr="00D06102" w:rsidRDefault="00AF5F26" w:rsidP="007F50B2">
      <w:pPr>
        <w:rPr>
          <w:lang w:val="ru-RU" w:eastAsia="zh-CN"/>
        </w:rPr>
      </w:pPr>
      <w:hyperlink r:id="rId11" w:history="1">
        <w:r w:rsidR="00B25ADA" w:rsidRPr="00D06102">
          <w:rPr>
            <w:rStyle w:val="Hyperlink"/>
            <w:lang w:val="ru-RU" w:eastAsia="zh-CN"/>
          </w:rPr>
          <w:t>Вопрос</w:t>
        </w:r>
        <w:r w:rsidR="007F50B2" w:rsidRPr="00D06102">
          <w:rPr>
            <w:rStyle w:val="Hyperlink"/>
            <w:lang w:val="ru-RU" w:eastAsia="zh-CN"/>
          </w:rPr>
          <w:t xml:space="preserve"> МСЭ-R 256/5</w:t>
        </w:r>
      </w:hyperlink>
      <w:r w:rsidR="007F50B2" w:rsidRPr="00D06102">
        <w:rPr>
          <w:lang w:val="ru-RU" w:eastAsia="zh-CN"/>
        </w:rPr>
        <w:t xml:space="preserve"> – </w:t>
      </w:r>
      <w:r w:rsidR="00680325" w:rsidRPr="00D06102">
        <w:rPr>
          <w:lang w:val="ru-RU"/>
        </w:rPr>
        <w:t>Технические и эксплуатационные характеристики сухопутной подвижной службы в диапазоне частот 275–1000 ГГц</w:t>
      </w:r>
      <w:r w:rsidR="00A07E56" w:rsidRPr="00D06102">
        <w:rPr>
          <w:lang w:val="ru-RU"/>
        </w:rPr>
        <w:t>.</w:t>
      </w:r>
    </w:p>
    <w:p w14:paraId="3E83FD9E" w14:textId="7212AF7B" w:rsidR="007F50B2" w:rsidRPr="00D06102" w:rsidRDefault="00AF5F26" w:rsidP="007F50B2">
      <w:pPr>
        <w:rPr>
          <w:lang w:val="ru-RU" w:eastAsia="zh-CN"/>
        </w:rPr>
      </w:pPr>
      <w:hyperlink r:id="rId12" w:history="1">
        <w:r w:rsidR="00B25ADA" w:rsidRPr="00D06102">
          <w:rPr>
            <w:rStyle w:val="Hyperlink"/>
            <w:lang w:val="ru-RU" w:eastAsia="zh-CN"/>
          </w:rPr>
          <w:t>Вопрос</w:t>
        </w:r>
        <w:r w:rsidR="007F50B2" w:rsidRPr="00D06102">
          <w:rPr>
            <w:rStyle w:val="Hyperlink"/>
            <w:lang w:val="ru-RU" w:eastAsia="zh-CN"/>
          </w:rPr>
          <w:t xml:space="preserve"> МСЭ-R 257/5</w:t>
        </w:r>
      </w:hyperlink>
      <w:r w:rsidR="007F50B2" w:rsidRPr="00D06102">
        <w:rPr>
          <w:lang w:val="ru-RU" w:eastAsia="zh-CN"/>
        </w:rPr>
        <w:t xml:space="preserve"> – </w:t>
      </w:r>
      <w:r w:rsidR="00680325" w:rsidRPr="00D06102">
        <w:rPr>
          <w:lang w:val="ru-RU"/>
        </w:rPr>
        <w:t>Технические и эксплуатационные характеристики станций фиксированной службы в диапазоне частот 275–1000 ГГц</w:t>
      </w:r>
      <w:r w:rsidR="00A07E56" w:rsidRPr="00D06102">
        <w:rPr>
          <w:lang w:val="ru-RU"/>
        </w:rPr>
        <w:t>.</w:t>
      </w:r>
    </w:p>
    <w:p w14:paraId="68A55B8E" w14:textId="17E508EC" w:rsidR="007F50B2" w:rsidRPr="00D06102" w:rsidRDefault="00AF5F26" w:rsidP="007F50B2">
      <w:pPr>
        <w:rPr>
          <w:lang w:val="ru-RU" w:eastAsia="zh-CN"/>
        </w:rPr>
      </w:pPr>
      <w:hyperlink r:id="rId13" w:history="1">
        <w:r w:rsidR="00B25ADA" w:rsidRPr="00D06102">
          <w:rPr>
            <w:rStyle w:val="Hyperlink"/>
            <w:lang w:val="ru-RU" w:eastAsia="zh-CN"/>
          </w:rPr>
          <w:t>Вопрос</w:t>
        </w:r>
        <w:r w:rsidR="007F50B2" w:rsidRPr="00D06102">
          <w:rPr>
            <w:rStyle w:val="Hyperlink"/>
            <w:lang w:val="ru-RU" w:eastAsia="zh-CN"/>
          </w:rPr>
          <w:t xml:space="preserve"> МСЭ-R 257/7</w:t>
        </w:r>
      </w:hyperlink>
      <w:r w:rsidR="007F50B2" w:rsidRPr="00D06102">
        <w:rPr>
          <w:lang w:val="ru-RU" w:eastAsia="zh-CN"/>
        </w:rPr>
        <w:t xml:space="preserve"> – </w:t>
      </w:r>
      <w:r w:rsidR="00680325" w:rsidRPr="00D06102">
        <w:rPr>
          <w:lang w:val="ru-RU"/>
        </w:rPr>
        <w:t>Технические и эксплуатационные характеристики применений радиоастрономии, работающих на частотах выше 275 ГГц</w:t>
      </w:r>
      <w:r w:rsidR="00A07E56" w:rsidRPr="00D06102">
        <w:rPr>
          <w:lang w:val="ru-RU"/>
        </w:rPr>
        <w:t>.</w:t>
      </w:r>
    </w:p>
    <w:p w14:paraId="2AB64987" w14:textId="702B16BB" w:rsidR="007F50B2" w:rsidRPr="00D06102" w:rsidRDefault="00632B5F" w:rsidP="007F50B2">
      <w:pPr>
        <w:rPr>
          <w:lang w:val="ru-RU" w:eastAsia="zh-CN"/>
        </w:rPr>
      </w:pPr>
      <w:r w:rsidRPr="00D06102">
        <w:rPr>
          <w:lang w:val="ru-RU" w:eastAsia="zh-CN"/>
        </w:rPr>
        <w:t xml:space="preserve">Поскольку использование частот выше </w:t>
      </w:r>
      <w:r w:rsidR="007F50B2" w:rsidRPr="00D06102">
        <w:rPr>
          <w:lang w:val="ru-RU" w:eastAsia="zh-CN"/>
        </w:rPr>
        <w:t xml:space="preserve">275 </w:t>
      </w:r>
      <w:r w:rsidR="00882488" w:rsidRPr="00D06102">
        <w:rPr>
          <w:lang w:val="ru-RU" w:eastAsia="zh-CN"/>
        </w:rPr>
        <w:t>ГГц</w:t>
      </w:r>
      <w:r w:rsidR="007F50B2" w:rsidRPr="00D06102">
        <w:rPr>
          <w:lang w:val="ru-RU" w:eastAsia="zh-CN"/>
        </w:rPr>
        <w:t xml:space="preserve"> </w:t>
      </w:r>
      <w:r w:rsidR="0022175B" w:rsidRPr="00D06102">
        <w:rPr>
          <w:lang w:val="ru-RU" w:eastAsia="zh-CN"/>
        </w:rPr>
        <w:t xml:space="preserve">открывает множество возможностей в среднесрочной и долгосрочной перспективе, важно </w:t>
      </w:r>
      <w:r w:rsidR="002B222D" w:rsidRPr="00D06102">
        <w:rPr>
          <w:lang w:val="ru-RU" w:eastAsia="zh-CN"/>
        </w:rPr>
        <w:t xml:space="preserve">продолжать исследовать </w:t>
      </w:r>
      <w:r w:rsidR="0022175B" w:rsidRPr="00D06102">
        <w:rPr>
          <w:lang w:val="ru-RU" w:eastAsia="zh-CN"/>
        </w:rPr>
        <w:t>использовани</w:t>
      </w:r>
      <w:r w:rsidR="002B222D" w:rsidRPr="00D06102">
        <w:rPr>
          <w:lang w:val="ru-RU" w:eastAsia="zh-CN"/>
        </w:rPr>
        <w:t>е</w:t>
      </w:r>
      <w:r w:rsidR="0022175B" w:rsidRPr="00D06102">
        <w:rPr>
          <w:lang w:val="ru-RU" w:eastAsia="zh-CN"/>
        </w:rPr>
        <w:t xml:space="preserve"> </w:t>
      </w:r>
      <w:r w:rsidR="002B222D" w:rsidRPr="00D06102">
        <w:rPr>
          <w:lang w:val="ru-RU" w:eastAsia="zh-CN"/>
        </w:rPr>
        <w:t>этих частот</w:t>
      </w:r>
      <w:r w:rsidR="0022175B" w:rsidRPr="00D06102">
        <w:rPr>
          <w:lang w:val="ru-RU" w:eastAsia="zh-CN"/>
        </w:rPr>
        <w:t xml:space="preserve"> </w:t>
      </w:r>
      <w:r w:rsidR="0022175B" w:rsidRPr="00D06102">
        <w:rPr>
          <w:lang w:val="ru-RU" w:eastAsia="zh-CN"/>
        </w:rPr>
        <w:lastRenderedPageBreak/>
        <w:t>с</w:t>
      </w:r>
      <w:r w:rsidR="002450CF" w:rsidRPr="00D06102">
        <w:rPr>
          <w:lang w:val="ru-RU" w:eastAsia="zh-CN"/>
        </w:rPr>
        <w:t>координированным</w:t>
      </w:r>
      <w:r w:rsidR="0022175B" w:rsidRPr="00D06102">
        <w:rPr>
          <w:lang w:val="ru-RU" w:eastAsia="zh-CN"/>
        </w:rPr>
        <w:t xml:space="preserve"> образом, </w:t>
      </w:r>
      <w:r w:rsidR="002450CF" w:rsidRPr="00D06102">
        <w:rPr>
          <w:lang w:val="ru-RU" w:eastAsia="zh-CN"/>
        </w:rPr>
        <w:t>при этом</w:t>
      </w:r>
      <w:r w:rsidR="0022175B" w:rsidRPr="00D06102">
        <w:rPr>
          <w:lang w:val="ru-RU" w:eastAsia="zh-CN"/>
        </w:rPr>
        <w:t xml:space="preserve"> Резолюция МСЭ-R </w:t>
      </w:r>
      <w:r w:rsidR="002B222D" w:rsidRPr="00D06102">
        <w:rPr>
          <w:lang w:val="ru-RU" w:eastAsia="zh-CN"/>
        </w:rPr>
        <w:t xml:space="preserve">поможет направить в нужное русло деятельность исследовательских комиссий. </w:t>
      </w:r>
    </w:p>
    <w:p w14:paraId="2E2F8BF2" w14:textId="1E8032E0" w:rsidR="007F50B2" w:rsidRPr="00D06102" w:rsidRDefault="002B222D" w:rsidP="007F50B2">
      <w:pPr>
        <w:rPr>
          <w:lang w:val="ru-RU" w:eastAsia="zh-CN"/>
        </w:rPr>
      </w:pPr>
      <w:r w:rsidRPr="00D06102">
        <w:rPr>
          <w:lang w:val="ru-RU" w:eastAsia="zh-CN"/>
        </w:rPr>
        <w:t>У</w:t>
      </w:r>
      <w:r w:rsidR="008F1905" w:rsidRPr="00D06102">
        <w:rPr>
          <w:lang w:val="ru-RU" w:eastAsia="zh-CN"/>
        </w:rPr>
        <w:t xml:space="preserve">тверждение Резолюции МСЭ-R не препятствует </w:t>
      </w:r>
      <w:r w:rsidR="00826CC8" w:rsidRPr="00D06102">
        <w:rPr>
          <w:lang w:val="ru-RU" w:eastAsia="zh-CN"/>
        </w:rPr>
        <w:t>одобрению</w:t>
      </w:r>
      <w:r w:rsidR="008F1905" w:rsidRPr="00D06102">
        <w:rPr>
          <w:lang w:val="ru-RU" w:eastAsia="zh-CN"/>
        </w:rPr>
        <w:t>/утверждению Вопроса(</w:t>
      </w:r>
      <w:proofErr w:type="spellStart"/>
      <w:r w:rsidR="008F1905" w:rsidRPr="00D06102">
        <w:rPr>
          <w:lang w:val="ru-RU" w:eastAsia="zh-CN"/>
        </w:rPr>
        <w:t>ов</w:t>
      </w:r>
      <w:proofErr w:type="spellEnd"/>
      <w:r w:rsidR="008F1905" w:rsidRPr="00D06102">
        <w:rPr>
          <w:lang w:val="ru-RU" w:eastAsia="zh-CN"/>
        </w:rPr>
        <w:t xml:space="preserve">) МСЭ-R </w:t>
      </w:r>
      <w:r w:rsidR="00826CC8" w:rsidRPr="00D06102">
        <w:rPr>
          <w:lang w:val="ru-RU" w:eastAsia="zh-CN"/>
        </w:rPr>
        <w:t xml:space="preserve">какой-либо </w:t>
      </w:r>
      <w:r w:rsidR="008F1905" w:rsidRPr="00D06102">
        <w:rPr>
          <w:lang w:val="ru-RU" w:eastAsia="zh-CN"/>
        </w:rPr>
        <w:t xml:space="preserve">исследовательской комиссией с целью изучения любых конкретных аспектов </w:t>
      </w:r>
      <w:r w:rsidRPr="00D06102">
        <w:rPr>
          <w:lang w:val="ru-RU" w:eastAsia="zh-CN"/>
        </w:rPr>
        <w:t>частот выше 275</w:t>
      </w:r>
      <w:r w:rsidR="00826CC8" w:rsidRPr="00D06102">
        <w:rPr>
          <w:lang w:val="ru-RU" w:eastAsia="zh-CN"/>
        </w:rPr>
        <w:t> </w:t>
      </w:r>
      <w:r w:rsidRPr="00D06102">
        <w:rPr>
          <w:lang w:val="ru-RU" w:eastAsia="zh-CN"/>
        </w:rPr>
        <w:t>ГГц</w:t>
      </w:r>
      <w:r w:rsidR="008F1905" w:rsidRPr="00D06102">
        <w:rPr>
          <w:lang w:val="ru-RU" w:eastAsia="zh-CN"/>
        </w:rPr>
        <w:t xml:space="preserve">, имеющих отношение к службам радиосвязи, входящим в сферу ответственности </w:t>
      </w:r>
      <w:r w:rsidR="002450CF" w:rsidRPr="00D06102">
        <w:rPr>
          <w:lang w:val="ru-RU" w:eastAsia="zh-CN"/>
        </w:rPr>
        <w:t>эт</w:t>
      </w:r>
      <w:r w:rsidR="008F1905" w:rsidRPr="00D06102">
        <w:rPr>
          <w:lang w:val="ru-RU" w:eastAsia="zh-CN"/>
        </w:rPr>
        <w:t>ой исследовательской комиссии. Следует отметить, что</w:t>
      </w:r>
      <w:r w:rsidR="001E5E32" w:rsidRPr="00D06102">
        <w:rPr>
          <w:lang w:val="ru-RU" w:eastAsia="zh-CN"/>
        </w:rPr>
        <w:t xml:space="preserve"> в прошлом</w:t>
      </w:r>
      <w:r w:rsidR="002450CF" w:rsidRPr="00D06102">
        <w:rPr>
          <w:lang w:val="ru-RU" w:eastAsia="zh-CN"/>
        </w:rPr>
        <w:t xml:space="preserve"> </w:t>
      </w:r>
      <w:r w:rsidR="008F1905" w:rsidRPr="00D06102">
        <w:rPr>
          <w:lang w:val="ru-RU" w:eastAsia="zh-CN"/>
        </w:rPr>
        <w:t>использова</w:t>
      </w:r>
      <w:r w:rsidR="001E5E32" w:rsidRPr="00D06102">
        <w:rPr>
          <w:lang w:val="ru-RU" w:eastAsia="zh-CN"/>
        </w:rPr>
        <w:t>лся</w:t>
      </w:r>
      <w:r w:rsidR="008F1905" w:rsidRPr="00D06102">
        <w:rPr>
          <w:lang w:val="ru-RU" w:eastAsia="zh-CN"/>
        </w:rPr>
        <w:t xml:space="preserve"> аналогичный подход</w:t>
      </w:r>
      <w:r w:rsidR="001E5E32" w:rsidRPr="00D06102">
        <w:rPr>
          <w:lang w:val="ru-RU" w:eastAsia="zh-CN"/>
        </w:rPr>
        <w:t xml:space="preserve">: </w:t>
      </w:r>
      <w:r w:rsidR="002450CF" w:rsidRPr="00D06102">
        <w:rPr>
          <w:lang w:val="ru-RU" w:eastAsia="zh-CN"/>
        </w:rPr>
        <w:t xml:space="preserve">в ходе Ассамблей радиосвязи 2007 и 2012 годов </w:t>
      </w:r>
      <w:r w:rsidR="001E5E32" w:rsidRPr="00D06102">
        <w:rPr>
          <w:lang w:val="ru-RU" w:eastAsia="zh-CN"/>
        </w:rPr>
        <w:t>был</w:t>
      </w:r>
      <w:r w:rsidR="002450CF" w:rsidRPr="00D06102">
        <w:rPr>
          <w:lang w:val="ru-RU" w:eastAsia="zh-CN"/>
        </w:rPr>
        <w:t>и</w:t>
      </w:r>
      <w:r w:rsidR="001E5E32" w:rsidRPr="00D06102">
        <w:rPr>
          <w:lang w:val="ru-RU" w:eastAsia="zh-CN"/>
        </w:rPr>
        <w:t xml:space="preserve"> принят</w:t>
      </w:r>
      <w:r w:rsidR="002450CF" w:rsidRPr="00D06102">
        <w:rPr>
          <w:lang w:val="ru-RU" w:eastAsia="zh-CN"/>
        </w:rPr>
        <w:t>ы</w:t>
      </w:r>
      <w:r w:rsidR="008F1905" w:rsidRPr="00D06102">
        <w:rPr>
          <w:lang w:val="ru-RU" w:eastAsia="zh-CN"/>
        </w:rPr>
        <w:t xml:space="preserve"> Резолюци</w:t>
      </w:r>
      <w:r w:rsidR="001E5E32" w:rsidRPr="00D06102">
        <w:rPr>
          <w:lang w:val="ru-RU" w:eastAsia="zh-CN"/>
        </w:rPr>
        <w:t>я</w:t>
      </w:r>
      <w:r w:rsidR="008F1905" w:rsidRPr="00D06102">
        <w:rPr>
          <w:lang w:val="ru-RU" w:eastAsia="zh-CN"/>
        </w:rPr>
        <w:t xml:space="preserve"> МСЭ-R 55 </w:t>
      </w:r>
      <w:r w:rsidR="00882488" w:rsidRPr="00D06102">
        <w:rPr>
          <w:lang w:val="ru-RU" w:eastAsia="zh-CN"/>
        </w:rPr>
        <w:t>"</w:t>
      </w:r>
      <w:r w:rsidR="00BF1920" w:rsidRPr="00D06102">
        <w:rPr>
          <w:lang w:val="ru-RU"/>
        </w:rPr>
        <w:t>Исследования МСЭ-R в области прогнозирования, обнаружения, смягчения последствий бедствий и оказания помощи при бедствиях</w:t>
      </w:r>
      <w:r w:rsidR="00882488" w:rsidRPr="00D06102">
        <w:rPr>
          <w:lang w:val="ru-RU" w:eastAsia="zh-CN"/>
        </w:rPr>
        <w:t>"</w:t>
      </w:r>
      <w:r w:rsidR="007F50B2" w:rsidRPr="00D06102">
        <w:rPr>
          <w:i/>
          <w:lang w:val="ru-RU" w:eastAsia="zh-CN"/>
        </w:rPr>
        <w:t xml:space="preserve"> </w:t>
      </w:r>
      <w:r w:rsidR="001E5E32" w:rsidRPr="00D06102">
        <w:rPr>
          <w:lang w:val="ru-RU" w:eastAsia="zh-CN"/>
        </w:rPr>
        <w:t>и Резолюция</w:t>
      </w:r>
      <w:r w:rsidR="007F50B2" w:rsidRPr="00D06102">
        <w:rPr>
          <w:lang w:val="ru-RU" w:eastAsia="zh-CN"/>
        </w:rPr>
        <w:t xml:space="preserve"> </w:t>
      </w:r>
      <w:r w:rsidR="00882488" w:rsidRPr="00D06102">
        <w:rPr>
          <w:lang w:val="ru-RU" w:eastAsia="zh-CN"/>
        </w:rPr>
        <w:t>МСЭ-</w:t>
      </w:r>
      <w:r w:rsidR="007F50B2" w:rsidRPr="00D06102">
        <w:rPr>
          <w:lang w:val="ru-RU" w:eastAsia="zh-CN"/>
        </w:rPr>
        <w:t xml:space="preserve">R 58 </w:t>
      </w:r>
      <w:r w:rsidR="00882488" w:rsidRPr="00D06102">
        <w:rPr>
          <w:lang w:val="ru-RU" w:eastAsia="zh-CN"/>
        </w:rPr>
        <w:t>"</w:t>
      </w:r>
      <w:bookmarkStart w:id="12" w:name="_Toc436999766"/>
      <w:r w:rsidR="00BF1920" w:rsidRPr="00D06102">
        <w:rPr>
          <w:lang w:val="ru-RU"/>
        </w:rPr>
        <w:t>Исследования, касающиеся реализации и использования систем когнитивного радио</w:t>
      </w:r>
      <w:bookmarkEnd w:id="12"/>
      <w:r w:rsidR="00882488" w:rsidRPr="00D06102">
        <w:rPr>
          <w:lang w:val="ru-RU" w:eastAsia="zh-CN"/>
        </w:rPr>
        <w:t>"</w:t>
      </w:r>
      <w:r w:rsidR="00A07E56" w:rsidRPr="00D06102">
        <w:rPr>
          <w:lang w:val="ru-RU" w:eastAsia="zh-CN"/>
        </w:rPr>
        <w:t>,</w:t>
      </w:r>
      <w:r w:rsidR="001E5E32" w:rsidRPr="00D06102">
        <w:rPr>
          <w:lang w:val="ru-RU" w:eastAsia="zh-CN"/>
        </w:rPr>
        <w:t xml:space="preserve"> соответственно</w:t>
      </w:r>
      <w:r w:rsidR="007F50B2" w:rsidRPr="00D06102">
        <w:rPr>
          <w:lang w:val="ru-RU" w:eastAsia="zh-CN"/>
        </w:rPr>
        <w:t>.</w:t>
      </w:r>
    </w:p>
    <w:p w14:paraId="71189CD3" w14:textId="1DC88C8E" w:rsidR="007F50B2" w:rsidRPr="00D06102" w:rsidRDefault="001E5E32" w:rsidP="007F50B2">
      <w:pPr>
        <w:pStyle w:val="Headingb"/>
        <w:rPr>
          <w:lang w:val="ru-RU" w:eastAsia="zh-CN"/>
        </w:rPr>
      </w:pPr>
      <w:r w:rsidRPr="00D06102">
        <w:rPr>
          <w:lang w:val="ru-RU" w:eastAsia="zh-CN"/>
        </w:rPr>
        <w:t>Предложение</w:t>
      </w:r>
    </w:p>
    <w:p w14:paraId="584549A8" w14:textId="32550780" w:rsidR="007F50B2" w:rsidRPr="00D06102" w:rsidRDefault="001E5E32" w:rsidP="007F50B2">
      <w:pPr>
        <w:rPr>
          <w:lang w:val="ru-RU" w:eastAsia="zh-CN"/>
        </w:rPr>
      </w:pPr>
      <w:r w:rsidRPr="00D06102">
        <w:rPr>
          <w:lang w:val="ru-RU" w:eastAsia="zh-CN"/>
        </w:rPr>
        <w:t xml:space="preserve">Предлагается утвердить проект Резолюции </w:t>
      </w:r>
      <w:r w:rsidR="00BF1920" w:rsidRPr="00D06102">
        <w:rPr>
          <w:lang w:val="ru-RU" w:eastAsia="zh-CN"/>
        </w:rPr>
        <w:t>МСЭ</w:t>
      </w:r>
      <w:r w:rsidR="007F50B2" w:rsidRPr="00D06102">
        <w:rPr>
          <w:lang w:val="ru-RU" w:eastAsia="zh-CN"/>
        </w:rPr>
        <w:t>-R</w:t>
      </w:r>
      <w:r w:rsidRPr="00D06102">
        <w:rPr>
          <w:lang w:val="ru-RU" w:eastAsia="zh-CN"/>
        </w:rPr>
        <w:t xml:space="preserve">, представленный в </w:t>
      </w:r>
      <w:hyperlink w:anchor="annex1" w:history="1">
        <w:r w:rsidR="00BF1920" w:rsidRPr="00D06102">
          <w:rPr>
            <w:rStyle w:val="Hyperlink"/>
            <w:lang w:val="ru-RU" w:eastAsia="zh-CN"/>
          </w:rPr>
          <w:t>Приложении</w:t>
        </w:r>
        <w:r w:rsidR="007F50B2" w:rsidRPr="00D06102">
          <w:rPr>
            <w:rStyle w:val="Hyperlink"/>
            <w:lang w:val="ru-RU" w:eastAsia="zh-CN"/>
          </w:rPr>
          <w:t xml:space="preserve"> 1</w:t>
        </w:r>
      </w:hyperlink>
      <w:r w:rsidRPr="00D06102">
        <w:rPr>
          <w:lang w:val="ru-RU" w:eastAsia="zh-CN"/>
        </w:rPr>
        <w:t>, на</w:t>
      </w:r>
      <w:r w:rsidR="007F50B2" w:rsidRPr="00D06102">
        <w:rPr>
          <w:lang w:val="ru-RU" w:eastAsia="zh-CN"/>
        </w:rPr>
        <w:t xml:space="preserve"> </w:t>
      </w:r>
      <w:r w:rsidRPr="00D06102">
        <w:rPr>
          <w:lang w:val="ru-RU" w:eastAsia="zh-CN"/>
        </w:rPr>
        <w:t>Ассамблее радиосвязи 2019 года</w:t>
      </w:r>
      <w:r w:rsidR="007F50B2" w:rsidRPr="00D06102">
        <w:rPr>
          <w:lang w:val="ru-RU" w:eastAsia="zh-CN"/>
        </w:rPr>
        <w:t>.</w:t>
      </w:r>
    </w:p>
    <w:p w14:paraId="08814372" w14:textId="5522EB94" w:rsidR="007F50B2" w:rsidRPr="00D06102" w:rsidRDefault="00AF5F26" w:rsidP="00683524">
      <w:pPr>
        <w:tabs>
          <w:tab w:val="clear" w:pos="1134"/>
        </w:tabs>
        <w:spacing w:before="1440"/>
        <w:ind w:left="1871" w:hanging="1871"/>
        <w:rPr>
          <w:lang w:val="ru-RU" w:eastAsia="zh-CN"/>
        </w:rPr>
      </w:pPr>
      <w:hyperlink w:anchor="annex1" w:history="1">
        <w:r w:rsidR="00BF1920" w:rsidRPr="00D06102">
          <w:rPr>
            <w:rStyle w:val="Hyperlink"/>
            <w:b/>
            <w:bCs/>
            <w:lang w:val="ru-RU" w:eastAsia="zh-CN"/>
          </w:rPr>
          <w:t>Приложение</w:t>
        </w:r>
        <w:r w:rsidR="007F50B2" w:rsidRPr="00D06102">
          <w:rPr>
            <w:rStyle w:val="Hyperlink"/>
            <w:b/>
            <w:bCs/>
            <w:lang w:val="ru-RU" w:eastAsia="zh-CN"/>
          </w:rPr>
          <w:t xml:space="preserve"> 1</w:t>
        </w:r>
      </w:hyperlink>
      <w:r w:rsidR="007F50B2" w:rsidRPr="00D06102">
        <w:rPr>
          <w:lang w:val="ru-RU" w:eastAsia="zh-CN"/>
        </w:rPr>
        <w:t>:</w:t>
      </w:r>
      <w:r w:rsidR="007F50B2" w:rsidRPr="00D06102">
        <w:rPr>
          <w:lang w:val="ru-RU" w:eastAsia="zh-CN"/>
        </w:rPr>
        <w:tab/>
      </w:r>
      <w:r w:rsidR="004E14FF" w:rsidRPr="00D06102">
        <w:rPr>
          <w:lang w:val="ru-RU"/>
        </w:rPr>
        <w:t xml:space="preserve">Проект новой </w:t>
      </w:r>
      <w:r w:rsidR="004F2CE1" w:rsidRPr="00D06102">
        <w:rPr>
          <w:lang w:val="ru-RU"/>
        </w:rPr>
        <w:t xml:space="preserve">Резолюции </w:t>
      </w:r>
      <w:r w:rsidR="004E14FF" w:rsidRPr="00D06102">
        <w:rPr>
          <w:lang w:val="ru-RU"/>
        </w:rPr>
        <w:t xml:space="preserve">МСЭ-R </w:t>
      </w:r>
      <w:r w:rsidR="007F50B2" w:rsidRPr="00D06102">
        <w:rPr>
          <w:lang w:val="ru-RU" w:eastAsia="zh-CN"/>
        </w:rPr>
        <w:t>[275–</w:t>
      </w:r>
      <w:proofErr w:type="spellStart"/>
      <w:r w:rsidR="007F50B2" w:rsidRPr="00D06102">
        <w:rPr>
          <w:lang w:val="ru-RU" w:eastAsia="zh-CN"/>
        </w:rPr>
        <w:t>3000</w:t>
      </w:r>
      <w:r w:rsidR="00826CC8" w:rsidRPr="00D06102">
        <w:rPr>
          <w:lang w:val="ru-RU"/>
        </w:rPr>
        <w:t>GHz</w:t>
      </w:r>
      <w:proofErr w:type="spellEnd"/>
      <w:r w:rsidR="007F50B2" w:rsidRPr="00D06102">
        <w:rPr>
          <w:lang w:val="ru-RU" w:eastAsia="zh-CN"/>
        </w:rPr>
        <w:t xml:space="preserve">] </w:t>
      </w:r>
      <w:r w:rsidR="00BF1920" w:rsidRPr="00D06102">
        <w:rPr>
          <w:lang w:val="ru-RU" w:eastAsia="zh-CN"/>
        </w:rPr>
        <w:t>"</w:t>
      </w:r>
      <w:r w:rsidR="004E14FF" w:rsidRPr="00D06102">
        <w:rPr>
          <w:lang w:val="ru-RU" w:eastAsia="zh-CN"/>
        </w:rPr>
        <w:t>Исследования</w:t>
      </w:r>
      <w:r w:rsidR="002450CF" w:rsidRPr="00D06102">
        <w:rPr>
          <w:lang w:val="ru-RU" w:eastAsia="zh-CN"/>
        </w:rPr>
        <w:t xml:space="preserve"> по</w:t>
      </w:r>
      <w:r w:rsidR="004E14FF" w:rsidRPr="00D06102">
        <w:rPr>
          <w:lang w:val="ru-RU" w:eastAsia="zh-CN"/>
        </w:rPr>
        <w:t xml:space="preserve"> внедрени</w:t>
      </w:r>
      <w:r w:rsidR="002450CF" w:rsidRPr="00D06102">
        <w:rPr>
          <w:lang w:val="ru-RU" w:eastAsia="zh-CN"/>
        </w:rPr>
        <w:t>ю</w:t>
      </w:r>
      <w:r w:rsidR="004E14FF" w:rsidRPr="00D06102">
        <w:rPr>
          <w:lang w:val="ru-RU" w:eastAsia="zh-CN"/>
        </w:rPr>
        <w:t xml:space="preserve"> и использовани</w:t>
      </w:r>
      <w:r w:rsidR="002450CF" w:rsidRPr="00D06102">
        <w:rPr>
          <w:lang w:val="ru-RU" w:eastAsia="zh-CN"/>
        </w:rPr>
        <w:t>ю</w:t>
      </w:r>
      <w:r w:rsidR="004E14FF" w:rsidRPr="00D06102">
        <w:rPr>
          <w:lang w:val="ru-RU" w:eastAsia="zh-CN"/>
        </w:rPr>
        <w:t xml:space="preserve"> систем радиосвязи, работающих в диапазоне </w:t>
      </w:r>
      <w:r w:rsidR="007F50B2" w:rsidRPr="00D06102">
        <w:rPr>
          <w:lang w:val="ru-RU" w:eastAsia="zh-CN"/>
        </w:rPr>
        <w:t xml:space="preserve">275–3000 </w:t>
      </w:r>
      <w:r w:rsidR="00BF1920" w:rsidRPr="00D06102">
        <w:rPr>
          <w:lang w:val="ru-RU" w:eastAsia="zh-CN"/>
        </w:rPr>
        <w:t>ГГц"</w:t>
      </w:r>
    </w:p>
    <w:p w14:paraId="69D33A58" w14:textId="1919E390" w:rsidR="00BF1920" w:rsidRPr="00D06102" w:rsidRDefault="00BF19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 w:eastAsia="zh-CN"/>
        </w:rPr>
      </w:pPr>
      <w:r w:rsidRPr="00D06102">
        <w:rPr>
          <w:lang w:val="ru-RU" w:eastAsia="zh-CN"/>
        </w:rPr>
        <w:br w:type="page"/>
      </w:r>
    </w:p>
    <w:p w14:paraId="4A5D49F3" w14:textId="3B8E9802" w:rsidR="00BF1920" w:rsidRPr="00D06102" w:rsidRDefault="00BF1920" w:rsidP="00BF1920">
      <w:pPr>
        <w:pStyle w:val="AnnexNo"/>
        <w:rPr>
          <w:lang w:val="ru-RU"/>
        </w:rPr>
      </w:pPr>
      <w:bookmarkStart w:id="13" w:name="annex1"/>
      <w:r w:rsidRPr="00D06102">
        <w:rPr>
          <w:lang w:val="ru-RU"/>
        </w:rPr>
        <w:lastRenderedPageBreak/>
        <w:t>ПРИЛОЖЕНИЕ 1</w:t>
      </w:r>
      <w:bookmarkEnd w:id="13"/>
    </w:p>
    <w:p w14:paraId="06F2C166" w14:textId="679FF159" w:rsidR="00BF1920" w:rsidRPr="00D06102" w:rsidRDefault="004F2CE1" w:rsidP="00A07E56">
      <w:pPr>
        <w:pStyle w:val="ResNo"/>
        <w:rPr>
          <w:lang w:val="ru-RU"/>
        </w:rPr>
      </w:pPr>
      <w:r w:rsidRPr="00D06102">
        <w:rPr>
          <w:lang w:val="ru-RU"/>
        </w:rPr>
        <w:t>Проект новой Резолюции</w:t>
      </w:r>
      <w:r w:rsidR="008F1905" w:rsidRPr="00D06102">
        <w:rPr>
          <w:lang w:val="ru-RU"/>
        </w:rPr>
        <w:t xml:space="preserve"> </w:t>
      </w:r>
      <w:r w:rsidR="00396DCA" w:rsidRPr="00D06102">
        <w:rPr>
          <w:lang w:val="ru-RU"/>
        </w:rPr>
        <w:t>МСЭ</w:t>
      </w:r>
      <w:r w:rsidR="00BF1920" w:rsidRPr="00D06102">
        <w:rPr>
          <w:lang w:val="ru-RU"/>
        </w:rPr>
        <w:t>-R [</w:t>
      </w:r>
      <w:r w:rsidR="00826CC8" w:rsidRPr="00D06102">
        <w:rPr>
          <w:lang w:val="ru-RU"/>
        </w:rPr>
        <w:t>275–</w:t>
      </w:r>
      <w:proofErr w:type="spellStart"/>
      <w:r w:rsidR="00826CC8" w:rsidRPr="00D06102">
        <w:rPr>
          <w:lang w:val="ru-RU"/>
        </w:rPr>
        <w:t>3000GHz</w:t>
      </w:r>
      <w:proofErr w:type="spellEnd"/>
      <w:r w:rsidR="00BF1920" w:rsidRPr="00D06102">
        <w:rPr>
          <w:lang w:val="ru-RU"/>
        </w:rPr>
        <w:t>]</w:t>
      </w:r>
    </w:p>
    <w:p w14:paraId="29F22286" w14:textId="372C7898" w:rsidR="00BF1920" w:rsidRPr="00D06102" w:rsidRDefault="002450CF" w:rsidP="00683524">
      <w:pPr>
        <w:pStyle w:val="Restitle"/>
        <w:rPr>
          <w:lang w:val="ru-RU" w:eastAsia="zh-CN"/>
        </w:rPr>
      </w:pPr>
      <w:r w:rsidRPr="00D06102">
        <w:rPr>
          <w:lang w:val="ru-RU" w:eastAsia="zh-CN"/>
        </w:rPr>
        <w:t xml:space="preserve">Исследования по </w:t>
      </w:r>
      <w:r w:rsidR="004F2CE1" w:rsidRPr="00D06102">
        <w:rPr>
          <w:lang w:val="ru-RU" w:eastAsia="zh-CN"/>
        </w:rPr>
        <w:t>внедрени</w:t>
      </w:r>
      <w:r w:rsidRPr="00D06102">
        <w:rPr>
          <w:lang w:val="ru-RU" w:eastAsia="zh-CN"/>
        </w:rPr>
        <w:t>ю</w:t>
      </w:r>
      <w:r w:rsidR="004F2CE1" w:rsidRPr="00D06102">
        <w:rPr>
          <w:lang w:val="ru-RU" w:eastAsia="zh-CN"/>
        </w:rPr>
        <w:t xml:space="preserve"> и использовани</w:t>
      </w:r>
      <w:r w:rsidRPr="00D06102">
        <w:rPr>
          <w:lang w:val="ru-RU" w:eastAsia="zh-CN"/>
        </w:rPr>
        <w:t>ю</w:t>
      </w:r>
      <w:r w:rsidR="004F2CE1" w:rsidRPr="00D06102">
        <w:rPr>
          <w:lang w:val="ru-RU" w:eastAsia="zh-CN"/>
        </w:rPr>
        <w:t xml:space="preserve"> систем радиосвязи, </w:t>
      </w:r>
      <w:r w:rsidR="00A07E56" w:rsidRPr="00D06102">
        <w:rPr>
          <w:lang w:val="ru-RU" w:eastAsia="zh-CN"/>
        </w:rPr>
        <w:br/>
      </w:r>
      <w:r w:rsidR="004F2CE1" w:rsidRPr="00D06102">
        <w:rPr>
          <w:lang w:val="ru-RU" w:eastAsia="zh-CN"/>
        </w:rPr>
        <w:t>работающих в диапазоне 275–3000 ГГц</w:t>
      </w:r>
    </w:p>
    <w:p w14:paraId="4923388F" w14:textId="77777777" w:rsidR="00BF1920" w:rsidRPr="00D06102" w:rsidRDefault="00BF1920" w:rsidP="00BF1920">
      <w:pPr>
        <w:pStyle w:val="Resdate"/>
        <w:rPr>
          <w:lang w:val="ru-RU" w:eastAsia="zh-CN"/>
        </w:rPr>
      </w:pPr>
      <w:r w:rsidRPr="00D06102">
        <w:rPr>
          <w:lang w:val="ru-RU" w:eastAsia="zh-CN"/>
        </w:rPr>
        <w:t>(…)</w:t>
      </w:r>
    </w:p>
    <w:p w14:paraId="673DA388" w14:textId="7AF584CD" w:rsidR="00BF1920" w:rsidRPr="00D06102" w:rsidRDefault="000223C8" w:rsidP="00BF1920">
      <w:pPr>
        <w:pStyle w:val="Normalaftertitle"/>
        <w:rPr>
          <w:lang w:val="ru-RU" w:eastAsia="zh-CN"/>
        </w:rPr>
      </w:pPr>
      <w:r w:rsidRPr="00D06102">
        <w:rPr>
          <w:lang w:val="ru-RU" w:eastAsia="zh-CN"/>
        </w:rPr>
        <w:t>Ассамблея радиосвязи МСЭ</w:t>
      </w:r>
      <w:r w:rsidR="00BF1920" w:rsidRPr="00D06102">
        <w:rPr>
          <w:lang w:val="ru-RU" w:eastAsia="zh-CN"/>
        </w:rPr>
        <w:t>,</w:t>
      </w:r>
    </w:p>
    <w:p w14:paraId="42B79397" w14:textId="1783B851" w:rsidR="00BF1920" w:rsidRPr="00D06102" w:rsidRDefault="00060089" w:rsidP="00BF1920">
      <w:pPr>
        <w:pStyle w:val="Call"/>
        <w:rPr>
          <w:i w:val="0"/>
          <w:iCs/>
          <w:lang w:val="ru-RU"/>
        </w:rPr>
      </w:pPr>
      <w:r w:rsidRPr="00D06102">
        <w:rPr>
          <w:lang w:val="ru-RU"/>
        </w:rPr>
        <w:t>учитывая</w:t>
      </w:r>
      <w:r w:rsidR="00B44B35" w:rsidRPr="00D06102">
        <w:rPr>
          <w:i w:val="0"/>
          <w:iCs/>
          <w:lang w:val="ru-RU"/>
        </w:rPr>
        <w:t>,</w:t>
      </w:r>
      <w:r w:rsidRPr="00D06102">
        <w:rPr>
          <w:i w:val="0"/>
          <w:iCs/>
          <w:lang w:val="ru-RU"/>
        </w:rPr>
        <w:t xml:space="preserve"> </w:t>
      </w:r>
    </w:p>
    <w:p w14:paraId="17A5D303" w14:textId="7BCC9018" w:rsidR="00BF1920" w:rsidRPr="00D06102" w:rsidRDefault="00BF1920" w:rsidP="00BF1920">
      <w:pPr>
        <w:rPr>
          <w:lang w:val="ru-RU" w:eastAsia="zh-CN"/>
        </w:rPr>
      </w:pPr>
      <w:r w:rsidRPr="00D06102">
        <w:rPr>
          <w:i/>
          <w:iCs/>
          <w:lang w:val="ru-RU" w:eastAsia="zh-CN"/>
        </w:rPr>
        <w:t>a)</w:t>
      </w:r>
      <w:r w:rsidRPr="00D06102">
        <w:rPr>
          <w:lang w:val="ru-RU" w:eastAsia="zh-CN"/>
        </w:rPr>
        <w:tab/>
      </w:r>
      <w:r w:rsidR="00060089" w:rsidRPr="00D06102">
        <w:rPr>
          <w:lang w:val="ru-RU" w:eastAsia="zh-CN"/>
        </w:rPr>
        <w:t>что использование частот выше</w:t>
      </w:r>
      <w:r w:rsidRPr="00D06102">
        <w:rPr>
          <w:lang w:val="ru-RU" w:eastAsia="zh-CN"/>
        </w:rPr>
        <w:t xml:space="preserve"> 275 </w:t>
      </w:r>
      <w:r w:rsidR="00B44B35" w:rsidRPr="00D06102">
        <w:rPr>
          <w:lang w:val="ru-RU" w:eastAsia="zh-CN"/>
        </w:rPr>
        <w:t>ГГц</w:t>
      </w:r>
      <w:r w:rsidR="00060089" w:rsidRPr="00D06102">
        <w:rPr>
          <w:lang w:val="ru-RU" w:eastAsia="zh-CN"/>
        </w:rPr>
        <w:t xml:space="preserve"> открывает множество возможностей в среднесрочной и долгосрочной перспективе;</w:t>
      </w:r>
      <w:r w:rsidRPr="00D06102">
        <w:rPr>
          <w:lang w:val="ru-RU" w:eastAsia="zh-CN"/>
        </w:rPr>
        <w:t xml:space="preserve"> </w:t>
      </w:r>
    </w:p>
    <w:p w14:paraId="4F9CD4AF" w14:textId="2F800FFE" w:rsidR="00BF1920" w:rsidRPr="00D06102" w:rsidRDefault="00BF1920" w:rsidP="00BF1920">
      <w:pPr>
        <w:rPr>
          <w:lang w:val="ru-RU" w:eastAsia="zh-CN"/>
        </w:rPr>
      </w:pPr>
      <w:r w:rsidRPr="00D06102">
        <w:rPr>
          <w:i/>
          <w:iCs/>
          <w:lang w:val="ru-RU" w:eastAsia="zh-CN"/>
        </w:rPr>
        <w:t>b)</w:t>
      </w:r>
      <w:r w:rsidRPr="00D06102">
        <w:rPr>
          <w:lang w:val="ru-RU" w:eastAsia="zh-CN"/>
        </w:rPr>
        <w:tab/>
      </w:r>
      <w:r w:rsidR="00060089" w:rsidRPr="00D06102">
        <w:rPr>
          <w:lang w:val="ru-RU" w:eastAsia="zh-CN"/>
        </w:rPr>
        <w:t>что МСЭ</w:t>
      </w:r>
      <w:r w:rsidRPr="00D06102">
        <w:rPr>
          <w:lang w:val="ru-RU" w:eastAsia="zh-CN"/>
        </w:rPr>
        <w:t xml:space="preserve">-R </w:t>
      </w:r>
      <w:r w:rsidR="00060089" w:rsidRPr="00D06102">
        <w:rPr>
          <w:lang w:val="ru-RU" w:eastAsia="zh-CN"/>
        </w:rPr>
        <w:t>уже начал исследовать применения служб радиосвязи</w:t>
      </w:r>
      <w:r w:rsidR="00060089" w:rsidRPr="00D06102">
        <w:rPr>
          <w:lang w:val="ru-RU"/>
        </w:rPr>
        <w:t xml:space="preserve"> </w:t>
      </w:r>
      <w:r w:rsidR="00060089" w:rsidRPr="00D06102">
        <w:rPr>
          <w:lang w:val="ru-RU" w:eastAsia="zh-CN"/>
        </w:rPr>
        <w:t xml:space="preserve">на частотах выше </w:t>
      </w:r>
      <w:r w:rsidRPr="00D06102">
        <w:rPr>
          <w:lang w:val="ru-RU" w:eastAsia="zh-CN"/>
        </w:rPr>
        <w:t>275 ГГц (</w:t>
      </w:r>
      <w:r w:rsidR="00060089" w:rsidRPr="00D06102">
        <w:rPr>
          <w:lang w:val="ru-RU" w:eastAsia="zh-CN"/>
        </w:rPr>
        <w:t>см</w:t>
      </w:r>
      <w:r w:rsidRPr="00D06102">
        <w:rPr>
          <w:lang w:val="ru-RU" w:eastAsia="zh-CN"/>
        </w:rPr>
        <w:t>. </w:t>
      </w:r>
      <w:r w:rsidR="00060089" w:rsidRPr="00D06102">
        <w:rPr>
          <w:lang w:val="ru-RU"/>
        </w:rPr>
        <w:t>Вопросы</w:t>
      </w:r>
      <w:r w:rsidRPr="00D06102">
        <w:rPr>
          <w:lang w:val="ru-RU"/>
        </w:rPr>
        <w:t xml:space="preserve"> МСЭ-R </w:t>
      </w:r>
      <w:hyperlink r:id="rId14" w:history="1">
        <w:r w:rsidRPr="00D06102">
          <w:rPr>
            <w:rStyle w:val="Hyperlink"/>
            <w:lang w:val="ru-RU"/>
          </w:rPr>
          <w:t>237/1</w:t>
        </w:r>
      </w:hyperlink>
      <w:r w:rsidRPr="00D06102">
        <w:rPr>
          <w:lang w:val="ru-RU"/>
        </w:rPr>
        <w:t xml:space="preserve">, </w:t>
      </w:r>
      <w:hyperlink r:id="rId15" w:history="1">
        <w:r w:rsidRPr="00D06102">
          <w:rPr>
            <w:rStyle w:val="Hyperlink"/>
            <w:lang w:val="ru-RU"/>
          </w:rPr>
          <w:t>228/3</w:t>
        </w:r>
      </w:hyperlink>
      <w:r w:rsidRPr="00D06102">
        <w:rPr>
          <w:lang w:val="ru-RU"/>
        </w:rPr>
        <w:t xml:space="preserve">, </w:t>
      </w:r>
      <w:hyperlink r:id="rId16" w:history="1">
        <w:r w:rsidRPr="00D06102">
          <w:rPr>
            <w:rStyle w:val="Hyperlink"/>
            <w:lang w:val="ru-RU"/>
          </w:rPr>
          <w:t>264/4</w:t>
        </w:r>
      </w:hyperlink>
      <w:r w:rsidRPr="00D06102">
        <w:rPr>
          <w:lang w:val="ru-RU"/>
        </w:rPr>
        <w:t xml:space="preserve">, </w:t>
      </w:r>
      <w:hyperlink r:id="rId17" w:history="1">
        <w:r w:rsidRPr="00D06102">
          <w:rPr>
            <w:rStyle w:val="Hyperlink"/>
            <w:lang w:val="ru-RU"/>
          </w:rPr>
          <w:t>256/5</w:t>
        </w:r>
      </w:hyperlink>
      <w:r w:rsidRPr="00D06102">
        <w:rPr>
          <w:lang w:val="ru-RU"/>
        </w:rPr>
        <w:t xml:space="preserve">, </w:t>
      </w:r>
      <w:hyperlink r:id="rId18" w:history="1">
        <w:r w:rsidRPr="00D06102">
          <w:rPr>
            <w:rStyle w:val="Hyperlink"/>
            <w:lang w:val="ru-RU"/>
          </w:rPr>
          <w:t>257/5</w:t>
        </w:r>
      </w:hyperlink>
      <w:r w:rsidRPr="00D06102">
        <w:rPr>
          <w:lang w:val="ru-RU"/>
        </w:rPr>
        <w:t xml:space="preserve"> и </w:t>
      </w:r>
      <w:hyperlink r:id="rId19" w:history="1">
        <w:r w:rsidRPr="00D06102">
          <w:rPr>
            <w:rStyle w:val="Hyperlink"/>
            <w:lang w:val="ru-RU"/>
          </w:rPr>
          <w:t>257/7</w:t>
        </w:r>
      </w:hyperlink>
      <w:r w:rsidRPr="00D06102">
        <w:rPr>
          <w:lang w:val="ru-RU" w:eastAsia="zh-CN"/>
        </w:rPr>
        <w:t>);</w:t>
      </w:r>
    </w:p>
    <w:p w14:paraId="4E981910" w14:textId="496AEFF9" w:rsidR="00BF1920" w:rsidRPr="00D06102" w:rsidRDefault="00BF1920" w:rsidP="00BF1920">
      <w:pPr>
        <w:rPr>
          <w:szCs w:val="24"/>
          <w:lang w:val="ru-RU" w:eastAsia="zh-CN"/>
        </w:rPr>
      </w:pPr>
      <w:r w:rsidRPr="00D06102">
        <w:rPr>
          <w:i/>
          <w:iCs/>
          <w:szCs w:val="24"/>
          <w:lang w:val="ru-RU" w:eastAsia="zh-CN"/>
        </w:rPr>
        <w:t>c)</w:t>
      </w:r>
      <w:r w:rsidRPr="00D06102">
        <w:rPr>
          <w:szCs w:val="24"/>
          <w:lang w:val="ru-RU" w:eastAsia="zh-CN"/>
        </w:rPr>
        <w:tab/>
      </w:r>
      <w:r w:rsidR="00060089" w:rsidRPr="00D06102">
        <w:rPr>
          <w:szCs w:val="24"/>
          <w:lang w:val="ru-RU" w:eastAsia="zh-CN"/>
        </w:rPr>
        <w:t xml:space="preserve">что планируется внедрение систем радиосвязи на частотах выше </w:t>
      </w:r>
      <w:r w:rsidRPr="00D06102">
        <w:rPr>
          <w:szCs w:val="24"/>
          <w:lang w:val="ru-RU" w:eastAsia="zh-CN"/>
        </w:rPr>
        <w:t>275</w:t>
      </w:r>
      <w:r w:rsidR="00B44B35" w:rsidRPr="00D06102">
        <w:rPr>
          <w:szCs w:val="24"/>
          <w:lang w:val="ru-RU" w:eastAsia="zh-CN"/>
        </w:rPr>
        <w:t> ГГц</w:t>
      </w:r>
      <w:r w:rsidRPr="00D06102">
        <w:rPr>
          <w:szCs w:val="24"/>
          <w:lang w:val="ru-RU" w:eastAsia="zh-CN"/>
        </w:rPr>
        <w:t xml:space="preserve"> (</w:t>
      </w:r>
      <w:r w:rsidR="00060089" w:rsidRPr="00D06102">
        <w:rPr>
          <w:szCs w:val="24"/>
          <w:lang w:val="ru-RU" w:eastAsia="zh-CN"/>
        </w:rPr>
        <w:t>см</w:t>
      </w:r>
      <w:r w:rsidRPr="00D06102">
        <w:rPr>
          <w:szCs w:val="24"/>
          <w:lang w:val="ru-RU" w:eastAsia="zh-CN"/>
        </w:rPr>
        <w:t xml:space="preserve">. </w:t>
      </w:r>
      <w:r w:rsidR="00060089" w:rsidRPr="00D06102">
        <w:rPr>
          <w:szCs w:val="24"/>
          <w:lang w:val="ru-RU" w:eastAsia="zh-CN"/>
        </w:rPr>
        <w:t xml:space="preserve">Отчеты </w:t>
      </w:r>
      <w:r w:rsidR="00B44B35" w:rsidRPr="00D06102">
        <w:rPr>
          <w:szCs w:val="24"/>
          <w:lang w:val="ru-RU" w:eastAsia="zh-CN"/>
        </w:rPr>
        <w:t>МСЭ</w:t>
      </w:r>
      <w:r w:rsidRPr="00D06102">
        <w:rPr>
          <w:szCs w:val="24"/>
          <w:lang w:val="ru-RU" w:eastAsia="zh-CN"/>
        </w:rPr>
        <w:t xml:space="preserve">-R </w:t>
      </w:r>
      <w:hyperlink r:id="rId20" w:history="1">
        <w:proofErr w:type="spellStart"/>
        <w:r w:rsidRPr="00D06102">
          <w:rPr>
            <w:rStyle w:val="Hyperlink"/>
            <w:szCs w:val="24"/>
            <w:lang w:val="ru-RU"/>
          </w:rPr>
          <w:t>F.2416</w:t>
        </w:r>
        <w:proofErr w:type="spellEnd"/>
      </w:hyperlink>
      <w:r w:rsidRPr="00D06102">
        <w:rPr>
          <w:szCs w:val="24"/>
          <w:lang w:val="ru-RU" w:eastAsia="zh-CN"/>
        </w:rPr>
        <w:t xml:space="preserve">, </w:t>
      </w:r>
      <w:hyperlink r:id="rId21" w:history="1">
        <w:proofErr w:type="spellStart"/>
        <w:r w:rsidRPr="00D06102">
          <w:rPr>
            <w:rStyle w:val="Hyperlink"/>
            <w:szCs w:val="24"/>
            <w:lang w:val="ru-RU"/>
          </w:rPr>
          <w:t>M.2417</w:t>
        </w:r>
        <w:proofErr w:type="spellEnd"/>
      </w:hyperlink>
      <w:r w:rsidRPr="00D06102">
        <w:rPr>
          <w:szCs w:val="24"/>
          <w:lang w:val="ru-RU" w:eastAsia="zh-CN"/>
        </w:rPr>
        <w:t xml:space="preserve">, </w:t>
      </w:r>
      <w:hyperlink r:id="rId22" w:history="1">
        <w:proofErr w:type="spellStart"/>
        <w:r w:rsidRPr="00D06102">
          <w:rPr>
            <w:color w:val="0000FF" w:themeColor="hyperlink"/>
            <w:szCs w:val="24"/>
            <w:u w:val="single"/>
            <w:lang w:val="ru-RU" w:eastAsia="ja-JP"/>
          </w:rPr>
          <w:t>RA.2189</w:t>
        </w:r>
        <w:proofErr w:type="spellEnd"/>
      </w:hyperlink>
      <w:r w:rsidRPr="00D06102">
        <w:rPr>
          <w:szCs w:val="24"/>
          <w:lang w:val="ru-RU" w:eastAsia="zh-CN"/>
        </w:rPr>
        <w:t xml:space="preserve">, </w:t>
      </w:r>
      <w:hyperlink r:id="rId23" w:history="1">
        <w:proofErr w:type="spellStart"/>
        <w:r w:rsidRPr="00D06102">
          <w:rPr>
            <w:color w:val="0000FF" w:themeColor="hyperlink"/>
            <w:szCs w:val="24"/>
            <w:u w:val="single"/>
            <w:lang w:val="ru-RU"/>
          </w:rPr>
          <w:t>RS.2194</w:t>
        </w:r>
        <w:proofErr w:type="spellEnd"/>
      </w:hyperlink>
      <w:r w:rsidRPr="00D06102">
        <w:rPr>
          <w:szCs w:val="24"/>
          <w:lang w:val="ru-RU" w:eastAsia="zh-CN"/>
        </w:rPr>
        <w:t xml:space="preserve">, </w:t>
      </w:r>
      <w:hyperlink r:id="rId24" w:history="1">
        <w:proofErr w:type="spellStart"/>
        <w:r w:rsidRPr="00D06102">
          <w:rPr>
            <w:rStyle w:val="Hyperlink"/>
            <w:szCs w:val="24"/>
            <w:lang w:val="ru-RU"/>
          </w:rPr>
          <w:t>RS.2431</w:t>
        </w:r>
        <w:proofErr w:type="spellEnd"/>
      </w:hyperlink>
      <w:r w:rsidRPr="00D06102">
        <w:rPr>
          <w:szCs w:val="24"/>
          <w:lang w:val="ru-RU" w:eastAsia="zh-CN"/>
        </w:rPr>
        <w:t xml:space="preserve">, </w:t>
      </w:r>
      <w:hyperlink r:id="rId25" w:history="1">
        <w:proofErr w:type="spellStart"/>
        <w:r w:rsidRPr="00D06102">
          <w:rPr>
            <w:color w:val="0000FF" w:themeColor="hyperlink"/>
            <w:szCs w:val="24"/>
            <w:u w:val="single"/>
            <w:lang w:val="ru-RU"/>
          </w:rPr>
          <w:t>SM.2352</w:t>
        </w:r>
        <w:proofErr w:type="spellEnd"/>
      </w:hyperlink>
      <w:r w:rsidRPr="00D06102">
        <w:rPr>
          <w:color w:val="000000" w:themeColor="text1"/>
          <w:szCs w:val="24"/>
          <w:lang w:val="ru-RU"/>
        </w:rPr>
        <w:t xml:space="preserve"> </w:t>
      </w:r>
      <w:r w:rsidR="00B44B35" w:rsidRPr="00D06102">
        <w:rPr>
          <w:color w:val="000000" w:themeColor="text1"/>
          <w:szCs w:val="24"/>
          <w:lang w:val="ru-RU"/>
        </w:rPr>
        <w:t>и</w:t>
      </w:r>
      <w:r w:rsidRPr="00D06102">
        <w:rPr>
          <w:color w:val="000000" w:themeColor="text1"/>
          <w:szCs w:val="24"/>
          <w:lang w:val="ru-RU"/>
        </w:rPr>
        <w:t xml:space="preserve"> </w:t>
      </w:r>
      <w:hyperlink r:id="rId26" w:history="1">
        <w:proofErr w:type="spellStart"/>
        <w:r w:rsidRPr="00D06102">
          <w:rPr>
            <w:rStyle w:val="Hyperlink"/>
            <w:szCs w:val="24"/>
            <w:lang w:val="ru-RU"/>
          </w:rPr>
          <w:t>SM.2450</w:t>
        </w:r>
        <w:proofErr w:type="spellEnd"/>
      </w:hyperlink>
      <w:r w:rsidRPr="00D06102">
        <w:rPr>
          <w:color w:val="000000" w:themeColor="text1"/>
          <w:szCs w:val="24"/>
          <w:lang w:val="ru-RU"/>
        </w:rPr>
        <w:t>);</w:t>
      </w:r>
    </w:p>
    <w:p w14:paraId="3C064C56" w14:textId="63AED86A" w:rsidR="00BF1920" w:rsidRPr="00D06102" w:rsidRDefault="00396DCA" w:rsidP="00BF1920">
      <w:pPr>
        <w:rPr>
          <w:lang w:val="ru-RU" w:eastAsia="zh-CN"/>
        </w:rPr>
      </w:pPr>
      <w:r w:rsidRPr="00D06102">
        <w:rPr>
          <w:i/>
          <w:iCs/>
          <w:lang w:val="ru-RU" w:eastAsia="zh-CN"/>
        </w:rPr>
        <w:t>d</w:t>
      </w:r>
      <w:r w:rsidR="00BF1920" w:rsidRPr="00D06102">
        <w:rPr>
          <w:i/>
          <w:iCs/>
          <w:lang w:val="ru-RU" w:eastAsia="zh-CN"/>
        </w:rPr>
        <w:t>)</w:t>
      </w:r>
      <w:r w:rsidR="00BF1920" w:rsidRPr="00D06102">
        <w:rPr>
          <w:lang w:val="ru-RU" w:eastAsia="zh-CN"/>
        </w:rPr>
        <w:tab/>
      </w:r>
      <w:r w:rsidR="0084565F" w:rsidRPr="00D06102">
        <w:rPr>
          <w:lang w:val="ru-RU" w:eastAsia="zh-CN"/>
        </w:rPr>
        <w:t>что желательно создать руководство по новым применениям</w:t>
      </w:r>
      <w:r w:rsidR="00170007" w:rsidRPr="00D06102">
        <w:rPr>
          <w:lang w:val="ru-RU" w:eastAsia="zh-CN"/>
        </w:rPr>
        <w:t xml:space="preserve"> с точки зрения защиты применений пассивных служб</w:t>
      </w:r>
      <w:r w:rsidR="00BF1920" w:rsidRPr="00D06102">
        <w:rPr>
          <w:lang w:val="ru-RU" w:eastAsia="zh-CN"/>
        </w:rPr>
        <w:t>,</w:t>
      </w:r>
      <w:r w:rsidR="00170007" w:rsidRPr="00D06102">
        <w:rPr>
          <w:lang w:val="ru-RU" w:eastAsia="zh-CN"/>
        </w:rPr>
        <w:t xml:space="preserve"> а также по совместному использованию частот применениями всех служб</w:t>
      </w:r>
      <w:r w:rsidR="00BF1920" w:rsidRPr="00D06102">
        <w:rPr>
          <w:lang w:val="ru-RU" w:eastAsia="zh-CN"/>
        </w:rPr>
        <w:t>;</w:t>
      </w:r>
    </w:p>
    <w:p w14:paraId="58AB4AB2" w14:textId="3169889D" w:rsidR="00BF1920" w:rsidRPr="00D06102" w:rsidRDefault="00396DCA" w:rsidP="00BF1920">
      <w:pPr>
        <w:rPr>
          <w:lang w:val="ru-RU" w:eastAsia="zh-CN"/>
        </w:rPr>
      </w:pPr>
      <w:r w:rsidRPr="00D06102">
        <w:rPr>
          <w:i/>
          <w:lang w:val="ru-RU" w:eastAsia="zh-CN"/>
        </w:rPr>
        <w:t>e</w:t>
      </w:r>
      <w:r w:rsidR="00BF1920" w:rsidRPr="00D06102">
        <w:rPr>
          <w:i/>
          <w:lang w:val="ru-RU" w:eastAsia="zh-CN"/>
        </w:rPr>
        <w:t>)</w:t>
      </w:r>
      <w:r w:rsidR="00BF1920" w:rsidRPr="00D06102">
        <w:rPr>
          <w:lang w:val="ru-RU" w:eastAsia="zh-CN"/>
        </w:rPr>
        <w:tab/>
      </w:r>
      <w:r w:rsidR="00170007" w:rsidRPr="00D06102">
        <w:rPr>
          <w:lang w:val="ru-RU" w:eastAsia="zh-CN"/>
        </w:rPr>
        <w:t xml:space="preserve">что </w:t>
      </w:r>
      <w:r w:rsidR="008A02A4" w:rsidRPr="00D06102">
        <w:rPr>
          <w:lang w:val="ru-RU" w:eastAsia="zh-CN"/>
        </w:rPr>
        <w:t>технологии</w:t>
      </w:r>
      <w:r w:rsidR="00170007" w:rsidRPr="00D06102">
        <w:rPr>
          <w:lang w:val="ru-RU" w:eastAsia="zh-CN"/>
        </w:rPr>
        <w:t xml:space="preserve"> </w:t>
      </w:r>
      <w:r w:rsidR="005B3019" w:rsidRPr="00D06102">
        <w:rPr>
          <w:lang w:val="ru-RU" w:eastAsia="zh-CN"/>
        </w:rPr>
        <w:t>активных служб</w:t>
      </w:r>
      <w:r w:rsidR="007F5839" w:rsidRPr="00D06102">
        <w:rPr>
          <w:lang w:val="ru-RU" w:eastAsia="zh-CN"/>
        </w:rPr>
        <w:t>, работающих</w:t>
      </w:r>
      <w:r w:rsidR="005B3019" w:rsidRPr="00D06102">
        <w:rPr>
          <w:lang w:val="ru-RU" w:eastAsia="zh-CN"/>
        </w:rPr>
        <w:t xml:space="preserve"> в диапазоне выше </w:t>
      </w:r>
      <w:r w:rsidR="00BF1920" w:rsidRPr="00D06102">
        <w:rPr>
          <w:lang w:val="ru-RU" w:eastAsia="zh-CN"/>
        </w:rPr>
        <w:t xml:space="preserve">275 </w:t>
      </w:r>
      <w:r w:rsidR="00B44B35" w:rsidRPr="00D06102">
        <w:rPr>
          <w:lang w:val="ru-RU" w:eastAsia="zh-CN"/>
        </w:rPr>
        <w:t>ГГц</w:t>
      </w:r>
      <w:r w:rsidR="00924CC0" w:rsidRPr="00D06102">
        <w:rPr>
          <w:lang w:val="ru-RU" w:eastAsia="zh-CN"/>
        </w:rPr>
        <w:t>,</w:t>
      </w:r>
      <w:r w:rsidR="00BF1920" w:rsidRPr="00D06102">
        <w:rPr>
          <w:lang w:val="ru-RU" w:eastAsia="zh-CN"/>
        </w:rPr>
        <w:t xml:space="preserve"> </w:t>
      </w:r>
      <w:r w:rsidR="005B3019" w:rsidRPr="00D06102">
        <w:rPr>
          <w:lang w:val="ru-RU" w:eastAsia="zh-CN"/>
        </w:rPr>
        <w:t>наход</w:t>
      </w:r>
      <w:r w:rsidR="008A02A4" w:rsidRPr="00D06102">
        <w:rPr>
          <w:lang w:val="ru-RU" w:eastAsia="zh-CN"/>
        </w:rPr>
        <w:t>я</w:t>
      </w:r>
      <w:r w:rsidR="005B3019" w:rsidRPr="00D06102">
        <w:rPr>
          <w:lang w:val="ru-RU" w:eastAsia="zh-CN"/>
        </w:rPr>
        <w:t xml:space="preserve">тся на </w:t>
      </w:r>
      <w:r w:rsidR="008A02A4" w:rsidRPr="00D06102">
        <w:rPr>
          <w:lang w:val="ru-RU" w:eastAsia="zh-CN"/>
        </w:rPr>
        <w:t>этапе становления</w:t>
      </w:r>
      <w:r w:rsidR="005B3019" w:rsidRPr="00D06102">
        <w:rPr>
          <w:lang w:val="ru-RU" w:eastAsia="zh-CN"/>
        </w:rPr>
        <w:t>, а следовательно,</w:t>
      </w:r>
      <w:r w:rsidR="00BF1920" w:rsidRPr="00D06102">
        <w:rPr>
          <w:lang w:val="ru-RU" w:eastAsia="zh-CN"/>
        </w:rPr>
        <w:t xml:space="preserve"> </w:t>
      </w:r>
      <w:r w:rsidR="008A02A4" w:rsidRPr="00D06102">
        <w:rPr>
          <w:lang w:val="ru-RU" w:eastAsia="zh-CN"/>
        </w:rPr>
        <w:t>им предстоит долгий путь развития</w:t>
      </w:r>
      <w:r w:rsidR="00BF1920" w:rsidRPr="00D06102">
        <w:rPr>
          <w:lang w:val="ru-RU" w:eastAsia="zh-CN"/>
        </w:rPr>
        <w:t>,</w:t>
      </w:r>
    </w:p>
    <w:p w14:paraId="3E5D6522" w14:textId="6F5ADF5A" w:rsidR="00BF1920" w:rsidRPr="00D06102" w:rsidRDefault="005B3019" w:rsidP="00BF1920">
      <w:pPr>
        <w:pStyle w:val="Call"/>
        <w:rPr>
          <w:i w:val="0"/>
          <w:iCs/>
          <w:szCs w:val="24"/>
          <w:lang w:val="ru-RU"/>
        </w:rPr>
      </w:pPr>
      <w:r w:rsidRPr="00D06102">
        <w:rPr>
          <w:szCs w:val="24"/>
          <w:lang w:val="ru-RU"/>
        </w:rPr>
        <w:t>признавая</w:t>
      </w:r>
      <w:r w:rsidR="00B44B35" w:rsidRPr="00D06102">
        <w:rPr>
          <w:i w:val="0"/>
          <w:iCs/>
          <w:szCs w:val="24"/>
          <w:lang w:val="ru-RU"/>
        </w:rPr>
        <w:t>,</w:t>
      </w:r>
    </w:p>
    <w:p w14:paraId="1FFD945B" w14:textId="504E3536" w:rsidR="00BF1920" w:rsidRPr="00D06102" w:rsidRDefault="00BF1920" w:rsidP="00BF1920">
      <w:pPr>
        <w:rPr>
          <w:szCs w:val="24"/>
          <w:lang w:val="ru-RU"/>
        </w:rPr>
      </w:pPr>
      <w:r w:rsidRPr="00D06102">
        <w:rPr>
          <w:i/>
          <w:iCs/>
          <w:szCs w:val="24"/>
          <w:lang w:val="ru-RU" w:eastAsia="zh-CN"/>
        </w:rPr>
        <w:t>a)</w:t>
      </w:r>
      <w:r w:rsidRPr="00D06102">
        <w:rPr>
          <w:szCs w:val="24"/>
          <w:lang w:val="ru-RU" w:eastAsia="zh-CN"/>
        </w:rPr>
        <w:tab/>
      </w:r>
      <w:r w:rsidR="005B3019" w:rsidRPr="00D06102">
        <w:rPr>
          <w:szCs w:val="24"/>
          <w:lang w:val="ru-RU" w:eastAsia="zh-CN"/>
        </w:rPr>
        <w:t xml:space="preserve">что диапазон частот </w:t>
      </w:r>
      <w:r w:rsidRPr="00D06102">
        <w:rPr>
          <w:szCs w:val="24"/>
          <w:lang w:val="ru-RU"/>
        </w:rPr>
        <w:t>275</w:t>
      </w:r>
      <w:r w:rsidR="00B44B35" w:rsidRPr="00D06102">
        <w:rPr>
          <w:szCs w:val="24"/>
          <w:lang w:val="ru-RU"/>
        </w:rPr>
        <w:t>−</w:t>
      </w:r>
      <w:r w:rsidRPr="00D06102">
        <w:rPr>
          <w:szCs w:val="24"/>
          <w:lang w:val="ru-RU"/>
        </w:rPr>
        <w:t xml:space="preserve">3000 </w:t>
      </w:r>
      <w:r w:rsidR="00B44B35" w:rsidRPr="00D06102">
        <w:rPr>
          <w:szCs w:val="24"/>
          <w:lang w:val="ru-RU"/>
        </w:rPr>
        <w:t>ГГц</w:t>
      </w:r>
      <w:r w:rsidRPr="00D06102">
        <w:rPr>
          <w:szCs w:val="24"/>
          <w:lang w:val="ru-RU"/>
        </w:rPr>
        <w:t xml:space="preserve"> </w:t>
      </w:r>
      <w:r w:rsidR="005B3019" w:rsidRPr="00D06102">
        <w:rPr>
          <w:szCs w:val="24"/>
          <w:lang w:val="ru-RU"/>
        </w:rPr>
        <w:t>не распределен</w:t>
      </w:r>
      <w:r w:rsidRPr="00D06102">
        <w:rPr>
          <w:szCs w:val="24"/>
          <w:lang w:val="ru-RU"/>
        </w:rPr>
        <w:t>;</w:t>
      </w:r>
    </w:p>
    <w:p w14:paraId="5E313A14" w14:textId="5E3077BF" w:rsidR="00BF1920" w:rsidRPr="00D06102" w:rsidRDefault="00BF1920" w:rsidP="00BF1920">
      <w:pPr>
        <w:rPr>
          <w:szCs w:val="24"/>
          <w:lang w:val="ru-RU"/>
        </w:rPr>
      </w:pPr>
      <w:r w:rsidRPr="00D06102">
        <w:rPr>
          <w:i/>
          <w:szCs w:val="24"/>
          <w:lang w:val="ru-RU"/>
        </w:rPr>
        <w:t>b)</w:t>
      </w:r>
      <w:r w:rsidRPr="00D06102">
        <w:rPr>
          <w:szCs w:val="24"/>
          <w:lang w:val="ru-RU"/>
        </w:rPr>
        <w:tab/>
      </w:r>
      <w:r w:rsidR="002D393D" w:rsidRPr="00D06102">
        <w:rPr>
          <w:szCs w:val="24"/>
          <w:lang w:val="ru-RU"/>
        </w:rPr>
        <w:t>что в</w:t>
      </w:r>
      <w:r w:rsidRPr="00D06102">
        <w:rPr>
          <w:szCs w:val="24"/>
          <w:lang w:val="ru-RU"/>
        </w:rPr>
        <w:t xml:space="preserve"> </w:t>
      </w:r>
      <w:r w:rsidR="00B44B35" w:rsidRPr="00D06102">
        <w:rPr>
          <w:szCs w:val="24"/>
          <w:lang w:val="ru-RU"/>
        </w:rPr>
        <w:t>п</w:t>
      </w:r>
      <w:r w:rsidRPr="00D06102">
        <w:rPr>
          <w:szCs w:val="24"/>
          <w:lang w:val="ru-RU"/>
        </w:rPr>
        <w:t xml:space="preserve">. </w:t>
      </w:r>
      <w:r w:rsidRPr="00D06102">
        <w:rPr>
          <w:b/>
          <w:szCs w:val="24"/>
          <w:lang w:val="ru-RU"/>
        </w:rPr>
        <w:t>5.565</w:t>
      </w:r>
      <w:r w:rsidRPr="00D06102">
        <w:rPr>
          <w:szCs w:val="24"/>
          <w:lang w:val="ru-RU"/>
        </w:rPr>
        <w:t xml:space="preserve"> </w:t>
      </w:r>
      <w:r w:rsidR="00B44B35" w:rsidRPr="00D06102">
        <w:rPr>
          <w:szCs w:val="24"/>
          <w:lang w:val="ru-RU"/>
        </w:rPr>
        <w:t>Регламента радиосвязи</w:t>
      </w:r>
      <w:r w:rsidRPr="00D06102">
        <w:rPr>
          <w:szCs w:val="24"/>
          <w:lang w:val="ru-RU"/>
        </w:rPr>
        <w:t xml:space="preserve"> </w:t>
      </w:r>
      <w:r w:rsidR="002D393D" w:rsidRPr="00D06102">
        <w:rPr>
          <w:szCs w:val="24"/>
          <w:lang w:val="ru-RU"/>
        </w:rPr>
        <w:t>некоторые полосы частот в диапазоне</w:t>
      </w:r>
      <w:r w:rsidRPr="00D06102">
        <w:rPr>
          <w:szCs w:val="24"/>
          <w:lang w:val="ru-RU"/>
        </w:rPr>
        <w:t xml:space="preserve"> 275</w:t>
      </w:r>
      <w:r w:rsidR="00B44B35" w:rsidRPr="00D06102">
        <w:rPr>
          <w:szCs w:val="24"/>
          <w:lang w:val="ru-RU"/>
        </w:rPr>
        <w:t>−</w:t>
      </w:r>
      <w:r w:rsidRPr="00D06102">
        <w:rPr>
          <w:szCs w:val="24"/>
          <w:lang w:val="ru-RU"/>
        </w:rPr>
        <w:t>1000</w:t>
      </w:r>
      <w:r w:rsidR="00B44B35" w:rsidRPr="00D06102">
        <w:rPr>
          <w:szCs w:val="24"/>
          <w:lang w:val="ru-RU"/>
        </w:rPr>
        <w:t> ГГц</w:t>
      </w:r>
      <w:r w:rsidRPr="00D06102">
        <w:rPr>
          <w:szCs w:val="24"/>
          <w:lang w:val="ru-RU"/>
        </w:rPr>
        <w:t xml:space="preserve"> </w:t>
      </w:r>
      <w:r w:rsidR="002D393D" w:rsidRPr="00D06102">
        <w:rPr>
          <w:szCs w:val="24"/>
          <w:lang w:val="ru-RU"/>
        </w:rPr>
        <w:t>определены для использования администрациями для применений пассивных служб, которые</w:t>
      </w:r>
      <w:r w:rsidR="00CB48C9" w:rsidRPr="00D06102">
        <w:rPr>
          <w:szCs w:val="24"/>
          <w:lang w:val="ru-RU"/>
        </w:rPr>
        <w:t xml:space="preserve"> </w:t>
      </w:r>
      <w:r w:rsidR="002D393D" w:rsidRPr="00D06102">
        <w:rPr>
          <w:szCs w:val="24"/>
          <w:lang w:val="ru-RU"/>
        </w:rPr>
        <w:t>должны быть защищены</w:t>
      </w:r>
      <w:r w:rsidRPr="00D06102">
        <w:rPr>
          <w:szCs w:val="24"/>
          <w:lang w:val="ru-RU"/>
        </w:rPr>
        <w:t xml:space="preserve">, </w:t>
      </w:r>
      <w:r w:rsidR="00EA1F9C" w:rsidRPr="00D06102">
        <w:rPr>
          <w:szCs w:val="24"/>
          <w:lang w:val="ru-RU"/>
        </w:rPr>
        <w:t xml:space="preserve">согласно исследованиям МСЭ-R, </w:t>
      </w:r>
      <w:r w:rsidR="002D393D" w:rsidRPr="00D06102">
        <w:rPr>
          <w:szCs w:val="24"/>
          <w:lang w:val="ru-RU"/>
        </w:rPr>
        <w:t xml:space="preserve">в то время как в этом диапазоне разрешено использование активных систем и все частоты в диапазоне </w:t>
      </w:r>
      <w:r w:rsidRPr="00D06102">
        <w:rPr>
          <w:szCs w:val="24"/>
          <w:lang w:val="ru-RU"/>
        </w:rPr>
        <w:t>1000</w:t>
      </w:r>
      <w:r w:rsidR="00B44B35" w:rsidRPr="00D06102">
        <w:rPr>
          <w:szCs w:val="24"/>
          <w:lang w:val="ru-RU"/>
        </w:rPr>
        <w:t>−</w:t>
      </w:r>
      <w:r w:rsidRPr="00D06102">
        <w:rPr>
          <w:szCs w:val="24"/>
          <w:lang w:val="ru-RU"/>
        </w:rPr>
        <w:t xml:space="preserve">3000 </w:t>
      </w:r>
      <w:r w:rsidR="00B44B35" w:rsidRPr="00D06102">
        <w:rPr>
          <w:szCs w:val="24"/>
          <w:lang w:val="ru-RU"/>
        </w:rPr>
        <w:t>ГГц</w:t>
      </w:r>
      <w:r w:rsidRPr="00D06102">
        <w:rPr>
          <w:szCs w:val="24"/>
          <w:lang w:val="ru-RU"/>
        </w:rPr>
        <w:t xml:space="preserve"> </w:t>
      </w:r>
      <w:r w:rsidR="002D393D" w:rsidRPr="00D06102">
        <w:rPr>
          <w:szCs w:val="24"/>
          <w:lang w:val="ru-RU"/>
        </w:rPr>
        <w:t>могут использоваться как активными, так и пассивными службами</w:t>
      </w:r>
      <w:r w:rsidRPr="00D06102">
        <w:rPr>
          <w:szCs w:val="24"/>
          <w:lang w:val="ru-RU"/>
        </w:rPr>
        <w:t>;</w:t>
      </w:r>
    </w:p>
    <w:p w14:paraId="218DF4FF" w14:textId="0485CE92" w:rsidR="00BF1920" w:rsidRPr="00D06102" w:rsidRDefault="00BF1920" w:rsidP="00BF1920">
      <w:pPr>
        <w:rPr>
          <w:szCs w:val="24"/>
          <w:lang w:val="ru-RU"/>
        </w:rPr>
      </w:pPr>
      <w:r w:rsidRPr="00D06102">
        <w:rPr>
          <w:i/>
          <w:szCs w:val="24"/>
          <w:lang w:val="ru-RU"/>
        </w:rPr>
        <w:t>c)</w:t>
      </w:r>
      <w:r w:rsidRPr="00D06102">
        <w:rPr>
          <w:szCs w:val="24"/>
          <w:lang w:val="ru-RU"/>
        </w:rPr>
        <w:tab/>
      </w:r>
      <w:r w:rsidR="00BD3712" w:rsidRPr="00D06102">
        <w:rPr>
          <w:szCs w:val="24"/>
          <w:lang w:val="ru-RU"/>
        </w:rPr>
        <w:t xml:space="preserve">что </w:t>
      </w:r>
      <w:r w:rsidR="004D748F" w:rsidRPr="00D06102">
        <w:rPr>
          <w:szCs w:val="24"/>
          <w:lang w:val="ru-RU"/>
        </w:rPr>
        <w:t xml:space="preserve">в </w:t>
      </w:r>
      <w:hyperlink r:id="rId27" w:history="1">
        <w:r w:rsidR="004D748F" w:rsidRPr="00D06102">
          <w:rPr>
            <w:rStyle w:val="Hyperlink"/>
            <w:szCs w:val="24"/>
            <w:lang w:val="ru-RU"/>
          </w:rPr>
          <w:t>Резолюции 37</w:t>
        </w:r>
      </w:hyperlink>
      <w:r w:rsidR="004D748F" w:rsidRPr="00D06102">
        <w:rPr>
          <w:szCs w:val="24"/>
          <w:lang w:val="ru-RU"/>
        </w:rPr>
        <w:t xml:space="preserve"> содержится решение о том, что </w:t>
      </w:r>
      <w:r w:rsidR="00BD3712" w:rsidRPr="00D06102">
        <w:rPr>
          <w:szCs w:val="24"/>
          <w:lang w:val="ru-RU"/>
        </w:rPr>
        <w:t>информаци</w:t>
      </w:r>
      <w:r w:rsidR="004D748F" w:rsidRPr="00D06102">
        <w:rPr>
          <w:szCs w:val="24"/>
          <w:lang w:val="ru-RU"/>
        </w:rPr>
        <w:t>я о распространении радиоволн</w:t>
      </w:r>
      <w:r w:rsidR="00BD3712" w:rsidRPr="00D06102">
        <w:rPr>
          <w:szCs w:val="24"/>
          <w:lang w:val="ru-RU"/>
        </w:rPr>
        <w:t xml:space="preserve"> должн</w:t>
      </w:r>
      <w:r w:rsidR="004D748F" w:rsidRPr="00D06102">
        <w:rPr>
          <w:szCs w:val="24"/>
          <w:lang w:val="ru-RU"/>
        </w:rPr>
        <w:t>а</w:t>
      </w:r>
      <w:r w:rsidR="00BD3712" w:rsidRPr="00D06102">
        <w:rPr>
          <w:szCs w:val="24"/>
          <w:lang w:val="ru-RU"/>
        </w:rPr>
        <w:t xml:space="preserve"> направляться в 3-ю Исследовательскую комиссию по радиосвязи, с тем чтобы</w:t>
      </w:r>
      <w:r w:rsidR="004D748F" w:rsidRPr="00D06102">
        <w:rPr>
          <w:szCs w:val="24"/>
          <w:lang w:val="ru-RU"/>
        </w:rPr>
        <w:t>,</w:t>
      </w:r>
      <w:r w:rsidR="00BD3712" w:rsidRPr="00D06102">
        <w:rPr>
          <w:szCs w:val="24"/>
          <w:lang w:val="ru-RU"/>
        </w:rPr>
        <w:t xml:space="preserve"> помимо </w:t>
      </w:r>
      <w:r w:rsidR="004D748F" w:rsidRPr="00D06102">
        <w:rPr>
          <w:szCs w:val="24"/>
          <w:lang w:val="ru-RU"/>
        </w:rPr>
        <w:t>внесения ценного</w:t>
      </w:r>
      <w:r w:rsidR="00BD3712" w:rsidRPr="00D06102">
        <w:rPr>
          <w:szCs w:val="24"/>
          <w:lang w:val="ru-RU"/>
        </w:rPr>
        <w:t xml:space="preserve"> вклада </w:t>
      </w:r>
      <w:r w:rsidR="004D748F" w:rsidRPr="00D06102">
        <w:rPr>
          <w:szCs w:val="24"/>
          <w:lang w:val="ru-RU"/>
        </w:rPr>
        <w:t>в</w:t>
      </w:r>
      <w:r w:rsidR="00BD3712" w:rsidRPr="00D06102">
        <w:rPr>
          <w:szCs w:val="24"/>
          <w:lang w:val="ru-RU"/>
        </w:rPr>
        <w:t xml:space="preserve"> работ</w:t>
      </w:r>
      <w:r w:rsidR="004D748F" w:rsidRPr="00D06102">
        <w:rPr>
          <w:szCs w:val="24"/>
          <w:lang w:val="ru-RU"/>
        </w:rPr>
        <w:t>у</w:t>
      </w:r>
      <w:r w:rsidR="00BD3712" w:rsidRPr="00D06102">
        <w:rPr>
          <w:szCs w:val="24"/>
          <w:lang w:val="ru-RU"/>
        </w:rPr>
        <w:t xml:space="preserve"> другой исследовательской комиссии</w:t>
      </w:r>
      <w:r w:rsidR="004D748F" w:rsidRPr="00D06102">
        <w:rPr>
          <w:szCs w:val="24"/>
          <w:lang w:val="ru-RU"/>
        </w:rPr>
        <w:t>,</w:t>
      </w:r>
      <w:r w:rsidR="00BD3712" w:rsidRPr="00D06102">
        <w:rPr>
          <w:szCs w:val="24"/>
          <w:lang w:val="ru-RU"/>
        </w:rPr>
        <w:t xml:space="preserve"> соответствующая информация могла также оказаться полезной для будущей работы 3-й Исследовательской комиссии по радиосвязи</w:t>
      </w:r>
      <w:r w:rsidR="00B44B35" w:rsidRPr="00D06102">
        <w:rPr>
          <w:szCs w:val="24"/>
          <w:lang w:val="ru-RU"/>
        </w:rPr>
        <w:t>,</w:t>
      </w:r>
    </w:p>
    <w:p w14:paraId="5DFCAB68" w14:textId="052F1057" w:rsidR="00BF1920" w:rsidRPr="00D06102" w:rsidRDefault="00C84904" w:rsidP="00BF1920">
      <w:pPr>
        <w:pStyle w:val="Call"/>
        <w:rPr>
          <w:i w:val="0"/>
          <w:iCs/>
          <w:szCs w:val="24"/>
          <w:lang w:val="ru-RU"/>
        </w:rPr>
      </w:pPr>
      <w:r w:rsidRPr="00D06102">
        <w:rPr>
          <w:szCs w:val="24"/>
          <w:lang w:val="ru-RU"/>
        </w:rPr>
        <w:t>отмечая</w:t>
      </w:r>
      <w:r w:rsidR="00B44B35" w:rsidRPr="00D06102">
        <w:rPr>
          <w:i w:val="0"/>
          <w:iCs/>
          <w:szCs w:val="24"/>
          <w:lang w:val="ru-RU"/>
        </w:rPr>
        <w:t>,</w:t>
      </w:r>
    </w:p>
    <w:p w14:paraId="4148ADA4" w14:textId="1D12F9A5" w:rsidR="00BF1920" w:rsidRPr="00D06102" w:rsidRDefault="004D748F" w:rsidP="00BF1920">
      <w:pPr>
        <w:rPr>
          <w:i/>
          <w:szCs w:val="24"/>
          <w:lang w:val="ru-RU" w:eastAsia="zh-CN"/>
        </w:rPr>
      </w:pPr>
      <w:r w:rsidRPr="00D06102">
        <w:rPr>
          <w:szCs w:val="24"/>
          <w:lang w:val="ru-RU" w:eastAsia="zh-CN"/>
        </w:rPr>
        <w:t xml:space="preserve">что </w:t>
      </w:r>
      <w:r w:rsidR="00757DBE" w:rsidRPr="00D06102">
        <w:rPr>
          <w:szCs w:val="24"/>
          <w:lang w:val="ru-RU" w:eastAsia="zh-CN"/>
        </w:rPr>
        <w:t>в целях</w:t>
      </w:r>
      <w:r w:rsidRPr="00D06102">
        <w:rPr>
          <w:szCs w:val="24"/>
          <w:lang w:val="ru-RU" w:eastAsia="zh-CN"/>
        </w:rPr>
        <w:t xml:space="preserve"> содействия использованию частот выше 275</w:t>
      </w:r>
      <w:r w:rsidR="00757DBE" w:rsidRPr="00D06102">
        <w:rPr>
          <w:lang w:val="ru-RU"/>
        </w:rPr>
        <w:t xml:space="preserve"> </w:t>
      </w:r>
      <w:r w:rsidR="00757DBE" w:rsidRPr="00D06102">
        <w:rPr>
          <w:szCs w:val="24"/>
          <w:lang w:val="ru-RU" w:eastAsia="zh-CN"/>
        </w:rPr>
        <w:t>ГГц</w:t>
      </w:r>
      <w:r w:rsidRPr="00D06102">
        <w:rPr>
          <w:szCs w:val="24"/>
          <w:lang w:val="ru-RU" w:eastAsia="zh-CN"/>
        </w:rPr>
        <w:t xml:space="preserve"> для применений всех служб требуется проведение исследован</w:t>
      </w:r>
      <w:r w:rsidR="00757DBE" w:rsidRPr="00D06102">
        <w:rPr>
          <w:szCs w:val="24"/>
          <w:lang w:val="ru-RU" w:eastAsia="zh-CN"/>
        </w:rPr>
        <w:t>ий, посвященных рассмотрению меняющихся характеристик применений всех служб и необходимости защиты применений пассивных служб</w:t>
      </w:r>
      <w:r w:rsidR="00BF1920" w:rsidRPr="00D06102">
        <w:rPr>
          <w:szCs w:val="24"/>
          <w:lang w:val="ru-RU" w:eastAsia="zh-CN"/>
        </w:rPr>
        <w:t>,</w:t>
      </w:r>
    </w:p>
    <w:p w14:paraId="1C3A45E5" w14:textId="46661BA5" w:rsidR="00BF1920" w:rsidRPr="00D06102" w:rsidRDefault="00757DBE" w:rsidP="00BF1920">
      <w:pPr>
        <w:pStyle w:val="Call"/>
        <w:rPr>
          <w:lang w:val="ru-RU"/>
        </w:rPr>
      </w:pPr>
      <w:r w:rsidRPr="00D06102">
        <w:rPr>
          <w:lang w:val="ru-RU"/>
        </w:rPr>
        <w:t>решает предложить МСЭ-R</w:t>
      </w:r>
    </w:p>
    <w:p w14:paraId="02982974" w14:textId="0F1B42AE" w:rsidR="00BF1920" w:rsidRPr="00D06102" w:rsidRDefault="00BF1920" w:rsidP="00BF1920">
      <w:pPr>
        <w:rPr>
          <w:lang w:val="ru-RU" w:eastAsia="zh-CN"/>
        </w:rPr>
      </w:pPr>
      <w:r w:rsidRPr="00D06102">
        <w:rPr>
          <w:lang w:val="ru-RU" w:eastAsia="zh-CN"/>
        </w:rPr>
        <w:t>1</w:t>
      </w:r>
      <w:r w:rsidRPr="00D06102">
        <w:rPr>
          <w:lang w:val="ru-RU" w:eastAsia="zh-CN"/>
        </w:rPr>
        <w:tab/>
      </w:r>
      <w:r w:rsidR="00757DBE" w:rsidRPr="00D06102">
        <w:rPr>
          <w:lang w:val="ru-RU" w:eastAsia="zh-CN"/>
        </w:rPr>
        <w:t xml:space="preserve">изучить внедрение и использование систем радиосвязи в диапазоне </w:t>
      </w:r>
      <w:r w:rsidRPr="00D06102">
        <w:rPr>
          <w:lang w:val="ru-RU" w:eastAsia="zh-CN"/>
        </w:rPr>
        <w:t>275</w:t>
      </w:r>
      <w:r w:rsidR="00B44B35" w:rsidRPr="00D06102">
        <w:rPr>
          <w:lang w:val="ru-RU" w:eastAsia="zh-CN"/>
        </w:rPr>
        <w:t>−</w:t>
      </w:r>
      <w:r w:rsidRPr="00D06102">
        <w:rPr>
          <w:lang w:val="ru-RU" w:eastAsia="zh-CN"/>
        </w:rPr>
        <w:t>3000</w:t>
      </w:r>
      <w:r w:rsidR="00B44B35" w:rsidRPr="00D06102">
        <w:rPr>
          <w:lang w:val="ru-RU" w:eastAsia="zh-CN"/>
        </w:rPr>
        <w:t> ГГц</w:t>
      </w:r>
      <w:r w:rsidRPr="00D06102">
        <w:rPr>
          <w:lang w:val="ru-RU" w:eastAsia="zh-CN"/>
        </w:rPr>
        <w:t>;</w:t>
      </w:r>
    </w:p>
    <w:p w14:paraId="227AF0A7" w14:textId="4E1998A0" w:rsidR="00BF1920" w:rsidRPr="00D06102" w:rsidRDefault="00BF1920" w:rsidP="00BF1920">
      <w:pPr>
        <w:rPr>
          <w:lang w:val="ru-RU" w:eastAsia="zh-CN"/>
        </w:rPr>
      </w:pPr>
      <w:r w:rsidRPr="00D06102">
        <w:rPr>
          <w:lang w:val="ru-RU" w:eastAsia="zh-CN"/>
        </w:rPr>
        <w:t>2</w:t>
      </w:r>
      <w:r w:rsidRPr="00D06102">
        <w:rPr>
          <w:lang w:val="ru-RU" w:eastAsia="zh-CN"/>
        </w:rPr>
        <w:tab/>
      </w:r>
      <w:r w:rsidR="00757DBE" w:rsidRPr="00D06102">
        <w:rPr>
          <w:lang w:val="ru-RU" w:eastAsia="zh-CN"/>
        </w:rPr>
        <w:t xml:space="preserve">изучить эксплуатационные и технические характеристики, требования и показатели качества, связанные с использованием частот выше </w:t>
      </w:r>
      <w:r w:rsidRPr="00D06102">
        <w:rPr>
          <w:lang w:val="ru-RU" w:eastAsia="zh-CN"/>
        </w:rPr>
        <w:t xml:space="preserve">275 </w:t>
      </w:r>
      <w:r w:rsidR="00FB0DBA" w:rsidRPr="00D06102">
        <w:rPr>
          <w:lang w:val="ru-RU" w:eastAsia="zh-CN"/>
        </w:rPr>
        <w:t>ГГц</w:t>
      </w:r>
      <w:r w:rsidRPr="00D06102">
        <w:rPr>
          <w:lang w:val="ru-RU" w:eastAsia="zh-CN"/>
        </w:rPr>
        <w:t>;</w:t>
      </w:r>
    </w:p>
    <w:p w14:paraId="616F0245" w14:textId="72843891" w:rsidR="00BF1920" w:rsidRPr="00D06102" w:rsidRDefault="00BF1920" w:rsidP="00BF1920">
      <w:pPr>
        <w:rPr>
          <w:lang w:val="ru-RU" w:eastAsia="zh-CN"/>
        </w:rPr>
      </w:pPr>
      <w:r w:rsidRPr="00D06102">
        <w:rPr>
          <w:lang w:val="ru-RU" w:eastAsia="zh-CN"/>
        </w:rPr>
        <w:t>3</w:t>
      </w:r>
      <w:r w:rsidRPr="00D06102">
        <w:rPr>
          <w:lang w:val="ru-RU" w:eastAsia="zh-CN"/>
        </w:rPr>
        <w:tab/>
      </w:r>
      <w:r w:rsidR="00A71A1A" w:rsidRPr="00D06102">
        <w:rPr>
          <w:lang w:val="ru-RU" w:eastAsia="zh-CN"/>
        </w:rPr>
        <w:t xml:space="preserve">изучить технические условия, связанные с внедрением </w:t>
      </w:r>
      <w:r w:rsidR="00757DBE" w:rsidRPr="00D06102">
        <w:rPr>
          <w:lang w:val="ru-RU" w:eastAsia="zh-CN"/>
        </w:rPr>
        <w:t xml:space="preserve">и использованием систем радиосвязи, работающих </w:t>
      </w:r>
      <w:r w:rsidR="00221EFF" w:rsidRPr="00D06102">
        <w:rPr>
          <w:lang w:val="ru-RU" w:eastAsia="zh-CN"/>
        </w:rPr>
        <w:t>в диапазоне 275–3000 ГГц</w:t>
      </w:r>
      <w:r w:rsidR="00924CC0" w:rsidRPr="00D06102">
        <w:rPr>
          <w:lang w:val="ru-RU" w:eastAsia="zh-CN"/>
        </w:rPr>
        <w:t>,</w:t>
      </w:r>
      <w:r w:rsidR="00221EFF" w:rsidRPr="00D06102">
        <w:rPr>
          <w:lang w:val="ru-RU" w:eastAsia="zh-CN"/>
        </w:rPr>
        <w:t xml:space="preserve"> </w:t>
      </w:r>
      <w:r w:rsidR="00A71A1A" w:rsidRPr="00D06102">
        <w:rPr>
          <w:lang w:val="ru-RU" w:eastAsia="zh-CN"/>
        </w:rPr>
        <w:t xml:space="preserve">в целях облегчения, обеспечения и улучшения </w:t>
      </w:r>
      <w:r w:rsidR="00A71A1A" w:rsidRPr="00D06102">
        <w:rPr>
          <w:lang w:val="ru-RU" w:eastAsia="zh-CN"/>
        </w:rPr>
        <w:lastRenderedPageBreak/>
        <w:t>совместной работы служб радиосвязи и совместного использования частот этими службами</w:t>
      </w:r>
      <w:r w:rsidR="00221EFF" w:rsidRPr="00D06102">
        <w:rPr>
          <w:lang w:val="ru-RU" w:eastAsia="zh-CN"/>
        </w:rPr>
        <w:t xml:space="preserve"> в конкретных полосах частот</w:t>
      </w:r>
      <w:r w:rsidRPr="00D06102">
        <w:rPr>
          <w:lang w:val="ru-RU" w:eastAsia="zh-CN"/>
        </w:rPr>
        <w:t>;</w:t>
      </w:r>
    </w:p>
    <w:p w14:paraId="7AB70C78" w14:textId="34E7F36A" w:rsidR="00BF1920" w:rsidRPr="00D06102" w:rsidRDefault="00BF1920" w:rsidP="00BF1920">
      <w:pPr>
        <w:rPr>
          <w:lang w:val="ru-RU" w:eastAsia="zh-CN"/>
        </w:rPr>
      </w:pPr>
      <w:r w:rsidRPr="00D06102">
        <w:rPr>
          <w:lang w:val="ru-RU" w:eastAsia="zh-CN"/>
        </w:rPr>
        <w:t>4</w:t>
      </w:r>
      <w:r w:rsidRPr="00D06102">
        <w:rPr>
          <w:lang w:val="ru-RU" w:eastAsia="zh-CN"/>
        </w:rPr>
        <w:tab/>
      </w:r>
      <w:r w:rsidR="00FB0DBA" w:rsidRPr="00D06102">
        <w:rPr>
          <w:lang w:val="ru-RU"/>
        </w:rPr>
        <w:t xml:space="preserve">разработать соответствующие Рекомендации и/или Отчеты МСЭ-R на основе вышеупомянутых </w:t>
      </w:r>
      <w:r w:rsidR="00FB0DBA" w:rsidRPr="00D06102">
        <w:rPr>
          <w:cs/>
          <w:lang w:val="ru-RU"/>
        </w:rPr>
        <w:t>‎</w:t>
      </w:r>
      <w:r w:rsidR="00FB0DBA" w:rsidRPr="00D06102">
        <w:rPr>
          <w:lang w:val="ru-RU"/>
        </w:rPr>
        <w:t>исследований, в зависимости от случая</w:t>
      </w:r>
      <w:r w:rsidRPr="00D06102">
        <w:rPr>
          <w:lang w:val="ru-RU" w:eastAsia="zh-CN"/>
        </w:rPr>
        <w:t>,</w:t>
      </w:r>
    </w:p>
    <w:p w14:paraId="5B665E04" w14:textId="7F1D82DF" w:rsidR="00BF1920" w:rsidRPr="00D06102" w:rsidRDefault="00236C9D" w:rsidP="00BF1920">
      <w:pPr>
        <w:pStyle w:val="Call"/>
        <w:rPr>
          <w:lang w:val="ru-RU"/>
        </w:rPr>
      </w:pPr>
      <w:r w:rsidRPr="00D06102">
        <w:rPr>
          <w:lang w:val="ru-RU"/>
        </w:rPr>
        <w:t>предлагает членам МСЭ</w:t>
      </w:r>
    </w:p>
    <w:p w14:paraId="01319434" w14:textId="3CDE513C" w:rsidR="00BF1920" w:rsidRPr="00D06102" w:rsidRDefault="00FB0DBA" w:rsidP="00BF1920">
      <w:pPr>
        <w:rPr>
          <w:lang w:val="ru-RU" w:eastAsia="zh-CN"/>
        </w:rPr>
      </w:pPr>
      <w:r w:rsidRPr="00D06102">
        <w:rPr>
          <w:lang w:val="ru-RU" w:eastAsia="zh-CN"/>
        </w:rPr>
        <w:t>принять активное участие в выполнении настоящей Резолюции, в том числе путем предоставления вкладов на рассмотрение МСЭ-R, а также представления соответствующей информации от источников, не входящих в МСЭ-R</w:t>
      </w:r>
      <w:r w:rsidR="00BF1920" w:rsidRPr="00D06102">
        <w:rPr>
          <w:lang w:val="ru-RU" w:eastAsia="zh-CN"/>
        </w:rPr>
        <w:t>.</w:t>
      </w:r>
    </w:p>
    <w:p w14:paraId="660F2CB6" w14:textId="77777777" w:rsidR="00BF1920" w:rsidRPr="00D06102" w:rsidRDefault="00BF1920" w:rsidP="00060089">
      <w:pPr>
        <w:pStyle w:val="Reasons"/>
        <w:rPr>
          <w:lang w:val="ru-RU"/>
        </w:rPr>
      </w:pPr>
    </w:p>
    <w:p w14:paraId="6F332732" w14:textId="77777777" w:rsidR="00BF1920" w:rsidRPr="00D06102" w:rsidRDefault="00BF1920" w:rsidP="00683524">
      <w:pPr>
        <w:spacing w:before="480"/>
        <w:jc w:val="center"/>
        <w:rPr>
          <w:lang w:val="ru-RU"/>
        </w:rPr>
      </w:pPr>
      <w:r w:rsidRPr="00D06102">
        <w:rPr>
          <w:lang w:val="ru-RU"/>
        </w:rPr>
        <w:t>______________</w:t>
      </w:r>
    </w:p>
    <w:sectPr w:rsidR="00BF1920" w:rsidRPr="00D06102" w:rsidSect="009447A3">
      <w:headerReference w:type="default" r:id="rId28"/>
      <w:footerReference w:type="even" r:id="rId29"/>
      <w:footerReference w:type="default" r:id="rId30"/>
      <w:footerReference w:type="first" r:id="rId3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DFA1" w14:textId="77777777" w:rsidR="00060089" w:rsidRDefault="00060089">
      <w:r>
        <w:separator/>
      </w:r>
    </w:p>
  </w:endnote>
  <w:endnote w:type="continuationSeparator" w:id="0">
    <w:p w14:paraId="136C5554" w14:textId="77777777" w:rsidR="00060089" w:rsidRDefault="0006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D00A7" w14:textId="28A110F9" w:rsidR="00060089" w:rsidRPr="00EE146A" w:rsidRDefault="00060089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F5F26">
      <w:rPr>
        <w:noProof/>
        <w:lang w:val="fr-FR"/>
      </w:rPr>
      <w:t>P:\RUS\ITU-R\CONF-R\AR19\PLEN\000\017R.docx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5F26">
      <w:rPr>
        <w:noProof/>
      </w:rPr>
      <w:t>09.10.19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5F26">
      <w:rPr>
        <w:noProof/>
      </w:rPr>
      <w:t>09.10.19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610A7" w14:textId="2A802D90" w:rsidR="00060089" w:rsidRPr="00EE146A" w:rsidRDefault="00060089" w:rsidP="009331D0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F5F26">
      <w:rPr>
        <w:lang w:val="fr-FR"/>
      </w:rPr>
      <w:t>P:\RUS\ITU-R\CONF-R\AR19\PLEN\000\017R.docx</w:t>
    </w:r>
    <w:r>
      <w:fldChar w:fldCharType="end"/>
    </w:r>
    <w:r>
      <w:t xml:space="preserve"> (461485)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EB74" w14:textId="2488C311" w:rsidR="00060089" w:rsidRPr="00EE146A" w:rsidRDefault="00060089" w:rsidP="00396DCA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F5F26">
      <w:rPr>
        <w:lang w:val="fr-FR"/>
      </w:rPr>
      <w:t>P:\RUS\ITU-R\CONF-R\AR19\PLEN\000\017R.docx</w:t>
    </w:r>
    <w:r>
      <w:fldChar w:fldCharType="end"/>
    </w:r>
    <w:r>
      <w:t xml:space="preserve"> (461485)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C07A8" w14:textId="77777777" w:rsidR="00060089" w:rsidRDefault="00060089">
      <w:r>
        <w:rPr>
          <w:b/>
        </w:rPr>
        <w:t>_______________</w:t>
      </w:r>
    </w:p>
  </w:footnote>
  <w:footnote w:type="continuationSeparator" w:id="0">
    <w:p w14:paraId="0B7A7393" w14:textId="77777777" w:rsidR="00060089" w:rsidRDefault="0006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C7C0" w14:textId="77777777" w:rsidR="00060089" w:rsidRDefault="00060089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24CC0">
      <w:rPr>
        <w:noProof/>
        <w:lang w:val="en-US"/>
      </w:rPr>
      <w:t>2</w:t>
    </w:r>
    <w:r>
      <w:rPr>
        <w:lang w:val="en-US"/>
      </w:rPr>
      <w:fldChar w:fldCharType="end"/>
    </w:r>
  </w:p>
  <w:p w14:paraId="6D4E0077" w14:textId="0C8314CF" w:rsidR="00060089" w:rsidRPr="009447A3" w:rsidRDefault="00060089" w:rsidP="002C3E03">
    <w:pPr>
      <w:pStyle w:val="Header"/>
      <w:rPr>
        <w:lang w:val="en-US"/>
      </w:rPr>
    </w:pPr>
    <w:proofErr w:type="spellStart"/>
    <w:r>
      <w:rPr>
        <w:lang w:val="en-US"/>
      </w:rPr>
      <w:t>RA19</w:t>
    </w:r>
    <w:proofErr w:type="spellEnd"/>
    <w:r>
      <w:rPr>
        <w:lang w:val="en-US"/>
      </w:rPr>
      <w:t>/</w:t>
    </w:r>
    <w:proofErr w:type="spellStart"/>
    <w:r>
      <w:t>PLEN</w:t>
    </w:r>
    <w:proofErr w:type="spellEnd"/>
    <w:r>
      <w:t>/17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E5"/>
    <w:rsid w:val="000223C8"/>
    <w:rsid w:val="00060089"/>
    <w:rsid w:val="000608BF"/>
    <w:rsid w:val="0007259F"/>
    <w:rsid w:val="001355A1"/>
    <w:rsid w:val="00150CF5"/>
    <w:rsid w:val="00170007"/>
    <w:rsid w:val="00193A7F"/>
    <w:rsid w:val="001A0B7B"/>
    <w:rsid w:val="001B225D"/>
    <w:rsid w:val="001E5E32"/>
    <w:rsid w:val="00213F8F"/>
    <w:rsid w:val="0022175B"/>
    <w:rsid w:val="00221EFF"/>
    <w:rsid w:val="00236C9D"/>
    <w:rsid w:val="002450CF"/>
    <w:rsid w:val="002B222D"/>
    <w:rsid w:val="002C3E03"/>
    <w:rsid w:val="002D393D"/>
    <w:rsid w:val="00344578"/>
    <w:rsid w:val="00344645"/>
    <w:rsid w:val="00396DCA"/>
    <w:rsid w:val="003E26B6"/>
    <w:rsid w:val="003E5371"/>
    <w:rsid w:val="00406A96"/>
    <w:rsid w:val="00432094"/>
    <w:rsid w:val="004844C1"/>
    <w:rsid w:val="004D748F"/>
    <w:rsid w:val="004E14FF"/>
    <w:rsid w:val="004F2CE1"/>
    <w:rsid w:val="00541AC7"/>
    <w:rsid w:val="005B3019"/>
    <w:rsid w:val="00632B5F"/>
    <w:rsid w:val="00645B0F"/>
    <w:rsid w:val="00653AE0"/>
    <w:rsid w:val="00680325"/>
    <w:rsid w:val="00683524"/>
    <w:rsid w:val="006B251A"/>
    <w:rsid w:val="006F2CE5"/>
    <w:rsid w:val="00700190"/>
    <w:rsid w:val="00703FFC"/>
    <w:rsid w:val="0071246B"/>
    <w:rsid w:val="00713989"/>
    <w:rsid w:val="007409CD"/>
    <w:rsid w:val="00756B1C"/>
    <w:rsid w:val="00757DBE"/>
    <w:rsid w:val="007F50B2"/>
    <w:rsid w:val="007F5839"/>
    <w:rsid w:val="00826CC8"/>
    <w:rsid w:val="00845350"/>
    <w:rsid w:val="0084565F"/>
    <w:rsid w:val="00882488"/>
    <w:rsid w:val="008A02A4"/>
    <w:rsid w:val="008B1239"/>
    <w:rsid w:val="008F1905"/>
    <w:rsid w:val="00924CC0"/>
    <w:rsid w:val="009331D0"/>
    <w:rsid w:val="009426B8"/>
    <w:rsid w:val="00943EBD"/>
    <w:rsid w:val="009447A3"/>
    <w:rsid w:val="00A05CE9"/>
    <w:rsid w:val="00A07E56"/>
    <w:rsid w:val="00A71A1A"/>
    <w:rsid w:val="00A80D47"/>
    <w:rsid w:val="00AD4505"/>
    <w:rsid w:val="00AE3B8D"/>
    <w:rsid w:val="00AF5F26"/>
    <w:rsid w:val="00B25ADA"/>
    <w:rsid w:val="00B44B35"/>
    <w:rsid w:val="00B55F49"/>
    <w:rsid w:val="00B96568"/>
    <w:rsid w:val="00BD3712"/>
    <w:rsid w:val="00BE2A09"/>
    <w:rsid w:val="00BE5003"/>
    <w:rsid w:val="00BF1920"/>
    <w:rsid w:val="00C52226"/>
    <w:rsid w:val="00C84904"/>
    <w:rsid w:val="00CB48C9"/>
    <w:rsid w:val="00D06102"/>
    <w:rsid w:val="00D35AF0"/>
    <w:rsid w:val="00D471A9"/>
    <w:rsid w:val="00D911DC"/>
    <w:rsid w:val="00DF6842"/>
    <w:rsid w:val="00EA1F9C"/>
    <w:rsid w:val="00EE146A"/>
    <w:rsid w:val="00EE7B72"/>
    <w:rsid w:val="00F25B5F"/>
    <w:rsid w:val="00F36624"/>
    <w:rsid w:val="00F451F5"/>
    <w:rsid w:val="00F52FFE"/>
    <w:rsid w:val="00F579FC"/>
    <w:rsid w:val="00F80DF5"/>
    <w:rsid w:val="00F9578C"/>
    <w:rsid w:val="00FB0DBA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62A978"/>
  <w15:docId w15:val="{077BD5A5-B882-4B8C-AAC5-2286F9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styleId="Hyperlink">
    <w:name w:val="Hyperlink"/>
    <w:basedOn w:val="DefaultParagraphFont"/>
    <w:unhideWhenUsed/>
    <w:rsid w:val="007F50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80325"/>
    <w:rPr>
      <w:color w:val="800080" w:themeColor="followedHyperlink"/>
      <w:u w:val="single"/>
    </w:rPr>
  </w:style>
  <w:style w:type="character" w:customStyle="1" w:styleId="CallChar">
    <w:name w:val="Call Char"/>
    <w:link w:val="Call"/>
    <w:locked/>
    <w:rsid w:val="00BF1920"/>
    <w:rPr>
      <w:rFonts w:ascii="Times New Roman" w:eastAsia="Times New Roman" w:hAnsi="Times New Roman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087">
              <w:marLeft w:val="0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QUE-SG07.257" TargetMode="External"/><Relationship Id="rId18" Type="http://schemas.openxmlformats.org/officeDocument/2006/relationships/hyperlink" Target="https://www.itu.int/pub/R-QUE-SG05.257" TargetMode="External"/><Relationship Id="rId26" Type="http://schemas.openxmlformats.org/officeDocument/2006/relationships/hyperlink" Target="http://www.itu.int/pub/R-REP-SM.24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pub/R-REP-M.241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tu.int/pub/R-QUE-SG05.257" TargetMode="External"/><Relationship Id="rId17" Type="http://schemas.openxmlformats.org/officeDocument/2006/relationships/hyperlink" Target="https://www.itu.int/pub/R-QUE-SG05.256" TargetMode="External"/><Relationship Id="rId25" Type="http://schemas.openxmlformats.org/officeDocument/2006/relationships/hyperlink" Target="http://www.itu.int/pub/R-REP-SM.235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pub/R-QUE-SG04.264" TargetMode="External"/><Relationship Id="rId20" Type="http://schemas.openxmlformats.org/officeDocument/2006/relationships/hyperlink" Target="https://www.itu.int/pub/R-REP-F.2416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pub/R-QUE-SG05.256" TargetMode="External"/><Relationship Id="rId24" Type="http://schemas.openxmlformats.org/officeDocument/2006/relationships/hyperlink" Target="https://www.itu.int/pub/R-REP-RS.243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pub/R-QUE-SG03.228" TargetMode="External"/><Relationship Id="rId23" Type="http://schemas.openxmlformats.org/officeDocument/2006/relationships/hyperlink" Target="http://www.itu.int/pub/R-REP-RS.219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pub/R-QUE-SG04.264" TargetMode="External"/><Relationship Id="rId19" Type="http://schemas.openxmlformats.org/officeDocument/2006/relationships/hyperlink" Target="https://www.itu.int/pub/R-QUE-SG07.257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R-QUE-SG03.228" TargetMode="External"/><Relationship Id="rId14" Type="http://schemas.openxmlformats.org/officeDocument/2006/relationships/hyperlink" Target="https://www.itu.int/pub/R-QUE-SG01.237" TargetMode="External"/><Relationship Id="rId22" Type="http://schemas.openxmlformats.org/officeDocument/2006/relationships/hyperlink" Target="http://www.itu.int/pub/R-REP-RA.2189" TargetMode="External"/><Relationship Id="rId27" Type="http://schemas.openxmlformats.org/officeDocument/2006/relationships/hyperlink" Target="https://www.itu.int/pub/R-RES-R.37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itu.int/pub/R-QUE-SG01.2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389</TotalTime>
  <Pages>1</Pages>
  <Words>803</Words>
  <Characters>5507</Characters>
  <Application>Microsoft Office Word</Application>
  <DocSecurity>0</DocSecurity>
  <Lines>112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Russian</cp:lastModifiedBy>
  <cp:revision>45</cp:revision>
  <cp:lastPrinted>2019-10-09T09:57:00Z</cp:lastPrinted>
  <dcterms:created xsi:type="dcterms:W3CDTF">2019-09-26T15:16:00Z</dcterms:created>
  <dcterms:modified xsi:type="dcterms:W3CDTF">2019-10-09T09:57:00Z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