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>
        <w:trPr>
          <w:cantSplit/>
        </w:trPr>
        <w:tc>
          <w:tcPr>
            <w:tcW w:w="6345" w:type="dxa"/>
          </w:tcPr>
          <w:p w:rsidR="00E307F2" w:rsidRPr="00C63EB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7918F904" wp14:editId="4E1608BC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E307F2" w:rsidRPr="00617BE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E307F2" w:rsidRPr="00617BE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E307F2" w:rsidRPr="00C324A8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E307F2" w:rsidRPr="00C324A8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E307F2" w:rsidRPr="00C324A8" w:rsidRDefault="000F67C7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2318B9">
              <w:rPr>
                <w:rFonts w:ascii="Verdana" w:hAnsi="Verdana"/>
                <w:b/>
                <w:sz w:val="20"/>
              </w:rPr>
              <w:t>COMISIÓN 2</w:t>
            </w:r>
          </w:p>
        </w:tc>
        <w:tc>
          <w:tcPr>
            <w:tcW w:w="3686" w:type="dxa"/>
          </w:tcPr>
          <w:p w:rsidR="00E307F2" w:rsidRPr="00C324A8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RA19/</w:t>
            </w:r>
            <w:r w:rsidR="000F67C7" w:rsidRPr="000F67C7">
              <w:rPr>
                <w:rFonts w:ascii="Verdana" w:hAnsi="Verdana"/>
                <w:b/>
                <w:sz w:val="20"/>
              </w:rPr>
              <w:t>PLEN/5-S</w:t>
            </w:r>
          </w:p>
        </w:tc>
      </w:tr>
      <w:tr w:rsidR="00E307F2" w:rsidRPr="00C324A8">
        <w:trPr>
          <w:cantSplit/>
          <w:trHeight w:val="23"/>
        </w:trPr>
        <w:tc>
          <w:tcPr>
            <w:tcW w:w="6345" w:type="dxa"/>
            <w:vMerge/>
          </w:tcPr>
          <w:p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:rsidR="00E307F2" w:rsidRPr="00C324A8" w:rsidRDefault="000F67C7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0F67C7">
              <w:rPr>
                <w:rFonts w:ascii="Verdana" w:hAnsi="Verdana"/>
                <w:b/>
                <w:sz w:val="20"/>
              </w:rPr>
              <w:t>15 de mayo de 2019</w:t>
            </w:r>
          </w:p>
        </w:tc>
      </w:tr>
      <w:tr w:rsidR="00E307F2" w:rsidRPr="00C324A8">
        <w:trPr>
          <w:cantSplit/>
          <w:trHeight w:val="23"/>
        </w:trPr>
        <w:tc>
          <w:tcPr>
            <w:tcW w:w="6345" w:type="dxa"/>
            <w:vMerge/>
          </w:tcPr>
          <w:p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:rsidR="00E307F2" w:rsidRPr="00C324A8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E307F2">
        <w:trPr>
          <w:cantSplit/>
        </w:trPr>
        <w:tc>
          <w:tcPr>
            <w:tcW w:w="10031" w:type="dxa"/>
          </w:tcPr>
          <w:p w:rsidR="00E307F2" w:rsidRDefault="000F67C7">
            <w:pPr>
              <w:pStyle w:val="Source"/>
            </w:pPr>
            <w:r>
              <w:t>Nota del Secretario General</w:t>
            </w:r>
          </w:p>
        </w:tc>
      </w:tr>
      <w:tr w:rsidR="00E307F2">
        <w:trPr>
          <w:cantSplit/>
        </w:trPr>
        <w:tc>
          <w:tcPr>
            <w:tcW w:w="10031" w:type="dxa"/>
          </w:tcPr>
          <w:p w:rsidR="00E307F2" w:rsidRDefault="000F67C7">
            <w:pPr>
              <w:pStyle w:val="Title1"/>
            </w:pPr>
            <w:r>
              <w:t>RESPONSABILIDADES FINANCIERAS DE LAS CONFERENCIAS</w:t>
            </w:r>
          </w:p>
        </w:tc>
      </w:tr>
      <w:tr w:rsidR="00E307F2">
        <w:trPr>
          <w:cantSplit/>
        </w:trPr>
        <w:tc>
          <w:tcPr>
            <w:tcW w:w="10031" w:type="dxa"/>
          </w:tcPr>
          <w:p w:rsidR="00E307F2" w:rsidRDefault="00E307F2">
            <w:pPr>
              <w:pStyle w:val="Title2"/>
            </w:pPr>
          </w:p>
        </w:tc>
      </w:tr>
    </w:tbl>
    <w:p w:rsidR="000F67C7" w:rsidRPr="00EA05ED" w:rsidRDefault="000F67C7" w:rsidP="00694D19">
      <w:pPr>
        <w:pStyle w:val="Normalaftertitle"/>
      </w:pPr>
      <w:r>
        <w:t>Se señala</w:t>
      </w:r>
      <w:r w:rsidRPr="00EA05ED">
        <w:t xml:space="preserve"> a la atención de la Asamblea </w:t>
      </w:r>
      <w:r>
        <w:t>el número 92</w:t>
      </w:r>
      <w:r w:rsidRPr="00EA05ED">
        <w:t xml:space="preserve"> del Artículo </w:t>
      </w:r>
      <w:r>
        <w:t>13</w:t>
      </w:r>
      <w:r w:rsidRPr="00EA05ED">
        <w:t xml:space="preserve"> de</w:t>
      </w:r>
      <w:r>
        <w:t xml:space="preserve"> </w:t>
      </w:r>
      <w:r w:rsidRPr="00EA05ED">
        <w:t>l</w:t>
      </w:r>
      <w:r>
        <w:t xml:space="preserve">a Constitución de la </w:t>
      </w:r>
      <w:r w:rsidRPr="00EA05ED">
        <w:t>Unión Inte</w:t>
      </w:r>
      <w:r>
        <w:t>rnacional de Telecomunicaciones, cuyo tenor es el siguiente</w:t>
      </w:r>
      <w:r w:rsidRPr="00EA05ED">
        <w:t>:</w:t>
      </w:r>
    </w:p>
    <w:p w:rsidR="000F67C7" w:rsidRPr="00AC5170" w:rsidRDefault="000F67C7" w:rsidP="000F67C7">
      <w:pPr>
        <w:tabs>
          <w:tab w:val="center" w:pos="7088"/>
        </w:tabs>
      </w:pPr>
      <w:r>
        <w:t>«</w:t>
      </w:r>
      <w:r w:rsidRPr="00295EF0">
        <w:t>Las decisiones de las Conferencias Mundiales de Radiocomunicaciones,</w:t>
      </w:r>
      <w:r>
        <w:t xml:space="preserve"> </w:t>
      </w:r>
      <w:r w:rsidRPr="00295EF0">
        <w:t>de las Asambleas de Radiocomunicaciones y de las Conferencias</w:t>
      </w:r>
      <w:r>
        <w:t xml:space="preserve"> </w:t>
      </w:r>
      <w:r w:rsidRPr="00295EF0">
        <w:t>Regionales de Radiocomunicaciones se ajustarán en todos los casos a la</w:t>
      </w:r>
      <w:r>
        <w:t xml:space="preserve"> </w:t>
      </w:r>
      <w:r w:rsidRPr="00295EF0">
        <w:t>presente Constitución y al Convenio. Las decisiones de las Asambleas de</w:t>
      </w:r>
      <w:r>
        <w:t xml:space="preserve"> </w:t>
      </w:r>
      <w:r w:rsidRPr="00295EF0">
        <w:t>Radiocomunicaciones o de las Conferencias Regionales de Radiocomunicaciones</w:t>
      </w:r>
      <w:r>
        <w:t xml:space="preserve"> </w:t>
      </w:r>
      <w:r w:rsidRPr="00295EF0">
        <w:t>se ajustarán también en todos los casos al Reglamento de</w:t>
      </w:r>
      <w:r>
        <w:t xml:space="preserve"> </w:t>
      </w:r>
      <w:r w:rsidRPr="00295EF0">
        <w:t xml:space="preserve">Radiocomunicaciones. Al adoptar </w:t>
      </w:r>
      <w:r>
        <w:t>r</w:t>
      </w:r>
      <w:r w:rsidRPr="00295EF0">
        <w:t>esoluciones y decisiones, las conferencias</w:t>
      </w:r>
      <w:r>
        <w:t xml:space="preserve"> </w:t>
      </w:r>
      <w:r w:rsidRPr="00295EF0">
        <w:t>tendrán en cuenta sus repercusiones financieras previsibles y deberían evitar</w:t>
      </w:r>
      <w:r>
        <w:t xml:space="preserve"> </w:t>
      </w:r>
      <w:r w:rsidRPr="00295EF0">
        <w:t>la adopción de aquellas que puedan traer consigo el rebasamiento de los</w:t>
      </w:r>
      <w:r>
        <w:t xml:space="preserve"> </w:t>
      </w:r>
      <w:r w:rsidRPr="00295EF0">
        <w:t>límites financieros fijados por la Conferencia de Plenipotenciarios.</w:t>
      </w:r>
      <w:r>
        <w:t>»</w:t>
      </w:r>
    </w:p>
    <w:p w:rsidR="000F67C7" w:rsidRPr="00AC5170" w:rsidRDefault="000F67C7" w:rsidP="000F67C7">
      <w:pPr>
        <w:tabs>
          <w:tab w:val="center" w:pos="7088"/>
        </w:tabs>
      </w:pPr>
      <w:r w:rsidRPr="00AC5170">
        <w:t xml:space="preserve">Se señala también a la atención de la Asamblea los números 488 y 489 del Artículo 34 del Convenio de la </w:t>
      </w:r>
      <w:r w:rsidRPr="00EA05ED">
        <w:t>Unión Inte</w:t>
      </w:r>
      <w:r>
        <w:t>rnacional de Telecomunicaciones, cuyo tenor es el siguiente</w:t>
      </w:r>
      <w:r w:rsidRPr="00EA05ED">
        <w:t>:</w:t>
      </w:r>
    </w:p>
    <w:p w:rsidR="000F67C7" w:rsidRPr="00C7212E" w:rsidRDefault="000F67C7" w:rsidP="000F67C7">
      <w:pPr>
        <w:tabs>
          <w:tab w:val="center" w:pos="7088"/>
        </w:tabs>
      </w:pPr>
      <w:r>
        <w:t>«</w:t>
      </w:r>
      <w:r w:rsidRPr="00C7212E">
        <w:t>Antes de adoptar propuestas o de tomar decisiones que tengan</w:t>
      </w:r>
      <w:r>
        <w:t xml:space="preserve"> </w:t>
      </w:r>
      <w:r w:rsidRPr="00C7212E">
        <w:t>repercusiones financieras, las conferencias de la Unión tendrán presentes</w:t>
      </w:r>
      <w:r>
        <w:t xml:space="preserve"> </w:t>
      </w:r>
      <w:r w:rsidRPr="00C7212E">
        <w:t>todas las previsiones presupuestarias de la Unión para cerciorarse de que</w:t>
      </w:r>
      <w:r>
        <w:t xml:space="preserve"> </w:t>
      </w:r>
      <w:r w:rsidRPr="00C7212E">
        <w:t>no entrañan gastos superiores a los créditos que el Consejo está facultado</w:t>
      </w:r>
      <w:r>
        <w:t xml:space="preserve"> </w:t>
      </w:r>
      <w:r w:rsidRPr="00C7212E">
        <w:t>para autorizar.</w:t>
      </w:r>
    </w:p>
    <w:p w:rsidR="000F67C7" w:rsidRDefault="000F67C7" w:rsidP="000F67C7">
      <w:r w:rsidRPr="00C7212E">
        <w:t>No se llevará a efecto ninguna decisión de una conferencia que</w:t>
      </w:r>
      <w:r>
        <w:t xml:space="preserve"> </w:t>
      </w:r>
      <w:r w:rsidRPr="00C7212E">
        <w:t>entrañe un aumento directo o indirecto de los gastos por encima de los</w:t>
      </w:r>
      <w:r>
        <w:t xml:space="preserve"> </w:t>
      </w:r>
      <w:r w:rsidRPr="00C7212E">
        <w:t>créditos que el Consejo está facultado para autorizar.</w:t>
      </w:r>
      <w:r>
        <w:t>»</w:t>
      </w:r>
      <w:bookmarkStart w:id="0" w:name="_GoBack"/>
      <w:bookmarkEnd w:id="0"/>
    </w:p>
    <w:p w:rsidR="000F67C7" w:rsidRPr="00381939" w:rsidRDefault="000F67C7" w:rsidP="00C70098">
      <w:pPr>
        <w:tabs>
          <w:tab w:val="clear" w:pos="1134"/>
          <w:tab w:val="clear" w:pos="1871"/>
          <w:tab w:val="clear" w:pos="2268"/>
          <w:tab w:val="center" w:pos="7088"/>
        </w:tabs>
        <w:spacing w:before="840"/>
      </w:pPr>
      <w:r w:rsidRPr="00C7212E">
        <w:tab/>
      </w:r>
      <w:r>
        <w:t>Houlin ZHAO</w:t>
      </w:r>
      <w:r>
        <w:br/>
      </w:r>
      <w:r>
        <w:tab/>
      </w:r>
      <w:r w:rsidRPr="00AA00F0">
        <w:t>Secretar</w:t>
      </w:r>
      <w:r>
        <w:t xml:space="preserve">io </w:t>
      </w:r>
      <w:r w:rsidRPr="00AA00F0">
        <w:t>General</w:t>
      </w:r>
    </w:p>
    <w:sectPr w:rsidR="000F67C7" w:rsidRPr="00381939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7C7" w:rsidRDefault="000F67C7">
      <w:r>
        <w:separator/>
      </w:r>
    </w:p>
  </w:endnote>
  <w:endnote w:type="continuationSeparator" w:id="0">
    <w:p w:rsidR="000F67C7" w:rsidRDefault="000F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F67C7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4D19">
      <w:rPr>
        <w:noProof/>
      </w:rPr>
      <w:t>20.05.19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67C7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F67C7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4D19">
      <w:rPr>
        <w:noProof/>
      </w:rPr>
      <w:t>20.05.19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67C7">
      <w:rPr>
        <w:noProof/>
      </w:rPr>
      <w:t>04.03.03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19" w:rsidRDefault="00694D19" w:rsidP="00694D19">
    <w:pPr>
      <w:pStyle w:val="Footer"/>
    </w:pPr>
    <w:fldSimple w:instr=" FILENAME \p  \* MERGEFORMAT ">
      <w:r>
        <w:t>P:\ESP\ITU-R\CONF-R\AR19\PLEN\005S.docx</w:t>
      </w:r>
    </w:fldSimple>
    <w:r>
      <w:t xml:space="preserve"> (453237)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7C7" w:rsidRDefault="000F67C7">
      <w:r>
        <w:rPr>
          <w:b/>
        </w:rPr>
        <w:t>_______________</w:t>
      </w:r>
    </w:p>
  </w:footnote>
  <w:footnote w:type="continuationSeparator" w:id="0">
    <w:p w:rsidR="000F67C7" w:rsidRDefault="000F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94D19">
      <w:rPr>
        <w:noProof/>
      </w:rPr>
      <w:t>2</w:t>
    </w:r>
    <w:r>
      <w:fldChar w:fldCharType="end"/>
    </w:r>
  </w:p>
  <w:p w:rsidR="0022505D" w:rsidRDefault="0022505D" w:rsidP="0022505D">
    <w:pPr>
      <w:pStyle w:val="Header"/>
    </w:pPr>
    <w:r>
      <w:t>RA19/xx-S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printFractionalCharacterWidth/>
  <w:embedSystemFonts/>
  <w:mirrorMargin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C7"/>
    <w:rsid w:val="00012B52"/>
    <w:rsid w:val="00016A7C"/>
    <w:rsid w:val="00020ACE"/>
    <w:rsid w:val="000F67C7"/>
    <w:rsid w:val="001721DD"/>
    <w:rsid w:val="0022505D"/>
    <w:rsid w:val="002334F2"/>
    <w:rsid w:val="002B6243"/>
    <w:rsid w:val="00466F3C"/>
    <w:rsid w:val="005123E9"/>
    <w:rsid w:val="005335D1"/>
    <w:rsid w:val="005648DF"/>
    <w:rsid w:val="005C4F7E"/>
    <w:rsid w:val="006050EE"/>
    <w:rsid w:val="00693CB4"/>
    <w:rsid w:val="00694D19"/>
    <w:rsid w:val="008246E6"/>
    <w:rsid w:val="008E02B6"/>
    <w:rsid w:val="009630C4"/>
    <w:rsid w:val="00AD44C9"/>
    <w:rsid w:val="00AF7660"/>
    <w:rsid w:val="00B5074A"/>
    <w:rsid w:val="00BF1023"/>
    <w:rsid w:val="00C278F8"/>
    <w:rsid w:val="00C70098"/>
    <w:rsid w:val="00DE35E9"/>
    <w:rsid w:val="00E01901"/>
    <w:rsid w:val="00E307F2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9AE8B854-581E-4EFE-B158-EE10D520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5</TotalTime>
  <Pages>1</Pages>
  <Words>265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1823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5</cp:revision>
  <cp:lastPrinted>2003-03-04T09:55:00Z</cp:lastPrinted>
  <dcterms:created xsi:type="dcterms:W3CDTF">2019-05-20T09:24:00Z</dcterms:created>
  <dcterms:modified xsi:type="dcterms:W3CDTF">2019-05-20T09:29:00Z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