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73"/>
        <w:tblW w:w="10066" w:type="dxa"/>
        <w:tblLayout w:type="fixed"/>
        <w:tblLook w:val="0000" w:firstRow="0" w:lastRow="0" w:firstColumn="0" w:lastColumn="0" w:noHBand="0" w:noVBand="0"/>
      </w:tblPr>
      <w:tblGrid>
        <w:gridCol w:w="5529"/>
        <w:gridCol w:w="1242"/>
        <w:gridCol w:w="3262"/>
        <w:gridCol w:w="33"/>
      </w:tblGrid>
      <w:tr w:rsidR="00C16E44" w:rsidRPr="00D67E3C" w:rsidTr="00C16E44">
        <w:trPr>
          <w:cantSplit/>
        </w:trPr>
        <w:tc>
          <w:tcPr>
            <w:tcW w:w="6771" w:type="dxa"/>
            <w:gridSpan w:val="2"/>
            <w:vAlign w:val="center"/>
          </w:tcPr>
          <w:p w:rsidR="00C16E44" w:rsidRPr="00D67E3C" w:rsidRDefault="00C16E44" w:rsidP="00C16E44">
            <w:pPr>
              <w:shd w:val="solid" w:color="FFFFFF" w:fill="FFFFFF"/>
              <w:tabs>
                <w:tab w:val="clear" w:pos="794"/>
                <w:tab w:val="clear" w:pos="1191"/>
                <w:tab w:val="clear" w:pos="1588"/>
                <w:tab w:val="left" w:pos="1560"/>
              </w:tabs>
              <w:spacing w:before="0"/>
              <w:rPr>
                <w:b/>
                <w:caps/>
                <w:sz w:val="32"/>
              </w:rPr>
            </w:pPr>
            <w:r w:rsidRPr="00D67E3C">
              <w:rPr>
                <w:rFonts w:ascii="Verdana" w:hAnsi="Verdana" w:cs="Times New Roman Bold"/>
                <w:b/>
                <w:sz w:val="26"/>
                <w:szCs w:val="26"/>
              </w:rPr>
              <w:t xml:space="preserve">Junta del Reglamento de </w:t>
            </w:r>
            <w:r w:rsidRPr="00D67E3C">
              <w:rPr>
                <w:rFonts w:ascii="Verdana" w:hAnsi="Verdana" w:cs="Times New Roman Bold"/>
                <w:b/>
                <w:sz w:val="26"/>
                <w:szCs w:val="26"/>
              </w:rPr>
              <w:br/>
              <w:t>Radiocomunicaciones</w:t>
            </w:r>
          </w:p>
          <w:p w:rsidR="00C16E44" w:rsidRPr="00D67E3C" w:rsidRDefault="009F0570" w:rsidP="003A2F75">
            <w:pPr>
              <w:shd w:val="solid" w:color="FFFFFF" w:fill="FFFFFF"/>
              <w:tabs>
                <w:tab w:val="clear" w:pos="794"/>
                <w:tab w:val="clear" w:pos="1191"/>
                <w:tab w:val="clear" w:pos="1588"/>
                <w:tab w:val="left" w:pos="1560"/>
              </w:tabs>
              <w:spacing w:before="0"/>
              <w:rPr>
                <w:rFonts w:ascii="Verdana" w:hAnsi="Verdana"/>
                <w:b/>
                <w:bCs/>
              </w:rPr>
            </w:pPr>
            <w:r w:rsidRPr="00D67E3C">
              <w:rPr>
                <w:rFonts w:ascii="Verdana" w:hAnsi="Verdana" w:cs="Times New Roman Bold"/>
                <w:b/>
                <w:sz w:val="20"/>
              </w:rPr>
              <w:t>Ginebra, 26-30 de noviembre de 2018</w:t>
            </w:r>
          </w:p>
        </w:tc>
        <w:tc>
          <w:tcPr>
            <w:tcW w:w="3295" w:type="dxa"/>
            <w:gridSpan w:val="2"/>
            <w:vAlign w:val="center"/>
          </w:tcPr>
          <w:p w:rsidR="00C16E44" w:rsidRPr="00D67E3C" w:rsidRDefault="00C16E44" w:rsidP="00C16E44">
            <w:pPr>
              <w:shd w:val="solid" w:color="FFFFFF" w:fill="FFFFFF"/>
              <w:spacing w:before="0" w:line="240" w:lineRule="atLeast"/>
            </w:pPr>
            <w:r w:rsidRPr="00D67E3C">
              <w:rPr>
                <w:rFonts w:asciiTheme="minorHAnsi" w:hAnsiTheme="minorHAnsi"/>
                <w:b/>
                <w:bCs/>
                <w:noProof/>
                <w:szCs w:val="24"/>
                <w:lang w:val="en-US" w:eastAsia="zh-CN"/>
              </w:rPr>
              <w:drawing>
                <wp:inline distT="0" distB="0" distL="0" distR="0" wp14:anchorId="318C3897" wp14:editId="6B63BAB7">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6"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C16E44" w:rsidRPr="00D67E3C" w:rsidTr="00C16E44">
        <w:trPr>
          <w:gridAfter w:val="1"/>
          <w:wAfter w:w="33" w:type="dxa"/>
          <w:cantSplit/>
        </w:trPr>
        <w:tc>
          <w:tcPr>
            <w:tcW w:w="10033" w:type="dxa"/>
            <w:gridSpan w:val="3"/>
            <w:tcBorders>
              <w:bottom w:val="single" w:sz="12" w:space="0" w:color="auto"/>
            </w:tcBorders>
          </w:tcPr>
          <w:p w:rsidR="00C16E44" w:rsidRPr="00D67E3C" w:rsidRDefault="00C16E44" w:rsidP="00C16E44">
            <w:pPr>
              <w:shd w:val="solid" w:color="FFFFFF" w:fill="FFFFFF"/>
              <w:spacing w:before="0" w:after="48"/>
              <w:rPr>
                <w:rFonts w:ascii="Verdana" w:hAnsi="Verdana" w:cs="Times New Roman Bold"/>
                <w:b/>
                <w:sz w:val="22"/>
                <w:szCs w:val="22"/>
              </w:rPr>
            </w:pPr>
          </w:p>
        </w:tc>
      </w:tr>
      <w:tr w:rsidR="00C16E44" w:rsidRPr="00D67E3C" w:rsidTr="00C16E44">
        <w:trPr>
          <w:gridAfter w:val="1"/>
          <w:wAfter w:w="33" w:type="dxa"/>
          <w:cantSplit/>
        </w:trPr>
        <w:tc>
          <w:tcPr>
            <w:tcW w:w="6771" w:type="dxa"/>
            <w:gridSpan w:val="2"/>
            <w:tcBorders>
              <w:top w:val="single" w:sz="12" w:space="0" w:color="auto"/>
            </w:tcBorders>
          </w:tcPr>
          <w:p w:rsidR="00C16E44" w:rsidRPr="00D67E3C"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rsidR="00C16E44" w:rsidRPr="00D67E3C" w:rsidRDefault="00C16E44" w:rsidP="00C16E44">
            <w:pPr>
              <w:shd w:val="solid" w:color="FFFFFF" w:fill="FFFFFF"/>
              <w:spacing w:before="0" w:after="48" w:line="240" w:lineRule="atLeast"/>
              <w:rPr>
                <w:rFonts w:ascii="Verdana" w:hAnsi="Verdana"/>
                <w:sz w:val="22"/>
                <w:szCs w:val="22"/>
              </w:rPr>
            </w:pPr>
          </w:p>
        </w:tc>
      </w:tr>
      <w:tr w:rsidR="00C16E44" w:rsidRPr="00D67E3C" w:rsidTr="001828E5">
        <w:trPr>
          <w:gridAfter w:val="1"/>
          <w:wAfter w:w="33" w:type="dxa"/>
          <w:cantSplit/>
        </w:trPr>
        <w:tc>
          <w:tcPr>
            <w:tcW w:w="5529" w:type="dxa"/>
            <w:vMerge w:val="restart"/>
          </w:tcPr>
          <w:p w:rsidR="00C16E44" w:rsidRPr="00D67E3C" w:rsidRDefault="00C16E44" w:rsidP="00C16E44">
            <w:pPr>
              <w:shd w:val="solid" w:color="FFFFFF" w:fill="FFFFFF"/>
              <w:spacing w:after="240"/>
              <w:rPr>
                <w:sz w:val="20"/>
              </w:rPr>
            </w:pPr>
            <w:bookmarkStart w:id="0" w:name="dnum" w:colFirst="1" w:colLast="1"/>
          </w:p>
        </w:tc>
        <w:tc>
          <w:tcPr>
            <w:tcW w:w="4504" w:type="dxa"/>
            <w:gridSpan w:val="2"/>
          </w:tcPr>
          <w:p w:rsidR="00C16E44" w:rsidRPr="00D67E3C" w:rsidRDefault="00E55924" w:rsidP="00E55924">
            <w:pPr>
              <w:shd w:val="solid" w:color="FFFFFF" w:fill="FFFFFF"/>
              <w:spacing w:before="0" w:line="240" w:lineRule="atLeast"/>
              <w:rPr>
                <w:rFonts w:ascii="Verdana" w:hAnsi="Verdana"/>
                <w:sz w:val="20"/>
              </w:rPr>
            </w:pPr>
            <w:r w:rsidRPr="00D67E3C">
              <w:rPr>
                <w:rFonts w:ascii="Verdana" w:hAnsi="Verdana"/>
                <w:b/>
                <w:sz w:val="20"/>
              </w:rPr>
              <w:t>Documento RRB18-3/</w:t>
            </w:r>
            <w:r w:rsidR="00DE7A7B" w:rsidRPr="00D67E3C">
              <w:rPr>
                <w:rFonts w:ascii="Verdana" w:hAnsi="Verdana"/>
                <w:b/>
                <w:sz w:val="20"/>
              </w:rPr>
              <w:t>DELAYED/6</w:t>
            </w:r>
            <w:r w:rsidRPr="00D67E3C">
              <w:rPr>
                <w:rFonts w:ascii="Verdana" w:hAnsi="Verdana"/>
                <w:b/>
                <w:sz w:val="20"/>
              </w:rPr>
              <w:t>-S</w:t>
            </w:r>
          </w:p>
        </w:tc>
      </w:tr>
      <w:tr w:rsidR="00C16E44" w:rsidRPr="00D67E3C" w:rsidTr="001828E5">
        <w:trPr>
          <w:gridAfter w:val="1"/>
          <w:wAfter w:w="33" w:type="dxa"/>
          <w:cantSplit/>
        </w:trPr>
        <w:tc>
          <w:tcPr>
            <w:tcW w:w="5529" w:type="dxa"/>
            <w:vMerge/>
          </w:tcPr>
          <w:p w:rsidR="00C16E44" w:rsidRPr="00D67E3C" w:rsidRDefault="00C16E44" w:rsidP="00C16E44">
            <w:pPr>
              <w:spacing w:before="60"/>
              <w:jc w:val="center"/>
              <w:rPr>
                <w:b/>
                <w:smallCaps/>
                <w:sz w:val="32"/>
              </w:rPr>
            </w:pPr>
            <w:bookmarkStart w:id="1" w:name="ddate" w:colFirst="1" w:colLast="1"/>
            <w:bookmarkEnd w:id="0"/>
          </w:p>
        </w:tc>
        <w:tc>
          <w:tcPr>
            <w:tcW w:w="4504" w:type="dxa"/>
            <w:gridSpan w:val="2"/>
          </w:tcPr>
          <w:p w:rsidR="00C16E44" w:rsidRPr="00D67E3C" w:rsidRDefault="00DE7A7B" w:rsidP="00E55924">
            <w:pPr>
              <w:shd w:val="solid" w:color="FFFFFF" w:fill="FFFFFF"/>
              <w:spacing w:before="0" w:line="240" w:lineRule="atLeast"/>
              <w:rPr>
                <w:rFonts w:ascii="Verdana" w:hAnsi="Verdana"/>
                <w:sz w:val="20"/>
              </w:rPr>
            </w:pPr>
            <w:r w:rsidRPr="00D67E3C">
              <w:rPr>
                <w:rFonts w:ascii="Verdana" w:hAnsi="Verdana"/>
                <w:b/>
                <w:sz w:val="20"/>
              </w:rPr>
              <w:t>26</w:t>
            </w:r>
            <w:r w:rsidR="00E55924" w:rsidRPr="00D67E3C">
              <w:rPr>
                <w:rFonts w:ascii="Verdana" w:hAnsi="Verdana"/>
                <w:b/>
                <w:sz w:val="20"/>
              </w:rPr>
              <w:t xml:space="preserve"> de noviembre de 2018</w:t>
            </w:r>
          </w:p>
        </w:tc>
      </w:tr>
      <w:tr w:rsidR="00C16E44" w:rsidRPr="00D67E3C" w:rsidTr="001828E5">
        <w:trPr>
          <w:gridAfter w:val="1"/>
          <w:wAfter w:w="33" w:type="dxa"/>
          <w:cantSplit/>
        </w:trPr>
        <w:tc>
          <w:tcPr>
            <w:tcW w:w="5529" w:type="dxa"/>
            <w:vMerge/>
          </w:tcPr>
          <w:p w:rsidR="00C16E44" w:rsidRPr="00D67E3C" w:rsidRDefault="00C16E44" w:rsidP="00C16E44">
            <w:pPr>
              <w:spacing w:before="60"/>
              <w:jc w:val="center"/>
              <w:rPr>
                <w:b/>
                <w:smallCaps/>
                <w:sz w:val="32"/>
              </w:rPr>
            </w:pPr>
            <w:bookmarkStart w:id="2" w:name="dorlang" w:colFirst="1" w:colLast="1"/>
            <w:bookmarkEnd w:id="1"/>
          </w:p>
        </w:tc>
        <w:tc>
          <w:tcPr>
            <w:tcW w:w="4504" w:type="dxa"/>
            <w:gridSpan w:val="2"/>
          </w:tcPr>
          <w:p w:rsidR="00C16E44" w:rsidRPr="00D67E3C" w:rsidRDefault="00E55924" w:rsidP="0007117D">
            <w:pPr>
              <w:shd w:val="solid" w:color="FFFFFF" w:fill="FFFFFF"/>
              <w:spacing w:before="0" w:after="120" w:line="240" w:lineRule="atLeast"/>
              <w:rPr>
                <w:rFonts w:ascii="Verdana" w:hAnsi="Verdana"/>
                <w:sz w:val="20"/>
              </w:rPr>
            </w:pPr>
            <w:r w:rsidRPr="00D67E3C">
              <w:rPr>
                <w:rFonts w:ascii="Verdana" w:hAnsi="Verdana"/>
                <w:b/>
                <w:sz w:val="20"/>
              </w:rPr>
              <w:t xml:space="preserve">Original: </w:t>
            </w:r>
            <w:r w:rsidR="0007117D" w:rsidRPr="00D67E3C">
              <w:rPr>
                <w:rFonts w:ascii="Verdana" w:hAnsi="Verdana"/>
                <w:b/>
                <w:sz w:val="20"/>
              </w:rPr>
              <w:t>franc</w:t>
            </w:r>
            <w:r w:rsidRPr="00D67E3C">
              <w:rPr>
                <w:rFonts w:ascii="Verdana" w:hAnsi="Verdana"/>
                <w:b/>
                <w:sz w:val="20"/>
              </w:rPr>
              <w:t>és</w:t>
            </w:r>
          </w:p>
        </w:tc>
      </w:tr>
      <w:tr w:rsidR="00C16E44" w:rsidRPr="00D67E3C" w:rsidTr="00C16E44">
        <w:trPr>
          <w:gridAfter w:val="1"/>
          <w:wAfter w:w="33" w:type="dxa"/>
          <w:cantSplit/>
        </w:trPr>
        <w:tc>
          <w:tcPr>
            <w:tcW w:w="10033" w:type="dxa"/>
            <w:gridSpan w:val="3"/>
          </w:tcPr>
          <w:p w:rsidR="00C16E44" w:rsidRPr="00D67E3C" w:rsidRDefault="005011FC" w:rsidP="00C16E44">
            <w:pPr>
              <w:pStyle w:val="Source"/>
            </w:pPr>
            <w:bookmarkStart w:id="3" w:name="dsource" w:colFirst="0" w:colLast="0"/>
            <w:bookmarkEnd w:id="2"/>
            <w:r w:rsidRPr="00D67E3C">
              <w:rPr>
                <w:lang w:eastAsia="zh-CN"/>
              </w:rPr>
              <w:t>Director de la Oficina de Radiocomunicaciones</w:t>
            </w:r>
          </w:p>
        </w:tc>
      </w:tr>
      <w:tr w:rsidR="00C16E44" w:rsidRPr="00D67E3C" w:rsidTr="00C16E44">
        <w:trPr>
          <w:gridAfter w:val="1"/>
          <w:wAfter w:w="33" w:type="dxa"/>
          <w:cantSplit/>
        </w:trPr>
        <w:tc>
          <w:tcPr>
            <w:tcW w:w="10033" w:type="dxa"/>
            <w:gridSpan w:val="3"/>
          </w:tcPr>
          <w:p w:rsidR="00C16E44" w:rsidRPr="00D67E3C" w:rsidRDefault="005011FC" w:rsidP="00DE7A7B">
            <w:pPr>
              <w:pStyle w:val="Title1"/>
            </w:pPr>
            <w:bookmarkStart w:id="4" w:name="dtitle1" w:colFirst="0" w:colLast="0"/>
            <w:bookmarkEnd w:id="3"/>
            <w:r w:rsidRPr="00D67E3C">
              <w:t xml:space="preserve">Comunicación de la Administración de francia </w:t>
            </w:r>
            <w:r w:rsidR="00DE7A7B" w:rsidRPr="00D67E3C">
              <w:t xml:space="preserve">relativa </w:t>
            </w:r>
            <w:r w:rsidRPr="00D67E3C">
              <w:t xml:space="preserve">a la contribución de </w:t>
            </w:r>
            <w:r w:rsidR="00DE7A7B" w:rsidRPr="00D67E3C">
              <w:t xml:space="preserve">la </w:t>
            </w:r>
            <w:r w:rsidR="00660DFD" w:rsidRPr="00D67E3C">
              <w:t>ADMINISTRACIÓN</w:t>
            </w:r>
            <w:r w:rsidR="00DE7A7B" w:rsidRPr="00D67E3C">
              <w:t xml:space="preserve"> de noruega</w:t>
            </w:r>
            <w:r w:rsidR="007C692C">
              <w:t xml:space="preserve"> sobre</w:t>
            </w:r>
            <w:r w:rsidR="00DE7A7B" w:rsidRPr="00D67E3C">
              <w:t xml:space="preserve"> </w:t>
            </w:r>
            <w:r w:rsidRPr="00D67E3C">
              <w:t xml:space="preserve">la red </w:t>
            </w:r>
            <w:r w:rsidR="001828E5" w:rsidRPr="00D67E3C">
              <w:br/>
            </w:r>
            <w:r w:rsidRPr="00D67E3C">
              <w:t>de satélite</w:t>
            </w:r>
            <w:r w:rsidR="007C692C">
              <w:t>s</w:t>
            </w:r>
            <w:r w:rsidR="00DE7A7B" w:rsidRPr="00D67E3C">
              <w:t xml:space="preserve"> YAHSAT-G6-17.5W y la aplicación del </w:t>
            </w:r>
            <w:r w:rsidR="001828E5" w:rsidRPr="00D67E3C">
              <w:br/>
            </w:r>
            <w:r w:rsidR="00DE7A7B" w:rsidRPr="00D67E3C">
              <w:t>artículo 48 de la constitución de la uit</w:t>
            </w:r>
          </w:p>
        </w:tc>
      </w:tr>
    </w:tbl>
    <w:bookmarkEnd w:id="4"/>
    <w:p w:rsidR="005011FC" w:rsidRPr="00D67E3C" w:rsidRDefault="005011FC" w:rsidP="00903FE3">
      <w:pPr>
        <w:spacing w:before="840"/>
        <w:jc w:val="both"/>
      </w:pPr>
      <w:r w:rsidRPr="00D67E3C">
        <w:t xml:space="preserve">Se somete a la consideración de la Junta del Reglamento de Radiocomunicaciones la comunicación </w:t>
      </w:r>
      <w:r w:rsidR="00DE7A7B" w:rsidRPr="00D67E3C">
        <w:t xml:space="preserve">tardía </w:t>
      </w:r>
      <w:r w:rsidRPr="00D67E3C">
        <w:t xml:space="preserve">adjunta, presentada por la Administración de Francia </w:t>
      </w:r>
      <w:r w:rsidR="00DE7A7B" w:rsidRPr="00D67E3C">
        <w:t xml:space="preserve">y que complementa la información facilitada en el Documento </w:t>
      </w:r>
      <w:hyperlink r:id="rId7" w:history="1">
        <w:r w:rsidR="00DE7A7B" w:rsidRPr="00D67E3C">
          <w:rPr>
            <w:rStyle w:val="Hyperlink"/>
          </w:rPr>
          <w:t>RRB18-3/12</w:t>
        </w:r>
      </w:hyperlink>
      <w:r w:rsidRPr="00D67E3C">
        <w:t>.</w:t>
      </w:r>
    </w:p>
    <w:p w:rsidR="005011FC" w:rsidRPr="00D67E3C" w:rsidRDefault="005011FC" w:rsidP="005011FC"/>
    <w:p w:rsidR="00794A6B" w:rsidRPr="00D67E3C" w:rsidRDefault="00794A6B" w:rsidP="005011FC"/>
    <w:p w:rsidR="00794A6B" w:rsidRPr="00D67E3C" w:rsidRDefault="00794A6B" w:rsidP="005011FC"/>
    <w:p w:rsidR="00794A6B" w:rsidRPr="00D67E3C" w:rsidRDefault="00794A6B" w:rsidP="005011FC"/>
    <w:p w:rsidR="007D4151" w:rsidRPr="00D67E3C" w:rsidRDefault="007D4151" w:rsidP="005011FC"/>
    <w:p w:rsidR="007D4151" w:rsidRPr="00D67E3C" w:rsidRDefault="007D4151" w:rsidP="005011FC"/>
    <w:p w:rsidR="005011FC" w:rsidRPr="00D67E3C" w:rsidRDefault="005011FC" w:rsidP="005011FC"/>
    <w:p w:rsidR="005011FC" w:rsidRPr="00D67E3C" w:rsidRDefault="005011FC" w:rsidP="005011FC">
      <w:pPr>
        <w:rPr>
          <w:rFonts w:asciiTheme="majorBidi" w:hAnsiTheme="majorBidi" w:cstheme="majorBidi"/>
          <w:szCs w:val="24"/>
          <w:lang w:eastAsia="zh-CN"/>
        </w:rPr>
      </w:pPr>
      <w:r w:rsidRPr="00D67E3C">
        <w:rPr>
          <w:rFonts w:asciiTheme="majorBidi" w:hAnsiTheme="majorBidi" w:cstheme="majorBidi"/>
          <w:szCs w:val="24"/>
          <w:lang w:eastAsia="zh-CN"/>
        </w:rPr>
        <w:t>Anexo</w:t>
      </w:r>
    </w:p>
    <w:p w:rsidR="005011FC" w:rsidRPr="00D67E3C" w:rsidRDefault="005011FC" w:rsidP="005011FC">
      <w:pPr>
        <w:rPr>
          <w:rFonts w:asciiTheme="majorBidi" w:hAnsiTheme="majorBidi" w:cstheme="majorBidi"/>
          <w:szCs w:val="24"/>
          <w:lang w:eastAsia="zh-CN"/>
        </w:rPr>
      </w:pPr>
    </w:p>
    <w:p w:rsidR="005011FC" w:rsidRPr="00D67E3C" w:rsidRDefault="005011FC" w:rsidP="005011FC"/>
    <w:p w:rsidR="005011FC" w:rsidRDefault="005011FC">
      <w:pPr>
        <w:tabs>
          <w:tab w:val="clear" w:pos="794"/>
          <w:tab w:val="clear" w:pos="1191"/>
          <w:tab w:val="clear" w:pos="1588"/>
          <w:tab w:val="clear" w:pos="1985"/>
        </w:tabs>
        <w:overflowPunct/>
        <w:autoSpaceDE/>
        <w:autoSpaceDN/>
        <w:adjustRightInd/>
        <w:spacing w:before="0"/>
        <w:textAlignment w:val="auto"/>
      </w:pPr>
      <w:r w:rsidRPr="00D67E3C">
        <w:br w:type="page"/>
      </w:r>
    </w:p>
    <w:p w:rsidR="00DB22F0" w:rsidRPr="00D67E3C" w:rsidRDefault="00DB22F0" w:rsidP="00DB22F0">
      <w:pPr>
        <w:pStyle w:val="AnnexNotitle"/>
        <w:spacing w:before="600" w:after="360"/>
      </w:pPr>
      <w:r w:rsidRPr="00D67E3C">
        <w:rPr>
          <w:lang w:eastAsia="zh-CN"/>
        </w:rPr>
        <w:lastRenderedPageBreak/>
        <w:t>Anexo</w:t>
      </w:r>
    </w:p>
    <w:p w:rsidR="005011FC" w:rsidRPr="00D67E3C" w:rsidRDefault="005011FC" w:rsidP="002E2CFB">
      <w:pPr>
        <w:spacing w:before="60"/>
        <w:rPr>
          <w:rFonts w:ascii="Arial" w:hAnsi="Arial" w:cs="Arial"/>
          <w:iCs/>
          <w:smallCaps/>
          <w:color w:val="000080"/>
          <w:szCs w:val="24"/>
        </w:rPr>
      </w:pPr>
      <w:r w:rsidRPr="00D67E3C">
        <w:rPr>
          <w:noProof/>
          <w:lang w:val="en-US" w:eastAsia="zh-CN"/>
        </w:rPr>
        <w:drawing>
          <wp:anchor distT="0" distB="0" distL="114300" distR="114300" simplePos="0" relativeHeight="251659264" behindDoc="0" locked="0" layoutInCell="1" allowOverlap="1" wp14:anchorId="34308E28" wp14:editId="45CA677A">
            <wp:simplePos x="0" y="0"/>
            <wp:positionH relativeFrom="margin">
              <wp:align>left</wp:align>
            </wp:positionH>
            <wp:positionV relativeFrom="paragraph">
              <wp:posOffset>6350</wp:posOffset>
            </wp:positionV>
            <wp:extent cx="2519680" cy="1514475"/>
            <wp:effectExtent l="0" t="0" r="0" b="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203631" name="ANFRlogo-CMNJ.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9680" cy="1514475"/>
                    </a:xfrm>
                    <a:prstGeom prst="rect">
                      <a:avLst/>
                    </a:prstGeom>
                  </pic:spPr>
                </pic:pic>
              </a:graphicData>
            </a:graphic>
            <wp14:sizeRelH relativeFrom="margin">
              <wp14:pctWidth>0</wp14:pctWidth>
            </wp14:sizeRelH>
            <wp14:sizeRelV relativeFrom="margin">
              <wp14:pctHeight>0</wp14:pctHeight>
            </wp14:sizeRelV>
          </wp:anchor>
        </w:drawing>
      </w:r>
    </w:p>
    <w:p w:rsidR="005011FC" w:rsidRPr="00D67E3C" w:rsidRDefault="005011FC" w:rsidP="002E2CFB">
      <w:pPr>
        <w:spacing w:before="60"/>
        <w:rPr>
          <w:rFonts w:ascii="Arial" w:hAnsi="Arial" w:cs="Arial"/>
          <w:iCs/>
          <w:smallCaps/>
          <w:color w:val="000080"/>
          <w:szCs w:val="24"/>
        </w:rPr>
      </w:pPr>
    </w:p>
    <w:p w:rsidR="005011FC" w:rsidRPr="00D67E3C" w:rsidRDefault="005011FC" w:rsidP="002E2CFB">
      <w:pPr>
        <w:spacing w:before="60"/>
        <w:rPr>
          <w:rFonts w:ascii="Arial" w:hAnsi="Arial" w:cs="Arial"/>
          <w:iCs/>
          <w:smallCaps/>
          <w:color w:val="000080"/>
          <w:szCs w:val="24"/>
        </w:rPr>
      </w:pPr>
    </w:p>
    <w:p w:rsidR="005011FC" w:rsidRPr="00D67E3C" w:rsidRDefault="005011FC" w:rsidP="002E2CFB">
      <w:pPr>
        <w:spacing w:before="60"/>
        <w:rPr>
          <w:rFonts w:ascii="Arial" w:hAnsi="Arial" w:cs="Arial"/>
          <w:iCs/>
          <w:smallCaps/>
          <w:color w:val="000080"/>
          <w:szCs w:val="24"/>
        </w:rPr>
      </w:pPr>
    </w:p>
    <w:p w:rsidR="005011FC" w:rsidRDefault="005011FC" w:rsidP="002E2CFB">
      <w:pPr>
        <w:spacing w:before="60"/>
        <w:rPr>
          <w:rFonts w:ascii="Arial" w:hAnsi="Arial" w:cs="Arial"/>
          <w:iCs/>
          <w:smallCaps/>
          <w:color w:val="000080"/>
          <w:sz w:val="20"/>
        </w:rPr>
      </w:pPr>
    </w:p>
    <w:p w:rsidR="00DB22F0" w:rsidRPr="00DB22F0" w:rsidRDefault="00DB22F0" w:rsidP="002E2CFB">
      <w:pPr>
        <w:spacing w:before="60"/>
        <w:rPr>
          <w:rFonts w:ascii="Arial" w:hAnsi="Arial" w:cs="Arial"/>
          <w:iCs/>
          <w:smallCaps/>
          <w:color w:val="000080"/>
          <w:sz w:val="20"/>
        </w:rPr>
      </w:pPr>
    </w:p>
    <w:p w:rsidR="00130CD8" w:rsidRDefault="00130CD8" w:rsidP="005011FC">
      <w:pPr>
        <w:rPr>
          <w:rFonts w:ascii="Arial" w:hAnsi="Arial" w:cs="Arial"/>
          <w:iCs/>
          <w:smallCaps/>
          <w:color w:val="000080"/>
          <w:szCs w:val="24"/>
        </w:rPr>
      </w:pPr>
    </w:p>
    <w:p w:rsidR="00130CD8" w:rsidRDefault="00130CD8" w:rsidP="005011FC">
      <w:pPr>
        <w:rPr>
          <w:rFonts w:ascii="Arial" w:hAnsi="Arial" w:cs="Arial"/>
          <w:iCs/>
          <w:smallCaps/>
          <w:color w:val="000080"/>
          <w:szCs w:val="24"/>
        </w:rPr>
      </w:pPr>
    </w:p>
    <w:p w:rsidR="005011FC" w:rsidRDefault="005011FC" w:rsidP="005301D6">
      <w:pPr>
        <w:spacing w:before="0"/>
        <w:rPr>
          <w:rFonts w:ascii="Arial" w:hAnsi="Arial" w:cs="Arial"/>
          <w:iCs/>
          <w:smallCaps/>
          <w:color w:val="000080"/>
          <w:szCs w:val="24"/>
        </w:rPr>
      </w:pPr>
      <w:r w:rsidRPr="00D67E3C">
        <w:rPr>
          <w:rFonts w:ascii="Arial" w:hAnsi="Arial" w:cs="Arial"/>
          <w:iCs/>
          <w:smallCaps/>
          <w:color w:val="000080"/>
          <w:szCs w:val="24"/>
        </w:rPr>
        <w:t xml:space="preserve">Dirección de Planificación del Espectro </w:t>
      </w:r>
      <w:r w:rsidRPr="00D67E3C">
        <w:rPr>
          <w:rFonts w:ascii="Arial" w:hAnsi="Arial" w:cs="Arial"/>
          <w:iCs/>
          <w:smallCaps/>
          <w:color w:val="000080"/>
          <w:szCs w:val="24"/>
        </w:rPr>
        <w:br/>
      </w:r>
      <w:bookmarkStart w:id="5" w:name="lt_pId017"/>
      <w:r w:rsidRPr="00D67E3C">
        <w:rPr>
          <w:rFonts w:ascii="Arial" w:hAnsi="Arial" w:cs="Arial"/>
          <w:iCs/>
          <w:smallCaps/>
          <w:color w:val="000080"/>
          <w:szCs w:val="24"/>
        </w:rPr>
        <w:t>y de Asuntos Internacionales</w:t>
      </w:r>
      <w:bookmarkEnd w:id="5"/>
    </w:p>
    <w:p w:rsidR="0055615F" w:rsidRPr="005301D6" w:rsidRDefault="0055615F" w:rsidP="008A7379">
      <w:pPr>
        <w:spacing w:before="240"/>
        <w:rPr>
          <w:lang w:val="fr-FR"/>
        </w:rPr>
      </w:pPr>
      <w:r w:rsidRPr="005301D6">
        <w:rPr>
          <w:rFonts w:asciiTheme="majorBidi" w:hAnsiTheme="majorBidi" w:cstheme="majorBidi"/>
          <w:szCs w:val="24"/>
          <w:lang w:val="fr-FR"/>
        </w:rPr>
        <w:t>ANFR/DPSAI/DROS/18-1332/AS</w:t>
      </w:r>
    </w:p>
    <w:p w:rsidR="005011FC" w:rsidRPr="005803BF" w:rsidRDefault="00DE7A7B" w:rsidP="00130CD8">
      <w:pPr>
        <w:spacing w:before="480"/>
        <w:jc w:val="right"/>
        <w:rPr>
          <w:rFonts w:asciiTheme="majorBidi" w:hAnsiTheme="majorBidi" w:cstheme="majorBidi"/>
          <w:szCs w:val="24"/>
          <w:lang w:val="fr-FR"/>
        </w:rPr>
      </w:pPr>
      <w:bookmarkStart w:id="6" w:name="lt_pId019"/>
      <w:r w:rsidRPr="0055615F">
        <w:rPr>
          <w:rFonts w:asciiTheme="majorBidi" w:hAnsiTheme="majorBidi" w:cstheme="majorBidi"/>
          <w:szCs w:val="24"/>
          <w:lang w:val="fr-FR"/>
        </w:rPr>
        <w:t>23</w:t>
      </w:r>
      <w:r w:rsidR="005011FC" w:rsidRPr="0055615F">
        <w:rPr>
          <w:rFonts w:asciiTheme="majorBidi" w:hAnsiTheme="majorBidi" w:cstheme="majorBidi"/>
          <w:szCs w:val="24"/>
          <w:lang w:val="fr-FR"/>
        </w:rPr>
        <w:t xml:space="preserve"> de </w:t>
      </w:r>
      <w:proofErr w:type="spellStart"/>
      <w:r w:rsidR="005011FC" w:rsidRPr="005301D6">
        <w:rPr>
          <w:rFonts w:asciiTheme="majorBidi" w:hAnsiTheme="majorBidi" w:cstheme="majorBidi"/>
          <w:szCs w:val="24"/>
          <w:lang w:val="fr-FR"/>
        </w:rPr>
        <w:t>noviembre</w:t>
      </w:r>
      <w:proofErr w:type="spellEnd"/>
      <w:r w:rsidR="005011FC" w:rsidRPr="005301D6">
        <w:rPr>
          <w:rFonts w:asciiTheme="majorBidi" w:hAnsiTheme="majorBidi" w:cstheme="majorBidi"/>
          <w:szCs w:val="24"/>
          <w:lang w:val="fr-FR"/>
        </w:rPr>
        <w:t xml:space="preserve"> </w:t>
      </w:r>
      <w:r w:rsidR="005011FC" w:rsidRPr="0055615F">
        <w:rPr>
          <w:rFonts w:asciiTheme="majorBidi" w:hAnsiTheme="majorBidi" w:cstheme="majorBidi"/>
          <w:szCs w:val="24"/>
          <w:lang w:val="fr-FR"/>
        </w:rPr>
        <w:t>de 2018</w:t>
      </w:r>
      <w:r w:rsidR="00F3736F" w:rsidRPr="005803BF">
        <w:rPr>
          <w:rFonts w:asciiTheme="majorBidi" w:hAnsiTheme="majorBidi" w:cstheme="majorBidi"/>
          <w:szCs w:val="24"/>
          <w:lang w:val="fr-FR"/>
        </w:rPr>
        <w:t>,</w:t>
      </w:r>
      <w:r w:rsidR="005011FC" w:rsidRPr="005803BF">
        <w:rPr>
          <w:rFonts w:asciiTheme="majorBidi" w:hAnsiTheme="majorBidi" w:cstheme="majorBidi"/>
          <w:szCs w:val="24"/>
          <w:lang w:val="fr-FR"/>
        </w:rPr>
        <w:t xml:space="preserve"> en Maisons-Alfort</w:t>
      </w:r>
      <w:bookmarkEnd w:id="6"/>
    </w:p>
    <w:p w:rsidR="005011FC" w:rsidRPr="00D67E3C" w:rsidRDefault="005011FC" w:rsidP="008A7379">
      <w:pPr>
        <w:tabs>
          <w:tab w:val="clear" w:pos="794"/>
        </w:tabs>
        <w:spacing w:before="600"/>
        <w:ind w:left="1985" w:hanging="1985"/>
        <w:rPr>
          <w:rFonts w:asciiTheme="majorBidi" w:hAnsiTheme="majorBidi" w:cstheme="majorBidi"/>
          <w:szCs w:val="24"/>
        </w:rPr>
      </w:pPr>
      <w:bookmarkStart w:id="7" w:name="lt_pId020"/>
      <w:r w:rsidRPr="00D67E3C">
        <w:rPr>
          <w:rFonts w:asciiTheme="majorBidi" w:hAnsiTheme="majorBidi" w:cstheme="majorBidi"/>
          <w:szCs w:val="24"/>
        </w:rPr>
        <w:t>A la atención del:</w:t>
      </w:r>
      <w:bookmarkStart w:id="8" w:name="lt_pId021"/>
      <w:bookmarkEnd w:id="7"/>
      <w:r w:rsidR="00F3736F" w:rsidRPr="00D67E3C">
        <w:rPr>
          <w:rFonts w:asciiTheme="majorBidi" w:hAnsiTheme="majorBidi" w:cstheme="majorBidi"/>
          <w:szCs w:val="24"/>
        </w:rPr>
        <w:tab/>
      </w:r>
      <w:r w:rsidRPr="00D67E3C">
        <w:rPr>
          <w:rFonts w:asciiTheme="majorBidi" w:hAnsiTheme="majorBidi" w:cstheme="majorBidi"/>
          <w:szCs w:val="24"/>
        </w:rPr>
        <w:t>Director de la Oficina de Radiocomunicaciones</w:t>
      </w:r>
      <w:bookmarkStart w:id="9" w:name="lt_pId022"/>
      <w:bookmarkEnd w:id="8"/>
      <w:r w:rsidR="00F3736F" w:rsidRPr="00D67E3C">
        <w:rPr>
          <w:rFonts w:asciiTheme="majorBidi" w:hAnsiTheme="majorBidi" w:cstheme="majorBidi"/>
          <w:szCs w:val="24"/>
        </w:rPr>
        <w:br/>
      </w:r>
      <w:r w:rsidRPr="00D67E3C">
        <w:rPr>
          <w:rFonts w:asciiTheme="majorBidi" w:hAnsiTheme="majorBidi" w:cstheme="majorBidi"/>
          <w:szCs w:val="24"/>
        </w:rPr>
        <w:t>Unión Internacional de Telecomunicaciones</w:t>
      </w:r>
      <w:bookmarkStart w:id="10" w:name="lt_pId023"/>
      <w:bookmarkEnd w:id="9"/>
      <w:r w:rsidR="00F3736F" w:rsidRPr="00D67E3C">
        <w:rPr>
          <w:rFonts w:asciiTheme="majorBidi" w:hAnsiTheme="majorBidi" w:cstheme="majorBidi"/>
          <w:szCs w:val="24"/>
        </w:rPr>
        <w:br/>
      </w:r>
      <w:r w:rsidRPr="00D67E3C">
        <w:rPr>
          <w:rFonts w:asciiTheme="majorBidi" w:hAnsiTheme="majorBidi" w:cstheme="majorBidi"/>
          <w:szCs w:val="24"/>
        </w:rPr>
        <w:t>Pla</w:t>
      </w:r>
      <w:r w:rsidR="007C692C">
        <w:rPr>
          <w:rFonts w:asciiTheme="majorBidi" w:hAnsiTheme="majorBidi" w:cstheme="majorBidi"/>
          <w:szCs w:val="24"/>
        </w:rPr>
        <w:t>ce</w:t>
      </w:r>
      <w:r w:rsidRPr="00D67E3C">
        <w:rPr>
          <w:rFonts w:asciiTheme="majorBidi" w:hAnsiTheme="majorBidi" w:cstheme="majorBidi"/>
          <w:szCs w:val="24"/>
        </w:rPr>
        <w:t xml:space="preserve"> de</w:t>
      </w:r>
      <w:r w:rsidR="007C692C">
        <w:rPr>
          <w:rFonts w:asciiTheme="majorBidi" w:hAnsiTheme="majorBidi" w:cstheme="majorBidi"/>
          <w:szCs w:val="24"/>
        </w:rPr>
        <w:t xml:space="preserve">s </w:t>
      </w:r>
      <w:proofErr w:type="spellStart"/>
      <w:r w:rsidR="007C692C" w:rsidRPr="005301D6">
        <w:rPr>
          <w:rFonts w:asciiTheme="majorBidi" w:hAnsiTheme="majorBidi" w:cstheme="majorBidi"/>
          <w:szCs w:val="24"/>
          <w:lang w:val="es-ES"/>
        </w:rPr>
        <w:t>Nat</w:t>
      </w:r>
      <w:r w:rsidRPr="005301D6">
        <w:rPr>
          <w:rFonts w:asciiTheme="majorBidi" w:hAnsiTheme="majorBidi" w:cstheme="majorBidi"/>
          <w:szCs w:val="24"/>
          <w:lang w:val="es-ES"/>
        </w:rPr>
        <w:t>ions</w:t>
      </w:r>
      <w:bookmarkStart w:id="11" w:name="lt_pId024"/>
      <w:bookmarkEnd w:id="10"/>
      <w:proofErr w:type="spellEnd"/>
      <w:r w:rsidR="00F3736F" w:rsidRPr="00D67E3C">
        <w:rPr>
          <w:rFonts w:asciiTheme="majorBidi" w:hAnsiTheme="majorBidi" w:cstheme="majorBidi"/>
          <w:szCs w:val="24"/>
        </w:rPr>
        <w:br/>
      </w:r>
      <w:r w:rsidRPr="00D67E3C">
        <w:rPr>
          <w:rFonts w:asciiTheme="majorBidi" w:hAnsiTheme="majorBidi" w:cstheme="majorBidi"/>
          <w:szCs w:val="24"/>
        </w:rPr>
        <w:t>CH-1211 Ginebra 20</w:t>
      </w:r>
      <w:bookmarkEnd w:id="11"/>
    </w:p>
    <w:p w:rsidR="006D51BA" w:rsidRPr="00D67E3C" w:rsidRDefault="006D51BA" w:rsidP="00E91367">
      <w:pPr>
        <w:tabs>
          <w:tab w:val="clear" w:pos="794"/>
        </w:tabs>
        <w:spacing w:before="360"/>
        <w:ind w:left="5761" w:hanging="5761"/>
        <w:rPr>
          <w:rFonts w:asciiTheme="majorBidi" w:hAnsiTheme="majorBidi" w:cstheme="majorBidi"/>
          <w:szCs w:val="24"/>
        </w:rPr>
      </w:pPr>
      <w:bookmarkStart w:id="12" w:name="lt_pId025"/>
      <w:r w:rsidRPr="00D67E3C">
        <w:rPr>
          <w:rFonts w:asciiTheme="majorBidi" w:hAnsiTheme="majorBidi" w:cstheme="majorBidi"/>
          <w:b/>
          <w:szCs w:val="24"/>
        </w:rPr>
        <w:t>Asunto</w:t>
      </w:r>
      <w:r w:rsidRPr="00D67E3C">
        <w:rPr>
          <w:rFonts w:asciiTheme="majorBidi" w:hAnsiTheme="majorBidi" w:cstheme="majorBidi"/>
          <w:szCs w:val="24"/>
        </w:rPr>
        <w:t>:</w:t>
      </w:r>
      <w:bookmarkEnd w:id="12"/>
      <w:r w:rsidRPr="00D67E3C">
        <w:rPr>
          <w:rFonts w:asciiTheme="majorBidi" w:hAnsiTheme="majorBidi" w:cstheme="majorBidi"/>
          <w:szCs w:val="24"/>
        </w:rPr>
        <w:tab/>
      </w:r>
      <w:r w:rsidRPr="00D67E3C">
        <w:rPr>
          <w:rFonts w:asciiTheme="majorBidi" w:hAnsiTheme="majorBidi" w:cstheme="majorBidi"/>
          <w:szCs w:val="24"/>
        </w:rPr>
        <w:tab/>
      </w:r>
      <w:r w:rsidRPr="00D67E3C">
        <w:rPr>
          <w:rFonts w:asciiTheme="majorBidi" w:hAnsiTheme="majorBidi" w:cstheme="majorBidi"/>
          <w:szCs w:val="24"/>
        </w:rPr>
        <w:tab/>
      </w:r>
      <w:r w:rsidR="007D4151" w:rsidRPr="00D67E3C">
        <w:rPr>
          <w:rFonts w:asciiTheme="majorBidi" w:hAnsiTheme="majorBidi" w:cstheme="majorBidi"/>
          <w:szCs w:val="24"/>
        </w:rPr>
        <w:t>Aplicación</w:t>
      </w:r>
      <w:r w:rsidR="00DE7A7B" w:rsidRPr="00D67E3C">
        <w:rPr>
          <w:rFonts w:asciiTheme="majorBidi" w:hAnsiTheme="majorBidi" w:cstheme="majorBidi"/>
          <w:szCs w:val="24"/>
        </w:rPr>
        <w:t xml:space="preserve"> del Artículo 48 de la Constitución de la UIT</w:t>
      </w:r>
    </w:p>
    <w:p w:rsidR="005011FC" w:rsidRPr="00D67E3C" w:rsidRDefault="005011FC" w:rsidP="00130CD8">
      <w:pPr>
        <w:spacing w:before="480"/>
      </w:pPr>
      <w:bookmarkStart w:id="13" w:name="lt_pId027"/>
      <w:r w:rsidRPr="00D67E3C">
        <w:t>Estimado Sr. Director</w:t>
      </w:r>
      <w:bookmarkEnd w:id="13"/>
      <w:r w:rsidRPr="00D67E3C">
        <w:t>:</w:t>
      </w:r>
    </w:p>
    <w:p w:rsidR="005011FC" w:rsidRPr="00D67E3C" w:rsidRDefault="005011FC" w:rsidP="00903FE3">
      <w:pPr>
        <w:jc w:val="both"/>
      </w:pPr>
      <w:bookmarkStart w:id="14" w:name="lt_pId028"/>
      <w:r w:rsidRPr="00D67E3C">
        <w:t xml:space="preserve">La Administración francesa desea </w:t>
      </w:r>
      <w:r w:rsidR="00DE7A7B" w:rsidRPr="00D67E3C">
        <w:t>manifestar</w:t>
      </w:r>
      <w:r w:rsidRPr="00D67E3C">
        <w:t xml:space="preserve"> s</w:t>
      </w:r>
      <w:r w:rsidR="00DE7A7B" w:rsidRPr="00D67E3C">
        <w:t xml:space="preserve">u apoyo a la contribución de la Administración de Noruega </w:t>
      </w:r>
      <w:r w:rsidRPr="00D67E3C">
        <w:t>(</w:t>
      </w:r>
      <w:r w:rsidR="00B52B6C" w:rsidRPr="00D67E3C">
        <w:t>D</w:t>
      </w:r>
      <w:r w:rsidRPr="00D67E3C">
        <w:t>ocumento RRB18-3/</w:t>
      </w:r>
      <w:r w:rsidR="00DE7A7B" w:rsidRPr="00D67E3C">
        <w:t>12</w:t>
      </w:r>
      <w:r w:rsidRPr="00D67E3C">
        <w:t xml:space="preserve">) a la 79ª reunión de la Junta del Reglamento de Radiocomunicaciones que se celebrará en Ginebra del </w:t>
      </w:r>
      <w:r w:rsidR="0007117D" w:rsidRPr="00D67E3C">
        <w:t>2</w:t>
      </w:r>
      <w:r w:rsidRPr="00D67E3C">
        <w:t>6 al 30 de noviembre de 2018.</w:t>
      </w:r>
    </w:p>
    <w:p w:rsidR="005011FC" w:rsidRPr="00D67E3C" w:rsidRDefault="00DE7A7B" w:rsidP="00903FE3">
      <w:pPr>
        <w:jc w:val="both"/>
        <w:rPr>
          <w:rFonts w:asciiTheme="majorBidi" w:hAnsiTheme="majorBidi" w:cstheme="majorBidi"/>
          <w:szCs w:val="24"/>
        </w:rPr>
      </w:pPr>
      <w:r w:rsidRPr="00D67E3C">
        <w:rPr>
          <w:rFonts w:asciiTheme="majorBidi" w:hAnsiTheme="majorBidi" w:cstheme="majorBidi"/>
          <w:szCs w:val="24"/>
        </w:rPr>
        <w:t xml:space="preserve">La Administración de Francia considera </w:t>
      </w:r>
      <w:r w:rsidR="00B52B6C" w:rsidRPr="00D67E3C">
        <w:rPr>
          <w:rFonts w:asciiTheme="majorBidi" w:hAnsiTheme="majorBidi" w:cstheme="majorBidi"/>
          <w:szCs w:val="24"/>
        </w:rPr>
        <w:t xml:space="preserve">que </w:t>
      </w:r>
      <w:r w:rsidRPr="00D67E3C">
        <w:rPr>
          <w:rFonts w:asciiTheme="majorBidi" w:hAnsiTheme="majorBidi" w:cstheme="majorBidi"/>
          <w:szCs w:val="24"/>
        </w:rPr>
        <w:t>el recurso al Artículo 48 de la Constitución debe estar estrictamente limitado a las instalaciones radioeléctricas militares y no para instalaciones radioeléctricas gubernamentales no militares o comerciales.</w:t>
      </w:r>
    </w:p>
    <w:p w:rsidR="004B5BFF" w:rsidRPr="00D67E3C" w:rsidRDefault="00DE7A7B" w:rsidP="00903FE3">
      <w:pPr>
        <w:jc w:val="both"/>
        <w:rPr>
          <w:rFonts w:asciiTheme="majorBidi" w:hAnsiTheme="majorBidi" w:cstheme="majorBidi"/>
          <w:szCs w:val="24"/>
        </w:rPr>
      </w:pPr>
      <w:r w:rsidRPr="00D67E3C">
        <w:rPr>
          <w:rFonts w:asciiTheme="majorBidi" w:hAnsiTheme="majorBidi" w:cstheme="majorBidi"/>
          <w:szCs w:val="24"/>
        </w:rPr>
        <w:t xml:space="preserve">La Administración de Francia reconoce el derecho de toda administración a acogerse al Artículo 48 de la Constitución y no cuestiona que este derecho ya se ha utilizado debida y frecuentemente por los Estados Miembros de la Unión Internacional de Telecomunicaciones sin que ello haya dado lugar a una apelación a la Junta. A este respecto, la Administración de Francia </w:t>
      </w:r>
      <w:r w:rsidR="004B5BFF" w:rsidRPr="00D67E3C">
        <w:rPr>
          <w:rFonts w:asciiTheme="majorBidi" w:hAnsiTheme="majorBidi" w:cstheme="majorBidi"/>
          <w:szCs w:val="24"/>
        </w:rPr>
        <w:t xml:space="preserve">refrenda la opinión de </w:t>
      </w:r>
      <w:r w:rsidRPr="00D67E3C">
        <w:rPr>
          <w:rFonts w:asciiTheme="majorBidi" w:hAnsiTheme="majorBidi" w:cstheme="majorBidi"/>
          <w:szCs w:val="24"/>
        </w:rPr>
        <w:t xml:space="preserve">los miembros de la Junta </w:t>
      </w:r>
      <w:r w:rsidR="004B5BFF" w:rsidRPr="00D67E3C">
        <w:rPr>
          <w:rFonts w:asciiTheme="majorBidi" w:hAnsiTheme="majorBidi" w:cstheme="majorBidi"/>
          <w:szCs w:val="24"/>
        </w:rPr>
        <w:t>en su 78ª reunión de no aceptar la propuesta de la Oficina de publicar todas las notificaciones que reciba en virtud del Artículo 48 de la Constitución, por cuanto el mandato de la Junta no contempla ese tipo de decisiones.</w:t>
      </w:r>
    </w:p>
    <w:p w:rsidR="00DE7A7B" w:rsidRPr="00D67E3C" w:rsidRDefault="004B5BFF" w:rsidP="00903FE3">
      <w:pPr>
        <w:jc w:val="both"/>
        <w:rPr>
          <w:rFonts w:asciiTheme="majorBidi" w:hAnsiTheme="majorBidi" w:cstheme="majorBidi"/>
          <w:szCs w:val="24"/>
        </w:rPr>
      </w:pPr>
      <w:r w:rsidRPr="00D67E3C">
        <w:rPr>
          <w:rFonts w:asciiTheme="majorBidi" w:hAnsiTheme="majorBidi" w:cstheme="majorBidi"/>
          <w:szCs w:val="24"/>
        </w:rPr>
        <w:t xml:space="preserve">No obstante, la Administración de Francia </w:t>
      </w:r>
      <w:r w:rsidR="007D4151" w:rsidRPr="00D67E3C">
        <w:rPr>
          <w:rFonts w:asciiTheme="majorBidi" w:hAnsiTheme="majorBidi" w:cstheme="majorBidi"/>
          <w:szCs w:val="24"/>
        </w:rPr>
        <w:t>ha</w:t>
      </w:r>
      <w:r w:rsidRPr="00D67E3C">
        <w:rPr>
          <w:rFonts w:asciiTheme="majorBidi" w:hAnsiTheme="majorBidi" w:cstheme="majorBidi"/>
          <w:szCs w:val="24"/>
        </w:rPr>
        <w:t xml:space="preserve"> tomado nota de que en su 78ª reunión, el Comité reconoció no poder, en virtud de su mandato, tomar decisiones en relación con el Artículo 48 de la Constitución. Sin embargo, los miembros convinieron en la necesidad de evitar la aplicación abusiva del Artículo 48 y señalaron a la atención de las administraciones que deben respetar las disposiciones de dicho Artículo.</w:t>
      </w:r>
    </w:p>
    <w:p w:rsidR="004B5BFF" w:rsidRPr="00D67E3C" w:rsidRDefault="004B5BFF" w:rsidP="00903FE3">
      <w:pPr>
        <w:keepLines/>
        <w:jc w:val="both"/>
        <w:rPr>
          <w:rFonts w:asciiTheme="majorBidi" w:hAnsiTheme="majorBidi" w:cstheme="majorBidi"/>
          <w:szCs w:val="24"/>
        </w:rPr>
      </w:pPr>
      <w:r w:rsidRPr="00D67E3C">
        <w:rPr>
          <w:rFonts w:asciiTheme="majorBidi" w:hAnsiTheme="majorBidi" w:cstheme="majorBidi"/>
          <w:szCs w:val="24"/>
        </w:rPr>
        <w:lastRenderedPageBreak/>
        <w:t>Por otra parte, a fin de que las administraciones sean más conscientes de la naturaleza de las dificultades que conlleva el descubrimiento necesariamente tardío</w:t>
      </w:r>
      <w:r w:rsidR="00814B36" w:rsidRPr="00D67E3C">
        <w:rPr>
          <w:rFonts w:asciiTheme="majorBidi" w:hAnsiTheme="majorBidi" w:cstheme="majorBidi"/>
          <w:szCs w:val="24"/>
        </w:rPr>
        <w:t xml:space="preserve"> de una invocación del Artículo </w:t>
      </w:r>
      <w:r w:rsidRPr="00D67E3C">
        <w:rPr>
          <w:rFonts w:asciiTheme="majorBidi" w:hAnsiTheme="majorBidi" w:cstheme="majorBidi"/>
          <w:szCs w:val="24"/>
        </w:rPr>
        <w:t xml:space="preserve">48 de la Constitución, la Administración de Francia ruega a la Junta haga a la Oficina publicar, en cada reunión de la Junta, la lista actualizada de las redes y sistemas de satélites para los que se ha invocado el Artículo 48 y </w:t>
      </w:r>
      <w:r w:rsidR="00A05006" w:rsidRPr="00D67E3C">
        <w:rPr>
          <w:rFonts w:asciiTheme="majorBidi" w:hAnsiTheme="majorBidi" w:cstheme="majorBidi"/>
          <w:szCs w:val="24"/>
        </w:rPr>
        <w:t>que posteriormente ha dado lugar a un</w:t>
      </w:r>
      <w:r w:rsidR="00D67E3C">
        <w:rPr>
          <w:rFonts w:asciiTheme="majorBidi" w:hAnsiTheme="majorBidi" w:cstheme="majorBidi"/>
          <w:szCs w:val="24"/>
        </w:rPr>
        <w:t>a</w:t>
      </w:r>
      <w:r w:rsidR="00A05006" w:rsidRPr="00D67E3C">
        <w:rPr>
          <w:rFonts w:asciiTheme="majorBidi" w:hAnsiTheme="majorBidi" w:cstheme="majorBidi"/>
          <w:szCs w:val="24"/>
        </w:rPr>
        <w:t xml:space="preserve"> contribución de una administración cuestionando la validez en una reunión de la Junta. El hecho de que esta información ya haya sido publicada hace que sea compatible con las prerrogativas de la Junta que l</w:t>
      </w:r>
      <w:r w:rsidR="00B52B6C" w:rsidRPr="00D67E3C">
        <w:rPr>
          <w:rFonts w:asciiTheme="majorBidi" w:hAnsiTheme="majorBidi" w:cstheme="majorBidi"/>
          <w:szCs w:val="24"/>
        </w:rPr>
        <w:t>a Oficina publique un resumen.</w:t>
      </w:r>
    </w:p>
    <w:p w:rsidR="005011FC" w:rsidRPr="00D67E3C" w:rsidRDefault="00A05006" w:rsidP="00903FE3">
      <w:pPr>
        <w:jc w:val="both"/>
        <w:rPr>
          <w:rFonts w:asciiTheme="majorBidi" w:hAnsiTheme="majorBidi" w:cstheme="majorBidi"/>
          <w:szCs w:val="24"/>
        </w:rPr>
      </w:pPr>
      <w:bookmarkStart w:id="15" w:name="lt_pId034"/>
      <w:bookmarkEnd w:id="14"/>
      <w:r w:rsidRPr="00D67E3C">
        <w:rPr>
          <w:rFonts w:asciiTheme="majorBidi" w:hAnsiTheme="majorBidi" w:cstheme="majorBidi"/>
          <w:szCs w:val="24"/>
        </w:rPr>
        <w:t>Le ruego acepte</w:t>
      </w:r>
      <w:r w:rsidR="005011FC" w:rsidRPr="00D67E3C">
        <w:rPr>
          <w:rFonts w:asciiTheme="majorBidi" w:hAnsiTheme="majorBidi" w:cstheme="majorBidi"/>
          <w:szCs w:val="24"/>
        </w:rPr>
        <w:t>, Señor Director, el testimonio de mi más alta consideración y tenga a bien transmitir mis saludos respetuosos a los miembros de la Junta.</w:t>
      </w:r>
    </w:p>
    <w:p w:rsidR="006D51BA" w:rsidRPr="00D67E3C" w:rsidRDefault="005803BF" w:rsidP="00814B36">
      <w:pPr>
        <w:spacing w:before="1440"/>
      </w:pPr>
      <w:bookmarkStart w:id="16" w:name="lt_pId037"/>
      <w:bookmarkEnd w:id="15"/>
      <w:r w:rsidRPr="005803BF">
        <w:t>Amar SAÏDANI</w:t>
      </w:r>
      <w:bookmarkEnd w:id="16"/>
      <w:r w:rsidR="006D51BA" w:rsidRPr="00D67E3C">
        <w:br/>
      </w:r>
      <w:r w:rsidR="005011FC" w:rsidRPr="00D67E3C">
        <w:t>Jefe del Departamento de</w:t>
      </w:r>
      <w:r w:rsidR="006D51BA" w:rsidRPr="00D67E3C">
        <w:t xml:space="preserve"> </w:t>
      </w:r>
      <w:r w:rsidR="005011FC" w:rsidRPr="00D67E3C">
        <w:t>Asuntos</w:t>
      </w:r>
      <w:r w:rsidR="006D51BA" w:rsidRPr="00D67E3C">
        <w:br/>
      </w:r>
      <w:r w:rsidR="005011FC" w:rsidRPr="00D67E3C">
        <w:t>Reglamentarios</w:t>
      </w:r>
      <w:r w:rsidR="006D51BA" w:rsidRPr="00D67E3C">
        <w:t xml:space="preserve"> </w:t>
      </w:r>
      <w:r w:rsidR="005011FC" w:rsidRPr="00D67E3C">
        <w:t>y</w:t>
      </w:r>
      <w:r w:rsidR="006D51BA" w:rsidRPr="00D67E3C">
        <w:t xml:space="preserve"> </w:t>
      </w:r>
      <w:r w:rsidR="005011FC" w:rsidRPr="00D67E3C">
        <w:t>Recursos de Órbita y Espectro</w:t>
      </w:r>
    </w:p>
    <w:sectPr w:rsidR="006D51BA" w:rsidRPr="00D67E3C">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924" w:rsidRDefault="00E55924">
      <w:r>
        <w:separator/>
      </w:r>
    </w:p>
  </w:endnote>
  <w:endnote w:type="continuationSeparator" w:id="0">
    <w:p w:rsidR="00E55924" w:rsidRDefault="00E5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4F" w:rsidRDefault="006A5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58" w:rsidRPr="009F3A2C" w:rsidRDefault="009F3A2C" w:rsidP="00903FE3">
    <w:pPr>
      <w:pStyle w:val="Footer"/>
      <w:rPr>
        <w:lang w:val="en-US"/>
      </w:rPr>
    </w:pPr>
    <w:r>
      <w:rPr>
        <w:lang w:val="en-US"/>
      </w:rPr>
      <w:t>(447783</w:t>
    </w:r>
    <w:r w:rsidRPr="009F3A2C">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2C" w:rsidRPr="00AD6AE8" w:rsidRDefault="009F3A2C" w:rsidP="00903FE3">
    <w:pPr>
      <w:pStyle w:val="Footer"/>
      <w:rPr>
        <w:lang w:val="en-US"/>
      </w:rPr>
    </w:pPr>
    <w:bookmarkStart w:id="17" w:name="_GoBack"/>
    <w:bookmarkEnd w:id="17"/>
    <w:r>
      <w:rPr>
        <w:lang w:val="en-US"/>
      </w:rPr>
      <w:t>(447783</w:t>
    </w:r>
    <w:r w:rsidRPr="009F3A2C">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924" w:rsidRDefault="00E55924">
      <w:r>
        <w:t>____________________</w:t>
      </w:r>
    </w:p>
  </w:footnote>
  <w:footnote w:type="continuationSeparator" w:id="0">
    <w:p w:rsidR="00E55924" w:rsidRDefault="00E55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4F" w:rsidRDefault="006A5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58" w:rsidRDefault="00F95FD2" w:rsidP="00075863">
    <w:pPr>
      <w:pStyle w:val="Header"/>
      <w:rPr>
        <w:lang w:val="es-ES"/>
      </w:rPr>
    </w:pPr>
    <w:r>
      <w:rPr>
        <w:rStyle w:val="PageNumber"/>
      </w:rPr>
      <w:t xml:space="preserve">- </w:t>
    </w:r>
    <w:r w:rsidR="00B46F58">
      <w:rPr>
        <w:rStyle w:val="PageNumber"/>
      </w:rPr>
      <w:fldChar w:fldCharType="begin"/>
    </w:r>
    <w:r w:rsidR="00B46F58">
      <w:rPr>
        <w:rStyle w:val="PageNumber"/>
      </w:rPr>
      <w:instrText xml:space="preserve"> PAGE </w:instrText>
    </w:r>
    <w:r w:rsidR="00B46F58">
      <w:rPr>
        <w:rStyle w:val="PageNumber"/>
      </w:rPr>
      <w:fldChar w:fldCharType="separate"/>
    </w:r>
    <w:r w:rsidR="005B3A86">
      <w:rPr>
        <w:rStyle w:val="PageNumber"/>
        <w:noProof/>
      </w:rPr>
      <w:t>2</w:t>
    </w:r>
    <w:r w:rsidR="00B46F58">
      <w:rPr>
        <w:rStyle w:val="PageNumber"/>
      </w:rPr>
      <w:fldChar w:fldCharType="end"/>
    </w:r>
    <w:r>
      <w:rPr>
        <w:rStyle w:val="PageNumber"/>
      </w:rPr>
      <w:t xml:space="preserve"> -</w:t>
    </w:r>
  </w:p>
  <w:p w:rsidR="00B46F58" w:rsidRDefault="00B46F58" w:rsidP="00F95FD2">
    <w:pPr>
      <w:pStyle w:val="Header"/>
      <w:rPr>
        <w:lang w:val="es-ES"/>
      </w:rPr>
    </w:pPr>
    <w:r>
      <w:rPr>
        <w:lang w:val="es-ES"/>
      </w:rPr>
      <w:t>RRB18-</w:t>
    </w:r>
    <w:r w:rsidR="009F0570">
      <w:rPr>
        <w:lang w:val="es-ES"/>
      </w:rPr>
      <w:t>3</w:t>
    </w:r>
    <w:r>
      <w:rPr>
        <w:lang w:val="es-ES"/>
      </w:rPr>
      <w:t>/</w:t>
    </w:r>
    <w:r w:rsidR="00F95FD2">
      <w:rPr>
        <w:rStyle w:val="PageNumber"/>
      </w:rPr>
      <w:t>DELAYED/6</w:t>
    </w:r>
    <w:r>
      <w:rPr>
        <w:lang w:val="es-ES"/>
      </w:rP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4F" w:rsidRDefault="006A55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24"/>
    <w:rsid w:val="00032A7C"/>
    <w:rsid w:val="00050626"/>
    <w:rsid w:val="00066621"/>
    <w:rsid w:val="0007117D"/>
    <w:rsid w:val="00075863"/>
    <w:rsid w:val="000828AD"/>
    <w:rsid w:val="001106DA"/>
    <w:rsid w:val="00130CD8"/>
    <w:rsid w:val="001828E5"/>
    <w:rsid w:val="001B0379"/>
    <w:rsid w:val="002E2CFB"/>
    <w:rsid w:val="002F01B5"/>
    <w:rsid w:val="003661C9"/>
    <w:rsid w:val="003858D8"/>
    <w:rsid w:val="003A2F75"/>
    <w:rsid w:val="003A6A61"/>
    <w:rsid w:val="003D6CD4"/>
    <w:rsid w:val="00414D8B"/>
    <w:rsid w:val="00447991"/>
    <w:rsid w:val="004865FC"/>
    <w:rsid w:val="004B5BFF"/>
    <w:rsid w:val="005011FC"/>
    <w:rsid w:val="00526A8C"/>
    <w:rsid w:val="005301D6"/>
    <w:rsid w:val="0055615F"/>
    <w:rsid w:val="0056729E"/>
    <w:rsid w:val="005803BF"/>
    <w:rsid w:val="005A1E8B"/>
    <w:rsid w:val="005B0B9D"/>
    <w:rsid w:val="005B3A86"/>
    <w:rsid w:val="00610642"/>
    <w:rsid w:val="00660DFD"/>
    <w:rsid w:val="00690C1C"/>
    <w:rsid w:val="006A554F"/>
    <w:rsid w:val="006D51BA"/>
    <w:rsid w:val="006E291F"/>
    <w:rsid w:val="00712208"/>
    <w:rsid w:val="007317DA"/>
    <w:rsid w:val="00773FDF"/>
    <w:rsid w:val="00794A6B"/>
    <w:rsid w:val="007950C3"/>
    <w:rsid w:val="007C692C"/>
    <w:rsid w:val="007D4151"/>
    <w:rsid w:val="00814B36"/>
    <w:rsid w:val="008A7379"/>
    <w:rsid w:val="008E6883"/>
    <w:rsid w:val="00903FE3"/>
    <w:rsid w:val="009538B2"/>
    <w:rsid w:val="0098435E"/>
    <w:rsid w:val="009F0570"/>
    <w:rsid w:val="009F18F2"/>
    <w:rsid w:val="009F3A2C"/>
    <w:rsid w:val="00A05006"/>
    <w:rsid w:val="00A93E62"/>
    <w:rsid w:val="00AC28E2"/>
    <w:rsid w:val="00AD6AE8"/>
    <w:rsid w:val="00AE0F51"/>
    <w:rsid w:val="00B35565"/>
    <w:rsid w:val="00B41789"/>
    <w:rsid w:val="00B46F58"/>
    <w:rsid w:val="00B52B6C"/>
    <w:rsid w:val="00B72C66"/>
    <w:rsid w:val="00BD2B15"/>
    <w:rsid w:val="00BD464E"/>
    <w:rsid w:val="00C16E44"/>
    <w:rsid w:val="00C23B7A"/>
    <w:rsid w:val="00C62BEC"/>
    <w:rsid w:val="00C95793"/>
    <w:rsid w:val="00CB7A43"/>
    <w:rsid w:val="00CF7B1D"/>
    <w:rsid w:val="00D67E3C"/>
    <w:rsid w:val="00DB22F0"/>
    <w:rsid w:val="00DB79CA"/>
    <w:rsid w:val="00DE7A7B"/>
    <w:rsid w:val="00E16682"/>
    <w:rsid w:val="00E27A55"/>
    <w:rsid w:val="00E5165F"/>
    <w:rsid w:val="00E55924"/>
    <w:rsid w:val="00E6332C"/>
    <w:rsid w:val="00E91367"/>
    <w:rsid w:val="00EA28E9"/>
    <w:rsid w:val="00EB285E"/>
    <w:rsid w:val="00EC627A"/>
    <w:rsid w:val="00ED11DE"/>
    <w:rsid w:val="00EE7443"/>
    <w:rsid w:val="00F13443"/>
    <w:rsid w:val="00F3736F"/>
    <w:rsid w:val="00F454DB"/>
    <w:rsid w:val="00F95F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8CF512-3C34-4DB6-B64D-4DF43E5D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DE7A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itu.int/md/R18-RRB18.3-C-0012/e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o\AppData\Roaming\Microsoft\Templates\POOL%20S%20-%20ITU\PS_RRB18-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PS_RRB18-3.dotm</Template>
  <TotalTime>1</TotalTime>
  <Pages>3</Pages>
  <Words>553</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COMUNICACIÓN DE LA ADMINISTRACIÓN DE FRANCIA RELATIVA A LA CONTRIBUCIÓN DE LA ADMINISTRACIÓN DE NORUEGA SOBRE LA RED DE SATÉLITES YAHSAT-G6-17.5W Y LA APLICACIÓN DEL ARTÍCULO 48 DE LA CONSTITUCIÓN DE LA UIT</vt:lpstr>
    </vt:vector>
  </TitlesOfParts>
  <Manager>General Secretariat - Pool</Manager>
  <Company>International Telecommunication Union (ITU)</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DE LA ADMINISTRACIÓN DE FRANCIA RELATIVA A LA CONTRIBUCIÓN DE LA ADMINISTRACIÓN DE NORUEGA SOBRE LA RED DE SATÉLITES YAHSAT-G6-17.5W Y LA APLICACIÓN DEL ARTÍCULO 48 DE LA CONSTITUCIÓN DE LA UIT</dc:title>
  <dc:subject>GRUPO ASESOR DE RADIOCOMUNICACIONES</dc:subject>
  <dc:creator>Spanish</dc:creator>
  <cp:keywords/>
  <dc:description>PS_RRB.DOT  For: _x000d_Document date: _x000d_Saved by TRA44246 at 19:27:50 on 18.11.2008</dc:description>
  <cp:lastModifiedBy>Gozal, Karine</cp:lastModifiedBy>
  <cp:revision>4</cp:revision>
  <cp:lastPrinted>2018-11-29T10:39:00Z</cp:lastPrinted>
  <dcterms:created xsi:type="dcterms:W3CDTF">2018-11-29T10:38:00Z</dcterms:created>
  <dcterms:modified xsi:type="dcterms:W3CDTF">2018-11-29T10:39:00Z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