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335"/>
        <w:gridCol w:w="3304"/>
      </w:tblGrid>
      <w:tr w:rsidR="00034CD2" w:rsidRPr="00034CD2" w:rsidTr="00B93F2E">
        <w:trPr>
          <w:cantSplit/>
          <w:trHeight w:val="1276"/>
          <w:jc w:val="center"/>
        </w:trPr>
        <w:tc>
          <w:tcPr>
            <w:tcW w:w="3286" w:type="pct"/>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D878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D878F5">
              <w:rPr>
                <w:rFonts w:ascii="Verdana Bold" w:eastAsiaTheme="minorEastAsia" w:hAnsi="Verdana Bold"/>
                <w:b/>
                <w:bCs/>
                <w:sz w:val="20"/>
                <w:szCs w:val="34"/>
                <w:lang w:eastAsia="zh-CN" w:bidi="ar-SY"/>
              </w:rPr>
              <w:t>30-26</w:t>
            </w:r>
            <w:r w:rsidRPr="00034CD2">
              <w:rPr>
                <w:rFonts w:ascii="Verdana Bold" w:eastAsiaTheme="minorEastAsia" w:hAnsi="Verdana Bold" w:hint="cs"/>
                <w:b/>
                <w:bCs/>
                <w:sz w:val="18"/>
                <w:szCs w:val="32"/>
                <w:rtl/>
                <w:lang w:eastAsia="zh-CN" w:bidi="ar-SY"/>
              </w:rPr>
              <w:t xml:space="preserve"> </w:t>
            </w:r>
            <w:r w:rsidR="00D878F5">
              <w:rPr>
                <w:rFonts w:ascii="Verdana Bold" w:eastAsiaTheme="minorEastAsia" w:hAnsi="Verdana Bold" w:hint="cs"/>
                <w:b/>
                <w:bCs/>
                <w:sz w:val="18"/>
                <w:szCs w:val="32"/>
                <w:rtl/>
                <w:lang w:eastAsia="zh-CN" w:bidi="ar-SY"/>
              </w:rPr>
              <w:t>نوفمبر</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714"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93F2E">
        <w:trPr>
          <w:cantSplit/>
          <w:trHeight w:val="20"/>
          <w:jc w:val="center"/>
        </w:trPr>
        <w:tc>
          <w:tcPr>
            <w:tcW w:w="3286"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714"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93F2E">
        <w:trPr>
          <w:cantSplit/>
          <w:trHeight w:val="20"/>
          <w:jc w:val="center"/>
        </w:trPr>
        <w:tc>
          <w:tcPr>
            <w:tcW w:w="3286"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714"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93F2E">
        <w:trPr>
          <w:cantSplit/>
          <w:jc w:val="center"/>
        </w:trPr>
        <w:tc>
          <w:tcPr>
            <w:tcW w:w="3286"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714" w:type="pct"/>
            <w:vAlign w:val="center"/>
          </w:tcPr>
          <w:p w:rsidR="00034CD2" w:rsidRPr="00034CD2" w:rsidRDefault="00034CD2" w:rsidP="00B93F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sidR="00A50296">
              <w:rPr>
                <w:rFonts w:ascii="Verdana Bold" w:eastAsiaTheme="minorEastAsia" w:hAnsi="Verdana Bold"/>
                <w:b/>
                <w:bCs/>
                <w:sz w:val="19"/>
                <w:lang w:eastAsia="zh-CN" w:bidi="ar-SY"/>
              </w:rPr>
              <w:t>8</w:t>
            </w:r>
            <w:r w:rsidR="00B77D7C">
              <w:rPr>
                <w:rFonts w:ascii="Verdana Bold" w:eastAsiaTheme="minorEastAsia" w:hAnsi="Verdana Bold"/>
                <w:b/>
                <w:bCs/>
                <w:sz w:val="19"/>
                <w:lang w:eastAsia="zh-CN" w:bidi="ar-SY"/>
              </w:rPr>
              <w:t>-</w:t>
            </w:r>
            <w:r w:rsidR="00D878F5">
              <w:rPr>
                <w:rFonts w:ascii="Verdana Bold" w:eastAsiaTheme="minorEastAsia" w:hAnsi="Verdana Bold"/>
                <w:b/>
                <w:bCs/>
                <w:sz w:val="19"/>
                <w:lang w:eastAsia="zh-CN" w:bidi="ar-SY"/>
              </w:rPr>
              <w:t>3</w:t>
            </w:r>
            <w:r w:rsidRPr="00034CD2">
              <w:rPr>
                <w:rFonts w:ascii="Verdana Bold" w:eastAsiaTheme="minorEastAsia" w:hAnsi="Verdana Bold"/>
                <w:b/>
                <w:bCs/>
                <w:sz w:val="19"/>
                <w:lang w:eastAsia="zh-CN" w:bidi="ar-SY"/>
              </w:rPr>
              <w:t>/</w:t>
            </w:r>
            <w:r w:rsidR="00B93F2E">
              <w:rPr>
                <w:rFonts w:ascii="Verdana Bold" w:eastAsiaTheme="minorEastAsia" w:hAnsi="Verdana Bold"/>
                <w:b/>
                <w:bCs/>
                <w:spacing w:val="-8"/>
                <w:sz w:val="19"/>
                <w:lang w:eastAsia="zh-CN" w:bidi="ar-SY"/>
              </w:rPr>
              <w:t>DELAYED</w:t>
            </w:r>
            <w:r w:rsidR="00B93F2E">
              <w:rPr>
                <w:rFonts w:ascii="Verdana Bold" w:eastAsiaTheme="minorEastAsia" w:hAnsi="Verdana Bold"/>
                <w:b/>
                <w:bCs/>
                <w:sz w:val="19"/>
                <w:lang w:eastAsia="zh-CN" w:bidi="ar-SY"/>
              </w:rPr>
              <w:t>/6</w:t>
            </w:r>
            <w:r w:rsidRPr="00034CD2">
              <w:rPr>
                <w:rFonts w:ascii="Verdana Bold" w:eastAsiaTheme="minorEastAsia" w:hAnsi="Verdana Bold"/>
                <w:b/>
                <w:bCs/>
                <w:sz w:val="19"/>
                <w:lang w:eastAsia="zh-CN" w:bidi="ar-SY"/>
              </w:rPr>
              <w:t>-A</w:t>
            </w:r>
          </w:p>
        </w:tc>
      </w:tr>
      <w:tr w:rsidR="00034CD2" w:rsidRPr="00034CD2" w:rsidTr="00B93F2E">
        <w:trPr>
          <w:cantSplit/>
          <w:jc w:val="center"/>
        </w:trPr>
        <w:tc>
          <w:tcPr>
            <w:tcW w:w="3286"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714" w:type="pct"/>
            <w:vAlign w:val="center"/>
          </w:tcPr>
          <w:p w:rsidR="00034CD2" w:rsidRPr="00034CD2" w:rsidRDefault="00B93F2E" w:rsidP="00B93F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26</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نوفمبر</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B93F2E">
        <w:trPr>
          <w:cantSplit/>
          <w:jc w:val="center"/>
        </w:trPr>
        <w:tc>
          <w:tcPr>
            <w:tcW w:w="3286"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714" w:type="pct"/>
            <w:vAlign w:val="center"/>
          </w:tcPr>
          <w:p w:rsidR="00034CD2" w:rsidRPr="00034CD2" w:rsidRDefault="00034CD2" w:rsidP="00B93F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00B93F2E">
              <w:rPr>
                <w:rFonts w:ascii="Verdana Bold" w:eastAsiaTheme="minorEastAsia" w:hAnsi="Verdana Bold" w:hint="cs"/>
                <w:b/>
                <w:bCs/>
                <w:sz w:val="19"/>
                <w:rtl/>
                <w:lang w:eastAsia="zh-CN" w:bidi="ar-EG"/>
              </w:rPr>
              <w:t>بالفرنسية</w:t>
            </w:r>
          </w:p>
        </w:tc>
      </w:tr>
      <w:tr w:rsidR="00034CD2" w:rsidRPr="00034CD2" w:rsidTr="00B77D7C">
        <w:trPr>
          <w:cantSplit/>
          <w:trHeight w:val="1159"/>
          <w:jc w:val="center"/>
        </w:trPr>
        <w:tc>
          <w:tcPr>
            <w:tcW w:w="5000" w:type="pct"/>
            <w:gridSpan w:val="2"/>
          </w:tcPr>
          <w:p w:rsidR="00034CD2" w:rsidRPr="00034CD2" w:rsidRDefault="00B93F2E" w:rsidP="00075918">
            <w:pPr>
              <w:pStyle w:val="Source"/>
              <w:spacing w:after="120"/>
              <w:rPr>
                <w:rFonts w:eastAsiaTheme="minorEastAsia"/>
                <w:rtl/>
                <w:lang w:eastAsia="zh-CN"/>
              </w:rPr>
            </w:pPr>
            <w:r>
              <w:rPr>
                <w:rFonts w:eastAsiaTheme="minorEastAsia"/>
                <w:rtl/>
                <w:lang w:eastAsia="zh-CN"/>
              </w:rPr>
              <w:t>مدير مكتب الاتصالات الراديوية</w:t>
            </w:r>
          </w:p>
        </w:tc>
      </w:tr>
      <w:tr w:rsidR="00034CD2" w:rsidRPr="00034CD2" w:rsidTr="00B77D7C">
        <w:trPr>
          <w:cantSplit/>
          <w:jc w:val="center"/>
        </w:trPr>
        <w:tc>
          <w:tcPr>
            <w:tcW w:w="5000" w:type="pct"/>
            <w:gridSpan w:val="2"/>
          </w:tcPr>
          <w:p w:rsidR="00034CD2" w:rsidRPr="00034CD2" w:rsidRDefault="00B93F2E" w:rsidP="00345FAE">
            <w:pPr>
              <w:pStyle w:val="Title1"/>
              <w:spacing w:after="120"/>
              <w:rPr>
                <w:rFonts w:eastAsiaTheme="minorEastAsia"/>
                <w:rtl/>
                <w:lang w:eastAsia="zh-CN"/>
              </w:rPr>
            </w:pPr>
            <w:r>
              <w:rPr>
                <w:rFonts w:eastAsiaTheme="minorEastAsia"/>
                <w:rtl/>
                <w:lang w:eastAsia="zh-CN"/>
              </w:rPr>
              <w:t>تبليغ مقدم من إدارة فرنسا دعماً للمساهمة الواردة من إدارة النرويج بشأن الشبكة </w:t>
            </w:r>
            <w:proofErr w:type="spellStart"/>
            <w:r>
              <w:rPr>
                <w:rFonts w:eastAsiaTheme="minorEastAsia"/>
                <w:rtl/>
                <w:lang w:eastAsia="zh-CN"/>
              </w:rPr>
              <w:t>الساتلية</w:t>
            </w:r>
            <w:proofErr w:type="spellEnd"/>
            <w:r>
              <w:rPr>
                <w:rFonts w:eastAsiaTheme="minorEastAsia"/>
                <w:rtl/>
                <w:lang w:eastAsia="zh-CN"/>
              </w:rPr>
              <w:t> </w:t>
            </w:r>
            <w:r>
              <w:t>YAHSAT-G6-17</w:t>
            </w:r>
            <w:r w:rsidR="00345FAE">
              <w:t>.</w:t>
            </w:r>
            <w:r>
              <w:t>5W</w:t>
            </w:r>
            <w:r>
              <w:rPr>
                <w:rFonts w:eastAsiaTheme="minorEastAsia"/>
                <w:rtl/>
                <w:lang w:eastAsia="zh-CN"/>
              </w:rPr>
              <w:t xml:space="preserve"> </w:t>
            </w:r>
            <w:r>
              <w:rPr>
                <w:rFonts w:eastAsiaTheme="minorEastAsia"/>
                <w:rtl/>
                <w:lang w:eastAsia="zh-CN" w:bidi="ar-SY"/>
              </w:rPr>
              <w:t xml:space="preserve">وتطبيق المادة </w:t>
            </w:r>
            <w:r>
              <w:rPr>
                <w:rFonts w:eastAsiaTheme="minorEastAsia"/>
                <w:lang w:eastAsia="zh-CN" w:bidi="ar-SY"/>
              </w:rPr>
              <w:t>48</w:t>
            </w:r>
            <w:r>
              <w:rPr>
                <w:rFonts w:eastAsiaTheme="minorEastAsia"/>
                <w:rtl/>
                <w:lang w:eastAsia="zh-CN"/>
              </w:rPr>
              <w:t xml:space="preserve"> من دستور الاتحاد</w:t>
            </w:r>
          </w:p>
        </w:tc>
      </w:tr>
      <w:tr w:rsidR="00034CD2" w:rsidRPr="00034CD2" w:rsidTr="00B77D7C">
        <w:trPr>
          <w:cantSplit/>
          <w:jc w:val="center"/>
        </w:trPr>
        <w:tc>
          <w:tcPr>
            <w:tcW w:w="5000" w:type="pct"/>
            <w:gridSpan w:val="2"/>
          </w:tcPr>
          <w:p w:rsidR="00034CD2" w:rsidRPr="00034CD2" w:rsidRDefault="00034CD2" w:rsidP="00075918">
            <w:pPr>
              <w:rPr>
                <w:rFonts w:eastAsiaTheme="minorEastAsia"/>
                <w:rtl/>
                <w:lang w:eastAsia="zh-CN" w:bidi="ar-EG"/>
              </w:rPr>
            </w:pPr>
          </w:p>
        </w:tc>
      </w:tr>
    </w:tbl>
    <w:p w:rsidR="006157A3" w:rsidRDefault="00B93F2E" w:rsidP="008B5B5D">
      <w:pPr>
        <w:rPr>
          <w:rtl/>
          <w:lang w:bidi="ar-EG"/>
        </w:rPr>
      </w:pPr>
      <w:r>
        <w:rPr>
          <w:rtl/>
          <w:lang w:bidi="ar-EG"/>
        </w:rPr>
        <w:t>يكمّل التبليغ المتأخر المرفق ال</w:t>
      </w:r>
      <w:r>
        <w:rPr>
          <w:rtl/>
          <w:lang w:bidi="ar-SY"/>
        </w:rPr>
        <w:t>مقدم من</w:t>
      </w:r>
      <w:r>
        <w:rPr>
          <w:rtl/>
          <w:lang w:bidi="ar-EG"/>
        </w:rPr>
        <w:t xml:space="preserve"> إدارة</w:t>
      </w:r>
      <w:r>
        <w:rPr>
          <w:rFonts w:eastAsiaTheme="minorEastAsia"/>
          <w:rtl/>
          <w:lang w:eastAsia="zh-CN"/>
        </w:rPr>
        <w:t xml:space="preserve"> فرنسا المعلومات الواردة في الوثيقة </w:t>
      </w:r>
      <w:hyperlink r:id="rId11" w:history="1">
        <w:r>
          <w:rPr>
            <w:rStyle w:val="Hyperlink"/>
            <w:lang w:val="fr-CH"/>
          </w:rPr>
          <w:t>RRB18-3/12</w:t>
        </w:r>
      </w:hyperlink>
      <w:r>
        <w:rPr>
          <w:rtl/>
          <w:lang w:bidi="ar-EG"/>
        </w:rPr>
        <w:t>، وهو مقدم كي تنظر فيه لجنة لوائح الراديو.</w:t>
      </w:r>
    </w:p>
    <w:p w:rsidR="008B5B5D" w:rsidRPr="003E7E4E" w:rsidRDefault="00B93F2E" w:rsidP="00B93F2E">
      <w:pPr>
        <w:spacing w:before="6000"/>
        <w:rPr>
          <w:b/>
          <w:bCs/>
          <w:rtl/>
          <w:lang w:bidi="ar-EG"/>
        </w:rPr>
      </w:pPr>
      <w:r w:rsidRPr="003E7E4E">
        <w:rPr>
          <w:b/>
          <w:bCs/>
          <w:rtl/>
          <w:lang w:bidi="ar-EG"/>
        </w:rPr>
        <w:t>الملحقات</w:t>
      </w:r>
    </w:p>
    <w:p w:rsidR="00034CD2" w:rsidRDefault="00034CD2">
      <w:pPr>
        <w:tabs>
          <w:tab w:val="clear" w:pos="1134"/>
        </w:tabs>
        <w:bidi w:val="0"/>
        <w:spacing w:before="0" w:after="160" w:line="259" w:lineRule="auto"/>
        <w:jc w:val="left"/>
        <w:rPr>
          <w:rtl/>
          <w:lang w:bidi="ar-EG"/>
        </w:rPr>
      </w:pPr>
      <w:r>
        <w:rPr>
          <w:rtl/>
          <w:lang w:bidi="ar-EG"/>
        </w:rPr>
        <w:br w:type="page"/>
      </w:r>
    </w:p>
    <w:p w:rsidR="00B93F2E" w:rsidRDefault="00B93F2E" w:rsidP="00B93F2E">
      <w:pPr>
        <w:pStyle w:val="AnnexNo"/>
        <w:rPr>
          <w:b/>
          <w:bCs/>
          <w:lang w:val="en-US"/>
        </w:rPr>
      </w:pPr>
      <w:r>
        <w:rPr>
          <w:b/>
          <w:bCs/>
          <w:rtl/>
        </w:rPr>
        <w:lastRenderedPageBreak/>
        <w:t>الملحق</w:t>
      </w:r>
    </w:p>
    <w:p w:rsidR="00B93F2E" w:rsidRDefault="00B93F2E" w:rsidP="00B93F2E">
      <w:pPr>
        <w:pStyle w:val="Normalaftertitle"/>
        <w:spacing w:before="100" w:beforeAutospacing="1" w:after="100" w:afterAutospacing="1" w:line="240" w:lineRule="auto"/>
        <w:rPr>
          <w:rtl/>
        </w:rPr>
      </w:pPr>
      <w:r>
        <w:rPr>
          <w:noProof/>
          <w:lang w:eastAsia="zh-CN"/>
        </w:rPr>
        <w:drawing>
          <wp:inline distT="0" distB="0" distL="0" distR="0" wp14:anchorId="3FE23121" wp14:editId="4B7C43D3">
            <wp:extent cx="1263248" cy="746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6786" cy="754125"/>
                    </a:xfrm>
                    <a:prstGeom prst="rect">
                      <a:avLst/>
                    </a:prstGeom>
                  </pic:spPr>
                </pic:pic>
              </a:graphicData>
            </a:graphic>
          </wp:inline>
        </w:drawing>
      </w:r>
    </w:p>
    <w:p w:rsidR="00B93F2E" w:rsidRDefault="00B93F2E" w:rsidP="00F21A67">
      <w:pPr>
        <w:rPr>
          <w:rtl/>
          <w:lang w:val="fr-CH"/>
        </w:rPr>
      </w:pPr>
      <w:r>
        <w:rPr>
          <w:rtl/>
        </w:rPr>
        <w:t xml:space="preserve">الوكالة الوطنية للترددات </w:t>
      </w:r>
      <w:r>
        <w:t>(ANFR)</w:t>
      </w:r>
      <w:r w:rsidR="00F21A67">
        <w:rPr>
          <w:rtl/>
        </w:rPr>
        <w:tab/>
      </w:r>
      <w:r w:rsidR="00F21A67">
        <w:rPr>
          <w:rtl/>
          <w:lang w:val="fr-CH"/>
        </w:rPr>
        <w:br/>
      </w:r>
      <w:r>
        <w:rPr>
          <w:rtl/>
          <w:lang w:val="fr-CH" w:bidi="ar-EG"/>
        </w:rPr>
        <w:t>إدارة تخطيط الطيف والشؤون الدولية</w:t>
      </w:r>
    </w:p>
    <w:p w:rsidR="00B93F2E" w:rsidRDefault="00B93F2E" w:rsidP="00F21A67">
      <w:pPr>
        <w:rPr>
          <w:rtl/>
        </w:rPr>
      </w:pPr>
      <w:bookmarkStart w:id="0" w:name="lt_pId018"/>
      <w:r>
        <w:t>ANFR/DPSAI/DROS/18-1332/AS</w:t>
      </w:r>
      <w:bookmarkEnd w:id="0"/>
      <w:r w:rsidR="00F21A67">
        <w:rPr>
          <w:rFonts w:hint="cs"/>
          <w:rtl/>
        </w:rPr>
        <w:t> </w:t>
      </w:r>
    </w:p>
    <w:p w:rsidR="00B93F2E" w:rsidRDefault="00B93F2E" w:rsidP="00B93F2E">
      <w:pPr>
        <w:jc w:val="right"/>
        <w:rPr>
          <w:rtl/>
        </w:rPr>
      </w:pPr>
      <w:proofErr w:type="spellStart"/>
      <w:r>
        <w:rPr>
          <w:color w:val="000000"/>
          <w:rtl/>
        </w:rPr>
        <w:t>ميزون</w:t>
      </w:r>
      <w:r>
        <w:rPr>
          <w:rFonts w:hint="cs"/>
          <w:color w:val="000000"/>
          <w:rtl/>
        </w:rPr>
        <w:t>-</w:t>
      </w:r>
      <w:r>
        <w:rPr>
          <w:color w:val="000000"/>
          <w:rtl/>
        </w:rPr>
        <w:t>ألفور</w:t>
      </w:r>
      <w:proofErr w:type="spellEnd"/>
      <w:r>
        <w:rPr>
          <w:color w:val="000000"/>
          <w:rtl/>
        </w:rPr>
        <w:t>،</w:t>
      </w:r>
      <w:r>
        <w:rPr>
          <w:rtl/>
        </w:rPr>
        <w:t xml:space="preserve"> </w:t>
      </w:r>
      <w:r>
        <w:rPr>
          <w:lang w:bidi="ar-EG"/>
        </w:rPr>
        <w:t>23</w:t>
      </w:r>
      <w:r>
        <w:rPr>
          <w:color w:val="000000"/>
          <w:rtl/>
        </w:rPr>
        <w:t xml:space="preserve"> </w:t>
      </w:r>
      <w:r>
        <w:rPr>
          <w:rtl/>
        </w:rPr>
        <w:t xml:space="preserve">نوفمبر </w:t>
      </w:r>
      <w:r>
        <w:t>2018</w:t>
      </w:r>
    </w:p>
    <w:tbl>
      <w:tblPr>
        <w:bidiVisual/>
        <w:tblW w:w="5000" w:type="pct"/>
        <w:tblCellMar>
          <w:bottom w:w="113" w:type="dxa"/>
        </w:tblCellMar>
        <w:tblLook w:val="04A0" w:firstRow="1" w:lastRow="0" w:firstColumn="1" w:lastColumn="0" w:noHBand="0" w:noVBand="1"/>
      </w:tblPr>
      <w:tblGrid>
        <w:gridCol w:w="1134"/>
        <w:gridCol w:w="8505"/>
      </w:tblGrid>
      <w:tr w:rsidR="00B93F2E" w:rsidTr="00E73A1B">
        <w:tc>
          <w:tcPr>
            <w:tcW w:w="588" w:type="pct"/>
            <w:tcMar>
              <w:top w:w="0" w:type="dxa"/>
              <w:left w:w="0" w:type="dxa"/>
              <w:bottom w:w="113" w:type="dxa"/>
              <w:right w:w="108" w:type="dxa"/>
            </w:tcMar>
          </w:tcPr>
          <w:p w:rsidR="00B93F2E" w:rsidRPr="00B93F2E" w:rsidRDefault="00B93F2E" w:rsidP="006D4E7E">
            <w:pPr>
              <w:spacing w:before="360" w:line="300" w:lineRule="exact"/>
              <w:rPr>
                <w:rtl/>
                <w:lang w:val="fr-CH" w:bidi="ar-EG"/>
              </w:rPr>
            </w:pPr>
            <w:r>
              <w:rPr>
                <w:rtl/>
                <w:lang w:val="fr-CH" w:bidi="ar-EG"/>
              </w:rPr>
              <w:t>إلى:</w:t>
            </w:r>
          </w:p>
        </w:tc>
        <w:tc>
          <w:tcPr>
            <w:tcW w:w="4412" w:type="pct"/>
          </w:tcPr>
          <w:p w:rsidR="00B93F2E" w:rsidRPr="007A6612" w:rsidRDefault="00B93F2E" w:rsidP="006D4E7E">
            <w:pPr>
              <w:spacing w:before="360" w:line="300" w:lineRule="exact"/>
              <w:rPr>
                <w:sz w:val="20"/>
                <w:szCs w:val="26"/>
                <w:lang w:val="fr-CH" w:bidi="ar-EG"/>
              </w:rPr>
            </w:pPr>
            <w:r>
              <w:rPr>
                <w:rtl/>
                <w:lang w:val="fr-CH" w:bidi="ar-EG"/>
              </w:rPr>
              <w:t>مدير مكتب الاتصالات الراديوية</w:t>
            </w:r>
            <w:r w:rsidR="00600AB8">
              <w:rPr>
                <w:lang w:val="fr-CH" w:bidi="ar-EG"/>
              </w:rPr>
              <w:tab/>
            </w:r>
            <w:r w:rsidR="00600AB8">
              <w:rPr>
                <w:lang w:val="fr-CH" w:bidi="ar-EG"/>
              </w:rPr>
              <w:br/>
            </w:r>
            <w:r>
              <w:rPr>
                <w:rtl/>
                <w:lang w:val="fr-CH" w:bidi="ar-EG"/>
              </w:rPr>
              <w:t>الاتحاد الدولي للاتصالات</w:t>
            </w:r>
            <w:r w:rsidR="00600AB8">
              <w:rPr>
                <w:lang w:val="fr-CH" w:bidi="ar-EG"/>
              </w:rPr>
              <w:tab/>
            </w:r>
            <w:r w:rsidR="00600AB8">
              <w:rPr>
                <w:lang w:val="fr-CH" w:bidi="ar-EG"/>
              </w:rPr>
              <w:br/>
            </w:r>
            <w:r w:rsidR="007A6612">
              <w:rPr>
                <w:sz w:val="20"/>
                <w:szCs w:val="26"/>
                <w:lang w:bidi="ar-EG"/>
              </w:rPr>
              <w:t>Place des Nations</w:t>
            </w:r>
            <w:r w:rsidR="007A6612">
              <w:rPr>
                <w:sz w:val="20"/>
                <w:szCs w:val="26"/>
                <w:rtl/>
                <w:lang w:bidi="ar-EG"/>
              </w:rPr>
              <w:tab/>
            </w:r>
            <w:r w:rsidR="007A6612">
              <w:rPr>
                <w:sz w:val="20"/>
                <w:szCs w:val="26"/>
                <w:lang w:bidi="ar-EG"/>
              </w:rPr>
              <w:br/>
              <w:t>CH-1211 Gen</w:t>
            </w:r>
            <w:proofErr w:type="spellStart"/>
            <w:r w:rsidR="007A6612">
              <w:rPr>
                <w:sz w:val="20"/>
                <w:szCs w:val="26"/>
                <w:lang w:val="fr-CH" w:bidi="ar-EG"/>
              </w:rPr>
              <w:t>ève</w:t>
            </w:r>
            <w:proofErr w:type="spellEnd"/>
            <w:r w:rsidR="007A6612">
              <w:rPr>
                <w:sz w:val="20"/>
                <w:szCs w:val="26"/>
                <w:lang w:val="fr-CH" w:bidi="ar-EG"/>
              </w:rPr>
              <w:t xml:space="preserve"> 20</w:t>
            </w:r>
          </w:p>
        </w:tc>
      </w:tr>
      <w:tr w:rsidR="00B93F2E" w:rsidTr="00E73A1B">
        <w:tc>
          <w:tcPr>
            <w:tcW w:w="588" w:type="pct"/>
            <w:tcMar>
              <w:top w:w="0" w:type="dxa"/>
              <w:left w:w="0" w:type="dxa"/>
              <w:bottom w:w="113" w:type="dxa"/>
              <w:right w:w="108" w:type="dxa"/>
            </w:tcMar>
          </w:tcPr>
          <w:p w:rsidR="00B93F2E" w:rsidRDefault="00B93F2E" w:rsidP="000267D6">
            <w:pPr>
              <w:spacing w:before="240"/>
              <w:rPr>
                <w:rtl/>
                <w:lang w:val="fr-CH" w:bidi="ar-EG"/>
              </w:rPr>
            </w:pPr>
            <w:r w:rsidRPr="007A6612">
              <w:rPr>
                <w:rFonts w:ascii="Calibri" w:hAnsi="Calibri"/>
                <w:b/>
                <w:bCs/>
                <w:u w:val="single"/>
                <w:rtl/>
                <w:lang w:val="fr-CH" w:bidi="ar-EG"/>
              </w:rPr>
              <w:t>الموضوع</w:t>
            </w:r>
            <w:r>
              <w:rPr>
                <w:rFonts w:ascii="Calibri" w:hAnsi="Calibri"/>
                <w:rtl/>
                <w:lang w:val="fr-CH" w:bidi="ar-EG"/>
              </w:rPr>
              <w:t>:</w:t>
            </w:r>
          </w:p>
        </w:tc>
        <w:tc>
          <w:tcPr>
            <w:tcW w:w="4412" w:type="pct"/>
          </w:tcPr>
          <w:p w:rsidR="00B93F2E" w:rsidRDefault="00B93F2E" w:rsidP="000267D6">
            <w:pPr>
              <w:spacing w:before="240"/>
              <w:rPr>
                <w:rtl/>
                <w:lang w:val="fr-CH" w:bidi="ar-EG"/>
              </w:rPr>
            </w:pPr>
            <w:r>
              <w:rPr>
                <w:rtl/>
                <w:lang w:val="fr-CH" w:bidi="ar-EG"/>
              </w:rPr>
              <w:t xml:space="preserve">تطبيق المادة </w:t>
            </w:r>
            <w:r>
              <w:rPr>
                <w:lang w:bidi="ar-EG"/>
              </w:rPr>
              <w:t>48</w:t>
            </w:r>
            <w:r>
              <w:rPr>
                <w:rtl/>
              </w:rPr>
              <w:t xml:space="preserve"> من دستور الاتحاد</w:t>
            </w:r>
          </w:p>
        </w:tc>
      </w:tr>
    </w:tbl>
    <w:p w:rsidR="00B93F2E" w:rsidRPr="009904BF" w:rsidRDefault="00B93F2E" w:rsidP="00600AB8">
      <w:pPr>
        <w:spacing w:before="600"/>
        <w:jc w:val="left"/>
        <w:rPr>
          <w:rtl/>
          <w:lang w:bidi="ar-EG"/>
        </w:rPr>
      </w:pPr>
      <w:r w:rsidRPr="009904BF">
        <w:rPr>
          <w:rtl/>
          <w:lang w:bidi="ar-EG"/>
        </w:rPr>
        <w:t>السيد المحترم،</w:t>
      </w:r>
    </w:p>
    <w:p w:rsidR="00B93F2E" w:rsidRPr="009904BF" w:rsidRDefault="00B93F2E" w:rsidP="00B93F2E">
      <w:pPr>
        <w:rPr>
          <w:rtl/>
          <w:lang w:bidi="ar-EG"/>
        </w:rPr>
      </w:pPr>
      <w:r w:rsidRPr="009904BF">
        <w:rPr>
          <w:rtl/>
          <w:lang w:bidi="ar-EG"/>
        </w:rPr>
        <w:t>تحية طيبة وبعد،</w:t>
      </w:r>
    </w:p>
    <w:p w:rsidR="00B93F2E" w:rsidRPr="009904BF" w:rsidRDefault="00B93F2E" w:rsidP="00261FED">
      <w:pPr>
        <w:rPr>
          <w:rtl/>
          <w:lang w:bidi="ar-EG"/>
        </w:rPr>
      </w:pPr>
      <w:r w:rsidRPr="009904BF">
        <w:rPr>
          <w:rtl/>
          <w:lang w:bidi="ar-EG"/>
        </w:rPr>
        <w:t xml:space="preserve">تود </w:t>
      </w:r>
      <w:r w:rsidR="00261FED" w:rsidRPr="009904BF">
        <w:rPr>
          <w:rFonts w:hint="cs"/>
          <w:rtl/>
          <w:lang w:bidi="ar-EG"/>
        </w:rPr>
        <w:t>الإدارة الفرنسية</w:t>
      </w:r>
      <w:r w:rsidRPr="009904BF">
        <w:rPr>
          <w:rtl/>
          <w:lang w:bidi="ar-EG"/>
        </w:rPr>
        <w:t xml:space="preserve"> أن تعرب عن دعمها للمساهمة النرويجية (الوثيقة </w:t>
      </w:r>
      <w:r w:rsidRPr="009904BF">
        <w:t>RRB18</w:t>
      </w:r>
      <w:r w:rsidR="00600AB8" w:rsidRPr="009904BF">
        <w:t>-</w:t>
      </w:r>
      <w:r w:rsidRPr="009904BF">
        <w:t>3/12</w:t>
      </w:r>
      <w:r w:rsidRPr="009904BF">
        <w:rPr>
          <w:rtl/>
          <w:lang w:bidi="ar-EG"/>
        </w:rPr>
        <w:t xml:space="preserve">)، إلى الاجتماع التاسع والسبعين للجنة لوائح الراديو الذي سيعقد في جنيف من </w:t>
      </w:r>
      <w:r w:rsidRPr="009904BF">
        <w:rPr>
          <w:lang w:val="fr-CH" w:bidi="ar-EG"/>
        </w:rPr>
        <w:t>26</w:t>
      </w:r>
      <w:r w:rsidRPr="009904BF">
        <w:rPr>
          <w:rtl/>
          <w:lang w:bidi="ar-EG"/>
        </w:rPr>
        <w:t xml:space="preserve"> إلى </w:t>
      </w:r>
      <w:r w:rsidRPr="009904BF">
        <w:rPr>
          <w:lang w:val="fr-CH" w:bidi="ar-EG"/>
        </w:rPr>
        <w:t>30</w:t>
      </w:r>
      <w:r w:rsidRPr="009904BF">
        <w:rPr>
          <w:rtl/>
          <w:lang w:bidi="ar-EG"/>
        </w:rPr>
        <w:t> نوفمبر </w:t>
      </w:r>
      <w:r w:rsidRPr="009904BF">
        <w:rPr>
          <w:lang w:val="fr-CH" w:bidi="ar-EG"/>
        </w:rPr>
        <w:t>2018</w:t>
      </w:r>
      <w:r w:rsidRPr="009904BF">
        <w:rPr>
          <w:rtl/>
          <w:lang w:bidi="ar-EG"/>
        </w:rPr>
        <w:t>.</w:t>
      </w:r>
    </w:p>
    <w:p w:rsidR="00B93F2E" w:rsidRPr="009904BF" w:rsidRDefault="00B93F2E" w:rsidP="00B93F2E">
      <w:pPr>
        <w:rPr>
          <w:rtl/>
          <w:lang w:bidi="ar-EG"/>
        </w:rPr>
      </w:pPr>
      <w:r w:rsidRPr="009904BF">
        <w:rPr>
          <w:rtl/>
        </w:rPr>
        <w:t xml:space="preserve">ترى الإدارة الفرنسية أن اللجوء إلى المادة </w:t>
      </w:r>
      <w:r w:rsidRPr="009904BF">
        <w:t>48</w:t>
      </w:r>
      <w:r w:rsidRPr="009904BF">
        <w:rPr>
          <w:rtl/>
        </w:rPr>
        <w:t xml:space="preserve"> </w:t>
      </w:r>
      <w:r w:rsidRPr="009904BF">
        <w:rPr>
          <w:rFonts w:hint="cs"/>
          <w:rtl/>
        </w:rPr>
        <w:t>من الدستور، يجب أن يقتصر حصراً على المنشآت الراديوية العسكرية وألا يُستعمل من أجل المنشآت الراديوية الحكومية غير العسكرية أو التجارية</w:t>
      </w:r>
      <w:r w:rsidRPr="009904BF">
        <w:rPr>
          <w:rtl/>
          <w:lang w:bidi="ar-EG"/>
        </w:rPr>
        <w:t>.</w:t>
      </w:r>
    </w:p>
    <w:p w:rsidR="00B93F2E" w:rsidRPr="009904BF" w:rsidRDefault="00B93F2E" w:rsidP="00B73768">
      <w:pPr>
        <w:rPr>
          <w:spacing w:val="-2"/>
          <w:rtl/>
        </w:rPr>
      </w:pPr>
      <w:r w:rsidRPr="009904BF">
        <w:rPr>
          <w:spacing w:val="-2"/>
          <w:rtl/>
          <w:lang w:bidi="ar-EG"/>
        </w:rPr>
        <w:t xml:space="preserve">وتعترف الإدارة الفرنسية بحق كل إدارة في الاحتجاج بالمادة </w:t>
      </w:r>
      <w:r w:rsidRPr="009904BF">
        <w:rPr>
          <w:spacing w:val="-2"/>
          <w:lang w:bidi="ar-EG"/>
        </w:rPr>
        <w:t>48</w:t>
      </w:r>
      <w:r w:rsidRPr="009904BF">
        <w:rPr>
          <w:spacing w:val="-2"/>
          <w:rtl/>
        </w:rPr>
        <w:t xml:space="preserve"> من الدستور ولا تُنكر أن الدول الأعضاء في الاتحاد الدولي للاتصالات استعملت هذا الحق استعمالاً فع</w:t>
      </w:r>
      <w:r w:rsidR="00742C01" w:rsidRPr="009904BF">
        <w:rPr>
          <w:rFonts w:hint="cs"/>
          <w:spacing w:val="-2"/>
          <w:rtl/>
          <w:lang w:bidi="ar-EG"/>
        </w:rPr>
        <w:t>ّ</w:t>
      </w:r>
      <w:r w:rsidRPr="009904BF">
        <w:rPr>
          <w:spacing w:val="-2"/>
          <w:rtl/>
        </w:rPr>
        <w:t>الاً وفي مرات عديدة دون أن يؤدي ذلك بصورة منتظمة إلى التماس تدخل اللجنة. وعلى هذا الأساس، تؤيد الإدارة الفرنسية رأي أعضاء اللجنة في اجتماعها الثامن والسبعين الذي يفيد بعدم إقرار اقتراح المكتب المتمثل في</w:t>
      </w:r>
      <w:r w:rsidR="00B73768" w:rsidRPr="009904BF">
        <w:rPr>
          <w:rFonts w:hint="cs"/>
          <w:spacing w:val="-2"/>
          <w:rtl/>
        </w:rPr>
        <w:t> </w:t>
      </w:r>
      <w:r w:rsidRPr="009904BF">
        <w:rPr>
          <w:spacing w:val="-2"/>
          <w:rtl/>
        </w:rPr>
        <w:t xml:space="preserve">نشر جميع التبليغات التي يتلقاها بموجب المادة </w:t>
      </w:r>
      <w:r w:rsidRPr="009904BF">
        <w:rPr>
          <w:spacing w:val="-2"/>
        </w:rPr>
        <w:t>48</w:t>
      </w:r>
      <w:r w:rsidRPr="009904BF">
        <w:rPr>
          <w:spacing w:val="-2"/>
          <w:rtl/>
        </w:rPr>
        <w:t xml:space="preserve"> من الدستور، بسبب عدم وجود ولاية للجنة تخولها البت في هذا الشأن.</w:t>
      </w:r>
    </w:p>
    <w:p w:rsidR="00B93F2E" w:rsidRPr="009904BF" w:rsidRDefault="00B93F2E" w:rsidP="00F21A67">
      <w:r w:rsidRPr="009904BF">
        <w:rPr>
          <w:rtl/>
          <w:lang w:bidi="ar-EG"/>
        </w:rPr>
        <w:t xml:space="preserve">ومع ذلك، لاحظت الإدارة الفرنسية تماماً أنه خلال الاجتماع الثامن والسبعين للجنة، اعترفت هذه الأخيرة بأن </w:t>
      </w:r>
      <w:r w:rsidRPr="009904BF">
        <w:rPr>
          <w:rtl/>
        </w:rPr>
        <w:t xml:space="preserve">ليست لها ولاية لاتخاذ قرارات فيما يتعلق بالمادة </w:t>
      </w:r>
      <w:r w:rsidRPr="009904BF">
        <w:rPr>
          <w:lang w:bidi="ar-EG"/>
        </w:rPr>
        <w:t>48</w:t>
      </w:r>
      <w:r w:rsidRPr="009904BF">
        <w:rPr>
          <w:rtl/>
          <w:lang w:bidi="ar-EG"/>
        </w:rPr>
        <w:t xml:space="preserve"> من الدستور. </w:t>
      </w:r>
      <w:r w:rsidRPr="009904BF">
        <w:rPr>
          <w:rtl/>
        </w:rPr>
        <w:t xml:space="preserve">ومع ذلك، اتفق أعضاؤها على ضرورة تجنب التعسف في تطبيق المادة </w:t>
      </w:r>
      <w:r w:rsidRPr="009904BF">
        <w:t>48</w:t>
      </w:r>
      <w:r w:rsidRPr="009904BF">
        <w:rPr>
          <w:rtl/>
        </w:rPr>
        <w:t xml:space="preserve"> واسترعوا انتباه الإدارات إلى احترام أحكام المادة المذكورة.</w:t>
      </w:r>
    </w:p>
    <w:p w:rsidR="00600AB8" w:rsidRDefault="00600AB8" w:rsidP="00B93F2E"/>
    <w:p w:rsidR="00600AB8" w:rsidRDefault="00600AB8" w:rsidP="00B93F2E">
      <w:pPr>
        <w:rPr>
          <w:rtl/>
        </w:rPr>
        <w:sectPr w:rsidR="00600AB8" w:rsidSect="008B5B5D">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pPr>
    </w:p>
    <w:p w:rsidR="00B93F2E" w:rsidRDefault="00B93F2E" w:rsidP="00600AB8">
      <w:pPr>
        <w:pageBreakBefore/>
        <w:rPr>
          <w:rtl/>
        </w:rPr>
      </w:pPr>
      <w:r>
        <w:rPr>
          <w:rtl/>
        </w:rPr>
        <w:lastRenderedPageBreak/>
        <w:t xml:space="preserve">وكذلك، بغية استكمال توعية الإدارات بطبيعة الصعوبات الناجمة عن الاكتشاف المتأخر للاحتجاج بالمادة </w:t>
      </w:r>
      <w:r>
        <w:t>48</w:t>
      </w:r>
      <w:r>
        <w:rPr>
          <w:rtl/>
        </w:rPr>
        <w:t xml:space="preserve"> من الدستور، تطلب الإدارة الفرنسية من اللجنة أن ينشر المكتب في كل اجتماع للجنة، قائمة محد</w:t>
      </w:r>
      <w:r w:rsidR="008E3F88">
        <w:rPr>
          <w:rFonts w:hint="cs"/>
          <w:rtl/>
        </w:rPr>
        <w:t>ّ</w:t>
      </w:r>
      <w:r>
        <w:rPr>
          <w:rtl/>
        </w:rPr>
        <w:t xml:space="preserve">ثة بالشبكات والأنظمة </w:t>
      </w:r>
      <w:proofErr w:type="spellStart"/>
      <w:r>
        <w:rPr>
          <w:rtl/>
        </w:rPr>
        <w:t>الساتلية</w:t>
      </w:r>
      <w:proofErr w:type="spellEnd"/>
      <w:r>
        <w:rPr>
          <w:rtl/>
        </w:rPr>
        <w:t xml:space="preserve"> التي أثيرت فيها المادة</w:t>
      </w:r>
      <w:r w:rsidR="00600AB8">
        <w:rPr>
          <w:rFonts w:hint="cs"/>
          <w:rtl/>
        </w:rPr>
        <w:t> </w:t>
      </w:r>
      <w:r>
        <w:t>48</w:t>
      </w:r>
      <w:r>
        <w:rPr>
          <w:rtl/>
        </w:rPr>
        <w:t xml:space="preserve"> وأدت بعد ذلك إلى مساهمة من إحدى الإدارات تعترض فيها على صلاحيتها في أحد اجتماعات اللجنة. وبما أن هذه العناصر ن</w:t>
      </w:r>
      <w:r w:rsidR="006B7D54">
        <w:rPr>
          <w:rFonts w:hint="cs"/>
          <w:rtl/>
        </w:rPr>
        <w:t>ُ</w:t>
      </w:r>
      <w:r>
        <w:rPr>
          <w:rtl/>
        </w:rPr>
        <w:t>شرت بالفعل، فهذا يجعل تحليل المكتب لاختصاصات اللجنة ملائماً.</w:t>
      </w:r>
    </w:p>
    <w:p w:rsidR="00B93F2E" w:rsidRDefault="00B93F2E" w:rsidP="000267D6">
      <w:pPr>
        <w:spacing w:before="240"/>
        <w:rPr>
          <w:rtl/>
        </w:rPr>
      </w:pPr>
      <w:r>
        <w:rPr>
          <w:rtl/>
        </w:rPr>
        <w:t>وتفضلوا بقبول فائق التقدير والاحترام، وأرجو أن تنقلوا تحياتي واحترامي إلى أعضاء اللجنة.</w:t>
      </w:r>
    </w:p>
    <w:p w:rsidR="00F21A67" w:rsidRPr="00F21A67" w:rsidRDefault="00B73768" w:rsidP="00F21A67">
      <w:pPr>
        <w:spacing w:before="600" w:after="600"/>
        <w:rPr>
          <w:i/>
          <w:iCs/>
          <w:rtl/>
          <w:lang w:bidi="ar-EG"/>
        </w:rPr>
      </w:pPr>
      <w:r>
        <w:rPr>
          <w:rFonts w:hint="cs"/>
          <w:i/>
          <w:iCs/>
          <w:rtl/>
        </w:rPr>
        <w:t>(</w:t>
      </w:r>
      <w:r w:rsidR="00F21A67" w:rsidRPr="00F21A67">
        <w:rPr>
          <w:rFonts w:hint="cs"/>
          <w:i/>
          <w:iCs/>
          <w:rtl/>
        </w:rPr>
        <w:t>توقيع)</w:t>
      </w:r>
    </w:p>
    <w:p w:rsidR="00B93F2E" w:rsidRDefault="00B93F2E" w:rsidP="00F21A67">
      <w:pPr>
        <w:rPr>
          <w:rtl/>
          <w:lang w:bidi="ar-EG"/>
        </w:rPr>
      </w:pPr>
      <w:r>
        <w:rPr>
          <w:rtl/>
          <w:lang w:bidi="ar-EG"/>
        </w:rPr>
        <w:t>عمار سعيداني</w:t>
      </w:r>
      <w:r>
        <w:rPr>
          <w:rtl/>
          <w:lang w:bidi="ar-EG"/>
        </w:rPr>
        <w:tab/>
      </w:r>
      <w:r>
        <w:rPr>
          <w:rtl/>
          <w:lang w:bidi="ar-EG"/>
        </w:rPr>
        <w:br/>
        <w:t>إدارة الشؤون التنظيمية</w:t>
      </w:r>
      <w:r>
        <w:rPr>
          <w:rtl/>
          <w:lang w:bidi="ar-EG"/>
        </w:rPr>
        <w:tab/>
      </w:r>
      <w:r>
        <w:rPr>
          <w:rtl/>
          <w:lang w:bidi="ar-EG"/>
        </w:rPr>
        <w:br/>
        <w:t>والموارد المدارية/الطيفية</w:t>
      </w:r>
    </w:p>
    <w:sectPr w:rsidR="00B93F2E" w:rsidSect="00600AB8">
      <w:headerReference w:type="first" r:id="rId19"/>
      <w:footerReference w:type="first" r:id="rId20"/>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228" w:rsidRDefault="009D4228" w:rsidP="00E07379">
      <w:pPr>
        <w:spacing w:before="0" w:line="240" w:lineRule="auto"/>
      </w:pPr>
      <w:r>
        <w:separator/>
      </w:r>
    </w:p>
  </w:endnote>
  <w:endnote w:type="continuationSeparator" w:id="0">
    <w:p w:rsidR="009D4228" w:rsidRDefault="009D422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4A" w:rsidRDefault="00DC4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114"/>
      <w:gridCol w:w="1989"/>
      <w:gridCol w:w="2258"/>
    </w:tblGrid>
    <w:tr w:rsidR="00600AB8" w:rsidRPr="00600AB8" w:rsidTr="00600AB8">
      <w:tc>
        <w:tcPr>
          <w:tcW w:w="2268" w:type="dxa"/>
        </w:tcPr>
        <w:p w:rsidR="00600AB8" w:rsidRPr="00600AB8" w:rsidRDefault="00600AB8" w:rsidP="00600AB8">
          <w:pPr>
            <w:tabs>
              <w:tab w:val="center" w:pos="5103"/>
              <w:tab w:val="right" w:pos="9639"/>
            </w:tabs>
            <w:bidi w:val="0"/>
            <w:spacing w:before="160"/>
            <w:jc w:val="left"/>
            <w:rPr>
              <w:rFonts w:cs="Times New Roman"/>
              <w:b/>
              <w:bCs/>
              <w:color w:val="2E74B5" w:themeColor="accent1" w:themeShade="BF"/>
              <w:sz w:val="16"/>
              <w:szCs w:val="16"/>
              <w:lang w:bidi="ar-EG"/>
            </w:rPr>
          </w:pPr>
          <w:proofErr w:type="spellStart"/>
          <w:r w:rsidRPr="00600AB8">
            <w:rPr>
              <w:rFonts w:cs="Times New Roman"/>
              <w:b/>
              <w:bCs/>
              <w:color w:val="2E74B5" w:themeColor="accent1" w:themeShade="BF"/>
              <w:sz w:val="16"/>
              <w:szCs w:val="16"/>
            </w:rPr>
            <w:t>Agence</w:t>
          </w:r>
          <w:proofErr w:type="spellEnd"/>
          <w:r w:rsidRPr="00600AB8">
            <w:rPr>
              <w:rFonts w:cs="Times New Roman"/>
              <w:b/>
              <w:bCs/>
              <w:color w:val="2E74B5" w:themeColor="accent1" w:themeShade="BF"/>
              <w:sz w:val="16"/>
              <w:szCs w:val="16"/>
            </w:rPr>
            <w:t xml:space="preserve"> </w:t>
          </w:r>
          <w:proofErr w:type="spellStart"/>
          <w:r w:rsidRPr="00600AB8">
            <w:rPr>
              <w:rFonts w:cs="Times New Roman"/>
              <w:b/>
              <w:bCs/>
              <w:color w:val="2E74B5" w:themeColor="accent1" w:themeShade="BF"/>
              <w:sz w:val="16"/>
              <w:szCs w:val="16"/>
            </w:rPr>
            <w:t>nationale</w:t>
          </w:r>
          <w:proofErr w:type="spellEnd"/>
          <w:r w:rsidRPr="00600AB8">
            <w:rPr>
              <w:rFonts w:cs="Times New Roman"/>
              <w:b/>
              <w:bCs/>
              <w:color w:val="2E74B5" w:themeColor="accent1" w:themeShade="BF"/>
              <w:sz w:val="16"/>
              <w:szCs w:val="16"/>
            </w:rPr>
            <w:br/>
            <w:t xml:space="preserve">des </w:t>
          </w:r>
          <w:proofErr w:type="spellStart"/>
          <w:r w:rsidRPr="00600AB8">
            <w:rPr>
              <w:rFonts w:cs="Times New Roman"/>
              <w:b/>
              <w:bCs/>
              <w:color w:val="2E74B5" w:themeColor="accent1" w:themeShade="BF"/>
              <w:sz w:val="16"/>
              <w:szCs w:val="16"/>
            </w:rPr>
            <w:t>fr</w:t>
          </w:r>
          <w:proofErr w:type="spellEnd"/>
          <w:r w:rsidRPr="00600AB8">
            <w:rPr>
              <w:rFonts w:cs="Times New Roman"/>
              <w:b/>
              <w:bCs/>
              <w:color w:val="2E74B5" w:themeColor="accent1" w:themeShade="BF"/>
              <w:sz w:val="16"/>
              <w:szCs w:val="16"/>
              <w:lang w:val="fr-CH" w:bidi="ar-EG"/>
            </w:rPr>
            <w:t>é</w:t>
          </w:r>
          <w:proofErr w:type="spellStart"/>
          <w:r w:rsidRPr="00600AB8">
            <w:rPr>
              <w:rFonts w:cs="Times New Roman"/>
              <w:b/>
              <w:bCs/>
              <w:color w:val="2E74B5" w:themeColor="accent1" w:themeShade="BF"/>
              <w:sz w:val="16"/>
              <w:szCs w:val="16"/>
              <w:lang w:bidi="ar-EG"/>
            </w:rPr>
            <w:t>quences</w:t>
          </w:r>
          <w:proofErr w:type="spellEnd"/>
        </w:p>
      </w:tc>
      <w:tc>
        <w:tcPr>
          <w:tcW w:w="3114" w:type="dxa"/>
        </w:tcPr>
        <w:p w:rsidR="00600AB8" w:rsidRPr="00600AB8" w:rsidRDefault="00600AB8" w:rsidP="00600AB8">
          <w:pPr>
            <w:tabs>
              <w:tab w:val="center" w:pos="5103"/>
              <w:tab w:val="right" w:pos="9639"/>
            </w:tabs>
            <w:bidi w:val="0"/>
            <w:spacing w:before="160"/>
            <w:jc w:val="left"/>
            <w:rPr>
              <w:rFonts w:cs="Times New Roman"/>
              <w:color w:val="2E74B5" w:themeColor="accent1" w:themeShade="BF"/>
              <w:sz w:val="16"/>
              <w:szCs w:val="16"/>
              <w:lang w:val="fr-CH" w:bidi="ar-EG"/>
            </w:rPr>
          </w:pPr>
          <w:r w:rsidRPr="00600AB8">
            <w:rPr>
              <w:rFonts w:cs="Times New Roman"/>
              <w:color w:val="2E74B5" w:themeColor="accent1" w:themeShade="BF"/>
              <w:sz w:val="16"/>
              <w:szCs w:val="16"/>
              <w:lang w:val="fr-CH"/>
            </w:rPr>
            <w:t>78, avenue du G</w:t>
          </w:r>
          <w:r w:rsidRPr="00600AB8">
            <w:rPr>
              <w:rFonts w:cs="Times New Roman"/>
              <w:color w:val="2E74B5" w:themeColor="accent1" w:themeShade="BF"/>
              <w:sz w:val="16"/>
              <w:szCs w:val="16"/>
              <w:lang w:val="fr-CH" w:bidi="ar-EG"/>
            </w:rPr>
            <w:t>énéral de Gaulle</w:t>
          </w:r>
          <w:r w:rsidRPr="00600AB8">
            <w:rPr>
              <w:rFonts w:cs="Times New Roman"/>
              <w:color w:val="2E74B5" w:themeColor="accent1" w:themeShade="BF"/>
              <w:sz w:val="16"/>
              <w:szCs w:val="16"/>
              <w:lang w:val="fr-CH" w:bidi="ar-EG"/>
            </w:rPr>
            <w:br/>
            <w:t>94704 MAISONS-ALFORT Cedex France</w:t>
          </w:r>
        </w:p>
      </w:tc>
      <w:tc>
        <w:tcPr>
          <w:tcW w:w="1989" w:type="dxa"/>
        </w:tcPr>
        <w:p w:rsidR="00600AB8" w:rsidRPr="00600AB8" w:rsidRDefault="00600AB8" w:rsidP="00600AB8">
          <w:pPr>
            <w:tabs>
              <w:tab w:val="center" w:pos="5103"/>
              <w:tab w:val="right" w:pos="9639"/>
            </w:tabs>
            <w:bidi w:val="0"/>
            <w:spacing w:before="160"/>
            <w:jc w:val="left"/>
            <w:rPr>
              <w:rFonts w:cs="Times New Roman"/>
              <w:color w:val="2E74B5" w:themeColor="accent1" w:themeShade="BF"/>
              <w:sz w:val="16"/>
              <w:szCs w:val="16"/>
              <w:lang w:val="fr-CH"/>
            </w:rPr>
          </w:pPr>
          <w:r w:rsidRPr="00600AB8">
            <w:rPr>
              <w:rFonts w:cs="Times New Roman"/>
              <w:color w:val="2E74B5" w:themeColor="accent1" w:themeShade="BF"/>
              <w:sz w:val="16"/>
              <w:szCs w:val="16"/>
              <w:lang w:val="fr-CH"/>
            </w:rPr>
            <w:t>SIREN: 180 053 027</w:t>
          </w:r>
          <w:r w:rsidRPr="00600AB8">
            <w:rPr>
              <w:rFonts w:cs="Times New Roman"/>
              <w:color w:val="2E74B5" w:themeColor="accent1" w:themeShade="BF"/>
              <w:sz w:val="16"/>
              <w:szCs w:val="16"/>
              <w:lang w:val="fr-CH"/>
            </w:rPr>
            <w:br/>
            <w:t>Code APE: 8413Z</w:t>
          </w:r>
        </w:p>
      </w:tc>
      <w:tc>
        <w:tcPr>
          <w:tcW w:w="2258" w:type="dxa"/>
        </w:tcPr>
        <w:p w:rsidR="00600AB8" w:rsidRPr="00600AB8" w:rsidRDefault="00600AB8" w:rsidP="00600AB8">
          <w:pPr>
            <w:tabs>
              <w:tab w:val="center" w:pos="5103"/>
              <w:tab w:val="right" w:pos="9639"/>
            </w:tabs>
            <w:bidi w:val="0"/>
            <w:spacing w:before="160"/>
            <w:jc w:val="left"/>
            <w:rPr>
              <w:rFonts w:cs="Times New Roman"/>
              <w:color w:val="2E74B5" w:themeColor="accent1" w:themeShade="BF"/>
              <w:sz w:val="16"/>
              <w:szCs w:val="16"/>
              <w:lang w:val="fr-CH"/>
            </w:rPr>
          </w:pPr>
          <w:r w:rsidRPr="00600AB8">
            <w:rPr>
              <w:rFonts w:cs="Times New Roman"/>
              <w:color w:val="2E74B5" w:themeColor="accent1" w:themeShade="BF"/>
              <w:sz w:val="16"/>
              <w:szCs w:val="16"/>
              <w:lang w:val="fr-CH"/>
            </w:rPr>
            <w:t>Tel +33 (0)1 45 18 72 72</w:t>
          </w:r>
          <w:r w:rsidRPr="00600AB8">
            <w:rPr>
              <w:rFonts w:cs="Times New Roman"/>
              <w:color w:val="2E74B5" w:themeColor="accent1" w:themeShade="BF"/>
              <w:sz w:val="16"/>
              <w:szCs w:val="16"/>
              <w:lang w:val="fr-CH"/>
            </w:rPr>
            <w:br/>
          </w:r>
          <w:r w:rsidRPr="00F21A67">
            <w:rPr>
              <w:rFonts w:cs="Times New Roman"/>
              <w:b/>
              <w:bCs/>
              <w:color w:val="2E74B5" w:themeColor="accent1" w:themeShade="BF"/>
              <w:sz w:val="16"/>
              <w:szCs w:val="16"/>
              <w:lang w:val="fr-CH"/>
            </w:rPr>
            <w:t>www.anfr.fr</w:t>
          </w:r>
        </w:p>
      </w:tc>
    </w:tr>
  </w:tbl>
  <w:p w:rsidR="00B77D7C" w:rsidRPr="00B77D7C" w:rsidRDefault="00B77D7C" w:rsidP="00DC4A4A">
    <w:pPr>
      <w:tabs>
        <w:tab w:val="center" w:pos="5103"/>
        <w:tab w:val="right" w:pos="9639"/>
      </w:tabs>
      <w:bidi w:val="0"/>
      <w:spacing w:before="160"/>
      <w:rPr>
        <w:rFonts w:cs="Times New Roman"/>
        <w:sz w:val="16"/>
        <w:szCs w:val="16"/>
      </w:rPr>
    </w:pPr>
    <w:r w:rsidRPr="00E73A1B">
      <w:rPr>
        <w:rFonts w:cs="Times New Roman"/>
        <w:sz w:val="16"/>
        <w:szCs w:val="16"/>
      </w:rPr>
      <w:t xml:space="preserve"> (</w:t>
    </w:r>
    <w:r w:rsidR="00600AB8" w:rsidRPr="00E73A1B">
      <w:rPr>
        <w:rFonts w:cs="Times New Roman"/>
        <w:sz w:val="16"/>
        <w:szCs w:val="16"/>
      </w:rPr>
      <w:t>447783</w:t>
    </w:r>
    <w:r w:rsidRPr="00E73A1B">
      <w:rPr>
        <w:rFonts w:cs="Times New Roman"/>
        <w:sz w:val="16"/>
        <w:szCs w:val="16"/>
      </w:rPr>
      <w:t>)</w:t>
    </w:r>
    <w:r w:rsidRPr="00E73A1B">
      <w:rPr>
        <w:rFonts w:cs="Times New Roman"/>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DC4A4A">
    <w:pPr>
      <w:tabs>
        <w:tab w:val="center" w:pos="5103"/>
        <w:tab w:val="right" w:pos="9639"/>
      </w:tabs>
      <w:bidi w:val="0"/>
      <w:spacing w:before="160"/>
      <w:rPr>
        <w:rFonts w:cs="Times New Roman"/>
        <w:sz w:val="16"/>
        <w:szCs w:val="16"/>
      </w:rPr>
    </w:pPr>
    <w:r w:rsidRPr="00B77D7C">
      <w:rPr>
        <w:rFonts w:cs="Times New Roman"/>
        <w:sz w:val="16"/>
        <w:szCs w:val="16"/>
      </w:rPr>
      <w:t xml:space="preserve"> (</w:t>
    </w:r>
    <w:r w:rsidR="00600AB8">
      <w:rPr>
        <w:rFonts w:cs="Times New Roman"/>
        <w:sz w:val="16"/>
        <w:szCs w:val="16"/>
      </w:rPr>
      <w:t>447783</w:t>
    </w:r>
    <w:r w:rsidRPr="00B77D7C">
      <w:rPr>
        <w:rFonts w:cs="Times New Roman"/>
        <w:sz w:val="16"/>
        <w:szCs w:val="16"/>
      </w:rPr>
      <w:t>)</w:t>
    </w:r>
    <w:r w:rsidRPr="00B77D7C">
      <w:rPr>
        <w:rFonts w:cs="Times New Roman"/>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114"/>
      <w:gridCol w:w="1989"/>
      <w:gridCol w:w="2258"/>
    </w:tblGrid>
    <w:tr w:rsidR="00F21A67" w:rsidRPr="00600AB8" w:rsidTr="00376B88">
      <w:tc>
        <w:tcPr>
          <w:tcW w:w="2268" w:type="dxa"/>
        </w:tcPr>
        <w:p w:rsidR="00F21A67" w:rsidRPr="00600AB8" w:rsidRDefault="00F21A67" w:rsidP="00F21A67">
          <w:pPr>
            <w:tabs>
              <w:tab w:val="center" w:pos="5103"/>
              <w:tab w:val="right" w:pos="9639"/>
            </w:tabs>
            <w:bidi w:val="0"/>
            <w:spacing w:before="160"/>
            <w:jc w:val="left"/>
            <w:rPr>
              <w:rFonts w:cs="Times New Roman"/>
              <w:b/>
              <w:bCs/>
              <w:color w:val="2E74B5" w:themeColor="accent1" w:themeShade="BF"/>
              <w:sz w:val="16"/>
              <w:szCs w:val="16"/>
              <w:lang w:bidi="ar-EG"/>
            </w:rPr>
          </w:pPr>
          <w:proofErr w:type="spellStart"/>
          <w:r w:rsidRPr="00600AB8">
            <w:rPr>
              <w:rFonts w:cs="Times New Roman"/>
              <w:b/>
              <w:bCs/>
              <w:color w:val="2E74B5" w:themeColor="accent1" w:themeShade="BF"/>
              <w:sz w:val="16"/>
              <w:szCs w:val="16"/>
            </w:rPr>
            <w:t>Agence</w:t>
          </w:r>
          <w:proofErr w:type="spellEnd"/>
          <w:r w:rsidRPr="00600AB8">
            <w:rPr>
              <w:rFonts w:cs="Times New Roman"/>
              <w:b/>
              <w:bCs/>
              <w:color w:val="2E74B5" w:themeColor="accent1" w:themeShade="BF"/>
              <w:sz w:val="16"/>
              <w:szCs w:val="16"/>
            </w:rPr>
            <w:t xml:space="preserve"> </w:t>
          </w:r>
          <w:proofErr w:type="spellStart"/>
          <w:r w:rsidRPr="00600AB8">
            <w:rPr>
              <w:rFonts w:cs="Times New Roman"/>
              <w:b/>
              <w:bCs/>
              <w:color w:val="2E74B5" w:themeColor="accent1" w:themeShade="BF"/>
              <w:sz w:val="16"/>
              <w:szCs w:val="16"/>
            </w:rPr>
            <w:t>nationale</w:t>
          </w:r>
          <w:proofErr w:type="spellEnd"/>
          <w:r w:rsidRPr="00600AB8">
            <w:rPr>
              <w:rFonts w:cs="Times New Roman"/>
              <w:b/>
              <w:bCs/>
              <w:color w:val="2E74B5" w:themeColor="accent1" w:themeShade="BF"/>
              <w:sz w:val="16"/>
              <w:szCs w:val="16"/>
            </w:rPr>
            <w:br/>
            <w:t xml:space="preserve">des </w:t>
          </w:r>
          <w:proofErr w:type="spellStart"/>
          <w:r w:rsidRPr="00600AB8">
            <w:rPr>
              <w:rFonts w:cs="Times New Roman"/>
              <w:b/>
              <w:bCs/>
              <w:color w:val="2E74B5" w:themeColor="accent1" w:themeShade="BF"/>
              <w:sz w:val="16"/>
              <w:szCs w:val="16"/>
            </w:rPr>
            <w:t>fr</w:t>
          </w:r>
          <w:proofErr w:type="spellEnd"/>
          <w:r w:rsidRPr="00600AB8">
            <w:rPr>
              <w:rFonts w:cs="Times New Roman"/>
              <w:b/>
              <w:bCs/>
              <w:color w:val="2E74B5" w:themeColor="accent1" w:themeShade="BF"/>
              <w:sz w:val="16"/>
              <w:szCs w:val="16"/>
              <w:lang w:val="fr-CH" w:bidi="ar-EG"/>
            </w:rPr>
            <w:t>é</w:t>
          </w:r>
          <w:proofErr w:type="spellStart"/>
          <w:r w:rsidRPr="00600AB8">
            <w:rPr>
              <w:rFonts w:cs="Times New Roman"/>
              <w:b/>
              <w:bCs/>
              <w:color w:val="2E74B5" w:themeColor="accent1" w:themeShade="BF"/>
              <w:sz w:val="16"/>
              <w:szCs w:val="16"/>
              <w:lang w:bidi="ar-EG"/>
            </w:rPr>
            <w:t>quences</w:t>
          </w:r>
          <w:proofErr w:type="spellEnd"/>
        </w:p>
      </w:tc>
      <w:tc>
        <w:tcPr>
          <w:tcW w:w="3114" w:type="dxa"/>
        </w:tcPr>
        <w:p w:rsidR="00F21A67" w:rsidRPr="00600AB8" w:rsidRDefault="00F21A67" w:rsidP="00F21A67">
          <w:pPr>
            <w:tabs>
              <w:tab w:val="center" w:pos="5103"/>
              <w:tab w:val="right" w:pos="9639"/>
            </w:tabs>
            <w:bidi w:val="0"/>
            <w:spacing w:before="160"/>
            <w:jc w:val="left"/>
            <w:rPr>
              <w:rFonts w:cs="Times New Roman"/>
              <w:color w:val="2E74B5" w:themeColor="accent1" w:themeShade="BF"/>
              <w:sz w:val="16"/>
              <w:szCs w:val="16"/>
              <w:lang w:val="fr-CH" w:bidi="ar-EG"/>
            </w:rPr>
          </w:pPr>
          <w:r w:rsidRPr="00600AB8">
            <w:rPr>
              <w:rFonts w:cs="Times New Roman"/>
              <w:color w:val="2E74B5" w:themeColor="accent1" w:themeShade="BF"/>
              <w:sz w:val="16"/>
              <w:szCs w:val="16"/>
              <w:lang w:val="fr-CH"/>
            </w:rPr>
            <w:t>78, avenue du G</w:t>
          </w:r>
          <w:r w:rsidRPr="00600AB8">
            <w:rPr>
              <w:rFonts w:cs="Times New Roman"/>
              <w:color w:val="2E74B5" w:themeColor="accent1" w:themeShade="BF"/>
              <w:sz w:val="16"/>
              <w:szCs w:val="16"/>
              <w:lang w:val="fr-CH" w:bidi="ar-EG"/>
            </w:rPr>
            <w:t>énéral de Gaulle</w:t>
          </w:r>
          <w:r w:rsidRPr="00600AB8">
            <w:rPr>
              <w:rFonts w:cs="Times New Roman"/>
              <w:color w:val="2E74B5" w:themeColor="accent1" w:themeShade="BF"/>
              <w:sz w:val="16"/>
              <w:szCs w:val="16"/>
              <w:lang w:val="fr-CH" w:bidi="ar-EG"/>
            </w:rPr>
            <w:br/>
            <w:t>94704 MAISONS-ALFORT Cedex France</w:t>
          </w:r>
        </w:p>
      </w:tc>
      <w:tc>
        <w:tcPr>
          <w:tcW w:w="1989" w:type="dxa"/>
        </w:tcPr>
        <w:p w:rsidR="00F21A67" w:rsidRPr="00600AB8" w:rsidRDefault="00F21A67" w:rsidP="00F21A67">
          <w:pPr>
            <w:tabs>
              <w:tab w:val="center" w:pos="5103"/>
              <w:tab w:val="right" w:pos="9639"/>
            </w:tabs>
            <w:bidi w:val="0"/>
            <w:spacing w:before="160"/>
            <w:jc w:val="left"/>
            <w:rPr>
              <w:rFonts w:cs="Times New Roman"/>
              <w:color w:val="2E74B5" w:themeColor="accent1" w:themeShade="BF"/>
              <w:sz w:val="16"/>
              <w:szCs w:val="16"/>
              <w:lang w:val="fr-CH"/>
            </w:rPr>
          </w:pPr>
          <w:r w:rsidRPr="00600AB8">
            <w:rPr>
              <w:rFonts w:cs="Times New Roman"/>
              <w:color w:val="2E74B5" w:themeColor="accent1" w:themeShade="BF"/>
              <w:sz w:val="16"/>
              <w:szCs w:val="16"/>
              <w:lang w:val="fr-CH"/>
            </w:rPr>
            <w:t>SIREN: 180 053 027</w:t>
          </w:r>
          <w:r w:rsidRPr="00600AB8">
            <w:rPr>
              <w:rFonts w:cs="Times New Roman"/>
              <w:color w:val="2E74B5" w:themeColor="accent1" w:themeShade="BF"/>
              <w:sz w:val="16"/>
              <w:szCs w:val="16"/>
              <w:lang w:val="fr-CH"/>
            </w:rPr>
            <w:br/>
            <w:t>Code APE: 8413Z</w:t>
          </w:r>
        </w:p>
      </w:tc>
      <w:tc>
        <w:tcPr>
          <w:tcW w:w="2258" w:type="dxa"/>
        </w:tcPr>
        <w:p w:rsidR="00F21A67" w:rsidRPr="00600AB8" w:rsidRDefault="00F21A67" w:rsidP="00F21A67">
          <w:pPr>
            <w:tabs>
              <w:tab w:val="center" w:pos="5103"/>
              <w:tab w:val="right" w:pos="9639"/>
            </w:tabs>
            <w:bidi w:val="0"/>
            <w:spacing w:before="160"/>
            <w:jc w:val="left"/>
            <w:rPr>
              <w:rFonts w:cs="Times New Roman"/>
              <w:color w:val="2E74B5" w:themeColor="accent1" w:themeShade="BF"/>
              <w:sz w:val="16"/>
              <w:szCs w:val="16"/>
              <w:lang w:val="fr-CH"/>
            </w:rPr>
          </w:pPr>
          <w:r w:rsidRPr="00600AB8">
            <w:rPr>
              <w:rFonts w:cs="Times New Roman"/>
              <w:color w:val="2E74B5" w:themeColor="accent1" w:themeShade="BF"/>
              <w:sz w:val="16"/>
              <w:szCs w:val="16"/>
              <w:lang w:val="fr-CH"/>
            </w:rPr>
            <w:t>Tel +33 (0)1 45 18 72 72</w:t>
          </w:r>
          <w:r w:rsidRPr="00600AB8">
            <w:rPr>
              <w:rFonts w:cs="Times New Roman"/>
              <w:color w:val="2E74B5" w:themeColor="accent1" w:themeShade="BF"/>
              <w:sz w:val="16"/>
              <w:szCs w:val="16"/>
              <w:lang w:val="fr-CH"/>
            </w:rPr>
            <w:br/>
          </w:r>
          <w:r w:rsidRPr="00F21A67">
            <w:rPr>
              <w:rFonts w:cs="Times New Roman"/>
              <w:b/>
              <w:bCs/>
              <w:color w:val="2E74B5" w:themeColor="accent1" w:themeShade="BF"/>
              <w:sz w:val="16"/>
              <w:szCs w:val="16"/>
              <w:lang w:val="fr-CH"/>
            </w:rPr>
            <w:t>www.anfr.fr</w:t>
          </w:r>
        </w:p>
      </w:tc>
    </w:tr>
  </w:tbl>
  <w:p w:rsidR="00F21A67" w:rsidRPr="00B77D7C" w:rsidRDefault="00F21A67" w:rsidP="00DC4A4A">
    <w:pPr>
      <w:tabs>
        <w:tab w:val="center" w:pos="5103"/>
        <w:tab w:val="right" w:pos="9639"/>
      </w:tabs>
      <w:bidi w:val="0"/>
      <w:spacing w:before="160"/>
      <w:rPr>
        <w:rFonts w:cs="Times New Roman"/>
        <w:sz w:val="16"/>
        <w:szCs w:val="16"/>
      </w:rPr>
    </w:pPr>
    <w:r w:rsidRPr="00B77D7C">
      <w:rPr>
        <w:rFonts w:cs="Times New Roman"/>
        <w:sz w:val="16"/>
        <w:szCs w:val="16"/>
      </w:rPr>
      <w:t xml:space="preserve">   (</w:t>
    </w:r>
    <w:r>
      <w:rPr>
        <w:rFonts w:cs="Times New Roman"/>
        <w:sz w:val="16"/>
        <w:szCs w:val="16"/>
      </w:rPr>
      <w:t>447783</w:t>
    </w:r>
    <w:r w:rsidRPr="00B77D7C">
      <w:rPr>
        <w:rFonts w:cs="Times New Roman"/>
        <w:sz w:val="16"/>
        <w:szCs w:val="16"/>
      </w:rPr>
      <w:t>)</w:t>
    </w:r>
    <w:r w:rsidRPr="00B77D7C">
      <w:rPr>
        <w:rFonts w:cs="Times New Roman"/>
        <w:sz w:val="16"/>
        <w:szCs w:val="16"/>
      </w:rPr>
      <w:tab/>
    </w: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228" w:rsidRDefault="009D4228" w:rsidP="00E07379">
      <w:pPr>
        <w:spacing w:before="0" w:line="240" w:lineRule="auto"/>
      </w:pPr>
      <w:r>
        <w:separator/>
      </w:r>
    </w:p>
  </w:footnote>
  <w:footnote w:type="continuationSeparator" w:id="0">
    <w:p w:rsidR="009D4228" w:rsidRDefault="009D422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4A" w:rsidRDefault="00DC4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B93F2E">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DC4A4A">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942225">
      <w:rPr>
        <w:rFonts w:eastAsiaTheme="minorEastAsia" w:cs="Calibri"/>
        <w:sz w:val="20"/>
        <w:szCs w:val="20"/>
        <w:lang w:val="en-GB" w:eastAsia="zh-CN"/>
      </w:rPr>
      <w:t>RB</w:t>
    </w:r>
    <w:r w:rsidRPr="00034CD2">
      <w:rPr>
        <w:rFonts w:eastAsiaTheme="minorEastAsia" w:cs="Calibri"/>
        <w:sz w:val="20"/>
        <w:szCs w:val="20"/>
        <w:lang w:val="en-GB" w:eastAsia="zh-CN"/>
      </w:rPr>
      <w:t>1</w:t>
    </w:r>
    <w:r w:rsidR="00A50296">
      <w:rPr>
        <w:rFonts w:eastAsiaTheme="minorEastAsia" w:cs="Calibri"/>
        <w:sz w:val="20"/>
        <w:szCs w:val="20"/>
        <w:lang w:val="en-GB" w:eastAsia="zh-CN"/>
      </w:rPr>
      <w:t>8</w:t>
    </w:r>
    <w:r w:rsidR="00B77D7C">
      <w:rPr>
        <w:rFonts w:eastAsiaTheme="minorEastAsia" w:cs="Calibri"/>
        <w:sz w:val="20"/>
        <w:szCs w:val="20"/>
        <w:lang w:val="en-GB" w:eastAsia="zh-CN"/>
      </w:rPr>
      <w:t>-</w:t>
    </w:r>
    <w:r w:rsidR="00E82D1A">
      <w:rPr>
        <w:rFonts w:eastAsiaTheme="minorEastAsia" w:cs="Calibri"/>
        <w:sz w:val="20"/>
        <w:szCs w:val="20"/>
        <w:lang w:val="en-GB" w:eastAsia="zh-CN"/>
      </w:rPr>
      <w:t>3</w:t>
    </w:r>
    <w:r w:rsidRPr="00034CD2">
      <w:rPr>
        <w:rFonts w:eastAsiaTheme="minorEastAsia" w:cs="Calibri"/>
        <w:sz w:val="20"/>
        <w:szCs w:val="20"/>
        <w:lang w:val="en-GB" w:eastAsia="zh-CN"/>
      </w:rPr>
      <w:t>/</w:t>
    </w:r>
    <w:r w:rsidR="00B93F2E" w:rsidRPr="00B93F2E">
      <w:rPr>
        <w:rFonts w:eastAsiaTheme="minorEastAsia" w:cs="Calibri"/>
        <w:sz w:val="20"/>
        <w:szCs w:val="20"/>
        <w:lang w:val="en-GB" w:eastAsia="zh-CN"/>
      </w:rPr>
      <w:t>DELAYED</w:t>
    </w:r>
    <w:r w:rsidR="00B93F2E">
      <w:rPr>
        <w:rFonts w:eastAsiaTheme="minorEastAsia" w:cs="Calibri"/>
        <w:sz w:val="20"/>
        <w:szCs w:val="20"/>
        <w:lang w:eastAsia="zh-CN"/>
      </w:rPr>
      <w:t>/</w:t>
    </w:r>
    <w:r w:rsidR="00B93F2E">
      <w:rPr>
        <w:rFonts w:eastAsiaTheme="minorEastAsia" w:cs="Calibri"/>
        <w:sz w:val="20"/>
        <w:szCs w:val="20"/>
        <w:lang w:val="en-GB" w:eastAsia="zh-CN"/>
      </w:rPr>
      <w:t>6</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4A" w:rsidRDefault="00DC4A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AB8" w:rsidRDefault="00600AB8" w:rsidP="008E3F88">
    <w:pPr>
      <w:pStyle w:val="Header"/>
      <w:bidi w:val="0"/>
      <w:jc w:val="cente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DC4A4A">
      <w:rPr>
        <w:rFonts w:eastAsiaTheme="minorEastAsia" w:cs="Calibri"/>
        <w:noProof/>
        <w:sz w:val="20"/>
        <w:szCs w:val="20"/>
        <w:lang w:val="en-GB" w:eastAsia="zh-CN"/>
      </w:rPr>
      <w:t>3</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8-3</w:t>
    </w:r>
    <w:r w:rsidRPr="00034CD2">
      <w:rPr>
        <w:rFonts w:eastAsiaTheme="minorEastAsia" w:cs="Calibri"/>
        <w:sz w:val="20"/>
        <w:szCs w:val="20"/>
        <w:lang w:val="en-GB" w:eastAsia="zh-CN"/>
      </w:rPr>
      <w:t>/</w:t>
    </w:r>
    <w:r w:rsidRPr="00B93F2E">
      <w:rPr>
        <w:rFonts w:eastAsiaTheme="minorEastAsia" w:cs="Calibri"/>
        <w:sz w:val="20"/>
        <w:szCs w:val="20"/>
        <w:lang w:val="en-GB" w:eastAsia="zh-CN"/>
      </w:rPr>
      <w:t>DELAYED</w:t>
    </w:r>
    <w:r>
      <w:rPr>
        <w:rFonts w:eastAsiaTheme="minorEastAsia" w:cs="Calibri"/>
        <w:sz w:val="20"/>
        <w:szCs w:val="20"/>
        <w:lang w:eastAsia="zh-CN"/>
      </w:rPr>
      <w:t>/</w:t>
    </w:r>
    <w:r>
      <w:rPr>
        <w:rFonts w:eastAsiaTheme="minorEastAsia" w:cs="Calibri"/>
        <w:sz w:val="20"/>
        <w:szCs w:val="20"/>
        <w:lang w:val="en-GB" w:eastAsia="zh-CN"/>
      </w:rPr>
      <w:t>6</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2E"/>
    <w:rsid w:val="000124CC"/>
    <w:rsid w:val="000267D6"/>
    <w:rsid w:val="0002766A"/>
    <w:rsid w:val="00034CD2"/>
    <w:rsid w:val="00041F8B"/>
    <w:rsid w:val="00046444"/>
    <w:rsid w:val="0006023B"/>
    <w:rsid w:val="00075918"/>
    <w:rsid w:val="0008638B"/>
    <w:rsid w:val="00090574"/>
    <w:rsid w:val="00092FC2"/>
    <w:rsid w:val="000A1677"/>
    <w:rsid w:val="000B407F"/>
    <w:rsid w:val="000C13C2"/>
    <w:rsid w:val="000F0B1C"/>
    <w:rsid w:val="000F1D42"/>
    <w:rsid w:val="000F4D07"/>
    <w:rsid w:val="00102A03"/>
    <w:rsid w:val="001040A3"/>
    <w:rsid w:val="00151242"/>
    <w:rsid w:val="00173915"/>
    <w:rsid w:val="0022345D"/>
    <w:rsid w:val="00225854"/>
    <w:rsid w:val="0023283D"/>
    <w:rsid w:val="00252E0C"/>
    <w:rsid w:val="00261FED"/>
    <w:rsid w:val="00276881"/>
    <w:rsid w:val="002916BE"/>
    <w:rsid w:val="002967E1"/>
    <w:rsid w:val="002978F4"/>
    <w:rsid w:val="002B028D"/>
    <w:rsid w:val="002B435E"/>
    <w:rsid w:val="002C4DAE"/>
    <w:rsid w:val="002D6669"/>
    <w:rsid w:val="002E6541"/>
    <w:rsid w:val="002F5560"/>
    <w:rsid w:val="0030486B"/>
    <w:rsid w:val="003231B9"/>
    <w:rsid w:val="003275AC"/>
    <w:rsid w:val="00333D29"/>
    <w:rsid w:val="003409F4"/>
    <w:rsid w:val="00345FAE"/>
    <w:rsid w:val="00357185"/>
    <w:rsid w:val="00397DD0"/>
    <w:rsid w:val="003A5B91"/>
    <w:rsid w:val="003C475F"/>
    <w:rsid w:val="003E4132"/>
    <w:rsid w:val="003E7E4E"/>
    <w:rsid w:val="003F54BC"/>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A671F"/>
    <w:rsid w:val="005B7B8A"/>
    <w:rsid w:val="005D6476"/>
    <w:rsid w:val="005D6C0D"/>
    <w:rsid w:val="005E5283"/>
    <w:rsid w:val="005E58F5"/>
    <w:rsid w:val="00600AB8"/>
    <w:rsid w:val="00606660"/>
    <w:rsid w:val="006157A3"/>
    <w:rsid w:val="00620E60"/>
    <w:rsid w:val="0063315A"/>
    <w:rsid w:val="0065591D"/>
    <w:rsid w:val="00662C5A"/>
    <w:rsid w:val="00670AF5"/>
    <w:rsid w:val="006B7D54"/>
    <w:rsid w:val="006C1556"/>
    <w:rsid w:val="006D4E7E"/>
    <w:rsid w:val="006F267F"/>
    <w:rsid w:val="006F63F7"/>
    <w:rsid w:val="006F6F03"/>
    <w:rsid w:val="00706D7A"/>
    <w:rsid w:val="00726AEC"/>
    <w:rsid w:val="00742C01"/>
    <w:rsid w:val="007530CA"/>
    <w:rsid w:val="0079553D"/>
    <w:rsid w:val="007A6612"/>
    <w:rsid w:val="007B01CC"/>
    <w:rsid w:val="007D772D"/>
    <w:rsid w:val="007E7C6C"/>
    <w:rsid w:val="007F6238"/>
    <w:rsid w:val="007F646C"/>
    <w:rsid w:val="00801FCD"/>
    <w:rsid w:val="00803D7E"/>
    <w:rsid w:val="00803F08"/>
    <w:rsid w:val="008235CD"/>
    <w:rsid w:val="00823A07"/>
    <w:rsid w:val="00835FEC"/>
    <w:rsid w:val="008513CB"/>
    <w:rsid w:val="00874D9C"/>
    <w:rsid w:val="008A1810"/>
    <w:rsid w:val="008B5B5D"/>
    <w:rsid w:val="008E3F88"/>
    <w:rsid w:val="00917694"/>
    <w:rsid w:val="009263CD"/>
    <w:rsid w:val="00930E6D"/>
    <w:rsid w:val="00942225"/>
    <w:rsid w:val="00972CA2"/>
    <w:rsid w:val="00982B28"/>
    <w:rsid w:val="00984EA5"/>
    <w:rsid w:val="009904BF"/>
    <w:rsid w:val="00992593"/>
    <w:rsid w:val="009C17E1"/>
    <w:rsid w:val="009C35ED"/>
    <w:rsid w:val="009D4228"/>
    <w:rsid w:val="009F1C12"/>
    <w:rsid w:val="00A124CB"/>
    <w:rsid w:val="00A2167A"/>
    <w:rsid w:val="00A25A43"/>
    <w:rsid w:val="00A3295B"/>
    <w:rsid w:val="00A42AE5"/>
    <w:rsid w:val="00A50296"/>
    <w:rsid w:val="00A52B61"/>
    <w:rsid w:val="00A64820"/>
    <w:rsid w:val="00A71DD6"/>
    <w:rsid w:val="00A723C7"/>
    <w:rsid w:val="00A80E11"/>
    <w:rsid w:val="00A961E9"/>
    <w:rsid w:val="00A97F94"/>
    <w:rsid w:val="00AB1309"/>
    <w:rsid w:val="00AC2C52"/>
    <w:rsid w:val="00AD1503"/>
    <w:rsid w:val="00AE7244"/>
    <w:rsid w:val="00AF3FEE"/>
    <w:rsid w:val="00B02F46"/>
    <w:rsid w:val="00B10C10"/>
    <w:rsid w:val="00B17E57"/>
    <w:rsid w:val="00B2000C"/>
    <w:rsid w:val="00B20ADE"/>
    <w:rsid w:val="00B30303"/>
    <w:rsid w:val="00B50C09"/>
    <w:rsid w:val="00B66B9A"/>
    <w:rsid w:val="00B73768"/>
    <w:rsid w:val="00B77D7C"/>
    <w:rsid w:val="00B82089"/>
    <w:rsid w:val="00B823E0"/>
    <w:rsid w:val="00B93F2E"/>
    <w:rsid w:val="00B970AE"/>
    <w:rsid w:val="00BA1427"/>
    <w:rsid w:val="00BE49D0"/>
    <w:rsid w:val="00BF2C38"/>
    <w:rsid w:val="00BF3127"/>
    <w:rsid w:val="00C23331"/>
    <w:rsid w:val="00C265DA"/>
    <w:rsid w:val="00C442F2"/>
    <w:rsid w:val="00C674FE"/>
    <w:rsid w:val="00C7297D"/>
    <w:rsid w:val="00C75633"/>
    <w:rsid w:val="00C8242D"/>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878F5"/>
    <w:rsid w:val="00DA1CF0"/>
    <w:rsid w:val="00DB2271"/>
    <w:rsid w:val="00DB5659"/>
    <w:rsid w:val="00DC24B4"/>
    <w:rsid w:val="00DC4A4A"/>
    <w:rsid w:val="00DD7A05"/>
    <w:rsid w:val="00DF16DC"/>
    <w:rsid w:val="00DF5361"/>
    <w:rsid w:val="00E009A1"/>
    <w:rsid w:val="00E00D15"/>
    <w:rsid w:val="00E071BE"/>
    <w:rsid w:val="00E07379"/>
    <w:rsid w:val="00E14494"/>
    <w:rsid w:val="00E17033"/>
    <w:rsid w:val="00E22744"/>
    <w:rsid w:val="00E32189"/>
    <w:rsid w:val="00E45211"/>
    <w:rsid w:val="00E61190"/>
    <w:rsid w:val="00E7380C"/>
    <w:rsid w:val="00E73A1B"/>
    <w:rsid w:val="00E74BE7"/>
    <w:rsid w:val="00E82D1A"/>
    <w:rsid w:val="00E86CC9"/>
    <w:rsid w:val="00E96624"/>
    <w:rsid w:val="00EE334C"/>
    <w:rsid w:val="00F126F1"/>
    <w:rsid w:val="00F2106A"/>
    <w:rsid w:val="00F21A67"/>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0C6FCD5-FB00-4985-A14C-ACC33CF7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60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8-RRB18.3-C-0012/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documentManagement/types"/>
    <ds:schemaRef ds:uri="de10a323-94a9-4e93-88b4-ea964576960d"/>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A95DD-01A6-4460-BEBF-FD4BCE95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Gozal, Karine</cp:lastModifiedBy>
  <cp:revision>2</cp:revision>
  <cp:lastPrinted>2018-11-27T14:29:00Z</cp:lastPrinted>
  <dcterms:created xsi:type="dcterms:W3CDTF">2018-11-28T08:16:00Z</dcterms:created>
  <dcterms:modified xsi:type="dcterms:W3CDTF">2018-11-28T08:16:00Z</dcterms:modified>
  <cp:category>Conference document</cp:category>
</cp:coreProperties>
</file>