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73"/>
        <w:tblW w:w="10066" w:type="dxa"/>
        <w:tblLayout w:type="fixed"/>
        <w:tblLook w:val="0000" w:firstRow="0" w:lastRow="0" w:firstColumn="0" w:lastColumn="0" w:noHBand="0" w:noVBand="0"/>
      </w:tblPr>
      <w:tblGrid>
        <w:gridCol w:w="5670"/>
        <w:gridCol w:w="4363"/>
        <w:gridCol w:w="33"/>
      </w:tblGrid>
      <w:tr w:rsidR="00C16E44" w:rsidRPr="00A613F6" w:rsidTr="005540A5">
        <w:trPr>
          <w:cantSplit/>
        </w:trPr>
        <w:tc>
          <w:tcPr>
            <w:tcW w:w="5670" w:type="dxa"/>
            <w:vAlign w:val="center"/>
          </w:tcPr>
          <w:p w:rsidR="00C16E44" w:rsidRPr="00A613F6" w:rsidRDefault="00C16E44" w:rsidP="00C16E44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b/>
                <w:caps/>
                <w:sz w:val="32"/>
              </w:rPr>
            </w:pPr>
            <w:r w:rsidRPr="00A613F6">
              <w:rPr>
                <w:rFonts w:ascii="Verdana" w:hAnsi="Verdana" w:cs="Times New Roman Bold"/>
                <w:b/>
                <w:sz w:val="26"/>
                <w:szCs w:val="26"/>
              </w:rPr>
              <w:t xml:space="preserve">Junta del Reglamento de </w:t>
            </w:r>
            <w:r w:rsidRPr="00A613F6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Radiocomunicaciones</w:t>
            </w:r>
            <w:r w:rsidRPr="00A613F6">
              <w:rPr>
                <w:b/>
                <w:caps/>
                <w:sz w:val="32"/>
              </w:rPr>
              <w:t xml:space="preserve"> </w:t>
            </w:r>
          </w:p>
          <w:p w:rsidR="00C16E44" w:rsidRPr="00A613F6" w:rsidRDefault="00C16E44" w:rsidP="00936A49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560"/>
              </w:tabs>
              <w:spacing w:before="0"/>
              <w:rPr>
                <w:rFonts w:ascii="Verdana" w:hAnsi="Verdana"/>
                <w:b/>
                <w:bCs/>
              </w:rPr>
            </w:pPr>
            <w:r w:rsidRPr="00A613F6">
              <w:rPr>
                <w:rFonts w:ascii="Verdana" w:hAnsi="Verdana" w:cs="Times New Roman Bold"/>
                <w:b/>
                <w:sz w:val="20"/>
              </w:rPr>
              <w:t xml:space="preserve">Ginebra, </w:t>
            </w:r>
            <w:r w:rsidR="003A2F75" w:rsidRPr="00A613F6">
              <w:rPr>
                <w:rFonts w:ascii="Verdana" w:hAnsi="Verdana" w:cs="Times New Roman Bold"/>
                <w:b/>
                <w:sz w:val="20"/>
              </w:rPr>
              <w:t>1</w:t>
            </w:r>
            <w:r w:rsidR="00936A49" w:rsidRPr="00A613F6">
              <w:rPr>
                <w:rFonts w:ascii="Verdana" w:hAnsi="Verdana" w:cs="Times New Roman Bold"/>
                <w:b/>
                <w:sz w:val="20"/>
              </w:rPr>
              <w:t>6</w:t>
            </w:r>
            <w:r w:rsidRPr="00A613F6">
              <w:rPr>
                <w:rFonts w:ascii="Verdana" w:hAnsi="Verdana" w:cs="Times New Roman Bold"/>
                <w:b/>
                <w:sz w:val="20"/>
              </w:rPr>
              <w:t>-2</w:t>
            </w:r>
            <w:r w:rsidR="00936A49" w:rsidRPr="00A613F6">
              <w:rPr>
                <w:rFonts w:ascii="Verdana" w:hAnsi="Verdana" w:cs="Times New Roman Bold"/>
                <w:b/>
                <w:sz w:val="20"/>
              </w:rPr>
              <w:t>0</w:t>
            </w:r>
            <w:r w:rsidRPr="00A613F6">
              <w:rPr>
                <w:rFonts w:ascii="Verdana" w:hAnsi="Verdana" w:cs="Times New Roman Bold"/>
                <w:b/>
                <w:sz w:val="20"/>
              </w:rPr>
              <w:t xml:space="preserve"> de </w:t>
            </w:r>
            <w:r w:rsidR="00936A49" w:rsidRPr="00A613F6">
              <w:rPr>
                <w:rFonts w:ascii="Verdana" w:hAnsi="Verdana" w:cs="Times New Roman Bold"/>
                <w:b/>
                <w:sz w:val="20"/>
              </w:rPr>
              <w:t>julio</w:t>
            </w:r>
            <w:r w:rsidRPr="00A613F6">
              <w:rPr>
                <w:rFonts w:ascii="Verdana" w:hAnsi="Verdana" w:cs="Times New Roman Bold"/>
                <w:b/>
                <w:sz w:val="20"/>
              </w:rPr>
              <w:t xml:space="preserve"> de 201</w:t>
            </w:r>
            <w:r w:rsidR="00AC28E2" w:rsidRPr="00A613F6">
              <w:rPr>
                <w:rFonts w:ascii="Verdana" w:hAnsi="Verdana" w:cs="Times New Roman Bold"/>
                <w:b/>
                <w:sz w:val="20"/>
              </w:rPr>
              <w:t>8</w:t>
            </w:r>
          </w:p>
        </w:tc>
        <w:tc>
          <w:tcPr>
            <w:tcW w:w="4396" w:type="dxa"/>
            <w:gridSpan w:val="2"/>
            <w:vAlign w:val="center"/>
          </w:tcPr>
          <w:p w:rsidR="00C16E44" w:rsidRPr="00A613F6" w:rsidRDefault="00C16E44" w:rsidP="005540A5">
            <w:pPr>
              <w:shd w:val="solid" w:color="FFFFFF" w:fill="FFFFFF"/>
              <w:spacing w:before="0" w:line="240" w:lineRule="atLeast"/>
              <w:jc w:val="right"/>
            </w:pPr>
            <w:r w:rsidRPr="00A613F6">
              <w:rPr>
                <w:rFonts w:asciiTheme="minorHAnsi" w:hAnsi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18C3897" wp14:editId="6B63BAB7">
                  <wp:extent cx="1767840" cy="701040"/>
                  <wp:effectExtent l="19050" t="0" r="381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E44" w:rsidRPr="00A613F6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  <w:tcBorders>
              <w:bottom w:val="single" w:sz="12" w:space="0" w:color="auto"/>
            </w:tcBorders>
          </w:tcPr>
          <w:p w:rsidR="00C16E44" w:rsidRPr="00A613F6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</w:tr>
      <w:tr w:rsidR="00C16E44" w:rsidRPr="00A613F6" w:rsidTr="005540A5">
        <w:trPr>
          <w:gridAfter w:val="1"/>
          <w:wAfter w:w="33" w:type="dxa"/>
          <w:cantSplit/>
        </w:trPr>
        <w:tc>
          <w:tcPr>
            <w:tcW w:w="5670" w:type="dxa"/>
            <w:tcBorders>
              <w:top w:val="single" w:sz="12" w:space="0" w:color="auto"/>
            </w:tcBorders>
          </w:tcPr>
          <w:p w:rsidR="00C16E44" w:rsidRPr="00A613F6" w:rsidRDefault="00C16E44" w:rsidP="00C16E4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4363" w:type="dxa"/>
            <w:tcBorders>
              <w:top w:val="single" w:sz="12" w:space="0" w:color="auto"/>
            </w:tcBorders>
          </w:tcPr>
          <w:p w:rsidR="00C16E44" w:rsidRPr="00A613F6" w:rsidRDefault="00C16E44" w:rsidP="00C16E44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C16E44" w:rsidRPr="00A613F6" w:rsidTr="005540A5">
        <w:trPr>
          <w:gridAfter w:val="1"/>
          <w:wAfter w:w="33" w:type="dxa"/>
          <w:cantSplit/>
        </w:trPr>
        <w:tc>
          <w:tcPr>
            <w:tcW w:w="5670" w:type="dxa"/>
            <w:vMerge w:val="restart"/>
          </w:tcPr>
          <w:p w:rsidR="00C16E44" w:rsidRPr="00A613F6" w:rsidRDefault="00C16E44" w:rsidP="00C16E4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4363" w:type="dxa"/>
          </w:tcPr>
          <w:p w:rsidR="00C16E44" w:rsidRPr="00A613F6" w:rsidRDefault="00936A49" w:rsidP="005540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A613F6">
              <w:rPr>
                <w:rFonts w:ascii="Verdana" w:hAnsi="Verdana"/>
                <w:b/>
                <w:sz w:val="20"/>
              </w:rPr>
              <w:t>Documento RRB18-2/</w:t>
            </w:r>
            <w:r w:rsidR="005540A5" w:rsidRPr="00A613F6">
              <w:rPr>
                <w:rFonts w:ascii="Verdana" w:hAnsi="Verdana"/>
                <w:b/>
                <w:sz w:val="20"/>
              </w:rPr>
              <w:t>DELAYED/3</w:t>
            </w:r>
            <w:r w:rsidRPr="00A613F6"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C16E44" w:rsidRPr="00A613F6" w:rsidTr="005540A5">
        <w:trPr>
          <w:gridAfter w:val="1"/>
          <w:wAfter w:w="33" w:type="dxa"/>
          <w:cantSplit/>
        </w:trPr>
        <w:tc>
          <w:tcPr>
            <w:tcW w:w="5670" w:type="dxa"/>
            <w:vMerge/>
          </w:tcPr>
          <w:p w:rsidR="00C16E44" w:rsidRPr="00A613F6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4363" w:type="dxa"/>
          </w:tcPr>
          <w:p w:rsidR="00C16E44" w:rsidRPr="00A613F6" w:rsidRDefault="005540A5" w:rsidP="005540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A613F6">
              <w:rPr>
                <w:rFonts w:ascii="Verdana" w:hAnsi="Verdana"/>
                <w:b/>
                <w:sz w:val="20"/>
              </w:rPr>
              <w:t>12</w:t>
            </w:r>
            <w:r w:rsidR="00936A49" w:rsidRPr="00A613F6">
              <w:rPr>
                <w:rFonts w:ascii="Verdana" w:hAnsi="Verdana"/>
                <w:b/>
                <w:sz w:val="20"/>
              </w:rPr>
              <w:t xml:space="preserve"> de </w:t>
            </w:r>
            <w:r w:rsidRPr="00A613F6">
              <w:rPr>
                <w:rFonts w:ascii="Verdana" w:hAnsi="Verdana"/>
                <w:b/>
                <w:sz w:val="20"/>
              </w:rPr>
              <w:t>julio</w:t>
            </w:r>
            <w:r w:rsidR="00936A49" w:rsidRPr="00A613F6">
              <w:rPr>
                <w:rFonts w:ascii="Verdana" w:hAnsi="Verdana"/>
                <w:b/>
                <w:sz w:val="20"/>
              </w:rPr>
              <w:t xml:space="preserve"> de 2018</w:t>
            </w:r>
          </w:p>
        </w:tc>
      </w:tr>
      <w:tr w:rsidR="00C16E44" w:rsidRPr="00A613F6" w:rsidTr="005540A5">
        <w:trPr>
          <w:gridAfter w:val="1"/>
          <w:wAfter w:w="33" w:type="dxa"/>
          <w:cantSplit/>
        </w:trPr>
        <w:tc>
          <w:tcPr>
            <w:tcW w:w="5670" w:type="dxa"/>
            <w:vMerge/>
          </w:tcPr>
          <w:p w:rsidR="00C16E44" w:rsidRPr="00A613F6" w:rsidRDefault="00C16E44" w:rsidP="00C16E4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4363" w:type="dxa"/>
          </w:tcPr>
          <w:p w:rsidR="00C16E44" w:rsidRPr="00A613F6" w:rsidRDefault="00936A49" w:rsidP="00936A49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A613F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C16E44" w:rsidRPr="00A613F6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:rsidR="00C16E44" w:rsidRPr="00A613F6" w:rsidRDefault="00936A49" w:rsidP="00C16E44">
            <w:pPr>
              <w:pStyle w:val="Source"/>
            </w:pPr>
            <w:bookmarkStart w:id="3" w:name="dsource" w:colFirst="0" w:colLast="0"/>
            <w:bookmarkEnd w:id="2"/>
            <w:r w:rsidRPr="00A613F6">
              <w:t>Director de la Oficina de Radiocomunicaciones</w:t>
            </w:r>
          </w:p>
        </w:tc>
      </w:tr>
      <w:tr w:rsidR="00C16E44" w:rsidRPr="00A613F6" w:rsidTr="00C16E44">
        <w:trPr>
          <w:gridAfter w:val="1"/>
          <w:wAfter w:w="33" w:type="dxa"/>
          <w:cantSplit/>
        </w:trPr>
        <w:tc>
          <w:tcPr>
            <w:tcW w:w="10033" w:type="dxa"/>
            <w:gridSpan w:val="2"/>
          </w:tcPr>
          <w:p w:rsidR="00C16E44" w:rsidRPr="00A613F6" w:rsidRDefault="00936A49" w:rsidP="00F60F96">
            <w:pPr>
              <w:pStyle w:val="Title1"/>
            </w:pPr>
            <w:bookmarkStart w:id="4" w:name="dtitle1" w:colFirst="0" w:colLast="0"/>
            <w:bookmarkEnd w:id="3"/>
            <w:r w:rsidRPr="00A613F6">
              <w:t xml:space="preserve">COMUNICACIÓN DE LA ADMINISTRACIÓN DE ALEMANIA RELATIVA A </w:t>
            </w:r>
            <w:r w:rsidR="00D75B8C" w:rsidRPr="00A613F6">
              <w:br/>
            </w:r>
            <w:r w:rsidRPr="00A613F6">
              <w:t xml:space="preserve">LA APLICACIÓN DEL ARTÍCULO 48 DE LA CONSTITUCIÓN DE LA UIT </w:t>
            </w:r>
            <w:r w:rsidR="00D75B8C" w:rsidRPr="00A613F6">
              <w:br/>
            </w:r>
            <w:r w:rsidRPr="00A613F6">
              <w:t xml:space="preserve">A LAS ASIGNACIONES DE FRECUENCIAS INSCRITAS PARA </w:t>
            </w:r>
            <w:r w:rsidR="00D75B8C" w:rsidRPr="00A613F6">
              <w:br/>
            </w:r>
            <w:r w:rsidRPr="00A613F6">
              <w:t xml:space="preserve">LAS REDES DE SATÉLITES INSAT-2(48), INSAT-2M(48), </w:t>
            </w:r>
            <w:r w:rsidR="00D75B8C" w:rsidRPr="00A613F6">
              <w:br/>
            </w:r>
            <w:r w:rsidRPr="00A613F6">
              <w:t>INSAT-2T(48) E INSAT</w:t>
            </w:r>
            <w:r w:rsidR="00F60F96" w:rsidRPr="00A613F6">
              <w:t>-</w:t>
            </w:r>
            <w:r w:rsidRPr="00A613F6">
              <w:t>EK48R A 48ºE</w:t>
            </w:r>
          </w:p>
        </w:tc>
      </w:tr>
    </w:tbl>
    <w:bookmarkEnd w:id="4"/>
    <w:p w:rsidR="002F01B5" w:rsidRPr="00A613F6" w:rsidRDefault="00936A49" w:rsidP="00B539B5">
      <w:pPr>
        <w:pStyle w:val="Normalaftertitle"/>
        <w:jc w:val="both"/>
      </w:pPr>
      <w:r w:rsidRPr="00A613F6">
        <w:t xml:space="preserve">Se somete a la consideración de la Junta del Reglamento de Radiocomunicaciones la comunicación adjunta, presentada por la Administración de Alemania en relación con </w:t>
      </w:r>
      <w:r w:rsidR="00FC1044" w:rsidRPr="00A613F6">
        <w:t xml:space="preserve">la situación de las asignaciones de frecuencias </w:t>
      </w:r>
      <w:r w:rsidR="00463DD8">
        <w:t>inscritas para las</w:t>
      </w:r>
      <w:r w:rsidR="00463DD8" w:rsidRPr="00A613F6">
        <w:t xml:space="preserve"> </w:t>
      </w:r>
      <w:r w:rsidRPr="00A613F6">
        <w:t>redes de satélites INSAT-2(48), INSAT-2M(48), INSAT-2T(48) e INSAT</w:t>
      </w:r>
      <w:r w:rsidR="00F60F96" w:rsidRPr="00A613F6">
        <w:t>-</w:t>
      </w:r>
      <w:r w:rsidRPr="00A613F6">
        <w:t xml:space="preserve">EK48R a 48ºE, que complementa la información contenida en </w:t>
      </w:r>
      <w:r w:rsidR="005540A5" w:rsidRPr="00A613F6">
        <w:t>los</w:t>
      </w:r>
      <w:r w:rsidRPr="00A613F6">
        <w:t xml:space="preserve"> Documento</w:t>
      </w:r>
      <w:r w:rsidR="005540A5" w:rsidRPr="00A613F6">
        <w:t>s</w:t>
      </w:r>
      <w:r w:rsidRPr="00A613F6">
        <w:t xml:space="preserve"> </w:t>
      </w:r>
      <w:hyperlink r:id="rId9" w:history="1">
        <w:r w:rsidRPr="00A613F6">
          <w:rPr>
            <w:rStyle w:val="Hyperlink"/>
          </w:rPr>
          <w:t>RRB18-2/10</w:t>
        </w:r>
      </w:hyperlink>
      <w:r w:rsidR="005540A5" w:rsidRPr="00A613F6">
        <w:rPr>
          <w:rFonts w:asciiTheme="majorBidi" w:hAnsiTheme="majorBidi" w:cstheme="majorBidi"/>
          <w:szCs w:val="24"/>
          <w:lang w:eastAsia="zh-CN"/>
        </w:rPr>
        <w:t xml:space="preserve"> y </w:t>
      </w:r>
      <w:hyperlink r:id="rId10" w:history="1">
        <w:r w:rsidR="005540A5" w:rsidRPr="00A613F6">
          <w:rPr>
            <w:rStyle w:val="Hyperlink"/>
            <w:rFonts w:asciiTheme="majorBidi" w:eastAsia="SimSun" w:hAnsiTheme="majorBidi" w:cstheme="majorBidi"/>
            <w:szCs w:val="24"/>
            <w:lang w:eastAsia="zh-CN"/>
          </w:rPr>
          <w:t>RRB18-2/11</w:t>
        </w:r>
      </w:hyperlink>
      <w:r w:rsidRPr="00A613F6">
        <w:t>.</w:t>
      </w:r>
    </w:p>
    <w:p w:rsidR="00936A49" w:rsidRPr="00A613F6" w:rsidRDefault="00936A49" w:rsidP="00102D09">
      <w:pPr>
        <w:spacing w:before="3600"/>
        <w:rPr>
          <w:b/>
          <w:bCs/>
        </w:rPr>
      </w:pPr>
      <w:r w:rsidRPr="00A613F6">
        <w:rPr>
          <w:b/>
          <w:bCs/>
        </w:rPr>
        <w:t>Anexo</w:t>
      </w:r>
      <w:r w:rsidR="005540A5" w:rsidRPr="00A613F6">
        <w:t>: 1</w:t>
      </w:r>
    </w:p>
    <w:p w:rsidR="00936A49" w:rsidRPr="00A613F6" w:rsidRDefault="00936A49" w:rsidP="00D75B8C">
      <w:r w:rsidRPr="00A613F6">
        <w:br w:type="page"/>
      </w:r>
    </w:p>
    <w:p w:rsidR="00936A49" w:rsidRPr="00A613F6" w:rsidRDefault="00936A49" w:rsidP="00102D09">
      <w:pPr>
        <w:pStyle w:val="AnnexNotitle"/>
      </w:pPr>
      <w:r w:rsidRPr="00A613F6">
        <w:lastRenderedPageBreak/>
        <w:t>Anexo</w:t>
      </w:r>
    </w:p>
    <w:p w:rsidR="00936A49" w:rsidRPr="00A613F6" w:rsidRDefault="00936A49" w:rsidP="00102D09">
      <w:pPr>
        <w:pStyle w:val="Normalaftertitle"/>
        <w:rPr>
          <w:b/>
          <w:bCs/>
          <w:u w:val="single"/>
        </w:rPr>
      </w:pPr>
      <w:r w:rsidRPr="00A613F6">
        <w:rPr>
          <w:b/>
          <w:bCs/>
          <w:u w:val="single"/>
        </w:rPr>
        <w:t>Postfach 80 01, 55003 Mainz</w:t>
      </w:r>
    </w:p>
    <w:p w:rsidR="00936A49" w:rsidRPr="00A613F6" w:rsidRDefault="00936A49" w:rsidP="00D07D59">
      <w:pPr>
        <w:spacing w:after="360"/>
      </w:pPr>
      <w:r w:rsidRPr="00A613F6">
        <w:t>Para:</w:t>
      </w:r>
      <w:r w:rsidR="00102D09" w:rsidRPr="00A613F6">
        <w:br/>
      </w:r>
      <w:r w:rsidRPr="00A613F6">
        <w:t>Unión Internacio</w:t>
      </w:r>
      <w:r w:rsidR="00102D09" w:rsidRPr="00A613F6">
        <w:t>nal de Telecomunicaciones (UIT)</w:t>
      </w:r>
      <w:r w:rsidR="00102D09" w:rsidRPr="00A613F6">
        <w:br/>
      </w:r>
      <w:r w:rsidRPr="00A613F6">
        <w:t>Oficina de Radiocomunicaciones</w:t>
      </w:r>
      <w:r w:rsidR="00102D09" w:rsidRPr="00A613F6">
        <w:br/>
      </w:r>
      <w:r w:rsidRPr="00A613F6">
        <w:t>1211 Ginebra 20</w:t>
      </w:r>
      <w:r w:rsidR="00102D09" w:rsidRPr="00A613F6">
        <w:br/>
      </w:r>
      <w:r w:rsidRPr="00A613F6">
        <w:t>SUIZA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1"/>
        <w:gridCol w:w="3218"/>
      </w:tblGrid>
      <w:tr w:rsidR="00DC3E34" w:rsidRPr="00A613F6" w:rsidTr="00D07D59">
        <w:tc>
          <w:tcPr>
            <w:tcW w:w="6411" w:type="dxa"/>
          </w:tcPr>
          <w:p w:rsidR="00DC3E34" w:rsidRPr="00A613F6" w:rsidRDefault="00DC3E34" w:rsidP="00D75B8C">
            <w:pPr>
              <w:spacing w:before="60" w:after="60"/>
            </w:pPr>
            <w:r w:rsidRPr="00A613F6">
              <w:t>Con copia a: Sra. B. v. Wietersheim, por correo electrónico</w:t>
            </w:r>
          </w:p>
        </w:tc>
        <w:tc>
          <w:tcPr>
            <w:tcW w:w="3218" w:type="dxa"/>
          </w:tcPr>
          <w:p w:rsidR="00DC3E34" w:rsidRPr="00A613F6" w:rsidRDefault="00DC3E34" w:rsidP="00E212D4">
            <w:pPr>
              <w:spacing w:before="60" w:after="60"/>
              <w:jc w:val="right"/>
            </w:pPr>
            <w:r w:rsidRPr="00A613F6">
              <w:t xml:space="preserve">Fecha: </w:t>
            </w:r>
            <w:r w:rsidR="00E212D4" w:rsidRPr="00A613F6">
              <w:t>09</w:t>
            </w:r>
            <w:r w:rsidRPr="00A613F6">
              <w:t>/0</w:t>
            </w:r>
            <w:r w:rsidR="00E212D4" w:rsidRPr="00A613F6">
              <w:t>7</w:t>
            </w:r>
            <w:r w:rsidRPr="00A613F6">
              <w:t>/2018</w:t>
            </w:r>
          </w:p>
        </w:tc>
      </w:tr>
      <w:tr w:rsidR="00DC3E34" w:rsidRPr="00A613F6" w:rsidTr="00D07D59">
        <w:tc>
          <w:tcPr>
            <w:tcW w:w="6411" w:type="dxa"/>
          </w:tcPr>
          <w:p w:rsidR="00DC3E34" w:rsidRPr="00A613F6" w:rsidRDefault="00DC3E34" w:rsidP="00D75B8C">
            <w:pPr>
              <w:spacing w:before="60" w:after="60"/>
            </w:pPr>
            <w:r w:rsidRPr="00A613F6">
              <w:t xml:space="preserve">Correo-e para: </w:t>
            </w:r>
            <w:hyperlink r:id="rId11" w:history="1">
              <w:r w:rsidRPr="00A613F6">
                <w:rPr>
                  <w:rStyle w:val="Hyperlink"/>
                </w:rPr>
                <w:t>brmail@itu.int</w:t>
              </w:r>
            </w:hyperlink>
          </w:p>
        </w:tc>
        <w:tc>
          <w:tcPr>
            <w:tcW w:w="3218" w:type="dxa"/>
          </w:tcPr>
          <w:p w:rsidR="00DC3E34" w:rsidRPr="00A613F6" w:rsidRDefault="00DC3E34" w:rsidP="00D75B8C">
            <w:pPr>
              <w:spacing w:before="60" w:after="60"/>
              <w:jc w:val="right"/>
            </w:pPr>
            <w:r w:rsidRPr="00A613F6">
              <w:t>Número total de páginas: 3</w:t>
            </w:r>
          </w:p>
        </w:tc>
      </w:tr>
    </w:tbl>
    <w:p w:rsidR="00936A49" w:rsidRPr="00A613F6" w:rsidRDefault="00FC1044" w:rsidP="00D07D59">
      <w:pPr>
        <w:spacing w:before="360" w:after="120"/>
        <w:rPr>
          <w:b/>
          <w:bCs/>
        </w:rPr>
      </w:pPr>
      <w:r w:rsidRPr="00A613F6">
        <w:rPr>
          <w:b/>
          <w:bCs/>
        </w:rPr>
        <w:t>Comentarios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642"/>
        <w:gridCol w:w="3778"/>
      </w:tblGrid>
      <w:tr w:rsidR="00DC3E34" w:rsidRPr="00A613F6" w:rsidTr="00D07D59">
        <w:tc>
          <w:tcPr>
            <w:tcW w:w="3209" w:type="dxa"/>
          </w:tcPr>
          <w:p w:rsidR="00DC3E34" w:rsidRPr="00A613F6" w:rsidRDefault="00DC3E34" w:rsidP="00D75B8C">
            <w:pPr>
              <w:spacing w:before="80" w:after="80"/>
              <w:rPr>
                <w:sz w:val="22"/>
                <w:szCs w:val="22"/>
              </w:rPr>
            </w:pPr>
            <w:r w:rsidRPr="00A613F6">
              <w:rPr>
                <w:sz w:val="22"/>
                <w:szCs w:val="22"/>
              </w:rPr>
              <w:t>Si surgen problemas de recepción, sírvase informar a:</w:t>
            </w:r>
          </w:p>
        </w:tc>
        <w:tc>
          <w:tcPr>
            <w:tcW w:w="2642" w:type="dxa"/>
          </w:tcPr>
          <w:p w:rsidR="00DC3E34" w:rsidRPr="00A613F6" w:rsidRDefault="00DC3E34" w:rsidP="00D75B8C">
            <w:pPr>
              <w:spacing w:before="80" w:after="80"/>
              <w:rPr>
                <w:sz w:val="22"/>
                <w:szCs w:val="22"/>
              </w:rPr>
            </w:pPr>
            <w:r w:rsidRPr="00A613F6">
              <w:rPr>
                <w:sz w:val="22"/>
                <w:szCs w:val="22"/>
              </w:rPr>
              <w:t>Lothar Ponto</w:t>
            </w:r>
          </w:p>
        </w:tc>
        <w:tc>
          <w:tcPr>
            <w:tcW w:w="3778" w:type="dxa"/>
          </w:tcPr>
          <w:p w:rsidR="00DC3E34" w:rsidRPr="00A613F6" w:rsidRDefault="00DC3E34" w:rsidP="00D75B8C">
            <w:pPr>
              <w:tabs>
                <w:tab w:val="clear" w:pos="794"/>
                <w:tab w:val="left" w:pos="986"/>
              </w:tabs>
              <w:spacing w:before="80" w:after="80"/>
              <w:rPr>
                <w:sz w:val="22"/>
                <w:szCs w:val="22"/>
              </w:rPr>
            </w:pPr>
            <w:r w:rsidRPr="00A613F6">
              <w:rPr>
                <w:sz w:val="22"/>
                <w:szCs w:val="22"/>
              </w:rPr>
              <w:t>Teléfono:</w:t>
            </w:r>
            <w:r w:rsidRPr="00A613F6">
              <w:rPr>
                <w:sz w:val="22"/>
                <w:szCs w:val="22"/>
              </w:rPr>
              <w:tab/>
              <w:t>+49 61 31 18 31 92</w:t>
            </w:r>
            <w:r w:rsidRPr="00A613F6">
              <w:rPr>
                <w:sz w:val="22"/>
                <w:szCs w:val="22"/>
              </w:rPr>
              <w:br/>
              <w:t>Correo-e:</w:t>
            </w:r>
            <w:r w:rsidRPr="00A613F6">
              <w:rPr>
                <w:sz w:val="22"/>
                <w:szCs w:val="22"/>
              </w:rPr>
              <w:tab/>
            </w:r>
            <w:hyperlink r:id="rId12" w:history="1">
              <w:r w:rsidRPr="00A613F6">
                <w:rPr>
                  <w:rStyle w:val="Hyperlink"/>
                  <w:sz w:val="22"/>
                  <w:szCs w:val="22"/>
                </w:rPr>
                <w:t>satsystems@BNetzA.DE</w:t>
              </w:r>
            </w:hyperlink>
            <w:r w:rsidRPr="00A613F6">
              <w:rPr>
                <w:sz w:val="22"/>
                <w:szCs w:val="22"/>
              </w:rPr>
              <w:t xml:space="preserve"> </w:t>
            </w:r>
            <w:r w:rsidRPr="00A613F6">
              <w:rPr>
                <w:sz w:val="22"/>
                <w:szCs w:val="22"/>
              </w:rPr>
              <w:br/>
              <w:t>Fax:</w:t>
            </w:r>
            <w:r w:rsidRPr="00A613F6">
              <w:rPr>
                <w:sz w:val="22"/>
                <w:szCs w:val="22"/>
              </w:rPr>
              <w:tab/>
              <w:t>+49 61 31 18 56 14</w:t>
            </w:r>
          </w:p>
        </w:tc>
      </w:tr>
    </w:tbl>
    <w:p w:rsidR="00936A49" w:rsidRPr="00A613F6" w:rsidRDefault="00936A49" w:rsidP="00B23892">
      <w:pPr>
        <w:tabs>
          <w:tab w:val="clear" w:pos="794"/>
          <w:tab w:val="clear" w:pos="1191"/>
          <w:tab w:val="left" w:pos="1560"/>
        </w:tabs>
        <w:spacing w:before="240"/>
        <w:ind w:left="1560" w:hanging="1560"/>
      </w:pPr>
      <w:r w:rsidRPr="00A613F6">
        <w:rPr>
          <w:b/>
          <w:bCs/>
        </w:rPr>
        <w:t>Asunto</w:t>
      </w:r>
      <w:r w:rsidR="00DC3E34" w:rsidRPr="00A613F6">
        <w:t>:</w:t>
      </w:r>
      <w:r w:rsidRPr="00A613F6">
        <w:tab/>
      </w:r>
      <w:r w:rsidRPr="000A6116">
        <w:rPr>
          <w:b/>
          <w:bCs/>
        </w:rPr>
        <w:t>Carta administrativa</w:t>
      </w:r>
      <w:r w:rsidRPr="00463DD8">
        <w:rPr>
          <w:b/>
          <w:bCs/>
        </w:rPr>
        <w:t xml:space="preserve"> 223-2-0</w:t>
      </w:r>
      <w:r w:rsidR="00B23892" w:rsidRPr="00463DD8">
        <w:rPr>
          <w:b/>
          <w:bCs/>
        </w:rPr>
        <w:t>704</w:t>
      </w:r>
      <w:r w:rsidRPr="00463DD8">
        <w:rPr>
          <w:b/>
          <w:bCs/>
        </w:rPr>
        <w:t>-2018 / Aclaración sobre la situación de las notificaciones de las redes de satélites INSAT-2(48), INSAT-2M(48), INSAT</w:t>
      </w:r>
      <w:r w:rsidR="00D07D59" w:rsidRPr="00463DD8">
        <w:rPr>
          <w:b/>
          <w:bCs/>
        </w:rPr>
        <w:noBreakHyphen/>
      </w:r>
      <w:r w:rsidRPr="00463DD8">
        <w:rPr>
          <w:b/>
          <w:bCs/>
        </w:rPr>
        <w:t>2T(48) e INSAT</w:t>
      </w:r>
      <w:r w:rsidR="00F60F96" w:rsidRPr="00463DD8">
        <w:rPr>
          <w:b/>
          <w:bCs/>
        </w:rPr>
        <w:t>-</w:t>
      </w:r>
      <w:r w:rsidRPr="00463DD8">
        <w:rPr>
          <w:b/>
          <w:bCs/>
        </w:rPr>
        <w:t>EK48R a 48ºE</w:t>
      </w:r>
    </w:p>
    <w:p w:rsidR="00B56169" w:rsidRPr="00A613F6" w:rsidRDefault="00936A49" w:rsidP="00B56169">
      <w:pPr>
        <w:tabs>
          <w:tab w:val="clear" w:pos="794"/>
          <w:tab w:val="clear" w:pos="1191"/>
          <w:tab w:val="left" w:pos="1560"/>
        </w:tabs>
        <w:ind w:left="1985" w:hanging="1985"/>
      </w:pPr>
      <w:r w:rsidRPr="00A613F6">
        <w:rPr>
          <w:b/>
          <w:bCs/>
        </w:rPr>
        <w:t>Referencia</w:t>
      </w:r>
      <w:r w:rsidR="00102D09" w:rsidRPr="00A613F6">
        <w:rPr>
          <w:b/>
          <w:bCs/>
        </w:rPr>
        <w:t>s</w:t>
      </w:r>
      <w:r w:rsidR="00102D09" w:rsidRPr="00A613F6">
        <w:t>:</w:t>
      </w:r>
      <w:r w:rsidR="00102D09" w:rsidRPr="00A613F6">
        <w:tab/>
        <w:t>1</w:t>
      </w:r>
      <w:r w:rsidRPr="00A613F6">
        <w:t>)</w:t>
      </w:r>
      <w:r w:rsidR="00DC3E34" w:rsidRPr="00A613F6">
        <w:tab/>
      </w:r>
      <w:r w:rsidR="00B56169" w:rsidRPr="00A613F6">
        <w:t xml:space="preserve">Nuestra carta </w:t>
      </w:r>
      <w:r w:rsidR="00AC2483" w:rsidRPr="00A613F6">
        <w:t xml:space="preserve">a la BR </w:t>
      </w:r>
      <w:r w:rsidR="00B56169" w:rsidRPr="00A613F6">
        <w:t>de ref. 223-2-0678-2018, de 25 de junio de 2018</w:t>
      </w:r>
    </w:p>
    <w:p w:rsidR="00AC2483" w:rsidRPr="00A613F6" w:rsidRDefault="00B56169" w:rsidP="000A6116">
      <w:pPr>
        <w:tabs>
          <w:tab w:val="clear" w:pos="794"/>
          <w:tab w:val="clear" w:pos="1191"/>
          <w:tab w:val="left" w:pos="1560"/>
        </w:tabs>
        <w:ind w:left="1985" w:hanging="425"/>
      </w:pPr>
      <w:r w:rsidRPr="00A613F6">
        <w:t>2)</w:t>
      </w:r>
      <w:r w:rsidRPr="00A613F6">
        <w:tab/>
      </w:r>
      <w:r w:rsidR="00AC2483" w:rsidRPr="00A613F6">
        <w:t>La carta de la Administración de la India a la BR de ref. J</w:t>
      </w:r>
      <w:r w:rsidR="000A6116">
        <w:noBreakHyphen/>
      </w:r>
      <w:r w:rsidR="00AC2483" w:rsidRPr="00A613F6">
        <w:t>19011/05/2017</w:t>
      </w:r>
      <w:r w:rsidR="000A6116">
        <w:noBreakHyphen/>
      </w:r>
      <w:r w:rsidR="00AC2483" w:rsidRPr="00A613F6">
        <w:t>SAT, de 22 de junio de 2018</w:t>
      </w:r>
    </w:p>
    <w:p w:rsidR="00936A49" w:rsidRPr="00A613F6" w:rsidRDefault="00AC2483" w:rsidP="00AC2483">
      <w:pPr>
        <w:tabs>
          <w:tab w:val="clear" w:pos="794"/>
          <w:tab w:val="clear" w:pos="1191"/>
          <w:tab w:val="left" w:pos="1560"/>
        </w:tabs>
        <w:ind w:left="1985" w:hanging="425"/>
      </w:pPr>
      <w:r w:rsidRPr="00A613F6">
        <w:t>3)</w:t>
      </w:r>
      <w:r w:rsidRPr="00A613F6">
        <w:tab/>
      </w:r>
      <w:r w:rsidR="00FC1044" w:rsidRPr="00A613F6">
        <w:t>El r</w:t>
      </w:r>
      <w:r w:rsidR="00936A49" w:rsidRPr="00A613F6">
        <w:t>esumen de las decisiones de la 77ª reunión de la Junta del Reglamento de Radiocomunicaciones (19</w:t>
      </w:r>
      <w:r w:rsidR="00F60F96" w:rsidRPr="00A613F6">
        <w:t>-</w:t>
      </w:r>
      <w:r w:rsidR="00936A49" w:rsidRPr="00A613F6">
        <w:t xml:space="preserve">23 de marzo de 2018) </w:t>
      </w:r>
      <w:r w:rsidR="00D75B8C" w:rsidRPr="00A613F6">
        <w:t>–</w:t>
      </w:r>
      <w:r w:rsidR="00936A49" w:rsidRPr="00A613F6">
        <w:t xml:space="preserve"> Documento RRB18-1/10-S</w:t>
      </w:r>
    </w:p>
    <w:p w:rsidR="00936A49" w:rsidRPr="00A613F6" w:rsidRDefault="006A1A88" w:rsidP="00D75B8C">
      <w:pPr>
        <w:tabs>
          <w:tab w:val="clear" w:pos="794"/>
          <w:tab w:val="clear" w:pos="1191"/>
          <w:tab w:val="left" w:pos="1560"/>
        </w:tabs>
        <w:spacing w:before="80"/>
        <w:ind w:left="1559"/>
      </w:pPr>
      <w:r w:rsidRPr="00A613F6">
        <w:t>4</w:t>
      </w:r>
      <w:r w:rsidR="00936A49" w:rsidRPr="00A613F6">
        <w:t>)</w:t>
      </w:r>
      <w:r w:rsidR="00DC3E34" w:rsidRPr="00A613F6">
        <w:tab/>
      </w:r>
      <w:r w:rsidR="00936A49" w:rsidRPr="00A613F6">
        <w:t>Nuestra carta de ref. 223a 0784A-2018, de 20 de febrero de 2018</w:t>
      </w:r>
    </w:p>
    <w:p w:rsidR="00936A49" w:rsidRPr="00A613F6" w:rsidRDefault="00936A49" w:rsidP="006A1A88">
      <w:pPr>
        <w:tabs>
          <w:tab w:val="clear" w:pos="794"/>
          <w:tab w:val="clear" w:pos="1191"/>
          <w:tab w:val="left" w:pos="1560"/>
        </w:tabs>
        <w:spacing w:before="80"/>
        <w:ind w:left="1559"/>
      </w:pPr>
      <w:r w:rsidRPr="00A613F6">
        <w:tab/>
      </w:r>
      <w:r w:rsidR="006A1A88" w:rsidRPr="00A613F6">
        <w:t>5</w:t>
      </w:r>
      <w:r w:rsidRPr="00A613F6">
        <w:t>)</w:t>
      </w:r>
      <w:r w:rsidR="00DC3E34" w:rsidRPr="00A613F6">
        <w:tab/>
      </w:r>
      <w:r w:rsidRPr="00A613F6">
        <w:t>Nuestra carta de ref. 223a 0784-2018, de 30 de enero de 2018</w:t>
      </w:r>
    </w:p>
    <w:p w:rsidR="00936A49" w:rsidRPr="00A613F6" w:rsidRDefault="006A1A88" w:rsidP="00D75B8C">
      <w:pPr>
        <w:tabs>
          <w:tab w:val="clear" w:pos="794"/>
          <w:tab w:val="clear" w:pos="1191"/>
          <w:tab w:val="left" w:pos="1560"/>
        </w:tabs>
        <w:spacing w:before="80"/>
        <w:ind w:left="1559"/>
      </w:pPr>
      <w:r w:rsidRPr="00A613F6">
        <w:t>6</w:t>
      </w:r>
      <w:r w:rsidR="00936A49" w:rsidRPr="00A613F6">
        <w:t>)</w:t>
      </w:r>
      <w:r w:rsidR="00DC3E34" w:rsidRPr="00A613F6">
        <w:tab/>
      </w:r>
      <w:r w:rsidR="00936A49" w:rsidRPr="00A613F6">
        <w:t>La carta de la BR de ref.</w:t>
      </w:r>
      <w:r w:rsidR="00D07D59" w:rsidRPr="00A613F6">
        <w:t xml:space="preserve"> </w:t>
      </w:r>
      <w:r w:rsidR="00936A49" w:rsidRPr="00A613F6">
        <w:t>13(SSC)O-2017-004580, de 2 de noviembre de 2017</w:t>
      </w:r>
    </w:p>
    <w:p w:rsidR="00936A49" w:rsidRPr="00A613F6" w:rsidRDefault="006A1A88" w:rsidP="00D75B8C">
      <w:pPr>
        <w:tabs>
          <w:tab w:val="clear" w:pos="794"/>
          <w:tab w:val="clear" w:pos="1191"/>
          <w:tab w:val="left" w:pos="1560"/>
        </w:tabs>
        <w:spacing w:before="80"/>
        <w:ind w:left="1559"/>
      </w:pPr>
      <w:r w:rsidRPr="00A613F6">
        <w:t>7</w:t>
      </w:r>
      <w:r w:rsidR="00936A49" w:rsidRPr="00A613F6">
        <w:t>)</w:t>
      </w:r>
      <w:r w:rsidR="00DC3E34" w:rsidRPr="00A613F6">
        <w:tab/>
      </w:r>
      <w:r w:rsidR="00936A49" w:rsidRPr="00A613F6">
        <w:t>Nuestra carta de ref. 223a 0687-2017, de 27 de septiembre de 2017</w:t>
      </w:r>
    </w:p>
    <w:p w:rsidR="00936A49" w:rsidRPr="00A613F6" w:rsidRDefault="006A1A88" w:rsidP="00D75B8C">
      <w:pPr>
        <w:tabs>
          <w:tab w:val="clear" w:pos="794"/>
          <w:tab w:val="clear" w:pos="1191"/>
          <w:tab w:val="left" w:pos="1560"/>
        </w:tabs>
        <w:spacing w:before="80"/>
        <w:ind w:left="1985" w:hanging="426"/>
      </w:pPr>
      <w:r w:rsidRPr="00A613F6">
        <w:t>8</w:t>
      </w:r>
      <w:r w:rsidR="00936A49" w:rsidRPr="00A613F6">
        <w:t>)</w:t>
      </w:r>
      <w:r w:rsidR="00DC3E34" w:rsidRPr="00A613F6">
        <w:tab/>
      </w:r>
      <w:r w:rsidR="00936A49" w:rsidRPr="00A613F6">
        <w:t>La carta de la Administración de la India de ref. J-19011/05/2017-SAT, de 4 de julio de 2017 (recibida por la Administración de Alemania el 30 de agosto de</w:t>
      </w:r>
      <w:r w:rsidR="00D07D59" w:rsidRPr="00A613F6">
        <w:t> </w:t>
      </w:r>
      <w:r w:rsidR="00936A49" w:rsidRPr="00A613F6">
        <w:t>2017)</w:t>
      </w:r>
    </w:p>
    <w:p w:rsidR="00936A49" w:rsidRPr="00A613F6" w:rsidRDefault="006A1A88" w:rsidP="00D75B8C">
      <w:pPr>
        <w:tabs>
          <w:tab w:val="clear" w:pos="794"/>
          <w:tab w:val="clear" w:pos="1191"/>
          <w:tab w:val="left" w:pos="1560"/>
        </w:tabs>
        <w:spacing w:before="80"/>
        <w:ind w:left="1559"/>
      </w:pPr>
      <w:r w:rsidRPr="00A613F6">
        <w:t>9</w:t>
      </w:r>
      <w:r w:rsidR="00936A49" w:rsidRPr="00A613F6">
        <w:t>)</w:t>
      </w:r>
      <w:r w:rsidR="00DC3E34" w:rsidRPr="00A613F6">
        <w:tab/>
      </w:r>
      <w:r w:rsidR="00936A49" w:rsidRPr="00A613F6">
        <w:t>Nuestra carta de ref. 223.2.0307-2017, de 7 de junio de 2017</w:t>
      </w:r>
    </w:p>
    <w:p w:rsidR="00936A49" w:rsidRPr="00A613F6" w:rsidRDefault="00936A49" w:rsidP="00936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0"/>
        <w:gridCol w:w="1763"/>
        <w:gridCol w:w="2646"/>
        <w:gridCol w:w="1860"/>
      </w:tblGrid>
      <w:tr w:rsidR="00D07D59" w:rsidRPr="00A613F6" w:rsidTr="00D07D59">
        <w:tc>
          <w:tcPr>
            <w:tcW w:w="9629" w:type="dxa"/>
            <w:gridSpan w:val="4"/>
            <w:tcBorders>
              <w:left w:val="nil"/>
              <w:bottom w:val="nil"/>
              <w:right w:val="nil"/>
            </w:tcBorders>
          </w:tcPr>
          <w:p w:rsidR="00D07D59" w:rsidRPr="00A613F6" w:rsidRDefault="00D07D59" w:rsidP="00990902">
            <w:pPr>
              <w:spacing w:before="80" w:after="120"/>
              <w:jc w:val="center"/>
              <w:rPr>
                <w:b/>
                <w:bCs/>
                <w:sz w:val="18"/>
                <w:szCs w:val="18"/>
              </w:rPr>
            </w:pPr>
            <w:r w:rsidRPr="00A613F6">
              <w:rPr>
                <w:b/>
                <w:bCs/>
                <w:sz w:val="18"/>
                <w:szCs w:val="18"/>
              </w:rPr>
              <w:t>Números centrales</w:t>
            </w:r>
          </w:p>
        </w:tc>
      </w:tr>
      <w:tr w:rsidR="00D07D59" w:rsidRPr="00A613F6" w:rsidTr="00D07D59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07D59" w:rsidRPr="00A613F6" w:rsidRDefault="00D07D59" w:rsidP="00FC4472">
            <w:pPr>
              <w:spacing w:before="60"/>
              <w:rPr>
                <w:sz w:val="18"/>
                <w:szCs w:val="18"/>
              </w:rPr>
            </w:pPr>
            <w:r w:rsidRPr="00A613F6">
              <w:rPr>
                <w:sz w:val="18"/>
                <w:szCs w:val="18"/>
              </w:rPr>
              <w:t>Sede del</w:t>
            </w:r>
            <w:r w:rsidRPr="00A613F6">
              <w:rPr>
                <w:sz w:val="18"/>
                <w:szCs w:val="18"/>
              </w:rPr>
              <w:br/>
              <w:t>Bundesnetzagentur für Elektrizität, Gas, Telekommunikation, Post und Eisenbahnen</w:t>
            </w:r>
            <w:r w:rsidR="00FC4472" w:rsidRPr="00A613F6">
              <w:rPr>
                <w:sz w:val="18"/>
                <w:szCs w:val="18"/>
              </w:rPr>
              <w:br/>
            </w:r>
            <w:r w:rsidRPr="00A613F6">
              <w:rPr>
                <w:sz w:val="18"/>
                <w:szCs w:val="18"/>
              </w:rPr>
              <w:t>BonnTulpenfeld 4</w:t>
            </w:r>
            <w:r w:rsidRPr="00A613F6">
              <w:rPr>
                <w:sz w:val="18"/>
                <w:szCs w:val="18"/>
              </w:rPr>
              <w:br/>
              <w:t>D-53113 Bonn</w:t>
            </w:r>
            <w:r w:rsidRPr="00A613F6">
              <w:rPr>
                <w:sz w:val="18"/>
                <w:szCs w:val="18"/>
              </w:rPr>
              <w:br/>
              <w:t>Tel</w:t>
            </w:r>
            <w:r w:rsidR="00FC4472" w:rsidRPr="00A613F6">
              <w:rPr>
                <w:sz w:val="18"/>
                <w:szCs w:val="18"/>
              </w:rPr>
              <w:t>.</w:t>
            </w:r>
            <w:r w:rsidRPr="00A613F6">
              <w:rPr>
                <w:sz w:val="18"/>
                <w:szCs w:val="18"/>
              </w:rPr>
              <w:t>: (02 28) 14-0</w:t>
            </w:r>
            <w:r w:rsidRPr="00A613F6">
              <w:rPr>
                <w:sz w:val="18"/>
                <w:szCs w:val="18"/>
              </w:rPr>
              <w:br/>
              <w:t>+49 228 14-0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D07D59" w:rsidRPr="00A613F6" w:rsidRDefault="00D07D59" w:rsidP="00FE250F">
            <w:pPr>
              <w:spacing w:before="60"/>
              <w:rPr>
                <w:sz w:val="18"/>
                <w:szCs w:val="18"/>
              </w:rPr>
            </w:pPr>
            <w:r w:rsidRPr="00A613F6">
              <w:rPr>
                <w:sz w:val="18"/>
                <w:szCs w:val="18"/>
              </w:rPr>
              <w:t>Fax Bonn</w:t>
            </w:r>
            <w:r w:rsidRPr="00A613F6">
              <w:rPr>
                <w:sz w:val="18"/>
                <w:szCs w:val="18"/>
              </w:rPr>
              <w:br/>
              <w:t>(02 28) 14-88 72</w:t>
            </w:r>
            <w:r w:rsidRPr="00A613F6">
              <w:rPr>
                <w:sz w:val="18"/>
                <w:szCs w:val="18"/>
              </w:rPr>
              <w:br/>
              <w:t>+49 228 14-88 72</w:t>
            </w:r>
            <w:r w:rsidR="00FE250F" w:rsidRPr="00A613F6">
              <w:rPr>
                <w:sz w:val="18"/>
                <w:szCs w:val="18"/>
              </w:rPr>
              <w:br/>
            </w:r>
            <w:r w:rsidRPr="00A613F6">
              <w:rPr>
                <w:sz w:val="18"/>
                <w:szCs w:val="18"/>
              </w:rPr>
              <w:t>Fax Mainz</w:t>
            </w:r>
            <w:r w:rsidRPr="00A613F6">
              <w:rPr>
                <w:sz w:val="18"/>
                <w:szCs w:val="18"/>
              </w:rPr>
              <w:br/>
              <w:t>(0 61 31) 18-56 00</w:t>
            </w:r>
            <w:r w:rsidRPr="00A613F6">
              <w:rPr>
                <w:sz w:val="18"/>
                <w:szCs w:val="18"/>
              </w:rPr>
              <w:br/>
              <w:t>+49 61 31 18-56 00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:rsidR="00D07D59" w:rsidRPr="00A613F6" w:rsidRDefault="00D07D59" w:rsidP="00FE250F">
            <w:pPr>
              <w:spacing w:before="60"/>
              <w:rPr>
                <w:sz w:val="18"/>
                <w:szCs w:val="18"/>
              </w:rPr>
            </w:pPr>
            <w:r w:rsidRPr="00A613F6">
              <w:rPr>
                <w:sz w:val="18"/>
                <w:szCs w:val="18"/>
              </w:rPr>
              <w:t xml:space="preserve">Correo-e: </w:t>
            </w:r>
            <w:r w:rsidR="000A6116">
              <w:rPr>
                <w:sz w:val="18"/>
                <w:szCs w:val="18"/>
              </w:rPr>
              <w:br/>
            </w:r>
            <w:hyperlink r:id="rId13" w:history="1">
              <w:r w:rsidRPr="00A613F6">
                <w:rPr>
                  <w:rStyle w:val="Hyperlink"/>
                  <w:sz w:val="18"/>
                  <w:szCs w:val="18"/>
                </w:rPr>
                <w:t>poststelle@bnetza.de</w:t>
              </w:r>
            </w:hyperlink>
            <w:r w:rsidR="00FE250F" w:rsidRPr="00A613F6">
              <w:rPr>
                <w:sz w:val="18"/>
                <w:szCs w:val="18"/>
              </w:rPr>
              <w:br/>
            </w:r>
            <w:r w:rsidRPr="00A613F6">
              <w:rPr>
                <w:sz w:val="18"/>
                <w:szCs w:val="18"/>
              </w:rPr>
              <w:t>Página web:</w:t>
            </w:r>
            <w:r w:rsidRPr="00A613F6">
              <w:rPr>
                <w:sz w:val="18"/>
                <w:szCs w:val="18"/>
              </w:rPr>
              <w:br/>
            </w:r>
            <w:hyperlink r:id="rId14" w:history="1">
              <w:r w:rsidRPr="00A613F6">
                <w:rPr>
                  <w:rStyle w:val="Hyperlink"/>
                  <w:sz w:val="18"/>
                  <w:szCs w:val="18"/>
                </w:rPr>
                <w:t>http://www.bundesnetzagentur.de</w:t>
              </w:r>
            </w:hyperlink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:rsidR="00D07D59" w:rsidRPr="00A613F6" w:rsidRDefault="00D07D59" w:rsidP="00D75B8C">
            <w:pPr>
              <w:spacing w:before="60"/>
              <w:rPr>
                <w:sz w:val="18"/>
                <w:szCs w:val="18"/>
              </w:rPr>
            </w:pPr>
            <w:r w:rsidRPr="00A613F6">
              <w:rPr>
                <w:sz w:val="18"/>
                <w:szCs w:val="18"/>
              </w:rPr>
              <w:t xml:space="preserve">Oficina </w:t>
            </w:r>
            <w:r w:rsidRPr="00A613F6">
              <w:rPr>
                <w:sz w:val="18"/>
                <w:szCs w:val="18"/>
              </w:rPr>
              <w:br/>
              <w:t>Canisiusstr. 21</w:t>
            </w:r>
            <w:r w:rsidRPr="00A613F6">
              <w:rPr>
                <w:sz w:val="18"/>
                <w:szCs w:val="18"/>
              </w:rPr>
              <w:br/>
              <w:t>55122 Mainz</w:t>
            </w:r>
            <w:r w:rsidRPr="00A613F6">
              <w:rPr>
                <w:sz w:val="18"/>
                <w:szCs w:val="18"/>
              </w:rPr>
              <w:br/>
              <w:t>Tel</w:t>
            </w:r>
            <w:r w:rsidR="00FC4472" w:rsidRPr="00A613F6">
              <w:rPr>
                <w:sz w:val="18"/>
                <w:szCs w:val="18"/>
              </w:rPr>
              <w:t>.</w:t>
            </w:r>
            <w:r w:rsidRPr="00A613F6">
              <w:rPr>
                <w:sz w:val="18"/>
                <w:szCs w:val="18"/>
              </w:rPr>
              <w:t>: (0 61 31) 18-0</w:t>
            </w:r>
            <w:r w:rsidRPr="00A613F6">
              <w:rPr>
                <w:sz w:val="18"/>
                <w:szCs w:val="18"/>
              </w:rPr>
              <w:br/>
              <w:t>+49 61 31 18-0</w:t>
            </w:r>
          </w:p>
        </w:tc>
      </w:tr>
    </w:tbl>
    <w:p w:rsidR="00D07D59" w:rsidRPr="00A613F6" w:rsidRDefault="00D07D59" w:rsidP="00D07D59">
      <w:r w:rsidRPr="00A613F6">
        <w:br w:type="page"/>
      </w:r>
    </w:p>
    <w:p w:rsidR="00936A49" w:rsidRPr="00A613F6" w:rsidRDefault="00936A49" w:rsidP="006A1A88">
      <w:r w:rsidRPr="00A613F6">
        <w:lastRenderedPageBreak/>
        <w:t>Estimado Sr. Rancy:</w:t>
      </w:r>
    </w:p>
    <w:p w:rsidR="00936A49" w:rsidRPr="00A613F6" w:rsidRDefault="00FC1044" w:rsidP="00B539B5">
      <w:pPr>
        <w:jc w:val="both"/>
      </w:pPr>
      <w:r w:rsidRPr="00A613F6">
        <w:t xml:space="preserve">La Administración </w:t>
      </w:r>
      <w:r w:rsidR="00C07EAC" w:rsidRPr="00A613F6">
        <w:t>de Alemania</w:t>
      </w:r>
      <w:r w:rsidRPr="00A613F6">
        <w:t xml:space="preserve"> desea </w:t>
      </w:r>
      <w:r w:rsidR="0016316B" w:rsidRPr="00A613F6">
        <w:t>expresar su agradecimiento</w:t>
      </w:r>
      <w:r w:rsidRPr="00A613F6">
        <w:t xml:space="preserve"> a la Administración de la India por la carta </w:t>
      </w:r>
      <w:r w:rsidR="00463DD8">
        <w:t>de referencia</w:t>
      </w:r>
      <w:r w:rsidRPr="00A613F6">
        <w:t xml:space="preserve"> y aprovecha la oportunidad para proporcionar cierta</w:t>
      </w:r>
      <w:r w:rsidR="0016316B" w:rsidRPr="00A613F6">
        <w:t>s</w:t>
      </w:r>
      <w:r w:rsidRPr="00A613F6">
        <w:t xml:space="preserve"> </w:t>
      </w:r>
      <w:r w:rsidR="0016316B" w:rsidRPr="00A613F6">
        <w:t>aclaraciones</w:t>
      </w:r>
      <w:r w:rsidRPr="00A613F6">
        <w:t xml:space="preserve"> y abordar algunos de los puntos planteados en la </w:t>
      </w:r>
      <w:r w:rsidR="0016316B" w:rsidRPr="00A613F6">
        <w:t>misiva.</w:t>
      </w:r>
    </w:p>
    <w:p w:rsidR="00FC1044" w:rsidRPr="00A613F6" w:rsidRDefault="00FC1044" w:rsidP="00B539B5">
      <w:pPr>
        <w:jc w:val="both"/>
      </w:pPr>
      <w:r w:rsidRPr="00A613F6">
        <w:t xml:space="preserve">Antes de abordar la respuesta de la Administración </w:t>
      </w:r>
      <w:r w:rsidR="00463DD8">
        <w:t>de la I</w:t>
      </w:r>
      <w:r w:rsidRPr="00A613F6">
        <w:t xml:space="preserve">ndia, la Administración </w:t>
      </w:r>
      <w:r w:rsidR="0016316B" w:rsidRPr="00A613F6">
        <w:t xml:space="preserve">de Alemania </w:t>
      </w:r>
      <w:r w:rsidRPr="00A613F6">
        <w:t xml:space="preserve">desea señalar a la atención de la Oficina de Radiocomunicaciones y </w:t>
      </w:r>
      <w:r w:rsidR="0016316B" w:rsidRPr="00A613F6">
        <w:t xml:space="preserve">de </w:t>
      </w:r>
      <w:r w:rsidRPr="00A613F6">
        <w:t xml:space="preserve">los estimados miembros de la RRB que, </w:t>
      </w:r>
      <w:r w:rsidR="0016316B" w:rsidRPr="00A613F6">
        <w:t xml:space="preserve">en 2013, </w:t>
      </w:r>
      <w:r w:rsidRPr="00A613F6">
        <w:t xml:space="preserve">cuando la Administración de la India invocó por primera vez </w:t>
      </w:r>
      <w:r w:rsidR="00463DD8">
        <w:t>la aplicación d</w:t>
      </w:r>
      <w:r w:rsidRPr="00A613F6">
        <w:t xml:space="preserve">el Artículo 48 </w:t>
      </w:r>
      <w:r w:rsidR="00463DD8">
        <w:t>a</w:t>
      </w:r>
      <w:r w:rsidR="0016316B" w:rsidRPr="00A613F6">
        <w:t xml:space="preserve"> las notificaciones de las redes de satélites</w:t>
      </w:r>
      <w:r w:rsidRPr="00A613F6">
        <w:t xml:space="preserve"> INSAT-2</w:t>
      </w:r>
      <w:r w:rsidR="0016316B" w:rsidRPr="00A613F6">
        <w:t>(48)</w:t>
      </w:r>
      <w:r w:rsidRPr="00A613F6">
        <w:t>, INSAT-2M(48), INSAT</w:t>
      </w:r>
      <w:r w:rsidR="00867D50">
        <w:noBreakHyphen/>
      </w:r>
      <w:r w:rsidRPr="00A613F6">
        <w:t xml:space="preserve">2T(48) e INSAT-EK48R, </w:t>
      </w:r>
      <w:r w:rsidR="0016316B" w:rsidRPr="00A613F6">
        <w:t>las</w:t>
      </w:r>
      <w:r w:rsidRPr="00A613F6">
        <w:t xml:space="preserve"> notificaciones</w:t>
      </w:r>
      <w:r w:rsidR="0016316B" w:rsidRPr="00A613F6">
        <w:t xml:space="preserve"> en cuestión</w:t>
      </w:r>
      <w:r w:rsidRPr="00A613F6">
        <w:t xml:space="preserve"> deberían haber </w:t>
      </w:r>
      <w:r w:rsidR="0016316B" w:rsidRPr="00A613F6">
        <w:t>vencido, pues habían permanecido inutilizadas</w:t>
      </w:r>
      <w:r w:rsidRPr="00A613F6">
        <w:t xml:space="preserve"> durante más de dos años, que era el </w:t>
      </w:r>
      <w:r w:rsidR="0016316B" w:rsidRPr="00A613F6">
        <w:t>plazo</w:t>
      </w:r>
      <w:r w:rsidRPr="00A613F6">
        <w:t xml:space="preserve"> máximo permitido por el Reglamento de Radiocomunicaciones en ese momento.</w:t>
      </w:r>
    </w:p>
    <w:p w:rsidR="00FC1044" w:rsidRPr="00A613F6" w:rsidRDefault="00FC1044" w:rsidP="00B539B5">
      <w:pPr>
        <w:jc w:val="both"/>
      </w:pPr>
      <w:r w:rsidRPr="00A613F6">
        <w:t>Además, durante ese per</w:t>
      </w:r>
      <w:r w:rsidR="00B67DA7">
        <w:t>i</w:t>
      </w:r>
      <w:r w:rsidRPr="00A613F6">
        <w:t xml:space="preserve">odo de </w:t>
      </w:r>
      <w:r w:rsidR="0016316B" w:rsidRPr="00A613F6">
        <w:t>inu</w:t>
      </w:r>
      <w:r w:rsidRPr="00A613F6">
        <w:t>tilización, la Administración de la India no suspendió sus asignaciones de frecuencia</w:t>
      </w:r>
      <w:r w:rsidR="00463DD8">
        <w:t>s</w:t>
      </w:r>
      <w:r w:rsidRPr="00A613F6">
        <w:t xml:space="preserve"> ni invocó </w:t>
      </w:r>
      <w:r w:rsidR="00463DD8">
        <w:t>la aplicación d</w:t>
      </w:r>
      <w:r w:rsidRPr="00A613F6">
        <w:t xml:space="preserve">el </w:t>
      </w:r>
      <w:r w:rsidR="00463DD8">
        <w:t>A</w:t>
      </w:r>
      <w:r w:rsidRPr="00A613F6">
        <w:t xml:space="preserve">rtículo 48 hasta que otra Administración realizó una consulta en virtud del </w:t>
      </w:r>
      <w:r w:rsidR="0016316B" w:rsidRPr="00A613F6">
        <w:t>número</w:t>
      </w:r>
      <w:r w:rsidRPr="00A613F6">
        <w:t xml:space="preserve"> 13.6</w:t>
      </w:r>
      <w:r w:rsidR="0016316B" w:rsidRPr="00A613F6">
        <w:t xml:space="preserve"> del RR</w:t>
      </w:r>
      <w:r w:rsidRPr="00A613F6">
        <w:t>.</w:t>
      </w:r>
    </w:p>
    <w:p w:rsidR="00FC1044" w:rsidRPr="00A613F6" w:rsidRDefault="00FC1044" w:rsidP="00B539B5">
      <w:pPr>
        <w:jc w:val="both"/>
      </w:pPr>
      <w:r w:rsidRPr="00A613F6">
        <w:t xml:space="preserve">Con respecto a la última carta de la Administración </w:t>
      </w:r>
      <w:r w:rsidR="0016316B" w:rsidRPr="00A613F6">
        <w:t>de la I</w:t>
      </w:r>
      <w:r w:rsidRPr="00A613F6">
        <w:t xml:space="preserve">ndia, la Administración </w:t>
      </w:r>
      <w:r w:rsidR="0016316B" w:rsidRPr="00A613F6">
        <w:t>de Alemania desea señalar</w:t>
      </w:r>
      <w:r w:rsidRPr="00A613F6">
        <w:t xml:space="preserve"> respetuosamente lo siguiente:</w:t>
      </w:r>
    </w:p>
    <w:p w:rsidR="006A1A88" w:rsidRPr="00B67DA7" w:rsidRDefault="006A1A88" w:rsidP="00C07EAC">
      <w:pPr>
        <w:pStyle w:val="enumlev1"/>
        <w:rPr>
          <w:b/>
          <w:bCs/>
        </w:rPr>
      </w:pPr>
      <w:r w:rsidRPr="00B67DA7">
        <w:rPr>
          <w:b/>
          <w:bCs/>
        </w:rPr>
        <w:t>1)</w:t>
      </w:r>
      <w:r w:rsidRPr="00B67DA7">
        <w:rPr>
          <w:b/>
          <w:bCs/>
        </w:rPr>
        <w:tab/>
      </w:r>
      <w:r w:rsidR="00C07EAC" w:rsidRPr="00B67DA7">
        <w:rPr>
          <w:b/>
          <w:bCs/>
        </w:rPr>
        <w:t>Relevancia del Artículo 48 para los países en desarrollo</w:t>
      </w:r>
    </w:p>
    <w:p w:rsidR="00C07EAC" w:rsidRPr="00B67DA7" w:rsidRDefault="006A1A88" w:rsidP="00B539B5">
      <w:pPr>
        <w:pStyle w:val="enumlev1"/>
        <w:jc w:val="both"/>
      </w:pPr>
      <w:r w:rsidRPr="00B67DA7">
        <w:tab/>
      </w:r>
      <w:r w:rsidR="00C07EAC" w:rsidRPr="00B67DA7">
        <w:t xml:space="preserve">La Administración de la India argumenta correctamente que los países en desarrollo dependen de la comunicación espacial </w:t>
      </w:r>
      <w:r w:rsidR="00463DD8" w:rsidRPr="00B67DA7">
        <w:t xml:space="preserve">en cuanto que elemento </w:t>
      </w:r>
      <w:r w:rsidR="00491A4F" w:rsidRPr="00B67DA7">
        <w:t>crucial</w:t>
      </w:r>
      <w:r w:rsidR="00C07EAC" w:rsidRPr="00B67DA7">
        <w:t xml:space="preserve"> para </w:t>
      </w:r>
      <w:r w:rsidR="00491A4F" w:rsidRPr="00B67DA7">
        <w:t xml:space="preserve">el </w:t>
      </w:r>
      <w:r w:rsidR="00C07EAC" w:rsidRPr="00B67DA7">
        <w:t>desarroll</w:t>
      </w:r>
      <w:r w:rsidR="00491A4F" w:rsidRPr="00B67DA7">
        <w:t>o de</w:t>
      </w:r>
      <w:r w:rsidR="00C07EAC" w:rsidRPr="00B67DA7">
        <w:t xml:space="preserve"> su infraestructura de telecomunicaciones. </w:t>
      </w:r>
      <w:r w:rsidR="00EE1B4C" w:rsidRPr="00B67DA7">
        <w:t>Según se indicó</w:t>
      </w:r>
      <w:r w:rsidR="00C07EAC" w:rsidRPr="00B67DA7">
        <w:t xml:space="preserve"> anteriormente, la Administración</w:t>
      </w:r>
      <w:r w:rsidR="00EE1B4C" w:rsidRPr="00B67DA7">
        <w:t xml:space="preserve"> de</w:t>
      </w:r>
      <w:r w:rsidR="00C07EAC" w:rsidRPr="00B67DA7">
        <w:t xml:space="preserve"> </w:t>
      </w:r>
      <w:r w:rsidR="00EE1B4C" w:rsidRPr="00B67DA7">
        <w:t>Alemania</w:t>
      </w:r>
      <w:r w:rsidR="00C07EAC" w:rsidRPr="00B67DA7">
        <w:t xml:space="preserve"> </w:t>
      </w:r>
      <w:r w:rsidR="00EE1B4C" w:rsidRPr="00B67DA7">
        <w:t>conviene</w:t>
      </w:r>
      <w:r w:rsidR="00C07EAC" w:rsidRPr="00B67DA7">
        <w:t xml:space="preserve"> plenamente</w:t>
      </w:r>
      <w:r w:rsidR="00EE1B4C" w:rsidRPr="00B67DA7">
        <w:t xml:space="preserve"> en</w:t>
      </w:r>
      <w:r w:rsidR="00C07EAC" w:rsidRPr="00B67DA7">
        <w:t xml:space="preserve"> la importancia de la infraestructura de comunicación espacial para satisfacer las necesidades de las diferentes comunidades de usuarios, </w:t>
      </w:r>
      <w:r w:rsidR="00EE1B4C" w:rsidRPr="00B67DA7">
        <w:t>no obstante,</w:t>
      </w:r>
      <w:r w:rsidR="00C07EAC" w:rsidRPr="00B67DA7">
        <w:t xml:space="preserve"> cuestiona la relevancia de </w:t>
      </w:r>
      <w:r w:rsidR="00EE1B4C" w:rsidRPr="00B67DA7">
        <w:t>lo anterior</w:t>
      </w:r>
      <w:r w:rsidR="00C07EAC" w:rsidRPr="00B67DA7">
        <w:t xml:space="preserve"> para la aplicación del Artículo 48 en el presente caso. El Artículo 48 </w:t>
      </w:r>
      <w:r w:rsidR="00EE1B4C" w:rsidRPr="00B67DA7">
        <w:t>de</w:t>
      </w:r>
      <w:r w:rsidR="00C07EAC" w:rsidRPr="00B67DA7">
        <w:t xml:space="preserve"> la Constitución de la UIT </w:t>
      </w:r>
      <w:r w:rsidR="00EE1B4C" w:rsidRPr="00B67DA7">
        <w:t xml:space="preserve">hace estrictamente referencia a las </w:t>
      </w:r>
      <w:r w:rsidR="00B67DA7" w:rsidRPr="00B67DA7">
        <w:t>«</w:t>
      </w:r>
      <w:r w:rsidR="00EE1B4C" w:rsidRPr="00A613F6">
        <w:t>instalaciones radioeléctricas militares</w:t>
      </w:r>
      <w:r w:rsidR="00B67DA7">
        <w:t>»</w:t>
      </w:r>
      <w:r w:rsidR="00C07EAC" w:rsidRPr="00B67DA7">
        <w:t xml:space="preserve"> y no </w:t>
      </w:r>
      <w:r w:rsidR="00EE1B4C" w:rsidRPr="00B67DA7">
        <w:t xml:space="preserve">menciona </w:t>
      </w:r>
      <w:r w:rsidR="00C07EAC" w:rsidRPr="00B67DA7">
        <w:t xml:space="preserve">las necesidades de los países en desarrollo </w:t>
      </w:r>
      <w:r w:rsidR="00F15406" w:rsidRPr="00B67DA7">
        <w:t>en relación con</w:t>
      </w:r>
      <w:r w:rsidR="00EE1B4C" w:rsidRPr="00B67DA7">
        <w:t xml:space="preserve"> </w:t>
      </w:r>
      <w:r w:rsidR="00C07EAC" w:rsidRPr="00B67DA7">
        <w:t>l</w:t>
      </w:r>
      <w:r w:rsidR="00EE1B4C" w:rsidRPr="00B67DA7">
        <w:t>a</w:t>
      </w:r>
      <w:r w:rsidR="00C07EAC" w:rsidRPr="00B67DA7">
        <w:t xml:space="preserve"> </w:t>
      </w:r>
      <w:r w:rsidR="00EE1B4C" w:rsidRPr="00B67DA7">
        <w:t>mejora</w:t>
      </w:r>
      <w:r w:rsidR="00C07EAC" w:rsidRPr="00B67DA7">
        <w:t xml:space="preserve"> de la infraestructura de comunicaciones de banda ancha.</w:t>
      </w:r>
    </w:p>
    <w:p w:rsidR="00C07EAC" w:rsidRPr="00B67DA7" w:rsidRDefault="006A1A88" w:rsidP="00463DD8">
      <w:pPr>
        <w:pStyle w:val="enumlev1"/>
        <w:rPr>
          <w:b/>
          <w:bCs/>
        </w:rPr>
      </w:pPr>
      <w:r w:rsidRPr="00B67DA7">
        <w:rPr>
          <w:b/>
          <w:bCs/>
        </w:rPr>
        <w:t>2)</w:t>
      </w:r>
      <w:r w:rsidRPr="00B67DA7">
        <w:rPr>
          <w:b/>
          <w:bCs/>
        </w:rPr>
        <w:tab/>
      </w:r>
      <w:r w:rsidR="00463DD8" w:rsidRPr="00B67DA7">
        <w:rPr>
          <w:b/>
          <w:bCs/>
        </w:rPr>
        <w:t>Emplear</w:t>
      </w:r>
      <w:r w:rsidR="00F15406" w:rsidRPr="00B67DA7">
        <w:rPr>
          <w:b/>
          <w:bCs/>
        </w:rPr>
        <w:t xml:space="preserve"> </w:t>
      </w:r>
      <w:r w:rsidR="00C07EAC" w:rsidRPr="00B67DA7">
        <w:rPr>
          <w:b/>
          <w:bCs/>
        </w:rPr>
        <w:t xml:space="preserve">información pública </w:t>
      </w:r>
      <w:r w:rsidR="00570841" w:rsidRPr="00B67DA7">
        <w:rPr>
          <w:b/>
          <w:bCs/>
        </w:rPr>
        <w:t xml:space="preserve">para </w:t>
      </w:r>
      <w:r w:rsidR="00C07EAC" w:rsidRPr="00B67DA7">
        <w:rPr>
          <w:b/>
          <w:bCs/>
        </w:rPr>
        <w:t>determina</w:t>
      </w:r>
      <w:r w:rsidR="00570841" w:rsidRPr="00B67DA7">
        <w:rPr>
          <w:b/>
          <w:bCs/>
        </w:rPr>
        <w:t>r</w:t>
      </w:r>
      <w:r w:rsidR="00C07EAC" w:rsidRPr="00B67DA7">
        <w:rPr>
          <w:b/>
          <w:bCs/>
        </w:rPr>
        <w:t xml:space="preserve"> </w:t>
      </w:r>
      <w:r w:rsidR="00463DD8" w:rsidRPr="00B67DA7">
        <w:rPr>
          <w:b/>
          <w:bCs/>
        </w:rPr>
        <w:t>el uso</w:t>
      </w:r>
      <w:r w:rsidR="00570841" w:rsidRPr="00B67DA7">
        <w:rPr>
          <w:b/>
          <w:bCs/>
        </w:rPr>
        <w:t xml:space="preserve"> </w:t>
      </w:r>
      <w:r w:rsidR="00463DD8" w:rsidRPr="00B67DA7">
        <w:rPr>
          <w:b/>
          <w:bCs/>
        </w:rPr>
        <w:t>de las</w:t>
      </w:r>
      <w:r w:rsidR="00C07EAC" w:rsidRPr="00B67DA7">
        <w:rPr>
          <w:b/>
          <w:bCs/>
        </w:rPr>
        <w:t xml:space="preserve"> asignaciones de frecuencia</w:t>
      </w:r>
      <w:r w:rsidR="00463DD8" w:rsidRPr="00B67DA7">
        <w:rPr>
          <w:b/>
          <w:bCs/>
        </w:rPr>
        <w:t>s</w:t>
      </w:r>
    </w:p>
    <w:p w:rsidR="006A1A88" w:rsidRPr="00B67DA7" w:rsidRDefault="006A1A88" w:rsidP="00B539B5">
      <w:pPr>
        <w:pStyle w:val="enumlev1"/>
        <w:jc w:val="both"/>
      </w:pPr>
      <w:r w:rsidRPr="00B67DA7">
        <w:tab/>
      </w:r>
      <w:r w:rsidR="00C07EAC" w:rsidRPr="00B67DA7">
        <w:t xml:space="preserve">La Administración </w:t>
      </w:r>
      <w:r w:rsidR="00F15406" w:rsidRPr="00B67DA7">
        <w:t>de la India</w:t>
      </w:r>
      <w:r w:rsidR="00C07EAC" w:rsidRPr="00B67DA7">
        <w:t xml:space="preserve"> afirma que </w:t>
      </w:r>
      <w:r w:rsidR="00B67DA7">
        <w:t>«</w:t>
      </w:r>
      <w:r w:rsidR="00F15406" w:rsidRPr="00A613F6">
        <w:t>la información pública no ha de tomarse como base para determinar asuntos relacionados con la utilización y las características de las redes de satélites, en particular las redes de satélites amparadas por el Artículo 48</w:t>
      </w:r>
      <w:r w:rsidR="00B67DA7">
        <w:t>»</w:t>
      </w:r>
      <w:r w:rsidR="00F15406" w:rsidRPr="00A613F6">
        <w:t xml:space="preserve">. </w:t>
      </w:r>
      <w:r w:rsidR="00463DD8">
        <w:t>E</w:t>
      </w:r>
      <w:r w:rsidR="00463DD8" w:rsidRPr="00B67DA7">
        <w:t>n principio, l</w:t>
      </w:r>
      <w:r w:rsidR="00C07EAC" w:rsidRPr="00B67DA7">
        <w:t xml:space="preserve">a Administración </w:t>
      </w:r>
      <w:r w:rsidR="00F15406" w:rsidRPr="00B67DA7">
        <w:t>de Alemania</w:t>
      </w:r>
      <w:r w:rsidR="00C07EAC" w:rsidRPr="00B67DA7">
        <w:t xml:space="preserve"> </w:t>
      </w:r>
      <w:r w:rsidR="00F15406" w:rsidRPr="00B67DA7">
        <w:t>conviene con</w:t>
      </w:r>
      <w:r w:rsidR="00C07EAC" w:rsidRPr="00B67DA7">
        <w:t xml:space="preserve"> esta </w:t>
      </w:r>
      <w:r w:rsidR="00F15406" w:rsidRPr="00B67DA7">
        <w:t>afirmación</w:t>
      </w:r>
      <w:r w:rsidR="00C07EAC" w:rsidRPr="00B67DA7">
        <w:t xml:space="preserve">. Sin embargo, </w:t>
      </w:r>
      <w:r w:rsidR="00570841" w:rsidRPr="00B67DA7">
        <w:t>las circunstancias de</w:t>
      </w:r>
      <w:r w:rsidR="00F15406" w:rsidRPr="00B67DA7">
        <w:t xml:space="preserve"> este caso</w:t>
      </w:r>
      <w:r w:rsidR="00570841" w:rsidRPr="00B67DA7">
        <w:t xml:space="preserve"> guardan relación </w:t>
      </w:r>
      <w:r w:rsidR="00C07EAC" w:rsidRPr="00B67DA7">
        <w:t xml:space="preserve">con declaraciones públicas </w:t>
      </w:r>
      <w:r w:rsidR="00570841" w:rsidRPr="00B67DA7">
        <w:t>de</w:t>
      </w:r>
      <w:r w:rsidR="00C07EAC" w:rsidRPr="00B67DA7">
        <w:t xml:space="preserve"> funcionarios del </w:t>
      </w:r>
      <w:r w:rsidR="00237E3D" w:rsidRPr="00B67DA7">
        <w:t xml:space="preserve">Gobierno </w:t>
      </w:r>
      <w:r w:rsidR="00570841" w:rsidRPr="00B67DA7">
        <w:t>de la India</w:t>
      </w:r>
      <w:r w:rsidR="00C07EAC" w:rsidRPr="00B67DA7">
        <w:t xml:space="preserve"> sobre </w:t>
      </w:r>
      <w:r w:rsidR="007C45E2" w:rsidRPr="00B67DA7">
        <w:t>el tipo de uso dado a</w:t>
      </w:r>
      <w:r w:rsidR="00C07EAC" w:rsidRPr="00B67DA7">
        <w:t xml:space="preserve"> las notificaciones de</w:t>
      </w:r>
      <w:r w:rsidR="00570841" w:rsidRPr="00B67DA7">
        <w:t xml:space="preserve"> las</w:t>
      </w:r>
      <w:r w:rsidR="00C07EAC" w:rsidRPr="00B67DA7">
        <w:t xml:space="preserve"> redes de satélite</w:t>
      </w:r>
      <w:r w:rsidR="00570841" w:rsidRPr="00B67DA7">
        <w:t>s</w:t>
      </w:r>
      <w:r w:rsidR="00C07EAC" w:rsidRPr="00B67DA7">
        <w:t xml:space="preserve"> en cuestión.</w:t>
      </w:r>
      <w:r w:rsidR="00570841" w:rsidRPr="00B67DA7">
        <w:t xml:space="preserve"> De</w:t>
      </w:r>
      <w:r w:rsidR="00C07EAC" w:rsidRPr="00B67DA7">
        <w:t xml:space="preserve"> </w:t>
      </w:r>
      <w:r w:rsidR="00570841" w:rsidRPr="00B67DA7">
        <w:t>e</w:t>
      </w:r>
      <w:r w:rsidR="00C07EAC" w:rsidRPr="00B67DA7">
        <w:t>stas declaraciones parece</w:t>
      </w:r>
      <w:r w:rsidR="00570841" w:rsidRPr="00B67DA7">
        <w:t xml:space="preserve"> colegirse que </w:t>
      </w:r>
      <w:r w:rsidR="007C45E2" w:rsidRPr="00B67DA7">
        <w:t>dicho</w:t>
      </w:r>
      <w:r w:rsidR="00174F72" w:rsidRPr="00B67DA7">
        <w:t xml:space="preserve"> uso </w:t>
      </w:r>
      <w:r w:rsidR="00C07EAC" w:rsidRPr="00B67DA7">
        <w:t xml:space="preserve">es incompatible con la aplicación del Artículo 48. </w:t>
      </w:r>
      <w:r w:rsidR="009652E4" w:rsidRPr="00B67DA7">
        <w:t>La Administración de la India debería aclarar e</w:t>
      </w:r>
      <w:r w:rsidR="00570841" w:rsidRPr="00B67DA7">
        <w:t>sta</w:t>
      </w:r>
      <w:r w:rsidR="00C07EAC" w:rsidRPr="00B67DA7">
        <w:t xml:space="preserve"> incoherencia</w:t>
      </w:r>
      <w:r w:rsidR="009652E4" w:rsidRPr="00B67DA7">
        <w:t>.</w:t>
      </w:r>
    </w:p>
    <w:p w:rsidR="006A1A88" w:rsidRPr="00B67DA7" w:rsidRDefault="006A1A88" w:rsidP="009652E4">
      <w:pPr>
        <w:pStyle w:val="enumlev1"/>
        <w:rPr>
          <w:b/>
          <w:bCs/>
        </w:rPr>
      </w:pPr>
      <w:r w:rsidRPr="00B67DA7">
        <w:rPr>
          <w:b/>
          <w:bCs/>
        </w:rPr>
        <w:t>3)</w:t>
      </w:r>
      <w:r w:rsidRPr="00B67DA7">
        <w:rPr>
          <w:b/>
          <w:bCs/>
        </w:rPr>
        <w:tab/>
      </w:r>
      <w:r w:rsidR="00C07EAC" w:rsidRPr="00B67DA7">
        <w:rPr>
          <w:b/>
          <w:bCs/>
        </w:rPr>
        <w:t xml:space="preserve">Los satélites GSAT-9, GSAT-11 y GSAT19 no </w:t>
      </w:r>
      <w:r w:rsidR="009652E4" w:rsidRPr="00B67DA7">
        <w:rPr>
          <w:b/>
          <w:bCs/>
        </w:rPr>
        <w:t>utilizan</w:t>
      </w:r>
      <w:r w:rsidR="00C07EAC" w:rsidRPr="00B67DA7">
        <w:rPr>
          <w:b/>
          <w:bCs/>
        </w:rPr>
        <w:t xml:space="preserve"> las asignaciones de frecuencia</w:t>
      </w:r>
      <w:r w:rsidR="009652E4" w:rsidRPr="00B67DA7">
        <w:rPr>
          <w:b/>
          <w:bCs/>
        </w:rPr>
        <w:t>s</w:t>
      </w:r>
      <w:r w:rsidR="00C07EAC" w:rsidRPr="00B67DA7">
        <w:rPr>
          <w:b/>
          <w:bCs/>
        </w:rPr>
        <w:t xml:space="preserve"> en </w:t>
      </w:r>
      <w:r w:rsidR="009652E4" w:rsidRPr="00B67DA7">
        <w:rPr>
          <w:b/>
          <w:bCs/>
        </w:rPr>
        <w:t>cuestión</w:t>
      </w:r>
    </w:p>
    <w:p w:rsidR="00C07EAC" w:rsidRPr="00B67DA7" w:rsidRDefault="006A1A88" w:rsidP="00B539B5">
      <w:pPr>
        <w:pStyle w:val="enumlev1"/>
        <w:jc w:val="both"/>
      </w:pPr>
      <w:r w:rsidRPr="00B67DA7">
        <w:tab/>
      </w:r>
      <w:r w:rsidR="00C07EAC" w:rsidRPr="00B67DA7">
        <w:t xml:space="preserve">La Administración de la India </w:t>
      </w:r>
      <w:r w:rsidR="009652E4" w:rsidRPr="00B67DA7">
        <w:t>afirma</w:t>
      </w:r>
      <w:r w:rsidR="00C07EAC" w:rsidRPr="00B67DA7">
        <w:t xml:space="preserve"> que los satélites GSAT-9, GSAT-19 y GSAT-11 </w:t>
      </w:r>
      <w:r w:rsidR="00F51F18">
        <w:t>–</w:t>
      </w:r>
      <w:r w:rsidR="009652E4" w:rsidRPr="00B67DA7">
        <w:t xml:space="preserve">a los que hicieron </w:t>
      </w:r>
      <w:r w:rsidR="00C07EAC" w:rsidRPr="00B67DA7">
        <w:t xml:space="preserve">referencia </w:t>
      </w:r>
      <w:r w:rsidR="009652E4" w:rsidRPr="00B67DA7">
        <w:t>los</w:t>
      </w:r>
      <w:r w:rsidR="00C07EAC" w:rsidRPr="00B67DA7">
        <w:t xml:space="preserve"> funcionarios del </w:t>
      </w:r>
      <w:r w:rsidR="00F51F18">
        <w:t>G</w:t>
      </w:r>
      <w:r w:rsidR="00C07EAC" w:rsidRPr="00B67DA7">
        <w:t xml:space="preserve">obierno </w:t>
      </w:r>
      <w:r w:rsidR="009652E4" w:rsidRPr="00B67DA7">
        <w:t xml:space="preserve">de la India en sus declaraciones públicas– </w:t>
      </w:r>
      <w:r w:rsidR="00C07EAC" w:rsidRPr="00B67DA7">
        <w:t xml:space="preserve">utilizan bandas de frecuencias </w:t>
      </w:r>
      <w:r w:rsidR="009652E4" w:rsidRPr="00B67DA7">
        <w:t xml:space="preserve">que </w:t>
      </w:r>
      <w:r w:rsidR="009652E4" w:rsidRPr="00A613F6">
        <w:t xml:space="preserve">entran dentro del alcance del Apéndice 30B </w:t>
      </w:r>
      <w:r w:rsidR="00B67DA7">
        <w:t xml:space="preserve">y que, por consiguiente, «esto </w:t>
      </w:r>
      <w:r w:rsidR="009652E4" w:rsidRPr="00A613F6">
        <w:t>no atañe a las notificaciones de redes de satélites del caso presente a las que se aplica el Artículo 48</w:t>
      </w:r>
      <w:r w:rsidR="00B67DA7">
        <w:t>»</w:t>
      </w:r>
      <w:r w:rsidR="009652E4" w:rsidRPr="00A613F6">
        <w:t>.</w:t>
      </w:r>
      <w:r w:rsidR="009652E4" w:rsidRPr="00B67DA7">
        <w:t xml:space="preserve"> T</w:t>
      </w:r>
      <w:r w:rsidR="00C07EAC" w:rsidRPr="00B67DA7">
        <w:t>eniendo en cuenta esta afirmación, el estado de las asignaciones de frecuencia</w:t>
      </w:r>
      <w:r w:rsidR="009652E4" w:rsidRPr="00B67DA7">
        <w:t>s</w:t>
      </w:r>
      <w:r w:rsidR="00C07EAC" w:rsidRPr="00B67DA7">
        <w:t xml:space="preserve"> contenidas en</w:t>
      </w:r>
      <w:r w:rsidR="009652E4" w:rsidRPr="00B67DA7">
        <w:t xml:space="preserve"> las notificaciones de las redes de satélites INSAT-2(48), INSAT-2M(</w:t>
      </w:r>
      <w:r w:rsidR="00C07EAC" w:rsidRPr="00B67DA7">
        <w:t>48), INSA</w:t>
      </w:r>
      <w:r w:rsidR="009652E4" w:rsidRPr="00B67DA7">
        <w:t>T-2T(</w:t>
      </w:r>
      <w:r w:rsidR="00C07EAC" w:rsidRPr="00B67DA7">
        <w:t xml:space="preserve">48) </w:t>
      </w:r>
      <w:r w:rsidR="009652E4" w:rsidRPr="00B67DA7">
        <w:t>e</w:t>
      </w:r>
      <w:r w:rsidR="00C07EAC" w:rsidRPr="00B67DA7">
        <w:t xml:space="preserve"> INSAT-EK48R </w:t>
      </w:r>
      <w:r w:rsidR="00174F72" w:rsidRPr="00B67DA7">
        <w:t>permanece</w:t>
      </w:r>
      <w:r w:rsidR="009652E4" w:rsidRPr="00B67DA7">
        <w:t xml:space="preserve"> en </w:t>
      </w:r>
      <w:r w:rsidR="007C45E2" w:rsidRPr="00B67DA7">
        <w:t>tela de juicio</w:t>
      </w:r>
      <w:r w:rsidR="009652E4" w:rsidRPr="00B67DA7">
        <w:t>.</w:t>
      </w:r>
    </w:p>
    <w:p w:rsidR="006A1A88" w:rsidRPr="00B67DA7" w:rsidRDefault="006A1A88" w:rsidP="00463DD8">
      <w:pPr>
        <w:pStyle w:val="enumlev1"/>
        <w:rPr>
          <w:b/>
          <w:bCs/>
        </w:rPr>
      </w:pPr>
      <w:r w:rsidRPr="00B67DA7">
        <w:rPr>
          <w:b/>
          <w:bCs/>
        </w:rPr>
        <w:lastRenderedPageBreak/>
        <w:t>4)</w:t>
      </w:r>
      <w:r w:rsidRPr="00B67DA7">
        <w:rPr>
          <w:b/>
          <w:bCs/>
        </w:rPr>
        <w:tab/>
      </w:r>
      <w:r w:rsidR="00463DD8" w:rsidRPr="00B67DA7">
        <w:rPr>
          <w:b/>
          <w:bCs/>
        </w:rPr>
        <w:t>Recabar i</w:t>
      </w:r>
      <w:r w:rsidR="00C07EAC" w:rsidRPr="00B67DA7">
        <w:rPr>
          <w:b/>
          <w:bCs/>
        </w:rPr>
        <w:t>nformación sobre las asignaciones de frecuencia</w:t>
      </w:r>
      <w:r w:rsidR="009652E4" w:rsidRPr="00B67DA7">
        <w:rPr>
          <w:b/>
          <w:bCs/>
        </w:rPr>
        <w:t>s</w:t>
      </w:r>
      <w:r w:rsidR="00C07EAC" w:rsidRPr="00B67DA7">
        <w:rPr>
          <w:b/>
          <w:bCs/>
        </w:rPr>
        <w:t xml:space="preserve"> sujetas al Artículo 48</w:t>
      </w:r>
    </w:p>
    <w:p w:rsidR="006A1A88" w:rsidRPr="00B67DA7" w:rsidRDefault="006A1A88" w:rsidP="00B539B5">
      <w:pPr>
        <w:pStyle w:val="enumlev1"/>
        <w:jc w:val="both"/>
      </w:pPr>
      <w:r w:rsidRPr="00B67DA7">
        <w:tab/>
      </w:r>
      <w:r w:rsidR="00C07EAC" w:rsidRPr="00B67DA7">
        <w:t xml:space="preserve">La Administración de la India </w:t>
      </w:r>
      <w:r w:rsidR="00DB2E5B" w:rsidRPr="00B67DA7">
        <w:t>observa</w:t>
      </w:r>
      <w:r w:rsidR="00C07EAC" w:rsidRPr="00B67DA7">
        <w:t xml:space="preserve"> acertadamente que</w:t>
      </w:r>
      <w:r w:rsidR="00DB2E5B" w:rsidRPr="00A613F6">
        <w:t xml:space="preserve"> intentar recabar información sobre </w:t>
      </w:r>
      <w:r w:rsidR="00DB2E5B" w:rsidRPr="00B67DA7">
        <w:t xml:space="preserve">las asignaciones de frecuencias </w:t>
      </w:r>
      <w:r w:rsidR="00DB2E5B" w:rsidRPr="00A613F6">
        <w:t xml:space="preserve">para las que se invoca la aplicación del Artículo 48 </w:t>
      </w:r>
      <w:r w:rsidR="00B67DA7">
        <w:t>«</w:t>
      </w:r>
      <w:r w:rsidR="00DB2E5B" w:rsidRPr="00A613F6">
        <w:t>va en contra del objetivo mismo de la invocación del Artículo 48 para una red concreta</w:t>
      </w:r>
      <w:r w:rsidR="00B67DA7">
        <w:t>»</w:t>
      </w:r>
      <w:r w:rsidR="00DB2E5B" w:rsidRPr="00A613F6">
        <w:t xml:space="preserve">. </w:t>
      </w:r>
      <w:r w:rsidR="00DB2E5B" w:rsidRPr="00B67DA7">
        <w:t>No obstante</w:t>
      </w:r>
      <w:r w:rsidR="00C07EAC" w:rsidRPr="00B67DA7">
        <w:t xml:space="preserve">, la Administración </w:t>
      </w:r>
      <w:r w:rsidR="00DB2E5B" w:rsidRPr="00B67DA7">
        <w:t>de Alemania</w:t>
      </w:r>
      <w:r w:rsidR="00C07EAC" w:rsidRPr="00B67DA7">
        <w:t xml:space="preserve"> desea señalar </w:t>
      </w:r>
      <w:r w:rsidR="00174F72" w:rsidRPr="00B67DA7">
        <w:t>una vez más</w:t>
      </w:r>
      <w:r w:rsidR="00C07EAC" w:rsidRPr="00B67DA7">
        <w:t xml:space="preserve"> que la </w:t>
      </w:r>
      <w:r w:rsidR="00DB2E5B" w:rsidRPr="00B67DA7">
        <w:t xml:space="preserve">pretensión de recabar </w:t>
      </w:r>
      <w:r w:rsidR="007C45E2" w:rsidRPr="00B67DA7">
        <w:t xml:space="preserve">información </w:t>
      </w:r>
      <w:r w:rsidR="00C07EAC" w:rsidRPr="00B67DA7">
        <w:t xml:space="preserve">adicional fue </w:t>
      </w:r>
      <w:r w:rsidR="0081618C" w:rsidRPr="00B67DA7">
        <w:t>resultado</w:t>
      </w:r>
      <w:r w:rsidR="00C07EAC" w:rsidRPr="00B67DA7">
        <w:t xml:space="preserve"> directo de</w:t>
      </w:r>
      <w:r w:rsidR="00DB2E5B" w:rsidRPr="00B67DA7">
        <w:t xml:space="preserve"> las</w:t>
      </w:r>
      <w:r w:rsidR="00C07EAC" w:rsidRPr="00B67DA7">
        <w:t xml:space="preserve"> declaraciones públicas </w:t>
      </w:r>
      <w:r w:rsidR="00DB2E5B" w:rsidRPr="00B67DA7">
        <w:t>de ciertos</w:t>
      </w:r>
      <w:r w:rsidR="00C07EAC" w:rsidRPr="00B67DA7">
        <w:t xml:space="preserve"> funcionarios del </w:t>
      </w:r>
      <w:r w:rsidR="008B5C87">
        <w:t>G</w:t>
      </w:r>
      <w:r w:rsidR="00C07EAC" w:rsidRPr="00B67DA7">
        <w:t xml:space="preserve">obierno </w:t>
      </w:r>
      <w:r w:rsidR="00DB2E5B" w:rsidRPr="00B67DA7">
        <w:t xml:space="preserve">de la India, de las que se infería </w:t>
      </w:r>
      <w:r w:rsidR="00C07EAC" w:rsidRPr="00B67DA7">
        <w:t xml:space="preserve">el uso de </w:t>
      </w:r>
      <w:r w:rsidR="00DB2E5B" w:rsidRPr="00B67DA7">
        <w:t>dichas</w:t>
      </w:r>
      <w:r w:rsidR="00C07EAC" w:rsidRPr="00B67DA7">
        <w:t xml:space="preserve"> asignaciones</w:t>
      </w:r>
      <w:r w:rsidR="0081618C" w:rsidRPr="00B67DA7">
        <w:t xml:space="preserve"> con fines no militares</w:t>
      </w:r>
      <w:r w:rsidR="00C07EAC" w:rsidRPr="00B67DA7">
        <w:t>.</w:t>
      </w:r>
      <w:r w:rsidR="00DB2E5B" w:rsidRPr="00B67DA7">
        <w:t xml:space="preserve"> En ese sentido</w:t>
      </w:r>
      <w:r w:rsidR="00C07EAC" w:rsidRPr="00B67DA7">
        <w:t xml:space="preserve">, la Administración </w:t>
      </w:r>
      <w:r w:rsidR="00DB2E5B" w:rsidRPr="00B67DA7">
        <w:t>de la India</w:t>
      </w:r>
      <w:r w:rsidR="00C07EAC" w:rsidRPr="00B67DA7">
        <w:t xml:space="preserve"> debe</w:t>
      </w:r>
      <w:r w:rsidR="00DB2E5B" w:rsidRPr="00B67DA7">
        <w:t>ría</w:t>
      </w:r>
      <w:r w:rsidR="00C07EAC" w:rsidRPr="00B67DA7">
        <w:t xml:space="preserve"> aclarar</w:t>
      </w:r>
      <w:r w:rsidR="00DB2E5B" w:rsidRPr="00B67DA7">
        <w:t xml:space="preserve"> los motivos por los que invoca la aplicación d</w:t>
      </w:r>
      <w:r w:rsidR="00C07EAC" w:rsidRPr="00B67DA7">
        <w:t xml:space="preserve">el </w:t>
      </w:r>
      <w:r w:rsidR="00DB2E5B" w:rsidRPr="00B67DA7">
        <w:t>A</w:t>
      </w:r>
      <w:r w:rsidR="00C07EAC" w:rsidRPr="00B67DA7">
        <w:t>rtículo 48.</w:t>
      </w:r>
    </w:p>
    <w:p w:rsidR="002456E5" w:rsidRPr="00A613F6" w:rsidRDefault="00DB2E5B" w:rsidP="000A6116">
      <w:r w:rsidRPr="00B67DA7">
        <w:t>Ta</w:t>
      </w:r>
      <w:r w:rsidR="000A6116">
        <w:t>l</w:t>
      </w:r>
      <w:r w:rsidRPr="00B67DA7">
        <w:t xml:space="preserve"> y como menciona</w:t>
      </w:r>
      <w:r w:rsidR="0081618C" w:rsidRPr="00B67DA7">
        <w:t>mos</w:t>
      </w:r>
      <w:r w:rsidR="00C07EAC" w:rsidRPr="00B67DA7">
        <w:t xml:space="preserve"> en nuestras cartas anteriores a la BR, la Administración </w:t>
      </w:r>
      <w:r w:rsidRPr="00B67DA7">
        <w:t>de Alemania</w:t>
      </w:r>
      <w:r w:rsidR="00C07EAC" w:rsidRPr="00B67DA7">
        <w:t xml:space="preserve"> ha demostrado empíricamente que las asignaciones de frecuencia</w:t>
      </w:r>
      <w:r w:rsidRPr="00B67DA7">
        <w:t>s</w:t>
      </w:r>
      <w:r w:rsidR="00C07EAC" w:rsidRPr="00B67DA7">
        <w:t xml:space="preserve"> contenidas en las notificaciones de </w:t>
      </w:r>
      <w:r w:rsidRPr="00B67DA7">
        <w:t>las redes de satélites INSAT-2(48), INSAT-2M(48), INSAT-2T</w:t>
      </w:r>
      <w:r w:rsidR="00C07EAC" w:rsidRPr="00B67DA7">
        <w:t>(48) e INSAT-EK48R</w:t>
      </w:r>
      <w:r w:rsidRPr="00B67DA7">
        <w:t xml:space="preserve"> no se utilizan desde, al menos,</w:t>
      </w:r>
      <w:r w:rsidR="00C07EAC" w:rsidRPr="00B67DA7">
        <w:t xml:space="preserve"> dic</w:t>
      </w:r>
      <w:r w:rsidRPr="00B67DA7">
        <w:t xml:space="preserve">iembre de 2012. Reiteramos que </w:t>
      </w:r>
      <w:r w:rsidRPr="00A613F6">
        <w:t xml:space="preserve">la Administración de Alemania respeta plenamente el derecho de todas las administraciones de acogerse al </w:t>
      </w:r>
      <w:r w:rsidR="000A6116">
        <w:t>A</w:t>
      </w:r>
      <w:r w:rsidRPr="00A613F6">
        <w:t xml:space="preserve">rtículo 48 de la Constitución de la UIT, siempre que procedan de manera coherente con el verdadero espíritu de dicho artículo </w:t>
      </w:r>
      <w:r w:rsidR="00C07EAC" w:rsidRPr="00B67DA7">
        <w:t xml:space="preserve">y </w:t>
      </w:r>
      <w:r w:rsidRPr="00B67DA7">
        <w:t xml:space="preserve">de </w:t>
      </w:r>
      <w:r w:rsidR="00C07EAC" w:rsidRPr="00B67DA7">
        <w:t>la Constitución de la UIT</w:t>
      </w:r>
      <w:r w:rsidRPr="00B67DA7">
        <w:t>.</w:t>
      </w:r>
      <w:r w:rsidR="00C07EAC" w:rsidRPr="00B67DA7">
        <w:t xml:space="preserve"> </w:t>
      </w:r>
      <w:r w:rsidR="0081618C" w:rsidRPr="00B67DA7">
        <w:t>En ese sentido</w:t>
      </w:r>
      <w:r w:rsidR="00C07EAC" w:rsidRPr="00B67DA7">
        <w:t>, es importante que la BR y la RRB aclaren la manera y la facilidad con que puede aplicar</w:t>
      </w:r>
      <w:r w:rsidR="00DC69FB" w:rsidRPr="00B67DA7">
        <w:t>se</w:t>
      </w:r>
      <w:r w:rsidR="0081618C" w:rsidRPr="00B67DA7">
        <w:t xml:space="preserve"> el A</w:t>
      </w:r>
      <w:r w:rsidR="00C07EAC" w:rsidRPr="00B67DA7">
        <w:t>rtículo 48 e identifiquen claramente las redes de satélite</w:t>
      </w:r>
      <w:r w:rsidR="0081618C" w:rsidRPr="00B67DA7">
        <w:t>s</w:t>
      </w:r>
      <w:r w:rsidR="00C07EAC" w:rsidRPr="00B67DA7">
        <w:t xml:space="preserve"> para las que se ha invocado </w:t>
      </w:r>
      <w:r w:rsidR="00DC69FB" w:rsidRPr="00B67DA7">
        <w:t>la aplicación de</w:t>
      </w:r>
      <w:r w:rsidR="00C07EAC" w:rsidRPr="00B67DA7">
        <w:t xml:space="preserve">l </w:t>
      </w:r>
      <w:r w:rsidR="00DC69FB" w:rsidRPr="00B67DA7">
        <w:t>A</w:t>
      </w:r>
      <w:r w:rsidR="00C07EAC" w:rsidRPr="00B67DA7">
        <w:t>rtículo 48.</w:t>
      </w:r>
    </w:p>
    <w:p w:rsidR="002456E5" w:rsidRPr="00A613F6" w:rsidRDefault="00C07EAC" w:rsidP="00B539B5">
      <w:pPr>
        <w:jc w:val="both"/>
      </w:pPr>
      <w:r w:rsidRPr="00A613F6">
        <w:t xml:space="preserve">La Administración </w:t>
      </w:r>
      <w:r w:rsidR="00DC69FB" w:rsidRPr="00A613F6">
        <w:rPr>
          <w:rFonts w:asciiTheme="majorBidi" w:eastAsia="Arial" w:hAnsiTheme="majorBidi" w:cstheme="majorBidi"/>
          <w:szCs w:val="24"/>
        </w:rPr>
        <w:t xml:space="preserve">de Alemania </w:t>
      </w:r>
      <w:r w:rsidRPr="00A613F6">
        <w:t xml:space="preserve">también </w:t>
      </w:r>
      <w:r w:rsidR="007C45E2">
        <w:t>considera</w:t>
      </w:r>
      <w:r w:rsidRPr="00A613F6">
        <w:t xml:space="preserve"> que las condiciones </w:t>
      </w:r>
      <w:r w:rsidR="00DC69FB" w:rsidRPr="00A613F6">
        <w:t>en que</w:t>
      </w:r>
      <w:r w:rsidRPr="00A613F6">
        <w:t xml:space="preserve"> se aplica el Artículo</w:t>
      </w:r>
      <w:r w:rsidR="00867D50">
        <w:t> </w:t>
      </w:r>
      <w:r w:rsidRPr="00A613F6">
        <w:t xml:space="preserve">48 tal vez </w:t>
      </w:r>
      <w:r w:rsidR="00DC69FB" w:rsidRPr="00A613F6">
        <w:t>debieran ser objeto de un examen más detallado en el marco de la</w:t>
      </w:r>
      <w:r w:rsidRPr="00A613F6">
        <w:t xml:space="preserve"> CMR-19 y/o</w:t>
      </w:r>
      <w:r w:rsidR="00DC69FB" w:rsidRPr="00A613F6">
        <w:t xml:space="preserve"> la</w:t>
      </w:r>
      <w:r w:rsidRPr="00A613F6">
        <w:t xml:space="preserve"> PP-18, según </w:t>
      </w:r>
      <w:r w:rsidR="00DC69FB" w:rsidRPr="00A613F6">
        <w:t>proceda</w:t>
      </w:r>
      <w:r w:rsidRPr="00A613F6">
        <w:t>.</w:t>
      </w:r>
    </w:p>
    <w:p w:rsidR="00A406DB" w:rsidRPr="00A613F6" w:rsidRDefault="00A406DB" w:rsidP="002456E5">
      <w:r w:rsidRPr="00A613F6">
        <w:t>Le agradecemos a usted y a los estim</w:t>
      </w:r>
      <w:bookmarkStart w:id="5" w:name="_GoBack"/>
      <w:bookmarkEnd w:id="5"/>
      <w:r w:rsidRPr="00A613F6">
        <w:t>ados miembros de la RRB la continua atención que han prestado a esta cuestión.</w:t>
      </w:r>
    </w:p>
    <w:p w:rsidR="00936A49" w:rsidRPr="00A613F6" w:rsidRDefault="00936A49" w:rsidP="002456E5">
      <w:r w:rsidRPr="00A613F6">
        <w:t>Atentamente,</w:t>
      </w:r>
    </w:p>
    <w:p w:rsidR="00936A49" w:rsidRPr="00A613F6" w:rsidRDefault="00936A49" w:rsidP="002456E5">
      <w:pPr>
        <w:spacing w:before="960"/>
      </w:pPr>
      <w:r w:rsidRPr="00A613F6">
        <w:t>Lothar Ponto</w:t>
      </w:r>
      <w:r w:rsidR="00D07D59" w:rsidRPr="00A613F6">
        <w:br/>
      </w:r>
      <w:r w:rsidRPr="00A613F6">
        <w:t>A petición del Presidente</w:t>
      </w:r>
    </w:p>
    <w:p w:rsidR="00936A49" w:rsidRPr="00A613F6" w:rsidRDefault="00936A49" w:rsidP="00F11766">
      <w:pPr>
        <w:spacing w:before="360"/>
      </w:pPr>
      <w:r w:rsidRPr="00A613F6">
        <w:t>Gestión de frecuencias</w:t>
      </w:r>
      <w:r w:rsidR="00D07D59" w:rsidRPr="00A613F6">
        <w:br/>
      </w:r>
      <w:r w:rsidRPr="00A613F6">
        <w:t>Departamento 223</w:t>
      </w:r>
      <w:r w:rsidR="00D07D59" w:rsidRPr="00A613F6">
        <w:br/>
      </w:r>
      <w:r w:rsidRPr="00A613F6">
        <w:t>Agencia Federal de Redes</w:t>
      </w:r>
      <w:r w:rsidR="00D07D59" w:rsidRPr="00A613F6">
        <w:br/>
      </w:r>
      <w:r w:rsidRPr="00A613F6">
        <w:t>Alemania</w:t>
      </w:r>
      <w:r w:rsidR="00D07D59" w:rsidRPr="00A613F6">
        <w:br/>
      </w:r>
      <w:r w:rsidRPr="00A613F6">
        <w:t>Apartado de correos 80 01, D-55003 Mainz</w:t>
      </w:r>
    </w:p>
    <w:sectPr w:rsidR="00936A49" w:rsidRPr="00A613F6">
      <w:headerReference w:type="default" r:id="rId15"/>
      <w:footerReference w:type="defaul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C36" w:rsidRDefault="00913C36">
      <w:r>
        <w:separator/>
      </w:r>
    </w:p>
  </w:endnote>
  <w:endnote w:type="continuationSeparator" w:id="0">
    <w:p w:rsidR="00913C36" w:rsidRDefault="009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5" w:rsidRPr="00C00C1B" w:rsidRDefault="00C00C1B" w:rsidP="00C00C1B">
    <w:pPr>
      <w:pStyle w:val="Footer"/>
      <w:rPr>
        <w:lang w:val="en-GB"/>
      </w:rPr>
    </w:pPr>
    <w:r>
      <w:t>(441028)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0A5" w:rsidRPr="00BA60E0" w:rsidRDefault="00C00C1B" w:rsidP="00C00C1B">
    <w:pPr>
      <w:pStyle w:val="Footer"/>
      <w:rPr>
        <w:lang w:val="en-GB"/>
      </w:rPr>
    </w:pPr>
    <w:r>
      <w:t xml:space="preserve"> (441028)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C36" w:rsidRDefault="00913C36">
      <w:r>
        <w:t>____________________</w:t>
      </w:r>
    </w:p>
  </w:footnote>
  <w:footnote w:type="continuationSeparator" w:id="0">
    <w:p w:rsidR="00913C36" w:rsidRDefault="00913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58" w:rsidRDefault="00B46F58" w:rsidP="00075863">
    <w:pPr>
      <w:pStyle w:val="Header"/>
      <w:rPr>
        <w:lang w:val="es-E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9B5">
      <w:rPr>
        <w:rStyle w:val="PageNumber"/>
        <w:noProof/>
      </w:rPr>
      <w:t>4</w:t>
    </w:r>
    <w:r>
      <w:rPr>
        <w:rStyle w:val="PageNumber"/>
      </w:rPr>
      <w:fldChar w:fldCharType="end"/>
    </w:r>
  </w:p>
  <w:p w:rsidR="00B46F58" w:rsidRDefault="00B46F58" w:rsidP="00E212D4">
    <w:pPr>
      <w:pStyle w:val="Header"/>
      <w:rPr>
        <w:lang w:val="es-ES"/>
      </w:rPr>
    </w:pPr>
    <w:r>
      <w:rPr>
        <w:lang w:val="es-ES"/>
      </w:rPr>
      <w:t>RRB18-</w:t>
    </w:r>
    <w:r w:rsidR="00936A49">
      <w:rPr>
        <w:lang w:val="es-ES"/>
      </w:rPr>
      <w:t>2</w:t>
    </w:r>
    <w:r>
      <w:rPr>
        <w:lang w:val="es-ES"/>
      </w:rPr>
      <w:t>/</w:t>
    </w:r>
    <w:r w:rsidR="00E212D4">
      <w:rPr>
        <w:lang w:val="es-ES"/>
      </w:rPr>
      <w:t>DELAYED/3</w:t>
    </w:r>
    <w:r>
      <w:rPr>
        <w:lang w:val="es-ES"/>
      </w:rP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70416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A632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EF878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08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C455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1A5C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22CD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9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4CF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A6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284B94"/>
    <w:multiLevelType w:val="hybridMultilevel"/>
    <w:tmpl w:val="607AA5B2"/>
    <w:lvl w:ilvl="0" w:tplc="C8FAC0E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450C2"/>
    <w:multiLevelType w:val="hybridMultilevel"/>
    <w:tmpl w:val="BA14295E"/>
    <w:lvl w:ilvl="0" w:tplc="CEF2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49"/>
    <w:rsid w:val="00032A7C"/>
    <w:rsid w:val="00066621"/>
    <w:rsid w:val="00075863"/>
    <w:rsid w:val="000828AD"/>
    <w:rsid w:val="000A6116"/>
    <w:rsid w:val="00102D09"/>
    <w:rsid w:val="001106DA"/>
    <w:rsid w:val="0016316B"/>
    <w:rsid w:val="00174F72"/>
    <w:rsid w:val="001B0379"/>
    <w:rsid w:val="00237E3D"/>
    <w:rsid w:val="002456E5"/>
    <w:rsid w:val="00261DFC"/>
    <w:rsid w:val="00263F1C"/>
    <w:rsid w:val="00296FDF"/>
    <w:rsid w:val="002F01B5"/>
    <w:rsid w:val="002F12D0"/>
    <w:rsid w:val="003661C9"/>
    <w:rsid w:val="003858D8"/>
    <w:rsid w:val="003A2F75"/>
    <w:rsid w:val="003D6CD4"/>
    <w:rsid w:val="00414D8B"/>
    <w:rsid w:val="00463DD8"/>
    <w:rsid w:val="004865FC"/>
    <w:rsid w:val="00491A4F"/>
    <w:rsid w:val="00526A8C"/>
    <w:rsid w:val="005540A5"/>
    <w:rsid w:val="00570841"/>
    <w:rsid w:val="005B0B9D"/>
    <w:rsid w:val="00610642"/>
    <w:rsid w:val="006A1A88"/>
    <w:rsid w:val="006E291F"/>
    <w:rsid w:val="007950C3"/>
    <w:rsid w:val="007C45E2"/>
    <w:rsid w:val="00813978"/>
    <w:rsid w:val="0081618C"/>
    <w:rsid w:val="00836CB8"/>
    <w:rsid w:val="00867D50"/>
    <w:rsid w:val="008B5C87"/>
    <w:rsid w:val="00913C36"/>
    <w:rsid w:val="00936A49"/>
    <w:rsid w:val="009538B2"/>
    <w:rsid w:val="009652E4"/>
    <w:rsid w:val="0096553A"/>
    <w:rsid w:val="00990902"/>
    <w:rsid w:val="009C363F"/>
    <w:rsid w:val="009F18F2"/>
    <w:rsid w:val="00A16813"/>
    <w:rsid w:val="00A406DB"/>
    <w:rsid w:val="00A613F6"/>
    <w:rsid w:val="00A93E62"/>
    <w:rsid w:val="00AC2483"/>
    <w:rsid w:val="00AC28E2"/>
    <w:rsid w:val="00AD6AE8"/>
    <w:rsid w:val="00B23892"/>
    <w:rsid w:val="00B41789"/>
    <w:rsid w:val="00B46F58"/>
    <w:rsid w:val="00B539B5"/>
    <w:rsid w:val="00B55C4C"/>
    <w:rsid w:val="00B56169"/>
    <w:rsid w:val="00B67DA7"/>
    <w:rsid w:val="00B72C66"/>
    <w:rsid w:val="00BA60E0"/>
    <w:rsid w:val="00BD2B15"/>
    <w:rsid w:val="00C00C1B"/>
    <w:rsid w:val="00C07EAC"/>
    <w:rsid w:val="00C16E44"/>
    <w:rsid w:val="00C95793"/>
    <w:rsid w:val="00CB7A43"/>
    <w:rsid w:val="00CF7B1D"/>
    <w:rsid w:val="00D07D59"/>
    <w:rsid w:val="00D75B8C"/>
    <w:rsid w:val="00D90763"/>
    <w:rsid w:val="00DB2E5B"/>
    <w:rsid w:val="00DB79CA"/>
    <w:rsid w:val="00DC3E34"/>
    <w:rsid w:val="00DC69FB"/>
    <w:rsid w:val="00E16682"/>
    <w:rsid w:val="00E212D4"/>
    <w:rsid w:val="00E6332C"/>
    <w:rsid w:val="00EA28E9"/>
    <w:rsid w:val="00EB285E"/>
    <w:rsid w:val="00ED11DE"/>
    <w:rsid w:val="00EE1B4C"/>
    <w:rsid w:val="00EE7443"/>
    <w:rsid w:val="00F11766"/>
    <w:rsid w:val="00F15406"/>
    <w:rsid w:val="00F454DB"/>
    <w:rsid w:val="00F51F18"/>
    <w:rsid w:val="00F60F96"/>
    <w:rsid w:val="00F9534E"/>
    <w:rsid w:val="00FC1044"/>
    <w:rsid w:val="00FC4472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F493F95-4573-455E-A949-06AFD842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styleId="PageNumber">
    <w:name w:val="page number"/>
    <w:basedOn w:val="DefaultParagraphFont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Hyperlink">
    <w:name w:val="Hyperlink"/>
    <w:basedOn w:val="DefaultParagraphFont"/>
    <w:unhideWhenUsed/>
    <w:rsid w:val="00936A49"/>
    <w:rPr>
      <w:color w:val="0000FF" w:themeColor="hyperlink"/>
      <w:u w:val="single"/>
    </w:rPr>
  </w:style>
  <w:style w:type="paragraph" w:customStyle="1" w:styleId="Reasons">
    <w:name w:val="Reasons"/>
    <w:basedOn w:val="Normal"/>
    <w:qFormat/>
    <w:rsid w:val="00936A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102D09"/>
    <w:rPr>
      <w:color w:val="800080" w:themeColor="followedHyperlink"/>
      <w:u w:val="single"/>
    </w:rPr>
  </w:style>
  <w:style w:type="table" w:styleId="TableGrid">
    <w:name w:val="Table Grid"/>
    <w:basedOn w:val="TableNormal"/>
    <w:rsid w:val="00DC3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A88"/>
    <w:pPr>
      <w:ind w:left="720"/>
      <w:contextualSpacing/>
    </w:pPr>
    <w:rPr>
      <w:rFonts w:eastAsiaTheme="minorEastAsia"/>
      <w:lang w:val="en-GB"/>
    </w:rPr>
  </w:style>
  <w:style w:type="paragraph" w:styleId="Title">
    <w:name w:val="Title"/>
    <w:basedOn w:val="Normal"/>
    <w:link w:val="TitleChar"/>
    <w:qFormat/>
    <w:rsid w:val="006A1A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TitleChar">
    <w:name w:val="Title Char"/>
    <w:basedOn w:val="DefaultParagraphFont"/>
    <w:link w:val="Title"/>
    <w:rsid w:val="006A1A88"/>
    <w:rPr>
      <w:rFonts w:ascii="Arial" w:eastAsia="SimSun" w:hAnsi="Arial"/>
      <w:sz w:val="28"/>
    </w:rPr>
  </w:style>
  <w:style w:type="paragraph" w:styleId="BodyTextIndent">
    <w:name w:val="Body Text Indent"/>
    <w:basedOn w:val="Normal"/>
    <w:link w:val="BodyTextIndentChar"/>
    <w:unhideWhenUsed/>
    <w:rsid w:val="006A1A88"/>
    <w:pPr>
      <w:tabs>
        <w:tab w:val="clear" w:pos="794"/>
        <w:tab w:val="clear" w:pos="1191"/>
        <w:tab w:val="clear" w:pos="1588"/>
        <w:tab w:val="clear" w:pos="1985"/>
      </w:tabs>
      <w:spacing w:before="0"/>
      <w:ind w:firstLine="5245"/>
      <w:textAlignment w:val="auto"/>
    </w:pPr>
    <w:rPr>
      <w:rFonts w:ascii="Arial" w:eastAsia="SimSun" w:hAnsi="Arial"/>
      <w:sz w:val="28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6A1A88"/>
    <w:rPr>
      <w:rFonts w:ascii="Arial" w:eastAsia="SimSun" w:hAnsi="Arial"/>
      <w:sz w:val="2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A88"/>
    <w:rPr>
      <w:rFonts w:ascii="Times New Roman" w:hAnsi="Times New Roman"/>
      <w:sz w:val="24"/>
      <w:lang w:val="es-ES_tradnl" w:eastAsia="en-US"/>
    </w:rPr>
  </w:style>
  <w:style w:type="paragraph" w:styleId="EndnoteText">
    <w:name w:val="endnote text"/>
    <w:basedOn w:val="Normal"/>
    <w:link w:val="EndnoteTextChar"/>
    <w:semiHidden/>
    <w:unhideWhenUsed/>
    <w:rsid w:val="006A1A88"/>
    <w:pPr>
      <w:spacing w:before="0"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6A1A88"/>
    <w:rPr>
      <w:rFonts w:ascii="Times New Roman" w:hAnsi="Times New Roman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6A1A8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6A1A88"/>
  </w:style>
  <w:style w:type="character" w:customStyle="1" w:styleId="HeaderChar">
    <w:name w:val="Header Char"/>
    <w:basedOn w:val="DefaultParagraphFont"/>
    <w:link w:val="Header"/>
    <w:uiPriority w:val="99"/>
    <w:rsid w:val="006A1A88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1A88"/>
    <w:rPr>
      <w:rFonts w:ascii="Times New Roman" w:hAnsi="Times New Roman"/>
      <w:caps/>
      <w:noProof/>
      <w:sz w:val="16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1681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6813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ststelle@bnetza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tsystems@BNetzA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R18-RRB18.2-C-0011/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8-RRB18.2-C-0010/es" TargetMode="External"/><Relationship Id="rId14" Type="http://schemas.openxmlformats.org/officeDocument/2006/relationships/hyperlink" Target="http://www.bundesnetzagentu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RRB1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5ABF-4596-4CED-9471-86F38E46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PS_RRB18.dotm</Template>
  <TotalTime>0</TotalTime>
  <Pages>4</Pages>
  <Words>1325</Words>
  <Characters>7489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COMUNICACIÓN DE LA ADMINISTRACIÓN DE ALEMANIA RELATIVA A LA APLICACIÓN DEL ARTÍCULO 48 DE LA CONSTITUCIÓN DE LA UIT A LAS ASIGNACIONES DE FRECUENCIAS INSCRITAS PARA LAS REDES DE SATÉLITES INSAT-2(48), INSAT-2M(48), INSAT-2T(48) E INSAT-EK48R A 48ºE</vt:lpstr>
    </vt:vector>
  </TitlesOfParts>
  <Manager>General Secretariat - Pool</Manager>
  <Company>International Telecommunication Union (ITU)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LA ADMINISTRACIÓN DE ALEMANIA RELATIVA A LA APLICACIÓN DEL ARTÍCULO 48 DE LA CONSTITUCIÓN DE LA UIT A LAS ASIGNACIONES DE FRECUENCIAS INSCRITAS PARA LAS REDES DE SATÉLITES INSAT-2(48), INSAT-2M(48), INSAT-2T(48) E INSAT-EK48R A 48ºE</dc:title>
  <dc:subject>GRUPO ASESOR DE RADIOCOMUNICACIONES</dc:subject>
  <dc:creator>Spanish</dc:creator>
  <cp:keywords/>
  <dc:description>PS_RRB.DOT  For: _x000d_Document date: _x000d_Saved by TRA44246 at 19:27:50 on 18.11.2008</dc:description>
  <cp:lastModifiedBy>Gozal, Karine</cp:lastModifiedBy>
  <cp:revision>2</cp:revision>
  <cp:lastPrinted>2018-07-17T09:06:00Z</cp:lastPrinted>
  <dcterms:created xsi:type="dcterms:W3CDTF">2018-07-17T13:13:00Z</dcterms:created>
  <dcterms:modified xsi:type="dcterms:W3CDTF">2018-07-17T13:13:00Z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PS_RRB.DOT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