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973"/>
        <w:tblW w:w="10066" w:type="dxa"/>
        <w:tblLayout w:type="fixed"/>
        <w:tblLook w:val="0000" w:firstRow="0" w:lastRow="0" w:firstColumn="0" w:lastColumn="0" w:noHBand="0" w:noVBand="0"/>
      </w:tblPr>
      <w:tblGrid>
        <w:gridCol w:w="5529"/>
        <w:gridCol w:w="4504"/>
        <w:gridCol w:w="33"/>
      </w:tblGrid>
      <w:tr w:rsidR="00C16E44" w:rsidRPr="00221BD4" w:rsidTr="00344EC8">
        <w:trPr>
          <w:cantSplit/>
        </w:trPr>
        <w:tc>
          <w:tcPr>
            <w:tcW w:w="5529" w:type="dxa"/>
            <w:vAlign w:val="center"/>
          </w:tcPr>
          <w:p w:rsidR="00C16E44" w:rsidRPr="00221BD4" w:rsidRDefault="00C16E44" w:rsidP="00C16E44">
            <w:pPr>
              <w:shd w:val="solid" w:color="FFFFFF" w:fill="FFFFFF"/>
              <w:tabs>
                <w:tab w:val="clear" w:pos="794"/>
                <w:tab w:val="clear" w:pos="1191"/>
                <w:tab w:val="clear" w:pos="1588"/>
                <w:tab w:val="left" w:pos="1560"/>
              </w:tabs>
              <w:spacing w:before="0"/>
              <w:rPr>
                <w:b/>
                <w:caps/>
                <w:sz w:val="32"/>
              </w:rPr>
            </w:pPr>
            <w:r w:rsidRPr="00221BD4">
              <w:rPr>
                <w:rFonts w:ascii="Verdana" w:hAnsi="Verdana" w:cs="Times New Roman Bold"/>
                <w:b/>
                <w:sz w:val="26"/>
                <w:szCs w:val="26"/>
              </w:rPr>
              <w:t xml:space="preserve">Junta del Reglamento de </w:t>
            </w:r>
            <w:r w:rsidRPr="00221BD4">
              <w:rPr>
                <w:rFonts w:ascii="Verdana" w:hAnsi="Verdana" w:cs="Times New Roman Bold"/>
                <w:b/>
                <w:sz w:val="26"/>
                <w:szCs w:val="26"/>
              </w:rPr>
              <w:br/>
              <w:t>Radiocomunicaciones</w:t>
            </w:r>
            <w:r w:rsidRPr="00221BD4">
              <w:rPr>
                <w:b/>
                <w:caps/>
                <w:sz w:val="32"/>
              </w:rPr>
              <w:t xml:space="preserve"> </w:t>
            </w:r>
          </w:p>
          <w:p w:rsidR="00C16E44" w:rsidRPr="00221BD4" w:rsidRDefault="00C16E44" w:rsidP="00344EC8">
            <w:pPr>
              <w:shd w:val="solid" w:color="FFFFFF" w:fill="FFFFFF"/>
              <w:tabs>
                <w:tab w:val="clear" w:pos="794"/>
                <w:tab w:val="clear" w:pos="1191"/>
                <w:tab w:val="clear" w:pos="1588"/>
                <w:tab w:val="left" w:pos="1560"/>
              </w:tabs>
              <w:spacing w:before="0"/>
              <w:rPr>
                <w:rFonts w:ascii="Verdana" w:hAnsi="Verdana"/>
                <w:b/>
                <w:bCs/>
              </w:rPr>
            </w:pPr>
            <w:r w:rsidRPr="00221BD4">
              <w:rPr>
                <w:rFonts w:ascii="Verdana" w:hAnsi="Verdana" w:cs="Times New Roman Bold"/>
                <w:b/>
                <w:sz w:val="20"/>
              </w:rPr>
              <w:t xml:space="preserve">Ginebra, </w:t>
            </w:r>
            <w:r w:rsidR="003A2F75" w:rsidRPr="00221BD4">
              <w:rPr>
                <w:rFonts w:ascii="Verdana" w:hAnsi="Verdana" w:cs="Times New Roman Bold"/>
                <w:b/>
                <w:sz w:val="20"/>
              </w:rPr>
              <w:t>1</w:t>
            </w:r>
            <w:r w:rsidR="00344EC8" w:rsidRPr="00221BD4">
              <w:rPr>
                <w:rFonts w:ascii="Verdana" w:hAnsi="Verdana" w:cs="Times New Roman Bold"/>
                <w:b/>
                <w:sz w:val="20"/>
              </w:rPr>
              <w:t>6</w:t>
            </w:r>
            <w:r w:rsidRPr="00221BD4">
              <w:rPr>
                <w:rFonts w:ascii="Verdana" w:hAnsi="Verdana" w:cs="Times New Roman Bold"/>
                <w:b/>
                <w:sz w:val="20"/>
              </w:rPr>
              <w:t>-2</w:t>
            </w:r>
            <w:r w:rsidR="00344EC8" w:rsidRPr="00221BD4">
              <w:rPr>
                <w:rFonts w:ascii="Verdana" w:hAnsi="Verdana" w:cs="Times New Roman Bold"/>
                <w:b/>
                <w:sz w:val="20"/>
              </w:rPr>
              <w:t>0</w:t>
            </w:r>
            <w:r w:rsidRPr="00221BD4">
              <w:rPr>
                <w:rFonts w:ascii="Verdana" w:hAnsi="Verdana" w:cs="Times New Roman Bold"/>
                <w:b/>
                <w:sz w:val="20"/>
              </w:rPr>
              <w:t xml:space="preserve"> de </w:t>
            </w:r>
            <w:r w:rsidR="00344EC8" w:rsidRPr="00221BD4">
              <w:rPr>
                <w:rFonts w:ascii="Verdana" w:hAnsi="Verdana" w:cs="Times New Roman Bold"/>
                <w:b/>
                <w:sz w:val="20"/>
              </w:rPr>
              <w:t>julio</w:t>
            </w:r>
            <w:r w:rsidRPr="00221BD4">
              <w:rPr>
                <w:rFonts w:ascii="Verdana" w:hAnsi="Verdana" w:cs="Times New Roman Bold"/>
                <w:b/>
                <w:sz w:val="20"/>
              </w:rPr>
              <w:t xml:space="preserve"> de 201</w:t>
            </w:r>
            <w:r w:rsidR="00AC28E2" w:rsidRPr="00221BD4">
              <w:rPr>
                <w:rFonts w:ascii="Verdana" w:hAnsi="Verdana" w:cs="Times New Roman Bold"/>
                <w:b/>
                <w:sz w:val="20"/>
              </w:rPr>
              <w:t>8</w:t>
            </w:r>
          </w:p>
        </w:tc>
        <w:tc>
          <w:tcPr>
            <w:tcW w:w="4537" w:type="dxa"/>
            <w:gridSpan w:val="2"/>
            <w:vAlign w:val="center"/>
          </w:tcPr>
          <w:p w:rsidR="00C16E44" w:rsidRPr="00221BD4" w:rsidRDefault="00C16E44" w:rsidP="00344EC8">
            <w:pPr>
              <w:shd w:val="solid" w:color="FFFFFF" w:fill="FFFFFF"/>
              <w:spacing w:before="0" w:line="240" w:lineRule="atLeast"/>
              <w:jc w:val="right"/>
            </w:pPr>
            <w:r w:rsidRPr="00221BD4">
              <w:rPr>
                <w:rFonts w:asciiTheme="minorHAnsi" w:hAnsiTheme="minorHAnsi"/>
                <w:b/>
                <w:bCs/>
                <w:noProof/>
                <w:szCs w:val="24"/>
                <w:lang w:val="en-GB" w:eastAsia="zh-CN"/>
              </w:rPr>
              <w:drawing>
                <wp:inline distT="0" distB="0" distL="0" distR="0" wp14:anchorId="318C3897" wp14:editId="6B63BAB7">
                  <wp:extent cx="1767840" cy="701040"/>
                  <wp:effectExtent l="19050" t="0" r="3810" b="0"/>
                  <wp:docPr id="1"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_"/>
                          <pic:cNvPicPr>
                            <a:picLocks noChangeAspect="1" noChangeArrowheads="1"/>
                          </pic:cNvPicPr>
                        </pic:nvPicPr>
                        <pic:blipFill>
                          <a:blip r:embed="rId6" cstate="print"/>
                          <a:srcRect/>
                          <a:stretch>
                            <a:fillRect/>
                          </a:stretch>
                        </pic:blipFill>
                        <pic:spPr bwMode="auto">
                          <a:xfrm>
                            <a:off x="0" y="0"/>
                            <a:ext cx="1767840" cy="701040"/>
                          </a:xfrm>
                          <a:prstGeom prst="rect">
                            <a:avLst/>
                          </a:prstGeom>
                          <a:noFill/>
                          <a:ln w="9525">
                            <a:noFill/>
                            <a:miter lim="800000"/>
                            <a:headEnd/>
                            <a:tailEnd/>
                          </a:ln>
                        </pic:spPr>
                      </pic:pic>
                    </a:graphicData>
                  </a:graphic>
                </wp:inline>
              </w:drawing>
            </w:r>
          </w:p>
        </w:tc>
      </w:tr>
      <w:tr w:rsidR="00C16E44" w:rsidRPr="00221BD4" w:rsidTr="00C16E44">
        <w:trPr>
          <w:gridAfter w:val="1"/>
          <w:wAfter w:w="33" w:type="dxa"/>
          <w:cantSplit/>
        </w:trPr>
        <w:tc>
          <w:tcPr>
            <w:tcW w:w="10033" w:type="dxa"/>
            <w:gridSpan w:val="2"/>
            <w:tcBorders>
              <w:bottom w:val="single" w:sz="12" w:space="0" w:color="auto"/>
            </w:tcBorders>
          </w:tcPr>
          <w:p w:rsidR="00C16E44" w:rsidRPr="00221BD4" w:rsidRDefault="00C16E44" w:rsidP="00C16E44">
            <w:pPr>
              <w:shd w:val="solid" w:color="FFFFFF" w:fill="FFFFFF"/>
              <w:spacing w:before="0" w:after="48"/>
              <w:rPr>
                <w:rFonts w:ascii="Verdana" w:hAnsi="Verdana" w:cs="Times New Roman Bold"/>
                <w:b/>
                <w:sz w:val="22"/>
                <w:szCs w:val="22"/>
              </w:rPr>
            </w:pPr>
          </w:p>
        </w:tc>
      </w:tr>
      <w:tr w:rsidR="00C16E44" w:rsidRPr="00221BD4" w:rsidTr="00344EC8">
        <w:trPr>
          <w:gridAfter w:val="1"/>
          <w:wAfter w:w="33" w:type="dxa"/>
          <w:cantSplit/>
        </w:trPr>
        <w:tc>
          <w:tcPr>
            <w:tcW w:w="5529" w:type="dxa"/>
            <w:tcBorders>
              <w:top w:val="single" w:sz="12" w:space="0" w:color="auto"/>
            </w:tcBorders>
          </w:tcPr>
          <w:p w:rsidR="00C16E44" w:rsidRPr="00221BD4" w:rsidRDefault="00C16E44" w:rsidP="00C16E44">
            <w:pPr>
              <w:shd w:val="solid" w:color="FFFFFF" w:fill="FFFFFF"/>
              <w:spacing w:before="0" w:after="48"/>
              <w:rPr>
                <w:rFonts w:ascii="Verdana" w:hAnsi="Verdana" w:cs="Times New Roman Bold"/>
                <w:bCs/>
                <w:sz w:val="22"/>
                <w:szCs w:val="22"/>
              </w:rPr>
            </w:pPr>
          </w:p>
        </w:tc>
        <w:tc>
          <w:tcPr>
            <w:tcW w:w="4504" w:type="dxa"/>
            <w:tcBorders>
              <w:top w:val="single" w:sz="12" w:space="0" w:color="auto"/>
            </w:tcBorders>
          </w:tcPr>
          <w:p w:rsidR="00C16E44" w:rsidRPr="00221BD4" w:rsidRDefault="00C16E44" w:rsidP="00C16E44">
            <w:pPr>
              <w:shd w:val="solid" w:color="FFFFFF" w:fill="FFFFFF"/>
              <w:spacing w:before="0" w:after="48" w:line="240" w:lineRule="atLeast"/>
              <w:rPr>
                <w:rFonts w:ascii="Verdana" w:hAnsi="Verdana"/>
                <w:sz w:val="22"/>
                <w:szCs w:val="22"/>
              </w:rPr>
            </w:pPr>
          </w:p>
        </w:tc>
      </w:tr>
      <w:tr w:rsidR="00C16E44" w:rsidRPr="00221BD4" w:rsidTr="00344EC8">
        <w:trPr>
          <w:gridAfter w:val="1"/>
          <w:wAfter w:w="33" w:type="dxa"/>
          <w:cantSplit/>
        </w:trPr>
        <w:tc>
          <w:tcPr>
            <w:tcW w:w="5529" w:type="dxa"/>
            <w:vMerge w:val="restart"/>
          </w:tcPr>
          <w:p w:rsidR="00C16E44" w:rsidRPr="00221BD4" w:rsidRDefault="00C16E44" w:rsidP="00C16E44">
            <w:pPr>
              <w:shd w:val="solid" w:color="FFFFFF" w:fill="FFFFFF"/>
              <w:spacing w:after="240"/>
              <w:rPr>
                <w:sz w:val="20"/>
              </w:rPr>
            </w:pPr>
            <w:bookmarkStart w:id="0" w:name="dnum" w:colFirst="1" w:colLast="1"/>
          </w:p>
        </w:tc>
        <w:tc>
          <w:tcPr>
            <w:tcW w:w="4504" w:type="dxa"/>
          </w:tcPr>
          <w:p w:rsidR="00C16E44" w:rsidRPr="00221BD4" w:rsidRDefault="006441BD" w:rsidP="00344EC8">
            <w:pPr>
              <w:shd w:val="solid" w:color="FFFFFF" w:fill="FFFFFF"/>
              <w:spacing w:before="0" w:line="240" w:lineRule="atLeast"/>
              <w:rPr>
                <w:rFonts w:ascii="Verdana" w:hAnsi="Verdana"/>
                <w:sz w:val="20"/>
              </w:rPr>
            </w:pPr>
            <w:r w:rsidRPr="00221BD4">
              <w:rPr>
                <w:rFonts w:ascii="Verdana" w:hAnsi="Verdana"/>
                <w:b/>
                <w:sz w:val="20"/>
              </w:rPr>
              <w:t>Documento RRB18-</w:t>
            </w:r>
            <w:r w:rsidR="00344EC8" w:rsidRPr="00221BD4">
              <w:rPr>
                <w:rFonts w:ascii="Verdana" w:hAnsi="Verdana"/>
                <w:b/>
                <w:sz w:val="20"/>
              </w:rPr>
              <w:t>2</w:t>
            </w:r>
            <w:r w:rsidRPr="00221BD4">
              <w:rPr>
                <w:rFonts w:ascii="Verdana" w:hAnsi="Verdana"/>
                <w:b/>
                <w:sz w:val="20"/>
              </w:rPr>
              <w:t>/</w:t>
            </w:r>
            <w:r w:rsidR="00344EC8" w:rsidRPr="00221BD4">
              <w:rPr>
                <w:rFonts w:ascii="Verdana" w:hAnsi="Verdana"/>
                <w:b/>
                <w:sz w:val="20"/>
              </w:rPr>
              <w:t>DELAYED/</w:t>
            </w:r>
            <w:r w:rsidRPr="00221BD4">
              <w:rPr>
                <w:rFonts w:ascii="Verdana" w:hAnsi="Verdana"/>
                <w:b/>
                <w:sz w:val="20"/>
              </w:rPr>
              <w:t>1-S</w:t>
            </w:r>
          </w:p>
        </w:tc>
      </w:tr>
      <w:tr w:rsidR="00C16E44" w:rsidRPr="00221BD4" w:rsidTr="00344EC8">
        <w:trPr>
          <w:gridAfter w:val="1"/>
          <w:wAfter w:w="33" w:type="dxa"/>
          <w:cantSplit/>
        </w:trPr>
        <w:tc>
          <w:tcPr>
            <w:tcW w:w="5529" w:type="dxa"/>
            <w:vMerge/>
          </w:tcPr>
          <w:p w:rsidR="00C16E44" w:rsidRPr="00221BD4" w:rsidRDefault="00C16E44" w:rsidP="00C16E44">
            <w:pPr>
              <w:spacing w:before="60"/>
              <w:jc w:val="center"/>
              <w:rPr>
                <w:b/>
                <w:smallCaps/>
                <w:sz w:val="32"/>
              </w:rPr>
            </w:pPr>
            <w:bookmarkStart w:id="1" w:name="ddate" w:colFirst="1" w:colLast="1"/>
            <w:bookmarkEnd w:id="0"/>
          </w:p>
        </w:tc>
        <w:tc>
          <w:tcPr>
            <w:tcW w:w="4504" w:type="dxa"/>
          </w:tcPr>
          <w:p w:rsidR="00C16E44" w:rsidRPr="00221BD4" w:rsidRDefault="00344EC8" w:rsidP="00710C6C">
            <w:pPr>
              <w:shd w:val="solid" w:color="FFFFFF" w:fill="FFFFFF"/>
              <w:spacing w:before="0" w:line="240" w:lineRule="atLeast"/>
              <w:rPr>
                <w:rFonts w:ascii="Verdana" w:hAnsi="Verdana"/>
                <w:sz w:val="20"/>
              </w:rPr>
            </w:pPr>
            <w:r w:rsidRPr="00221BD4">
              <w:rPr>
                <w:rFonts w:ascii="Verdana" w:hAnsi="Verdana"/>
                <w:b/>
                <w:sz w:val="20"/>
              </w:rPr>
              <w:t>2</w:t>
            </w:r>
            <w:r w:rsidR="00710C6C" w:rsidRPr="00221BD4">
              <w:rPr>
                <w:rFonts w:ascii="Verdana" w:hAnsi="Verdana"/>
                <w:b/>
                <w:sz w:val="20"/>
              </w:rPr>
              <w:t xml:space="preserve"> de julio</w:t>
            </w:r>
            <w:r w:rsidR="006441BD" w:rsidRPr="00221BD4">
              <w:rPr>
                <w:rFonts w:ascii="Verdana" w:hAnsi="Verdana"/>
                <w:b/>
                <w:sz w:val="20"/>
              </w:rPr>
              <w:t xml:space="preserve"> de 2018</w:t>
            </w:r>
          </w:p>
        </w:tc>
      </w:tr>
      <w:tr w:rsidR="00C16E44" w:rsidRPr="00221BD4" w:rsidTr="00344EC8">
        <w:trPr>
          <w:gridAfter w:val="1"/>
          <w:wAfter w:w="33" w:type="dxa"/>
          <w:cantSplit/>
        </w:trPr>
        <w:tc>
          <w:tcPr>
            <w:tcW w:w="5529" w:type="dxa"/>
            <w:vMerge/>
          </w:tcPr>
          <w:p w:rsidR="00C16E44" w:rsidRPr="00221BD4" w:rsidRDefault="00C16E44" w:rsidP="00C16E44">
            <w:pPr>
              <w:spacing w:before="60"/>
              <w:jc w:val="center"/>
              <w:rPr>
                <w:b/>
                <w:smallCaps/>
                <w:sz w:val="32"/>
              </w:rPr>
            </w:pPr>
            <w:bookmarkStart w:id="2" w:name="dorlang" w:colFirst="1" w:colLast="1"/>
            <w:bookmarkEnd w:id="1"/>
          </w:p>
        </w:tc>
        <w:tc>
          <w:tcPr>
            <w:tcW w:w="4504" w:type="dxa"/>
          </w:tcPr>
          <w:p w:rsidR="00C16E44" w:rsidRPr="00221BD4" w:rsidRDefault="006441BD" w:rsidP="006441BD">
            <w:pPr>
              <w:shd w:val="solid" w:color="FFFFFF" w:fill="FFFFFF"/>
              <w:spacing w:before="0" w:after="120" w:line="240" w:lineRule="atLeast"/>
              <w:rPr>
                <w:rFonts w:ascii="Verdana" w:hAnsi="Verdana"/>
                <w:sz w:val="20"/>
              </w:rPr>
            </w:pPr>
            <w:r w:rsidRPr="00221BD4">
              <w:rPr>
                <w:rFonts w:ascii="Verdana" w:hAnsi="Verdana"/>
                <w:b/>
                <w:sz w:val="20"/>
              </w:rPr>
              <w:t>Original: inglés</w:t>
            </w:r>
          </w:p>
        </w:tc>
      </w:tr>
      <w:tr w:rsidR="00C16E44" w:rsidRPr="00221BD4" w:rsidTr="00C16E44">
        <w:trPr>
          <w:gridAfter w:val="1"/>
          <w:wAfter w:w="33" w:type="dxa"/>
          <w:cantSplit/>
        </w:trPr>
        <w:tc>
          <w:tcPr>
            <w:tcW w:w="10033" w:type="dxa"/>
            <w:gridSpan w:val="2"/>
          </w:tcPr>
          <w:p w:rsidR="00C16E44" w:rsidRPr="00221BD4" w:rsidRDefault="00710C6C" w:rsidP="00C16E44">
            <w:pPr>
              <w:pStyle w:val="Source"/>
            </w:pPr>
            <w:bookmarkStart w:id="3" w:name="dsource" w:colFirst="0" w:colLast="0"/>
            <w:bookmarkEnd w:id="2"/>
            <w:r w:rsidRPr="00221BD4">
              <w:rPr>
                <w:lang w:eastAsia="zh-CN"/>
              </w:rPr>
              <w:t>Director de la Oficina de Radiocomunicaciones</w:t>
            </w:r>
          </w:p>
        </w:tc>
      </w:tr>
      <w:tr w:rsidR="00C16E44" w:rsidRPr="00221BD4" w:rsidTr="00C16E44">
        <w:trPr>
          <w:gridAfter w:val="1"/>
          <w:wAfter w:w="33" w:type="dxa"/>
          <w:cantSplit/>
        </w:trPr>
        <w:tc>
          <w:tcPr>
            <w:tcW w:w="10033" w:type="dxa"/>
            <w:gridSpan w:val="2"/>
          </w:tcPr>
          <w:p w:rsidR="00C16E44" w:rsidRPr="00221BD4" w:rsidRDefault="00B846D7" w:rsidP="00B846D7">
            <w:pPr>
              <w:pStyle w:val="Title1"/>
            </w:pPr>
            <w:bookmarkStart w:id="4" w:name="dtitle1" w:colFirst="0" w:colLast="0"/>
            <w:bookmarkEnd w:id="3"/>
            <w:r w:rsidRPr="00221BD4">
              <w:rPr>
                <w:rFonts w:asciiTheme="majorBidi" w:hAnsiTheme="majorBidi" w:cstheme="majorBidi"/>
                <w:szCs w:val="40"/>
              </w:rPr>
              <w:t xml:space="preserve">comunicación de la administración de chipre por la que solicita a la Junta del reglamento de radiocomunicaciones que tome una decisión sobre la puesta en servicio </w:t>
            </w:r>
            <w:r w:rsidR="00533CE3">
              <w:rPr>
                <w:rFonts w:asciiTheme="majorBidi" w:hAnsiTheme="majorBidi" w:cstheme="majorBidi"/>
                <w:szCs w:val="40"/>
              </w:rPr>
              <w:br/>
            </w:r>
            <w:r w:rsidRPr="00221BD4">
              <w:rPr>
                <w:rFonts w:asciiTheme="majorBidi" w:hAnsiTheme="majorBidi" w:cstheme="majorBidi"/>
                <w:szCs w:val="40"/>
              </w:rPr>
              <w:t xml:space="preserve">de las asignaciones de frecuencias a la red de satélites </w:t>
            </w:r>
            <w:r w:rsidR="00533CE3" w:rsidRPr="003929AF">
              <w:rPr>
                <w:rFonts w:asciiTheme="majorBidi" w:hAnsiTheme="majorBidi" w:cstheme="majorBidi"/>
                <w:szCs w:val="40"/>
                <w:highlight w:val="cyan"/>
              </w:rPr>
              <w:t xml:space="preserve"> </w:t>
            </w:r>
            <w:r w:rsidR="00533CE3" w:rsidRPr="007C40D8">
              <w:rPr>
                <w:rFonts w:asciiTheme="majorBidi" w:hAnsiTheme="majorBidi" w:cstheme="majorBidi"/>
                <w:szCs w:val="40"/>
              </w:rPr>
              <w:t xml:space="preserve">KYPROS-SAT-3 </w:t>
            </w:r>
            <w:r w:rsidR="00710C6C" w:rsidRPr="00221BD4">
              <w:rPr>
                <w:rFonts w:asciiTheme="majorBidi" w:hAnsiTheme="majorBidi" w:cstheme="majorBidi"/>
                <w:szCs w:val="40"/>
              </w:rPr>
              <w:t>(39º </w:t>
            </w:r>
            <w:r w:rsidR="00710C6C" w:rsidRPr="00221BD4">
              <w:rPr>
                <w:rFonts w:asciiTheme="majorBidi" w:hAnsiTheme="majorBidi" w:cstheme="majorBidi"/>
                <w:szCs w:val="40"/>
              </w:rPr>
              <w:t>E)</w:t>
            </w:r>
          </w:p>
        </w:tc>
      </w:tr>
    </w:tbl>
    <w:bookmarkEnd w:id="4"/>
    <w:p w:rsidR="00710C6C" w:rsidRPr="00221BD4" w:rsidRDefault="00B846D7" w:rsidP="005D0D64">
      <w:pPr>
        <w:pStyle w:val="Normalaftertitle"/>
        <w:jc w:val="both"/>
      </w:pPr>
      <w:r w:rsidRPr="00221BD4">
        <w:rPr>
          <w:lang w:eastAsia="zh-CN"/>
        </w:rPr>
        <w:t>Se somete a la consideración de la Junta de del Reglamento de Radiocomunicaciones la comunicación adjunta de la Administración de Chipre</w:t>
      </w:r>
      <w:r w:rsidRPr="00221BD4">
        <w:rPr>
          <w:rStyle w:val="FootnoteReference"/>
          <w:lang w:eastAsia="zh-CN"/>
        </w:rPr>
        <w:footnoteReference w:id="1"/>
      </w:r>
      <w:r w:rsidRPr="00221BD4">
        <w:rPr>
          <w:lang w:eastAsia="zh-CN"/>
        </w:rPr>
        <w:t xml:space="preserve"> </w:t>
      </w:r>
      <w:r w:rsidRPr="00221BD4">
        <w:rPr>
          <w:rFonts w:asciiTheme="majorBidi" w:hAnsiTheme="majorBidi" w:cstheme="majorBidi"/>
          <w:szCs w:val="24"/>
        </w:rPr>
        <w:t>en la que se solicita la puesta en servicio de asignaciones de frecuencia a la red de satélites KYPROS-SAT-3 (39ºE)</w:t>
      </w:r>
      <w:r w:rsidRPr="00221BD4">
        <w:rPr>
          <w:rFonts w:asciiTheme="majorBidi" w:hAnsiTheme="majorBidi" w:cstheme="majorBidi"/>
          <w:szCs w:val="24"/>
          <w:lang w:eastAsia="zh-CN"/>
        </w:rPr>
        <w:t>, que complementa la información contenida en el Documento</w:t>
      </w:r>
      <w:r w:rsidR="00533CE3">
        <w:rPr>
          <w:rFonts w:asciiTheme="majorBidi" w:hAnsiTheme="majorBidi" w:cstheme="majorBidi"/>
          <w:szCs w:val="24"/>
          <w:lang w:eastAsia="zh-CN"/>
        </w:rPr>
        <w:t xml:space="preserve"> </w:t>
      </w:r>
      <w:hyperlink r:id="rId7" w:history="1">
        <w:r w:rsidR="00F12BDC" w:rsidRPr="00221BD4">
          <w:rPr>
            <w:rStyle w:val="Hyperlink"/>
            <w:rFonts w:asciiTheme="majorBidi" w:hAnsiTheme="majorBidi" w:cstheme="majorBidi"/>
            <w:szCs w:val="24"/>
            <w:lang w:eastAsia="zh-CN"/>
          </w:rPr>
          <w:t>RRB18-2/2(Addendum 2)</w:t>
        </w:r>
      </w:hyperlink>
      <w:r w:rsidR="00710C6C" w:rsidRPr="00221BD4">
        <w:t>.</w:t>
      </w:r>
    </w:p>
    <w:p w:rsidR="00B54D96" w:rsidRPr="00221BD4" w:rsidRDefault="00823108" w:rsidP="00823108">
      <w:pPr>
        <w:spacing w:before="1560"/>
        <w:jc w:val="both"/>
      </w:pPr>
      <w:r w:rsidRPr="00221BD4">
        <w:rPr>
          <w:b/>
          <w:bCs/>
        </w:rPr>
        <w:t>Adjunto</w:t>
      </w:r>
      <w:r w:rsidRPr="00221BD4">
        <w:t>: 1</w:t>
      </w:r>
    </w:p>
    <w:p w:rsidR="00B54D96" w:rsidRDefault="00B54D96" w:rsidP="00823108">
      <w:pPr>
        <w:spacing w:before="1560"/>
        <w:jc w:val="both"/>
      </w:pPr>
      <w:r w:rsidRPr="00221BD4">
        <w:br w:type="page"/>
      </w:r>
    </w:p>
    <w:p w:rsidR="00533CE3" w:rsidRPr="00533CE3" w:rsidRDefault="00533CE3" w:rsidP="00533CE3">
      <w:pPr>
        <w:pStyle w:val="AnnexNotitle"/>
        <w:spacing w:after="240"/>
        <w:rPr>
          <w:lang w:val="fr-CH"/>
        </w:rPr>
      </w:pPr>
      <w:r w:rsidRPr="00533CE3">
        <w:rPr>
          <w:lang w:val="fr-CH"/>
        </w:rPr>
        <w:lastRenderedPageBreak/>
        <w:t>Adjunto</w:t>
      </w:r>
    </w:p>
    <w:tbl>
      <w:tblPr>
        <w:tblStyle w:val="TableGrid"/>
        <w:tblW w:w="9923" w:type="dxa"/>
        <w:tblInd w:w="-5" w:type="dxa"/>
        <w:tblLook w:val="04A0" w:firstRow="1" w:lastRow="0" w:firstColumn="1" w:lastColumn="0" w:noHBand="0" w:noVBand="1"/>
      </w:tblPr>
      <w:tblGrid>
        <w:gridCol w:w="4815"/>
        <w:gridCol w:w="4815"/>
        <w:gridCol w:w="293"/>
      </w:tblGrid>
      <w:tr w:rsidR="007E635A" w:rsidRPr="00533CE3" w:rsidTr="00B0723F">
        <w:trPr>
          <w:gridAfter w:val="1"/>
          <w:wAfter w:w="289" w:type="dxa"/>
        </w:trPr>
        <w:tc>
          <w:tcPr>
            <w:tcW w:w="4814" w:type="dxa"/>
          </w:tcPr>
          <w:p w:rsidR="007E635A" w:rsidRPr="00221BD4" w:rsidRDefault="00533CE3" w:rsidP="00533CE3">
            <w:pPr>
              <w:spacing w:before="1200"/>
              <w:jc w:val="center"/>
            </w:pPr>
            <w:r>
              <w:t>REPÚBLICA DE CHIPRE</w:t>
            </w:r>
            <w:r w:rsidR="007E635A" w:rsidRPr="00221BD4">
              <w:t xml:space="preserve"> </w:t>
            </w:r>
            <w:r w:rsidR="007E635A" w:rsidRPr="00221BD4">
              <w:br/>
              <w:t>MINIST</w:t>
            </w:r>
            <w:r>
              <w:t>E</w:t>
            </w:r>
            <w:r w:rsidR="007E635A" w:rsidRPr="00221BD4">
              <w:t>R</w:t>
            </w:r>
            <w:r>
              <w:t xml:space="preserve">IO DE </w:t>
            </w:r>
            <w:r w:rsidR="007E635A" w:rsidRPr="00221BD4">
              <w:t>TRANSPORT</w:t>
            </w:r>
            <w:r>
              <w:t>E</w:t>
            </w:r>
            <w:r w:rsidR="007E635A" w:rsidRPr="00221BD4">
              <w:t>, COMUNICA</w:t>
            </w:r>
            <w:r>
              <w:t>C</w:t>
            </w:r>
            <w:r w:rsidR="007E635A" w:rsidRPr="00221BD4">
              <w:t>ION</w:t>
            </w:r>
            <w:r>
              <w:t>E</w:t>
            </w:r>
            <w:r w:rsidR="007E635A" w:rsidRPr="00221BD4">
              <w:t xml:space="preserve">S </w:t>
            </w:r>
            <w:r>
              <w:t>Y TRABAJO</w:t>
            </w:r>
            <w:r w:rsidR="007E635A" w:rsidRPr="00221BD4">
              <w:rPr>
                <w:noProof/>
                <w:lang w:val="en-GB" w:eastAsia="zh-CN"/>
              </w:rPr>
              <w:drawing>
                <wp:anchor distT="0" distB="0" distL="114300" distR="114300" simplePos="0" relativeHeight="251658240" behindDoc="1" locked="0" layoutInCell="1" allowOverlap="1">
                  <wp:simplePos x="0" y="0"/>
                  <wp:positionH relativeFrom="column">
                    <wp:posOffset>1099820</wp:posOffset>
                  </wp:positionH>
                  <wp:positionV relativeFrom="paragraph">
                    <wp:posOffset>54610</wp:posOffset>
                  </wp:positionV>
                  <wp:extent cx="640080" cy="640080"/>
                  <wp:effectExtent l="0" t="0" r="762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anchor>
              </w:drawing>
            </w:r>
          </w:p>
        </w:tc>
        <w:tc>
          <w:tcPr>
            <w:tcW w:w="4815" w:type="dxa"/>
          </w:tcPr>
          <w:p w:rsidR="007E635A" w:rsidRPr="00533CE3" w:rsidRDefault="008138CD" w:rsidP="00533CE3">
            <w:pPr>
              <w:jc w:val="center"/>
              <w:rPr>
                <w:lang w:val="es-ES"/>
              </w:rPr>
            </w:pPr>
            <w:r w:rsidRPr="00221BD4">
              <w:rPr>
                <w:rFonts w:asciiTheme="minorHAnsi" w:eastAsiaTheme="minorHAnsi" w:hAnsiTheme="minorHAnsi" w:cstheme="minorBidi"/>
                <w:noProof/>
                <w:sz w:val="22"/>
                <w:szCs w:val="22"/>
                <w:lang w:val="en-GB" w:eastAsia="zh-CN"/>
              </w:rPr>
              <w:drawing>
                <wp:anchor distT="0" distB="0" distL="114300" distR="114300" simplePos="0" relativeHeight="251661312" behindDoc="0" locked="0" layoutInCell="1" allowOverlap="1">
                  <wp:simplePos x="0" y="0"/>
                  <wp:positionH relativeFrom="column">
                    <wp:posOffset>1108710</wp:posOffset>
                  </wp:positionH>
                  <wp:positionV relativeFrom="paragraph">
                    <wp:posOffset>58214</wp:posOffset>
                  </wp:positionV>
                  <wp:extent cx="640080" cy="725170"/>
                  <wp:effectExtent l="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725170"/>
                          </a:xfrm>
                          <a:prstGeom prst="rect">
                            <a:avLst/>
                          </a:prstGeom>
                          <a:noFill/>
                        </pic:spPr>
                      </pic:pic>
                    </a:graphicData>
                  </a:graphic>
                </wp:anchor>
              </w:drawing>
            </w:r>
            <w:r w:rsidRPr="00533CE3">
              <w:rPr>
                <w:b/>
                <w:bCs/>
                <w:lang w:val="es-ES"/>
              </w:rPr>
              <w:t>DEPART</w:t>
            </w:r>
            <w:r w:rsidR="00533CE3" w:rsidRPr="00533CE3">
              <w:rPr>
                <w:b/>
                <w:bCs/>
                <w:lang w:val="es-ES"/>
              </w:rPr>
              <w:t>A</w:t>
            </w:r>
            <w:r w:rsidRPr="00533CE3">
              <w:rPr>
                <w:b/>
                <w:bCs/>
                <w:lang w:val="es-ES"/>
              </w:rPr>
              <w:t>MENT</w:t>
            </w:r>
            <w:r w:rsidR="00533CE3" w:rsidRPr="00533CE3">
              <w:rPr>
                <w:b/>
                <w:bCs/>
                <w:lang w:val="es-ES"/>
              </w:rPr>
              <w:t>O DE</w:t>
            </w:r>
            <w:r w:rsidRPr="00533CE3">
              <w:rPr>
                <w:b/>
                <w:bCs/>
                <w:lang w:val="es-ES"/>
              </w:rPr>
              <w:t xml:space="preserve"> </w:t>
            </w:r>
            <w:r w:rsidR="00533CE3" w:rsidRPr="00533CE3">
              <w:rPr>
                <w:b/>
                <w:bCs/>
                <w:lang w:val="es-ES"/>
              </w:rPr>
              <w:t>COM</w:t>
            </w:r>
            <w:r w:rsidRPr="00533CE3">
              <w:rPr>
                <w:b/>
                <w:bCs/>
                <w:lang w:val="es-ES"/>
              </w:rPr>
              <w:t>UNICA</w:t>
            </w:r>
            <w:r w:rsidR="00533CE3" w:rsidRPr="00533CE3">
              <w:rPr>
                <w:b/>
                <w:bCs/>
                <w:lang w:val="es-ES"/>
              </w:rPr>
              <w:t>C</w:t>
            </w:r>
            <w:r w:rsidRPr="00533CE3">
              <w:rPr>
                <w:b/>
                <w:bCs/>
                <w:lang w:val="es-ES"/>
              </w:rPr>
              <w:t>ION</w:t>
            </w:r>
            <w:r w:rsidR="00533CE3" w:rsidRPr="00533CE3">
              <w:rPr>
                <w:b/>
                <w:bCs/>
                <w:lang w:val="es-ES"/>
              </w:rPr>
              <w:t>E</w:t>
            </w:r>
            <w:r w:rsidRPr="00533CE3">
              <w:rPr>
                <w:b/>
                <w:bCs/>
                <w:lang w:val="es-ES"/>
              </w:rPr>
              <w:t>S</w:t>
            </w:r>
            <w:r w:rsidRPr="00533CE3">
              <w:rPr>
                <w:lang w:val="es-ES"/>
              </w:rPr>
              <w:t xml:space="preserve"> </w:t>
            </w:r>
            <w:r w:rsidR="00533CE3" w:rsidRPr="00533CE3">
              <w:rPr>
                <w:b/>
                <w:bCs/>
                <w:lang w:val="es-ES"/>
              </w:rPr>
              <w:t xml:space="preserve">ELECTRÓNICAS </w:t>
            </w:r>
            <w:r w:rsidRPr="00533CE3">
              <w:rPr>
                <w:lang w:val="es-ES"/>
              </w:rPr>
              <w:t>NICOSIA 2048</w:t>
            </w:r>
          </w:p>
        </w:tc>
      </w:tr>
      <w:tr w:rsidR="00B0723F" w:rsidRPr="003F709C" w:rsidTr="00B0723F">
        <w:tc>
          <w:tcPr>
            <w:tcW w:w="9923" w:type="dxa"/>
            <w:gridSpan w:val="3"/>
            <w:tcBorders>
              <w:top w:val="nil"/>
              <w:left w:val="nil"/>
              <w:bottom w:val="single" w:sz="4" w:space="0" w:color="auto"/>
              <w:right w:val="nil"/>
            </w:tcBorders>
          </w:tcPr>
          <w:p w:rsidR="00E574DB" w:rsidRPr="00E574DB" w:rsidRDefault="00B0723F" w:rsidP="006579BA">
            <w:pPr>
              <w:pStyle w:val="Normalaftertitle"/>
              <w:spacing w:before="60" w:after="60"/>
              <w:jc w:val="center"/>
              <w:rPr>
                <w:sz w:val="22"/>
                <w:szCs w:val="22"/>
              </w:rPr>
            </w:pPr>
            <w:r w:rsidRPr="00E574DB">
              <w:rPr>
                <w:sz w:val="22"/>
                <w:szCs w:val="22"/>
                <w:lang w:val="es-ES"/>
              </w:rPr>
              <w:t xml:space="preserve">286 Strovolos Avenue, 2048 Strovolos – FAX: +357 22 321925 – </w:t>
            </w:r>
            <w:hyperlink r:id="rId10" w:history="1">
              <w:r w:rsidRPr="00E574DB">
                <w:rPr>
                  <w:rStyle w:val="Hyperlink"/>
                  <w:sz w:val="22"/>
                  <w:szCs w:val="22"/>
                  <w:lang w:val="es-ES"/>
                </w:rPr>
                <w:t>http://www.mcw.gov.cy/dec</w:t>
              </w:r>
            </w:hyperlink>
            <w:r w:rsidRPr="00E574DB">
              <w:rPr>
                <w:sz w:val="22"/>
                <w:szCs w:val="22"/>
                <w:lang w:val="es-ES"/>
              </w:rPr>
              <w:br/>
            </w:r>
            <w:r w:rsidRPr="00B0723F">
              <w:rPr>
                <w:sz w:val="22"/>
                <w:szCs w:val="22"/>
              </w:rPr>
              <w:t>Dirección postal: P O Box 24647, 1302 Nicosi</w:t>
            </w:r>
            <w:r w:rsidR="00E574DB">
              <w:rPr>
                <w:sz w:val="22"/>
                <w:szCs w:val="22"/>
              </w:rPr>
              <w:t>a</w:t>
            </w:r>
            <w:r w:rsidRPr="00B0723F">
              <w:rPr>
                <w:sz w:val="22"/>
                <w:szCs w:val="22"/>
              </w:rPr>
              <w:t>, Ch</w:t>
            </w:r>
            <w:r w:rsidR="00E574DB">
              <w:rPr>
                <w:sz w:val="22"/>
                <w:szCs w:val="22"/>
              </w:rPr>
              <w:t>i</w:t>
            </w:r>
            <w:r w:rsidRPr="00B0723F">
              <w:rPr>
                <w:sz w:val="22"/>
                <w:szCs w:val="22"/>
              </w:rPr>
              <w:t>pre</w:t>
            </w:r>
          </w:p>
        </w:tc>
      </w:tr>
      <w:tr w:rsidR="00B0723F" w:rsidRPr="00EE2123" w:rsidTr="00B0723F">
        <w:tc>
          <w:tcPr>
            <w:tcW w:w="4815" w:type="dxa"/>
            <w:tcBorders>
              <w:left w:val="nil"/>
              <w:right w:val="nil"/>
            </w:tcBorders>
          </w:tcPr>
          <w:p w:rsidR="00B0723F" w:rsidRPr="00EE2123" w:rsidRDefault="00B0723F" w:rsidP="006579BA">
            <w:pPr>
              <w:pStyle w:val="Normalaftertitle"/>
              <w:tabs>
                <w:tab w:val="clear" w:pos="794"/>
                <w:tab w:val="left" w:pos="1026"/>
              </w:tabs>
              <w:spacing w:before="60"/>
              <w:rPr>
                <w:lang w:val="fr-CH"/>
              </w:rPr>
            </w:pPr>
            <w:r w:rsidRPr="00EE2123">
              <w:rPr>
                <w:lang w:val="fr-CH"/>
              </w:rPr>
              <w:t>DEC:</w:t>
            </w:r>
            <w:r w:rsidRPr="00EE2123">
              <w:rPr>
                <w:lang w:val="fr-CH"/>
              </w:rPr>
              <w:tab/>
              <w:t>16.8.4.1.14</w:t>
            </w:r>
          </w:p>
          <w:p w:rsidR="00B0723F" w:rsidRPr="00EE2123" w:rsidRDefault="00B0723F" w:rsidP="00880DA7">
            <w:pPr>
              <w:pStyle w:val="Normalaftertitle"/>
              <w:tabs>
                <w:tab w:val="clear" w:pos="794"/>
                <w:tab w:val="left" w:pos="1026"/>
              </w:tabs>
              <w:spacing w:before="0"/>
              <w:rPr>
                <w:lang w:val="fr-CH"/>
              </w:rPr>
            </w:pPr>
            <w:r w:rsidRPr="00EE2123">
              <w:rPr>
                <w:lang w:val="fr-CH"/>
              </w:rPr>
              <w:t>T</w:t>
            </w:r>
            <w:r w:rsidR="006579BA">
              <w:rPr>
                <w:lang w:val="fr-CH"/>
              </w:rPr>
              <w:t>e</w:t>
            </w:r>
            <w:r w:rsidRPr="00EE2123">
              <w:rPr>
                <w:lang w:val="fr-CH"/>
              </w:rPr>
              <w:t>l.:</w:t>
            </w:r>
            <w:r w:rsidRPr="00EE2123">
              <w:rPr>
                <w:lang w:val="fr-CH"/>
              </w:rPr>
              <w:tab/>
              <w:t>+357 22 409604</w:t>
            </w:r>
          </w:p>
          <w:p w:rsidR="00B0723F" w:rsidRPr="00EE2123" w:rsidRDefault="006579BA" w:rsidP="006579BA">
            <w:pPr>
              <w:pStyle w:val="Normalaftertitle"/>
              <w:tabs>
                <w:tab w:val="clear" w:pos="794"/>
                <w:tab w:val="left" w:pos="1026"/>
              </w:tabs>
              <w:spacing w:before="0" w:after="60"/>
              <w:rPr>
                <w:lang w:val="fr-CH"/>
              </w:rPr>
            </w:pPr>
            <w:r>
              <w:rPr>
                <w:lang w:val="fr-CH"/>
              </w:rPr>
              <w:t>Correo-e</w:t>
            </w:r>
            <w:r w:rsidR="00B0723F" w:rsidRPr="00EE2123">
              <w:rPr>
                <w:lang w:val="fr-CH"/>
              </w:rPr>
              <w:t>:</w:t>
            </w:r>
            <w:r w:rsidR="00B0723F" w:rsidRPr="00EE2123">
              <w:rPr>
                <w:lang w:val="fr-CH"/>
              </w:rPr>
              <w:tab/>
            </w:r>
            <w:hyperlink r:id="rId11" w:history="1">
              <w:r w:rsidR="00B0723F" w:rsidRPr="00EE2123">
                <w:rPr>
                  <w:rStyle w:val="Hyperlink"/>
                  <w:lang w:val="fr-CH"/>
                </w:rPr>
                <w:t>stsiakkouris@mcw.gov.cy</w:t>
              </w:r>
            </w:hyperlink>
            <w:r w:rsidR="00B0723F" w:rsidRPr="00EE2123">
              <w:rPr>
                <w:lang w:val="fr-CH"/>
              </w:rPr>
              <w:t xml:space="preserve"> </w:t>
            </w:r>
          </w:p>
        </w:tc>
        <w:tc>
          <w:tcPr>
            <w:tcW w:w="5108" w:type="dxa"/>
            <w:gridSpan w:val="2"/>
            <w:tcBorders>
              <w:left w:val="nil"/>
              <w:right w:val="nil"/>
            </w:tcBorders>
          </w:tcPr>
          <w:p w:rsidR="00B0723F" w:rsidRPr="00EE2123" w:rsidRDefault="00B0723F" w:rsidP="006579BA">
            <w:pPr>
              <w:pStyle w:val="Normalaftertitle"/>
              <w:spacing w:before="600"/>
              <w:jc w:val="right"/>
              <w:rPr>
                <w:lang w:val="fr-CH"/>
              </w:rPr>
            </w:pPr>
            <w:r w:rsidRPr="00EE2123">
              <w:rPr>
                <w:lang w:val="fr-CH"/>
              </w:rPr>
              <w:t>29</w:t>
            </w:r>
            <w:r w:rsidR="006579BA">
              <w:rPr>
                <w:lang w:val="fr-CH"/>
              </w:rPr>
              <w:t xml:space="preserve"> </w:t>
            </w:r>
            <w:r w:rsidR="006579BA" w:rsidRPr="006579BA">
              <w:t>de</w:t>
            </w:r>
            <w:r w:rsidRPr="006579BA">
              <w:t xml:space="preserve"> </w:t>
            </w:r>
            <w:r w:rsidR="006579BA" w:rsidRPr="006579BA">
              <w:t>junio de</w:t>
            </w:r>
            <w:r w:rsidRPr="00EE2123">
              <w:rPr>
                <w:lang w:val="fr-CH"/>
              </w:rPr>
              <w:t xml:space="preserve"> 2018</w:t>
            </w:r>
          </w:p>
        </w:tc>
      </w:tr>
    </w:tbl>
    <w:p w:rsidR="00852BBD" w:rsidRPr="00B57A5A" w:rsidRDefault="00252CAD" w:rsidP="00252CAD">
      <w:pPr>
        <w:tabs>
          <w:tab w:val="clear" w:pos="794"/>
          <w:tab w:val="left" w:pos="1276"/>
        </w:tabs>
        <w:spacing w:before="360"/>
        <w:rPr>
          <w:b/>
          <w:bCs/>
        </w:rPr>
      </w:pPr>
      <w:r w:rsidRPr="00221BD4">
        <w:rPr>
          <w:b/>
          <w:bCs/>
        </w:rPr>
        <w:t>Fax:</w:t>
      </w:r>
      <w:r w:rsidRPr="00221BD4">
        <w:rPr>
          <w:b/>
          <w:bCs/>
        </w:rPr>
        <w:tab/>
      </w:r>
      <w:r w:rsidRPr="00B57A5A">
        <w:rPr>
          <w:b/>
          <w:bCs/>
        </w:rPr>
        <w:t>+41 22 730 57 85</w:t>
      </w:r>
    </w:p>
    <w:p w:rsidR="00252CAD" w:rsidRPr="00221BD4" w:rsidRDefault="00252CAD" w:rsidP="00252CAD">
      <w:pPr>
        <w:tabs>
          <w:tab w:val="clear" w:pos="794"/>
          <w:tab w:val="left" w:pos="1276"/>
        </w:tabs>
        <w:spacing w:before="360"/>
      </w:pPr>
      <w:r w:rsidRPr="00221BD4">
        <w:t>Sr. F. Rancy</w:t>
      </w:r>
      <w:r w:rsidRPr="00221BD4">
        <w:br/>
        <w:t>Director de la Oficina de Radiocomunicaciones</w:t>
      </w:r>
      <w:r w:rsidRPr="00221BD4">
        <w:br/>
        <w:t>Unión Internacional de Telecomunicaciones (UIT)</w:t>
      </w:r>
      <w:r w:rsidRPr="00221BD4">
        <w:br/>
        <w:t>Place des Nations</w:t>
      </w:r>
      <w:r w:rsidRPr="00221BD4">
        <w:br/>
        <w:t>CH-1211 Ginebra 20</w:t>
      </w:r>
      <w:r w:rsidRPr="00221BD4">
        <w:br/>
        <w:t>Suiza</w:t>
      </w:r>
    </w:p>
    <w:p w:rsidR="00252CAD" w:rsidRPr="00221BD4" w:rsidRDefault="00252CAD" w:rsidP="00B0723F">
      <w:pPr>
        <w:tabs>
          <w:tab w:val="clear" w:pos="794"/>
          <w:tab w:val="clear" w:pos="1191"/>
          <w:tab w:val="left" w:pos="1276"/>
        </w:tabs>
        <w:spacing w:before="240"/>
      </w:pPr>
      <w:r w:rsidRPr="00221BD4">
        <w:rPr>
          <w:b/>
          <w:bCs/>
        </w:rPr>
        <w:t>Referencia</w:t>
      </w:r>
      <w:r w:rsidRPr="00221BD4">
        <w:t>:</w:t>
      </w:r>
      <w:r w:rsidRPr="00221BD4">
        <w:tab/>
        <w:t>a)</w:t>
      </w:r>
      <w:r w:rsidRPr="00221BD4">
        <w:tab/>
        <w:t>Add</w:t>
      </w:r>
      <w:r w:rsidR="00B0723F">
        <w:t>é</w:t>
      </w:r>
      <w:r w:rsidRPr="00221BD4">
        <w:t xml:space="preserve">ndum 2 </w:t>
      </w:r>
      <w:r w:rsidR="00B846D7" w:rsidRPr="00221BD4">
        <w:rPr>
          <w:lang w:eastAsia="zh-CN"/>
        </w:rPr>
        <w:t xml:space="preserve">al Documento RRB18-2/2-S, de 26 de junio de </w:t>
      </w:r>
      <w:r w:rsidRPr="00221BD4">
        <w:t>2018</w:t>
      </w:r>
    </w:p>
    <w:p w:rsidR="00252CAD" w:rsidRPr="00B57A5A" w:rsidRDefault="00252CAD" w:rsidP="00B846D7">
      <w:pPr>
        <w:tabs>
          <w:tab w:val="clear" w:pos="794"/>
          <w:tab w:val="clear" w:pos="1191"/>
          <w:tab w:val="left" w:pos="1276"/>
        </w:tabs>
        <w:spacing w:before="360"/>
        <w:ind w:left="1276" w:hanging="1276"/>
        <w:rPr>
          <w:b/>
          <w:bCs/>
        </w:rPr>
      </w:pPr>
      <w:r w:rsidRPr="00221BD4">
        <w:rPr>
          <w:b/>
          <w:bCs/>
        </w:rPr>
        <w:t>Asunto</w:t>
      </w:r>
      <w:r w:rsidRPr="00221BD4">
        <w:t>:</w:t>
      </w:r>
      <w:r w:rsidRPr="00221BD4">
        <w:tab/>
      </w:r>
      <w:r w:rsidR="00B846D7" w:rsidRPr="00B57A5A">
        <w:rPr>
          <w:b/>
          <w:bCs/>
        </w:rPr>
        <w:t>Solicitud para que la Junta del Reglamento de Radiocomunicaciones tome una decisión sobre la puesta en servicio de la red de satélites</w:t>
      </w:r>
      <w:r w:rsidRPr="00B57A5A">
        <w:rPr>
          <w:b/>
          <w:bCs/>
        </w:rPr>
        <w:t xml:space="preserve"> KYPR</w:t>
      </w:r>
      <w:r w:rsidR="00B57A5A">
        <w:rPr>
          <w:b/>
          <w:bCs/>
        </w:rPr>
        <w:t>OS-SAT-3 (39° E)</w:t>
      </w:r>
    </w:p>
    <w:p w:rsidR="00252CAD" w:rsidRPr="00221BD4" w:rsidRDefault="00B0723F" w:rsidP="00252CAD">
      <w:pPr>
        <w:pStyle w:val="Normalaftertitle"/>
      </w:pPr>
      <w:r>
        <w:t xml:space="preserve">Estimado </w:t>
      </w:r>
      <w:r w:rsidR="00252CAD" w:rsidRPr="00221BD4">
        <w:t>Sr. Rancy:</w:t>
      </w:r>
    </w:p>
    <w:p w:rsidR="00252CAD" w:rsidRPr="00221BD4" w:rsidRDefault="00333D18" w:rsidP="005D0D64">
      <w:pPr>
        <w:jc w:val="both"/>
      </w:pPr>
      <w:r w:rsidRPr="00221BD4">
        <w:t>1</w:t>
      </w:r>
      <w:r w:rsidRPr="00221BD4">
        <w:tab/>
      </w:r>
      <w:r w:rsidR="00B846D7" w:rsidRPr="00221BD4">
        <w:rPr>
          <w:bCs/>
          <w:lang w:eastAsia="zh-CN"/>
        </w:rPr>
        <w:t>La Administración de la República de Chipre toma nota y agradece la contribución, indicada en la referencia a), del Director a la 78ª reunión de la Junta del Reglamento de Radiocomunicaciones, que tendrá lugar próximamente, en relación con la situación de la puesta en servicio de la red de satélites KYPROS-SAT-3 (39ºE) y algunas dificultades concretas que afronta mi Administración a este respecto</w:t>
      </w:r>
      <w:r w:rsidR="006453BF" w:rsidRPr="00221BD4">
        <w:t>.</w:t>
      </w:r>
    </w:p>
    <w:p w:rsidR="006453BF" w:rsidRPr="00221BD4" w:rsidRDefault="00333D18" w:rsidP="005D0D64">
      <w:pPr>
        <w:jc w:val="both"/>
      </w:pPr>
      <w:r w:rsidRPr="00221BD4">
        <w:t>2</w:t>
      </w:r>
      <w:r w:rsidRPr="00221BD4">
        <w:tab/>
      </w:r>
      <w:r w:rsidR="00B846D7" w:rsidRPr="00221BD4">
        <w:rPr>
          <w:bCs/>
          <w:lang w:eastAsia="zh-CN"/>
        </w:rPr>
        <w:t xml:space="preserve">Mi administración desea señalar a la atención de la BR y </w:t>
      </w:r>
      <w:r w:rsidR="006579BA">
        <w:rPr>
          <w:bCs/>
          <w:lang w:eastAsia="zh-CN"/>
        </w:rPr>
        <w:t>de los estimados miembros de la </w:t>
      </w:r>
      <w:r w:rsidR="00B846D7" w:rsidRPr="00221BD4">
        <w:rPr>
          <w:bCs/>
          <w:lang w:eastAsia="zh-CN"/>
        </w:rPr>
        <w:t>RRB la siguiente información adicional relativa a la situación reglamentaria y de funcionamiento de la red de satélites KYPROS-SAT-3</w:t>
      </w:r>
      <w:r w:rsidRPr="00221BD4">
        <w:t>:</w:t>
      </w:r>
    </w:p>
    <w:p w:rsidR="00B86DD0" w:rsidRPr="00221BD4" w:rsidRDefault="00187D0F" w:rsidP="005D0D64">
      <w:pPr>
        <w:pStyle w:val="enumlev1"/>
        <w:jc w:val="both"/>
        <w:rPr>
          <w:rFonts w:eastAsia="Tahoma"/>
        </w:rPr>
      </w:pPr>
      <w:r w:rsidRPr="00221BD4">
        <w:rPr>
          <w:rFonts w:eastAsia="Tahoma"/>
        </w:rPr>
        <w:t>a)</w:t>
      </w:r>
      <w:r w:rsidRPr="00221BD4">
        <w:rPr>
          <w:rFonts w:eastAsia="Tahoma"/>
        </w:rPr>
        <w:tab/>
      </w:r>
      <w:r w:rsidR="00B846D7" w:rsidRPr="00221BD4">
        <w:rPr>
          <w:bCs/>
          <w:lang w:eastAsia="zh-CN"/>
        </w:rPr>
        <w:t xml:space="preserve">Mi Administración confirma y coincide con la explicación de los eventos relativos a la puesta en servicio, la inscripción en la Parte B y la notificación de la red de satélites KYPROS-SAT-3, que el Director explica en su informe, referencia a) </w:t>
      </w:r>
      <w:r w:rsidR="00B846D7" w:rsidRPr="00221BD4">
        <w:rPr>
          <w:bCs/>
          <w:i/>
          <w:lang w:eastAsia="zh-CN"/>
        </w:rPr>
        <w:t>supra</w:t>
      </w:r>
      <w:r w:rsidRPr="00221BD4">
        <w:rPr>
          <w:rFonts w:eastAsia="Tahoma"/>
        </w:rPr>
        <w:t>.</w:t>
      </w:r>
    </w:p>
    <w:p w:rsidR="00187D0F" w:rsidRPr="00221BD4" w:rsidRDefault="00187D0F" w:rsidP="005D0D64">
      <w:pPr>
        <w:pStyle w:val="enumlev1"/>
        <w:jc w:val="both"/>
        <w:rPr>
          <w:rFonts w:eastAsia="Tahoma"/>
        </w:rPr>
      </w:pPr>
      <w:r w:rsidRPr="00221BD4">
        <w:rPr>
          <w:rFonts w:eastAsia="Tahoma"/>
        </w:rPr>
        <w:t>b)</w:t>
      </w:r>
      <w:r w:rsidRPr="00221BD4">
        <w:rPr>
          <w:rFonts w:eastAsia="Tahoma"/>
        </w:rPr>
        <w:tab/>
      </w:r>
      <w:r w:rsidR="00B846D7" w:rsidRPr="00221BD4">
        <w:rPr>
          <w:bCs/>
          <w:lang w:eastAsia="zh-CN"/>
        </w:rPr>
        <w:t xml:space="preserve">En lo que respecta al </w:t>
      </w:r>
      <w:r w:rsidR="00FB19CC" w:rsidRPr="005073D7">
        <w:rPr>
          <w:lang w:val="es-ES"/>
        </w:rPr>
        <w:t>§ </w:t>
      </w:r>
      <w:r w:rsidR="00B846D7" w:rsidRPr="00221BD4">
        <w:rPr>
          <w:bCs/>
          <w:lang w:eastAsia="zh-CN"/>
        </w:rPr>
        <w:t xml:space="preserve">4 del informe del Director, mi Administración confirma la confusión sobre la situación de la adjudicación UKR00001 y observa que cuando presentamos la comunicación de la Parte A de nuestra red de satélites KYPROS-SAT-3, esta red de Ucrania figuraba como sistema </w:t>
      </w:r>
      <w:r w:rsidR="00221BD4">
        <w:rPr>
          <w:bCs/>
          <w:lang w:eastAsia="zh-CN"/>
        </w:rPr>
        <w:t>«</w:t>
      </w:r>
      <w:r w:rsidR="00B846D7" w:rsidRPr="00221BD4">
        <w:rPr>
          <w:bCs/>
          <w:lang w:eastAsia="zh-CN"/>
        </w:rPr>
        <w:t>pendiente</w:t>
      </w:r>
      <w:r w:rsidR="00221BD4">
        <w:rPr>
          <w:bCs/>
          <w:lang w:eastAsia="zh-CN"/>
        </w:rPr>
        <w:t>»</w:t>
      </w:r>
      <w:r w:rsidR="00B846D7" w:rsidRPr="00221BD4">
        <w:rPr>
          <w:bCs/>
          <w:lang w:eastAsia="zh-CN"/>
        </w:rPr>
        <w:t xml:space="preserve"> de la </w:t>
      </w:r>
      <w:r w:rsidR="005073D7">
        <w:rPr>
          <w:bCs/>
          <w:lang w:eastAsia="zh-CN"/>
        </w:rPr>
        <w:t>«</w:t>
      </w:r>
      <w:r w:rsidR="00B846D7" w:rsidRPr="00221BD4">
        <w:rPr>
          <w:bCs/>
          <w:lang w:eastAsia="zh-CN"/>
        </w:rPr>
        <w:t>Lista</w:t>
      </w:r>
      <w:r w:rsidR="005073D7">
        <w:rPr>
          <w:bCs/>
          <w:lang w:eastAsia="zh-CN"/>
        </w:rPr>
        <w:t>»</w:t>
      </w:r>
      <w:r w:rsidR="00B846D7" w:rsidRPr="00221BD4">
        <w:rPr>
          <w:bCs/>
          <w:lang w:eastAsia="zh-CN"/>
        </w:rPr>
        <w:t xml:space="preserve"> y no era una adjudicación nacional, ya que los procedimientos del Artículo 7 del Apéndice 30B t</w:t>
      </w:r>
      <w:r w:rsidR="00221BD4">
        <w:rPr>
          <w:bCs/>
          <w:lang w:eastAsia="zh-CN"/>
        </w:rPr>
        <w:t xml:space="preserve">odavía no se habían terminado. </w:t>
      </w:r>
      <w:r w:rsidR="00B846D7" w:rsidRPr="00221BD4">
        <w:rPr>
          <w:bCs/>
          <w:lang w:eastAsia="zh-CN"/>
        </w:rPr>
        <w:t xml:space="preserve">Mi Administración lamenta esta confusión por nuestro operador de </w:t>
      </w:r>
      <w:r w:rsidR="00B846D7" w:rsidRPr="00221BD4">
        <w:rPr>
          <w:bCs/>
          <w:lang w:eastAsia="zh-CN"/>
        </w:rPr>
        <w:lastRenderedPageBreak/>
        <w:t>satélite, que dio lugar a una falsa determinación como red afectada de la adjudicación nacional UKR00001, en nuestra notificación de la Parte B del 3 de junio de 2016</w:t>
      </w:r>
      <w:r w:rsidRPr="00221BD4">
        <w:t>.</w:t>
      </w:r>
    </w:p>
    <w:p w:rsidR="00453BBC" w:rsidRPr="00221BD4" w:rsidRDefault="00453BBC" w:rsidP="005D0D64">
      <w:pPr>
        <w:pStyle w:val="enumlev1"/>
        <w:jc w:val="both"/>
        <w:rPr>
          <w:rFonts w:eastAsia="Tahoma"/>
        </w:rPr>
      </w:pPr>
      <w:r w:rsidRPr="00221BD4">
        <w:rPr>
          <w:rFonts w:eastAsia="Tahoma"/>
        </w:rPr>
        <w:t>c)</w:t>
      </w:r>
      <w:r w:rsidRPr="00221BD4">
        <w:rPr>
          <w:rFonts w:eastAsia="Tahoma"/>
        </w:rPr>
        <w:tab/>
      </w:r>
      <w:r w:rsidR="00B846D7" w:rsidRPr="00221BD4">
        <w:rPr>
          <w:bCs/>
          <w:lang w:eastAsia="zh-CN"/>
        </w:rPr>
        <w:t>Lamentablemente, cuando la BR señaló este hecho a la atención de mi Administración, el 18 de abril de 2017, el vehículo espacial BADR-7, que se había puesto en servicio y funcionaba en 39ºE con las asignaciones a la red de satélites KYPROS-SAT-3, tuvo que desplazarse a otra posición orbital, por motivos operativos. Sin embargo, mi Administración volvió a presentar las notificaciones de la Parte B a la BR el 22 de septiembre de 2017, teniendo debidamente en cuenta la adjudicación nacional UKR00001 (que ya no se identificó como afectada</w:t>
      </w:r>
      <w:r w:rsidRPr="00221BD4">
        <w:rPr>
          <w:rFonts w:eastAsia="Tahoma"/>
        </w:rPr>
        <w:t>).</w:t>
      </w:r>
    </w:p>
    <w:p w:rsidR="00453BBC" w:rsidRPr="00221BD4" w:rsidRDefault="00453BBC" w:rsidP="005D0D64">
      <w:pPr>
        <w:pStyle w:val="enumlev1"/>
        <w:jc w:val="both"/>
        <w:rPr>
          <w:rFonts w:eastAsia="Tahoma"/>
        </w:rPr>
      </w:pPr>
      <w:r w:rsidRPr="00221BD4">
        <w:rPr>
          <w:rFonts w:eastAsia="Tahoma"/>
        </w:rPr>
        <w:t>d)</w:t>
      </w:r>
      <w:r w:rsidRPr="00221BD4">
        <w:rPr>
          <w:rFonts w:eastAsia="Tahoma"/>
        </w:rPr>
        <w:tab/>
      </w:r>
      <w:r w:rsidR="00B846D7" w:rsidRPr="00221BD4">
        <w:rPr>
          <w:bCs/>
          <w:lang w:eastAsia="zh-CN"/>
        </w:rPr>
        <w:t>Debido al reposicionamiento operativo del vehículo espacial BADR-7 mi Administración pidió el 5 de diciembre de 2016 la suspensión de la notificación a la red de satélites KYPROS-SAT-3. Sin embargo, la BR no accedió a esta solicitud porque a la sazón la BR no consideró que la red se había puesto en servicio para fines reglamentarios (aunque estuvo operativa físicamente en 39ºE durante más de 90 días), ya que no se había aplicado debidamente el Artículo 8 del Apéndice 30B</w:t>
      </w:r>
      <w:r w:rsidRPr="00221BD4">
        <w:rPr>
          <w:rFonts w:eastAsia="Tahoma"/>
        </w:rPr>
        <w:t>.</w:t>
      </w:r>
    </w:p>
    <w:p w:rsidR="00453BBC" w:rsidRPr="00221BD4" w:rsidRDefault="00453BBC" w:rsidP="005D0D64">
      <w:pPr>
        <w:pStyle w:val="enumlev1"/>
        <w:jc w:val="both"/>
        <w:rPr>
          <w:rFonts w:eastAsia="Tahoma"/>
        </w:rPr>
      </w:pPr>
      <w:r w:rsidRPr="00221BD4">
        <w:rPr>
          <w:rFonts w:eastAsia="Tahoma"/>
        </w:rPr>
        <w:t>e)</w:t>
      </w:r>
      <w:r w:rsidRPr="00221BD4">
        <w:rPr>
          <w:rFonts w:eastAsia="Tahoma"/>
        </w:rPr>
        <w:tab/>
      </w:r>
      <w:r w:rsidR="00B846D7" w:rsidRPr="00221BD4">
        <w:rPr>
          <w:bCs/>
          <w:lang w:eastAsia="zh-CN"/>
        </w:rPr>
        <w:t>Mi administración desea informar a los miembros de la RRB que los contratos de fabricación y lanzamiento del satélite con el que se prevé reemplazar al BADR-7 en 39ºE, a saber, el vehículo espacial HS-4, se firmaron el 9 de abril de 2015 y el 7 de abril de 2015, respectivamente, y que el satélite se lanzará dentro de los próximos 6 meses</w:t>
      </w:r>
      <w:r w:rsidRPr="00221BD4">
        <w:rPr>
          <w:rFonts w:eastAsia="Tahoma"/>
        </w:rPr>
        <w:t>.</w:t>
      </w:r>
    </w:p>
    <w:p w:rsidR="00453BBC" w:rsidRPr="00221BD4" w:rsidRDefault="00453BBC" w:rsidP="005D0D64">
      <w:pPr>
        <w:pStyle w:val="enumlev1"/>
        <w:jc w:val="both"/>
        <w:rPr>
          <w:rFonts w:eastAsia="Tahoma"/>
        </w:rPr>
      </w:pPr>
      <w:r w:rsidRPr="00221BD4">
        <w:rPr>
          <w:rFonts w:eastAsia="Tahoma"/>
        </w:rPr>
        <w:t>f)</w:t>
      </w:r>
      <w:r w:rsidR="00E221F9" w:rsidRPr="00221BD4">
        <w:rPr>
          <w:rFonts w:eastAsia="Tahoma"/>
        </w:rPr>
        <w:tab/>
      </w:r>
      <w:r w:rsidR="00B846D7" w:rsidRPr="00221BD4">
        <w:rPr>
          <w:bCs/>
          <w:lang w:eastAsia="zh-CN"/>
        </w:rPr>
        <w:t xml:space="preserve">Se adjunta a la presente carta información adicional sobre el satélite HS-4 (también denominado </w:t>
      </w:r>
      <w:r w:rsidR="00221BD4">
        <w:rPr>
          <w:bCs/>
          <w:lang w:eastAsia="zh-CN"/>
        </w:rPr>
        <w:t>«</w:t>
      </w:r>
      <w:r w:rsidR="00B846D7" w:rsidRPr="00221BD4">
        <w:rPr>
          <w:bCs/>
          <w:lang w:eastAsia="zh-CN"/>
        </w:rPr>
        <w:t>HS4/SGS-1</w:t>
      </w:r>
      <w:r w:rsidR="00221BD4">
        <w:rPr>
          <w:bCs/>
          <w:lang w:eastAsia="zh-CN"/>
        </w:rPr>
        <w:t>»</w:t>
      </w:r>
      <w:r w:rsidR="00B846D7" w:rsidRPr="00221BD4">
        <w:rPr>
          <w:bCs/>
          <w:lang w:eastAsia="zh-CN"/>
        </w:rPr>
        <w:t xml:space="preserve"> o </w:t>
      </w:r>
      <w:r w:rsidR="00221BD4">
        <w:rPr>
          <w:bCs/>
          <w:lang w:eastAsia="zh-CN"/>
        </w:rPr>
        <w:t>«</w:t>
      </w:r>
      <w:r w:rsidR="00B846D7" w:rsidRPr="00221BD4">
        <w:rPr>
          <w:bCs/>
          <w:lang w:eastAsia="zh-CN"/>
        </w:rPr>
        <w:t>ARABSAT-6</w:t>
      </w:r>
      <w:r w:rsidR="00976095">
        <w:rPr>
          <w:bCs/>
          <w:lang w:eastAsia="zh-CN"/>
        </w:rPr>
        <w:t>G</w:t>
      </w:r>
      <w:r w:rsidR="00221BD4">
        <w:rPr>
          <w:bCs/>
          <w:lang w:eastAsia="zh-CN"/>
        </w:rPr>
        <w:t>»</w:t>
      </w:r>
      <w:r w:rsidR="00B846D7" w:rsidRPr="00221BD4">
        <w:rPr>
          <w:bCs/>
          <w:lang w:eastAsia="zh-CN"/>
        </w:rPr>
        <w:t>) actualmente en construcción pero cuyo lanzamiento está previsto para el cuarto trimestre de 2018, para información a los miembros de la RRB. En el Anexo 1 figura el calendario de construcción proporcionado por el fabricante y en el Anexo 2 la confirmación del día previsto para su lanzamiento por la empresa de servicios de lanzamiento. Obsérvese que estos Anexos contienen información de carácter confidencial y privada, por lo que le ruego la distribuya exclusivamente a los miembros de la RRB.</w:t>
      </w:r>
      <w:r w:rsidR="001005A9">
        <w:rPr>
          <w:bCs/>
          <w:vertAlign w:val="superscript"/>
          <w:lang w:eastAsia="zh-CN"/>
        </w:rPr>
        <w:t>1</w:t>
      </w:r>
    </w:p>
    <w:p w:rsidR="004F4ECE" w:rsidRPr="00221BD4" w:rsidRDefault="00453BBC" w:rsidP="005D0D64">
      <w:pPr>
        <w:pStyle w:val="enumlev1"/>
        <w:jc w:val="both"/>
        <w:rPr>
          <w:rFonts w:eastAsia="Tahoma"/>
        </w:rPr>
      </w:pPr>
      <w:r w:rsidRPr="00221BD4">
        <w:rPr>
          <w:rFonts w:eastAsia="Tahoma"/>
        </w:rPr>
        <w:t>g)</w:t>
      </w:r>
      <w:r w:rsidRPr="00221BD4">
        <w:rPr>
          <w:rFonts w:eastAsia="Tahoma"/>
        </w:rPr>
        <w:tab/>
      </w:r>
      <w:r w:rsidR="00B846D7" w:rsidRPr="00221BD4">
        <w:rPr>
          <w:bCs/>
          <w:lang w:eastAsia="zh-CN"/>
        </w:rPr>
        <w:t xml:space="preserve">Mi Administración y nuestro operador desean confirmar que ha habido y sigue habiendo un plan firme y a largo plazo para el lanzamiento y explotación del satélite con las asignaciones de KYPROS-SAT-3. Nuestro operador incurrió en gastos considerables al hacer funcionar inicialmente el satélite BADR-7 en 39ºE y, al mismo tiempo, contratar la fabricación y el lanzamiento del satélite HS-4 para funcionar prolongadamente en dicha posición. Por ese motivo es de vital importancia para mi </w:t>
      </w:r>
      <w:r w:rsidR="00976095">
        <w:rPr>
          <w:bCs/>
          <w:lang w:eastAsia="zh-CN"/>
        </w:rPr>
        <w:t>A</w:t>
      </w:r>
      <w:r w:rsidR="00B846D7" w:rsidRPr="00221BD4">
        <w:rPr>
          <w:bCs/>
          <w:lang w:eastAsia="zh-CN"/>
        </w:rPr>
        <w:t>dministración que las notificaciones KYPROS-SAT-3 se mantengan para que las pueda utilizar este satélite</w:t>
      </w:r>
      <w:r w:rsidRPr="00221BD4">
        <w:rPr>
          <w:rFonts w:eastAsia="Tahoma"/>
        </w:rPr>
        <w:t>.</w:t>
      </w:r>
    </w:p>
    <w:p w:rsidR="00453BBC" w:rsidRDefault="00453BBC" w:rsidP="005D0D64">
      <w:pPr>
        <w:pStyle w:val="enumlev1"/>
        <w:jc w:val="both"/>
        <w:rPr>
          <w:rFonts w:eastAsia="Tahoma"/>
        </w:rPr>
      </w:pPr>
      <w:r w:rsidRPr="00221BD4">
        <w:rPr>
          <w:rFonts w:eastAsia="Tahoma"/>
        </w:rPr>
        <w:t>h)</w:t>
      </w:r>
      <w:r w:rsidR="00261E71" w:rsidRPr="00221BD4">
        <w:rPr>
          <w:rFonts w:eastAsia="Tahoma"/>
        </w:rPr>
        <w:tab/>
      </w:r>
      <w:r w:rsidR="00B846D7" w:rsidRPr="00221BD4">
        <w:rPr>
          <w:bCs/>
          <w:lang w:eastAsia="zh-CN"/>
        </w:rPr>
        <w:t>Habida cuenta de la solicitud de suspensión del 6 de</w:t>
      </w:r>
      <w:r w:rsidR="00EC2B9E">
        <w:rPr>
          <w:bCs/>
          <w:lang w:eastAsia="zh-CN"/>
        </w:rPr>
        <w:t xml:space="preserve"> junio de 2016 de la red KYPROS</w:t>
      </w:r>
      <w:r w:rsidR="00EC2B9E">
        <w:rPr>
          <w:bCs/>
          <w:lang w:eastAsia="zh-CN"/>
        </w:rPr>
        <w:noBreakHyphen/>
      </w:r>
      <w:r w:rsidR="00B846D7" w:rsidRPr="00221BD4">
        <w:rPr>
          <w:bCs/>
          <w:lang w:eastAsia="zh-CN"/>
        </w:rPr>
        <w:t>SAT-3, el operador de mi Administración ha estado trabajando intensamente con el fabricante del satélite y el proveedor de lanzamiento para garantizar que las asignaciones a KYPROS-SAT-3 pueden reanudar su funcionamiento antes del 6 de junio de 2019, es decir, 3 años desde la fecha en que se solicitó la suspensió</w:t>
      </w:r>
      <w:r w:rsidR="00EC2B9E">
        <w:rPr>
          <w:bCs/>
          <w:lang w:eastAsia="zh-CN"/>
        </w:rPr>
        <w:t>n, de conformidad con el número </w:t>
      </w:r>
      <w:r w:rsidR="00B846D7" w:rsidRPr="00221BD4">
        <w:rPr>
          <w:bCs/>
          <w:lang w:eastAsia="zh-CN"/>
        </w:rPr>
        <w:t>11.49 del RR. Como se muestra en el Anexo 2, el lanzamiento del satélite HS-4 está previsto para noviembre de 2018, que teniendo en cuenta el tiempo para llegar a</w:t>
      </w:r>
      <w:r w:rsidR="00976095">
        <w:rPr>
          <w:bCs/>
          <w:lang w:eastAsia="zh-CN"/>
        </w:rPr>
        <w:t xml:space="preserve"> </w:t>
      </w:r>
      <w:r w:rsidR="00B846D7" w:rsidRPr="00221BD4">
        <w:rPr>
          <w:bCs/>
          <w:lang w:eastAsia="zh-CN"/>
        </w:rPr>
        <w:t>la órbita, garantizará el cumplimiento del plazo para reanudar el funcionamiento del 6 de junio de 2019 con cierto margen</w:t>
      </w:r>
      <w:r w:rsidRPr="00221BD4">
        <w:rPr>
          <w:rFonts w:eastAsia="Tahoma"/>
        </w:rPr>
        <w:t>.</w:t>
      </w:r>
    </w:p>
    <w:p w:rsidR="001005A9" w:rsidRDefault="001005A9" w:rsidP="005D0D64">
      <w:pPr>
        <w:pStyle w:val="enumlev1"/>
        <w:jc w:val="both"/>
        <w:rPr>
          <w:rFonts w:eastAsia="Tahoma"/>
        </w:rPr>
      </w:pPr>
    </w:p>
    <w:p w:rsidR="001005A9" w:rsidRDefault="001005A9" w:rsidP="005D0D64">
      <w:pPr>
        <w:spacing w:before="600" w:line="200" w:lineRule="exact"/>
        <w:jc w:val="both"/>
        <w:rPr>
          <w:sz w:val="20"/>
        </w:rPr>
      </w:pPr>
      <w:r>
        <w:rPr>
          <w:rFonts w:asciiTheme="minorHAnsi" w:eastAsiaTheme="minorHAnsi" w:hAnsiTheme="minorHAnsi" w:cstheme="minorBidi"/>
          <w:noProof/>
          <w:sz w:val="22"/>
          <w:szCs w:val="22"/>
          <w:lang w:val="en-GB" w:eastAsia="zh-CN"/>
        </w:rPr>
        <w:lastRenderedPageBreak/>
        <mc:AlternateContent>
          <mc:Choice Requires="wpg">
            <w:drawing>
              <wp:anchor distT="0" distB="0" distL="114300" distR="114300" simplePos="0" relativeHeight="251664384" behindDoc="1" locked="0" layoutInCell="1" allowOverlap="1" wp14:anchorId="0AE5D922" wp14:editId="2EC7AA6B">
                <wp:simplePos x="0" y="0"/>
                <wp:positionH relativeFrom="page">
                  <wp:posOffset>919094</wp:posOffset>
                </wp:positionH>
                <wp:positionV relativeFrom="paragraph">
                  <wp:posOffset>153035</wp:posOffset>
                </wp:positionV>
                <wp:extent cx="1828800" cy="1270"/>
                <wp:effectExtent l="8255" t="8255" r="10795" b="952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798" y="-77"/>
                          <a:chExt cx="2880" cy="2"/>
                        </a:xfrm>
                      </wpg:grpSpPr>
                      <wps:wsp>
                        <wps:cNvPr id="9" name="Freeform 20"/>
                        <wps:cNvSpPr>
                          <a:spLocks/>
                        </wps:cNvSpPr>
                        <wps:spPr bwMode="auto">
                          <a:xfrm>
                            <a:off x="1798" y="-77"/>
                            <a:ext cx="2880" cy="2"/>
                          </a:xfrm>
                          <a:custGeom>
                            <a:avLst/>
                            <a:gdLst>
                              <a:gd name="T0" fmla="+- 0 1798 1798"/>
                              <a:gd name="T1" fmla="*/ T0 w 2880"/>
                              <a:gd name="T2" fmla="+- 0 4678 1798"/>
                              <a:gd name="T3" fmla="*/ T2 w 2880"/>
                            </a:gdLst>
                            <a:ahLst/>
                            <a:cxnLst>
                              <a:cxn ang="0">
                                <a:pos x="T1" y="0"/>
                              </a:cxn>
                              <a:cxn ang="0">
                                <a:pos x="T3" y="0"/>
                              </a:cxn>
                            </a:cxnLst>
                            <a:rect l="0" t="0" r="r" b="b"/>
                            <a:pathLst>
                              <a:path w="2880">
                                <a:moveTo>
                                  <a:pt x="0" y="0"/>
                                </a:moveTo>
                                <a:lnTo>
                                  <a:pt x="288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FDB83D" id="Group 8" o:spid="_x0000_s1026" style="position:absolute;margin-left:72.35pt;margin-top:12.05pt;width:2in;height:.1pt;z-index:-251652096;mso-position-horizontal-relative:page" coordorigin="1798,-77"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">
                <v:shape id="Freeform 20" o:spid="_x0000_s1027" style="position:absolute;left:1798;top:-77;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e6mMEA&#10;AADaAAAADwAAAGRycy9kb3ducmV2LnhtbESPUWvCQBCE3wX/w7FC3/TSQIumnlIEacE+aOwPWHJr&#10;Es3thbttTP99r1Do4zAz3zDr7eg6NVCIrWcDj4sMFHHlbcu1gc/zfr4EFQXZYueZDHxThO1mOllj&#10;Yf2dTzSUUqsE4ViggUakL7SOVUMO48L3xMm7+OBQkgy1tgHvCe46nWfZs3bYclposKddQ9Wt/HIG&#10;jsc8u0mOw9vBDddwQPvxRGLMw2x8fQElNMp/+K/9bg2s4PdKugF68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XupjBAAAA2gAAAA8AAAAAAAAAAAAAAAAAmAIAAGRycy9kb3du&#10;cmV2LnhtbFBLBQYAAAAABAAEAPUAAACGAwAAAAA=&#10;" path="m,l2880,e" filled="f" strokeweight=".7pt">
                  <v:path arrowok="t" o:connecttype="custom" o:connectlocs="0,0;2880,0" o:connectangles="0,0"/>
                </v:shape>
                <w10:wrap anchorx="page"/>
              </v:group>
            </w:pict>
          </mc:Fallback>
        </mc:AlternateContent>
      </w:r>
      <w:r>
        <w:rPr>
          <w:rFonts w:ascii="Tahoma" w:eastAsia="Tahoma" w:hAnsi="Tahoma" w:cs="Tahoma"/>
          <w:position w:val="6"/>
          <w:sz w:val="16"/>
          <w:szCs w:val="16"/>
        </w:rPr>
        <w:t xml:space="preserve">1 </w:t>
      </w:r>
      <w:r>
        <w:rPr>
          <w:lang w:val="es-ES"/>
        </w:rPr>
        <w:t>Como, por ejemplo, se hizo con el Documento RRB15-2/8-E.</w:t>
      </w:r>
    </w:p>
    <w:p w:rsidR="00453BBC" w:rsidRPr="00221BD4" w:rsidRDefault="00453BBC" w:rsidP="005D0D64">
      <w:pPr>
        <w:pStyle w:val="enumlev1"/>
        <w:jc w:val="both"/>
        <w:rPr>
          <w:rFonts w:eastAsia="Tahoma"/>
        </w:rPr>
      </w:pPr>
      <w:r w:rsidRPr="00221BD4">
        <w:rPr>
          <w:rFonts w:eastAsia="Tahoma"/>
        </w:rPr>
        <w:t>i)</w:t>
      </w:r>
      <w:r w:rsidR="00211E27" w:rsidRPr="00221BD4">
        <w:rPr>
          <w:rFonts w:eastAsia="Tahoma"/>
        </w:rPr>
        <w:tab/>
      </w:r>
      <w:r w:rsidR="00B846D7" w:rsidRPr="00221BD4">
        <w:rPr>
          <w:rFonts w:eastAsia="Tahoma"/>
        </w:rPr>
        <w:t xml:space="preserve">Habida cuenta del </w:t>
      </w:r>
      <w:r w:rsidRPr="00221BD4">
        <w:rPr>
          <w:rFonts w:eastAsia="Tahoma"/>
        </w:rPr>
        <w:t>§</w:t>
      </w:r>
      <w:r w:rsidR="00211E27" w:rsidRPr="00221BD4">
        <w:rPr>
          <w:rFonts w:eastAsia="Tahoma"/>
        </w:rPr>
        <w:t xml:space="preserve"> 8 </w:t>
      </w:r>
      <w:r w:rsidR="00B846D7" w:rsidRPr="00221BD4">
        <w:rPr>
          <w:rFonts w:eastAsia="Tahoma"/>
        </w:rPr>
        <w:t xml:space="preserve">del informe del </w:t>
      </w:r>
      <w:r w:rsidR="00211E27" w:rsidRPr="00221BD4">
        <w:rPr>
          <w:rFonts w:eastAsia="Tahoma"/>
        </w:rPr>
        <w:t xml:space="preserve">Director, </w:t>
      </w:r>
      <w:r w:rsidR="00B846D7" w:rsidRPr="00221BD4">
        <w:rPr>
          <w:rFonts w:eastAsia="Tahoma"/>
        </w:rPr>
        <w:t xml:space="preserve">mi Administración está de acuerdo en que el número </w:t>
      </w:r>
      <w:r w:rsidRPr="00221BD4">
        <w:rPr>
          <w:rFonts w:eastAsia="Tahoma"/>
        </w:rPr>
        <w:t xml:space="preserve">11.44B.2 </w:t>
      </w:r>
      <w:r w:rsidR="00211E27" w:rsidRPr="00221BD4">
        <w:rPr>
          <w:rFonts w:eastAsia="Tahoma"/>
        </w:rPr>
        <w:t>«</w:t>
      </w:r>
      <w:r w:rsidR="00B846D7" w:rsidRPr="00221BD4">
        <w:rPr>
          <w:rFonts w:eastAsia="Tahoma"/>
        </w:rPr>
        <w:t>fue adoptado</w:t>
      </w:r>
      <w:r w:rsidRPr="00221BD4">
        <w:rPr>
          <w:rFonts w:eastAsia="Tahoma"/>
        </w:rPr>
        <w:t xml:space="preserve"> [</w:t>
      </w:r>
      <w:r w:rsidR="00B846D7" w:rsidRPr="00221BD4">
        <w:rPr>
          <w:rFonts w:eastAsia="Tahoma"/>
        </w:rPr>
        <w:t>por la CMR</w:t>
      </w:r>
      <w:r w:rsidRPr="00221BD4">
        <w:rPr>
          <w:rFonts w:eastAsia="Tahoma"/>
        </w:rPr>
        <w:t xml:space="preserve">-15] </w:t>
      </w:r>
      <w:r w:rsidR="00B846D7" w:rsidRPr="00221BD4">
        <w:rPr>
          <w:rFonts w:asciiTheme="majorBidi" w:hAnsiTheme="majorBidi" w:cstheme="majorBidi"/>
          <w:szCs w:val="24"/>
        </w:rPr>
        <w:t xml:space="preserve">tras los debates en los que se partía del supuesto de que la notificación </w:t>
      </w:r>
      <w:bookmarkStart w:id="5" w:name="_GoBack"/>
      <w:r w:rsidR="00B846D7" w:rsidRPr="00221BD4">
        <w:rPr>
          <w:rFonts w:asciiTheme="majorBidi" w:hAnsiTheme="majorBidi" w:cstheme="majorBidi"/>
          <w:szCs w:val="24"/>
        </w:rPr>
        <w:t>comunicada podría siempre culminar en una inscripción en el MIFR, especialmente por la existencia del número 11.41 o de procedimientos similares en los Apéndices 30, 30A y 30B</w:t>
      </w:r>
      <w:r w:rsidRPr="00221BD4">
        <w:rPr>
          <w:rFonts w:eastAsia="Tahoma"/>
        </w:rPr>
        <w:t>.</w:t>
      </w:r>
      <w:r w:rsidR="00211E27" w:rsidRPr="00221BD4">
        <w:rPr>
          <w:rFonts w:eastAsia="Tahoma"/>
        </w:rPr>
        <w:t>»</w:t>
      </w:r>
      <w:r w:rsidRPr="00221BD4">
        <w:rPr>
          <w:rFonts w:eastAsia="Tahoma"/>
        </w:rPr>
        <w:t xml:space="preserve"> </w:t>
      </w:r>
      <w:r w:rsidR="00B846D7" w:rsidRPr="00221BD4">
        <w:rPr>
          <w:rFonts w:eastAsia="Tahoma"/>
        </w:rPr>
        <w:t>Ahora bien</w:t>
      </w:r>
      <w:r w:rsidR="00211E27" w:rsidRPr="00221BD4">
        <w:rPr>
          <w:rFonts w:eastAsia="Tahoma"/>
        </w:rPr>
        <w:t xml:space="preserve">, </w:t>
      </w:r>
      <w:r w:rsidR="00B846D7" w:rsidRPr="00221BD4">
        <w:rPr>
          <w:rFonts w:eastAsia="Tahoma"/>
        </w:rPr>
        <w:t xml:space="preserve">tal como añade el </w:t>
      </w:r>
      <w:r w:rsidR="00211E27" w:rsidRPr="00221BD4">
        <w:rPr>
          <w:rFonts w:eastAsia="Tahoma"/>
        </w:rPr>
        <w:t xml:space="preserve">Director, </w:t>
      </w:r>
      <w:r w:rsidR="00EC2B9E">
        <w:rPr>
          <w:rFonts w:eastAsia="Tahoma"/>
        </w:rPr>
        <w:t>el número </w:t>
      </w:r>
      <w:r w:rsidR="00211E27" w:rsidRPr="00221BD4">
        <w:rPr>
          <w:rFonts w:eastAsia="Tahoma"/>
        </w:rPr>
        <w:t xml:space="preserve">11.44B.2 </w:t>
      </w:r>
      <w:r w:rsidR="00B846D7" w:rsidRPr="00221BD4">
        <w:rPr>
          <w:rFonts w:eastAsia="Tahoma"/>
        </w:rPr>
        <w:t xml:space="preserve">se adoptó sin tener en cuenta las particularidades de los procedimientos del Apéndice </w:t>
      </w:r>
      <w:r w:rsidRPr="00221BD4">
        <w:rPr>
          <w:rFonts w:eastAsia="Tahoma"/>
        </w:rPr>
        <w:t>30B</w:t>
      </w:r>
      <w:r w:rsidR="000943E8" w:rsidRPr="00221BD4">
        <w:rPr>
          <w:rFonts w:eastAsia="Tahoma"/>
        </w:rPr>
        <w:t xml:space="preserve">, en </w:t>
      </w:r>
      <w:r w:rsidRPr="00221BD4">
        <w:rPr>
          <w:rFonts w:eastAsia="Tahoma"/>
        </w:rPr>
        <w:t xml:space="preserve">particular </w:t>
      </w:r>
      <w:r w:rsidR="000943E8" w:rsidRPr="00221BD4">
        <w:rPr>
          <w:rFonts w:eastAsia="Tahoma"/>
        </w:rPr>
        <w:t xml:space="preserve">el hecho de que </w:t>
      </w:r>
      <w:r w:rsidRPr="00221BD4">
        <w:rPr>
          <w:rFonts w:eastAsia="Tahoma"/>
        </w:rPr>
        <w:t xml:space="preserve">§ 6.25 </w:t>
      </w:r>
      <w:r w:rsidR="000943E8" w:rsidRPr="00221BD4">
        <w:rPr>
          <w:rFonts w:eastAsia="Tahoma"/>
        </w:rPr>
        <w:t xml:space="preserve">del Artículo </w:t>
      </w:r>
      <w:r w:rsidRPr="00221BD4">
        <w:rPr>
          <w:rFonts w:eastAsia="Tahoma"/>
        </w:rPr>
        <w:t xml:space="preserve">6 </w:t>
      </w:r>
      <w:r w:rsidR="000943E8" w:rsidRPr="00221BD4">
        <w:rPr>
          <w:rFonts w:eastAsia="Tahoma"/>
        </w:rPr>
        <w:t xml:space="preserve">del Apéndice </w:t>
      </w:r>
      <w:r w:rsidRPr="00221BD4">
        <w:rPr>
          <w:rFonts w:eastAsia="Tahoma"/>
        </w:rPr>
        <w:t xml:space="preserve">30B </w:t>
      </w:r>
      <w:r w:rsidR="000943E8" w:rsidRPr="00221BD4">
        <w:rPr>
          <w:rFonts w:eastAsia="Tahoma"/>
        </w:rPr>
        <w:t xml:space="preserve">no se aplica a adjudicaciones en el </w:t>
      </w:r>
      <w:r w:rsidRPr="00221BD4">
        <w:rPr>
          <w:rFonts w:eastAsia="Tahoma"/>
        </w:rPr>
        <w:t>Plan (</w:t>
      </w:r>
      <w:r w:rsidR="00CF6A04" w:rsidRPr="00221BD4">
        <w:rPr>
          <w:rFonts w:eastAsia="Tahoma"/>
        </w:rPr>
        <w:t xml:space="preserve">y, por ende, no es </w:t>
      </w:r>
      <w:r w:rsidRPr="00221BD4">
        <w:rPr>
          <w:rFonts w:eastAsia="Tahoma"/>
        </w:rPr>
        <w:t xml:space="preserve">similar </w:t>
      </w:r>
      <w:r w:rsidR="00CF6A04" w:rsidRPr="00221BD4">
        <w:rPr>
          <w:rFonts w:eastAsia="Tahoma"/>
        </w:rPr>
        <w:t xml:space="preserve">al número </w:t>
      </w:r>
      <w:r w:rsidRPr="00221BD4">
        <w:rPr>
          <w:rFonts w:eastAsia="Tahoma"/>
        </w:rPr>
        <w:t xml:space="preserve">11.41) </w:t>
      </w:r>
      <w:r w:rsidR="00CF6A04" w:rsidRPr="00221BD4">
        <w:rPr>
          <w:rFonts w:eastAsia="Tahoma"/>
        </w:rPr>
        <w:t xml:space="preserve">y establece una relación específica entre </w:t>
      </w:r>
      <w:r w:rsidR="00CF6A04" w:rsidRPr="00221BD4">
        <w:rPr>
          <w:rFonts w:asciiTheme="majorBidi" w:hAnsiTheme="majorBidi" w:cstheme="majorBidi"/>
          <w:szCs w:val="24"/>
        </w:rPr>
        <w:t>la inscripción en la Lista con arreglo al § 6.17 del Artículo 6 del Apéndice</w:t>
      </w:r>
      <w:r w:rsidR="00CF6A04" w:rsidRPr="00221BD4">
        <w:rPr>
          <w:rFonts w:eastAsia="Tahoma"/>
        </w:rPr>
        <w:t xml:space="preserve"> </w:t>
      </w:r>
      <w:r w:rsidRPr="00221BD4">
        <w:rPr>
          <w:rFonts w:eastAsia="Tahoma"/>
        </w:rPr>
        <w:t xml:space="preserve">30B </w:t>
      </w:r>
      <w:r w:rsidR="00CF6A04" w:rsidRPr="00221BD4">
        <w:rPr>
          <w:rFonts w:eastAsia="Tahoma"/>
        </w:rPr>
        <w:t>y con arreglo al</w:t>
      </w:r>
      <w:r w:rsidRPr="00221BD4">
        <w:rPr>
          <w:rFonts w:eastAsia="Tahoma"/>
        </w:rPr>
        <w:t xml:space="preserve"> §</w:t>
      </w:r>
      <w:r w:rsidR="00211E27" w:rsidRPr="00221BD4">
        <w:rPr>
          <w:rFonts w:eastAsia="Tahoma"/>
        </w:rPr>
        <w:t xml:space="preserve"> </w:t>
      </w:r>
      <w:r w:rsidRPr="00221BD4">
        <w:rPr>
          <w:rFonts w:eastAsia="Tahoma"/>
        </w:rPr>
        <w:t xml:space="preserve">8.1 </w:t>
      </w:r>
      <w:r w:rsidR="00CF6A04" w:rsidRPr="00221BD4">
        <w:rPr>
          <w:rFonts w:eastAsia="Tahoma"/>
        </w:rPr>
        <w:t xml:space="preserve">del Artículo </w:t>
      </w:r>
      <w:r w:rsidRPr="00221BD4">
        <w:rPr>
          <w:rFonts w:eastAsia="Tahoma"/>
        </w:rPr>
        <w:t xml:space="preserve">8 </w:t>
      </w:r>
      <w:r w:rsidR="00CF6A04" w:rsidRPr="00221BD4">
        <w:rPr>
          <w:rFonts w:eastAsia="Tahoma"/>
        </w:rPr>
        <w:t>de dicho Apéndice</w:t>
      </w:r>
      <w:r w:rsidRPr="00221BD4">
        <w:rPr>
          <w:rFonts w:eastAsia="Tahoma"/>
        </w:rPr>
        <w:t>.</w:t>
      </w:r>
    </w:p>
    <w:p w:rsidR="00453BBC" w:rsidRPr="00221BD4" w:rsidRDefault="00453BBC" w:rsidP="005D0D64">
      <w:pPr>
        <w:pStyle w:val="enumlev1"/>
        <w:jc w:val="both"/>
        <w:rPr>
          <w:rFonts w:eastAsia="Tahoma"/>
        </w:rPr>
      </w:pPr>
      <w:r w:rsidRPr="00221BD4">
        <w:rPr>
          <w:rFonts w:eastAsia="Tahoma"/>
        </w:rPr>
        <w:t>j)</w:t>
      </w:r>
      <w:r w:rsidR="00D5674A" w:rsidRPr="00221BD4">
        <w:rPr>
          <w:rFonts w:eastAsia="Tahoma"/>
        </w:rPr>
        <w:tab/>
      </w:r>
      <w:r w:rsidR="00CF6A04" w:rsidRPr="00221BD4">
        <w:rPr>
          <w:rFonts w:eastAsia="Tahoma"/>
        </w:rPr>
        <w:t>Habida cuenta de lo anterior</w:t>
      </w:r>
      <w:r w:rsidR="00D5674A" w:rsidRPr="00221BD4">
        <w:rPr>
          <w:rFonts w:eastAsia="Tahoma"/>
        </w:rPr>
        <w:t xml:space="preserve">, </w:t>
      </w:r>
      <w:r w:rsidR="00CF6A04" w:rsidRPr="00221BD4">
        <w:rPr>
          <w:rFonts w:eastAsia="Tahoma"/>
        </w:rPr>
        <w:t xml:space="preserve">la Administración de Chipre ruega a los distinguidos miembros de la RRB que tomen en consideración esta información, en </w:t>
      </w:r>
      <w:r w:rsidRPr="00221BD4">
        <w:rPr>
          <w:rFonts w:eastAsia="Tahoma"/>
        </w:rPr>
        <w:t xml:space="preserve">particular </w:t>
      </w:r>
      <w:r w:rsidR="00CF6A04" w:rsidRPr="00221BD4">
        <w:rPr>
          <w:rFonts w:eastAsia="Tahoma"/>
        </w:rPr>
        <w:t xml:space="preserve">las dificultades de mi Administración y los esfuerzos del operador para construir un nuevo satélite que utilizará las asignaciones de frecuencias de la red de satélites </w:t>
      </w:r>
      <w:r w:rsidRPr="00221BD4">
        <w:rPr>
          <w:rFonts w:eastAsia="Tahoma"/>
        </w:rPr>
        <w:t xml:space="preserve">KYPROS-SAT-3, </w:t>
      </w:r>
      <w:r w:rsidR="00CF6A04" w:rsidRPr="00221BD4">
        <w:rPr>
          <w:rFonts w:eastAsia="Tahoma"/>
        </w:rPr>
        <w:t xml:space="preserve">y que autorice a título excepcional a la BR a tramitar nuestra comunicación presentada nuevamente el </w:t>
      </w:r>
      <w:r w:rsidRPr="00221BD4">
        <w:rPr>
          <w:rFonts w:eastAsia="Tahoma"/>
        </w:rPr>
        <w:t xml:space="preserve">22 </w:t>
      </w:r>
      <w:r w:rsidR="00CF6A04" w:rsidRPr="00221BD4">
        <w:rPr>
          <w:rFonts w:eastAsia="Tahoma"/>
        </w:rPr>
        <w:t xml:space="preserve">de septiembre de </w:t>
      </w:r>
      <w:r w:rsidRPr="00221BD4">
        <w:rPr>
          <w:rFonts w:eastAsia="Tahoma"/>
        </w:rPr>
        <w:t xml:space="preserve">2017 </w:t>
      </w:r>
      <w:r w:rsidR="00CF6A04" w:rsidRPr="00221BD4">
        <w:rPr>
          <w:rFonts w:eastAsia="Tahoma"/>
        </w:rPr>
        <w:t xml:space="preserve">de la información relativa a la </w:t>
      </w:r>
      <w:r w:rsidRPr="00221BD4">
        <w:rPr>
          <w:rFonts w:eastAsia="Tahoma"/>
        </w:rPr>
        <w:t>Part</w:t>
      </w:r>
      <w:r w:rsidR="00CF6A04" w:rsidRPr="00221BD4">
        <w:rPr>
          <w:rFonts w:eastAsia="Tahoma"/>
        </w:rPr>
        <w:t xml:space="preserve">e </w:t>
      </w:r>
      <w:r w:rsidRPr="00221BD4">
        <w:rPr>
          <w:rFonts w:eastAsia="Tahoma"/>
        </w:rPr>
        <w:t xml:space="preserve">B </w:t>
      </w:r>
      <w:r w:rsidR="00CF6A04" w:rsidRPr="00221BD4">
        <w:rPr>
          <w:rFonts w:eastAsia="Tahoma"/>
        </w:rPr>
        <w:t xml:space="preserve">y de la notificación de la red de satélites </w:t>
      </w:r>
      <w:r w:rsidRPr="00221BD4">
        <w:rPr>
          <w:rFonts w:eastAsia="Tahoma"/>
        </w:rPr>
        <w:t xml:space="preserve">KYPROS-SAT-3 </w:t>
      </w:r>
      <w:r w:rsidR="00CF6A04" w:rsidRPr="00221BD4">
        <w:rPr>
          <w:rFonts w:eastAsia="Tahoma"/>
        </w:rPr>
        <w:t xml:space="preserve">manteniendo la fecha </w:t>
      </w:r>
      <w:r w:rsidRPr="00221BD4">
        <w:rPr>
          <w:rFonts w:eastAsia="Tahoma"/>
        </w:rPr>
        <w:t xml:space="preserve">original </w:t>
      </w:r>
      <w:r w:rsidR="00CF6A04" w:rsidRPr="00221BD4">
        <w:rPr>
          <w:rFonts w:eastAsia="Tahoma"/>
        </w:rPr>
        <w:t xml:space="preserve">de recepción de la primera comunicación, es decir el </w:t>
      </w:r>
      <w:r w:rsidRPr="00221BD4">
        <w:rPr>
          <w:rFonts w:eastAsia="Tahoma"/>
        </w:rPr>
        <w:t xml:space="preserve">3 </w:t>
      </w:r>
      <w:r w:rsidR="00CF6A04" w:rsidRPr="00221BD4">
        <w:rPr>
          <w:rFonts w:eastAsia="Tahoma"/>
        </w:rPr>
        <w:t xml:space="preserve">de junio de </w:t>
      </w:r>
      <w:r w:rsidRPr="00221BD4">
        <w:rPr>
          <w:rFonts w:eastAsia="Tahoma"/>
        </w:rPr>
        <w:t xml:space="preserve">2016, </w:t>
      </w:r>
      <w:r w:rsidR="00CF6A04" w:rsidRPr="00221BD4">
        <w:rPr>
          <w:rFonts w:eastAsia="Tahoma"/>
        </w:rPr>
        <w:t xml:space="preserve">manteniendo así la correspondiente fecha de puesta en servicio de </w:t>
      </w:r>
      <w:r w:rsidRPr="00221BD4">
        <w:rPr>
          <w:rFonts w:eastAsia="Tahoma"/>
        </w:rPr>
        <w:t xml:space="preserve">7 </w:t>
      </w:r>
      <w:r w:rsidR="00CF6A04" w:rsidRPr="00221BD4">
        <w:rPr>
          <w:rFonts w:eastAsia="Tahoma"/>
        </w:rPr>
        <w:t xml:space="preserve">de marzo de </w:t>
      </w:r>
      <w:r w:rsidRPr="00221BD4">
        <w:rPr>
          <w:rFonts w:eastAsia="Tahoma"/>
        </w:rPr>
        <w:t xml:space="preserve">2016, </w:t>
      </w:r>
      <w:r w:rsidR="00EC2B9E">
        <w:rPr>
          <w:rFonts w:eastAsia="Tahoma"/>
        </w:rPr>
        <w:t>mediante el satélite </w:t>
      </w:r>
      <w:r w:rsidRPr="00221BD4">
        <w:rPr>
          <w:rFonts w:eastAsia="Tahoma"/>
        </w:rPr>
        <w:t xml:space="preserve">BADR-7, </w:t>
      </w:r>
      <w:r w:rsidR="00CF6A04" w:rsidRPr="00221BD4">
        <w:rPr>
          <w:rFonts w:eastAsia="Tahoma"/>
        </w:rPr>
        <w:t xml:space="preserve">y la suspensión solicitada a partir del </w:t>
      </w:r>
      <w:r w:rsidRPr="00221BD4">
        <w:rPr>
          <w:rFonts w:eastAsia="Tahoma"/>
        </w:rPr>
        <w:t xml:space="preserve">6 </w:t>
      </w:r>
      <w:r w:rsidR="00CF6A04" w:rsidRPr="00221BD4">
        <w:rPr>
          <w:rFonts w:eastAsia="Tahoma"/>
        </w:rPr>
        <w:t xml:space="preserve">de junio de </w:t>
      </w:r>
      <w:r w:rsidRPr="00221BD4">
        <w:rPr>
          <w:rFonts w:eastAsia="Tahoma"/>
        </w:rPr>
        <w:t>2016.</w:t>
      </w:r>
    </w:p>
    <w:p w:rsidR="00453BBC" w:rsidRPr="00221BD4" w:rsidRDefault="00453BBC" w:rsidP="005D0D64">
      <w:pPr>
        <w:pStyle w:val="enumlev1"/>
        <w:jc w:val="both"/>
        <w:rPr>
          <w:rFonts w:eastAsia="Tahoma"/>
        </w:rPr>
      </w:pPr>
      <w:r w:rsidRPr="00221BD4">
        <w:rPr>
          <w:rFonts w:eastAsia="Tahoma"/>
        </w:rPr>
        <w:t>k)</w:t>
      </w:r>
      <w:r w:rsidRPr="00221BD4">
        <w:rPr>
          <w:rFonts w:eastAsia="Tahoma"/>
        </w:rPr>
        <w:tab/>
      </w:r>
      <w:r w:rsidR="00CF6A04" w:rsidRPr="00221BD4">
        <w:rPr>
          <w:rFonts w:eastAsia="Tahoma"/>
        </w:rPr>
        <w:t>Si no fuera posible</w:t>
      </w:r>
      <w:r w:rsidRPr="00221BD4">
        <w:rPr>
          <w:rFonts w:eastAsia="Tahoma"/>
        </w:rPr>
        <w:t xml:space="preserve">, </w:t>
      </w:r>
      <w:r w:rsidR="00CF6A04" w:rsidRPr="00221BD4">
        <w:rPr>
          <w:rFonts w:eastAsia="Tahoma"/>
        </w:rPr>
        <w:t>rogamos a los miembros de la</w:t>
      </w:r>
      <w:r w:rsidRPr="00221BD4">
        <w:rPr>
          <w:rFonts w:eastAsia="Tahoma"/>
        </w:rPr>
        <w:t xml:space="preserve"> RRB </w:t>
      </w:r>
      <w:r w:rsidR="00CF6A04" w:rsidRPr="00221BD4">
        <w:rPr>
          <w:rFonts w:eastAsia="Tahoma"/>
        </w:rPr>
        <w:t xml:space="preserve">que accedan a mantener la fecha de puesta en servicio de </w:t>
      </w:r>
      <w:r w:rsidRPr="00221BD4">
        <w:rPr>
          <w:rFonts w:eastAsia="Tahoma"/>
        </w:rPr>
        <w:t>7</w:t>
      </w:r>
      <w:r w:rsidR="00232C76" w:rsidRPr="00221BD4">
        <w:rPr>
          <w:rFonts w:eastAsia="Tahoma"/>
        </w:rPr>
        <w:t xml:space="preserve"> </w:t>
      </w:r>
      <w:r w:rsidR="00CF6A04" w:rsidRPr="00221BD4">
        <w:rPr>
          <w:rFonts w:eastAsia="Tahoma"/>
        </w:rPr>
        <w:t xml:space="preserve">de marzo de </w:t>
      </w:r>
      <w:r w:rsidRPr="00221BD4">
        <w:rPr>
          <w:rFonts w:eastAsia="Tahoma"/>
        </w:rPr>
        <w:t xml:space="preserve">2016, </w:t>
      </w:r>
      <w:r w:rsidR="00CF6A04" w:rsidRPr="00221BD4">
        <w:rPr>
          <w:rFonts w:eastAsia="Tahoma"/>
        </w:rPr>
        <w:t xml:space="preserve">mediante el satélite </w:t>
      </w:r>
      <w:r w:rsidRPr="00221BD4">
        <w:rPr>
          <w:rFonts w:eastAsia="Tahoma"/>
        </w:rPr>
        <w:t xml:space="preserve">BADR-7, </w:t>
      </w:r>
      <w:r w:rsidR="00CF6A04" w:rsidRPr="00221BD4">
        <w:rPr>
          <w:rFonts w:eastAsia="Tahoma"/>
        </w:rPr>
        <w:t>y la suspensión solicita</w:t>
      </w:r>
      <w:r w:rsidR="00976095">
        <w:rPr>
          <w:rFonts w:eastAsia="Tahoma"/>
        </w:rPr>
        <w:t>da</w:t>
      </w:r>
      <w:r w:rsidR="00CF6A04" w:rsidRPr="00221BD4">
        <w:rPr>
          <w:rFonts w:eastAsia="Tahoma"/>
        </w:rPr>
        <w:t xml:space="preserve"> a partir del </w:t>
      </w:r>
      <w:r w:rsidRPr="00221BD4">
        <w:rPr>
          <w:rFonts w:eastAsia="Tahoma"/>
        </w:rPr>
        <w:t xml:space="preserve">6 </w:t>
      </w:r>
      <w:r w:rsidR="00CF6A04" w:rsidRPr="00221BD4">
        <w:rPr>
          <w:rFonts w:eastAsia="Tahoma"/>
        </w:rPr>
        <w:t xml:space="preserve">de junio de </w:t>
      </w:r>
      <w:r w:rsidRPr="00221BD4">
        <w:rPr>
          <w:rFonts w:eastAsia="Tahoma"/>
        </w:rPr>
        <w:t xml:space="preserve">2016, </w:t>
      </w:r>
      <w:r w:rsidR="00CF6A04" w:rsidRPr="00221BD4">
        <w:rPr>
          <w:rFonts w:eastAsia="Tahoma"/>
        </w:rPr>
        <w:t xml:space="preserve">y que asocien esta puesta en servicio con la comunicación presentada de nuevo el </w:t>
      </w:r>
      <w:r w:rsidRPr="00221BD4">
        <w:rPr>
          <w:rFonts w:eastAsia="Tahoma"/>
        </w:rPr>
        <w:t xml:space="preserve">22 </w:t>
      </w:r>
      <w:r w:rsidR="00CF6A04" w:rsidRPr="00221BD4">
        <w:rPr>
          <w:rFonts w:eastAsia="Tahoma"/>
        </w:rPr>
        <w:t xml:space="preserve">de septiembre de </w:t>
      </w:r>
      <w:r w:rsidRPr="00221BD4">
        <w:rPr>
          <w:rFonts w:eastAsia="Tahoma"/>
        </w:rPr>
        <w:t xml:space="preserve">2017 </w:t>
      </w:r>
      <w:r w:rsidR="00CF6A04" w:rsidRPr="00221BD4">
        <w:rPr>
          <w:rFonts w:eastAsia="Tahoma"/>
        </w:rPr>
        <w:t xml:space="preserve">de la </w:t>
      </w:r>
      <w:r w:rsidRPr="00221BD4">
        <w:rPr>
          <w:rFonts w:eastAsia="Tahoma"/>
        </w:rPr>
        <w:t>Part</w:t>
      </w:r>
      <w:r w:rsidR="00CF6A04" w:rsidRPr="00221BD4">
        <w:rPr>
          <w:rFonts w:eastAsia="Tahoma"/>
        </w:rPr>
        <w:t xml:space="preserve">e </w:t>
      </w:r>
      <w:r w:rsidRPr="00221BD4">
        <w:rPr>
          <w:rFonts w:eastAsia="Tahoma"/>
        </w:rPr>
        <w:t xml:space="preserve">B </w:t>
      </w:r>
      <w:r w:rsidR="00CF6A04" w:rsidRPr="00221BD4">
        <w:rPr>
          <w:rFonts w:eastAsia="Tahoma"/>
        </w:rPr>
        <w:t xml:space="preserve">y la notificación para </w:t>
      </w:r>
      <w:r w:rsidRPr="00221BD4">
        <w:rPr>
          <w:rFonts w:eastAsia="Tahoma"/>
        </w:rPr>
        <w:t>KYPROS-SAT-3.</w:t>
      </w:r>
    </w:p>
    <w:p w:rsidR="00453BBC" w:rsidRPr="00221BD4" w:rsidRDefault="00453BBC" w:rsidP="005D0D64">
      <w:pPr>
        <w:jc w:val="both"/>
      </w:pPr>
      <w:r w:rsidRPr="00221BD4">
        <w:t>3</w:t>
      </w:r>
      <w:r w:rsidR="00517561" w:rsidRPr="00221BD4">
        <w:tab/>
      </w:r>
      <w:r w:rsidR="00B846D7" w:rsidRPr="00221BD4">
        <w:t xml:space="preserve">Mi Administración está dispuesta a proporcionar toda la información adicional que los miembros de la RRB soliciten y confía en que la RRB podrá acceder a la solicitud de la República de Chipre, a fin de garantizar el funcionamiento a largo plazo del satélite </w:t>
      </w:r>
      <w:r w:rsidRPr="00221BD4">
        <w:t xml:space="preserve">HS-4 </w:t>
      </w:r>
      <w:r w:rsidR="00B846D7" w:rsidRPr="00221BD4">
        <w:t xml:space="preserve">en </w:t>
      </w:r>
      <w:r w:rsidRPr="00221BD4">
        <w:t xml:space="preserve">39° E </w:t>
      </w:r>
      <w:r w:rsidR="00B846D7" w:rsidRPr="00221BD4">
        <w:t xml:space="preserve">con las notificaciones de la red </w:t>
      </w:r>
      <w:r w:rsidRPr="00221BD4">
        <w:t>KYPROS-SAT-3.</w:t>
      </w:r>
    </w:p>
    <w:p w:rsidR="00453BBC" w:rsidRPr="00221BD4" w:rsidRDefault="00453BBC" w:rsidP="005D0D64">
      <w:pPr>
        <w:jc w:val="both"/>
      </w:pPr>
      <w:r w:rsidRPr="00221BD4">
        <w:t>4</w:t>
      </w:r>
      <w:r w:rsidRPr="00221BD4">
        <w:tab/>
      </w:r>
      <w:r w:rsidR="00B846D7" w:rsidRPr="00221BD4">
        <w:t xml:space="preserve">Se ruega al </w:t>
      </w:r>
      <w:r w:rsidRPr="00221BD4">
        <w:t>D</w:t>
      </w:r>
      <w:bookmarkEnd w:id="5"/>
      <w:r w:rsidRPr="00221BD4">
        <w:t xml:space="preserve">irector </w:t>
      </w:r>
      <w:r w:rsidR="00B846D7" w:rsidRPr="00221BD4">
        <w:t xml:space="preserve">que transmita esta comunicación a la </w:t>
      </w:r>
      <w:r w:rsidR="000B65AA">
        <w:t>RRB para su consideración en su </w:t>
      </w:r>
      <w:r w:rsidR="00B846D7" w:rsidRPr="00221BD4">
        <w:t>78ª reunión</w:t>
      </w:r>
      <w:r w:rsidRPr="00221BD4">
        <w:t>.</w:t>
      </w:r>
    </w:p>
    <w:p w:rsidR="00453BBC" w:rsidRPr="00221BD4" w:rsidRDefault="00B846D7" w:rsidP="000B65AA">
      <w:r w:rsidRPr="00221BD4">
        <w:t>Le saluda muy atentamente</w:t>
      </w:r>
      <w:r w:rsidR="000B65AA">
        <w:t>.</w:t>
      </w:r>
    </w:p>
    <w:p w:rsidR="00453BBC" w:rsidRPr="00221BD4" w:rsidRDefault="00FD2DA4" w:rsidP="00E574DB">
      <w:pPr>
        <w:spacing w:before="240" w:line="200" w:lineRule="exact"/>
        <w:rPr>
          <w:sz w:val="20"/>
        </w:rPr>
      </w:pPr>
      <w:r w:rsidRPr="00221BD4">
        <w:rPr>
          <w:rFonts w:asciiTheme="minorHAnsi" w:eastAsiaTheme="minorHAnsi" w:hAnsiTheme="minorHAnsi" w:cstheme="minorBidi"/>
          <w:noProof/>
          <w:lang w:val="en-GB" w:eastAsia="zh-CN"/>
        </w:rPr>
        <w:drawing>
          <wp:anchor distT="0" distB="0" distL="114300" distR="114300" simplePos="0" relativeHeight="251662336" behindDoc="1" locked="0" layoutInCell="1" allowOverlap="1">
            <wp:simplePos x="0" y="0"/>
            <wp:positionH relativeFrom="column">
              <wp:posOffset>219710</wp:posOffset>
            </wp:positionH>
            <wp:positionV relativeFrom="paragraph">
              <wp:posOffset>322994</wp:posOffset>
            </wp:positionV>
            <wp:extent cx="721995" cy="698500"/>
            <wp:effectExtent l="0" t="0" r="1905" b="6350"/>
            <wp:wrapTight wrapText="bothSides">
              <wp:wrapPolygon edited="0">
                <wp:start x="0" y="0"/>
                <wp:lineTo x="0" y="21207"/>
                <wp:lineTo x="21087" y="21207"/>
                <wp:lineTo x="21087"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1995" cy="698500"/>
                    </a:xfrm>
                    <a:prstGeom prst="rect">
                      <a:avLst/>
                    </a:prstGeom>
                    <a:noFill/>
                  </pic:spPr>
                </pic:pic>
              </a:graphicData>
            </a:graphic>
          </wp:anchor>
        </w:drawing>
      </w:r>
    </w:p>
    <w:p w:rsidR="00453BBC" w:rsidRPr="00221BD4" w:rsidRDefault="00453BBC" w:rsidP="00453BBC">
      <w:pPr>
        <w:spacing w:line="200" w:lineRule="exact"/>
        <w:rPr>
          <w:sz w:val="20"/>
        </w:rPr>
      </w:pPr>
    </w:p>
    <w:p w:rsidR="00453BBC" w:rsidRDefault="00453BBC" w:rsidP="000B65AA">
      <w:pPr>
        <w:rPr>
          <w:sz w:val="20"/>
        </w:rPr>
      </w:pPr>
    </w:p>
    <w:p w:rsidR="00E574DB" w:rsidRDefault="00E574DB" w:rsidP="000B65AA">
      <w:pPr>
        <w:rPr>
          <w:sz w:val="20"/>
        </w:rPr>
      </w:pPr>
    </w:p>
    <w:p w:rsidR="00E574DB" w:rsidRPr="00221BD4" w:rsidRDefault="00E574DB" w:rsidP="000B65AA">
      <w:pPr>
        <w:rPr>
          <w:sz w:val="20"/>
        </w:rPr>
      </w:pPr>
    </w:p>
    <w:p w:rsidR="00453BBC" w:rsidRDefault="00453BBC" w:rsidP="00B0723F">
      <w:r w:rsidRPr="00221BD4">
        <w:t>Stavros Tsiakkouris</w:t>
      </w:r>
      <w:r w:rsidR="00FD2DA4" w:rsidRPr="00221BD4">
        <w:br/>
      </w:r>
      <w:r w:rsidR="00B846D7" w:rsidRPr="00221BD4">
        <w:t xml:space="preserve">Oficial de Comunicaciones Electrónicas </w:t>
      </w:r>
      <w:r w:rsidR="00FD2DA4" w:rsidRPr="00221BD4">
        <w:br/>
      </w:r>
      <w:r w:rsidR="00B846D7" w:rsidRPr="00221BD4">
        <w:t xml:space="preserve">Para el </w:t>
      </w:r>
      <w:r w:rsidRPr="00221BD4">
        <w:t>Director</w:t>
      </w:r>
    </w:p>
    <w:p w:rsidR="00B0723F" w:rsidRDefault="00B0723F" w:rsidP="00E574DB">
      <w:pPr>
        <w:pStyle w:val="Reasons"/>
        <w:spacing w:before="480"/>
      </w:pPr>
      <w:r w:rsidRPr="00B0723F">
        <w:rPr>
          <w:sz w:val="22"/>
          <w:szCs w:val="22"/>
          <w:lang w:val="en-GB"/>
        </w:rPr>
        <w:t>Cc:</w:t>
      </w:r>
      <w:r w:rsidRPr="00B0723F">
        <w:rPr>
          <w:sz w:val="22"/>
          <w:szCs w:val="22"/>
          <w:lang w:val="en-GB"/>
        </w:rPr>
        <w:br/>
        <w:t xml:space="preserve">Hellas Sat Consortium Ltd </w:t>
      </w:r>
      <w:r w:rsidRPr="00B0723F">
        <w:rPr>
          <w:sz w:val="22"/>
          <w:szCs w:val="22"/>
          <w:lang w:val="en-GB"/>
        </w:rPr>
        <w:br/>
      </w:r>
      <w:r w:rsidRPr="00B0723F">
        <w:rPr>
          <w:sz w:val="22"/>
          <w:szCs w:val="22"/>
          <w:lang w:val="en-GB"/>
        </w:rPr>
        <w:lastRenderedPageBreak/>
        <w:t>(Fax: +30 210 6645433)</w:t>
      </w:r>
      <w:r w:rsidRPr="00B0723F">
        <w:rPr>
          <w:sz w:val="22"/>
          <w:szCs w:val="22"/>
          <w:lang w:val="en-GB"/>
        </w:rPr>
        <w:br/>
        <w:t>(Fax: +357 22 861510)</w:t>
      </w:r>
    </w:p>
    <w:p w:rsidR="00B0723F" w:rsidRPr="00B0723F" w:rsidRDefault="00B0723F" w:rsidP="00B0723F">
      <w:pPr>
        <w:jc w:val="center"/>
      </w:pPr>
      <w:r>
        <w:t>______________</w:t>
      </w:r>
    </w:p>
    <w:sectPr w:rsidR="00B0723F" w:rsidRPr="00B0723F">
      <w:headerReference w:type="default" r:id="rId13"/>
      <w:footerReference w:type="default" r:id="rId14"/>
      <w:footerReference w:type="firs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41BD" w:rsidRDefault="006441BD">
      <w:r>
        <w:separator/>
      </w:r>
    </w:p>
  </w:endnote>
  <w:endnote w:type="continuationSeparator" w:id="0">
    <w:p w:rsidR="006441BD" w:rsidRDefault="00644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BD4" w:rsidRPr="00221BD4" w:rsidRDefault="00221BD4" w:rsidP="00221BD4">
    <w:pPr>
      <w:pStyle w:val="Footer"/>
      <w:rPr>
        <w:szCs w:val="16"/>
        <w:lang w:val="en-US"/>
      </w:rPr>
    </w:pPr>
    <w:r w:rsidRPr="00221BD4">
      <w:rPr>
        <w:szCs w:val="16"/>
        <w:lang w:val="en-US"/>
      </w:rPr>
      <w:t>(440705)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BD4" w:rsidRPr="00221BD4" w:rsidRDefault="00221BD4" w:rsidP="00221BD4">
    <w:pPr>
      <w:pStyle w:val="Footer"/>
      <w:rPr>
        <w:szCs w:val="16"/>
        <w:lang w:val="en-US"/>
      </w:rPr>
    </w:pPr>
    <w:r w:rsidRPr="00221BD4">
      <w:rPr>
        <w:szCs w:val="16"/>
        <w:lang w:val="en-US"/>
      </w:rPr>
      <w:t>(440705)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41BD" w:rsidRDefault="006441BD">
      <w:r>
        <w:t>____________________</w:t>
      </w:r>
    </w:p>
  </w:footnote>
  <w:footnote w:type="continuationSeparator" w:id="0">
    <w:p w:rsidR="006441BD" w:rsidRDefault="006441BD">
      <w:r>
        <w:continuationSeparator/>
      </w:r>
    </w:p>
  </w:footnote>
  <w:footnote w:id="1">
    <w:p w:rsidR="00B846D7" w:rsidRPr="00533CE3" w:rsidRDefault="00B846D7" w:rsidP="005D0D64">
      <w:pPr>
        <w:pStyle w:val="FootnoteText"/>
        <w:tabs>
          <w:tab w:val="clear" w:pos="255"/>
        </w:tabs>
        <w:ind w:left="0" w:firstLine="0"/>
        <w:rPr>
          <w:sz w:val="22"/>
          <w:szCs w:val="22"/>
        </w:rPr>
      </w:pPr>
      <w:r>
        <w:rPr>
          <w:rStyle w:val="FootnoteReference"/>
        </w:rPr>
        <w:footnoteRef/>
      </w:r>
      <w:r>
        <w:t xml:space="preserve"> </w:t>
      </w:r>
      <w:r>
        <w:rPr>
          <w:sz w:val="22"/>
          <w:szCs w:val="22"/>
        </w:rPr>
        <w:t xml:space="preserve">La presente comunicación guarda relación con el satélite HS-4 y su lanzamiento previsto, y de conformidad con el § 1.6 </w:t>
      </w:r>
      <w:r>
        <w:rPr>
          <w:i/>
          <w:iCs/>
          <w:sz w:val="22"/>
          <w:szCs w:val="22"/>
        </w:rPr>
        <w:t xml:space="preserve">bis </w:t>
      </w:r>
      <w:r>
        <w:rPr>
          <w:sz w:val="22"/>
          <w:szCs w:val="22"/>
        </w:rPr>
        <w:t>de las disposiciones internas y los métodos de trabajo de la RRB (Parte C de las Reglas de Procedimiento), estos anexos no se publican.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F58" w:rsidRDefault="00B46F58" w:rsidP="00075863">
    <w:pPr>
      <w:pStyle w:val="Header"/>
      <w:rPr>
        <w:lang w:val="es-ES"/>
      </w:rPr>
    </w:pPr>
    <w:r>
      <w:rPr>
        <w:rStyle w:val="PageNumber"/>
      </w:rPr>
      <w:fldChar w:fldCharType="begin"/>
    </w:r>
    <w:r>
      <w:rPr>
        <w:rStyle w:val="PageNumber"/>
      </w:rPr>
      <w:instrText xml:space="preserve"> PAGE </w:instrText>
    </w:r>
    <w:r>
      <w:rPr>
        <w:rStyle w:val="PageNumber"/>
      </w:rPr>
      <w:fldChar w:fldCharType="separate"/>
    </w:r>
    <w:r w:rsidR="005D0D64">
      <w:rPr>
        <w:rStyle w:val="PageNumber"/>
        <w:noProof/>
      </w:rPr>
      <w:t>4</w:t>
    </w:r>
    <w:r>
      <w:rPr>
        <w:rStyle w:val="PageNumber"/>
      </w:rPr>
      <w:fldChar w:fldCharType="end"/>
    </w:r>
  </w:p>
  <w:p w:rsidR="00906CD4" w:rsidRPr="00A77C2C" w:rsidRDefault="00B46F58" w:rsidP="00A77C2C">
    <w:pPr>
      <w:pStyle w:val="Header"/>
      <w:rPr>
        <w:lang w:val="es-ES"/>
      </w:rPr>
    </w:pPr>
    <w:r>
      <w:rPr>
        <w:lang w:val="es-ES"/>
      </w:rPr>
      <w:t>RRB18-</w:t>
    </w:r>
    <w:r w:rsidR="00A77C2C">
      <w:rPr>
        <w:lang w:val="es-ES"/>
      </w:rPr>
      <w:t>2</w:t>
    </w:r>
    <w:r>
      <w:rPr>
        <w:lang w:val="es-ES"/>
      </w:rPr>
      <w:t>/</w:t>
    </w:r>
    <w:r w:rsidR="00A77C2C">
      <w:rPr>
        <w:lang w:val="es-ES"/>
      </w:rPr>
      <w:t>DELAYED/1</w:t>
    </w:r>
    <w:r>
      <w:rPr>
        <w:lang w:val="es-ES"/>
      </w:rP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1BD"/>
    <w:rsid w:val="00032A7C"/>
    <w:rsid w:val="00041E3E"/>
    <w:rsid w:val="00045428"/>
    <w:rsid w:val="00066621"/>
    <w:rsid w:val="00075863"/>
    <w:rsid w:val="000828AD"/>
    <w:rsid w:val="000943E8"/>
    <w:rsid w:val="000B65AA"/>
    <w:rsid w:val="000C5589"/>
    <w:rsid w:val="001005A9"/>
    <w:rsid w:val="001106DA"/>
    <w:rsid w:val="00187D0F"/>
    <w:rsid w:val="001A06AB"/>
    <w:rsid w:val="001B0379"/>
    <w:rsid w:val="00211E27"/>
    <w:rsid w:val="00221BD4"/>
    <w:rsid w:val="00232C76"/>
    <w:rsid w:val="00252CAD"/>
    <w:rsid w:val="00261E71"/>
    <w:rsid w:val="0027616D"/>
    <w:rsid w:val="002F01B5"/>
    <w:rsid w:val="002F1D35"/>
    <w:rsid w:val="00333D18"/>
    <w:rsid w:val="00344EC8"/>
    <w:rsid w:val="003661C9"/>
    <w:rsid w:val="003770AA"/>
    <w:rsid w:val="003858D8"/>
    <w:rsid w:val="003A2F75"/>
    <w:rsid w:val="003D6CD4"/>
    <w:rsid w:val="00414D8B"/>
    <w:rsid w:val="00453BBC"/>
    <w:rsid w:val="00473CC8"/>
    <w:rsid w:val="004865FC"/>
    <w:rsid w:val="004F4ECE"/>
    <w:rsid w:val="005073D7"/>
    <w:rsid w:val="00517561"/>
    <w:rsid w:val="00526A8C"/>
    <w:rsid w:val="00533CE3"/>
    <w:rsid w:val="005B0B9D"/>
    <w:rsid w:val="005D0D64"/>
    <w:rsid w:val="00610642"/>
    <w:rsid w:val="006441BD"/>
    <w:rsid w:val="006453BF"/>
    <w:rsid w:val="006579BA"/>
    <w:rsid w:val="00681026"/>
    <w:rsid w:val="006E291F"/>
    <w:rsid w:val="00710C6C"/>
    <w:rsid w:val="00763673"/>
    <w:rsid w:val="007950C3"/>
    <w:rsid w:val="007C40D8"/>
    <w:rsid w:val="007E635A"/>
    <w:rsid w:val="008138CD"/>
    <w:rsid w:val="00823108"/>
    <w:rsid w:val="00851EBF"/>
    <w:rsid w:val="00852BBD"/>
    <w:rsid w:val="00906CD4"/>
    <w:rsid w:val="00935556"/>
    <w:rsid w:val="00950854"/>
    <w:rsid w:val="009538B2"/>
    <w:rsid w:val="00956E98"/>
    <w:rsid w:val="00976095"/>
    <w:rsid w:val="009F18F2"/>
    <w:rsid w:val="00A41D83"/>
    <w:rsid w:val="00A4555D"/>
    <w:rsid w:val="00A77C2C"/>
    <w:rsid w:val="00A93E62"/>
    <w:rsid w:val="00AC28E2"/>
    <w:rsid w:val="00AD6AE8"/>
    <w:rsid w:val="00AF6C67"/>
    <w:rsid w:val="00B0723F"/>
    <w:rsid w:val="00B41789"/>
    <w:rsid w:val="00B46F58"/>
    <w:rsid w:val="00B54D96"/>
    <w:rsid w:val="00B57A5A"/>
    <w:rsid w:val="00B72C66"/>
    <w:rsid w:val="00B846D7"/>
    <w:rsid w:val="00B86DD0"/>
    <w:rsid w:val="00BB5012"/>
    <w:rsid w:val="00BD2B15"/>
    <w:rsid w:val="00C16E44"/>
    <w:rsid w:val="00C95793"/>
    <w:rsid w:val="00CB7A43"/>
    <w:rsid w:val="00CF6A04"/>
    <w:rsid w:val="00CF7B1D"/>
    <w:rsid w:val="00D50BA6"/>
    <w:rsid w:val="00D5674A"/>
    <w:rsid w:val="00DB79CA"/>
    <w:rsid w:val="00E16682"/>
    <w:rsid w:val="00E221F9"/>
    <w:rsid w:val="00E574DB"/>
    <w:rsid w:val="00E6332C"/>
    <w:rsid w:val="00EA28E9"/>
    <w:rsid w:val="00EB285E"/>
    <w:rsid w:val="00EC2B9E"/>
    <w:rsid w:val="00ED11DE"/>
    <w:rsid w:val="00ED143C"/>
    <w:rsid w:val="00EE7443"/>
    <w:rsid w:val="00F12BDC"/>
    <w:rsid w:val="00F454DB"/>
    <w:rsid w:val="00FB19CC"/>
    <w:rsid w:val="00FD2DA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2C682AB0-E176-42E6-8F5A-3BC15ECA5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Formal">
    <w:name w:val="Formal"/>
    <w:basedOn w:val="ASN1"/>
    <w:rPr>
      <w:b w:val="0"/>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basedOn w:val="DefaultParagraphFont"/>
    <w:rPr>
      <w:position w:val="6"/>
      <w:sz w:val="18"/>
    </w:rPr>
  </w:style>
  <w:style w:type="paragraph" w:styleId="FootnoteText">
    <w:name w:val="footnote text"/>
    <w:basedOn w:val="Note"/>
    <w:link w:val="FootnoteTextChar"/>
    <w:uiPriority w:val="99"/>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styleId="PageNumber">
    <w:name w:val="page number"/>
    <w:basedOn w:val="DefaultParagraphFont"/>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customStyle="1" w:styleId="FootnoteTextChar">
    <w:name w:val="Footnote Text Char"/>
    <w:basedOn w:val="DefaultParagraphFont"/>
    <w:link w:val="FootnoteText"/>
    <w:uiPriority w:val="99"/>
    <w:rsid w:val="00710C6C"/>
    <w:rPr>
      <w:rFonts w:ascii="Times New Roman" w:hAnsi="Times New Roman"/>
      <w:sz w:val="24"/>
      <w:lang w:val="es-ES_tradnl" w:eastAsia="en-US"/>
    </w:rPr>
  </w:style>
  <w:style w:type="character" w:styleId="Hyperlink">
    <w:name w:val="Hyperlink"/>
    <w:basedOn w:val="DefaultParagraphFont"/>
    <w:unhideWhenUsed/>
    <w:rsid w:val="00F12BDC"/>
    <w:rPr>
      <w:color w:val="0000FF" w:themeColor="hyperlink"/>
      <w:u w:val="single"/>
    </w:rPr>
  </w:style>
  <w:style w:type="table" w:styleId="TableGrid">
    <w:name w:val="Table Grid"/>
    <w:basedOn w:val="TableNormal"/>
    <w:rsid w:val="007E6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533CE3"/>
    <w:rPr>
      <w:color w:val="800080" w:themeColor="followedHyperlink"/>
      <w:u w:val="single"/>
    </w:rPr>
  </w:style>
  <w:style w:type="paragraph" w:customStyle="1" w:styleId="Reasons">
    <w:name w:val="Reasons"/>
    <w:basedOn w:val="Normal"/>
    <w:qFormat/>
    <w:rsid w:val="00B0723F"/>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itu.int/md/R18-RRB18.2-C-0002/es" TargetMode="Externa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stsiakkouris@mcw.gov.cy"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www.mcw.gov.cy/dec" TargetMode="Externa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RRB1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PS_RRB18.dotm</Template>
  <TotalTime>1</TotalTime>
  <Pages>4</Pages>
  <Words>1517</Words>
  <Characters>7897</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9396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COMUNICACIÓN DE LA ADMINISTRACIÓN DE CHIPRE POR LA QUE SOLICITA A LA JUNTA DEL REGLAMENTO DE RADIOCOMUNICACIONES QUE TOME UNA DECISIÓN SOBRE LA PUESTA EN SERVICIO DE LAS ASIGNACIONES DE FRECUENCIAS A LA RED DE SATÉLITES  KYPROS-SAT-3 (39º E)</dc:title>
  <dc:subject>GRUPO ASESOR DE RADIOCOMUNICACIONES</dc:subject>
  <dc:creator>Spanish</dc:creator>
  <cp:keywords/>
  <dc:description>PS_RRB.DOT  For: _x000d_Document date: _x000d_Saved by TRA44246 at 19:27:50 on 18.11.2008</dc:description>
  <cp:lastModifiedBy>Gozal, Karine</cp:lastModifiedBy>
  <cp:revision>2</cp:revision>
  <cp:lastPrinted>2018-07-11T07:22:00Z</cp:lastPrinted>
  <dcterms:created xsi:type="dcterms:W3CDTF">2018-07-11T07:23:00Z</dcterms:created>
  <dcterms:modified xsi:type="dcterms:W3CDTF">2018-07-11T07:23:00Z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PS_RRB.DOT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