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2B3837" w:rsidTr="00C16E44">
        <w:trPr>
          <w:cantSplit/>
        </w:trPr>
        <w:tc>
          <w:tcPr>
            <w:tcW w:w="6771" w:type="dxa"/>
            <w:vAlign w:val="center"/>
          </w:tcPr>
          <w:p w:rsidR="00C16E44" w:rsidRPr="002B3837" w:rsidRDefault="00C16E44" w:rsidP="00634B53">
            <w:pPr>
              <w:shd w:val="solid" w:color="FFFFFF" w:fill="FFFFFF"/>
              <w:tabs>
                <w:tab w:val="clear" w:pos="794"/>
                <w:tab w:val="clear" w:pos="1191"/>
                <w:tab w:val="clear" w:pos="1588"/>
                <w:tab w:val="left" w:pos="1560"/>
              </w:tabs>
              <w:spacing w:before="0"/>
              <w:rPr>
                <w:b/>
                <w:caps/>
                <w:sz w:val="32"/>
              </w:rPr>
            </w:pPr>
            <w:r w:rsidRPr="002B3837">
              <w:rPr>
                <w:rFonts w:ascii="Verdana" w:hAnsi="Verdana" w:cs="Times New Roman Bold"/>
                <w:b/>
                <w:sz w:val="26"/>
                <w:szCs w:val="26"/>
              </w:rPr>
              <w:t xml:space="preserve">Junta del Reglamento de </w:t>
            </w:r>
            <w:r w:rsidRPr="002B3837">
              <w:rPr>
                <w:rFonts w:ascii="Verdana" w:hAnsi="Verdana" w:cs="Times New Roman Bold"/>
                <w:b/>
                <w:sz w:val="26"/>
                <w:szCs w:val="26"/>
              </w:rPr>
              <w:br/>
              <w:t>Radiocomunicaciones</w:t>
            </w:r>
          </w:p>
          <w:p w:rsidR="00C16E44" w:rsidRPr="002B3837" w:rsidRDefault="00C16E44" w:rsidP="00634B53">
            <w:pPr>
              <w:shd w:val="solid" w:color="FFFFFF" w:fill="FFFFFF"/>
              <w:tabs>
                <w:tab w:val="clear" w:pos="794"/>
                <w:tab w:val="clear" w:pos="1191"/>
                <w:tab w:val="clear" w:pos="1588"/>
                <w:tab w:val="left" w:pos="1560"/>
              </w:tabs>
              <w:spacing w:before="0"/>
              <w:rPr>
                <w:rFonts w:ascii="Verdana" w:hAnsi="Verdana"/>
                <w:b/>
                <w:bCs/>
              </w:rPr>
            </w:pPr>
            <w:r w:rsidRPr="002B3837">
              <w:rPr>
                <w:rFonts w:ascii="Verdana" w:hAnsi="Verdana" w:cs="Times New Roman Bold"/>
                <w:b/>
                <w:sz w:val="20"/>
              </w:rPr>
              <w:t xml:space="preserve">Ginebra, </w:t>
            </w:r>
            <w:r w:rsidR="003A2F75" w:rsidRPr="002B3837">
              <w:rPr>
                <w:rFonts w:ascii="Verdana" w:hAnsi="Verdana" w:cs="Times New Roman Bold"/>
                <w:b/>
                <w:sz w:val="20"/>
              </w:rPr>
              <w:t>19</w:t>
            </w:r>
            <w:r w:rsidRPr="002B3837">
              <w:rPr>
                <w:rFonts w:ascii="Verdana" w:hAnsi="Verdana" w:cs="Times New Roman Bold"/>
                <w:b/>
                <w:sz w:val="20"/>
              </w:rPr>
              <w:t>-2</w:t>
            </w:r>
            <w:r w:rsidR="003A2F75" w:rsidRPr="002B3837">
              <w:rPr>
                <w:rFonts w:ascii="Verdana" w:hAnsi="Verdana" w:cs="Times New Roman Bold"/>
                <w:b/>
                <w:sz w:val="20"/>
              </w:rPr>
              <w:t>3</w:t>
            </w:r>
            <w:r w:rsidRPr="002B3837">
              <w:rPr>
                <w:rFonts w:ascii="Verdana" w:hAnsi="Verdana" w:cs="Times New Roman Bold"/>
                <w:b/>
                <w:sz w:val="20"/>
              </w:rPr>
              <w:t xml:space="preserve"> de </w:t>
            </w:r>
            <w:r w:rsidR="003A2F75" w:rsidRPr="002B3837">
              <w:rPr>
                <w:rFonts w:ascii="Verdana" w:hAnsi="Verdana" w:cs="Times New Roman Bold"/>
                <w:b/>
                <w:sz w:val="20"/>
              </w:rPr>
              <w:t>marzo</w:t>
            </w:r>
            <w:r w:rsidRPr="002B3837">
              <w:rPr>
                <w:rFonts w:ascii="Verdana" w:hAnsi="Verdana" w:cs="Times New Roman Bold"/>
                <w:b/>
                <w:sz w:val="20"/>
              </w:rPr>
              <w:t xml:space="preserve"> de 201</w:t>
            </w:r>
            <w:r w:rsidR="00AC28E2" w:rsidRPr="002B3837">
              <w:rPr>
                <w:rFonts w:ascii="Verdana" w:hAnsi="Verdana" w:cs="Times New Roman Bold"/>
                <w:b/>
                <w:sz w:val="20"/>
              </w:rPr>
              <w:t>8</w:t>
            </w:r>
          </w:p>
        </w:tc>
        <w:tc>
          <w:tcPr>
            <w:tcW w:w="3295" w:type="dxa"/>
            <w:gridSpan w:val="2"/>
            <w:vAlign w:val="center"/>
          </w:tcPr>
          <w:p w:rsidR="00C16E44" w:rsidRPr="002B3837" w:rsidRDefault="00C16E44" w:rsidP="00634B53">
            <w:pPr>
              <w:shd w:val="solid" w:color="FFFFFF" w:fill="FFFFFF"/>
              <w:spacing w:before="0"/>
            </w:pPr>
            <w:r w:rsidRPr="002B3837">
              <w:rPr>
                <w:rFonts w:asciiTheme="minorHAnsi" w:hAnsiTheme="minorHAnsi"/>
                <w:b/>
                <w:bCs/>
                <w:noProof/>
                <w:szCs w:val="24"/>
                <w:lang w:val="en-GB" w:eastAsia="zh-CN"/>
              </w:rPr>
              <w:drawing>
                <wp:inline distT="0" distB="0" distL="0" distR="0" wp14:anchorId="318C3897" wp14:editId="6B63BAB7">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6"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C16E44" w:rsidRPr="002B3837" w:rsidTr="00C16E44">
        <w:trPr>
          <w:gridAfter w:val="1"/>
          <w:wAfter w:w="33" w:type="dxa"/>
          <w:cantSplit/>
        </w:trPr>
        <w:tc>
          <w:tcPr>
            <w:tcW w:w="10033" w:type="dxa"/>
            <w:gridSpan w:val="2"/>
            <w:tcBorders>
              <w:bottom w:val="single" w:sz="12" w:space="0" w:color="auto"/>
            </w:tcBorders>
          </w:tcPr>
          <w:p w:rsidR="00C16E44" w:rsidRPr="002B3837" w:rsidRDefault="00C16E44" w:rsidP="00634B53">
            <w:pPr>
              <w:shd w:val="solid" w:color="FFFFFF" w:fill="FFFFFF"/>
              <w:spacing w:before="0" w:after="48"/>
              <w:rPr>
                <w:rFonts w:ascii="Verdana" w:hAnsi="Verdana" w:cs="Times New Roman Bold"/>
                <w:b/>
                <w:sz w:val="22"/>
                <w:szCs w:val="22"/>
              </w:rPr>
            </w:pPr>
          </w:p>
        </w:tc>
      </w:tr>
      <w:tr w:rsidR="00C16E44" w:rsidRPr="002B3837" w:rsidTr="00C16E44">
        <w:trPr>
          <w:gridAfter w:val="1"/>
          <w:wAfter w:w="33" w:type="dxa"/>
          <w:cantSplit/>
        </w:trPr>
        <w:tc>
          <w:tcPr>
            <w:tcW w:w="6771" w:type="dxa"/>
            <w:tcBorders>
              <w:top w:val="single" w:sz="12" w:space="0" w:color="auto"/>
            </w:tcBorders>
          </w:tcPr>
          <w:p w:rsidR="00C16E44" w:rsidRPr="002B3837" w:rsidRDefault="00C16E44" w:rsidP="00634B53">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rsidR="00C16E44" w:rsidRPr="002B3837" w:rsidRDefault="00C16E44" w:rsidP="00634B53">
            <w:pPr>
              <w:shd w:val="solid" w:color="FFFFFF" w:fill="FFFFFF"/>
              <w:spacing w:before="0" w:after="48"/>
              <w:rPr>
                <w:rFonts w:ascii="Verdana" w:hAnsi="Verdana"/>
                <w:sz w:val="22"/>
                <w:szCs w:val="22"/>
              </w:rPr>
            </w:pPr>
          </w:p>
        </w:tc>
      </w:tr>
      <w:tr w:rsidR="00C16E44" w:rsidRPr="002B3837" w:rsidTr="00C16E44">
        <w:trPr>
          <w:gridAfter w:val="1"/>
          <w:wAfter w:w="33" w:type="dxa"/>
          <w:cantSplit/>
        </w:trPr>
        <w:tc>
          <w:tcPr>
            <w:tcW w:w="6771" w:type="dxa"/>
            <w:vMerge w:val="restart"/>
          </w:tcPr>
          <w:p w:rsidR="00C16E44" w:rsidRPr="002B3837" w:rsidRDefault="00C16E44" w:rsidP="00634B53">
            <w:pPr>
              <w:shd w:val="solid" w:color="FFFFFF" w:fill="FFFFFF"/>
              <w:spacing w:after="240"/>
              <w:rPr>
                <w:sz w:val="20"/>
              </w:rPr>
            </w:pPr>
            <w:bookmarkStart w:id="0" w:name="dnum" w:colFirst="1" w:colLast="1"/>
          </w:p>
        </w:tc>
        <w:tc>
          <w:tcPr>
            <w:tcW w:w="3262" w:type="dxa"/>
          </w:tcPr>
          <w:p w:rsidR="00C16E44" w:rsidRPr="002B3837" w:rsidRDefault="006D135C" w:rsidP="00634B53">
            <w:pPr>
              <w:shd w:val="solid" w:color="FFFFFF" w:fill="FFFFFF"/>
              <w:spacing w:before="0"/>
              <w:rPr>
                <w:rFonts w:ascii="Verdana" w:hAnsi="Verdana"/>
                <w:sz w:val="20"/>
              </w:rPr>
            </w:pPr>
            <w:r w:rsidRPr="002B3837">
              <w:rPr>
                <w:rFonts w:ascii="Verdana" w:hAnsi="Verdana"/>
                <w:b/>
                <w:sz w:val="20"/>
              </w:rPr>
              <w:t>Documento RRB18-1/10-S</w:t>
            </w:r>
          </w:p>
        </w:tc>
      </w:tr>
      <w:tr w:rsidR="00C16E44" w:rsidRPr="002B3837" w:rsidTr="00C16E44">
        <w:trPr>
          <w:gridAfter w:val="1"/>
          <w:wAfter w:w="33" w:type="dxa"/>
          <w:cantSplit/>
        </w:trPr>
        <w:tc>
          <w:tcPr>
            <w:tcW w:w="6771" w:type="dxa"/>
            <w:vMerge/>
          </w:tcPr>
          <w:p w:rsidR="00C16E44" w:rsidRPr="002B3837" w:rsidRDefault="00C16E44" w:rsidP="00634B53">
            <w:pPr>
              <w:spacing w:before="60"/>
              <w:jc w:val="center"/>
              <w:rPr>
                <w:b/>
                <w:smallCaps/>
                <w:sz w:val="32"/>
              </w:rPr>
            </w:pPr>
            <w:bookmarkStart w:id="1" w:name="ddate" w:colFirst="1" w:colLast="1"/>
            <w:bookmarkEnd w:id="0"/>
          </w:p>
        </w:tc>
        <w:tc>
          <w:tcPr>
            <w:tcW w:w="3262" w:type="dxa"/>
          </w:tcPr>
          <w:p w:rsidR="00C16E44" w:rsidRPr="002B3837" w:rsidRDefault="006D135C" w:rsidP="00634B53">
            <w:pPr>
              <w:shd w:val="solid" w:color="FFFFFF" w:fill="FFFFFF"/>
              <w:spacing w:before="0"/>
              <w:rPr>
                <w:rFonts w:ascii="Verdana" w:hAnsi="Verdana"/>
                <w:sz w:val="20"/>
              </w:rPr>
            </w:pPr>
            <w:r w:rsidRPr="002B3837">
              <w:rPr>
                <w:rFonts w:ascii="Verdana" w:hAnsi="Verdana"/>
                <w:b/>
                <w:sz w:val="20"/>
              </w:rPr>
              <w:t>23 de marzo de 2018</w:t>
            </w:r>
          </w:p>
        </w:tc>
      </w:tr>
      <w:tr w:rsidR="00C16E44" w:rsidRPr="002B3837" w:rsidTr="00C16E44">
        <w:trPr>
          <w:gridAfter w:val="1"/>
          <w:wAfter w:w="33" w:type="dxa"/>
          <w:cantSplit/>
        </w:trPr>
        <w:tc>
          <w:tcPr>
            <w:tcW w:w="6771" w:type="dxa"/>
            <w:vMerge/>
          </w:tcPr>
          <w:p w:rsidR="00C16E44" w:rsidRPr="002B3837" w:rsidRDefault="00C16E44" w:rsidP="00634B53">
            <w:pPr>
              <w:spacing w:before="60"/>
              <w:jc w:val="center"/>
              <w:rPr>
                <w:b/>
                <w:smallCaps/>
                <w:sz w:val="32"/>
              </w:rPr>
            </w:pPr>
            <w:bookmarkStart w:id="2" w:name="dorlang" w:colFirst="1" w:colLast="1"/>
            <w:bookmarkEnd w:id="1"/>
          </w:p>
        </w:tc>
        <w:tc>
          <w:tcPr>
            <w:tcW w:w="3262" w:type="dxa"/>
          </w:tcPr>
          <w:p w:rsidR="00C16E44" w:rsidRPr="002B3837" w:rsidRDefault="006D135C" w:rsidP="00634B53">
            <w:pPr>
              <w:shd w:val="solid" w:color="FFFFFF" w:fill="FFFFFF"/>
              <w:spacing w:before="0" w:after="120"/>
              <w:rPr>
                <w:rFonts w:ascii="Verdana" w:hAnsi="Verdana"/>
                <w:sz w:val="20"/>
              </w:rPr>
            </w:pPr>
            <w:r w:rsidRPr="002B3837">
              <w:rPr>
                <w:rFonts w:ascii="Verdana" w:hAnsi="Verdana"/>
                <w:b/>
                <w:sz w:val="20"/>
              </w:rPr>
              <w:t>Original: inglés</w:t>
            </w:r>
          </w:p>
        </w:tc>
      </w:tr>
      <w:tr w:rsidR="00C16E44" w:rsidRPr="001C5EA7" w:rsidTr="00C16E44">
        <w:trPr>
          <w:gridAfter w:val="1"/>
          <w:wAfter w:w="33" w:type="dxa"/>
          <w:cantSplit/>
        </w:trPr>
        <w:tc>
          <w:tcPr>
            <w:tcW w:w="10033" w:type="dxa"/>
            <w:gridSpan w:val="2"/>
          </w:tcPr>
          <w:p w:rsidR="00953DE2" w:rsidRPr="001C5EA7" w:rsidRDefault="006D135C" w:rsidP="00634B53">
            <w:pPr>
              <w:pStyle w:val="Title1"/>
              <w:rPr>
                <w:rFonts w:asciiTheme="minorHAnsi" w:hAnsiTheme="minorHAnsi"/>
              </w:rPr>
            </w:pPr>
            <w:bookmarkStart w:id="3" w:name="dsource" w:colFirst="0" w:colLast="0"/>
            <w:bookmarkEnd w:id="2"/>
            <w:r w:rsidRPr="001C5EA7">
              <w:rPr>
                <w:rFonts w:asciiTheme="minorHAnsi" w:hAnsiTheme="minorHAnsi"/>
              </w:rPr>
              <w:t>RESUMEN DE DECISIONES</w:t>
            </w:r>
          </w:p>
          <w:p w:rsidR="00953DE2" w:rsidRPr="001C5EA7" w:rsidRDefault="00953DE2" w:rsidP="009B6C5E">
            <w:pPr>
              <w:pStyle w:val="Title1"/>
              <w:spacing w:before="360"/>
              <w:rPr>
                <w:rFonts w:asciiTheme="minorHAnsi" w:hAnsiTheme="minorHAnsi"/>
              </w:rPr>
            </w:pPr>
            <w:r w:rsidRPr="001C5EA7">
              <w:rPr>
                <w:rFonts w:asciiTheme="minorHAnsi" w:hAnsiTheme="minorHAnsi"/>
              </w:rPr>
              <w:t>DE LA</w:t>
            </w:r>
          </w:p>
          <w:p w:rsidR="00C16E44" w:rsidRPr="001C5EA7" w:rsidRDefault="006D135C" w:rsidP="009B6C5E">
            <w:pPr>
              <w:pStyle w:val="Title1"/>
              <w:spacing w:before="360"/>
              <w:rPr>
                <w:rFonts w:asciiTheme="minorHAnsi" w:hAnsiTheme="minorHAnsi"/>
              </w:rPr>
            </w:pPr>
            <w:r w:rsidRPr="001C5EA7">
              <w:rPr>
                <w:rFonts w:asciiTheme="minorHAnsi" w:hAnsiTheme="minorHAnsi"/>
              </w:rPr>
              <w:t>77</w:t>
            </w:r>
            <w:r w:rsidR="009B6C5E" w:rsidRPr="001C5EA7">
              <w:rPr>
                <w:rFonts w:asciiTheme="minorHAnsi" w:hAnsiTheme="minorHAnsi"/>
              </w:rPr>
              <w:t>ª</w:t>
            </w:r>
            <w:r w:rsidRPr="001C5EA7">
              <w:rPr>
                <w:rFonts w:asciiTheme="minorHAnsi" w:hAnsiTheme="minorHAnsi"/>
              </w:rPr>
              <w:t xml:space="preserve"> REUNIÓN DE LA JUNTA DEL REGLAMENTO </w:t>
            </w:r>
            <w:r w:rsidR="00953DE2" w:rsidRPr="001C5EA7">
              <w:rPr>
                <w:rFonts w:asciiTheme="minorHAnsi" w:hAnsiTheme="minorHAnsi"/>
              </w:rPr>
              <w:br/>
            </w:r>
            <w:r w:rsidRPr="001C5EA7">
              <w:rPr>
                <w:rFonts w:asciiTheme="minorHAnsi" w:hAnsiTheme="minorHAnsi"/>
              </w:rPr>
              <w:t>DE RADIOCOMUNICACIONES</w:t>
            </w:r>
          </w:p>
        </w:tc>
      </w:tr>
      <w:tr w:rsidR="00C16E44" w:rsidRPr="001C5EA7" w:rsidTr="00C16E44">
        <w:trPr>
          <w:gridAfter w:val="1"/>
          <w:wAfter w:w="33" w:type="dxa"/>
          <w:cantSplit/>
        </w:trPr>
        <w:tc>
          <w:tcPr>
            <w:tcW w:w="10033" w:type="dxa"/>
            <w:gridSpan w:val="2"/>
          </w:tcPr>
          <w:p w:rsidR="00C16E44" w:rsidRPr="001C5EA7" w:rsidRDefault="006D135C" w:rsidP="00C42767">
            <w:pPr>
              <w:jc w:val="center"/>
              <w:rPr>
                <w:rFonts w:asciiTheme="minorHAnsi" w:hAnsiTheme="minorHAnsi" w:cstheme="majorBidi"/>
                <w:szCs w:val="24"/>
                <w:lang w:val="fr-FR"/>
              </w:rPr>
            </w:pPr>
            <w:bookmarkStart w:id="4" w:name="lt_pId013"/>
            <w:bookmarkStart w:id="5" w:name="dtitle1" w:colFirst="0" w:colLast="0"/>
            <w:bookmarkEnd w:id="3"/>
            <w:r w:rsidRPr="001C5EA7">
              <w:rPr>
                <w:rFonts w:asciiTheme="minorHAnsi" w:hAnsiTheme="minorHAnsi" w:cstheme="majorBidi"/>
                <w:szCs w:val="24"/>
                <w:lang w:val="fr-FR"/>
              </w:rPr>
              <w:t>19</w:t>
            </w:r>
            <w:r w:rsidR="00074462" w:rsidRPr="001C5EA7">
              <w:rPr>
                <w:rFonts w:asciiTheme="minorHAnsi" w:hAnsiTheme="minorHAnsi" w:cstheme="majorBidi"/>
                <w:szCs w:val="24"/>
                <w:lang w:val="fr-FR"/>
              </w:rPr>
              <w:noBreakHyphen/>
            </w:r>
            <w:r w:rsidRPr="001C5EA7">
              <w:rPr>
                <w:rFonts w:asciiTheme="minorHAnsi" w:hAnsiTheme="minorHAnsi" w:cstheme="majorBidi"/>
                <w:szCs w:val="24"/>
                <w:lang w:val="fr-FR"/>
              </w:rPr>
              <w:t>23 de marzo de 2018</w:t>
            </w:r>
            <w:bookmarkEnd w:id="4"/>
          </w:p>
        </w:tc>
      </w:tr>
    </w:tbl>
    <w:bookmarkEnd w:id="5"/>
    <w:p w:rsidR="006D135C" w:rsidRPr="001C5EA7" w:rsidRDefault="006D135C" w:rsidP="00634B53">
      <w:pPr>
        <w:tabs>
          <w:tab w:val="clear" w:pos="1191"/>
          <w:tab w:val="clear" w:pos="1588"/>
          <w:tab w:val="clear" w:pos="1985"/>
          <w:tab w:val="left" w:pos="2410"/>
        </w:tabs>
        <w:spacing w:before="480" w:after="40"/>
        <w:ind w:left="2410" w:hanging="2410"/>
        <w:rPr>
          <w:rFonts w:asciiTheme="minorHAnsi" w:hAnsiTheme="minorHAnsi"/>
        </w:rPr>
      </w:pPr>
      <w:r w:rsidRPr="001C5EA7">
        <w:rPr>
          <w:rFonts w:asciiTheme="minorHAnsi" w:hAnsiTheme="minorHAnsi"/>
          <w:u w:val="single"/>
        </w:rPr>
        <w:t>Presentes</w:t>
      </w:r>
      <w:r w:rsidRPr="001C5EA7">
        <w:rPr>
          <w:rFonts w:asciiTheme="minorHAnsi" w:hAnsiTheme="minorHAnsi"/>
        </w:rPr>
        <w:t>:</w:t>
      </w:r>
      <w:r w:rsidRPr="001C5EA7">
        <w:rPr>
          <w:rFonts w:asciiTheme="minorHAnsi" w:hAnsiTheme="minorHAnsi"/>
        </w:rPr>
        <w:tab/>
      </w:r>
      <w:r w:rsidRPr="001C5EA7">
        <w:rPr>
          <w:rFonts w:asciiTheme="minorHAnsi" w:hAnsiTheme="minorHAnsi"/>
          <w:u w:val="single"/>
        </w:rPr>
        <w:t>Miembros de la RRB</w:t>
      </w:r>
      <w:r w:rsidRPr="001C5EA7">
        <w:rPr>
          <w:rFonts w:asciiTheme="minorHAnsi" w:hAnsiTheme="minorHAnsi"/>
        </w:rPr>
        <w:br/>
        <w:t>Sr. M. BESSI, Presidente</w:t>
      </w:r>
      <w:r w:rsidRPr="001C5EA7">
        <w:rPr>
          <w:rFonts w:asciiTheme="minorHAnsi" w:hAnsiTheme="minorHAnsi"/>
        </w:rPr>
        <w:br/>
        <w:t>Sra. J. C. WILSON, Vicepresidenta</w:t>
      </w:r>
      <w:r w:rsidRPr="001C5EA7">
        <w:rPr>
          <w:rFonts w:asciiTheme="minorHAnsi" w:hAnsiTheme="minorHAnsi"/>
        </w:rPr>
        <w:br/>
        <w:t>Sr. N. AL HAMMADI, Sr. D. Q. HOAN, Sr. Y. ITO, Sra. L. JEANTY,</w:t>
      </w:r>
      <w:r w:rsidRPr="001C5EA7">
        <w:rPr>
          <w:rFonts w:asciiTheme="minorHAnsi" w:hAnsiTheme="minorHAnsi"/>
        </w:rPr>
        <w:br/>
        <w:t xml:space="preserve">Sr. I. KHAIROV, Sr. S. K. KIBE, Sr. S. KOFFI, Sr. A. MAGENTA, </w:t>
      </w:r>
      <w:r w:rsidRPr="001C5EA7">
        <w:rPr>
          <w:rFonts w:asciiTheme="minorHAnsi" w:hAnsiTheme="minorHAnsi"/>
        </w:rPr>
        <w:br/>
        <w:t>Sr. V. STRELETS, Sr. R. L. TERÁN</w:t>
      </w:r>
    </w:p>
    <w:p w:rsidR="006D135C" w:rsidRPr="001C5EA7" w:rsidRDefault="006D135C" w:rsidP="00634B53">
      <w:pPr>
        <w:tabs>
          <w:tab w:val="clear" w:pos="794"/>
          <w:tab w:val="clear" w:pos="1191"/>
          <w:tab w:val="clear" w:pos="1588"/>
          <w:tab w:val="clear" w:pos="1985"/>
        </w:tabs>
        <w:spacing w:before="240" w:after="40"/>
        <w:ind w:left="2410"/>
        <w:rPr>
          <w:rFonts w:asciiTheme="minorHAnsi" w:hAnsiTheme="minorHAnsi"/>
        </w:rPr>
      </w:pPr>
      <w:r w:rsidRPr="001C5EA7">
        <w:rPr>
          <w:rFonts w:asciiTheme="minorHAnsi" w:hAnsiTheme="minorHAnsi"/>
          <w:u w:val="single"/>
        </w:rPr>
        <w:t>Secretario Ejecutivo de la RRB</w:t>
      </w:r>
      <w:r w:rsidRPr="001C5EA7">
        <w:rPr>
          <w:rFonts w:asciiTheme="minorHAnsi" w:hAnsiTheme="minorHAnsi"/>
          <w:u w:val="single"/>
        </w:rPr>
        <w:br/>
      </w:r>
      <w:r w:rsidRPr="001C5EA7">
        <w:rPr>
          <w:rFonts w:asciiTheme="minorHAnsi" w:hAnsiTheme="minorHAnsi"/>
        </w:rPr>
        <w:t>Sr. F. RANCY, Director de la BR</w:t>
      </w:r>
    </w:p>
    <w:p w:rsidR="006D135C" w:rsidRPr="001C5EA7" w:rsidRDefault="006D135C" w:rsidP="00634B53">
      <w:pPr>
        <w:tabs>
          <w:tab w:val="clear" w:pos="794"/>
          <w:tab w:val="clear" w:pos="1191"/>
          <w:tab w:val="clear" w:pos="1588"/>
          <w:tab w:val="clear" w:pos="1985"/>
        </w:tabs>
        <w:spacing w:before="240" w:after="40"/>
        <w:ind w:left="2410"/>
        <w:rPr>
          <w:rFonts w:asciiTheme="minorHAnsi" w:hAnsiTheme="minorHAnsi"/>
        </w:rPr>
      </w:pPr>
      <w:r w:rsidRPr="001C5EA7">
        <w:rPr>
          <w:rFonts w:asciiTheme="minorHAnsi" w:hAnsiTheme="minorHAnsi"/>
          <w:u w:val="single"/>
        </w:rPr>
        <w:t>Redactores de actas</w:t>
      </w:r>
      <w:r w:rsidRPr="001C5EA7">
        <w:rPr>
          <w:rFonts w:asciiTheme="minorHAnsi" w:hAnsiTheme="minorHAnsi"/>
          <w:u w:val="single"/>
        </w:rPr>
        <w:br/>
      </w:r>
      <w:r w:rsidRPr="001C5EA7">
        <w:rPr>
          <w:rFonts w:asciiTheme="minorHAnsi" w:hAnsiTheme="minorHAnsi"/>
        </w:rPr>
        <w:t>Sr. T. ELDRIDGE y Sra. S. MUTTI</w:t>
      </w:r>
    </w:p>
    <w:p w:rsidR="006D135C" w:rsidRPr="001C5EA7" w:rsidRDefault="006D135C" w:rsidP="00417606">
      <w:pPr>
        <w:pStyle w:val="Normalaftertitle"/>
        <w:tabs>
          <w:tab w:val="clear" w:pos="1985"/>
          <w:tab w:val="left" w:pos="2410"/>
        </w:tabs>
        <w:spacing w:before="240" w:after="40"/>
        <w:ind w:left="2410" w:hanging="2410"/>
        <w:rPr>
          <w:rFonts w:asciiTheme="minorHAnsi" w:hAnsiTheme="minorHAnsi"/>
        </w:rPr>
      </w:pPr>
      <w:r w:rsidRPr="001C5EA7">
        <w:rPr>
          <w:rFonts w:asciiTheme="minorHAnsi" w:hAnsiTheme="minorHAnsi"/>
          <w:bCs/>
          <w:u w:val="single"/>
        </w:rPr>
        <w:t>También presentes:</w:t>
      </w:r>
      <w:r w:rsidRPr="001C5EA7">
        <w:rPr>
          <w:rFonts w:asciiTheme="minorHAnsi" w:hAnsiTheme="minorHAnsi"/>
        </w:rPr>
        <w:tab/>
      </w:r>
      <w:bookmarkStart w:id="6" w:name="lt_pId028"/>
      <w:bookmarkStart w:id="7" w:name="lt_pId050"/>
      <w:r w:rsidRPr="001C5EA7">
        <w:rPr>
          <w:rFonts w:asciiTheme="minorHAnsi" w:hAnsiTheme="minorHAnsi"/>
        </w:rPr>
        <w:t>Sr. A. VALLET, Jefe, SSD</w:t>
      </w:r>
      <w:r w:rsidRPr="001C5EA7">
        <w:rPr>
          <w:rFonts w:asciiTheme="minorHAnsi" w:hAnsiTheme="minorHAnsi"/>
        </w:rPr>
        <w:br/>
        <w:t xml:space="preserve">Sr. M. SAKAMOTO, </w:t>
      </w:r>
      <w:r w:rsidRPr="001C5EA7">
        <w:rPr>
          <w:rFonts w:asciiTheme="minorHAnsi" w:hAnsiTheme="minorHAnsi"/>
          <w:bCs/>
        </w:rPr>
        <w:t>Jefe</w:t>
      </w:r>
      <w:r w:rsidRPr="001C5EA7">
        <w:rPr>
          <w:rFonts w:asciiTheme="minorHAnsi" w:hAnsiTheme="minorHAnsi"/>
        </w:rPr>
        <w:t>, SSD/SSC</w:t>
      </w:r>
      <w:r w:rsidRPr="001C5EA7">
        <w:rPr>
          <w:rFonts w:asciiTheme="minorHAnsi" w:hAnsiTheme="minorHAnsi"/>
        </w:rPr>
        <w:br/>
      </w:r>
      <w:bookmarkEnd w:id="6"/>
      <w:bookmarkEnd w:id="7"/>
      <w:r w:rsidRPr="001C5EA7">
        <w:rPr>
          <w:rFonts w:asciiTheme="minorHAnsi" w:hAnsiTheme="minorHAnsi"/>
        </w:rPr>
        <w:t xml:space="preserve">Sr. J. WANG, </w:t>
      </w:r>
      <w:r w:rsidRPr="001C5EA7">
        <w:rPr>
          <w:rFonts w:asciiTheme="minorHAnsi" w:hAnsiTheme="minorHAnsi"/>
          <w:bCs/>
        </w:rPr>
        <w:t xml:space="preserve">Jefe, </w:t>
      </w:r>
      <w:r w:rsidRPr="001C5EA7">
        <w:rPr>
          <w:rFonts w:asciiTheme="minorHAnsi" w:hAnsiTheme="minorHAnsi"/>
        </w:rPr>
        <w:t>SSD/SNP</w:t>
      </w:r>
      <w:r w:rsidRPr="001C5EA7">
        <w:rPr>
          <w:rFonts w:asciiTheme="minorHAnsi" w:hAnsiTheme="minorHAnsi"/>
        </w:rPr>
        <w:br/>
        <w:t xml:space="preserve">Sr. C.C. LOO, Jefe, SSD/SPR </w:t>
      </w:r>
      <w:r w:rsidRPr="001C5EA7">
        <w:rPr>
          <w:rFonts w:asciiTheme="minorHAnsi" w:hAnsiTheme="minorHAnsi"/>
        </w:rPr>
        <w:br/>
        <w:t xml:space="preserve">Sr. N. VASSILIEV, </w:t>
      </w:r>
      <w:r w:rsidRPr="001C5EA7">
        <w:rPr>
          <w:rFonts w:asciiTheme="minorHAnsi" w:hAnsiTheme="minorHAnsi"/>
          <w:bCs/>
        </w:rPr>
        <w:t xml:space="preserve">Jefe, </w:t>
      </w:r>
      <w:r w:rsidRPr="001C5EA7">
        <w:rPr>
          <w:rFonts w:asciiTheme="minorHAnsi" w:hAnsiTheme="minorHAnsi"/>
        </w:rPr>
        <w:t>TSD</w:t>
      </w:r>
      <w:r w:rsidRPr="001C5EA7">
        <w:rPr>
          <w:rFonts w:asciiTheme="minorHAnsi" w:hAnsiTheme="minorHAnsi"/>
        </w:rPr>
        <w:br/>
        <w:t>Sr. B. BA, Jefe, TSD/TPR</w:t>
      </w:r>
      <w:r w:rsidRPr="001C5EA7">
        <w:rPr>
          <w:rFonts w:asciiTheme="minorHAnsi" w:hAnsiTheme="minorHAnsi"/>
        </w:rPr>
        <w:br/>
        <w:t xml:space="preserve">Sra. I. GHAZI, </w:t>
      </w:r>
      <w:r w:rsidRPr="001C5EA7">
        <w:rPr>
          <w:rFonts w:asciiTheme="minorHAnsi" w:hAnsiTheme="minorHAnsi"/>
          <w:bCs/>
        </w:rPr>
        <w:t xml:space="preserve">Jefa, </w:t>
      </w:r>
      <w:r w:rsidRPr="001C5EA7">
        <w:rPr>
          <w:rFonts w:asciiTheme="minorHAnsi" w:hAnsiTheme="minorHAnsi"/>
        </w:rPr>
        <w:t>TSD/BCD</w:t>
      </w:r>
      <w:r w:rsidRPr="001C5EA7">
        <w:rPr>
          <w:rFonts w:asciiTheme="minorHAnsi" w:hAnsiTheme="minorHAnsi"/>
        </w:rPr>
        <w:br/>
        <w:t>Sr. W. IJEH, Administrador de la BR</w:t>
      </w:r>
      <w:r w:rsidRPr="001C5EA7">
        <w:rPr>
          <w:rFonts w:asciiTheme="minorHAnsi" w:hAnsiTheme="minorHAnsi"/>
        </w:rPr>
        <w:br/>
        <w:t>Sr. D. BOTHA, SGD</w:t>
      </w:r>
      <w:r w:rsidRPr="001C5EA7">
        <w:rPr>
          <w:rFonts w:asciiTheme="minorHAnsi" w:hAnsiTheme="minorHAnsi"/>
        </w:rPr>
        <w:br/>
        <w:t>Sra. K. GOZAL, Secretaria Administrativa</w:t>
      </w:r>
    </w:p>
    <w:p w:rsidR="006D135C" w:rsidRPr="002B3837" w:rsidRDefault="006D135C" w:rsidP="00634B53"/>
    <w:p w:rsidR="006D135C" w:rsidRPr="002B3837" w:rsidRDefault="006D135C" w:rsidP="00634B53">
      <w:pPr>
        <w:pStyle w:val="Normalaftertitle"/>
        <w:sectPr w:rsidR="006D135C" w:rsidRPr="002B3837">
          <w:headerReference w:type="default" r:id="rId7"/>
          <w:footerReference w:type="default" r:id="rId8"/>
          <w:footerReference w:type="first" r:id="rId9"/>
          <w:pgSz w:w="11907" w:h="16834"/>
          <w:pgMar w:top="1418" w:right="1134" w:bottom="1418" w:left="1134" w:header="720" w:footer="720" w:gutter="0"/>
          <w:paperSrc w:first="15" w:other="15"/>
          <w:cols w:space="720"/>
          <w:titlePg/>
        </w:sectPr>
      </w:pPr>
    </w:p>
    <w:tbl>
      <w:tblPr>
        <w:tblStyle w:val="ListTable4-Accent11"/>
        <w:tblW w:w="14029" w:type="dxa"/>
        <w:tblLayout w:type="fixed"/>
        <w:tblLook w:val="04A0" w:firstRow="1" w:lastRow="0" w:firstColumn="1" w:lastColumn="0" w:noHBand="0" w:noVBand="1"/>
      </w:tblPr>
      <w:tblGrid>
        <w:gridCol w:w="846"/>
        <w:gridCol w:w="2977"/>
        <w:gridCol w:w="7776"/>
        <w:gridCol w:w="2430"/>
      </w:tblGrid>
      <w:tr w:rsidR="006D135C" w:rsidRPr="001C5EA7" w:rsidTr="00691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vAlign w:val="center"/>
          </w:tcPr>
          <w:p w:rsidR="006D135C" w:rsidRPr="001C5EA7" w:rsidRDefault="006D135C" w:rsidP="00936722">
            <w:pPr>
              <w:pStyle w:val="Tablehead"/>
              <w:rPr>
                <w:rFonts w:asciiTheme="minorHAnsi" w:hAnsiTheme="minorHAnsi" w:cstheme="majorBidi"/>
                <w:b/>
                <w:bCs w:val="0"/>
                <w:szCs w:val="22"/>
                <w:lang w:val="fr-FR"/>
              </w:rPr>
            </w:pPr>
            <w:r w:rsidRPr="001C5EA7">
              <w:rPr>
                <w:rFonts w:asciiTheme="minorHAnsi" w:hAnsiTheme="minorHAnsi" w:cstheme="majorBidi"/>
                <w:b/>
                <w:bCs w:val="0"/>
                <w:szCs w:val="22"/>
                <w:lang w:val="fr-FR"/>
              </w:rPr>
              <w:lastRenderedPageBreak/>
              <w:br w:type="page"/>
              <w:t>Punto</w:t>
            </w:r>
            <w:r w:rsidRPr="001C5EA7">
              <w:rPr>
                <w:rFonts w:asciiTheme="minorHAnsi" w:hAnsiTheme="minorHAnsi" w:cstheme="majorBidi"/>
                <w:b/>
                <w:bCs w:val="0"/>
                <w:szCs w:val="22"/>
                <w:lang w:val="fr-FR"/>
              </w:rPr>
              <w:br/>
              <w:t>N°</w:t>
            </w:r>
          </w:p>
        </w:tc>
        <w:tc>
          <w:tcPr>
            <w:tcW w:w="2977" w:type="dxa"/>
            <w:tcBorders>
              <w:top w:val="single" w:sz="4" w:space="0" w:color="auto"/>
              <w:bottom w:val="single" w:sz="4" w:space="0" w:color="auto"/>
            </w:tcBorders>
            <w:vAlign w:val="center"/>
          </w:tcPr>
          <w:p w:rsidR="006D135C" w:rsidRPr="001C5EA7" w:rsidRDefault="006D135C" w:rsidP="00936722">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ajorBidi"/>
                <w:b/>
                <w:bCs w:val="0"/>
                <w:szCs w:val="22"/>
                <w:lang w:val="fr-FR"/>
              </w:rPr>
            </w:pPr>
            <w:r w:rsidRPr="001C5EA7">
              <w:rPr>
                <w:rFonts w:asciiTheme="minorHAnsi" w:hAnsiTheme="minorHAnsi" w:cstheme="majorBidi"/>
                <w:b/>
                <w:bCs w:val="0"/>
                <w:szCs w:val="22"/>
                <w:lang w:val="fr-FR"/>
              </w:rPr>
              <w:t>Asunto</w:t>
            </w:r>
          </w:p>
        </w:tc>
        <w:tc>
          <w:tcPr>
            <w:tcW w:w="7776" w:type="dxa"/>
            <w:tcBorders>
              <w:top w:val="single" w:sz="4" w:space="0" w:color="auto"/>
              <w:bottom w:val="single" w:sz="4" w:space="0" w:color="auto"/>
            </w:tcBorders>
            <w:vAlign w:val="center"/>
          </w:tcPr>
          <w:p w:rsidR="006D135C" w:rsidRPr="001C5EA7" w:rsidRDefault="006D135C" w:rsidP="00936722">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ajorBidi"/>
                <w:b/>
                <w:bCs w:val="0"/>
                <w:szCs w:val="22"/>
                <w:lang w:val="fr-FR"/>
              </w:rPr>
            </w:pPr>
            <w:r w:rsidRPr="001C5EA7">
              <w:rPr>
                <w:rFonts w:asciiTheme="minorHAnsi" w:hAnsiTheme="minorHAnsi" w:cstheme="majorBidi"/>
                <w:b/>
                <w:bCs w:val="0"/>
                <w:szCs w:val="22"/>
                <w:lang w:val="fr-FR"/>
              </w:rPr>
              <w:t>Acción/decisión y motivos</w:t>
            </w:r>
          </w:p>
        </w:tc>
        <w:tc>
          <w:tcPr>
            <w:tcW w:w="2430" w:type="dxa"/>
            <w:tcBorders>
              <w:top w:val="single" w:sz="4" w:space="0" w:color="auto"/>
              <w:bottom w:val="single" w:sz="4" w:space="0" w:color="auto"/>
              <w:right w:val="single" w:sz="4" w:space="0" w:color="auto"/>
            </w:tcBorders>
            <w:vAlign w:val="center"/>
          </w:tcPr>
          <w:p w:rsidR="006D135C" w:rsidRPr="001C5EA7" w:rsidRDefault="006D135C" w:rsidP="00936722">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Theme="minorHAnsi" w:hAnsiTheme="minorHAnsi" w:cstheme="majorBidi"/>
                <w:b/>
                <w:bCs w:val="0"/>
                <w:szCs w:val="22"/>
                <w:lang w:val="fr-FR"/>
              </w:rPr>
            </w:pPr>
            <w:r w:rsidRPr="001C5EA7">
              <w:rPr>
                <w:rFonts w:asciiTheme="minorHAnsi" w:hAnsiTheme="minorHAnsi" w:cstheme="majorBidi"/>
                <w:b/>
                <w:bCs w:val="0"/>
                <w:szCs w:val="22"/>
                <w:lang w:val="fr-FR"/>
              </w:rPr>
              <w:t>Seguimiento</w:t>
            </w:r>
          </w:p>
        </w:tc>
      </w:tr>
      <w:tr w:rsidR="006D135C" w:rsidRPr="001C5EA7" w:rsidTr="006914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nil"/>
            </w:tcBorders>
          </w:tcPr>
          <w:p w:rsidR="006D135C" w:rsidRPr="001C5EA7" w:rsidRDefault="006D135C" w:rsidP="00766831">
            <w:pPr>
              <w:pStyle w:val="Tabletext"/>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t>1</w:t>
            </w:r>
          </w:p>
        </w:tc>
        <w:tc>
          <w:tcPr>
            <w:tcW w:w="2977" w:type="dxa"/>
            <w:tcBorders>
              <w:top w:val="single" w:sz="4" w:space="0" w:color="auto"/>
              <w:bottom w:val="nil"/>
            </w:tcBorders>
          </w:tcPr>
          <w:p w:rsidR="006D135C" w:rsidRPr="001C5EA7" w:rsidRDefault="006D135C" w:rsidP="00766831">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bCs/>
                <w:szCs w:val="22"/>
                <w:lang w:val="fr-FR"/>
              </w:rPr>
            </w:pPr>
            <w:r w:rsidRPr="001C5EA7">
              <w:rPr>
                <w:rFonts w:asciiTheme="minorHAnsi" w:hAnsiTheme="minorHAnsi" w:cstheme="majorBidi"/>
                <w:bCs/>
                <w:szCs w:val="22"/>
                <w:lang w:val="fr-FR"/>
              </w:rPr>
              <w:t>Apertura de la reunión</w:t>
            </w:r>
          </w:p>
        </w:tc>
        <w:tc>
          <w:tcPr>
            <w:tcW w:w="7776" w:type="dxa"/>
            <w:tcBorders>
              <w:top w:val="single" w:sz="4" w:space="0" w:color="auto"/>
              <w:bottom w:val="nil"/>
            </w:tcBorders>
          </w:tcPr>
          <w:p w:rsidR="00634B53" w:rsidRPr="001C5EA7" w:rsidRDefault="00634B53" w:rsidP="00766831">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El Presidente, Sr. M. BESSI, dio la bienvenida a los miembros de la Junta a la 77ª reunión.</w:t>
            </w:r>
          </w:p>
          <w:p w:rsidR="006D135C" w:rsidRPr="001C5EA7" w:rsidRDefault="00634B53" w:rsidP="00766831">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 xml:space="preserve">En nombre del Sr. H. </w:t>
            </w:r>
            <w:r w:rsidR="007F771F" w:rsidRPr="001C5EA7">
              <w:rPr>
                <w:rFonts w:asciiTheme="minorHAnsi" w:hAnsiTheme="minorHAnsi" w:cstheme="majorBidi"/>
                <w:szCs w:val="22"/>
                <w:lang w:val="fr-CH"/>
              </w:rPr>
              <w:t>ZHAO</w:t>
            </w:r>
            <w:r w:rsidRPr="001C5EA7">
              <w:rPr>
                <w:rFonts w:asciiTheme="minorHAnsi" w:hAnsiTheme="minorHAnsi" w:cstheme="majorBidi"/>
                <w:szCs w:val="22"/>
                <w:lang w:val="fr-CH"/>
              </w:rPr>
              <w:t>, Secretario General</w:t>
            </w:r>
            <w:r w:rsidR="007F771F" w:rsidRPr="001C5EA7">
              <w:rPr>
                <w:rFonts w:asciiTheme="minorHAnsi" w:hAnsiTheme="minorHAnsi" w:cstheme="majorBidi"/>
                <w:szCs w:val="22"/>
                <w:lang w:val="fr-CH"/>
              </w:rPr>
              <w:t xml:space="preserve"> y en el suyo propio, el Sr. F. </w:t>
            </w:r>
            <w:r w:rsidRPr="001C5EA7">
              <w:rPr>
                <w:rFonts w:asciiTheme="minorHAnsi" w:hAnsiTheme="minorHAnsi" w:cstheme="majorBidi"/>
                <w:szCs w:val="22"/>
                <w:lang w:val="fr-CH"/>
              </w:rPr>
              <w:t>RANCY, Director de la Oficina de Radiocomunicaciones, dio la bienvenida a los miembros de la Junta y añadió que, debido a su complejidad, el examen de algunos asuntos del orden del día pudiera llevar bastante tiempo.</w:t>
            </w:r>
          </w:p>
        </w:tc>
        <w:tc>
          <w:tcPr>
            <w:tcW w:w="2430" w:type="dxa"/>
            <w:tcBorders>
              <w:top w:val="single" w:sz="4" w:space="0" w:color="auto"/>
              <w:bottom w:val="nil"/>
              <w:right w:val="single" w:sz="4" w:space="0" w:color="auto"/>
            </w:tcBorders>
          </w:tcPr>
          <w:p w:rsidR="006D135C" w:rsidRPr="001C5EA7" w:rsidRDefault="006D135C" w:rsidP="00766831">
            <w:pPr>
              <w:pStyle w:val="Tabletex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r>
      <w:tr w:rsidR="006D135C" w:rsidRPr="001C5EA7" w:rsidTr="00C71757">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auto"/>
              <w:bottom w:val="nil"/>
            </w:tcBorders>
          </w:tcPr>
          <w:p w:rsidR="006D135C" w:rsidRPr="001C5EA7" w:rsidRDefault="006D135C" w:rsidP="003F308D">
            <w:pPr>
              <w:pStyle w:val="Tabletext"/>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t>2</w:t>
            </w:r>
          </w:p>
        </w:tc>
        <w:tc>
          <w:tcPr>
            <w:tcW w:w="2977" w:type="dxa"/>
            <w:tcBorders>
              <w:top w:val="nil"/>
              <w:bottom w:val="nil"/>
            </w:tcBorders>
          </w:tcPr>
          <w:p w:rsidR="006D135C" w:rsidRPr="001C5EA7" w:rsidRDefault="006D135C" w:rsidP="001567B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C5EA7">
              <w:rPr>
                <w:rFonts w:asciiTheme="minorHAnsi" w:hAnsiTheme="minorHAnsi" w:cstheme="majorBidi"/>
                <w:bCs/>
                <w:szCs w:val="22"/>
                <w:lang w:val="fr-FR"/>
              </w:rPr>
              <w:t>Adopción del orden del día</w:t>
            </w:r>
            <w:r w:rsidRPr="001C5EA7">
              <w:rPr>
                <w:rFonts w:asciiTheme="minorHAnsi" w:hAnsiTheme="minorHAnsi" w:cstheme="majorBidi"/>
                <w:bCs/>
                <w:szCs w:val="22"/>
                <w:lang w:val="fr-FR"/>
              </w:rPr>
              <w:br/>
              <w:t>(</w:t>
            </w:r>
            <w:hyperlink r:id="rId10" w:history="1">
              <w:r w:rsidR="00F80D36" w:rsidRPr="001C5EA7">
                <w:rPr>
                  <w:rStyle w:val="Hyperlink"/>
                  <w:rFonts w:asciiTheme="minorHAnsi" w:hAnsiTheme="minorHAnsi" w:cstheme="majorBidi"/>
                  <w:bCs/>
                  <w:szCs w:val="22"/>
                  <w:lang w:val="fr-FR"/>
                </w:rPr>
                <w:t>RRB18-1/OJ/1(R</w:t>
              </w:r>
              <w:r w:rsidR="001567BE" w:rsidRPr="001C5EA7">
                <w:rPr>
                  <w:rStyle w:val="Hyperlink"/>
                  <w:rFonts w:asciiTheme="minorHAnsi" w:hAnsiTheme="minorHAnsi" w:cstheme="majorBidi"/>
                  <w:bCs/>
                  <w:szCs w:val="22"/>
                  <w:lang w:val="fr-FR"/>
                </w:rPr>
                <w:t>e</w:t>
              </w:r>
              <w:r w:rsidR="00F80D36" w:rsidRPr="001C5EA7">
                <w:rPr>
                  <w:rStyle w:val="Hyperlink"/>
                  <w:rFonts w:asciiTheme="minorHAnsi" w:hAnsiTheme="minorHAnsi" w:cstheme="majorBidi"/>
                  <w:bCs/>
                  <w:szCs w:val="22"/>
                  <w:lang w:val="fr-FR"/>
                </w:rPr>
                <w:t>v.1</w:t>
              </w:r>
              <w:r w:rsidRPr="001C5EA7">
                <w:rPr>
                  <w:rStyle w:val="Hyperlink"/>
                  <w:rFonts w:asciiTheme="minorHAnsi" w:hAnsiTheme="minorHAnsi" w:cstheme="majorBidi"/>
                  <w:bCs/>
                  <w:szCs w:val="22"/>
                  <w:lang w:val="fr-FR"/>
                </w:rPr>
                <w:t>)</w:t>
              </w:r>
            </w:hyperlink>
            <w:r w:rsidR="00F80D36" w:rsidRPr="001C5EA7">
              <w:rPr>
                <w:rFonts w:asciiTheme="minorHAnsi" w:hAnsiTheme="minorHAnsi" w:cstheme="majorBidi"/>
                <w:bCs/>
                <w:szCs w:val="22"/>
                <w:lang w:val="fr-FR"/>
              </w:rPr>
              <w:t>)</w:t>
            </w:r>
          </w:p>
        </w:tc>
        <w:tc>
          <w:tcPr>
            <w:tcW w:w="7776" w:type="dxa"/>
            <w:tcBorders>
              <w:top w:val="nil"/>
              <w:bottom w:val="nil"/>
            </w:tcBorders>
          </w:tcPr>
          <w:p w:rsidR="006D135C" w:rsidRPr="001C5EA7" w:rsidRDefault="00634B53" w:rsidP="00362872">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Se adoptó el proyecto de orden del día con las modificaciones indicadas en el Documento RRB18-1/OJ/1(Rev.1). La Junt</w:t>
            </w:r>
            <w:r w:rsidR="00F71B54" w:rsidRPr="001C5EA7">
              <w:rPr>
                <w:rFonts w:asciiTheme="minorHAnsi" w:hAnsiTheme="minorHAnsi" w:cstheme="majorBidi"/>
                <w:szCs w:val="22"/>
                <w:lang w:val="fr-CH"/>
              </w:rPr>
              <w:t>a acordó incluir los Documentos RRB18</w:t>
            </w:r>
            <w:r w:rsidR="00F71B54" w:rsidRPr="001C5EA7">
              <w:rPr>
                <w:rFonts w:asciiTheme="minorHAnsi" w:hAnsiTheme="minorHAnsi" w:cstheme="majorBidi"/>
                <w:szCs w:val="22"/>
                <w:lang w:val="fr-CH"/>
              </w:rPr>
              <w:noBreakHyphen/>
              <w:t>1/DELAYED/1 y RRB18</w:t>
            </w:r>
            <w:r w:rsidR="00F71B54" w:rsidRPr="001C5EA7">
              <w:rPr>
                <w:rFonts w:asciiTheme="minorHAnsi" w:hAnsiTheme="minorHAnsi" w:cstheme="majorBidi"/>
                <w:szCs w:val="22"/>
                <w:lang w:val="fr-CH"/>
              </w:rPr>
              <w:noBreakHyphen/>
            </w:r>
            <w:r w:rsidRPr="001C5EA7">
              <w:rPr>
                <w:rFonts w:asciiTheme="minorHAnsi" w:hAnsiTheme="minorHAnsi" w:cstheme="majorBidi"/>
                <w:szCs w:val="22"/>
                <w:lang w:val="fr-CH"/>
              </w:rPr>
              <w:t>1/DELAYED/2 en el punto 8.1 del orden del día a título informativo.</w:t>
            </w:r>
          </w:p>
        </w:tc>
        <w:tc>
          <w:tcPr>
            <w:tcW w:w="2430" w:type="dxa"/>
            <w:tcBorders>
              <w:top w:val="nil"/>
              <w:bottom w:val="nil"/>
              <w:right w:val="single" w:sz="4" w:space="0" w:color="auto"/>
            </w:tcBorders>
          </w:tcPr>
          <w:p w:rsidR="006D135C" w:rsidRPr="001C5EA7" w:rsidRDefault="006D135C" w:rsidP="006814E7">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r>
      <w:tr w:rsidR="006D135C" w:rsidRPr="001C5EA7" w:rsidTr="00C71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nil"/>
              <w:left w:val="single" w:sz="4" w:space="0" w:color="auto"/>
              <w:bottom w:val="single" w:sz="4" w:space="0" w:color="auto"/>
            </w:tcBorders>
          </w:tcPr>
          <w:p w:rsidR="006D135C" w:rsidRPr="001C5EA7" w:rsidRDefault="006D135C" w:rsidP="003F308D">
            <w:pPr>
              <w:pStyle w:val="Tabletext"/>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t>3</w:t>
            </w:r>
          </w:p>
        </w:tc>
        <w:tc>
          <w:tcPr>
            <w:tcW w:w="2977" w:type="dxa"/>
            <w:vMerge w:val="restart"/>
            <w:tcBorders>
              <w:top w:val="nil"/>
            </w:tcBorders>
          </w:tcPr>
          <w:p w:rsidR="006D135C" w:rsidRPr="001C5EA7" w:rsidRDefault="006D135C" w:rsidP="00560412">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bCs/>
                <w:szCs w:val="22"/>
                <w:lang w:val="fr-FR"/>
              </w:rPr>
              <w:t>Informe del Director de la BR</w:t>
            </w:r>
            <w:r w:rsidRPr="001C5EA7">
              <w:rPr>
                <w:rFonts w:asciiTheme="minorHAnsi" w:hAnsiTheme="minorHAnsi" w:cstheme="majorBidi"/>
                <w:bCs/>
                <w:szCs w:val="22"/>
                <w:lang w:val="fr-FR"/>
              </w:rPr>
              <w:br/>
            </w:r>
            <w:hyperlink r:id="rId11" w:history="1">
              <w:r w:rsidR="001C5EA7">
                <w:rPr>
                  <w:rStyle w:val="Hyperlink"/>
                  <w:rFonts w:asciiTheme="minorHAnsi" w:hAnsiTheme="minorHAnsi" w:cstheme="majorBidi"/>
                  <w:szCs w:val="22"/>
                </w:rPr>
                <w:t>(RRB18-1/2</w:t>
              </w:r>
            </w:hyperlink>
            <w:r w:rsidR="00560412" w:rsidRPr="001C5EA7">
              <w:rPr>
                <w:rStyle w:val="Hyperlink"/>
                <w:rFonts w:asciiTheme="minorHAnsi" w:hAnsiTheme="minorHAnsi" w:cstheme="majorBidi"/>
                <w:szCs w:val="22"/>
              </w:rPr>
              <w:t xml:space="preserve">; </w:t>
            </w:r>
            <w:r w:rsidR="00560412" w:rsidRPr="001C5EA7">
              <w:rPr>
                <w:rStyle w:val="Hyperlink"/>
                <w:rFonts w:asciiTheme="minorHAnsi" w:hAnsiTheme="minorHAnsi" w:cstheme="majorBidi"/>
                <w:szCs w:val="22"/>
              </w:rPr>
              <w:br/>
            </w:r>
            <w:hyperlink r:id="rId12" w:history="1">
              <w:r w:rsidR="00560412" w:rsidRPr="001C5EA7">
                <w:rPr>
                  <w:rStyle w:val="Hyperlink"/>
                  <w:rFonts w:asciiTheme="minorHAnsi" w:hAnsiTheme="minorHAnsi" w:cstheme="majorBidi"/>
                  <w:szCs w:val="22"/>
                </w:rPr>
                <w:t>RRB18-1/2(Add.1)(Rev.1)</w:t>
              </w:r>
            </w:hyperlink>
            <w:r w:rsidR="00560412" w:rsidRPr="001C5EA7">
              <w:rPr>
                <w:rStyle w:val="Hyperlink"/>
                <w:rFonts w:asciiTheme="minorHAnsi" w:hAnsiTheme="minorHAnsi" w:cstheme="majorBidi"/>
                <w:szCs w:val="22"/>
              </w:rPr>
              <w:br/>
            </w:r>
            <w:hyperlink r:id="rId13" w:history="1">
              <w:r w:rsidR="00560412" w:rsidRPr="001C5EA7">
                <w:rPr>
                  <w:rStyle w:val="Hyperlink"/>
                  <w:rFonts w:asciiTheme="minorHAnsi" w:hAnsiTheme="minorHAnsi" w:cstheme="majorBidi"/>
                  <w:szCs w:val="22"/>
                </w:rPr>
                <w:t>RRB18-1/2(Add.2)</w:t>
              </w:r>
            </w:hyperlink>
            <w:r w:rsidR="00560412" w:rsidRPr="001C5EA7">
              <w:rPr>
                <w:rStyle w:val="Hyperlink"/>
                <w:rFonts w:asciiTheme="minorHAnsi" w:hAnsiTheme="minorHAnsi" w:cstheme="majorBidi"/>
                <w:szCs w:val="22"/>
              </w:rPr>
              <w:t>;</w:t>
            </w:r>
            <w:r w:rsidR="00560412" w:rsidRPr="001C5EA7">
              <w:rPr>
                <w:rStyle w:val="Hyperlink"/>
                <w:rFonts w:asciiTheme="minorHAnsi" w:hAnsiTheme="minorHAnsi" w:cstheme="majorBidi"/>
                <w:szCs w:val="22"/>
              </w:rPr>
              <w:br/>
            </w:r>
            <w:hyperlink r:id="rId14" w:history="1">
              <w:r w:rsidR="00560412" w:rsidRPr="001C5EA7">
                <w:rPr>
                  <w:rStyle w:val="Hyperlink"/>
                  <w:rFonts w:asciiTheme="minorHAnsi" w:hAnsiTheme="minorHAnsi" w:cstheme="majorBidi"/>
                  <w:szCs w:val="22"/>
                </w:rPr>
                <w:t>RRB18-1/2(Add.2)(Add.1);</w:t>
              </w:r>
            </w:hyperlink>
            <w:r w:rsidR="00560412" w:rsidRPr="001C5EA7">
              <w:rPr>
                <w:rStyle w:val="Hyperlink"/>
                <w:rFonts w:asciiTheme="minorHAnsi" w:hAnsiTheme="minorHAnsi" w:cstheme="majorBidi"/>
                <w:szCs w:val="22"/>
              </w:rPr>
              <w:br/>
            </w:r>
            <w:hyperlink r:id="rId15" w:history="1">
              <w:r w:rsidR="00560412" w:rsidRPr="001C5EA7">
                <w:rPr>
                  <w:rStyle w:val="Hyperlink"/>
                  <w:rFonts w:asciiTheme="minorHAnsi" w:hAnsiTheme="minorHAnsi" w:cstheme="majorBidi"/>
                  <w:szCs w:val="22"/>
                </w:rPr>
                <w:t>RRB18-1/2(Add.3)</w:t>
              </w:r>
            </w:hyperlink>
            <w:r w:rsidR="00560412" w:rsidRPr="001C5EA7">
              <w:rPr>
                <w:rStyle w:val="Hyperlink"/>
                <w:rFonts w:asciiTheme="minorHAnsi" w:hAnsiTheme="minorHAnsi" w:cstheme="majorBidi"/>
                <w:szCs w:val="22"/>
              </w:rPr>
              <w:t>;</w:t>
            </w:r>
            <w:r w:rsidR="00560412" w:rsidRPr="001C5EA7">
              <w:rPr>
                <w:rStyle w:val="Hyperlink"/>
                <w:rFonts w:asciiTheme="minorHAnsi" w:hAnsiTheme="minorHAnsi" w:cstheme="majorBidi"/>
                <w:szCs w:val="22"/>
              </w:rPr>
              <w:br/>
            </w:r>
            <w:hyperlink r:id="rId16" w:history="1">
              <w:r w:rsidR="00560412" w:rsidRPr="001C5EA7">
                <w:rPr>
                  <w:rStyle w:val="Hyperlink"/>
                  <w:rFonts w:asciiTheme="minorHAnsi" w:hAnsiTheme="minorHAnsi" w:cstheme="majorBidi"/>
                  <w:szCs w:val="22"/>
                </w:rPr>
                <w:t>RRB18-1/2(Add.4)</w:t>
              </w:r>
            </w:hyperlink>
            <w:r w:rsidR="00560412" w:rsidRPr="001C5EA7">
              <w:rPr>
                <w:rStyle w:val="Hyperlink"/>
                <w:rFonts w:asciiTheme="minorHAnsi" w:hAnsiTheme="minorHAnsi" w:cstheme="majorBidi"/>
                <w:szCs w:val="22"/>
              </w:rPr>
              <w:t xml:space="preserve">; </w:t>
            </w:r>
            <w:hyperlink r:id="rId17" w:history="1">
              <w:r w:rsidR="00560412" w:rsidRPr="001C5EA7">
                <w:rPr>
                  <w:rStyle w:val="Hyperlink"/>
                  <w:rFonts w:asciiTheme="minorHAnsi" w:hAnsiTheme="minorHAnsi" w:cstheme="majorBidi"/>
                  <w:szCs w:val="22"/>
                </w:rPr>
                <w:t>RRB18</w:t>
              </w:r>
              <w:r w:rsidR="00560412" w:rsidRPr="001C5EA7">
                <w:rPr>
                  <w:rStyle w:val="Hyperlink"/>
                  <w:rFonts w:asciiTheme="minorHAnsi" w:hAnsiTheme="minorHAnsi" w:cstheme="majorBidi"/>
                  <w:szCs w:val="22"/>
                </w:rPr>
                <w:noBreakHyphen/>
                <w:t>1/2(Add.5)</w:t>
              </w:r>
            </w:hyperlink>
            <w:r w:rsidR="00560412" w:rsidRPr="001C5EA7">
              <w:rPr>
                <w:rStyle w:val="Hyperlink"/>
                <w:rFonts w:asciiTheme="minorHAnsi" w:hAnsiTheme="minorHAnsi" w:cstheme="majorBidi"/>
                <w:szCs w:val="22"/>
              </w:rPr>
              <w:br/>
            </w:r>
            <w:hyperlink r:id="rId18" w:history="1">
              <w:r w:rsidR="00560412" w:rsidRPr="001C5EA7">
                <w:rPr>
                  <w:rStyle w:val="Hyperlink"/>
                  <w:rFonts w:asciiTheme="minorHAnsi" w:hAnsiTheme="minorHAnsi" w:cstheme="majorBidi"/>
                  <w:szCs w:val="22"/>
                </w:rPr>
                <w:t>RRB18-1/2(Add.6); RRB18</w:t>
              </w:r>
              <w:r w:rsidR="00560412" w:rsidRPr="001C5EA7">
                <w:rPr>
                  <w:rStyle w:val="Hyperlink"/>
                  <w:rFonts w:asciiTheme="minorHAnsi" w:hAnsiTheme="minorHAnsi" w:cstheme="majorBidi"/>
                  <w:szCs w:val="22"/>
                </w:rPr>
                <w:noBreakHyphen/>
                <w:t>1/2(Add.7)</w:t>
              </w:r>
            </w:hyperlink>
            <w:r w:rsidR="00560412" w:rsidRPr="001C5EA7">
              <w:rPr>
                <w:rStyle w:val="Hyperlink"/>
                <w:rFonts w:asciiTheme="minorHAnsi" w:hAnsiTheme="minorHAnsi" w:cstheme="majorBidi"/>
                <w:szCs w:val="22"/>
              </w:rPr>
              <w:t xml:space="preserve">; </w:t>
            </w:r>
            <w:hyperlink r:id="rId19" w:history="1">
              <w:r w:rsidR="00560412" w:rsidRPr="001C5EA7">
                <w:rPr>
                  <w:rStyle w:val="Hyperlink"/>
                  <w:rFonts w:asciiTheme="minorHAnsi" w:hAnsiTheme="minorHAnsi" w:cstheme="majorBidi"/>
                  <w:szCs w:val="22"/>
                </w:rPr>
                <w:t>RRB18</w:t>
              </w:r>
              <w:r w:rsidR="00560412" w:rsidRPr="001C5EA7">
                <w:rPr>
                  <w:rStyle w:val="Hyperlink"/>
                  <w:rFonts w:asciiTheme="minorHAnsi" w:hAnsiTheme="minorHAnsi" w:cstheme="majorBidi"/>
                  <w:szCs w:val="22"/>
                </w:rPr>
                <w:noBreakHyphen/>
                <w:t>1/2(Add.8)</w:t>
              </w:r>
            </w:hyperlink>
            <w:r w:rsidR="00560412" w:rsidRPr="001C5EA7">
              <w:rPr>
                <w:rFonts w:asciiTheme="minorHAnsi" w:hAnsiTheme="minorHAnsi" w:cstheme="majorBidi"/>
                <w:bCs/>
                <w:szCs w:val="22"/>
                <w:lang w:val="fr-FR"/>
              </w:rPr>
              <w:t>)</w:t>
            </w:r>
          </w:p>
        </w:tc>
        <w:tc>
          <w:tcPr>
            <w:tcW w:w="7776" w:type="dxa"/>
            <w:tcBorders>
              <w:top w:val="nil"/>
              <w:bottom w:val="dashed" w:sz="4" w:space="0" w:color="95B3D7" w:themeColor="accent1" w:themeTint="99"/>
            </w:tcBorders>
          </w:tcPr>
          <w:p w:rsidR="006D135C" w:rsidRPr="001C5EA7" w:rsidRDefault="00634B53" w:rsidP="00B24C4C">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 xml:space="preserve">La Junta examinó en detalle el </w:t>
            </w:r>
            <w:r w:rsidR="00B24C4C" w:rsidRPr="001C5EA7">
              <w:rPr>
                <w:rFonts w:asciiTheme="minorHAnsi" w:hAnsiTheme="minorHAnsi" w:cstheme="majorBidi"/>
                <w:szCs w:val="22"/>
                <w:lang w:val="fr-CH"/>
              </w:rPr>
              <w:t xml:space="preserve">Informe </w:t>
            </w:r>
            <w:r w:rsidRPr="001C5EA7">
              <w:rPr>
                <w:rFonts w:asciiTheme="minorHAnsi" w:hAnsiTheme="minorHAnsi" w:cstheme="majorBidi"/>
                <w:szCs w:val="22"/>
                <w:lang w:val="fr-CH"/>
              </w:rPr>
              <w:t>del Director de la Oficina de Radiocomunicaciones contenido en el Documento RRB18-1/2 y le agradeció la amplia y detallada información suministrada en el Informe y sus Addenda.</w:t>
            </w:r>
          </w:p>
        </w:tc>
        <w:tc>
          <w:tcPr>
            <w:tcW w:w="2430" w:type="dxa"/>
            <w:tcBorders>
              <w:top w:val="nil"/>
              <w:bottom w:val="dashed" w:sz="4" w:space="0" w:color="95B3D7" w:themeColor="accent1" w:themeTint="99"/>
              <w:right w:val="single" w:sz="4" w:space="0" w:color="auto"/>
            </w:tcBorders>
          </w:tcPr>
          <w:p w:rsidR="006D135C" w:rsidRPr="001C5EA7" w:rsidRDefault="006D135C" w:rsidP="00634B5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6D135C" w:rsidRPr="001C5EA7" w:rsidTr="006914AD">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auto"/>
              <w:bottom w:val="single" w:sz="4" w:space="0" w:color="auto"/>
            </w:tcBorders>
          </w:tcPr>
          <w:p w:rsidR="006D135C" w:rsidRPr="001C5EA7" w:rsidRDefault="006D135C" w:rsidP="00634B53">
            <w:pPr>
              <w:pStyle w:val="Tabletext"/>
              <w:snapToGrid w:val="0"/>
              <w:spacing w:before="120" w:after="120"/>
              <w:jc w:val="center"/>
              <w:rPr>
                <w:rFonts w:asciiTheme="minorHAnsi" w:hAnsiTheme="minorHAnsi"/>
                <w:szCs w:val="22"/>
              </w:rPr>
            </w:pPr>
          </w:p>
        </w:tc>
        <w:tc>
          <w:tcPr>
            <w:tcW w:w="2977" w:type="dxa"/>
            <w:vMerge/>
            <w:tcBorders>
              <w:bottom w:val="single" w:sz="4" w:space="0" w:color="auto"/>
            </w:tcBorders>
            <w:shd w:val="clear" w:color="auto" w:fill="DBE5F1" w:themeFill="accent1" w:themeFillTint="33"/>
          </w:tcPr>
          <w:p w:rsidR="006D135C" w:rsidRPr="001C5EA7" w:rsidRDefault="006D135C" w:rsidP="00634B53">
            <w:pPr>
              <w:pStyle w:val="Tabletext"/>
              <w:snapToGrid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7776" w:type="dxa"/>
            <w:tcBorders>
              <w:top w:val="dashed" w:sz="4" w:space="0" w:color="95B3D7" w:themeColor="accent1" w:themeTint="99"/>
              <w:bottom w:val="single" w:sz="4" w:space="0" w:color="auto"/>
            </w:tcBorders>
            <w:shd w:val="clear" w:color="auto" w:fill="DBE5F1" w:themeFill="accent1" w:themeFillTint="33"/>
          </w:tcPr>
          <w:p w:rsidR="006D135C" w:rsidRPr="001C5EA7" w:rsidRDefault="006D135C" w:rsidP="001F1BC7">
            <w:pPr>
              <w:pStyle w:val="Tabletext"/>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a)</w:t>
            </w:r>
            <w:r w:rsidRPr="001C5EA7">
              <w:rPr>
                <w:rFonts w:asciiTheme="minorHAnsi" w:hAnsiTheme="minorHAnsi" w:cstheme="majorBidi"/>
                <w:szCs w:val="22"/>
                <w:lang w:val="fr-CH"/>
              </w:rPr>
              <w:tab/>
            </w:r>
            <w:r w:rsidR="00634B53" w:rsidRPr="001C5EA7">
              <w:rPr>
                <w:rFonts w:asciiTheme="minorHAnsi" w:hAnsiTheme="minorHAnsi" w:cstheme="majorBidi"/>
                <w:szCs w:val="22"/>
                <w:lang w:val="fr-CH"/>
              </w:rPr>
              <w:t>En relación con el §</w:t>
            </w:r>
            <w:r w:rsidR="00A72711" w:rsidRPr="001C5EA7">
              <w:rPr>
                <w:rFonts w:asciiTheme="minorHAnsi" w:hAnsiTheme="minorHAnsi" w:cstheme="majorBidi"/>
                <w:szCs w:val="22"/>
                <w:lang w:val="fr-CH"/>
              </w:rPr>
              <w:t> </w:t>
            </w:r>
            <w:r w:rsidR="00634B53" w:rsidRPr="001C5EA7">
              <w:rPr>
                <w:rFonts w:asciiTheme="minorHAnsi" w:hAnsiTheme="minorHAnsi" w:cstheme="majorBidi"/>
                <w:szCs w:val="22"/>
                <w:lang w:val="fr-CH"/>
              </w:rPr>
              <w:t xml:space="preserve">2 del Documento RRB18-1/2, la Junta manifestó su preocupación por el constante retraso en la tramitación de ciertos tipos de notificaciones y apreció las medidas adoptadas para reducir el tiempo de tramitación de notificaciones con el fin de cumplir los plazos reglamentarios. La Junta instó a la Oficina a hacer todo lo posible para mejorar su eficiencia en la tramitación de notificaciones y decidió encargar al Director que informe más detalladamente sobre las causas del retraso en determinados casos. La Junta también encargó a la Oficina que consulte a las administraciones sobre la incidencia considerable en el tiempo de tramitación de las notificaciones de redes de satélites grandes y complejas, y les invitó a cumplir lo dispuesto en el número </w:t>
            </w:r>
            <w:r w:rsidR="00634B53" w:rsidRPr="001C5EA7">
              <w:rPr>
                <w:rFonts w:asciiTheme="minorHAnsi" w:hAnsiTheme="minorHAnsi" w:cstheme="majorBidi"/>
                <w:b/>
                <w:bCs/>
                <w:szCs w:val="22"/>
                <w:lang w:val="fr-CH"/>
              </w:rPr>
              <w:t>4.1</w:t>
            </w:r>
            <w:r w:rsidR="00634B53" w:rsidRPr="001C5EA7">
              <w:rPr>
                <w:rFonts w:asciiTheme="minorHAnsi" w:hAnsiTheme="minorHAnsi" w:cstheme="majorBidi"/>
                <w:szCs w:val="22"/>
                <w:lang w:val="fr-CH"/>
              </w:rPr>
              <w:t xml:space="preserve"> del RR cuando notifiquen las necesidades de frecuencias para sus redes de satélites.</w:t>
            </w:r>
          </w:p>
        </w:tc>
        <w:tc>
          <w:tcPr>
            <w:tcW w:w="2430" w:type="dxa"/>
            <w:tcBorders>
              <w:top w:val="dashed" w:sz="4" w:space="0" w:color="95B3D7" w:themeColor="accent1" w:themeTint="99"/>
              <w:bottom w:val="single" w:sz="4" w:space="0" w:color="auto"/>
              <w:right w:val="single" w:sz="4" w:space="0" w:color="auto"/>
            </w:tcBorders>
            <w:shd w:val="clear" w:color="auto" w:fill="DBE5F1" w:themeFill="accent1" w:themeFillTint="33"/>
          </w:tcPr>
          <w:p w:rsidR="006D135C" w:rsidRPr="001C5EA7" w:rsidRDefault="00634B53" w:rsidP="00802A17">
            <w:pPr>
              <w:pStyle w:val="Tabletext"/>
              <w:tabs>
                <w:tab w:val="clear" w:pos="284"/>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El Director informa</w:t>
            </w:r>
            <w:r w:rsidR="001F1BC7" w:rsidRPr="001C5EA7">
              <w:rPr>
                <w:rFonts w:asciiTheme="minorHAnsi" w:hAnsiTheme="minorHAnsi" w:cstheme="majorBidi"/>
                <w:szCs w:val="22"/>
                <w:lang w:val="fr-CH"/>
              </w:rPr>
              <w:t>rá en detalle de las causas del </w:t>
            </w:r>
            <w:r w:rsidRPr="001C5EA7">
              <w:rPr>
                <w:rFonts w:asciiTheme="minorHAnsi" w:hAnsiTheme="minorHAnsi" w:cstheme="majorBidi"/>
                <w:szCs w:val="22"/>
                <w:lang w:val="fr-CH"/>
              </w:rPr>
              <w:t>retraso.</w:t>
            </w:r>
          </w:p>
          <w:p w:rsidR="006D135C" w:rsidRPr="001C5EA7" w:rsidRDefault="00634B53" w:rsidP="00802A17">
            <w:pPr>
              <w:pStyle w:val="Tabletext"/>
              <w:tabs>
                <w:tab w:val="clear" w:pos="284"/>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 xml:space="preserve">La Oficina se comunicará con las administraciones sobre </w:t>
            </w:r>
            <w:r w:rsidR="002B3837" w:rsidRPr="001C5EA7">
              <w:rPr>
                <w:rFonts w:asciiTheme="minorHAnsi" w:hAnsiTheme="minorHAnsi" w:cstheme="majorBidi"/>
                <w:szCs w:val="22"/>
                <w:lang w:val="fr-CH"/>
              </w:rPr>
              <w:t>cómo</w:t>
            </w:r>
            <w:r w:rsidRPr="001C5EA7">
              <w:rPr>
                <w:rFonts w:asciiTheme="minorHAnsi" w:hAnsiTheme="minorHAnsi" w:cstheme="majorBidi"/>
                <w:szCs w:val="22"/>
                <w:lang w:val="fr-CH"/>
              </w:rPr>
              <w:t xml:space="preserve"> afecta al tiempo de tramitación la complejidad de las notificaciones de redes de satélites.</w:t>
            </w:r>
          </w:p>
        </w:tc>
      </w:tr>
      <w:tr w:rsidR="006D135C" w:rsidRPr="001C5EA7" w:rsidTr="00C71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4" w:space="0" w:color="auto"/>
              <w:left w:val="single" w:sz="4" w:space="0" w:color="auto"/>
              <w:bottom w:val="single" w:sz="4" w:space="0" w:color="auto"/>
            </w:tcBorders>
          </w:tcPr>
          <w:p w:rsidR="006D135C" w:rsidRPr="001C5EA7" w:rsidRDefault="006D135C" w:rsidP="00634B53">
            <w:pPr>
              <w:pStyle w:val="Tabletext"/>
              <w:snapToGrid w:val="0"/>
              <w:spacing w:before="120" w:after="120"/>
              <w:jc w:val="center"/>
              <w:rPr>
                <w:rFonts w:asciiTheme="minorHAnsi" w:hAnsiTheme="minorHAnsi"/>
                <w:szCs w:val="22"/>
              </w:rPr>
            </w:pPr>
          </w:p>
        </w:tc>
        <w:tc>
          <w:tcPr>
            <w:tcW w:w="2977" w:type="dxa"/>
            <w:vMerge/>
            <w:tcBorders>
              <w:top w:val="single" w:sz="4" w:space="0" w:color="auto"/>
            </w:tcBorders>
          </w:tcPr>
          <w:p w:rsidR="006D135C" w:rsidRPr="001C5EA7" w:rsidRDefault="006D135C" w:rsidP="00634B53">
            <w:pPr>
              <w:pStyle w:val="Tabletext"/>
              <w:snapToGri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7776" w:type="dxa"/>
            <w:tcBorders>
              <w:top w:val="single" w:sz="4" w:space="0" w:color="auto"/>
              <w:bottom w:val="dashed" w:sz="4" w:space="0" w:color="95B3D7" w:themeColor="accent1" w:themeTint="99"/>
            </w:tcBorders>
          </w:tcPr>
          <w:p w:rsidR="006D135C" w:rsidRPr="001C5EA7" w:rsidRDefault="006D135C" w:rsidP="00802A17">
            <w:pPr>
              <w:tabs>
                <w:tab w:val="left" w:pos="417"/>
              </w:tabs>
              <w:spacing w:after="120"/>
              <w:ind w:left="420" w:hanging="4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sz w:val="22"/>
                <w:szCs w:val="22"/>
                <w:lang w:val="fr-CH"/>
              </w:rPr>
              <w:t>b)</w:t>
            </w:r>
            <w:r w:rsidRPr="001C5EA7">
              <w:rPr>
                <w:rFonts w:asciiTheme="minorHAnsi" w:hAnsiTheme="minorHAnsi" w:cstheme="majorBidi"/>
                <w:sz w:val="22"/>
                <w:szCs w:val="22"/>
                <w:lang w:val="fr-CH"/>
              </w:rPr>
              <w:tab/>
            </w:r>
            <w:r w:rsidR="00634B53" w:rsidRPr="001C5EA7">
              <w:rPr>
                <w:rFonts w:asciiTheme="minorHAnsi" w:hAnsiTheme="minorHAnsi" w:cstheme="majorBidi"/>
                <w:sz w:val="22"/>
                <w:szCs w:val="22"/>
                <w:lang w:val="fr-CH"/>
              </w:rPr>
              <w:t xml:space="preserve">En lo que respecta al tema de la recuperación de costes, </w:t>
            </w:r>
            <w:r w:rsidR="00B52027" w:rsidRPr="001C5EA7">
              <w:rPr>
                <w:rFonts w:asciiTheme="minorHAnsi" w:hAnsiTheme="minorHAnsi" w:cstheme="majorBidi"/>
                <w:sz w:val="22"/>
                <w:szCs w:val="22"/>
                <w:lang w:val="fr-CH"/>
              </w:rPr>
              <w:t>tratado en los Documentos RRB18</w:t>
            </w:r>
            <w:r w:rsidR="00B52027" w:rsidRPr="001C5EA7">
              <w:rPr>
                <w:rFonts w:asciiTheme="minorHAnsi" w:hAnsiTheme="minorHAnsi" w:cstheme="majorBidi"/>
                <w:sz w:val="22"/>
                <w:szCs w:val="22"/>
                <w:lang w:val="fr-CH"/>
              </w:rPr>
              <w:noBreakHyphen/>
              <w:t>1/2(Add.2) y RRB18</w:t>
            </w:r>
            <w:r w:rsidR="00B52027" w:rsidRPr="001C5EA7">
              <w:rPr>
                <w:rFonts w:asciiTheme="minorHAnsi" w:hAnsiTheme="minorHAnsi" w:cstheme="majorBidi"/>
                <w:sz w:val="22"/>
                <w:szCs w:val="22"/>
                <w:lang w:val="fr-CH"/>
              </w:rPr>
              <w:noBreakHyphen/>
            </w:r>
            <w:r w:rsidR="00634B53" w:rsidRPr="001C5EA7">
              <w:rPr>
                <w:rFonts w:asciiTheme="minorHAnsi" w:hAnsiTheme="minorHAnsi" w:cstheme="majorBidi"/>
                <w:sz w:val="22"/>
                <w:szCs w:val="22"/>
                <w:lang w:val="fr-CH"/>
              </w:rPr>
              <w:t>1/2(Add.2)(Add.1), la Oficina reconoció las posibles repercusiones que el plan de recuperación de costes puede tener en la resolución del problema del retraso en la tramitación de redes de satélites no OSG. Por consiguiente, la Junta encargó a la Oficina que informe al Consejo de 2018 sobre la urgente necesidad de tomar una decisión sobre este asunto. Asimismo, la Junta tomó nota de los tres procedimientos propuestos por la Oficina, y consideró que el procedimiento A mantendría la integridad reglamentaria de la notificación. Los otros dos procedimientos no guardan relación con aspectos reglamentarios sobre los que se requiera la opinión de la Junta.</w:t>
            </w:r>
          </w:p>
        </w:tc>
        <w:tc>
          <w:tcPr>
            <w:tcW w:w="2430" w:type="dxa"/>
            <w:tcBorders>
              <w:top w:val="single" w:sz="4" w:space="0" w:color="auto"/>
              <w:bottom w:val="dashed" w:sz="4" w:space="0" w:color="95B3D7" w:themeColor="accent1" w:themeTint="99"/>
              <w:right w:val="single" w:sz="4" w:space="0" w:color="auto"/>
            </w:tcBorders>
          </w:tcPr>
          <w:p w:rsidR="006D135C" w:rsidRPr="001C5EA7" w:rsidRDefault="00634B53" w:rsidP="00802A17">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La Oficina informará a la próxima reunión de la Junta sobre los progresos logrados a este respecto.</w:t>
            </w:r>
          </w:p>
        </w:tc>
      </w:tr>
      <w:tr w:rsidR="006D135C" w:rsidRPr="001C5EA7" w:rsidTr="00C71757">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auto"/>
              <w:bottom w:val="single" w:sz="4" w:space="0" w:color="auto"/>
            </w:tcBorders>
          </w:tcPr>
          <w:p w:rsidR="006D135C" w:rsidRPr="001C5EA7" w:rsidRDefault="006D135C" w:rsidP="00634B53">
            <w:pPr>
              <w:pStyle w:val="Tabletext"/>
              <w:snapToGrid w:val="0"/>
              <w:spacing w:before="120" w:after="120"/>
              <w:jc w:val="center"/>
              <w:rPr>
                <w:rFonts w:asciiTheme="minorHAnsi" w:hAnsiTheme="minorHAnsi"/>
                <w:szCs w:val="22"/>
              </w:rPr>
            </w:pPr>
          </w:p>
        </w:tc>
        <w:tc>
          <w:tcPr>
            <w:tcW w:w="2977" w:type="dxa"/>
            <w:vMerge/>
            <w:shd w:val="clear" w:color="auto" w:fill="DBE5F1" w:themeFill="accent1" w:themeFillTint="33"/>
          </w:tcPr>
          <w:p w:rsidR="006D135C" w:rsidRPr="001C5EA7" w:rsidRDefault="006D135C" w:rsidP="00634B53">
            <w:pPr>
              <w:pStyle w:val="Tabletext"/>
              <w:snapToGrid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7776" w:type="dxa"/>
            <w:tcBorders>
              <w:top w:val="dashed" w:sz="4" w:space="0" w:color="95B3D7" w:themeColor="accent1" w:themeTint="99"/>
              <w:bottom w:val="nil"/>
            </w:tcBorders>
            <w:shd w:val="clear" w:color="auto" w:fill="DBE5F1" w:themeFill="accent1" w:themeFillTint="33"/>
          </w:tcPr>
          <w:p w:rsidR="006D135C" w:rsidRPr="001C5EA7" w:rsidRDefault="006D135C" w:rsidP="006914AD">
            <w:pPr>
              <w:tabs>
                <w:tab w:val="left" w:pos="417"/>
              </w:tabs>
              <w:spacing w:after="120"/>
              <w:ind w:left="420" w:hanging="4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lang w:val="fr-CH"/>
              </w:rPr>
            </w:pPr>
            <w:r w:rsidRPr="001C5EA7">
              <w:rPr>
                <w:rFonts w:asciiTheme="minorHAnsi" w:hAnsiTheme="minorHAnsi" w:cstheme="majorBidi"/>
                <w:sz w:val="22"/>
                <w:szCs w:val="22"/>
                <w:lang w:val="fr-CH"/>
              </w:rPr>
              <w:t>c)</w:t>
            </w:r>
            <w:r w:rsidRPr="001C5EA7">
              <w:rPr>
                <w:rFonts w:asciiTheme="minorHAnsi" w:hAnsiTheme="minorHAnsi" w:cstheme="majorBidi"/>
                <w:sz w:val="22"/>
                <w:szCs w:val="22"/>
                <w:lang w:val="fr-CH"/>
              </w:rPr>
              <w:tab/>
            </w:r>
            <w:r w:rsidR="00634B53" w:rsidRPr="001C5EA7">
              <w:rPr>
                <w:rFonts w:asciiTheme="minorHAnsi" w:hAnsiTheme="minorHAnsi" w:cstheme="majorBidi"/>
                <w:sz w:val="22"/>
                <w:szCs w:val="22"/>
                <w:lang w:val="fr-CH"/>
              </w:rPr>
              <w:t>Al examinar el § 4 del Documento RRB18-1/2, la Junta observó que la situación ha mejorado en lo que respecta a la interferencia causada por Italia a las estaciones de radiodifusión de televisión de la mayoría de sus países vecinos, e instó a la Administración de Italia a que siguiera coordinándose con las administraciones consideradas para resolver los casos de la constante interferencia a las estaciones de radiodifusión de televisión.</w:t>
            </w:r>
          </w:p>
          <w:p w:rsidR="006D135C" w:rsidRPr="001C5EA7" w:rsidRDefault="006D135C" w:rsidP="006914AD">
            <w:pPr>
              <w:tabs>
                <w:tab w:val="left" w:pos="417"/>
              </w:tabs>
              <w:spacing w:after="120"/>
              <w:ind w:left="420" w:hanging="4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C5EA7">
              <w:rPr>
                <w:rFonts w:asciiTheme="minorHAnsi" w:hAnsiTheme="minorHAnsi"/>
              </w:rPr>
              <w:tab/>
            </w:r>
            <w:r w:rsidR="00634B53" w:rsidRPr="001C5EA7">
              <w:rPr>
                <w:rFonts w:asciiTheme="minorHAnsi" w:hAnsiTheme="minorHAnsi" w:cstheme="majorBidi"/>
                <w:sz w:val="22"/>
                <w:szCs w:val="22"/>
                <w:lang w:val="fr-CH"/>
              </w:rPr>
              <w:t xml:space="preserve">La Junta examinó detenidamente el Documento RRB18-1/2(Add.8) sobre la hoja de ruta de medidas adoptadas por la Administración de Italia para solventar los casos de interferencia perjudicial causados a sus países vecinos y agradeció a la Administración de Italia por la información exhaustiva facilitada. La Junta observó con preocupación la contribución tardía del documento e invitó a la Administración de Italia a presentar la contribución oportunamente para futuras reuniones. Por otra parte, la Junta observó con satisfacción algunos progresos logrados para resolver ciertos casos de interferencia perjudicial relacionada con las estaciones de radiodifusión sonora, pero no se ha avanzado en lo que respecta a las estaciones de radiodifusión sonora de las Administraciones de Croacia y Eslovenia. La Junta instó a la Administración de Italia a seguir llevando a cabo la coordinación y a organizar reuniones bilaterales y multilaterales, según proceda, en particular con </w:t>
            </w:r>
            <w:r w:rsidR="002B3837" w:rsidRPr="001C5EA7">
              <w:rPr>
                <w:rFonts w:asciiTheme="minorHAnsi" w:hAnsiTheme="minorHAnsi" w:cstheme="majorBidi"/>
                <w:sz w:val="22"/>
                <w:szCs w:val="22"/>
                <w:lang w:val="fr-CH"/>
              </w:rPr>
              <w:t>las</w:t>
            </w:r>
            <w:r w:rsidR="00634B53" w:rsidRPr="001C5EA7">
              <w:rPr>
                <w:rFonts w:asciiTheme="minorHAnsi" w:hAnsiTheme="minorHAnsi" w:cstheme="majorBidi"/>
                <w:sz w:val="22"/>
                <w:szCs w:val="22"/>
                <w:lang w:val="fr-CH"/>
              </w:rPr>
              <w:t xml:space="preserve"> Administraciones de Croacia y Eslovenia, con la participación, en la medida de lo posible, de las entidades de radiodifusión. La Junta decidió encargar a la Oficina que siga prestando el apoyo necesario a las administraciones en las actividades de coordinación.</w:t>
            </w:r>
          </w:p>
        </w:tc>
        <w:tc>
          <w:tcPr>
            <w:tcW w:w="2430" w:type="dxa"/>
            <w:tcBorders>
              <w:top w:val="dashed" w:sz="4" w:space="0" w:color="95B3D7" w:themeColor="accent1" w:themeTint="99"/>
              <w:bottom w:val="nil"/>
              <w:right w:val="single" w:sz="4" w:space="0" w:color="auto"/>
            </w:tcBorders>
            <w:shd w:val="clear" w:color="auto" w:fill="DBE5F1" w:themeFill="accent1" w:themeFillTint="33"/>
          </w:tcPr>
          <w:p w:rsidR="006D135C" w:rsidRPr="001C5EA7" w:rsidRDefault="00634B53" w:rsidP="006914AD">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La Oficina prestará apoyo a las administraciones en las actividades de coordinación.</w:t>
            </w:r>
          </w:p>
        </w:tc>
      </w:tr>
      <w:tr w:rsidR="006D135C" w:rsidRPr="001C5EA7" w:rsidTr="00C71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auto"/>
              <w:bottom w:val="single" w:sz="4" w:space="0" w:color="auto"/>
            </w:tcBorders>
          </w:tcPr>
          <w:p w:rsidR="006D135C" w:rsidRPr="001C5EA7" w:rsidRDefault="006D135C" w:rsidP="00634B53">
            <w:pPr>
              <w:pStyle w:val="Tabletext"/>
              <w:snapToGrid w:val="0"/>
              <w:spacing w:before="120" w:after="120"/>
              <w:jc w:val="center"/>
              <w:rPr>
                <w:rFonts w:asciiTheme="minorHAnsi" w:hAnsiTheme="minorHAnsi"/>
                <w:szCs w:val="22"/>
              </w:rPr>
            </w:pPr>
          </w:p>
        </w:tc>
        <w:tc>
          <w:tcPr>
            <w:tcW w:w="2977" w:type="dxa"/>
            <w:vMerge/>
          </w:tcPr>
          <w:p w:rsidR="006D135C" w:rsidRPr="001C5EA7" w:rsidRDefault="006D135C" w:rsidP="00634B53">
            <w:pPr>
              <w:pStyle w:val="Tabletext"/>
              <w:snapToGri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7776" w:type="dxa"/>
            <w:tcBorders>
              <w:top w:val="nil"/>
              <w:bottom w:val="dashed" w:sz="4" w:space="0" w:color="95B3D7" w:themeColor="accent1" w:themeTint="99"/>
            </w:tcBorders>
          </w:tcPr>
          <w:p w:rsidR="006D135C" w:rsidRPr="001C5EA7" w:rsidRDefault="006D135C" w:rsidP="00A67C8A">
            <w:pPr>
              <w:tabs>
                <w:tab w:val="left" w:pos="417"/>
              </w:tabs>
              <w:spacing w:after="120"/>
              <w:ind w:left="420" w:hanging="4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sz w:val="22"/>
                <w:szCs w:val="22"/>
                <w:lang w:val="fr-CH"/>
              </w:rPr>
              <w:t>d)</w:t>
            </w:r>
            <w:r w:rsidRPr="001C5EA7">
              <w:rPr>
                <w:rFonts w:asciiTheme="minorHAnsi" w:hAnsiTheme="minorHAnsi" w:cstheme="majorBidi"/>
                <w:sz w:val="22"/>
                <w:szCs w:val="22"/>
                <w:lang w:val="fr-CH"/>
              </w:rPr>
              <w:tab/>
            </w:r>
            <w:r w:rsidR="00634B53" w:rsidRPr="001C5EA7">
              <w:rPr>
                <w:rFonts w:asciiTheme="minorHAnsi" w:hAnsiTheme="minorHAnsi" w:cstheme="majorBidi"/>
                <w:sz w:val="22"/>
                <w:szCs w:val="22"/>
                <w:lang w:val="fr-CH"/>
              </w:rPr>
              <w:t>La Junta manifestó su agradecimiento por la información</w:t>
            </w:r>
            <w:r w:rsidR="00FB5D8E" w:rsidRPr="001C5EA7">
              <w:rPr>
                <w:rFonts w:asciiTheme="minorHAnsi" w:hAnsiTheme="minorHAnsi" w:cstheme="majorBidi"/>
                <w:sz w:val="22"/>
                <w:szCs w:val="22"/>
                <w:lang w:val="fr-CH"/>
              </w:rPr>
              <w:t xml:space="preserve"> detallada proporcionada en el </w:t>
            </w:r>
            <w:r w:rsidR="00634B53" w:rsidRPr="001C5EA7">
              <w:rPr>
                <w:rFonts w:asciiTheme="minorHAnsi" w:hAnsiTheme="minorHAnsi" w:cstheme="majorBidi"/>
                <w:sz w:val="22"/>
                <w:szCs w:val="22"/>
                <w:lang w:val="fr-CH"/>
              </w:rPr>
              <w:t>§</w:t>
            </w:r>
            <w:r w:rsidR="0064218D" w:rsidRPr="001C5EA7">
              <w:rPr>
                <w:rFonts w:asciiTheme="minorHAnsi" w:hAnsiTheme="minorHAnsi" w:cstheme="majorBidi"/>
                <w:sz w:val="22"/>
                <w:szCs w:val="22"/>
                <w:lang w:val="fr-CH"/>
              </w:rPr>
              <w:t> </w:t>
            </w:r>
            <w:r w:rsidR="00634B53" w:rsidRPr="001C5EA7">
              <w:rPr>
                <w:rFonts w:asciiTheme="minorHAnsi" w:hAnsiTheme="minorHAnsi" w:cstheme="majorBidi"/>
                <w:sz w:val="22"/>
                <w:szCs w:val="22"/>
                <w:lang w:val="fr-CH"/>
              </w:rPr>
              <w:t>6 del Documento RR</w:t>
            </w:r>
            <w:r w:rsidR="0064218D" w:rsidRPr="001C5EA7">
              <w:rPr>
                <w:rFonts w:asciiTheme="minorHAnsi" w:hAnsiTheme="minorHAnsi" w:cstheme="majorBidi"/>
                <w:sz w:val="22"/>
                <w:szCs w:val="22"/>
                <w:lang w:val="fr-CH"/>
              </w:rPr>
              <w:t>B18-1/2 y en el Documento </w:t>
            </w:r>
            <w:r w:rsidR="00F74972" w:rsidRPr="001C5EA7">
              <w:rPr>
                <w:rFonts w:asciiTheme="minorHAnsi" w:hAnsiTheme="minorHAnsi" w:cstheme="majorBidi"/>
                <w:sz w:val="22"/>
                <w:szCs w:val="22"/>
                <w:lang w:val="fr-CH"/>
              </w:rPr>
              <w:t>RRB18</w:t>
            </w:r>
            <w:r w:rsidR="00F74972" w:rsidRPr="001C5EA7">
              <w:rPr>
                <w:rFonts w:asciiTheme="minorHAnsi" w:hAnsiTheme="minorHAnsi" w:cstheme="majorBidi"/>
                <w:sz w:val="22"/>
                <w:szCs w:val="22"/>
                <w:lang w:val="fr-CH"/>
              </w:rPr>
              <w:noBreakHyphen/>
            </w:r>
            <w:r w:rsidR="00634B53" w:rsidRPr="001C5EA7">
              <w:rPr>
                <w:rFonts w:asciiTheme="minorHAnsi" w:hAnsiTheme="minorHAnsi" w:cstheme="majorBidi"/>
                <w:sz w:val="22"/>
                <w:szCs w:val="22"/>
                <w:lang w:val="fr-CH"/>
              </w:rPr>
              <w:t>1/2(Add.4). La Junta encargó a la Oficina que distribuyera a las administraciones un proyecto de Regla de Procedimiento relativa al número </w:t>
            </w:r>
            <w:r w:rsidR="00634B53" w:rsidRPr="001C5EA7">
              <w:rPr>
                <w:rFonts w:asciiTheme="minorHAnsi" w:hAnsiTheme="minorHAnsi" w:cstheme="majorBidi"/>
                <w:b/>
                <w:bCs/>
                <w:sz w:val="22"/>
                <w:szCs w:val="22"/>
                <w:lang w:val="fr-CH"/>
              </w:rPr>
              <w:t>4.4</w:t>
            </w:r>
            <w:r w:rsidR="00634B53" w:rsidRPr="001C5EA7">
              <w:rPr>
                <w:rFonts w:asciiTheme="minorHAnsi" w:hAnsiTheme="minorHAnsi" w:cstheme="majorBidi"/>
                <w:sz w:val="22"/>
                <w:szCs w:val="22"/>
                <w:lang w:val="fr-CH"/>
              </w:rPr>
              <w:t xml:space="preserve"> del RR para que formulen las observaciones que estimen conveniente, con miras a su aprobación en la 78ª reunión, y que adjuntara a dicho proyecto de Regla de Procedimiento una introducción histórica a la aplicación del número </w:t>
            </w:r>
            <w:r w:rsidR="00634B53" w:rsidRPr="001C5EA7">
              <w:rPr>
                <w:rFonts w:asciiTheme="minorHAnsi" w:hAnsiTheme="minorHAnsi" w:cstheme="majorBidi"/>
                <w:b/>
                <w:bCs/>
                <w:sz w:val="22"/>
                <w:szCs w:val="22"/>
                <w:lang w:val="fr-CH"/>
              </w:rPr>
              <w:t>4.4</w:t>
            </w:r>
            <w:r w:rsidR="00634B53" w:rsidRPr="001C5EA7">
              <w:rPr>
                <w:rFonts w:asciiTheme="minorHAnsi" w:hAnsiTheme="minorHAnsi" w:cstheme="majorBidi"/>
                <w:sz w:val="22"/>
                <w:szCs w:val="22"/>
                <w:lang w:val="fr-CH"/>
              </w:rPr>
              <w:t>, a título informativo.</w:t>
            </w:r>
          </w:p>
        </w:tc>
        <w:tc>
          <w:tcPr>
            <w:tcW w:w="2430" w:type="dxa"/>
            <w:tcBorders>
              <w:top w:val="nil"/>
              <w:bottom w:val="dashed" w:sz="4" w:space="0" w:color="95B3D7" w:themeColor="accent1" w:themeTint="99"/>
              <w:right w:val="single" w:sz="4" w:space="0" w:color="auto"/>
            </w:tcBorders>
          </w:tcPr>
          <w:p w:rsidR="006D135C" w:rsidRPr="001C5EA7" w:rsidRDefault="0095377A" w:rsidP="00DA2FA8">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 xml:space="preserve">La Oficina preparará y distribuirá a las administraciones un proyecto de Regla de Procedimiento relativa al número </w:t>
            </w:r>
            <w:r w:rsidRPr="001C5EA7">
              <w:rPr>
                <w:rFonts w:asciiTheme="minorHAnsi" w:hAnsiTheme="minorHAnsi" w:cstheme="majorBidi"/>
                <w:b/>
                <w:bCs/>
                <w:szCs w:val="22"/>
                <w:lang w:val="fr-CH"/>
              </w:rPr>
              <w:t>4.4</w:t>
            </w:r>
            <w:r w:rsidRPr="001C5EA7">
              <w:rPr>
                <w:rFonts w:asciiTheme="minorHAnsi" w:hAnsiTheme="minorHAnsi" w:cstheme="majorBidi"/>
                <w:szCs w:val="22"/>
                <w:lang w:val="fr-CH"/>
              </w:rPr>
              <w:t xml:space="preserve"> del RR, junto con una introducción histórica a la aplicación del número </w:t>
            </w:r>
            <w:r w:rsidRPr="001C5EA7">
              <w:rPr>
                <w:rFonts w:asciiTheme="minorHAnsi" w:hAnsiTheme="minorHAnsi" w:cstheme="majorBidi"/>
                <w:b/>
                <w:bCs/>
                <w:szCs w:val="22"/>
                <w:lang w:val="fr-CH"/>
              </w:rPr>
              <w:t>4.4</w:t>
            </w:r>
            <w:r w:rsidRPr="001C5EA7">
              <w:rPr>
                <w:rFonts w:asciiTheme="minorHAnsi" w:hAnsiTheme="minorHAnsi" w:cstheme="majorBidi"/>
                <w:szCs w:val="22"/>
                <w:lang w:val="fr-CH"/>
              </w:rPr>
              <w:t>.</w:t>
            </w:r>
          </w:p>
        </w:tc>
      </w:tr>
      <w:tr w:rsidR="006D135C" w:rsidRPr="001C5EA7" w:rsidTr="00C71757">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auto"/>
              <w:bottom w:val="single" w:sz="4" w:space="0" w:color="auto"/>
            </w:tcBorders>
          </w:tcPr>
          <w:p w:rsidR="006D135C" w:rsidRPr="001C5EA7" w:rsidRDefault="006D135C" w:rsidP="00634B53">
            <w:pPr>
              <w:pStyle w:val="Tabletext"/>
              <w:snapToGrid w:val="0"/>
              <w:spacing w:before="120" w:after="120"/>
              <w:jc w:val="center"/>
              <w:rPr>
                <w:rFonts w:asciiTheme="minorHAnsi" w:hAnsiTheme="minorHAnsi"/>
                <w:szCs w:val="22"/>
              </w:rPr>
            </w:pPr>
          </w:p>
        </w:tc>
        <w:tc>
          <w:tcPr>
            <w:tcW w:w="2977" w:type="dxa"/>
            <w:vMerge/>
            <w:shd w:val="clear" w:color="auto" w:fill="DBE5F1" w:themeFill="accent1" w:themeFillTint="33"/>
          </w:tcPr>
          <w:p w:rsidR="006D135C" w:rsidRPr="001C5EA7" w:rsidRDefault="006D135C" w:rsidP="00634B53">
            <w:pPr>
              <w:pStyle w:val="Tabletext"/>
              <w:snapToGrid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7776" w:type="dxa"/>
            <w:tcBorders>
              <w:top w:val="dashed" w:sz="4" w:space="0" w:color="95B3D7" w:themeColor="accent1" w:themeTint="99"/>
              <w:bottom w:val="dashed" w:sz="4" w:space="0" w:color="95B3D7" w:themeColor="accent1" w:themeTint="99"/>
            </w:tcBorders>
            <w:shd w:val="clear" w:color="auto" w:fill="DBE5F1" w:themeFill="accent1" w:themeFillTint="33"/>
          </w:tcPr>
          <w:p w:rsidR="006D135C" w:rsidRPr="001C5EA7" w:rsidRDefault="006D135C" w:rsidP="00462D18">
            <w:pPr>
              <w:tabs>
                <w:tab w:val="left" w:pos="417"/>
              </w:tabs>
              <w:spacing w:after="120"/>
              <w:ind w:left="420" w:hanging="4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C5EA7">
              <w:rPr>
                <w:rFonts w:asciiTheme="minorHAnsi" w:hAnsiTheme="minorHAnsi" w:cstheme="majorBidi"/>
                <w:sz w:val="22"/>
                <w:szCs w:val="22"/>
                <w:lang w:val="fr-CH"/>
              </w:rPr>
              <w:t>e)</w:t>
            </w:r>
            <w:r w:rsidRPr="001C5EA7">
              <w:rPr>
                <w:rFonts w:asciiTheme="minorHAnsi" w:hAnsiTheme="minorHAnsi" w:cstheme="majorBidi"/>
                <w:sz w:val="22"/>
                <w:szCs w:val="22"/>
                <w:lang w:val="fr-CH"/>
              </w:rPr>
              <w:tab/>
            </w:r>
            <w:r w:rsidR="0095377A" w:rsidRPr="001C5EA7">
              <w:rPr>
                <w:rFonts w:asciiTheme="minorHAnsi" w:hAnsiTheme="minorHAnsi" w:cstheme="majorBidi"/>
                <w:sz w:val="22"/>
                <w:szCs w:val="22"/>
                <w:lang w:val="fr-CH"/>
              </w:rPr>
              <w:t>La Junta observó las medidas propuestas por la Oficina en el §</w:t>
            </w:r>
            <w:r w:rsidR="00462D18" w:rsidRPr="001C5EA7">
              <w:rPr>
                <w:rFonts w:asciiTheme="minorHAnsi" w:hAnsiTheme="minorHAnsi" w:cstheme="majorBidi"/>
                <w:sz w:val="22"/>
                <w:szCs w:val="22"/>
                <w:lang w:val="fr-CH"/>
              </w:rPr>
              <w:t> 7 del Documento </w:t>
            </w:r>
            <w:r w:rsidR="0095377A" w:rsidRPr="001C5EA7">
              <w:rPr>
                <w:rFonts w:asciiTheme="minorHAnsi" w:hAnsiTheme="minorHAnsi" w:cstheme="majorBidi"/>
                <w:sz w:val="22"/>
                <w:szCs w:val="22"/>
                <w:lang w:val="fr-CH"/>
              </w:rPr>
              <w:t xml:space="preserve">RRB18-1/2 en aplicación de la Resolución </w:t>
            </w:r>
            <w:r w:rsidR="0095377A" w:rsidRPr="001C5EA7">
              <w:rPr>
                <w:rFonts w:asciiTheme="minorHAnsi" w:hAnsiTheme="minorHAnsi" w:cstheme="majorBidi"/>
                <w:b/>
                <w:bCs/>
                <w:sz w:val="22"/>
                <w:szCs w:val="22"/>
                <w:lang w:val="fr-CH"/>
              </w:rPr>
              <w:t>85 (CMR-03)</w:t>
            </w:r>
            <w:r w:rsidR="0095377A" w:rsidRPr="001C5EA7">
              <w:rPr>
                <w:rFonts w:asciiTheme="minorHAnsi" w:hAnsiTheme="minorHAnsi" w:cstheme="majorBidi"/>
                <w:sz w:val="22"/>
                <w:szCs w:val="22"/>
                <w:lang w:val="fr-CH"/>
              </w:rPr>
              <w:t xml:space="preserve"> y encargó a la Oficina que informara a la próxima reunión sobre los progresos logrados.</w:t>
            </w:r>
          </w:p>
        </w:tc>
        <w:tc>
          <w:tcPr>
            <w:tcW w:w="2430" w:type="dxa"/>
            <w:tcBorders>
              <w:top w:val="dashed" w:sz="4" w:space="0" w:color="95B3D7" w:themeColor="accent1" w:themeTint="99"/>
              <w:bottom w:val="dashed" w:sz="4" w:space="0" w:color="95B3D7" w:themeColor="accent1" w:themeTint="99"/>
              <w:right w:val="single" w:sz="4" w:space="0" w:color="auto"/>
            </w:tcBorders>
            <w:shd w:val="clear" w:color="auto" w:fill="DBE5F1" w:themeFill="accent1" w:themeFillTint="33"/>
          </w:tcPr>
          <w:p w:rsidR="006D135C" w:rsidRPr="001C5EA7" w:rsidRDefault="006D135C" w:rsidP="001F22C0">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La Oficina rendirá informe sobre los avances logrados.</w:t>
            </w:r>
          </w:p>
        </w:tc>
      </w:tr>
      <w:tr w:rsidR="006D135C" w:rsidRPr="001C5EA7" w:rsidTr="00C71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auto"/>
              <w:bottom w:val="single" w:sz="4" w:space="0" w:color="auto"/>
            </w:tcBorders>
          </w:tcPr>
          <w:p w:rsidR="006D135C" w:rsidRPr="001C5EA7" w:rsidRDefault="006D135C" w:rsidP="00634B53">
            <w:pPr>
              <w:pStyle w:val="Tabletext"/>
              <w:snapToGrid w:val="0"/>
              <w:spacing w:before="120" w:after="120"/>
              <w:jc w:val="center"/>
              <w:rPr>
                <w:rFonts w:asciiTheme="minorHAnsi" w:hAnsiTheme="minorHAnsi"/>
                <w:szCs w:val="22"/>
              </w:rPr>
            </w:pPr>
          </w:p>
        </w:tc>
        <w:tc>
          <w:tcPr>
            <w:tcW w:w="2977" w:type="dxa"/>
            <w:vMerge/>
          </w:tcPr>
          <w:p w:rsidR="006D135C" w:rsidRPr="001C5EA7" w:rsidRDefault="006D135C" w:rsidP="00634B53">
            <w:pPr>
              <w:pStyle w:val="Tabletext"/>
              <w:snapToGri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7776" w:type="dxa"/>
            <w:tcBorders>
              <w:top w:val="dashed" w:sz="4" w:space="0" w:color="95B3D7" w:themeColor="accent1" w:themeTint="99"/>
              <w:bottom w:val="dashed" w:sz="4" w:space="0" w:color="95B3D7" w:themeColor="accent1" w:themeTint="99"/>
            </w:tcBorders>
          </w:tcPr>
          <w:p w:rsidR="006D135C" w:rsidRPr="001C5EA7" w:rsidRDefault="006D135C" w:rsidP="00B949D9">
            <w:pPr>
              <w:tabs>
                <w:tab w:val="left" w:pos="417"/>
              </w:tabs>
              <w:spacing w:after="120"/>
              <w:ind w:left="420" w:hanging="4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 w:val="22"/>
                <w:szCs w:val="22"/>
                <w:lang w:val="fr-CH"/>
              </w:rPr>
            </w:pPr>
            <w:r w:rsidRPr="001C5EA7">
              <w:rPr>
                <w:rFonts w:asciiTheme="minorHAnsi" w:hAnsiTheme="minorHAnsi" w:cstheme="majorBidi"/>
                <w:sz w:val="22"/>
                <w:szCs w:val="22"/>
                <w:lang w:val="fr-CH"/>
              </w:rPr>
              <w:t>f)</w:t>
            </w:r>
            <w:r w:rsidRPr="001C5EA7">
              <w:rPr>
                <w:rFonts w:asciiTheme="minorHAnsi" w:hAnsiTheme="minorHAnsi" w:cstheme="majorBidi"/>
                <w:sz w:val="22"/>
                <w:szCs w:val="22"/>
                <w:lang w:val="fr-CH"/>
              </w:rPr>
              <w:tab/>
            </w:r>
            <w:r w:rsidR="0095377A" w:rsidRPr="001C5EA7">
              <w:rPr>
                <w:rFonts w:asciiTheme="minorHAnsi" w:hAnsiTheme="minorHAnsi" w:cstheme="majorBidi"/>
                <w:sz w:val="22"/>
                <w:szCs w:val="22"/>
                <w:lang w:val="fr-CH"/>
              </w:rPr>
              <w:t>La Junta tomó nota de las medidas adoptadas por la Oficina en §</w:t>
            </w:r>
            <w:r w:rsidR="008901BE" w:rsidRPr="001C5EA7">
              <w:rPr>
                <w:rFonts w:asciiTheme="minorHAnsi" w:hAnsiTheme="minorHAnsi" w:cstheme="majorBidi"/>
                <w:sz w:val="22"/>
                <w:szCs w:val="22"/>
                <w:lang w:val="fr-CH"/>
              </w:rPr>
              <w:t> </w:t>
            </w:r>
            <w:r w:rsidR="0095377A" w:rsidRPr="001C5EA7">
              <w:rPr>
                <w:rFonts w:asciiTheme="minorHAnsi" w:hAnsiTheme="minorHAnsi" w:cstheme="majorBidi"/>
                <w:sz w:val="22"/>
                <w:szCs w:val="22"/>
                <w:lang w:val="fr-CH"/>
              </w:rPr>
              <w:t xml:space="preserve">8.1 y los asuntos planteados en el § 8.2 del Documento RRB18-1/2 en lo relativo a la ampliación del plazo reglamentario para la puesta en servicio de las asignaciones de frecuencias a redes de satélites. La Junta insistió en que la información de notificación estipulada en el número </w:t>
            </w:r>
            <w:r w:rsidR="0095377A" w:rsidRPr="001C5EA7">
              <w:rPr>
                <w:rFonts w:asciiTheme="minorHAnsi" w:hAnsiTheme="minorHAnsi" w:cstheme="majorBidi"/>
                <w:b/>
                <w:bCs/>
                <w:sz w:val="22"/>
                <w:szCs w:val="22"/>
                <w:lang w:val="fr-CH"/>
              </w:rPr>
              <w:t>11.5</w:t>
            </w:r>
            <w:r w:rsidR="0095377A" w:rsidRPr="001C5EA7">
              <w:rPr>
                <w:rFonts w:asciiTheme="minorHAnsi" w:hAnsiTheme="minorHAnsi" w:cstheme="majorBidi"/>
                <w:sz w:val="22"/>
                <w:szCs w:val="22"/>
                <w:lang w:val="fr-CH"/>
              </w:rPr>
              <w:t xml:space="preserve"> del RR y los datos de debida diligencia indicados en la Resolución </w:t>
            </w:r>
            <w:r w:rsidR="008901BE" w:rsidRPr="001C5EA7">
              <w:rPr>
                <w:rFonts w:asciiTheme="minorHAnsi" w:hAnsiTheme="minorHAnsi" w:cstheme="majorBidi"/>
                <w:b/>
                <w:bCs/>
                <w:sz w:val="22"/>
                <w:szCs w:val="22"/>
                <w:lang w:val="fr-CH"/>
              </w:rPr>
              <w:t>49 (Rev. </w:t>
            </w:r>
            <w:r w:rsidR="0095377A" w:rsidRPr="001C5EA7">
              <w:rPr>
                <w:rFonts w:asciiTheme="minorHAnsi" w:hAnsiTheme="minorHAnsi" w:cstheme="majorBidi"/>
                <w:b/>
                <w:bCs/>
                <w:sz w:val="22"/>
                <w:szCs w:val="22"/>
                <w:lang w:val="fr-CH"/>
              </w:rPr>
              <w:t>CMR-15)</w:t>
            </w:r>
            <w:r w:rsidR="0095377A" w:rsidRPr="001C5EA7">
              <w:rPr>
                <w:rFonts w:asciiTheme="minorHAnsi" w:hAnsiTheme="minorHAnsi" w:cstheme="majorBidi"/>
                <w:sz w:val="22"/>
                <w:szCs w:val="22"/>
                <w:lang w:val="fr-CH"/>
              </w:rPr>
              <w:t xml:space="preserve"> deben comunicarse de conformidad con el Reglamento de Radiocomunicaciones. Ahora bien, la Junta estimó que cuando se concede una prórroga del plazo reglamentario para la puesta en servicio de asignaciones de frecuencias de una red de satélites, se plantea la cuestión de si debe o no ampliarse también el plazo para la presentación de la información de notificación y de la Resolución </w:t>
            </w:r>
            <w:r w:rsidR="008901BE" w:rsidRPr="001C5EA7">
              <w:rPr>
                <w:rFonts w:asciiTheme="minorHAnsi" w:hAnsiTheme="minorHAnsi" w:cstheme="majorBidi"/>
                <w:b/>
                <w:bCs/>
                <w:sz w:val="22"/>
                <w:szCs w:val="22"/>
                <w:lang w:val="fr-CH"/>
              </w:rPr>
              <w:t>49 (Rev. </w:t>
            </w:r>
            <w:r w:rsidR="0095377A" w:rsidRPr="001C5EA7">
              <w:rPr>
                <w:rFonts w:asciiTheme="minorHAnsi" w:hAnsiTheme="minorHAnsi" w:cstheme="majorBidi"/>
                <w:b/>
                <w:bCs/>
                <w:sz w:val="22"/>
                <w:szCs w:val="22"/>
                <w:lang w:val="fr-CH"/>
              </w:rPr>
              <w:t>CMR-15)</w:t>
            </w:r>
            <w:r w:rsidR="0095377A" w:rsidRPr="001C5EA7">
              <w:rPr>
                <w:rFonts w:asciiTheme="minorHAnsi" w:hAnsiTheme="minorHAnsi" w:cstheme="majorBidi"/>
                <w:sz w:val="22"/>
                <w:szCs w:val="22"/>
                <w:lang w:val="fr-CH"/>
              </w:rPr>
              <w:t>. La Junta encargó a la Oficina que preparara y distribuyera a las administraciones un proyecto de Regla de Procedimiento para su aprobación en la 78ª reunión.</w:t>
            </w:r>
          </w:p>
        </w:tc>
        <w:tc>
          <w:tcPr>
            <w:tcW w:w="2430" w:type="dxa"/>
            <w:tcBorders>
              <w:top w:val="dashed" w:sz="4" w:space="0" w:color="95B3D7" w:themeColor="accent1" w:themeTint="99"/>
              <w:bottom w:val="dashed" w:sz="4" w:space="0" w:color="95B3D7" w:themeColor="accent1" w:themeTint="99"/>
              <w:right w:val="single" w:sz="4" w:space="0" w:color="auto"/>
            </w:tcBorders>
          </w:tcPr>
          <w:p w:rsidR="006D135C" w:rsidRPr="001C5EA7" w:rsidRDefault="0095377A" w:rsidP="004509BF">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La Oficina preparará un proyecto de Regla de Procedimiento y lo distribuirá a las administraciones.</w:t>
            </w:r>
          </w:p>
        </w:tc>
      </w:tr>
      <w:tr w:rsidR="006D135C" w:rsidRPr="001C5EA7" w:rsidTr="00C71757">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auto"/>
              <w:bottom w:val="single" w:sz="4" w:space="0" w:color="auto"/>
            </w:tcBorders>
          </w:tcPr>
          <w:p w:rsidR="006D135C" w:rsidRPr="001C5EA7" w:rsidRDefault="006D135C" w:rsidP="00634B53">
            <w:pPr>
              <w:pStyle w:val="Tabletext"/>
              <w:snapToGrid w:val="0"/>
              <w:spacing w:before="120" w:after="120"/>
              <w:jc w:val="center"/>
              <w:rPr>
                <w:rFonts w:asciiTheme="minorHAnsi" w:hAnsiTheme="minorHAnsi"/>
                <w:szCs w:val="22"/>
              </w:rPr>
            </w:pPr>
          </w:p>
        </w:tc>
        <w:tc>
          <w:tcPr>
            <w:tcW w:w="2977" w:type="dxa"/>
            <w:vMerge/>
            <w:shd w:val="clear" w:color="auto" w:fill="DBE5F1" w:themeFill="accent1" w:themeFillTint="33"/>
          </w:tcPr>
          <w:p w:rsidR="006D135C" w:rsidRPr="001C5EA7" w:rsidRDefault="006D135C" w:rsidP="00634B53">
            <w:pPr>
              <w:pStyle w:val="Tabletext"/>
              <w:snapToGrid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7776" w:type="dxa"/>
            <w:tcBorders>
              <w:top w:val="dashed" w:sz="4" w:space="0" w:color="95B3D7" w:themeColor="accent1" w:themeTint="99"/>
              <w:bottom w:val="dashed" w:sz="4" w:space="0" w:color="95B3D7" w:themeColor="accent1" w:themeTint="99"/>
            </w:tcBorders>
            <w:shd w:val="clear" w:color="auto" w:fill="DBE5F1" w:themeFill="accent1" w:themeFillTint="33"/>
          </w:tcPr>
          <w:p w:rsidR="006D135C" w:rsidRPr="001C5EA7" w:rsidRDefault="006D135C" w:rsidP="002A0405">
            <w:pPr>
              <w:tabs>
                <w:tab w:val="left" w:pos="417"/>
              </w:tabs>
              <w:spacing w:after="120"/>
              <w:ind w:left="420" w:hanging="4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C5EA7">
              <w:rPr>
                <w:rFonts w:asciiTheme="minorHAnsi" w:hAnsiTheme="minorHAnsi" w:cstheme="majorBidi"/>
                <w:sz w:val="22"/>
                <w:szCs w:val="22"/>
                <w:lang w:val="fr-CH"/>
              </w:rPr>
              <w:t>g)</w:t>
            </w:r>
            <w:r w:rsidRPr="001C5EA7">
              <w:rPr>
                <w:rFonts w:asciiTheme="minorHAnsi" w:hAnsiTheme="minorHAnsi" w:cstheme="majorBidi"/>
                <w:sz w:val="22"/>
                <w:szCs w:val="22"/>
                <w:lang w:val="fr-CH"/>
              </w:rPr>
              <w:tab/>
            </w:r>
            <w:r w:rsidR="0095377A" w:rsidRPr="001C5EA7">
              <w:rPr>
                <w:rFonts w:asciiTheme="minorHAnsi" w:hAnsiTheme="minorHAnsi" w:cstheme="majorBidi"/>
                <w:sz w:val="22"/>
                <w:szCs w:val="22"/>
                <w:lang w:val="fr-CH"/>
              </w:rPr>
              <w:t xml:space="preserve">La Junta examinó el § 9 del Documento RRB18-1/2 e instó a la Oficina a aplicar las medidas propuestas destinadas a enviar recordatorios a las administraciones para que suministren la información pertinente en aplicación del número </w:t>
            </w:r>
            <w:r w:rsidR="0095377A" w:rsidRPr="001C5EA7">
              <w:rPr>
                <w:rFonts w:asciiTheme="minorHAnsi" w:hAnsiTheme="minorHAnsi" w:cstheme="majorBidi"/>
                <w:b/>
                <w:bCs/>
                <w:sz w:val="22"/>
                <w:szCs w:val="22"/>
                <w:lang w:val="fr-CH"/>
              </w:rPr>
              <w:t xml:space="preserve">11.46 </w:t>
            </w:r>
            <w:r w:rsidR="0095377A" w:rsidRPr="001C5EA7">
              <w:rPr>
                <w:rFonts w:asciiTheme="minorHAnsi" w:hAnsiTheme="minorHAnsi" w:cstheme="majorBidi"/>
                <w:sz w:val="22"/>
                <w:szCs w:val="22"/>
                <w:lang w:val="fr-CH"/>
              </w:rPr>
              <w:t>del RR.</w:t>
            </w:r>
          </w:p>
        </w:tc>
        <w:tc>
          <w:tcPr>
            <w:tcW w:w="2430" w:type="dxa"/>
            <w:tcBorders>
              <w:top w:val="dashed" w:sz="4" w:space="0" w:color="95B3D7" w:themeColor="accent1" w:themeTint="99"/>
              <w:bottom w:val="dashed" w:sz="4" w:space="0" w:color="95B3D7" w:themeColor="accent1" w:themeTint="99"/>
              <w:right w:val="single" w:sz="4" w:space="0" w:color="auto"/>
            </w:tcBorders>
            <w:shd w:val="clear" w:color="auto" w:fill="DBE5F1" w:themeFill="accent1" w:themeFillTint="33"/>
          </w:tcPr>
          <w:p w:rsidR="006D135C" w:rsidRPr="001C5EA7" w:rsidRDefault="002A0405" w:rsidP="00701267">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r>
      <w:tr w:rsidR="006D135C" w:rsidRPr="001C5EA7" w:rsidTr="00C71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auto"/>
              <w:bottom w:val="single" w:sz="4" w:space="0" w:color="auto"/>
            </w:tcBorders>
          </w:tcPr>
          <w:p w:rsidR="006D135C" w:rsidRPr="001C5EA7" w:rsidRDefault="006D135C" w:rsidP="00634B53">
            <w:pPr>
              <w:pStyle w:val="Tabletext"/>
              <w:snapToGrid w:val="0"/>
              <w:spacing w:before="120" w:after="120"/>
              <w:jc w:val="center"/>
              <w:rPr>
                <w:rFonts w:asciiTheme="minorHAnsi" w:hAnsiTheme="minorHAnsi"/>
                <w:szCs w:val="22"/>
              </w:rPr>
            </w:pPr>
          </w:p>
        </w:tc>
        <w:tc>
          <w:tcPr>
            <w:tcW w:w="2977" w:type="dxa"/>
            <w:vMerge/>
          </w:tcPr>
          <w:p w:rsidR="006D135C" w:rsidRPr="001C5EA7" w:rsidRDefault="006D135C" w:rsidP="00634B53">
            <w:pPr>
              <w:pStyle w:val="Tabletext"/>
              <w:snapToGri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7776" w:type="dxa"/>
            <w:tcBorders>
              <w:top w:val="dashed" w:sz="4" w:space="0" w:color="95B3D7" w:themeColor="accent1" w:themeTint="99"/>
              <w:bottom w:val="dashed" w:sz="4" w:space="0" w:color="95B3D7" w:themeColor="accent1" w:themeTint="99"/>
              <w:right w:val="nil"/>
            </w:tcBorders>
          </w:tcPr>
          <w:p w:rsidR="006D135C" w:rsidRPr="001C5EA7" w:rsidRDefault="006D135C" w:rsidP="002A0405">
            <w:pPr>
              <w:tabs>
                <w:tab w:val="left" w:pos="417"/>
              </w:tabs>
              <w:spacing w:after="120"/>
              <w:ind w:left="420" w:hanging="4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sz w:val="22"/>
                <w:szCs w:val="22"/>
                <w:lang w:val="fr-CH"/>
              </w:rPr>
              <w:t>h)</w:t>
            </w:r>
            <w:r w:rsidRPr="001C5EA7">
              <w:rPr>
                <w:rFonts w:asciiTheme="minorHAnsi" w:hAnsiTheme="minorHAnsi" w:cstheme="majorBidi"/>
                <w:sz w:val="22"/>
                <w:szCs w:val="22"/>
                <w:lang w:val="fr-CH"/>
              </w:rPr>
              <w:tab/>
            </w:r>
            <w:r w:rsidR="0095377A" w:rsidRPr="001C5EA7">
              <w:rPr>
                <w:rFonts w:asciiTheme="minorHAnsi" w:hAnsiTheme="minorHAnsi" w:cstheme="majorBidi"/>
                <w:sz w:val="22"/>
                <w:szCs w:val="22"/>
                <w:lang w:val="fr-CH"/>
              </w:rPr>
              <w:t xml:space="preserve">Al examinar la propuesta de modificación del </w:t>
            </w:r>
            <w:r w:rsidR="002B3837" w:rsidRPr="001C5EA7">
              <w:rPr>
                <w:rFonts w:asciiTheme="minorHAnsi" w:hAnsiTheme="minorHAnsi" w:cstheme="majorBidi"/>
                <w:sz w:val="22"/>
                <w:szCs w:val="22"/>
                <w:lang w:val="fr-CH"/>
              </w:rPr>
              <w:t>número</w:t>
            </w:r>
            <w:r w:rsidR="0095377A" w:rsidRPr="001C5EA7">
              <w:rPr>
                <w:rFonts w:asciiTheme="minorHAnsi" w:hAnsiTheme="minorHAnsi" w:cstheme="majorBidi"/>
                <w:sz w:val="22"/>
                <w:szCs w:val="22"/>
                <w:lang w:val="fr-CH"/>
              </w:rPr>
              <w:t xml:space="preserve"> </w:t>
            </w:r>
            <w:r w:rsidR="0095377A" w:rsidRPr="001C5EA7">
              <w:rPr>
                <w:rFonts w:asciiTheme="minorHAnsi" w:hAnsiTheme="minorHAnsi" w:cstheme="majorBidi"/>
                <w:b/>
                <w:bCs/>
                <w:sz w:val="22"/>
                <w:szCs w:val="22"/>
                <w:lang w:val="fr-CH"/>
              </w:rPr>
              <w:t>4.6</w:t>
            </w:r>
            <w:r w:rsidR="0095377A" w:rsidRPr="001C5EA7">
              <w:rPr>
                <w:rFonts w:asciiTheme="minorHAnsi" w:hAnsiTheme="minorHAnsi" w:cstheme="majorBidi"/>
                <w:sz w:val="22"/>
                <w:szCs w:val="22"/>
                <w:lang w:val="fr-CH"/>
              </w:rPr>
              <w:t xml:space="preserve"> del RR contenida en el Documento RRB18-1/2(Add.1)(Rev.1), la Junta llegó a la conclusión de que dicha modificación del Reglamento no es de su competencia. La Junta encargó al Director que incluyera este asunto en el Informe a la CMR-19.</w:t>
            </w:r>
          </w:p>
        </w:tc>
        <w:tc>
          <w:tcPr>
            <w:tcW w:w="2430" w:type="dxa"/>
            <w:tcBorders>
              <w:top w:val="dashed" w:sz="4" w:space="0" w:color="95B3D7" w:themeColor="accent1" w:themeTint="99"/>
              <w:left w:val="nil"/>
              <w:bottom w:val="dashed" w:sz="4" w:space="0" w:color="95B3D7" w:themeColor="accent1" w:themeTint="99"/>
              <w:right w:val="single" w:sz="4" w:space="0" w:color="auto"/>
            </w:tcBorders>
          </w:tcPr>
          <w:p w:rsidR="006D135C" w:rsidRPr="001C5EA7" w:rsidRDefault="0095377A" w:rsidP="00701267">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 xml:space="preserve">El Director incluirá la propuesta de modificación del </w:t>
            </w:r>
            <w:r w:rsidR="002B3837" w:rsidRPr="001C5EA7">
              <w:rPr>
                <w:rFonts w:asciiTheme="minorHAnsi" w:hAnsiTheme="minorHAnsi" w:cstheme="majorBidi"/>
                <w:szCs w:val="22"/>
                <w:lang w:val="fr-CH"/>
              </w:rPr>
              <w:t>número</w:t>
            </w:r>
            <w:r w:rsidR="00701267" w:rsidRPr="001C5EA7">
              <w:rPr>
                <w:rFonts w:asciiTheme="minorHAnsi" w:hAnsiTheme="minorHAnsi" w:cstheme="majorBidi"/>
                <w:szCs w:val="22"/>
                <w:lang w:val="fr-CH"/>
              </w:rPr>
              <w:t> </w:t>
            </w:r>
            <w:r w:rsidRPr="001C5EA7">
              <w:rPr>
                <w:rFonts w:asciiTheme="minorHAnsi" w:hAnsiTheme="minorHAnsi" w:cstheme="majorBidi"/>
                <w:b/>
                <w:bCs/>
                <w:szCs w:val="22"/>
                <w:lang w:val="fr-CH"/>
              </w:rPr>
              <w:t xml:space="preserve">4.6 </w:t>
            </w:r>
            <w:r w:rsidRPr="001C5EA7">
              <w:rPr>
                <w:rFonts w:asciiTheme="minorHAnsi" w:hAnsiTheme="minorHAnsi" w:cstheme="majorBidi"/>
                <w:szCs w:val="22"/>
                <w:lang w:val="fr-CH"/>
              </w:rPr>
              <w:t>del RR en el Informe a la CMR-19.</w:t>
            </w:r>
          </w:p>
        </w:tc>
      </w:tr>
      <w:tr w:rsidR="006D135C" w:rsidRPr="001C5EA7" w:rsidTr="00C71757">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auto"/>
              <w:bottom w:val="single" w:sz="4" w:space="0" w:color="auto"/>
            </w:tcBorders>
          </w:tcPr>
          <w:p w:rsidR="006D135C" w:rsidRPr="001C5EA7" w:rsidRDefault="006D135C" w:rsidP="00634B53">
            <w:pPr>
              <w:pStyle w:val="Tabletext"/>
              <w:snapToGrid w:val="0"/>
              <w:spacing w:before="120" w:after="120"/>
              <w:jc w:val="center"/>
              <w:rPr>
                <w:rFonts w:asciiTheme="minorHAnsi" w:hAnsiTheme="minorHAnsi"/>
                <w:szCs w:val="22"/>
              </w:rPr>
            </w:pPr>
          </w:p>
        </w:tc>
        <w:tc>
          <w:tcPr>
            <w:tcW w:w="2977" w:type="dxa"/>
            <w:vMerge/>
            <w:shd w:val="clear" w:color="auto" w:fill="DBE5F1" w:themeFill="accent1" w:themeFillTint="33"/>
          </w:tcPr>
          <w:p w:rsidR="006D135C" w:rsidRPr="001C5EA7" w:rsidRDefault="006D135C" w:rsidP="00634B53">
            <w:pPr>
              <w:pStyle w:val="Tabletext"/>
              <w:snapToGrid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7776" w:type="dxa"/>
            <w:tcBorders>
              <w:top w:val="dashed" w:sz="4" w:space="0" w:color="95B3D7" w:themeColor="accent1" w:themeTint="99"/>
              <w:bottom w:val="nil"/>
            </w:tcBorders>
            <w:shd w:val="clear" w:color="auto" w:fill="DBE5F1" w:themeFill="accent1" w:themeFillTint="33"/>
          </w:tcPr>
          <w:p w:rsidR="006D135C" w:rsidRPr="001C5EA7" w:rsidRDefault="006D135C" w:rsidP="002A0405">
            <w:pPr>
              <w:tabs>
                <w:tab w:val="left" w:pos="417"/>
              </w:tabs>
              <w:spacing w:after="120"/>
              <w:ind w:left="420" w:hanging="4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C5EA7">
              <w:rPr>
                <w:rFonts w:asciiTheme="minorHAnsi" w:hAnsiTheme="minorHAnsi" w:cstheme="majorBidi"/>
                <w:sz w:val="22"/>
                <w:szCs w:val="22"/>
                <w:lang w:val="fr-CH"/>
              </w:rPr>
              <w:t>i)</w:t>
            </w:r>
            <w:r w:rsidRPr="001C5EA7">
              <w:rPr>
                <w:rFonts w:asciiTheme="minorHAnsi" w:hAnsiTheme="minorHAnsi" w:cstheme="majorBidi"/>
                <w:sz w:val="22"/>
                <w:szCs w:val="22"/>
                <w:lang w:val="fr-CH"/>
              </w:rPr>
              <w:tab/>
            </w:r>
            <w:r w:rsidR="0095377A" w:rsidRPr="001C5EA7">
              <w:rPr>
                <w:rFonts w:asciiTheme="minorHAnsi" w:hAnsiTheme="minorHAnsi" w:cstheme="majorBidi"/>
                <w:sz w:val="22"/>
                <w:szCs w:val="22"/>
                <w:lang w:val="fr-CH"/>
              </w:rPr>
              <w:t>En relación con la Resolución 119 (Rev. Antalya, 2006), contenida en el Documento RRB18-1/2(Add.3), la Junta llegó a la conclusión de que esta Resolución no exige a la Oficina que informe a la PP-18 sobre las actividades de la Junta.</w:t>
            </w:r>
          </w:p>
        </w:tc>
        <w:tc>
          <w:tcPr>
            <w:tcW w:w="2430" w:type="dxa"/>
            <w:tcBorders>
              <w:top w:val="dashed" w:sz="4" w:space="0" w:color="95B3D7" w:themeColor="accent1" w:themeTint="99"/>
              <w:bottom w:val="nil"/>
              <w:right w:val="single" w:sz="4" w:space="0" w:color="auto"/>
            </w:tcBorders>
            <w:shd w:val="clear" w:color="auto" w:fill="DBE5F1" w:themeFill="accent1" w:themeFillTint="33"/>
          </w:tcPr>
          <w:p w:rsidR="006D135C" w:rsidRPr="001C5EA7" w:rsidRDefault="002A0405" w:rsidP="00701267">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r>
      <w:tr w:rsidR="006D135C" w:rsidRPr="001C5EA7" w:rsidTr="00C71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auto"/>
              <w:bottom w:val="single" w:sz="4" w:space="0" w:color="auto"/>
            </w:tcBorders>
          </w:tcPr>
          <w:p w:rsidR="006D135C" w:rsidRPr="001C5EA7" w:rsidRDefault="006D135C" w:rsidP="00634B53">
            <w:pPr>
              <w:pStyle w:val="Tabletext"/>
              <w:snapToGrid w:val="0"/>
              <w:spacing w:before="120" w:after="120"/>
              <w:jc w:val="center"/>
              <w:rPr>
                <w:rFonts w:asciiTheme="minorHAnsi" w:hAnsiTheme="minorHAnsi"/>
                <w:szCs w:val="22"/>
              </w:rPr>
            </w:pPr>
          </w:p>
        </w:tc>
        <w:tc>
          <w:tcPr>
            <w:tcW w:w="2977" w:type="dxa"/>
            <w:vMerge/>
            <w:tcBorders>
              <w:bottom w:val="single" w:sz="4" w:space="0" w:color="auto"/>
            </w:tcBorders>
          </w:tcPr>
          <w:p w:rsidR="006D135C" w:rsidRPr="001C5EA7" w:rsidRDefault="006D135C" w:rsidP="00634B53">
            <w:pPr>
              <w:pStyle w:val="Tabletext"/>
              <w:snapToGri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7776" w:type="dxa"/>
            <w:tcBorders>
              <w:top w:val="dashed" w:sz="4" w:space="0" w:color="95B3D7" w:themeColor="accent1" w:themeTint="99"/>
              <w:bottom w:val="single" w:sz="4" w:space="0" w:color="auto"/>
            </w:tcBorders>
          </w:tcPr>
          <w:p w:rsidR="006D135C" w:rsidRPr="001C5EA7" w:rsidRDefault="006D135C" w:rsidP="002A0405">
            <w:pPr>
              <w:tabs>
                <w:tab w:val="left" w:pos="417"/>
              </w:tabs>
              <w:spacing w:after="120"/>
              <w:ind w:left="420" w:hanging="4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sz w:val="22"/>
                <w:szCs w:val="22"/>
                <w:lang w:val="fr-CH"/>
              </w:rPr>
              <w:t>j)</w:t>
            </w:r>
            <w:r w:rsidRPr="001C5EA7">
              <w:rPr>
                <w:rFonts w:asciiTheme="minorHAnsi" w:hAnsiTheme="minorHAnsi" w:cstheme="majorBidi"/>
                <w:sz w:val="22"/>
                <w:szCs w:val="22"/>
                <w:lang w:val="fr-CH"/>
              </w:rPr>
              <w:tab/>
            </w:r>
            <w:r w:rsidR="0095377A" w:rsidRPr="001C5EA7">
              <w:rPr>
                <w:rFonts w:asciiTheme="minorHAnsi" w:hAnsiTheme="minorHAnsi" w:cstheme="majorBidi"/>
                <w:sz w:val="22"/>
                <w:szCs w:val="22"/>
                <w:lang w:val="fr-CH"/>
              </w:rPr>
              <w:t xml:space="preserve">La Junta tomó nota con satisfacción de la detallada información proporcionada en el Documento RRB18-1/2(Add.5), que ayudará a los miembros de la Junta y a las administraciones en sus preparativos para la CMR-19. En relación con la propuesta de enmienda a la Resolución </w:t>
            </w:r>
            <w:r w:rsidR="0095377A" w:rsidRPr="001C5EA7">
              <w:rPr>
                <w:rFonts w:asciiTheme="minorHAnsi" w:hAnsiTheme="minorHAnsi" w:cstheme="majorBidi"/>
                <w:b/>
                <w:bCs/>
                <w:sz w:val="22"/>
                <w:szCs w:val="22"/>
                <w:lang w:val="fr-CH"/>
              </w:rPr>
              <w:t>49 (Rev. CMR-15)</w:t>
            </w:r>
            <w:r w:rsidR="0095377A" w:rsidRPr="001C5EA7">
              <w:rPr>
                <w:rFonts w:asciiTheme="minorHAnsi" w:hAnsiTheme="minorHAnsi" w:cstheme="majorBidi"/>
                <w:sz w:val="22"/>
                <w:szCs w:val="22"/>
                <w:lang w:val="fr-CH"/>
              </w:rPr>
              <w:t xml:space="preserve">, la Junta encargó a la Oficina que tuviera en cuenta la correspondiente Regla de Procedimiento relativa a la Resolución </w:t>
            </w:r>
            <w:r w:rsidR="0095377A" w:rsidRPr="001C5EA7">
              <w:rPr>
                <w:rFonts w:asciiTheme="minorHAnsi" w:hAnsiTheme="minorHAnsi" w:cstheme="majorBidi"/>
                <w:b/>
                <w:bCs/>
                <w:sz w:val="22"/>
                <w:szCs w:val="22"/>
                <w:lang w:val="fr-CH"/>
              </w:rPr>
              <w:t>49 (Rev. CMR-15)</w:t>
            </w:r>
            <w:r w:rsidR="0095377A" w:rsidRPr="001C5EA7">
              <w:rPr>
                <w:rFonts w:asciiTheme="minorHAnsi" w:hAnsiTheme="minorHAnsi" w:cstheme="majorBidi"/>
                <w:sz w:val="22"/>
                <w:szCs w:val="22"/>
                <w:lang w:val="fr-CH"/>
              </w:rPr>
              <w:t xml:space="preserve"> en la propuesta de revisión de este documento que se transmitirá a la CMR-19.</w:t>
            </w:r>
          </w:p>
        </w:tc>
        <w:tc>
          <w:tcPr>
            <w:tcW w:w="2430" w:type="dxa"/>
            <w:tcBorders>
              <w:top w:val="dashed" w:sz="4" w:space="0" w:color="95B3D7" w:themeColor="accent1" w:themeTint="99"/>
              <w:bottom w:val="single" w:sz="4" w:space="0" w:color="auto"/>
              <w:right w:val="single" w:sz="4" w:space="0" w:color="auto"/>
            </w:tcBorders>
          </w:tcPr>
          <w:p w:rsidR="006D135C" w:rsidRPr="001C5EA7" w:rsidRDefault="002A0405" w:rsidP="00701267">
            <w:pPr>
              <w:pStyle w:val="Tabletex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r>
      <w:tr w:rsidR="006D135C" w:rsidRPr="001C5EA7" w:rsidTr="00C71757">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nil"/>
            </w:tcBorders>
          </w:tcPr>
          <w:p w:rsidR="006D135C" w:rsidRPr="001C5EA7" w:rsidRDefault="006D135C" w:rsidP="00887A89">
            <w:pPr>
              <w:pStyle w:val="Tabletext"/>
              <w:keepNext/>
              <w:keepLines/>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t>4</w:t>
            </w:r>
          </w:p>
        </w:tc>
        <w:tc>
          <w:tcPr>
            <w:tcW w:w="2977" w:type="dxa"/>
            <w:tcBorders>
              <w:top w:val="single" w:sz="4" w:space="0" w:color="auto"/>
              <w:bottom w:val="nil"/>
            </w:tcBorders>
          </w:tcPr>
          <w:p w:rsidR="006D135C" w:rsidRPr="001C5EA7" w:rsidRDefault="006D135C" w:rsidP="00887A89">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Cs/>
                <w:szCs w:val="22"/>
                <w:lang w:val="fr-FR"/>
              </w:rPr>
            </w:pPr>
            <w:r w:rsidRPr="001C5EA7">
              <w:rPr>
                <w:rFonts w:asciiTheme="minorHAnsi" w:hAnsiTheme="minorHAnsi" w:cstheme="majorBidi"/>
                <w:bCs/>
                <w:szCs w:val="22"/>
                <w:lang w:val="fr-FR"/>
              </w:rPr>
              <w:t>Reglas de Procedimiento</w:t>
            </w:r>
          </w:p>
        </w:tc>
        <w:tc>
          <w:tcPr>
            <w:tcW w:w="7776" w:type="dxa"/>
            <w:tcBorders>
              <w:top w:val="single" w:sz="4" w:space="0" w:color="auto"/>
              <w:bottom w:val="nil"/>
            </w:tcBorders>
          </w:tcPr>
          <w:p w:rsidR="006D135C" w:rsidRPr="001C5EA7" w:rsidRDefault="004625D0" w:rsidP="00887A89">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c>
          <w:tcPr>
            <w:tcW w:w="2430" w:type="dxa"/>
            <w:tcBorders>
              <w:top w:val="single" w:sz="4" w:space="0" w:color="auto"/>
              <w:bottom w:val="nil"/>
              <w:right w:val="single" w:sz="4" w:space="0" w:color="auto"/>
            </w:tcBorders>
          </w:tcPr>
          <w:p w:rsidR="006D135C" w:rsidRPr="001C5EA7" w:rsidRDefault="004625D0" w:rsidP="00887A89">
            <w:pPr>
              <w:pStyle w:val="Tabletext"/>
              <w:keepNext/>
              <w:keepLine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r>
      <w:tr w:rsidR="007107D5" w:rsidRPr="001C5EA7" w:rsidTr="007107D5">
        <w:trPr>
          <w:cnfStyle w:val="000000100000" w:firstRow="0" w:lastRow="0" w:firstColumn="0" w:lastColumn="0" w:oddVBand="0" w:evenVBand="0" w:oddHBand="1" w:evenHBand="0" w:firstRowFirstColumn="0" w:firstRowLastColumn="0" w:lastRowFirstColumn="0" w:lastRowLastColumn="0"/>
          <w:trHeight w:val="3154"/>
        </w:trPr>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auto"/>
              <w:bottom w:val="single" w:sz="4" w:space="0" w:color="95B3D7" w:themeColor="accent1" w:themeTint="99"/>
            </w:tcBorders>
          </w:tcPr>
          <w:p w:rsidR="006D135C" w:rsidRPr="001C5EA7" w:rsidRDefault="006D135C" w:rsidP="007107D5">
            <w:pPr>
              <w:pStyle w:val="Tabletext"/>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t>4.1</w:t>
            </w:r>
          </w:p>
        </w:tc>
        <w:tc>
          <w:tcPr>
            <w:tcW w:w="2977" w:type="dxa"/>
            <w:tcBorders>
              <w:top w:val="nil"/>
              <w:bottom w:val="single" w:sz="4" w:space="0" w:color="95B3D7" w:themeColor="accent1" w:themeTint="99"/>
            </w:tcBorders>
          </w:tcPr>
          <w:p w:rsidR="006D135C" w:rsidRPr="001C5EA7" w:rsidRDefault="006D135C" w:rsidP="007107D5">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bCs/>
                <w:szCs w:val="22"/>
                <w:lang w:val="fr-FR"/>
              </w:rPr>
            </w:pPr>
            <w:r w:rsidRPr="001C5EA7">
              <w:rPr>
                <w:rFonts w:asciiTheme="minorHAnsi" w:hAnsiTheme="minorHAnsi" w:cstheme="majorBidi"/>
                <w:bCs/>
                <w:szCs w:val="22"/>
                <w:lang w:val="fr-FR"/>
              </w:rPr>
              <w:t>Lista de Reglas de Procedimiento</w:t>
            </w:r>
            <w:r w:rsidRPr="001C5EA7">
              <w:rPr>
                <w:rFonts w:asciiTheme="minorHAnsi" w:hAnsiTheme="minorHAnsi" w:cstheme="majorBidi"/>
                <w:bCs/>
                <w:szCs w:val="22"/>
                <w:lang w:val="fr-FR"/>
              </w:rPr>
              <w:br/>
            </w:r>
            <w:hyperlink r:id="rId20" w:history="1">
              <w:r w:rsidR="00440790" w:rsidRPr="001C5EA7">
                <w:rPr>
                  <w:rFonts w:asciiTheme="minorHAnsi" w:hAnsiTheme="minorHAnsi"/>
                  <w:bCs/>
                  <w:lang w:val="fr-FR"/>
                </w:rPr>
                <w:t>(</w:t>
              </w:r>
              <w:r w:rsidR="00440790" w:rsidRPr="001C5EA7">
                <w:rPr>
                  <w:rStyle w:val="Hyperlink"/>
                  <w:rFonts w:asciiTheme="minorHAnsi" w:hAnsiTheme="minorHAnsi" w:cstheme="majorBidi"/>
                  <w:szCs w:val="22"/>
                  <w:lang w:val="fr-CH" w:eastAsia="zh-CN"/>
                </w:rPr>
                <w:t xml:space="preserve">RRB18-1/1; </w:t>
              </w:r>
            </w:hyperlink>
            <w:hyperlink r:id="rId21" w:history="1">
              <w:r w:rsidR="00440790" w:rsidRPr="001C5EA7">
                <w:rPr>
                  <w:rStyle w:val="Hyperlink"/>
                  <w:rFonts w:asciiTheme="minorHAnsi" w:hAnsiTheme="minorHAnsi" w:cstheme="majorBidi"/>
                  <w:szCs w:val="22"/>
                  <w:lang w:val="fr-CH" w:eastAsia="zh-CN"/>
                </w:rPr>
                <w:t>RRB16</w:t>
              </w:r>
              <w:r w:rsidR="00440790" w:rsidRPr="001C5EA7">
                <w:rPr>
                  <w:rStyle w:val="Hyperlink"/>
                  <w:rFonts w:asciiTheme="minorHAnsi" w:hAnsiTheme="minorHAnsi" w:cstheme="majorBidi"/>
                  <w:szCs w:val="22"/>
                  <w:lang w:val="fr-CH" w:eastAsia="zh-CN"/>
                </w:rPr>
                <w:noBreakHyphen/>
                <w:t>2/3(Rev.7)</w:t>
              </w:r>
              <w:r w:rsidR="00440790" w:rsidRPr="001C5EA7">
                <w:rPr>
                  <w:rFonts w:asciiTheme="minorHAnsi" w:hAnsiTheme="minorHAnsi"/>
                  <w:bCs/>
                  <w:lang w:val="fr-FR"/>
                </w:rPr>
                <w:t>)</w:t>
              </w:r>
            </w:hyperlink>
          </w:p>
        </w:tc>
        <w:tc>
          <w:tcPr>
            <w:tcW w:w="7776" w:type="dxa"/>
            <w:tcBorders>
              <w:top w:val="nil"/>
              <w:bottom w:val="single" w:sz="4" w:space="0" w:color="95B3D7" w:themeColor="accent1" w:themeTint="99"/>
            </w:tcBorders>
          </w:tcPr>
          <w:p w:rsidR="006D135C" w:rsidRPr="001C5EA7" w:rsidRDefault="0095377A" w:rsidP="00E13886">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Basándose en la información facilitada por la Oficina, la Junta decidió actualizar la lista de Reglas de Procedimiento propuestas contenida en el Documento RRB18-1/1 (RRB16</w:t>
            </w:r>
            <w:bookmarkStart w:id="8" w:name="_GoBack"/>
            <w:bookmarkEnd w:id="8"/>
            <w:r w:rsidRPr="001C5EA7">
              <w:rPr>
                <w:rFonts w:asciiTheme="minorHAnsi" w:hAnsiTheme="minorHAnsi" w:cstheme="majorBidi"/>
                <w:szCs w:val="22"/>
                <w:lang w:val="fr-CH"/>
              </w:rPr>
              <w:t>-2/3(Rev.7)).</w:t>
            </w:r>
          </w:p>
        </w:tc>
        <w:tc>
          <w:tcPr>
            <w:tcW w:w="2430" w:type="dxa"/>
            <w:tcBorders>
              <w:top w:val="nil"/>
              <w:bottom w:val="single" w:sz="4" w:space="0" w:color="95B3D7" w:themeColor="accent1" w:themeTint="99"/>
              <w:right w:val="single" w:sz="4" w:space="0" w:color="auto"/>
            </w:tcBorders>
          </w:tcPr>
          <w:p w:rsidR="006D135C" w:rsidRPr="001C5EA7" w:rsidRDefault="006D135C" w:rsidP="00B37C17">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El Secretario Ejecutivo publicará en el sitio web la lista actualizada de propuestas de Reglas de Procedimiento.</w:t>
            </w:r>
          </w:p>
          <w:p w:rsidR="006D135C" w:rsidRPr="001C5EA7" w:rsidRDefault="00A80FCF" w:rsidP="00B37C17">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La Oficina preparará las correspondientes Reglas de Procedimiento y las distribuirá a las administraciones.</w:t>
            </w:r>
          </w:p>
        </w:tc>
      </w:tr>
      <w:tr w:rsidR="007107D5" w:rsidRPr="001C5EA7" w:rsidTr="00C71757">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bottom w:val="single" w:sz="4" w:space="0" w:color="auto"/>
            </w:tcBorders>
            <w:shd w:val="clear" w:color="auto" w:fill="FFFFFF" w:themeFill="background1"/>
          </w:tcPr>
          <w:p w:rsidR="006D135C" w:rsidRPr="001C5EA7" w:rsidRDefault="006D135C" w:rsidP="004F69AF">
            <w:pPr>
              <w:pStyle w:val="Tabletext"/>
              <w:keepLines/>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t>5</w:t>
            </w:r>
          </w:p>
        </w:tc>
        <w:tc>
          <w:tcPr>
            <w:tcW w:w="2977" w:type="dxa"/>
            <w:tcBorders>
              <w:bottom w:val="single" w:sz="4" w:space="0" w:color="auto"/>
            </w:tcBorders>
            <w:shd w:val="clear" w:color="auto" w:fill="FFFFFF" w:themeFill="background1"/>
          </w:tcPr>
          <w:p w:rsidR="006D135C" w:rsidRPr="001C5EA7" w:rsidRDefault="006D135C" w:rsidP="004F69AF">
            <w:pPr>
              <w:pStyle w:val="Tablet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Cs/>
                <w:szCs w:val="22"/>
                <w:lang w:val="fr-FR"/>
              </w:rPr>
            </w:pPr>
            <w:r w:rsidRPr="001C5EA7">
              <w:rPr>
                <w:rFonts w:asciiTheme="minorHAnsi" w:hAnsiTheme="minorHAnsi" w:cstheme="majorBidi"/>
                <w:bCs/>
                <w:szCs w:val="22"/>
                <w:lang w:val="fr-FR"/>
              </w:rPr>
              <w:t>Solicitudes relativas a ampliaciones del plazo reglamentario y de la puesta en servicio de asignaciones de frecuencias de redes de satélites</w:t>
            </w:r>
          </w:p>
        </w:tc>
        <w:tc>
          <w:tcPr>
            <w:tcW w:w="7776" w:type="dxa"/>
            <w:tcBorders>
              <w:bottom w:val="single" w:sz="4" w:space="0" w:color="auto"/>
            </w:tcBorders>
            <w:shd w:val="clear" w:color="auto" w:fill="FFFFFF" w:themeFill="background1"/>
          </w:tcPr>
          <w:p w:rsidR="006D135C" w:rsidRPr="001C5EA7" w:rsidRDefault="006D135C" w:rsidP="004F69AF">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c>
          <w:tcPr>
            <w:tcW w:w="2430" w:type="dxa"/>
            <w:tcBorders>
              <w:bottom w:val="single" w:sz="4" w:space="0" w:color="auto"/>
              <w:right w:val="single" w:sz="4" w:space="0" w:color="auto"/>
            </w:tcBorders>
            <w:shd w:val="clear" w:color="auto" w:fill="FFFFFF" w:themeFill="background1"/>
          </w:tcPr>
          <w:p w:rsidR="006D135C" w:rsidRPr="001C5EA7" w:rsidRDefault="006D135C" w:rsidP="004F69AF">
            <w:pPr>
              <w:pStyle w:val="Tabletext"/>
              <w:keepNext/>
              <w:keepLines/>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r>
      <w:tr w:rsidR="006D135C" w:rsidRPr="001C5EA7" w:rsidTr="00C71757">
        <w:trPr>
          <w:cnfStyle w:val="000000100000" w:firstRow="0" w:lastRow="0" w:firstColumn="0" w:lastColumn="0" w:oddVBand="0" w:evenVBand="0" w:oddHBand="1" w:evenHBand="0" w:firstRowFirstColumn="0" w:firstRowLastColumn="0" w:lastRowFirstColumn="0" w:lastRowLastColumn="0"/>
          <w:trHeight w:val="5333"/>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rsidR="006D135C" w:rsidRPr="001C5EA7" w:rsidRDefault="006D135C" w:rsidP="004F69AF">
            <w:pPr>
              <w:pStyle w:val="Tabletext"/>
              <w:keepLines/>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t>5.1</w:t>
            </w:r>
          </w:p>
        </w:tc>
        <w:tc>
          <w:tcPr>
            <w:tcW w:w="2977" w:type="dxa"/>
            <w:tcBorders>
              <w:top w:val="single" w:sz="4" w:space="0" w:color="auto"/>
              <w:bottom w:val="single" w:sz="4" w:space="0" w:color="auto"/>
            </w:tcBorders>
          </w:tcPr>
          <w:p w:rsidR="006D135C" w:rsidRPr="001C5EA7" w:rsidRDefault="006D135C" w:rsidP="004F69AF">
            <w:pPr>
              <w:pStyle w:val="Tablet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bCs/>
                <w:szCs w:val="22"/>
                <w:lang w:val="fr-FR"/>
              </w:rPr>
              <w:t>Comunicación de la Administración del Reino Unido de Gran Bretaña e Irlanda del Norte solicitando que se procesen la notificación y la puesta en servicio de las asignaciones de frecuencias a la red de satélites AM-SAT AF3 BSS MOD-A</w:t>
            </w:r>
            <w:r w:rsidRPr="001C5EA7">
              <w:rPr>
                <w:rFonts w:asciiTheme="minorHAnsi" w:hAnsiTheme="minorHAnsi" w:cstheme="majorBidi"/>
                <w:bCs/>
                <w:szCs w:val="22"/>
                <w:lang w:val="fr-FR"/>
              </w:rPr>
              <w:br/>
              <w:t>(</w:t>
            </w:r>
            <w:hyperlink r:id="rId22" w:history="1">
              <w:r w:rsidR="004F69AF" w:rsidRPr="001C5EA7">
                <w:rPr>
                  <w:rStyle w:val="Hyperlink"/>
                  <w:rFonts w:asciiTheme="minorHAnsi" w:hAnsiTheme="minorHAnsi" w:cstheme="majorBidi"/>
                  <w:bCs/>
                  <w:szCs w:val="22"/>
                  <w:lang w:val="fr-FR"/>
                </w:rPr>
                <w:t>RRB18-1/4</w:t>
              </w:r>
            </w:hyperlink>
            <w:r w:rsidRPr="001C5EA7">
              <w:rPr>
                <w:rFonts w:asciiTheme="minorHAnsi" w:hAnsiTheme="minorHAnsi" w:cstheme="majorBidi"/>
                <w:bCs/>
                <w:szCs w:val="22"/>
                <w:lang w:val="fr-FR"/>
              </w:rPr>
              <w:t>)</w:t>
            </w:r>
          </w:p>
        </w:tc>
        <w:tc>
          <w:tcPr>
            <w:tcW w:w="7776" w:type="dxa"/>
            <w:tcBorders>
              <w:top w:val="single" w:sz="4" w:space="0" w:color="auto"/>
              <w:bottom w:val="single" w:sz="4" w:space="0" w:color="auto"/>
            </w:tcBorders>
          </w:tcPr>
          <w:p w:rsidR="006D135C" w:rsidRPr="001C5EA7" w:rsidRDefault="00A80FCF" w:rsidP="00662732">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La Junta examinó diligentemente la información suministrada y la solicitud de la Administración del Reino Unido contenidas en el Documento RRB18-1/4 relativas a la tramitación de la notificación y la puesta en servicio de las asignaciones de frecuencias a la red de satélites AM-SAT AF3 BSS MOD-A, y observó que la Oficina actuó en estricta conformidad con las disposiciones del Reglamento de Radiocomunicaciones. La Junta señaló además que:</w:t>
            </w:r>
          </w:p>
          <w:p w:rsidR="006D135C" w:rsidRPr="001C5EA7" w:rsidRDefault="006D135C" w:rsidP="00EB1CF5">
            <w:pPr>
              <w:pStyle w:val="Tabletext"/>
              <w:spacing w:before="80" w:after="0"/>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r w:rsidRPr="001C5EA7">
              <w:rPr>
                <w:rFonts w:asciiTheme="minorHAnsi" w:hAnsiTheme="minorHAnsi" w:cstheme="majorBidi"/>
                <w:szCs w:val="22"/>
                <w:lang w:val="fr-CH"/>
              </w:rPr>
              <w:tab/>
            </w:r>
            <w:r w:rsidR="00A80FCF" w:rsidRPr="001C5EA7">
              <w:rPr>
                <w:rFonts w:asciiTheme="minorHAnsi" w:hAnsiTheme="minorHAnsi" w:cstheme="majorBidi"/>
                <w:szCs w:val="22"/>
                <w:lang w:val="fr-CH"/>
              </w:rPr>
              <w:t>el satélite ya está en funcionamiento y la coordinación de la correspondiente red se encuentra en una fase avanzada;</w:t>
            </w:r>
          </w:p>
          <w:p w:rsidR="006D135C" w:rsidRPr="001C5EA7" w:rsidRDefault="006D135C" w:rsidP="00EB1CF5">
            <w:pPr>
              <w:pStyle w:val="Tabletext"/>
              <w:spacing w:before="80" w:after="120"/>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r w:rsidRPr="001C5EA7">
              <w:rPr>
                <w:rFonts w:asciiTheme="minorHAnsi" w:hAnsiTheme="minorHAnsi" w:cstheme="majorBidi"/>
                <w:szCs w:val="22"/>
                <w:lang w:val="fr-CH"/>
              </w:rPr>
              <w:tab/>
            </w:r>
            <w:r w:rsidR="00A80FCF" w:rsidRPr="001C5EA7">
              <w:rPr>
                <w:rFonts w:asciiTheme="minorHAnsi" w:hAnsiTheme="minorHAnsi" w:cstheme="majorBidi"/>
                <w:szCs w:val="22"/>
                <w:lang w:val="fr-CH"/>
              </w:rPr>
              <w:t>el retraso en la comunicación de la información de debida diligencia y de las características técnicas definitivas no ha tenido consecuencias negativas en las asignaciones de frecuencias de otras administraciones.</w:t>
            </w:r>
          </w:p>
          <w:p w:rsidR="006D135C" w:rsidRPr="001C5EA7" w:rsidRDefault="00A80FCF" w:rsidP="00662732">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Por consiguiente, la Junta decidió encargar a la Oficina que acepte las</w:t>
            </w:r>
            <w:r w:rsidR="00A71350" w:rsidRPr="001C5EA7">
              <w:rPr>
                <w:rFonts w:asciiTheme="minorHAnsi" w:hAnsiTheme="minorHAnsi" w:cstheme="majorBidi"/>
                <w:szCs w:val="22"/>
                <w:lang w:val="fr-CH"/>
              </w:rPr>
              <w:t xml:space="preserve"> comunicaciones en virtud del § </w:t>
            </w:r>
            <w:r w:rsidRPr="001C5EA7">
              <w:rPr>
                <w:rFonts w:asciiTheme="minorHAnsi" w:hAnsiTheme="minorHAnsi" w:cstheme="majorBidi"/>
                <w:szCs w:val="22"/>
                <w:lang w:val="fr-CH"/>
              </w:rPr>
              <w:t>4.</w:t>
            </w:r>
            <w:r w:rsidR="00A71350" w:rsidRPr="001C5EA7">
              <w:rPr>
                <w:rFonts w:asciiTheme="minorHAnsi" w:hAnsiTheme="minorHAnsi" w:cstheme="majorBidi"/>
                <w:szCs w:val="22"/>
                <w:lang w:val="fr-CH"/>
              </w:rPr>
              <w:t>1.12 del Artículo 4 y de los §§ </w:t>
            </w:r>
            <w:r w:rsidRPr="001C5EA7">
              <w:rPr>
                <w:rFonts w:asciiTheme="minorHAnsi" w:hAnsiTheme="minorHAnsi" w:cstheme="majorBidi"/>
                <w:szCs w:val="22"/>
                <w:lang w:val="fr-CH"/>
              </w:rPr>
              <w:t xml:space="preserve">5.1.2/5.1.6 del Artículo 5 del Apéndice </w:t>
            </w:r>
            <w:r w:rsidRPr="001C5EA7">
              <w:rPr>
                <w:rFonts w:asciiTheme="minorHAnsi" w:hAnsiTheme="minorHAnsi" w:cstheme="majorBidi"/>
                <w:b/>
                <w:bCs/>
                <w:szCs w:val="22"/>
                <w:lang w:val="fr-CH"/>
              </w:rPr>
              <w:t>30/30A</w:t>
            </w:r>
            <w:r w:rsidRPr="001C5EA7">
              <w:rPr>
                <w:rFonts w:asciiTheme="minorHAnsi" w:hAnsiTheme="minorHAnsi" w:cstheme="majorBidi"/>
                <w:szCs w:val="22"/>
                <w:lang w:val="fr-CH"/>
              </w:rPr>
              <w:t>, así como la información de debida diligencia de la red de satélites AM SAT AF3 BSS MOD-A, por cuanto se recibieron dentro del plazo reglamentario, y que tramite dichas comunicaciones en consecuencia. La Junta encargó además al Director que informara sobre este particular a la CMR-19.</w:t>
            </w:r>
          </w:p>
          <w:p w:rsidR="006D135C" w:rsidRPr="001C5EA7" w:rsidRDefault="00A80FCF" w:rsidP="00662732">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Además, la Junta instó a las administraciones a cumplir los plazos reglamentarios estipulados en el Reglamento.</w:t>
            </w:r>
          </w:p>
        </w:tc>
        <w:tc>
          <w:tcPr>
            <w:tcW w:w="2430" w:type="dxa"/>
            <w:tcBorders>
              <w:top w:val="single" w:sz="4" w:space="0" w:color="auto"/>
              <w:bottom w:val="single" w:sz="4" w:space="0" w:color="auto"/>
              <w:right w:val="single" w:sz="4" w:space="0" w:color="auto"/>
            </w:tcBorders>
          </w:tcPr>
          <w:p w:rsidR="006D135C" w:rsidRPr="001C5EA7" w:rsidRDefault="006D135C" w:rsidP="00662732">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El Secretario Ejecutivo comunicará estas decisiones a las administraciones interesadas.</w:t>
            </w:r>
          </w:p>
          <w:p w:rsidR="006D135C" w:rsidRPr="001C5EA7" w:rsidRDefault="00A80FCF" w:rsidP="00662732">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La Oficina aceptará y tramitará las comunicaciones y la información de debida diligencia de la red de satélites AM-SAT AF3 BSS MOD-A.</w:t>
            </w:r>
          </w:p>
          <w:p w:rsidR="006D135C" w:rsidRPr="001C5EA7" w:rsidRDefault="00A80FCF" w:rsidP="000159EE">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El Director informará sobre este particular a la</w:t>
            </w:r>
            <w:r w:rsidR="000159EE" w:rsidRPr="001C5EA7">
              <w:rPr>
                <w:rFonts w:asciiTheme="minorHAnsi" w:hAnsiTheme="minorHAnsi" w:cstheme="majorBidi"/>
                <w:szCs w:val="22"/>
                <w:lang w:val="fr-CH"/>
              </w:rPr>
              <w:t> </w:t>
            </w:r>
            <w:r w:rsidRPr="001C5EA7">
              <w:rPr>
                <w:rFonts w:asciiTheme="minorHAnsi" w:hAnsiTheme="minorHAnsi" w:cstheme="majorBidi"/>
                <w:szCs w:val="22"/>
                <w:lang w:val="fr-CH"/>
              </w:rPr>
              <w:t>CMR-19.</w:t>
            </w:r>
          </w:p>
        </w:tc>
      </w:tr>
      <w:tr w:rsidR="00041529" w:rsidRPr="001C5EA7" w:rsidTr="00C71757">
        <w:trPr>
          <w:trHeight w:val="3643"/>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95B3D7" w:themeColor="accent1" w:themeTint="99"/>
            </w:tcBorders>
            <w:shd w:val="clear" w:color="auto" w:fill="FFFFFF" w:themeFill="background1"/>
          </w:tcPr>
          <w:p w:rsidR="006D135C" w:rsidRPr="001C5EA7" w:rsidRDefault="006D135C" w:rsidP="00041529">
            <w:pPr>
              <w:pStyle w:val="Tabletext"/>
              <w:keepLines/>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t>5.2</w:t>
            </w:r>
          </w:p>
        </w:tc>
        <w:tc>
          <w:tcPr>
            <w:tcW w:w="2977" w:type="dxa"/>
            <w:tcBorders>
              <w:top w:val="single" w:sz="4" w:space="0" w:color="auto"/>
              <w:bottom w:val="single" w:sz="4" w:space="0" w:color="95B3D7" w:themeColor="accent1" w:themeTint="99"/>
            </w:tcBorders>
            <w:shd w:val="clear" w:color="auto" w:fill="FFFFFF" w:themeFill="background1"/>
          </w:tcPr>
          <w:p w:rsidR="006D135C" w:rsidRPr="001C5EA7" w:rsidRDefault="006D135C" w:rsidP="00041529">
            <w:pPr>
              <w:pStyle w:val="Tablet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C5EA7">
              <w:rPr>
                <w:rFonts w:asciiTheme="minorHAnsi" w:hAnsiTheme="minorHAnsi" w:cstheme="majorBidi"/>
                <w:bCs/>
                <w:szCs w:val="22"/>
                <w:lang w:val="fr-FR"/>
              </w:rPr>
              <w:t>Comunicación de la Administración de Corea (República de) solicitando una ampliación del plazo reglamentario para la puesta en servicio de las asignaciones de frecuencias a la red de satélites KOREASAT-116.0E en</w:t>
            </w:r>
            <w:r w:rsidR="00041529" w:rsidRPr="001C5EA7">
              <w:rPr>
                <w:rFonts w:asciiTheme="minorHAnsi" w:hAnsiTheme="minorHAnsi" w:cstheme="majorBidi"/>
                <w:bCs/>
                <w:szCs w:val="22"/>
                <w:lang w:val="fr-FR"/>
              </w:rPr>
              <w:t xml:space="preserve"> las bandas de frecuencias 20,2</w:t>
            </w:r>
            <w:r w:rsidR="00041529" w:rsidRPr="001C5EA7">
              <w:rPr>
                <w:rFonts w:asciiTheme="minorHAnsi" w:hAnsiTheme="minorHAnsi" w:cstheme="majorBidi"/>
                <w:bCs/>
                <w:szCs w:val="22"/>
                <w:lang w:val="fr-FR"/>
              </w:rPr>
              <w:noBreakHyphen/>
            </w:r>
            <w:r w:rsidRPr="001C5EA7">
              <w:rPr>
                <w:rFonts w:asciiTheme="minorHAnsi" w:hAnsiTheme="minorHAnsi" w:cstheme="majorBidi"/>
                <w:bCs/>
                <w:szCs w:val="22"/>
                <w:lang w:val="fr-FR"/>
              </w:rPr>
              <w:t xml:space="preserve">21,2 GHz </w:t>
            </w:r>
            <w:r w:rsidR="00041529" w:rsidRPr="001C5EA7">
              <w:rPr>
                <w:rFonts w:asciiTheme="minorHAnsi" w:hAnsiTheme="minorHAnsi" w:cstheme="majorBidi"/>
                <w:bCs/>
                <w:szCs w:val="22"/>
                <w:lang w:val="fr-FR"/>
              </w:rPr>
              <w:br/>
            </w:r>
            <w:r w:rsidRPr="001C5EA7">
              <w:rPr>
                <w:rFonts w:asciiTheme="minorHAnsi" w:hAnsiTheme="minorHAnsi" w:cstheme="majorBidi"/>
                <w:bCs/>
                <w:szCs w:val="22"/>
                <w:lang w:val="fr-FR"/>
              </w:rPr>
              <w:t>y 30,0-31,0 GHz</w:t>
            </w:r>
            <w:r w:rsidRPr="001C5EA7">
              <w:rPr>
                <w:rFonts w:asciiTheme="minorHAnsi" w:hAnsiTheme="minorHAnsi" w:cstheme="majorBidi"/>
                <w:bCs/>
                <w:szCs w:val="22"/>
                <w:lang w:val="fr-FR"/>
              </w:rPr>
              <w:br/>
              <w:t>(</w:t>
            </w:r>
            <w:hyperlink r:id="rId23" w:history="1">
              <w:r w:rsidRPr="001C5EA7">
                <w:rPr>
                  <w:rStyle w:val="Hyperlink"/>
                  <w:rFonts w:asciiTheme="minorHAnsi" w:hAnsiTheme="minorHAnsi" w:cstheme="majorBidi"/>
                  <w:bCs/>
                  <w:szCs w:val="22"/>
                  <w:lang w:val="fr-FR"/>
                </w:rPr>
                <w:t>RRB18-1/6</w:t>
              </w:r>
            </w:hyperlink>
            <w:r w:rsidRPr="001C5EA7">
              <w:rPr>
                <w:rFonts w:asciiTheme="minorHAnsi" w:hAnsiTheme="minorHAnsi" w:cstheme="majorBidi"/>
                <w:bCs/>
                <w:szCs w:val="22"/>
                <w:lang w:val="fr-FR"/>
              </w:rPr>
              <w:t>)</w:t>
            </w:r>
          </w:p>
        </w:tc>
        <w:tc>
          <w:tcPr>
            <w:tcW w:w="7776" w:type="dxa"/>
            <w:tcBorders>
              <w:top w:val="single" w:sz="4" w:space="0" w:color="auto"/>
              <w:bottom w:val="single" w:sz="4" w:space="0" w:color="95B3D7" w:themeColor="accent1" w:themeTint="99"/>
            </w:tcBorders>
            <w:shd w:val="clear" w:color="auto" w:fill="FFFFFF" w:themeFill="background1"/>
          </w:tcPr>
          <w:p w:rsidR="006D135C" w:rsidRPr="001C5EA7" w:rsidRDefault="00A80FCF" w:rsidP="00041529">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La Junta examinó la solicitud y la información suministrada por la Administración de la República de Corea que figuran en el Documento RRB18-1/6. Habida cuenta de los motivos aducidos, la Junta llegó a la conclusión de que:</w:t>
            </w:r>
          </w:p>
          <w:p w:rsidR="006D135C" w:rsidRPr="001C5EA7" w:rsidRDefault="006D135C" w:rsidP="00893C01">
            <w:pPr>
              <w:pStyle w:val="Tabletext"/>
              <w:spacing w:before="80" w:after="0"/>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r w:rsidRPr="001C5EA7">
              <w:rPr>
                <w:rFonts w:asciiTheme="minorHAnsi" w:hAnsiTheme="minorHAnsi" w:cstheme="majorBidi"/>
                <w:szCs w:val="22"/>
                <w:lang w:val="fr-CH"/>
              </w:rPr>
              <w:tab/>
            </w:r>
            <w:r w:rsidR="00A80FCF" w:rsidRPr="001C5EA7">
              <w:rPr>
                <w:rFonts w:asciiTheme="minorHAnsi" w:hAnsiTheme="minorHAnsi" w:cstheme="majorBidi"/>
                <w:szCs w:val="22"/>
                <w:lang w:val="fr-CH"/>
              </w:rPr>
              <w:t xml:space="preserve">esta situación reúne todas las condiciones de </w:t>
            </w:r>
            <w:r w:rsidR="00A80FCF" w:rsidRPr="001C5EA7">
              <w:rPr>
                <w:rFonts w:asciiTheme="minorHAnsi" w:hAnsiTheme="minorHAnsi" w:cstheme="majorBidi"/>
                <w:i/>
                <w:iCs/>
                <w:szCs w:val="22"/>
                <w:lang w:val="fr-CH"/>
              </w:rPr>
              <w:t>fuerza mayor</w:t>
            </w:r>
            <w:r w:rsidR="00A80FCF" w:rsidRPr="001C5EA7">
              <w:rPr>
                <w:rFonts w:asciiTheme="minorHAnsi" w:hAnsiTheme="minorHAnsi" w:cstheme="majorBidi"/>
                <w:szCs w:val="22"/>
                <w:lang w:val="fr-CH"/>
              </w:rPr>
              <w:t>;</w:t>
            </w:r>
          </w:p>
          <w:p w:rsidR="006D135C" w:rsidRPr="001C5EA7" w:rsidRDefault="006D135C" w:rsidP="00893C01">
            <w:pPr>
              <w:pStyle w:val="Tabletext"/>
              <w:spacing w:before="80" w:after="0"/>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r w:rsidRPr="001C5EA7">
              <w:rPr>
                <w:rFonts w:asciiTheme="minorHAnsi" w:hAnsiTheme="minorHAnsi" w:cstheme="majorBidi"/>
                <w:szCs w:val="22"/>
                <w:lang w:val="fr-CH"/>
              </w:rPr>
              <w:tab/>
              <w:t>la Administración ha desplegado todos los esfuerzos para cumplir el plazo reglamentario;</w:t>
            </w:r>
          </w:p>
          <w:p w:rsidR="006D135C" w:rsidRPr="001C5EA7" w:rsidRDefault="006D135C" w:rsidP="00893C01">
            <w:pPr>
              <w:pStyle w:val="Tabletext"/>
              <w:spacing w:before="80" w:after="0"/>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r w:rsidRPr="001C5EA7">
              <w:rPr>
                <w:rFonts w:asciiTheme="minorHAnsi" w:hAnsiTheme="minorHAnsi" w:cstheme="majorBidi"/>
                <w:szCs w:val="22"/>
                <w:lang w:val="fr-CH"/>
              </w:rPr>
              <w:tab/>
            </w:r>
            <w:r w:rsidR="00A80FCF" w:rsidRPr="001C5EA7">
              <w:rPr>
                <w:rFonts w:asciiTheme="minorHAnsi" w:hAnsiTheme="minorHAnsi" w:cstheme="majorBidi"/>
                <w:szCs w:val="22"/>
                <w:lang w:val="fr-CH"/>
              </w:rPr>
              <w:t>la Administración ha cumplido todas las demás disposiciones del Reglamento de Radiocomunicaciones; y</w:t>
            </w:r>
          </w:p>
          <w:p w:rsidR="006D135C" w:rsidRPr="001C5EA7" w:rsidRDefault="006D135C" w:rsidP="00893C01">
            <w:pPr>
              <w:pStyle w:val="Tabletext"/>
              <w:spacing w:before="80" w:after="0"/>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r w:rsidRPr="001C5EA7">
              <w:rPr>
                <w:rFonts w:asciiTheme="minorHAnsi" w:hAnsiTheme="minorHAnsi" w:cstheme="majorBidi"/>
                <w:szCs w:val="22"/>
                <w:lang w:val="fr-CH"/>
              </w:rPr>
              <w:tab/>
              <w:t>la solicitud tenía por objeto una prórroga definida y limitada.</w:t>
            </w:r>
          </w:p>
          <w:p w:rsidR="006D135C" w:rsidRPr="001C5EA7" w:rsidRDefault="00A80FCF" w:rsidP="00041529">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Por consiguiente, la Junta decidió acceder a esta solicitud y ampliar un mes el plazo reglamentario de puesta en servicio de las asignaciones de frecuencia a la de satélites KOREASAT-116.0E en las bandas de frecuencias 20,2-21,2 GHz y 30,0-31,0 GHz, es decir, hasta el 5 de junio de 2017.</w:t>
            </w:r>
          </w:p>
        </w:tc>
        <w:tc>
          <w:tcPr>
            <w:tcW w:w="2430" w:type="dxa"/>
            <w:tcBorders>
              <w:top w:val="single" w:sz="4" w:space="0" w:color="auto"/>
              <w:bottom w:val="single" w:sz="4" w:space="0" w:color="95B3D7" w:themeColor="accent1" w:themeTint="99"/>
              <w:right w:val="single" w:sz="4" w:space="0" w:color="auto"/>
            </w:tcBorders>
            <w:shd w:val="clear" w:color="auto" w:fill="FFFFFF" w:themeFill="background1"/>
          </w:tcPr>
          <w:p w:rsidR="006D135C" w:rsidRPr="001C5EA7" w:rsidRDefault="006D135C" w:rsidP="00041529">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El Secretario Ejecutivo comunicará estas decisiones a las administraciones interesadas.</w:t>
            </w:r>
          </w:p>
        </w:tc>
      </w:tr>
      <w:tr w:rsidR="006D135C" w:rsidRPr="001C5EA7" w:rsidTr="0022773A">
        <w:trPr>
          <w:cnfStyle w:val="000000100000" w:firstRow="0" w:lastRow="0" w:firstColumn="0" w:lastColumn="0" w:oddVBand="0" w:evenVBand="0" w:oddHBand="1"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95B3D7" w:themeColor="accent1" w:themeTint="99"/>
              <w:left w:val="single" w:sz="4" w:space="0" w:color="auto"/>
              <w:bottom w:val="nil"/>
            </w:tcBorders>
          </w:tcPr>
          <w:p w:rsidR="006D135C" w:rsidRPr="001C5EA7" w:rsidRDefault="006D135C" w:rsidP="001B58DF">
            <w:pPr>
              <w:pStyle w:val="Tabletext"/>
              <w:keepLines/>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t>5.3</w:t>
            </w:r>
          </w:p>
        </w:tc>
        <w:tc>
          <w:tcPr>
            <w:tcW w:w="2977" w:type="dxa"/>
            <w:tcBorders>
              <w:top w:val="single" w:sz="4" w:space="0" w:color="95B3D7" w:themeColor="accent1" w:themeTint="99"/>
              <w:bottom w:val="nil"/>
            </w:tcBorders>
          </w:tcPr>
          <w:p w:rsidR="006D135C" w:rsidRPr="001C5EA7" w:rsidRDefault="006D135C" w:rsidP="001B58DF">
            <w:pPr>
              <w:pStyle w:val="Tablet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bCs/>
                <w:szCs w:val="22"/>
                <w:lang w:val="fr-FR"/>
              </w:rPr>
              <w:t>Comunicación de la Administración de Papua Nueva Guinea solicitando una ampliación del plazo reglamentario para la puesta en servicio de las asignaciones</w:t>
            </w:r>
            <w:r w:rsidR="005631F4" w:rsidRPr="001C5EA7">
              <w:rPr>
                <w:rFonts w:asciiTheme="minorHAnsi" w:hAnsiTheme="minorHAnsi" w:cstheme="majorBidi"/>
                <w:bCs/>
                <w:szCs w:val="22"/>
                <w:lang w:val="fr-FR"/>
              </w:rPr>
              <w:t xml:space="preserve"> de frecuencias 20 200-21 200 y </w:t>
            </w:r>
            <w:r w:rsidRPr="001C5EA7">
              <w:rPr>
                <w:rFonts w:asciiTheme="minorHAnsi" w:hAnsiTheme="minorHAnsi" w:cstheme="majorBidi"/>
                <w:bCs/>
                <w:szCs w:val="22"/>
                <w:lang w:val="fr-FR"/>
              </w:rPr>
              <w:t>30 000-31 000 MHz a la red de satélites NEW DAWN 33</w:t>
            </w:r>
            <w:r w:rsidRPr="001C5EA7">
              <w:rPr>
                <w:rFonts w:asciiTheme="minorHAnsi" w:hAnsiTheme="minorHAnsi" w:cstheme="majorBidi"/>
                <w:bCs/>
                <w:szCs w:val="22"/>
                <w:lang w:val="fr-FR"/>
              </w:rPr>
              <w:br/>
            </w:r>
            <w:bookmarkStart w:id="9" w:name="lt_pId146"/>
            <w:r w:rsidRPr="001C5EA7">
              <w:rPr>
                <w:rFonts w:asciiTheme="minorHAnsi" w:hAnsiTheme="minorHAnsi" w:cstheme="majorBidi"/>
                <w:bCs/>
                <w:szCs w:val="22"/>
                <w:lang w:val="fr-FR"/>
              </w:rPr>
              <w:t>(</w:t>
            </w:r>
            <w:hyperlink r:id="rId24" w:history="1">
              <w:r w:rsidRPr="001C5EA7">
                <w:rPr>
                  <w:rStyle w:val="Hyperlink"/>
                  <w:rFonts w:asciiTheme="minorHAnsi" w:hAnsiTheme="minorHAnsi" w:cstheme="majorBidi"/>
                  <w:bCs/>
                  <w:szCs w:val="22"/>
                  <w:lang w:val="fr-FR"/>
                </w:rPr>
                <w:t>RRB18-1/8</w:t>
              </w:r>
            </w:hyperlink>
            <w:r w:rsidRPr="001C5EA7">
              <w:rPr>
                <w:rFonts w:asciiTheme="minorHAnsi" w:hAnsiTheme="minorHAnsi" w:cstheme="majorBidi"/>
                <w:bCs/>
                <w:szCs w:val="22"/>
                <w:lang w:val="fr-FR"/>
              </w:rPr>
              <w:t>)</w:t>
            </w:r>
            <w:bookmarkEnd w:id="9"/>
          </w:p>
        </w:tc>
        <w:tc>
          <w:tcPr>
            <w:tcW w:w="7776" w:type="dxa"/>
            <w:tcBorders>
              <w:top w:val="single" w:sz="4" w:space="0" w:color="95B3D7" w:themeColor="accent1" w:themeTint="99"/>
              <w:bottom w:val="nil"/>
            </w:tcBorders>
          </w:tcPr>
          <w:p w:rsidR="006D135C" w:rsidRPr="001C5EA7" w:rsidRDefault="008C7D3A" w:rsidP="00154C13">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 xml:space="preserve">La Junta examinó la comunicación de la Administración de </w:t>
            </w:r>
            <w:r w:rsidR="006534B5" w:rsidRPr="001C5EA7">
              <w:rPr>
                <w:rFonts w:asciiTheme="minorHAnsi" w:hAnsiTheme="minorHAnsi" w:cstheme="majorBidi"/>
                <w:bCs/>
                <w:szCs w:val="22"/>
                <w:lang w:val="fr-FR"/>
              </w:rPr>
              <w:t xml:space="preserve">Papua </w:t>
            </w:r>
            <w:r w:rsidRPr="001C5EA7">
              <w:rPr>
                <w:rFonts w:asciiTheme="minorHAnsi" w:hAnsiTheme="minorHAnsi" w:cstheme="majorBidi"/>
                <w:szCs w:val="22"/>
                <w:lang w:val="fr-CH"/>
              </w:rPr>
              <w:t>Nueva Guinea, contenida en el Documento RRB18-1/8, en la que solicita prorrogar tres años el plazo reglamentario para la puesta en servicio de asignaciones de frecuencias a la red de satélites NEW DAWN 33 en 33</w:t>
            </w:r>
            <w:r w:rsidR="006534B5" w:rsidRPr="001C5EA7">
              <w:rPr>
                <w:rFonts w:asciiTheme="minorHAnsi" w:eastAsia="SimSun" w:hAnsiTheme="minorHAnsi" w:cstheme="majorBidi"/>
                <w:szCs w:val="22"/>
                <w:lang w:val="fr-CH" w:eastAsia="zh-CN"/>
              </w:rPr>
              <w:t>° </w:t>
            </w:r>
            <w:r w:rsidRPr="001C5EA7">
              <w:rPr>
                <w:rFonts w:asciiTheme="minorHAnsi" w:hAnsiTheme="minorHAnsi" w:cstheme="majorBidi"/>
                <w:szCs w:val="22"/>
                <w:lang w:val="fr-CH"/>
              </w:rPr>
              <w:t xml:space="preserve">E </w:t>
            </w:r>
            <w:r w:rsidR="00154C13" w:rsidRPr="001C5EA7">
              <w:rPr>
                <w:rFonts w:asciiTheme="minorHAnsi" w:hAnsiTheme="minorHAnsi" w:cstheme="majorBidi"/>
                <w:szCs w:val="22"/>
                <w:lang w:val="fr-CH"/>
              </w:rPr>
              <w:t>en las bandas de frecuencias 20 200</w:t>
            </w:r>
            <w:r w:rsidR="00154C13" w:rsidRPr="001C5EA7">
              <w:rPr>
                <w:rFonts w:asciiTheme="minorHAnsi" w:hAnsiTheme="minorHAnsi" w:cstheme="majorBidi"/>
                <w:szCs w:val="22"/>
                <w:lang w:val="fr-CH"/>
              </w:rPr>
              <w:noBreakHyphen/>
              <w:t>21 </w:t>
            </w:r>
            <w:r w:rsidRPr="001C5EA7">
              <w:rPr>
                <w:rFonts w:asciiTheme="minorHAnsi" w:hAnsiTheme="minorHAnsi" w:cstheme="majorBidi"/>
                <w:szCs w:val="22"/>
                <w:lang w:val="fr-CH"/>
              </w:rPr>
              <w:t xml:space="preserve">200 </w:t>
            </w:r>
            <w:r w:rsidR="00154C13" w:rsidRPr="001C5EA7">
              <w:rPr>
                <w:rFonts w:asciiTheme="minorHAnsi" w:hAnsiTheme="minorHAnsi" w:cstheme="majorBidi"/>
                <w:szCs w:val="22"/>
                <w:lang w:val="fr-CH"/>
              </w:rPr>
              <w:t>y 30 000</w:t>
            </w:r>
            <w:r w:rsidR="00154C13" w:rsidRPr="001C5EA7">
              <w:rPr>
                <w:rFonts w:asciiTheme="minorHAnsi" w:hAnsiTheme="minorHAnsi" w:cstheme="majorBidi"/>
                <w:szCs w:val="22"/>
                <w:lang w:val="fr-CH"/>
              </w:rPr>
              <w:noBreakHyphen/>
              <w:t>31 </w:t>
            </w:r>
            <w:r w:rsidRPr="001C5EA7">
              <w:rPr>
                <w:rFonts w:asciiTheme="minorHAnsi" w:hAnsiTheme="minorHAnsi" w:cstheme="majorBidi"/>
                <w:szCs w:val="22"/>
                <w:lang w:val="fr-CH"/>
              </w:rPr>
              <w:t>000 MHz, es decir, hasta el 12 de noviembre de 2020.</w:t>
            </w:r>
          </w:p>
          <w:p w:rsidR="006D135C" w:rsidRPr="001C5EA7" w:rsidRDefault="008C7D3A" w:rsidP="006534B5">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La Junta consideró que:</w:t>
            </w:r>
          </w:p>
          <w:p w:rsidR="006D135C" w:rsidRPr="001C5EA7" w:rsidRDefault="006D135C" w:rsidP="00534C73">
            <w:pPr>
              <w:pStyle w:val="Tabletext"/>
              <w:spacing w:before="80" w:after="0"/>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r w:rsidRPr="001C5EA7">
              <w:rPr>
                <w:rFonts w:asciiTheme="minorHAnsi" w:hAnsiTheme="minorHAnsi" w:cstheme="majorBidi"/>
                <w:szCs w:val="22"/>
                <w:lang w:val="fr-CH"/>
              </w:rPr>
              <w:tab/>
            </w:r>
            <w:r w:rsidR="008C7D3A" w:rsidRPr="001C5EA7">
              <w:rPr>
                <w:rFonts w:asciiTheme="minorHAnsi" w:hAnsiTheme="minorHAnsi" w:cstheme="majorBidi"/>
                <w:szCs w:val="22"/>
                <w:lang w:val="fr-CH"/>
              </w:rPr>
              <w:t xml:space="preserve">tiene la potestad para otorgar una prórroga limitada y reducida del plazo reglamentario para la puesta en servicio de asignaciones de frecuencias a redes de satélites en caso de retrasos de lanzamientos colectivos o de </w:t>
            </w:r>
            <w:r w:rsidR="008C7D3A" w:rsidRPr="001C5EA7">
              <w:rPr>
                <w:rFonts w:asciiTheme="minorHAnsi" w:hAnsiTheme="minorHAnsi" w:cstheme="majorBidi"/>
                <w:i/>
                <w:iCs/>
                <w:szCs w:val="22"/>
                <w:lang w:val="fr-CH"/>
              </w:rPr>
              <w:t>fuerza mayor</w:t>
            </w:r>
            <w:r w:rsidR="008C7D3A" w:rsidRPr="001C5EA7">
              <w:rPr>
                <w:rFonts w:asciiTheme="minorHAnsi" w:hAnsiTheme="minorHAnsi" w:cstheme="majorBidi"/>
                <w:szCs w:val="22"/>
                <w:lang w:val="fr-CH"/>
              </w:rPr>
              <w:t>;</w:t>
            </w:r>
          </w:p>
          <w:p w:rsidR="006D135C" w:rsidRPr="001C5EA7" w:rsidRDefault="006D135C" w:rsidP="00534C73">
            <w:pPr>
              <w:pStyle w:val="Tabletext"/>
              <w:spacing w:before="80" w:after="0"/>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r w:rsidRPr="001C5EA7">
              <w:rPr>
                <w:rFonts w:asciiTheme="minorHAnsi" w:hAnsiTheme="minorHAnsi" w:cstheme="majorBidi"/>
                <w:szCs w:val="22"/>
                <w:lang w:val="fr-CH"/>
              </w:rPr>
              <w:tab/>
            </w:r>
            <w:r w:rsidR="008C7D3A" w:rsidRPr="001C5EA7">
              <w:rPr>
                <w:rFonts w:asciiTheme="minorHAnsi" w:hAnsiTheme="minorHAnsi" w:cstheme="majorBidi"/>
                <w:szCs w:val="22"/>
                <w:lang w:val="fr-CH"/>
              </w:rPr>
              <w:t>que, según la información suministrada, no puede considerarse que el retraso de la puesta en servicio de las asignaciones de frecuen</w:t>
            </w:r>
            <w:r w:rsidR="006007B5" w:rsidRPr="001C5EA7">
              <w:rPr>
                <w:rFonts w:asciiTheme="minorHAnsi" w:hAnsiTheme="minorHAnsi" w:cstheme="majorBidi"/>
                <w:szCs w:val="22"/>
                <w:lang w:val="fr-CH"/>
              </w:rPr>
              <w:t>cias de la red de satélites NEW </w:t>
            </w:r>
            <w:r w:rsidR="008C7D3A" w:rsidRPr="001C5EA7">
              <w:rPr>
                <w:rFonts w:asciiTheme="minorHAnsi" w:hAnsiTheme="minorHAnsi" w:cstheme="majorBidi"/>
                <w:szCs w:val="22"/>
                <w:lang w:val="fr-CH"/>
              </w:rPr>
              <w:t>DAWN 33 se deba directamente a el retraso de un lanzamiento colectivo.</w:t>
            </w:r>
          </w:p>
          <w:p w:rsidR="006D135C" w:rsidRPr="001C5EA7" w:rsidRDefault="008C7D3A" w:rsidP="00B801C5">
            <w:pPr>
              <w:pStyle w:val="Tabletext"/>
              <w:keepN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Por consiguiente, la Junta llegó a la conclusión de que este caso no pertenece a la categoría de retraso de un lanzamiento colectivo y decidió:</w:t>
            </w:r>
          </w:p>
          <w:p w:rsidR="006D135C" w:rsidRPr="001C5EA7" w:rsidRDefault="006D135C" w:rsidP="00B801C5">
            <w:pPr>
              <w:pStyle w:val="Tabletext"/>
              <w:keepNext/>
              <w:keepLines/>
              <w:spacing w:before="80" w:after="0"/>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r w:rsidRPr="001C5EA7">
              <w:rPr>
                <w:rFonts w:asciiTheme="minorHAnsi" w:hAnsiTheme="minorHAnsi" w:cstheme="majorBidi"/>
                <w:szCs w:val="22"/>
                <w:lang w:val="fr-CH"/>
              </w:rPr>
              <w:tab/>
            </w:r>
            <w:r w:rsidR="008C7D3A" w:rsidRPr="001C5EA7">
              <w:rPr>
                <w:rFonts w:asciiTheme="minorHAnsi" w:hAnsiTheme="minorHAnsi" w:cstheme="majorBidi"/>
                <w:szCs w:val="22"/>
                <w:lang w:val="fr-CH"/>
              </w:rPr>
              <w:t>no acceder a la solici</w:t>
            </w:r>
            <w:r w:rsidR="001A6BE6" w:rsidRPr="001C5EA7">
              <w:rPr>
                <w:rFonts w:asciiTheme="minorHAnsi" w:hAnsiTheme="minorHAnsi" w:cstheme="majorBidi"/>
                <w:szCs w:val="22"/>
                <w:lang w:val="fr-CH"/>
              </w:rPr>
              <w:t>tud de la Administración de Papu</w:t>
            </w:r>
            <w:r w:rsidR="008C7D3A" w:rsidRPr="001C5EA7">
              <w:rPr>
                <w:rFonts w:asciiTheme="minorHAnsi" w:hAnsiTheme="minorHAnsi" w:cstheme="majorBidi"/>
                <w:szCs w:val="22"/>
                <w:lang w:val="fr-CH"/>
              </w:rPr>
              <w:t>a Nueva Guinea</w:t>
            </w:r>
            <w:r w:rsidRPr="001C5EA7">
              <w:rPr>
                <w:rFonts w:asciiTheme="minorHAnsi" w:hAnsiTheme="minorHAnsi" w:cstheme="majorBidi"/>
                <w:szCs w:val="22"/>
                <w:lang w:val="fr-CH"/>
              </w:rPr>
              <w:t>;</w:t>
            </w:r>
          </w:p>
          <w:p w:rsidR="006D135C" w:rsidRPr="001C5EA7" w:rsidRDefault="006D135C" w:rsidP="00B801C5">
            <w:pPr>
              <w:pStyle w:val="Tabletext"/>
              <w:keepNext/>
              <w:keepLines/>
              <w:spacing w:before="80" w:after="0"/>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w:t>
            </w:r>
            <w:r w:rsidRPr="001C5EA7">
              <w:rPr>
                <w:rFonts w:asciiTheme="minorHAnsi" w:hAnsiTheme="minorHAnsi" w:cstheme="majorBidi"/>
                <w:szCs w:val="22"/>
                <w:lang w:val="fr-CH"/>
              </w:rPr>
              <w:tab/>
            </w:r>
            <w:r w:rsidR="008C7D3A" w:rsidRPr="001C5EA7">
              <w:rPr>
                <w:rFonts w:asciiTheme="minorHAnsi" w:hAnsiTheme="minorHAnsi" w:cstheme="majorBidi"/>
                <w:szCs w:val="22"/>
                <w:lang w:val="fr-CH"/>
              </w:rPr>
              <w:t xml:space="preserve">encargar a la Oficina que suprima las asignaciones de frecuencias a la red de satélites NEW DAWN 33 en </w:t>
            </w:r>
            <w:r w:rsidR="00F37AFE" w:rsidRPr="001C5EA7">
              <w:rPr>
                <w:rFonts w:asciiTheme="minorHAnsi" w:hAnsiTheme="minorHAnsi" w:cstheme="majorBidi"/>
                <w:szCs w:val="22"/>
                <w:lang w:val="fr-CH"/>
              </w:rPr>
              <w:t>33</w:t>
            </w:r>
            <w:r w:rsidR="00F37AFE" w:rsidRPr="001C5EA7">
              <w:rPr>
                <w:rFonts w:asciiTheme="minorHAnsi" w:eastAsia="SimSun" w:hAnsiTheme="minorHAnsi" w:cstheme="majorBidi"/>
                <w:szCs w:val="22"/>
                <w:lang w:val="fr-CH" w:eastAsia="zh-CN"/>
              </w:rPr>
              <w:t>° </w:t>
            </w:r>
            <w:r w:rsidR="00F37AFE" w:rsidRPr="001C5EA7">
              <w:rPr>
                <w:rFonts w:asciiTheme="minorHAnsi" w:hAnsiTheme="minorHAnsi" w:cstheme="majorBidi"/>
                <w:szCs w:val="22"/>
                <w:lang w:val="fr-CH"/>
              </w:rPr>
              <w:t>E</w:t>
            </w:r>
            <w:r w:rsidR="008C7D3A" w:rsidRPr="001C5EA7">
              <w:rPr>
                <w:rFonts w:asciiTheme="minorHAnsi" w:hAnsiTheme="minorHAnsi" w:cstheme="majorBidi"/>
                <w:szCs w:val="22"/>
                <w:lang w:val="fr-CH"/>
              </w:rPr>
              <w:t>.</w:t>
            </w:r>
          </w:p>
        </w:tc>
        <w:tc>
          <w:tcPr>
            <w:tcW w:w="2430" w:type="dxa"/>
            <w:tcBorders>
              <w:top w:val="single" w:sz="4" w:space="0" w:color="95B3D7" w:themeColor="accent1" w:themeTint="99"/>
              <w:bottom w:val="nil"/>
              <w:right w:val="single" w:sz="4" w:space="0" w:color="auto"/>
            </w:tcBorders>
          </w:tcPr>
          <w:p w:rsidR="006D135C" w:rsidRPr="001C5EA7" w:rsidRDefault="006D135C" w:rsidP="00BE153E">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El Secretario Ejecutivo comunicará estas decisiones a las administraciones interesadas.</w:t>
            </w:r>
          </w:p>
          <w:p w:rsidR="006D135C" w:rsidRPr="001C5EA7" w:rsidRDefault="008C7D3A" w:rsidP="00BE153E">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La Oficina suprimirá las asignaciones de frecuencias</w:t>
            </w:r>
            <w:r w:rsidR="002B3C22" w:rsidRPr="001C5EA7">
              <w:rPr>
                <w:rFonts w:asciiTheme="minorHAnsi" w:hAnsiTheme="minorHAnsi" w:cstheme="majorBidi"/>
                <w:szCs w:val="22"/>
                <w:lang w:val="fr-CH"/>
              </w:rPr>
              <w:t xml:space="preserve"> a la red de satélites NEW DAWN 33 en </w:t>
            </w:r>
            <w:r w:rsidR="00BE153E" w:rsidRPr="001C5EA7">
              <w:rPr>
                <w:rFonts w:asciiTheme="minorHAnsi" w:hAnsiTheme="minorHAnsi" w:cstheme="majorBidi"/>
                <w:szCs w:val="22"/>
                <w:lang w:val="fr-CH"/>
              </w:rPr>
              <w:t>33</w:t>
            </w:r>
            <w:r w:rsidR="00BE153E" w:rsidRPr="001C5EA7">
              <w:rPr>
                <w:rFonts w:asciiTheme="minorHAnsi" w:eastAsia="SimSun" w:hAnsiTheme="minorHAnsi" w:cstheme="majorBidi"/>
                <w:szCs w:val="22"/>
                <w:lang w:val="fr-CH" w:eastAsia="zh-CN"/>
              </w:rPr>
              <w:t>° </w:t>
            </w:r>
            <w:r w:rsidR="00BE153E" w:rsidRPr="001C5EA7">
              <w:rPr>
                <w:rFonts w:asciiTheme="minorHAnsi" w:hAnsiTheme="minorHAnsi" w:cstheme="majorBidi"/>
                <w:szCs w:val="22"/>
                <w:lang w:val="fr-CH"/>
              </w:rPr>
              <w:t>E</w:t>
            </w:r>
            <w:r w:rsidRPr="001C5EA7">
              <w:rPr>
                <w:rFonts w:asciiTheme="minorHAnsi" w:hAnsiTheme="minorHAnsi" w:cstheme="majorBidi"/>
                <w:szCs w:val="22"/>
                <w:lang w:val="fr-CH"/>
              </w:rPr>
              <w:t>.</w:t>
            </w:r>
          </w:p>
        </w:tc>
      </w:tr>
      <w:tr w:rsidR="0022773A" w:rsidRPr="001C5EA7" w:rsidTr="0022773A">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auto"/>
              <w:bottom w:val="single" w:sz="4" w:space="0" w:color="95B3D7" w:themeColor="accent1" w:themeTint="99"/>
            </w:tcBorders>
            <w:shd w:val="clear" w:color="auto" w:fill="FFFFFF" w:themeFill="background1"/>
          </w:tcPr>
          <w:p w:rsidR="006D135C" w:rsidRPr="001C5EA7" w:rsidRDefault="006D135C" w:rsidP="00A3658F">
            <w:pPr>
              <w:pStyle w:val="Tabletext"/>
              <w:keepLines/>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lastRenderedPageBreak/>
              <w:t>6</w:t>
            </w:r>
          </w:p>
        </w:tc>
        <w:tc>
          <w:tcPr>
            <w:tcW w:w="2977" w:type="dxa"/>
            <w:tcBorders>
              <w:top w:val="nil"/>
              <w:bottom w:val="single" w:sz="4" w:space="0" w:color="95B3D7" w:themeColor="accent1" w:themeTint="99"/>
            </w:tcBorders>
            <w:shd w:val="clear" w:color="auto" w:fill="FFFFFF" w:themeFill="background1"/>
          </w:tcPr>
          <w:p w:rsidR="006D135C" w:rsidRPr="001C5EA7" w:rsidRDefault="006D135C" w:rsidP="00A3658F">
            <w:pPr>
              <w:pStyle w:val="Tablet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FR"/>
              </w:rPr>
            </w:pPr>
            <w:r w:rsidRPr="001C5EA7">
              <w:rPr>
                <w:rFonts w:asciiTheme="minorHAnsi" w:hAnsiTheme="minorHAnsi" w:cstheme="majorBidi"/>
                <w:bCs/>
                <w:szCs w:val="22"/>
                <w:lang w:val="fr-FR"/>
              </w:rPr>
              <w:t xml:space="preserve">Solicitudes de nueva presentación de notificaciones en virtud del número </w:t>
            </w:r>
            <w:r w:rsidRPr="001C5EA7">
              <w:rPr>
                <w:rFonts w:asciiTheme="minorHAnsi" w:hAnsiTheme="minorHAnsi" w:cstheme="majorBidi"/>
                <w:b/>
                <w:szCs w:val="22"/>
                <w:lang w:val="fr-FR"/>
              </w:rPr>
              <w:t>11.46</w:t>
            </w:r>
            <w:r w:rsidR="00850794" w:rsidRPr="001C5EA7">
              <w:rPr>
                <w:rFonts w:asciiTheme="minorHAnsi" w:hAnsiTheme="minorHAnsi" w:cstheme="majorBidi"/>
                <w:szCs w:val="22"/>
                <w:lang w:val="fr-FR"/>
              </w:rPr>
              <w:t xml:space="preserve"> del RR</w:t>
            </w:r>
          </w:p>
        </w:tc>
        <w:tc>
          <w:tcPr>
            <w:tcW w:w="7776" w:type="dxa"/>
            <w:tcBorders>
              <w:top w:val="nil"/>
              <w:bottom w:val="single" w:sz="4" w:space="0" w:color="95B3D7" w:themeColor="accent1" w:themeTint="99"/>
            </w:tcBorders>
            <w:shd w:val="clear" w:color="auto" w:fill="FFFFFF" w:themeFill="background1"/>
          </w:tcPr>
          <w:p w:rsidR="006D135C" w:rsidRPr="001C5EA7" w:rsidRDefault="006D135C" w:rsidP="00225216">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c>
          <w:tcPr>
            <w:tcW w:w="2430" w:type="dxa"/>
            <w:tcBorders>
              <w:top w:val="nil"/>
              <w:bottom w:val="single" w:sz="4" w:space="0" w:color="95B3D7" w:themeColor="accent1" w:themeTint="99"/>
              <w:right w:val="single" w:sz="4" w:space="0" w:color="auto"/>
            </w:tcBorders>
            <w:shd w:val="clear" w:color="auto" w:fill="FFFFFF" w:themeFill="background1"/>
          </w:tcPr>
          <w:p w:rsidR="006D135C" w:rsidRPr="001C5EA7" w:rsidRDefault="006D135C" w:rsidP="00225216">
            <w:pPr>
              <w:pStyle w:val="Tabletext"/>
              <w:keepNext/>
              <w:keepLines/>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r>
      <w:tr w:rsidR="00385233" w:rsidRPr="001C5EA7" w:rsidTr="00C71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bottom w:val="single" w:sz="4" w:space="0" w:color="auto"/>
            </w:tcBorders>
          </w:tcPr>
          <w:p w:rsidR="006D135C" w:rsidRPr="001C5EA7" w:rsidRDefault="006D135C" w:rsidP="00A3658F">
            <w:pPr>
              <w:pStyle w:val="Tabletext"/>
              <w:keepLines/>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t>6.1</w:t>
            </w:r>
          </w:p>
        </w:tc>
        <w:tc>
          <w:tcPr>
            <w:tcW w:w="2977" w:type="dxa"/>
            <w:tcBorders>
              <w:bottom w:val="single" w:sz="4" w:space="0" w:color="auto"/>
            </w:tcBorders>
          </w:tcPr>
          <w:p w:rsidR="006D135C" w:rsidRPr="001C5EA7" w:rsidRDefault="006D135C" w:rsidP="00A3658F">
            <w:pPr>
              <w:pStyle w:val="Tablet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bCs/>
                <w:szCs w:val="22"/>
                <w:lang w:val="fr-FR"/>
              </w:rPr>
            </w:pPr>
            <w:r w:rsidRPr="001C5EA7">
              <w:rPr>
                <w:rFonts w:asciiTheme="minorHAnsi" w:hAnsiTheme="minorHAnsi" w:cstheme="majorBidi"/>
                <w:bCs/>
                <w:szCs w:val="22"/>
                <w:lang w:val="fr-FR"/>
              </w:rPr>
              <w:t xml:space="preserve">Comunicación de la Administración de los Países Bajos relativa a la nueva comunicación de una presentación para la notificación de la red de satélites NSS-BSS 95E TTC en virtud del número </w:t>
            </w:r>
            <w:r w:rsidRPr="001C5EA7">
              <w:rPr>
                <w:rFonts w:asciiTheme="minorHAnsi" w:hAnsiTheme="minorHAnsi" w:cstheme="majorBidi"/>
                <w:b/>
                <w:szCs w:val="22"/>
                <w:lang w:val="fr-FR"/>
              </w:rPr>
              <w:t>11.46</w:t>
            </w:r>
            <w:r w:rsidRPr="001C5EA7">
              <w:rPr>
                <w:rFonts w:asciiTheme="minorHAnsi" w:hAnsiTheme="minorHAnsi" w:cstheme="majorBidi"/>
                <w:bCs/>
                <w:szCs w:val="22"/>
                <w:lang w:val="fr-FR"/>
              </w:rPr>
              <w:br/>
            </w:r>
            <w:hyperlink r:id="rId25" w:history="1">
              <w:r w:rsidR="00B10950" w:rsidRPr="001C5EA7">
                <w:rPr>
                  <w:rFonts w:asciiTheme="minorHAnsi" w:hAnsiTheme="minorHAnsi"/>
                  <w:bCs/>
                  <w:lang w:val="fr-FR"/>
                </w:rPr>
                <w:t>(</w:t>
              </w:r>
              <w:r w:rsidR="00B10950" w:rsidRPr="001C5EA7">
                <w:rPr>
                  <w:rStyle w:val="Hyperlink"/>
                  <w:rFonts w:asciiTheme="minorHAnsi" w:hAnsiTheme="minorHAnsi" w:cstheme="majorBidi"/>
                  <w:szCs w:val="22"/>
                  <w:lang w:val="fr-CH"/>
                </w:rPr>
                <w:t>RRB18-1/5</w:t>
              </w:r>
            </w:hyperlink>
            <w:r w:rsidR="00B10950" w:rsidRPr="001C5EA7">
              <w:rPr>
                <w:rStyle w:val="Hyperlink"/>
                <w:rFonts w:asciiTheme="minorHAnsi" w:hAnsiTheme="minorHAnsi" w:cstheme="majorBidi"/>
                <w:szCs w:val="22"/>
                <w:lang w:val="fr-CH"/>
              </w:rPr>
              <w:t xml:space="preserve">; </w:t>
            </w:r>
            <w:hyperlink r:id="rId26" w:history="1">
              <w:r w:rsidR="00B73EEB" w:rsidRPr="001C5EA7">
                <w:rPr>
                  <w:rStyle w:val="Hyperlink"/>
                  <w:rFonts w:asciiTheme="minorHAnsi" w:hAnsiTheme="minorHAnsi" w:cstheme="majorBidi"/>
                  <w:szCs w:val="22"/>
                  <w:lang w:val="fr-CH"/>
                </w:rPr>
                <w:t>RRB18</w:t>
              </w:r>
              <w:r w:rsidR="00B73EEB" w:rsidRPr="001C5EA7">
                <w:rPr>
                  <w:rStyle w:val="Hyperlink"/>
                  <w:rFonts w:asciiTheme="minorHAnsi" w:hAnsiTheme="minorHAnsi" w:cstheme="majorBidi"/>
                  <w:szCs w:val="22"/>
                  <w:lang w:val="fr-CH"/>
                </w:rPr>
                <w:noBreakHyphen/>
              </w:r>
              <w:r w:rsidR="00B10950" w:rsidRPr="001C5EA7">
                <w:rPr>
                  <w:rStyle w:val="Hyperlink"/>
                  <w:rFonts w:asciiTheme="minorHAnsi" w:hAnsiTheme="minorHAnsi" w:cstheme="majorBidi"/>
                  <w:szCs w:val="22"/>
                  <w:lang w:val="fr-CH"/>
                </w:rPr>
                <w:t>1/5(Add.1)</w:t>
              </w:r>
              <w:r w:rsidR="00B10950" w:rsidRPr="001C5EA7">
                <w:rPr>
                  <w:rFonts w:asciiTheme="minorHAnsi" w:hAnsiTheme="minorHAnsi"/>
                  <w:bCs/>
                  <w:lang w:val="fr-FR"/>
                </w:rPr>
                <w:t>)</w:t>
              </w:r>
            </w:hyperlink>
          </w:p>
        </w:tc>
        <w:tc>
          <w:tcPr>
            <w:tcW w:w="7776" w:type="dxa"/>
            <w:tcBorders>
              <w:bottom w:val="single" w:sz="4" w:space="0" w:color="auto"/>
            </w:tcBorders>
          </w:tcPr>
          <w:p w:rsidR="006D135C" w:rsidRPr="001C5EA7" w:rsidRDefault="008C7D3A" w:rsidP="006018D0">
            <w:pPr>
              <w:pStyle w:val="Tabletext"/>
              <w:keepN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La Junta examinó en detalle la comunicación de la Administración de Países Bajos relativa a la nueva presentación de la notificación de asignaciones de frecuencias a la red de satélites NSS-B</w:t>
            </w:r>
            <w:r w:rsidR="00FB5D8E" w:rsidRPr="001C5EA7">
              <w:rPr>
                <w:rFonts w:asciiTheme="minorHAnsi" w:hAnsiTheme="minorHAnsi" w:cstheme="majorBidi"/>
                <w:szCs w:val="22"/>
                <w:lang w:val="fr-CH"/>
              </w:rPr>
              <w:t>SS 95E TTC en virtud del número</w:t>
            </w:r>
            <w:r w:rsidRPr="001C5EA7">
              <w:rPr>
                <w:rFonts w:asciiTheme="minorHAnsi" w:hAnsiTheme="minorHAnsi" w:cstheme="majorBidi"/>
                <w:szCs w:val="22"/>
                <w:lang w:val="fr-CH"/>
              </w:rPr>
              <w:t xml:space="preserve"> </w:t>
            </w:r>
            <w:r w:rsidRPr="001C5EA7">
              <w:rPr>
                <w:rFonts w:asciiTheme="minorHAnsi" w:hAnsiTheme="minorHAnsi" w:cstheme="majorBidi"/>
                <w:b/>
                <w:bCs/>
                <w:szCs w:val="22"/>
                <w:lang w:val="fr-CH"/>
              </w:rPr>
              <w:t>11.46</w:t>
            </w:r>
            <w:r w:rsidRPr="001C5EA7">
              <w:rPr>
                <w:rFonts w:asciiTheme="minorHAnsi" w:hAnsiTheme="minorHAnsi" w:cstheme="majorBidi"/>
                <w:szCs w:val="22"/>
                <w:lang w:val="fr-CH"/>
              </w:rPr>
              <w:t>, como figura en los Documentos RRB18-1/5 y RRB18-1/5(Add.1), y observó que la Oficina actuó en estricta conformidad con las disposiciones del Reglamento de Radiocomunicaciones.</w:t>
            </w:r>
          </w:p>
          <w:p w:rsidR="006D135C" w:rsidRPr="001C5EA7" w:rsidRDefault="008C7D3A" w:rsidP="006018D0">
            <w:pPr>
              <w:pStyle w:val="Tabletext"/>
              <w:keepN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La Junta señaló además que:</w:t>
            </w:r>
          </w:p>
          <w:p w:rsidR="006D135C" w:rsidRPr="001C5EA7" w:rsidRDefault="006D135C" w:rsidP="00261658">
            <w:pPr>
              <w:pStyle w:val="Tabletext"/>
              <w:keepNext/>
              <w:keepLines/>
              <w:spacing w:before="80" w:after="0"/>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r w:rsidRPr="001C5EA7">
              <w:rPr>
                <w:rFonts w:asciiTheme="minorHAnsi" w:hAnsiTheme="minorHAnsi" w:cstheme="majorBidi"/>
                <w:szCs w:val="22"/>
                <w:lang w:val="fr-CH"/>
              </w:rPr>
              <w:tab/>
            </w:r>
            <w:r w:rsidR="008C7D3A" w:rsidRPr="001C5EA7">
              <w:rPr>
                <w:rFonts w:asciiTheme="minorHAnsi" w:hAnsiTheme="minorHAnsi" w:cstheme="majorBidi"/>
                <w:szCs w:val="22"/>
                <w:lang w:val="fr-CH"/>
              </w:rPr>
              <w:t>el satélite está en funcionamiento y suministra un servicio esencial que garantiza el control del satélite en 95</w:t>
            </w:r>
            <w:r w:rsidR="00261658" w:rsidRPr="001C5EA7">
              <w:rPr>
                <w:rFonts w:asciiTheme="minorHAnsi" w:eastAsia="SimSun" w:hAnsiTheme="minorHAnsi" w:cstheme="majorBidi"/>
                <w:szCs w:val="22"/>
                <w:lang w:val="fr-CH" w:eastAsia="zh-CN"/>
              </w:rPr>
              <w:t>° </w:t>
            </w:r>
            <w:r w:rsidR="008C7D3A" w:rsidRPr="001C5EA7">
              <w:rPr>
                <w:rFonts w:asciiTheme="minorHAnsi" w:hAnsiTheme="minorHAnsi" w:cstheme="majorBidi"/>
                <w:szCs w:val="22"/>
                <w:lang w:val="fr-CH"/>
              </w:rPr>
              <w:t>E;</w:t>
            </w:r>
          </w:p>
          <w:p w:rsidR="006D135C" w:rsidRPr="001C5EA7" w:rsidRDefault="006D135C" w:rsidP="00261658">
            <w:pPr>
              <w:pStyle w:val="Tabletext"/>
              <w:keepNext/>
              <w:keepLines/>
              <w:spacing w:before="80" w:after="0"/>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r w:rsidRPr="001C5EA7">
              <w:rPr>
                <w:rFonts w:asciiTheme="minorHAnsi" w:hAnsiTheme="minorHAnsi" w:cstheme="majorBidi"/>
                <w:szCs w:val="22"/>
                <w:lang w:val="fr-CH"/>
              </w:rPr>
              <w:tab/>
            </w:r>
            <w:r w:rsidR="008C7D3A" w:rsidRPr="001C5EA7">
              <w:rPr>
                <w:rFonts w:asciiTheme="minorHAnsi" w:hAnsiTheme="minorHAnsi" w:cstheme="majorBidi"/>
                <w:szCs w:val="22"/>
                <w:lang w:val="fr-CH"/>
              </w:rPr>
              <w:t xml:space="preserve">se han llevado a buen término los procedimientos de coordinación del satélite y el sistema sólo ocupa 1 </w:t>
            </w:r>
            <w:r w:rsidR="002B3837" w:rsidRPr="001C5EA7">
              <w:rPr>
                <w:rFonts w:asciiTheme="minorHAnsi" w:hAnsiTheme="minorHAnsi" w:cstheme="majorBidi"/>
                <w:szCs w:val="22"/>
                <w:lang w:val="fr-CH"/>
              </w:rPr>
              <w:t>MHz</w:t>
            </w:r>
            <w:r w:rsidR="008C7D3A" w:rsidRPr="001C5EA7">
              <w:rPr>
                <w:rFonts w:asciiTheme="minorHAnsi" w:hAnsiTheme="minorHAnsi" w:cstheme="majorBidi"/>
                <w:szCs w:val="22"/>
                <w:lang w:val="fr-CH"/>
              </w:rPr>
              <w:t xml:space="preserve"> de ancho de banda, por lo que su repercusión en los servicios de otras administraciones es mínima</w:t>
            </w:r>
            <w:r w:rsidRPr="001C5EA7">
              <w:rPr>
                <w:rFonts w:asciiTheme="minorHAnsi" w:hAnsiTheme="minorHAnsi" w:cstheme="majorBidi"/>
                <w:szCs w:val="22"/>
                <w:lang w:val="fr-CH"/>
              </w:rPr>
              <w:t>.</w:t>
            </w:r>
          </w:p>
          <w:p w:rsidR="006D135C" w:rsidRPr="001C5EA7" w:rsidRDefault="008C7D3A" w:rsidP="007B0C1C">
            <w:pPr>
              <w:pStyle w:val="Tabletext"/>
              <w:keepN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 xml:space="preserve">Por consiguiente, la Junta decidió acceder a la solicitud </w:t>
            </w:r>
            <w:r w:rsidR="002B3837" w:rsidRPr="001C5EA7">
              <w:rPr>
                <w:rFonts w:asciiTheme="minorHAnsi" w:hAnsiTheme="minorHAnsi" w:cstheme="majorBidi"/>
                <w:szCs w:val="22"/>
                <w:lang w:val="fr-CH"/>
              </w:rPr>
              <w:t>de</w:t>
            </w:r>
            <w:r w:rsidRPr="001C5EA7">
              <w:rPr>
                <w:rFonts w:asciiTheme="minorHAnsi" w:hAnsiTheme="minorHAnsi" w:cstheme="majorBidi"/>
                <w:szCs w:val="22"/>
                <w:lang w:val="fr-CH"/>
              </w:rPr>
              <w:t xml:space="preserve"> la Administración de Países Bajos. La Junta encargó a la Oficina que aceptara la notificación de asignación de frecuencias a la red de satélites NSS-BSS 95E TTC como si se hubiera vuelto a presentar dentro del plazo de 6 meses estipulado en el número </w:t>
            </w:r>
            <w:r w:rsidRPr="001C5EA7">
              <w:rPr>
                <w:rFonts w:asciiTheme="minorHAnsi" w:hAnsiTheme="minorHAnsi" w:cstheme="majorBidi"/>
                <w:b/>
                <w:bCs/>
                <w:szCs w:val="22"/>
                <w:lang w:val="fr-CH"/>
              </w:rPr>
              <w:t>11.46</w:t>
            </w:r>
            <w:r w:rsidRPr="001C5EA7">
              <w:rPr>
                <w:rFonts w:asciiTheme="minorHAnsi" w:hAnsiTheme="minorHAnsi" w:cstheme="majorBidi"/>
                <w:szCs w:val="22"/>
                <w:lang w:val="fr-CH"/>
              </w:rPr>
              <w:t xml:space="preserve"> del RR y tramitara la nueva presentación en consecuencia. Además, la Junta encargó al Director de la Oficina de Radiocomunicaciones que informar sobre este particular a la CMR-19.</w:t>
            </w:r>
          </w:p>
        </w:tc>
        <w:tc>
          <w:tcPr>
            <w:tcW w:w="2430" w:type="dxa"/>
            <w:tcBorders>
              <w:bottom w:val="single" w:sz="4" w:space="0" w:color="auto"/>
              <w:right w:val="single" w:sz="4" w:space="0" w:color="auto"/>
            </w:tcBorders>
          </w:tcPr>
          <w:p w:rsidR="006D135C" w:rsidRPr="001C5EA7" w:rsidRDefault="006D135C" w:rsidP="000159EE">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El Secretario Ejecutivo comunicará esta decisión a las administraciones interesadas.</w:t>
            </w:r>
          </w:p>
          <w:p w:rsidR="006D135C" w:rsidRPr="001C5EA7" w:rsidRDefault="008C7D3A" w:rsidP="000159EE">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La Oficina aceptará la notificación de las asignaciones de frecuencias a la red de satélites NSS-BSS 95E TTC y tramitará la nueva presentación.</w:t>
            </w:r>
          </w:p>
          <w:p w:rsidR="006D135C" w:rsidRPr="001C5EA7" w:rsidRDefault="008C7D3A" w:rsidP="000159EE">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El Director infor</w:t>
            </w:r>
            <w:r w:rsidR="000159EE" w:rsidRPr="001C5EA7">
              <w:rPr>
                <w:rFonts w:asciiTheme="minorHAnsi" w:hAnsiTheme="minorHAnsi" w:cstheme="majorBidi"/>
                <w:szCs w:val="22"/>
                <w:lang w:val="fr-CH"/>
              </w:rPr>
              <w:t>mará sobre este particular a la </w:t>
            </w:r>
            <w:r w:rsidRPr="001C5EA7">
              <w:rPr>
                <w:rFonts w:asciiTheme="minorHAnsi" w:hAnsiTheme="minorHAnsi" w:cstheme="majorBidi"/>
                <w:szCs w:val="22"/>
                <w:lang w:val="fr-CH"/>
              </w:rPr>
              <w:t>CMR-19.</w:t>
            </w:r>
          </w:p>
        </w:tc>
      </w:tr>
      <w:tr w:rsidR="00DB2739" w:rsidRPr="001C5EA7" w:rsidTr="00C71757">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nil"/>
            </w:tcBorders>
            <w:shd w:val="clear" w:color="auto" w:fill="FFFFFF" w:themeFill="background1"/>
          </w:tcPr>
          <w:p w:rsidR="006D135C" w:rsidRPr="001C5EA7" w:rsidRDefault="006D135C" w:rsidP="00DB2739">
            <w:pPr>
              <w:pStyle w:val="Tabletext"/>
              <w:keepLines/>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t>7</w:t>
            </w:r>
          </w:p>
        </w:tc>
        <w:tc>
          <w:tcPr>
            <w:tcW w:w="2977" w:type="dxa"/>
            <w:tcBorders>
              <w:top w:val="single" w:sz="4" w:space="0" w:color="auto"/>
              <w:bottom w:val="nil"/>
            </w:tcBorders>
            <w:shd w:val="clear" w:color="auto" w:fill="FFFFFF" w:themeFill="background1"/>
          </w:tcPr>
          <w:p w:rsidR="006D135C" w:rsidRPr="001C5EA7" w:rsidRDefault="006D135C" w:rsidP="00DB2739">
            <w:pPr>
              <w:pStyle w:val="Tablet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C5EA7">
              <w:rPr>
                <w:rFonts w:asciiTheme="minorHAnsi" w:hAnsiTheme="minorHAnsi" w:cstheme="majorBidi"/>
                <w:bCs/>
                <w:szCs w:val="22"/>
                <w:lang w:val="fr-FR"/>
              </w:rPr>
              <w:t>Interferencia del sistema de satélites Iridium (HIBLEO-2) al servicio de radioastronomía</w:t>
            </w:r>
          </w:p>
        </w:tc>
        <w:tc>
          <w:tcPr>
            <w:tcW w:w="7776" w:type="dxa"/>
            <w:tcBorders>
              <w:top w:val="single" w:sz="4" w:space="0" w:color="auto"/>
              <w:bottom w:val="nil"/>
            </w:tcBorders>
            <w:shd w:val="clear" w:color="auto" w:fill="FFFFFF" w:themeFill="background1"/>
          </w:tcPr>
          <w:p w:rsidR="006D135C" w:rsidRPr="001C5EA7" w:rsidRDefault="006D135C" w:rsidP="00DB2739">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c>
          <w:tcPr>
            <w:tcW w:w="2430" w:type="dxa"/>
            <w:tcBorders>
              <w:top w:val="single" w:sz="4" w:space="0" w:color="auto"/>
              <w:bottom w:val="nil"/>
              <w:right w:val="single" w:sz="4" w:space="0" w:color="auto"/>
            </w:tcBorders>
            <w:shd w:val="clear" w:color="auto" w:fill="FFFFFF" w:themeFill="background1"/>
          </w:tcPr>
          <w:p w:rsidR="006D135C" w:rsidRPr="001C5EA7" w:rsidRDefault="006D135C" w:rsidP="00DB2739">
            <w:pPr>
              <w:pStyle w:val="Tabletext"/>
              <w:keepNext/>
              <w:keepLines/>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r>
      <w:tr w:rsidR="006D135C" w:rsidRPr="001C5EA7" w:rsidTr="00522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auto"/>
              <w:bottom w:val="nil"/>
            </w:tcBorders>
          </w:tcPr>
          <w:p w:rsidR="006D135C" w:rsidRPr="001C5EA7" w:rsidRDefault="006D135C" w:rsidP="00DB2739">
            <w:pPr>
              <w:pStyle w:val="Tabletext"/>
              <w:keepLines/>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t>7.1</w:t>
            </w:r>
          </w:p>
        </w:tc>
        <w:tc>
          <w:tcPr>
            <w:tcW w:w="2977" w:type="dxa"/>
            <w:tcBorders>
              <w:top w:val="nil"/>
              <w:bottom w:val="nil"/>
            </w:tcBorders>
          </w:tcPr>
          <w:p w:rsidR="006D135C" w:rsidRPr="001C5EA7" w:rsidRDefault="006D135C" w:rsidP="006B6FDE">
            <w:pPr>
              <w:pStyle w:val="Tablet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bCs/>
                <w:szCs w:val="22"/>
                <w:lang w:val="fr-FR"/>
              </w:rPr>
              <w:t>Comunicación de la Administración de Estados Unidos relativa a la interferencia perjudicial causada por el sistema de satélites Iridium (HIBLEO-2) al servicio de radioastronom</w:t>
            </w:r>
            <w:r w:rsidR="006B6FDE" w:rsidRPr="001C5EA7">
              <w:rPr>
                <w:rFonts w:asciiTheme="minorHAnsi" w:hAnsiTheme="minorHAnsi" w:cstheme="majorBidi"/>
                <w:bCs/>
                <w:szCs w:val="22"/>
                <w:lang w:val="fr-FR"/>
              </w:rPr>
              <w:t>ía en la banda de frecuencias 1 </w:t>
            </w:r>
            <w:r w:rsidRPr="001C5EA7">
              <w:rPr>
                <w:rFonts w:asciiTheme="minorHAnsi" w:hAnsiTheme="minorHAnsi" w:cstheme="majorBidi"/>
                <w:bCs/>
                <w:szCs w:val="22"/>
                <w:lang w:val="fr-FR"/>
              </w:rPr>
              <w:t>610,6-1 613,8 MHz</w:t>
            </w:r>
            <w:r w:rsidRPr="001C5EA7">
              <w:rPr>
                <w:rFonts w:asciiTheme="minorHAnsi" w:hAnsiTheme="minorHAnsi" w:cstheme="majorBidi"/>
                <w:bCs/>
                <w:szCs w:val="22"/>
                <w:lang w:val="fr-FR"/>
              </w:rPr>
              <w:br/>
            </w:r>
            <w:bookmarkStart w:id="10" w:name="lt_pId178"/>
            <w:r w:rsidRPr="001C5EA7">
              <w:rPr>
                <w:rFonts w:asciiTheme="minorHAnsi" w:hAnsiTheme="minorHAnsi" w:cstheme="majorBidi"/>
                <w:bCs/>
                <w:szCs w:val="22"/>
                <w:lang w:val="fr-FR"/>
              </w:rPr>
              <w:t>(</w:t>
            </w:r>
            <w:hyperlink r:id="rId27" w:history="1">
              <w:r w:rsidRPr="001C5EA7">
                <w:rPr>
                  <w:rStyle w:val="Hyperlink"/>
                  <w:rFonts w:asciiTheme="minorHAnsi" w:hAnsiTheme="minorHAnsi" w:cstheme="majorBidi"/>
                  <w:bCs/>
                  <w:szCs w:val="22"/>
                  <w:lang w:val="fr-FR"/>
                </w:rPr>
                <w:t>RRB18-1/3</w:t>
              </w:r>
            </w:hyperlink>
            <w:r w:rsidRPr="001C5EA7">
              <w:rPr>
                <w:rFonts w:asciiTheme="minorHAnsi" w:hAnsiTheme="minorHAnsi" w:cstheme="majorBidi"/>
                <w:bCs/>
                <w:szCs w:val="22"/>
                <w:lang w:val="fr-FR"/>
              </w:rPr>
              <w:t>)</w:t>
            </w:r>
            <w:bookmarkEnd w:id="10"/>
          </w:p>
        </w:tc>
        <w:tc>
          <w:tcPr>
            <w:tcW w:w="7776" w:type="dxa"/>
            <w:vMerge w:val="restart"/>
            <w:tcBorders>
              <w:top w:val="nil"/>
            </w:tcBorders>
          </w:tcPr>
          <w:p w:rsidR="006D135C" w:rsidRPr="001C5EA7" w:rsidRDefault="008C7D3A" w:rsidP="00A67BD1">
            <w:pPr>
              <w:pStyle w:val="Tabletext"/>
              <w:keepN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La Junta examinó meticulosamente las comunicaciones de la Administración de Estados Unidos, contenidas en el Documento RRB18-1/3 y de las Administraciones de República Checa, Lituania, Países Bajos, España y Suiza, contenidas en el Documento RRB18-1/9. La Junta tomó nota con satisfacción del diálogo y cooperación constantes entre las Administraciones sobre este asunto. La Junta también observó con preocupación la divergencia en las conclusiones de ambas partes sobre el problema de interferencia causada por la nueva generación de satélites Iridium a las estaciones de radioastronomía. La Junta instó a las Administraciones a seguir desplegando esfuerzos y coordinando sus mediciones de interferencia para llegar a resultados viables y convergentes. Asimismo, la Junta invitó a las Administraciones a información sobre los eventuales progresos.</w:t>
            </w:r>
          </w:p>
        </w:tc>
        <w:tc>
          <w:tcPr>
            <w:tcW w:w="2430" w:type="dxa"/>
            <w:vMerge w:val="restart"/>
            <w:tcBorders>
              <w:top w:val="nil"/>
              <w:right w:val="single" w:sz="4" w:space="0" w:color="auto"/>
            </w:tcBorders>
          </w:tcPr>
          <w:p w:rsidR="006D135C" w:rsidRPr="001C5EA7" w:rsidRDefault="006D135C" w:rsidP="00A67BD1">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El Secretario Ejecutivo comunicará esta decisión a las administraciones interesadas.</w:t>
            </w:r>
          </w:p>
        </w:tc>
      </w:tr>
      <w:tr w:rsidR="005225AB" w:rsidRPr="001C5EA7" w:rsidTr="002371BE">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auto"/>
              <w:bottom w:val="single" w:sz="4" w:space="0" w:color="auto"/>
            </w:tcBorders>
            <w:shd w:val="clear" w:color="auto" w:fill="FFFFFF" w:themeFill="background1"/>
          </w:tcPr>
          <w:p w:rsidR="006D135C" w:rsidRPr="001C5EA7" w:rsidRDefault="006D135C" w:rsidP="00DB2739">
            <w:pPr>
              <w:pStyle w:val="Tabletext"/>
              <w:keepLines/>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t>7.2</w:t>
            </w:r>
          </w:p>
        </w:tc>
        <w:tc>
          <w:tcPr>
            <w:tcW w:w="2977" w:type="dxa"/>
            <w:tcBorders>
              <w:top w:val="nil"/>
              <w:bottom w:val="single" w:sz="4" w:space="0" w:color="auto"/>
            </w:tcBorders>
            <w:shd w:val="clear" w:color="auto" w:fill="FFFFFF" w:themeFill="background1"/>
          </w:tcPr>
          <w:p w:rsidR="006D135C" w:rsidRPr="001C5EA7" w:rsidRDefault="006D135C" w:rsidP="00BC2098">
            <w:pPr>
              <w:pStyle w:val="Tablet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C5EA7">
              <w:rPr>
                <w:rFonts w:asciiTheme="minorHAnsi" w:hAnsiTheme="minorHAnsi" w:cstheme="majorBidi"/>
                <w:bCs/>
                <w:szCs w:val="22"/>
                <w:lang w:val="fr-FR"/>
              </w:rPr>
              <w:t>Comunicación de las Administraciones de la República Checa, Lituania, los Países Bajos, España y Suiza relativa a la interferencia perjudicial causada por el sistema de satélites Iridium (HIBLEO-2) al servicio de radioastronom</w:t>
            </w:r>
            <w:r w:rsidR="00BC2098" w:rsidRPr="001C5EA7">
              <w:rPr>
                <w:rFonts w:asciiTheme="minorHAnsi" w:hAnsiTheme="minorHAnsi" w:cstheme="majorBidi"/>
                <w:bCs/>
                <w:szCs w:val="22"/>
                <w:lang w:val="fr-FR"/>
              </w:rPr>
              <w:t>ía en la banda de frecuencias 1 610,6</w:t>
            </w:r>
            <w:r w:rsidR="00BC2098" w:rsidRPr="001C5EA7">
              <w:rPr>
                <w:rFonts w:asciiTheme="minorHAnsi" w:hAnsiTheme="minorHAnsi" w:cstheme="majorBidi"/>
                <w:bCs/>
                <w:szCs w:val="22"/>
                <w:lang w:val="fr-FR"/>
              </w:rPr>
              <w:noBreakHyphen/>
              <w:t>1 613,8 </w:t>
            </w:r>
            <w:r w:rsidRPr="001C5EA7">
              <w:rPr>
                <w:rFonts w:asciiTheme="minorHAnsi" w:hAnsiTheme="minorHAnsi" w:cstheme="majorBidi"/>
                <w:bCs/>
                <w:szCs w:val="22"/>
                <w:lang w:val="fr-FR"/>
              </w:rPr>
              <w:t>MHz</w:t>
            </w:r>
            <w:r w:rsidRPr="001C5EA7">
              <w:rPr>
                <w:rFonts w:asciiTheme="minorHAnsi" w:hAnsiTheme="minorHAnsi" w:cstheme="majorBidi"/>
                <w:bCs/>
                <w:szCs w:val="22"/>
                <w:lang w:val="fr-FR"/>
              </w:rPr>
              <w:br/>
            </w:r>
            <w:bookmarkStart w:id="11" w:name="lt_pId187"/>
            <w:r w:rsidRPr="001C5EA7">
              <w:rPr>
                <w:rFonts w:asciiTheme="minorHAnsi" w:hAnsiTheme="minorHAnsi" w:cstheme="majorBidi"/>
                <w:bCs/>
                <w:szCs w:val="22"/>
                <w:lang w:val="fr-FR"/>
              </w:rPr>
              <w:t>(</w:t>
            </w:r>
            <w:hyperlink r:id="rId28" w:history="1">
              <w:r w:rsidRPr="001C5EA7">
                <w:rPr>
                  <w:rStyle w:val="Hyperlink"/>
                  <w:rFonts w:asciiTheme="minorHAnsi" w:hAnsiTheme="minorHAnsi" w:cstheme="majorBidi"/>
                  <w:bCs/>
                  <w:szCs w:val="22"/>
                  <w:lang w:val="fr-FR"/>
                </w:rPr>
                <w:t>RRB18-1/9</w:t>
              </w:r>
            </w:hyperlink>
            <w:r w:rsidRPr="001C5EA7">
              <w:rPr>
                <w:rFonts w:asciiTheme="minorHAnsi" w:hAnsiTheme="minorHAnsi" w:cstheme="majorBidi"/>
                <w:bCs/>
                <w:szCs w:val="22"/>
                <w:lang w:val="fr-FR"/>
              </w:rPr>
              <w:t>)</w:t>
            </w:r>
            <w:bookmarkEnd w:id="11"/>
          </w:p>
        </w:tc>
        <w:tc>
          <w:tcPr>
            <w:tcW w:w="7776" w:type="dxa"/>
            <w:vMerge/>
            <w:tcBorders>
              <w:bottom w:val="single" w:sz="4" w:space="0" w:color="auto"/>
            </w:tcBorders>
            <w:shd w:val="clear" w:color="auto" w:fill="DBE5F1" w:themeFill="accent1" w:themeFillTint="33"/>
          </w:tcPr>
          <w:p w:rsidR="006D135C" w:rsidRPr="001C5EA7" w:rsidRDefault="006D135C" w:rsidP="00634B53">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30" w:type="dxa"/>
            <w:vMerge/>
            <w:tcBorders>
              <w:bottom w:val="single" w:sz="4" w:space="0" w:color="auto"/>
              <w:right w:val="single" w:sz="4" w:space="0" w:color="auto"/>
            </w:tcBorders>
            <w:shd w:val="clear" w:color="auto" w:fill="DBE5F1" w:themeFill="accent1" w:themeFillTint="33"/>
          </w:tcPr>
          <w:p w:rsidR="006D135C" w:rsidRPr="001C5EA7" w:rsidRDefault="006D135C" w:rsidP="00634B53">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0F3481" w:rsidRPr="001C5EA7" w:rsidTr="00237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nil"/>
            </w:tcBorders>
          </w:tcPr>
          <w:p w:rsidR="006D135C" w:rsidRPr="001C5EA7" w:rsidRDefault="006D135C" w:rsidP="00547F94">
            <w:pPr>
              <w:pStyle w:val="Tabletext"/>
              <w:keepNext/>
              <w:keepLines/>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t>8</w:t>
            </w:r>
          </w:p>
        </w:tc>
        <w:tc>
          <w:tcPr>
            <w:tcW w:w="2977" w:type="dxa"/>
            <w:tcBorders>
              <w:top w:val="single" w:sz="4" w:space="0" w:color="auto"/>
              <w:bottom w:val="nil"/>
            </w:tcBorders>
          </w:tcPr>
          <w:p w:rsidR="006D135C" w:rsidRPr="001C5EA7" w:rsidRDefault="006D135C" w:rsidP="000F3481">
            <w:pPr>
              <w:pStyle w:val="Tablet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bCs/>
                <w:szCs w:val="22"/>
                <w:lang w:val="fr-FR"/>
              </w:rPr>
              <w:t>Situación de las redes de satélites</w:t>
            </w:r>
          </w:p>
        </w:tc>
        <w:tc>
          <w:tcPr>
            <w:tcW w:w="7776" w:type="dxa"/>
            <w:tcBorders>
              <w:top w:val="single" w:sz="4" w:space="0" w:color="auto"/>
              <w:bottom w:val="nil"/>
            </w:tcBorders>
          </w:tcPr>
          <w:p w:rsidR="006D135C" w:rsidRPr="001C5EA7" w:rsidRDefault="006D135C" w:rsidP="000D0A10">
            <w:pPr>
              <w:pStyle w:val="Tabletext"/>
              <w:keepN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c>
          <w:tcPr>
            <w:tcW w:w="2430" w:type="dxa"/>
            <w:tcBorders>
              <w:top w:val="single" w:sz="4" w:space="0" w:color="auto"/>
              <w:bottom w:val="nil"/>
              <w:right w:val="single" w:sz="4" w:space="0" w:color="auto"/>
            </w:tcBorders>
          </w:tcPr>
          <w:p w:rsidR="006D135C" w:rsidRPr="001C5EA7" w:rsidRDefault="006D135C" w:rsidP="000D0A10">
            <w:pPr>
              <w:pStyle w:val="Tabletext"/>
              <w:keepNext/>
              <w:keepLines/>
              <w:tabs>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r>
      <w:tr w:rsidR="006D135C" w:rsidRPr="001C5EA7" w:rsidTr="00CA20D1">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auto"/>
              <w:bottom w:val="nil"/>
            </w:tcBorders>
            <w:shd w:val="clear" w:color="auto" w:fill="FFFFFF" w:themeFill="background1"/>
          </w:tcPr>
          <w:p w:rsidR="006D135C" w:rsidRPr="001C5EA7" w:rsidRDefault="006D135C" w:rsidP="00547F94">
            <w:pPr>
              <w:pStyle w:val="Tabletext"/>
              <w:keepNext/>
              <w:keepLines/>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t>8.1</w:t>
            </w:r>
          </w:p>
        </w:tc>
        <w:tc>
          <w:tcPr>
            <w:tcW w:w="2977" w:type="dxa"/>
            <w:tcBorders>
              <w:top w:val="nil"/>
              <w:bottom w:val="nil"/>
            </w:tcBorders>
            <w:shd w:val="clear" w:color="auto" w:fill="FFFFFF" w:themeFill="background1"/>
          </w:tcPr>
          <w:p w:rsidR="006D135C" w:rsidRPr="001C5EA7" w:rsidRDefault="006D135C" w:rsidP="00491980">
            <w:pPr>
              <w:pStyle w:val="Tablet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Cs/>
                <w:szCs w:val="22"/>
                <w:lang w:val="fr-FR"/>
              </w:rPr>
            </w:pPr>
            <w:r w:rsidRPr="001C5EA7">
              <w:rPr>
                <w:rFonts w:asciiTheme="minorHAnsi" w:hAnsiTheme="minorHAnsi" w:cstheme="majorBidi"/>
                <w:bCs/>
                <w:szCs w:val="22"/>
                <w:lang w:val="fr-FR"/>
              </w:rPr>
              <w:t>Comunicación de la Administración de Alemania relativa a la aplicación del Artículo 48 de la Constitución de la UIT a las asignaciones de frecuencias inscrita pa</w:t>
            </w:r>
            <w:r w:rsidR="00491980" w:rsidRPr="001C5EA7">
              <w:rPr>
                <w:rFonts w:asciiTheme="minorHAnsi" w:hAnsiTheme="minorHAnsi" w:cstheme="majorBidi"/>
                <w:bCs/>
                <w:szCs w:val="22"/>
                <w:lang w:val="fr-FR"/>
              </w:rPr>
              <w:t>ra las redes de satélites INSAT</w:t>
            </w:r>
            <w:r w:rsidR="00491980" w:rsidRPr="001C5EA7">
              <w:rPr>
                <w:rFonts w:asciiTheme="minorHAnsi" w:hAnsiTheme="minorHAnsi" w:cstheme="majorBidi"/>
                <w:bCs/>
                <w:szCs w:val="22"/>
                <w:lang w:val="fr-FR"/>
              </w:rPr>
              <w:noBreakHyphen/>
              <w:t>2(48), INSAT-2M(48), INSAT</w:t>
            </w:r>
            <w:r w:rsidR="00491980" w:rsidRPr="001C5EA7">
              <w:rPr>
                <w:rFonts w:asciiTheme="minorHAnsi" w:hAnsiTheme="minorHAnsi" w:cstheme="majorBidi"/>
                <w:bCs/>
                <w:szCs w:val="22"/>
                <w:lang w:val="fr-FR"/>
              </w:rPr>
              <w:noBreakHyphen/>
              <w:t>2T(48), e INSAT</w:t>
            </w:r>
            <w:r w:rsidR="00491980" w:rsidRPr="001C5EA7">
              <w:rPr>
                <w:rFonts w:asciiTheme="minorHAnsi" w:hAnsiTheme="minorHAnsi" w:cstheme="majorBidi"/>
                <w:bCs/>
                <w:szCs w:val="22"/>
                <w:lang w:val="fr-FR"/>
              </w:rPr>
              <w:noBreakHyphen/>
            </w:r>
            <w:r w:rsidRPr="001C5EA7">
              <w:rPr>
                <w:rFonts w:asciiTheme="minorHAnsi" w:hAnsiTheme="minorHAnsi" w:cstheme="majorBidi"/>
                <w:bCs/>
                <w:szCs w:val="22"/>
                <w:lang w:val="fr-FR"/>
              </w:rPr>
              <w:t>EK48R a 48</w:t>
            </w:r>
            <w:r w:rsidR="00491980" w:rsidRPr="001C5EA7">
              <w:rPr>
                <w:rFonts w:asciiTheme="minorHAnsi" w:hAnsiTheme="minorHAnsi" w:cstheme="majorBidi"/>
                <w:szCs w:val="22"/>
                <w:lang w:val="fr-CH"/>
              </w:rPr>
              <w:t>° </w:t>
            </w:r>
            <w:r w:rsidRPr="001C5EA7">
              <w:rPr>
                <w:rFonts w:asciiTheme="minorHAnsi" w:hAnsiTheme="minorHAnsi" w:cstheme="majorBidi"/>
                <w:bCs/>
                <w:szCs w:val="22"/>
                <w:lang w:val="fr-FR"/>
              </w:rPr>
              <w:t>E</w:t>
            </w:r>
            <w:r w:rsidRPr="001C5EA7">
              <w:rPr>
                <w:rFonts w:asciiTheme="minorHAnsi" w:hAnsiTheme="minorHAnsi" w:cstheme="majorBidi"/>
                <w:bCs/>
                <w:szCs w:val="22"/>
                <w:lang w:val="fr-FR"/>
              </w:rPr>
              <w:br/>
            </w:r>
            <w:hyperlink r:id="rId29" w:history="1">
              <w:r w:rsidR="00491980" w:rsidRPr="001C5EA7">
                <w:rPr>
                  <w:rStyle w:val="Hyperlink"/>
                  <w:rFonts w:asciiTheme="minorHAnsi" w:hAnsiTheme="minorHAnsi" w:cstheme="majorBidi"/>
                  <w:szCs w:val="22"/>
                  <w:lang w:val="fr-CH"/>
                </w:rPr>
                <w:t>(RRB18-1/7)</w:t>
              </w:r>
            </w:hyperlink>
            <w:r w:rsidR="00491980" w:rsidRPr="001C5EA7">
              <w:rPr>
                <w:rFonts w:asciiTheme="minorHAnsi" w:hAnsiTheme="minorHAnsi"/>
                <w:bCs/>
                <w:lang w:val="fr-FR"/>
              </w:rPr>
              <w:t xml:space="preserve">; </w:t>
            </w:r>
            <w:r w:rsidR="004749BA" w:rsidRPr="001C5EA7">
              <w:rPr>
                <w:rStyle w:val="Hyperlink"/>
                <w:rFonts w:asciiTheme="minorHAnsi" w:hAnsiTheme="minorHAnsi" w:cstheme="majorBidi"/>
                <w:szCs w:val="22"/>
                <w:lang w:val="fr-CH"/>
              </w:rPr>
              <w:br/>
            </w:r>
            <w:hyperlink r:id="rId30" w:history="1">
              <w:r w:rsidR="00491980" w:rsidRPr="001C5EA7">
                <w:rPr>
                  <w:rStyle w:val="Hyperlink"/>
                  <w:rFonts w:asciiTheme="minorHAnsi" w:hAnsiTheme="minorHAnsi" w:cstheme="majorBidi"/>
                  <w:szCs w:val="22"/>
                  <w:lang w:val="fr-CH"/>
                </w:rPr>
                <w:t>(RRB18-1/DELAYED/1)</w:t>
              </w:r>
            </w:hyperlink>
            <w:r w:rsidR="00491980" w:rsidRPr="001C5EA7">
              <w:rPr>
                <w:rFonts w:asciiTheme="minorHAnsi" w:hAnsiTheme="minorHAnsi"/>
                <w:bCs/>
                <w:lang w:val="fr-FR"/>
              </w:rPr>
              <w:t xml:space="preserve">; </w:t>
            </w:r>
            <w:r w:rsidR="00491980" w:rsidRPr="001C5EA7">
              <w:rPr>
                <w:rStyle w:val="Hyperlink"/>
                <w:rFonts w:asciiTheme="minorHAnsi" w:hAnsiTheme="minorHAnsi" w:cstheme="majorBidi"/>
                <w:szCs w:val="22"/>
                <w:lang w:val="fr-CH"/>
              </w:rPr>
              <w:t>(</w:t>
            </w:r>
            <w:hyperlink r:id="rId31" w:history="1">
              <w:r w:rsidR="00491980" w:rsidRPr="001C5EA7">
                <w:rPr>
                  <w:rStyle w:val="Hyperlink"/>
                  <w:rFonts w:asciiTheme="minorHAnsi" w:hAnsiTheme="minorHAnsi" w:cstheme="majorBidi"/>
                  <w:szCs w:val="22"/>
                  <w:lang w:val="fr-CH"/>
                </w:rPr>
                <w:t>RRB18-1/DELAYED/2</w:t>
              </w:r>
            </w:hyperlink>
            <w:r w:rsidR="00491980" w:rsidRPr="001C5EA7">
              <w:rPr>
                <w:rStyle w:val="Hyperlink"/>
                <w:rFonts w:asciiTheme="minorHAnsi" w:hAnsiTheme="minorHAnsi" w:cstheme="majorBidi"/>
                <w:szCs w:val="22"/>
                <w:lang w:val="fr-CH"/>
              </w:rPr>
              <w:t>)</w:t>
            </w:r>
          </w:p>
        </w:tc>
        <w:tc>
          <w:tcPr>
            <w:tcW w:w="7776" w:type="dxa"/>
            <w:tcBorders>
              <w:top w:val="nil"/>
              <w:bottom w:val="nil"/>
            </w:tcBorders>
            <w:shd w:val="clear" w:color="auto" w:fill="FFFFFF" w:themeFill="background1"/>
          </w:tcPr>
          <w:p w:rsidR="008C7D3A" w:rsidRPr="001C5EA7" w:rsidRDefault="008C7D3A" w:rsidP="004119BB">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La Junta examinó en detalle la comunicación de la Administración de Alemania relativa a la aplicación del Artículo 48 de la Constitución, contenida en el Documento</w:t>
            </w:r>
            <w:r w:rsidR="004119BB" w:rsidRPr="001C5EA7">
              <w:rPr>
                <w:rFonts w:asciiTheme="minorHAnsi" w:hAnsiTheme="minorHAnsi" w:cstheme="majorBidi"/>
                <w:szCs w:val="22"/>
                <w:lang w:val="fr-CH"/>
              </w:rPr>
              <w:t> </w:t>
            </w:r>
            <w:r w:rsidRPr="001C5EA7">
              <w:rPr>
                <w:rFonts w:asciiTheme="minorHAnsi" w:hAnsiTheme="minorHAnsi" w:cstheme="majorBidi"/>
                <w:szCs w:val="22"/>
                <w:lang w:val="fr-CH"/>
              </w:rPr>
              <w:t>RRB18-1/7, y consideró a título i</w:t>
            </w:r>
            <w:r w:rsidR="004119BB" w:rsidRPr="001C5EA7">
              <w:rPr>
                <w:rFonts w:asciiTheme="minorHAnsi" w:hAnsiTheme="minorHAnsi" w:cstheme="majorBidi"/>
                <w:szCs w:val="22"/>
                <w:lang w:val="fr-CH"/>
              </w:rPr>
              <w:t>nformativo los Documentos RRB18</w:t>
            </w:r>
            <w:r w:rsidR="004119BB" w:rsidRPr="001C5EA7">
              <w:rPr>
                <w:rFonts w:asciiTheme="minorHAnsi" w:hAnsiTheme="minorHAnsi" w:cstheme="majorBidi"/>
                <w:szCs w:val="22"/>
                <w:lang w:val="fr-CH"/>
              </w:rPr>
              <w:noBreakHyphen/>
            </w:r>
            <w:r w:rsidRPr="001C5EA7">
              <w:rPr>
                <w:rFonts w:asciiTheme="minorHAnsi" w:hAnsiTheme="minorHAnsi" w:cstheme="majorBidi"/>
                <w:szCs w:val="22"/>
                <w:lang w:val="fr-CH"/>
              </w:rPr>
              <w:t>1/DELAYED/1 y RRB18-1/DELAYED/2, y llegó a la conclusión de que la Oficina había actuado correctamente. La Junta r</w:t>
            </w:r>
            <w:r w:rsidR="004119BB" w:rsidRPr="001C5EA7">
              <w:rPr>
                <w:rFonts w:asciiTheme="minorHAnsi" w:hAnsiTheme="minorHAnsi" w:cstheme="majorBidi"/>
                <w:szCs w:val="22"/>
                <w:lang w:val="fr-CH"/>
              </w:rPr>
              <w:t>econoció que la CMR-12 y la CMR</w:t>
            </w:r>
            <w:r w:rsidR="004119BB" w:rsidRPr="001C5EA7">
              <w:rPr>
                <w:rFonts w:asciiTheme="minorHAnsi" w:hAnsiTheme="minorHAnsi" w:cstheme="majorBidi"/>
                <w:szCs w:val="22"/>
                <w:lang w:val="fr-CH"/>
              </w:rPr>
              <w:noBreakHyphen/>
            </w:r>
            <w:r w:rsidRPr="001C5EA7">
              <w:rPr>
                <w:rFonts w:asciiTheme="minorHAnsi" w:hAnsiTheme="minorHAnsi" w:cstheme="majorBidi"/>
                <w:szCs w:val="22"/>
                <w:lang w:val="fr-CH"/>
              </w:rPr>
              <w:t>15 tomaron decisiones sobre la aplicación del Artículo 48 de la Constitución de la UIT y tomó nota también del número 3 del Artículo 48.</w:t>
            </w:r>
          </w:p>
          <w:p w:rsidR="006D135C" w:rsidRPr="001C5EA7" w:rsidRDefault="008C7D3A" w:rsidP="004119BB">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Habida cuenta de la información suministrada por la Administración de Alemania, la Junta decidió encargar a la Oficina que invitara a la Administración de la India a responder a las cuestiones planteadas por la Administración de Alemania.</w:t>
            </w:r>
          </w:p>
        </w:tc>
        <w:tc>
          <w:tcPr>
            <w:tcW w:w="2430" w:type="dxa"/>
            <w:tcBorders>
              <w:top w:val="nil"/>
              <w:bottom w:val="nil"/>
              <w:right w:val="single" w:sz="4" w:space="0" w:color="auto"/>
            </w:tcBorders>
            <w:shd w:val="clear" w:color="auto" w:fill="FFFFFF" w:themeFill="background1"/>
          </w:tcPr>
          <w:p w:rsidR="006D135C" w:rsidRPr="001C5EA7" w:rsidRDefault="006D135C" w:rsidP="005C5C95">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El Secretario Ejecutivo comunicará esta decisión a las administraciones interesadas.</w:t>
            </w:r>
          </w:p>
          <w:p w:rsidR="006D135C" w:rsidRPr="001C5EA7" w:rsidRDefault="008C7D3A" w:rsidP="005C5C95">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La Oficina comunicará las cuestiones planteadas a la Administración de la India.</w:t>
            </w:r>
          </w:p>
        </w:tc>
      </w:tr>
      <w:tr w:rsidR="006D135C" w:rsidRPr="001C5EA7" w:rsidTr="00237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auto"/>
              <w:bottom w:val="nil"/>
            </w:tcBorders>
          </w:tcPr>
          <w:p w:rsidR="006D135C" w:rsidRPr="001C5EA7" w:rsidRDefault="006D135C" w:rsidP="002371BE">
            <w:pPr>
              <w:pStyle w:val="Tabletext"/>
              <w:keepNext/>
              <w:keepLines/>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t>9</w:t>
            </w:r>
          </w:p>
        </w:tc>
        <w:tc>
          <w:tcPr>
            <w:tcW w:w="2977" w:type="dxa"/>
            <w:tcBorders>
              <w:top w:val="nil"/>
              <w:bottom w:val="nil"/>
            </w:tcBorders>
          </w:tcPr>
          <w:p w:rsidR="006D135C" w:rsidRPr="001C5EA7" w:rsidRDefault="006D135C" w:rsidP="007C31CD">
            <w:pPr>
              <w:pStyle w:val="Tablet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bCs/>
                <w:szCs w:val="22"/>
                <w:lang w:val="fr-FR"/>
              </w:rPr>
              <w:t xml:space="preserve">Consideración de cuestiones relativas a la Resolución </w:t>
            </w:r>
            <w:r w:rsidRPr="001C5EA7">
              <w:rPr>
                <w:rFonts w:asciiTheme="minorHAnsi" w:hAnsiTheme="minorHAnsi" w:cstheme="majorBidi"/>
                <w:b/>
                <w:szCs w:val="22"/>
                <w:lang w:val="fr-FR"/>
              </w:rPr>
              <w:t>80 (Rev.CMR-07)</w:t>
            </w:r>
            <w:r w:rsidRPr="001C5EA7">
              <w:rPr>
                <w:rFonts w:asciiTheme="minorHAnsi" w:hAnsiTheme="minorHAnsi" w:cstheme="majorBidi"/>
                <w:bCs/>
                <w:szCs w:val="22"/>
                <w:lang w:val="fr-FR"/>
              </w:rPr>
              <w:br/>
            </w:r>
            <w:bookmarkStart w:id="12" w:name="lt_pId204"/>
            <w:r w:rsidRPr="001C5EA7">
              <w:rPr>
                <w:rFonts w:asciiTheme="minorHAnsi" w:hAnsiTheme="minorHAnsi"/>
                <w:bCs/>
                <w:szCs w:val="22"/>
                <w:lang w:val="fr-FR"/>
              </w:rPr>
              <w:t>(</w:t>
            </w:r>
            <w:hyperlink r:id="rId32" w:history="1">
              <w:r w:rsidRPr="001C5EA7">
                <w:rPr>
                  <w:rStyle w:val="Hyperlink"/>
                  <w:rFonts w:asciiTheme="minorHAnsi" w:hAnsiTheme="minorHAnsi"/>
                  <w:bCs/>
                  <w:szCs w:val="22"/>
                  <w:lang w:val="fr-FR"/>
                </w:rPr>
                <w:t>RRB18-1/INFO/1</w:t>
              </w:r>
            </w:hyperlink>
            <w:r w:rsidRPr="001C5EA7">
              <w:rPr>
                <w:rFonts w:asciiTheme="minorHAnsi" w:hAnsiTheme="minorHAnsi"/>
                <w:bCs/>
                <w:szCs w:val="22"/>
                <w:lang w:val="fr-FR"/>
              </w:rPr>
              <w:t>)</w:t>
            </w:r>
            <w:bookmarkEnd w:id="12"/>
          </w:p>
        </w:tc>
        <w:tc>
          <w:tcPr>
            <w:tcW w:w="7776" w:type="dxa"/>
            <w:tcBorders>
              <w:top w:val="nil"/>
              <w:bottom w:val="nil"/>
            </w:tcBorders>
          </w:tcPr>
          <w:p w:rsidR="006D135C" w:rsidRPr="001C5EA7" w:rsidRDefault="008C7D3A" w:rsidP="006923E8">
            <w:pPr>
              <w:pStyle w:val="Tabletext"/>
              <w:keepN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 xml:space="preserve">La Junta decidió que el Grupo de Trabajo sobre la Resolución </w:t>
            </w:r>
            <w:r w:rsidRPr="001C5EA7">
              <w:rPr>
                <w:rFonts w:asciiTheme="minorHAnsi" w:hAnsiTheme="minorHAnsi" w:cstheme="majorBidi"/>
                <w:b/>
                <w:bCs/>
                <w:szCs w:val="22"/>
                <w:lang w:val="fr-CH"/>
              </w:rPr>
              <w:t>80 (Rev.CMR-07)</w:t>
            </w:r>
            <w:r w:rsidRPr="001C5EA7">
              <w:rPr>
                <w:rFonts w:asciiTheme="minorHAnsi" w:hAnsiTheme="minorHAnsi" w:cstheme="majorBidi"/>
                <w:szCs w:val="22"/>
                <w:lang w:val="fr-CH"/>
              </w:rPr>
              <w:t xml:space="preserve"> preparase un anteproyecto de su informe para la CMR-19, de acuerdo con la Resolución </w:t>
            </w:r>
            <w:r w:rsidRPr="001C5EA7">
              <w:rPr>
                <w:rFonts w:asciiTheme="minorHAnsi" w:hAnsiTheme="minorHAnsi" w:cstheme="majorBidi"/>
                <w:b/>
                <w:bCs/>
                <w:szCs w:val="22"/>
                <w:lang w:val="fr-CH"/>
              </w:rPr>
              <w:t>80 (Rev.CMR-07)</w:t>
            </w:r>
            <w:r w:rsidRPr="001C5EA7">
              <w:rPr>
                <w:rFonts w:asciiTheme="minorHAnsi" w:hAnsiTheme="minorHAnsi" w:cstheme="majorBidi"/>
                <w:szCs w:val="22"/>
                <w:lang w:val="fr-CH"/>
              </w:rPr>
              <w:t xml:space="preserve">, para su consideración en la 79ª reunión. La Junta convino en trabajar por correspondencia y seguir analizando sistemáticamente los temas tratados por la Junta desde la CMR-15 y que afectan al cumplimento de los principios estipulados en el Artículo 44 de la Constitución y en el número </w:t>
            </w:r>
            <w:r w:rsidRPr="001C5EA7">
              <w:rPr>
                <w:rFonts w:asciiTheme="minorHAnsi" w:hAnsiTheme="minorHAnsi" w:cstheme="majorBidi"/>
                <w:b/>
                <w:bCs/>
                <w:szCs w:val="22"/>
                <w:lang w:val="fr-CH"/>
              </w:rPr>
              <w:t>0.3</w:t>
            </w:r>
            <w:r w:rsidRPr="001C5EA7">
              <w:rPr>
                <w:rFonts w:asciiTheme="minorHAnsi" w:hAnsiTheme="minorHAnsi" w:cstheme="majorBidi"/>
                <w:szCs w:val="22"/>
                <w:lang w:val="fr-CH"/>
              </w:rPr>
              <w:t xml:space="preserve"> del Preámbulo del Reglamento de Radiocomunicaciones, identificando las posibles soluciones. La Junta dio las gracias a la Sra. J. WILSON por los trabajos realizados sobre este asunto.</w:t>
            </w:r>
          </w:p>
        </w:tc>
        <w:tc>
          <w:tcPr>
            <w:tcW w:w="2430" w:type="dxa"/>
            <w:tcBorders>
              <w:top w:val="nil"/>
              <w:bottom w:val="nil"/>
              <w:right w:val="single" w:sz="4" w:space="0" w:color="auto"/>
            </w:tcBorders>
          </w:tcPr>
          <w:p w:rsidR="006D135C" w:rsidRPr="001C5EA7" w:rsidRDefault="006D135C" w:rsidP="00337818">
            <w:pPr>
              <w:pStyle w:val="Tabletext"/>
              <w:keepNext/>
              <w:keepLines/>
              <w:tabs>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r>
      <w:tr w:rsidR="002371BE" w:rsidRPr="001C5EA7" w:rsidTr="002371BE">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auto"/>
              <w:bottom w:val="single" w:sz="4" w:space="0" w:color="auto"/>
            </w:tcBorders>
            <w:shd w:val="clear" w:color="auto" w:fill="FFFFFF" w:themeFill="background1"/>
          </w:tcPr>
          <w:p w:rsidR="006D135C" w:rsidRPr="001C5EA7" w:rsidRDefault="006D135C" w:rsidP="002371BE">
            <w:pPr>
              <w:pStyle w:val="Tabletext"/>
              <w:keepNext/>
              <w:keepLines/>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t>10</w:t>
            </w:r>
          </w:p>
        </w:tc>
        <w:tc>
          <w:tcPr>
            <w:tcW w:w="2977" w:type="dxa"/>
            <w:tcBorders>
              <w:top w:val="nil"/>
              <w:bottom w:val="single" w:sz="4" w:space="0" w:color="auto"/>
            </w:tcBorders>
            <w:shd w:val="clear" w:color="auto" w:fill="FFFFFF" w:themeFill="background1"/>
          </w:tcPr>
          <w:p w:rsidR="006D135C" w:rsidRPr="001C5EA7" w:rsidRDefault="006D135C" w:rsidP="002C1FA0">
            <w:pPr>
              <w:pStyle w:val="Tablet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C5EA7">
              <w:rPr>
                <w:rFonts w:asciiTheme="minorHAnsi" w:hAnsiTheme="minorHAnsi" w:cstheme="majorBidi"/>
                <w:bCs/>
                <w:szCs w:val="22"/>
                <w:lang w:val="fr-FR"/>
              </w:rPr>
              <w:t>Participación de la RRB en la Conferencia d</w:t>
            </w:r>
            <w:r w:rsidR="002C1FA0" w:rsidRPr="001C5EA7">
              <w:rPr>
                <w:rFonts w:asciiTheme="minorHAnsi" w:hAnsiTheme="minorHAnsi" w:cstheme="majorBidi"/>
                <w:bCs/>
                <w:szCs w:val="22"/>
                <w:lang w:val="fr-FR"/>
              </w:rPr>
              <w:t>e Plenipotenciarios de 2018 (PP</w:t>
            </w:r>
            <w:r w:rsidR="002C1FA0" w:rsidRPr="001C5EA7">
              <w:rPr>
                <w:rFonts w:asciiTheme="minorHAnsi" w:hAnsiTheme="minorHAnsi" w:cstheme="majorBidi"/>
                <w:bCs/>
                <w:szCs w:val="22"/>
                <w:lang w:val="fr-FR"/>
              </w:rPr>
              <w:noBreakHyphen/>
            </w:r>
            <w:r w:rsidRPr="001C5EA7">
              <w:rPr>
                <w:rFonts w:asciiTheme="minorHAnsi" w:hAnsiTheme="minorHAnsi" w:cstheme="majorBidi"/>
                <w:bCs/>
                <w:szCs w:val="22"/>
                <w:lang w:val="fr-FR"/>
              </w:rPr>
              <w:t>18) y en el Seminario Mundial de Radiocomunicaciones de 2018 (SMR-18)</w:t>
            </w:r>
          </w:p>
        </w:tc>
        <w:tc>
          <w:tcPr>
            <w:tcW w:w="7776" w:type="dxa"/>
            <w:tcBorders>
              <w:top w:val="nil"/>
              <w:bottom w:val="single" w:sz="4" w:space="0" w:color="auto"/>
            </w:tcBorders>
            <w:shd w:val="clear" w:color="auto" w:fill="FFFFFF" w:themeFill="background1"/>
          </w:tcPr>
          <w:p w:rsidR="008C7D3A" w:rsidRPr="001C5EA7" w:rsidRDefault="008C7D3A" w:rsidP="00BD2BE5">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 xml:space="preserve">La Junta decidió, habida cuenta del </w:t>
            </w:r>
            <w:r w:rsidR="00BD2BE5" w:rsidRPr="001C5EA7">
              <w:rPr>
                <w:rFonts w:asciiTheme="minorHAnsi" w:hAnsiTheme="minorHAnsi" w:cstheme="majorBidi"/>
                <w:szCs w:val="22"/>
                <w:lang w:val="fr-CH"/>
              </w:rPr>
              <w:t xml:space="preserve">número </w:t>
            </w:r>
            <w:r w:rsidRPr="001C5EA7">
              <w:rPr>
                <w:rFonts w:asciiTheme="minorHAnsi" w:hAnsiTheme="minorHAnsi" w:cstheme="majorBidi"/>
                <w:szCs w:val="22"/>
                <w:lang w:val="fr-CH"/>
              </w:rPr>
              <w:t>141A</w:t>
            </w:r>
            <w:r w:rsidR="00BD2BE5" w:rsidRPr="001C5EA7">
              <w:rPr>
                <w:rFonts w:asciiTheme="minorHAnsi" w:hAnsiTheme="minorHAnsi" w:cstheme="majorBidi"/>
                <w:szCs w:val="22"/>
                <w:lang w:val="fr-CH"/>
              </w:rPr>
              <w:t xml:space="preserve"> del Convenio</w:t>
            </w:r>
            <w:r w:rsidRPr="001C5EA7">
              <w:rPr>
                <w:rFonts w:asciiTheme="minorHAnsi" w:hAnsiTheme="minorHAnsi" w:cstheme="majorBidi"/>
                <w:szCs w:val="22"/>
                <w:lang w:val="fr-CH"/>
              </w:rPr>
              <w:t>, que los Sres.</w:t>
            </w:r>
            <w:r w:rsidR="002B1DF9" w:rsidRPr="001C5EA7">
              <w:rPr>
                <w:rFonts w:asciiTheme="minorHAnsi" w:hAnsiTheme="minorHAnsi" w:cstheme="majorBidi"/>
                <w:szCs w:val="22"/>
                <w:lang w:val="fr-CH"/>
              </w:rPr>
              <w:t xml:space="preserve"> M. </w:t>
            </w:r>
            <w:r w:rsidRPr="001C5EA7">
              <w:rPr>
                <w:rFonts w:asciiTheme="minorHAnsi" w:hAnsiTheme="minorHAnsi" w:cstheme="majorBidi"/>
                <w:szCs w:val="22"/>
                <w:lang w:val="fr-CH"/>
              </w:rPr>
              <w:t>BESSI y V. STRELETS representarán a la Junta en la Conferencia de Plenipotenciarios de 2018.</w:t>
            </w:r>
          </w:p>
          <w:p w:rsidR="006D135C" w:rsidRPr="001C5EA7" w:rsidRDefault="008C7D3A" w:rsidP="00E05976">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La Jun</w:t>
            </w:r>
            <w:r w:rsidR="00354012" w:rsidRPr="001C5EA7">
              <w:rPr>
                <w:rFonts w:asciiTheme="minorHAnsi" w:hAnsiTheme="minorHAnsi" w:cstheme="majorBidi"/>
                <w:szCs w:val="22"/>
                <w:lang w:val="fr-CH"/>
              </w:rPr>
              <w:t>ta decidió además que el Sr. S.</w:t>
            </w:r>
            <w:r w:rsidRPr="001C5EA7">
              <w:rPr>
                <w:rFonts w:asciiTheme="minorHAnsi" w:hAnsiTheme="minorHAnsi" w:cstheme="majorBidi"/>
                <w:szCs w:val="22"/>
                <w:lang w:val="fr-CH"/>
              </w:rPr>
              <w:t xml:space="preserve"> KIBE representará a la RRB en el SMR-18.</w:t>
            </w:r>
          </w:p>
        </w:tc>
        <w:tc>
          <w:tcPr>
            <w:tcW w:w="2430" w:type="dxa"/>
            <w:tcBorders>
              <w:top w:val="nil"/>
              <w:bottom w:val="single" w:sz="4" w:space="0" w:color="auto"/>
              <w:right w:val="single" w:sz="4" w:space="0" w:color="auto"/>
            </w:tcBorders>
            <w:shd w:val="clear" w:color="auto" w:fill="FFFFFF" w:themeFill="background1"/>
          </w:tcPr>
          <w:p w:rsidR="006D135C" w:rsidRPr="001C5EA7" w:rsidRDefault="006D135C" w:rsidP="002C1FA0">
            <w:pPr>
              <w:pStyle w:val="Tabletext"/>
              <w:keepNext/>
              <w:keepLines/>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r>
      <w:tr w:rsidR="006D135C" w:rsidRPr="001C5EA7" w:rsidTr="00237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nil"/>
            </w:tcBorders>
          </w:tcPr>
          <w:p w:rsidR="006D135C" w:rsidRPr="001C5EA7" w:rsidRDefault="006D135C" w:rsidP="007036E4">
            <w:pPr>
              <w:pStyle w:val="Tabletext"/>
              <w:keepNext/>
              <w:keepLines/>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lastRenderedPageBreak/>
              <w:t>11</w:t>
            </w:r>
          </w:p>
        </w:tc>
        <w:tc>
          <w:tcPr>
            <w:tcW w:w="2977" w:type="dxa"/>
            <w:tcBorders>
              <w:top w:val="single" w:sz="4" w:space="0" w:color="auto"/>
              <w:bottom w:val="nil"/>
            </w:tcBorders>
          </w:tcPr>
          <w:p w:rsidR="006D135C" w:rsidRPr="001C5EA7" w:rsidRDefault="006D135C" w:rsidP="007036E4">
            <w:pPr>
              <w:pStyle w:val="Tablet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bCs/>
                <w:szCs w:val="22"/>
                <w:lang w:val="fr-FR"/>
              </w:rPr>
            </w:pPr>
            <w:r w:rsidRPr="001C5EA7">
              <w:rPr>
                <w:rFonts w:asciiTheme="minorHAnsi" w:hAnsiTheme="minorHAnsi" w:cstheme="majorBidi"/>
                <w:bCs/>
                <w:szCs w:val="22"/>
                <w:lang w:val="fr-FR"/>
              </w:rPr>
              <w:t>Confirmación de la próxima reunión en 2018, y fechas indicativas para futuras reuniones</w:t>
            </w:r>
          </w:p>
        </w:tc>
        <w:tc>
          <w:tcPr>
            <w:tcW w:w="7776" w:type="dxa"/>
            <w:tcBorders>
              <w:top w:val="single" w:sz="4" w:space="0" w:color="auto"/>
              <w:bottom w:val="nil"/>
            </w:tcBorders>
          </w:tcPr>
          <w:p w:rsidR="006D135C" w:rsidRPr="001C5EA7" w:rsidRDefault="006D135C" w:rsidP="00896997">
            <w:pPr>
              <w:pStyle w:val="Tabletext"/>
              <w:keepN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La Junta confirmó las fechas de la 78ª reunión, a saber del 16 al 20 de julio de 2018 en la Sala L y confirmó a título provisional las siguientes fechas para la tercera reunión de 2018:</w:t>
            </w:r>
          </w:p>
          <w:p w:rsidR="006D135C" w:rsidRPr="001C5EA7" w:rsidRDefault="006D135C" w:rsidP="00CD645D">
            <w:pPr>
              <w:pStyle w:val="Tabletext"/>
              <w:keepN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79ª reunión: 26</w:t>
            </w:r>
            <w:r w:rsidR="00AA1D32" w:rsidRPr="001C5EA7">
              <w:rPr>
                <w:rFonts w:asciiTheme="minorHAnsi" w:hAnsiTheme="minorHAnsi" w:cstheme="majorBidi"/>
                <w:szCs w:val="22"/>
                <w:lang w:val="fr-CH"/>
              </w:rPr>
              <w:noBreakHyphen/>
            </w:r>
            <w:r w:rsidRPr="001C5EA7">
              <w:rPr>
                <w:rFonts w:asciiTheme="minorHAnsi" w:hAnsiTheme="minorHAnsi" w:cstheme="majorBidi"/>
                <w:szCs w:val="22"/>
                <w:lang w:val="fr-CH"/>
              </w:rPr>
              <w:t>30 noviembre de 2018.</w:t>
            </w:r>
          </w:p>
          <w:p w:rsidR="006D135C" w:rsidRPr="001C5EA7" w:rsidRDefault="006D135C" w:rsidP="0088081C">
            <w:pPr>
              <w:pStyle w:val="Tabletext"/>
              <w:keepN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La Junta también confirmó a título provisional las siguientes fechas para las reuniones de 2019:</w:t>
            </w:r>
          </w:p>
          <w:p w:rsidR="006D135C" w:rsidRPr="001C5EA7" w:rsidRDefault="006D135C" w:rsidP="00B90815">
            <w:pPr>
              <w:pStyle w:val="Tabletext"/>
              <w:keepN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80ª reunión</w:t>
            </w:r>
            <w:r w:rsidRPr="001C5EA7">
              <w:rPr>
                <w:rFonts w:asciiTheme="minorHAnsi" w:hAnsiTheme="minorHAnsi" w:cstheme="majorBidi"/>
                <w:szCs w:val="22"/>
                <w:lang w:val="fr-CH"/>
              </w:rPr>
              <w:tab/>
            </w:r>
            <w:r w:rsidRPr="001C5EA7">
              <w:rPr>
                <w:rFonts w:asciiTheme="minorHAnsi" w:hAnsiTheme="minorHAnsi" w:cstheme="majorBidi"/>
                <w:szCs w:val="22"/>
                <w:lang w:val="fr-CH"/>
              </w:rPr>
              <w:tab/>
              <w:t>18</w:t>
            </w:r>
            <w:r w:rsidR="00B90815" w:rsidRPr="001C5EA7">
              <w:rPr>
                <w:rFonts w:asciiTheme="minorHAnsi" w:hAnsiTheme="minorHAnsi" w:cstheme="majorBidi"/>
                <w:szCs w:val="22"/>
                <w:lang w:val="fr-CH"/>
              </w:rPr>
              <w:noBreakHyphen/>
            </w:r>
            <w:r w:rsidRPr="001C5EA7">
              <w:rPr>
                <w:rFonts w:asciiTheme="minorHAnsi" w:hAnsiTheme="minorHAnsi" w:cstheme="majorBidi"/>
                <w:szCs w:val="22"/>
                <w:lang w:val="fr-CH"/>
              </w:rPr>
              <w:t>22 marzo de 2019</w:t>
            </w:r>
          </w:p>
          <w:p w:rsidR="006D135C" w:rsidRPr="001C5EA7" w:rsidRDefault="006D135C" w:rsidP="00B90815">
            <w:pPr>
              <w:pStyle w:val="Tabletext"/>
              <w:keepN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81ª reunión</w:t>
            </w:r>
            <w:r w:rsidR="00B90815" w:rsidRPr="001C5EA7">
              <w:rPr>
                <w:rFonts w:asciiTheme="minorHAnsi" w:hAnsiTheme="minorHAnsi" w:cstheme="majorBidi"/>
                <w:szCs w:val="22"/>
                <w:lang w:val="fr-CH"/>
              </w:rPr>
              <w:tab/>
            </w:r>
            <w:r w:rsidR="00B90815" w:rsidRPr="001C5EA7">
              <w:rPr>
                <w:rFonts w:asciiTheme="minorHAnsi" w:hAnsiTheme="minorHAnsi" w:cstheme="majorBidi"/>
                <w:szCs w:val="22"/>
                <w:lang w:val="fr-CH"/>
              </w:rPr>
              <w:tab/>
              <w:t>1</w:t>
            </w:r>
            <w:r w:rsidR="00B90815" w:rsidRPr="001C5EA7">
              <w:rPr>
                <w:rFonts w:asciiTheme="minorHAnsi" w:hAnsiTheme="minorHAnsi" w:cstheme="majorBidi"/>
                <w:szCs w:val="22"/>
                <w:lang w:val="fr-CH"/>
              </w:rPr>
              <w:noBreakHyphen/>
            </w:r>
            <w:r w:rsidRPr="001C5EA7">
              <w:rPr>
                <w:rFonts w:asciiTheme="minorHAnsi" w:hAnsiTheme="minorHAnsi" w:cstheme="majorBidi"/>
                <w:szCs w:val="22"/>
                <w:lang w:val="fr-CH"/>
              </w:rPr>
              <w:t>10 julio de 2019</w:t>
            </w:r>
          </w:p>
          <w:p w:rsidR="006D135C" w:rsidRPr="001C5EA7" w:rsidRDefault="006D135C" w:rsidP="00B90815">
            <w:pPr>
              <w:pStyle w:val="Tabletext"/>
              <w:keepN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C5EA7">
              <w:rPr>
                <w:rFonts w:asciiTheme="minorHAnsi" w:hAnsiTheme="minorHAnsi" w:cstheme="majorBidi"/>
                <w:szCs w:val="22"/>
                <w:lang w:val="fr-CH"/>
              </w:rPr>
              <w:t>82ª reunión</w:t>
            </w:r>
            <w:r w:rsidR="00B90815" w:rsidRPr="001C5EA7">
              <w:rPr>
                <w:rFonts w:asciiTheme="minorHAnsi" w:hAnsiTheme="minorHAnsi" w:cstheme="majorBidi"/>
                <w:szCs w:val="22"/>
                <w:lang w:val="fr-CH"/>
              </w:rPr>
              <w:tab/>
            </w:r>
            <w:r w:rsidR="00B90815" w:rsidRPr="001C5EA7">
              <w:rPr>
                <w:rFonts w:asciiTheme="minorHAnsi" w:hAnsiTheme="minorHAnsi" w:cstheme="majorBidi"/>
                <w:szCs w:val="22"/>
                <w:lang w:val="fr-CH"/>
              </w:rPr>
              <w:tab/>
              <w:t>7</w:t>
            </w:r>
            <w:r w:rsidR="00B90815" w:rsidRPr="001C5EA7">
              <w:rPr>
                <w:rFonts w:asciiTheme="minorHAnsi" w:hAnsiTheme="minorHAnsi" w:cstheme="majorBidi"/>
                <w:szCs w:val="22"/>
                <w:lang w:val="fr-CH"/>
              </w:rPr>
              <w:noBreakHyphen/>
            </w:r>
            <w:r w:rsidRPr="001C5EA7">
              <w:rPr>
                <w:rFonts w:asciiTheme="minorHAnsi" w:hAnsiTheme="minorHAnsi" w:cstheme="majorBidi"/>
                <w:szCs w:val="22"/>
                <w:lang w:val="fr-CH"/>
              </w:rPr>
              <w:t>11 octubre de 2019</w:t>
            </w:r>
          </w:p>
        </w:tc>
        <w:tc>
          <w:tcPr>
            <w:tcW w:w="2430" w:type="dxa"/>
            <w:tcBorders>
              <w:top w:val="single" w:sz="4" w:space="0" w:color="auto"/>
              <w:bottom w:val="nil"/>
              <w:right w:val="single" w:sz="4" w:space="0" w:color="auto"/>
            </w:tcBorders>
          </w:tcPr>
          <w:p w:rsidR="006D135C" w:rsidRPr="001C5EA7" w:rsidRDefault="006D135C" w:rsidP="00BF5CB4">
            <w:pPr>
              <w:pStyle w:val="Tabletext"/>
              <w:keepNext/>
              <w:keepLines/>
              <w:tabs>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r>
      <w:tr w:rsidR="006D135C" w:rsidRPr="001C5EA7" w:rsidTr="00CA20D1">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auto"/>
              <w:bottom w:val="nil"/>
            </w:tcBorders>
            <w:shd w:val="clear" w:color="auto" w:fill="FFFFFF" w:themeFill="background1"/>
          </w:tcPr>
          <w:p w:rsidR="006D135C" w:rsidRPr="001C5EA7" w:rsidRDefault="006D135C" w:rsidP="007036E4">
            <w:pPr>
              <w:pStyle w:val="Tabletext"/>
              <w:keepNext/>
              <w:keepLines/>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t>12</w:t>
            </w:r>
          </w:p>
        </w:tc>
        <w:tc>
          <w:tcPr>
            <w:tcW w:w="2977" w:type="dxa"/>
            <w:tcBorders>
              <w:top w:val="nil"/>
              <w:bottom w:val="nil"/>
            </w:tcBorders>
            <w:shd w:val="clear" w:color="auto" w:fill="FFFFFF" w:themeFill="background1"/>
          </w:tcPr>
          <w:p w:rsidR="006D135C" w:rsidRPr="001C5EA7" w:rsidRDefault="006D135C" w:rsidP="007036E4">
            <w:pPr>
              <w:pStyle w:val="Tablet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Cs/>
                <w:szCs w:val="22"/>
                <w:lang w:val="fr-FR"/>
              </w:rPr>
            </w:pPr>
            <w:r w:rsidRPr="001C5EA7">
              <w:rPr>
                <w:rFonts w:asciiTheme="minorHAnsi" w:hAnsiTheme="minorHAnsi" w:cstheme="majorBidi"/>
                <w:bCs/>
                <w:szCs w:val="22"/>
                <w:lang w:val="fr-FR"/>
              </w:rPr>
              <w:t>Otros asuntos</w:t>
            </w:r>
          </w:p>
        </w:tc>
        <w:tc>
          <w:tcPr>
            <w:tcW w:w="7776" w:type="dxa"/>
            <w:tcBorders>
              <w:top w:val="nil"/>
              <w:bottom w:val="nil"/>
            </w:tcBorders>
            <w:shd w:val="clear" w:color="auto" w:fill="FFFFFF" w:themeFill="background1"/>
          </w:tcPr>
          <w:p w:rsidR="006D135C" w:rsidRPr="001C5EA7" w:rsidRDefault="006D135C" w:rsidP="002033CA">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c>
          <w:tcPr>
            <w:tcW w:w="2430" w:type="dxa"/>
            <w:tcBorders>
              <w:top w:val="nil"/>
              <w:bottom w:val="nil"/>
              <w:right w:val="single" w:sz="4" w:space="0" w:color="auto"/>
            </w:tcBorders>
            <w:shd w:val="clear" w:color="auto" w:fill="FFFFFF" w:themeFill="background1"/>
          </w:tcPr>
          <w:p w:rsidR="006D135C" w:rsidRPr="001C5EA7" w:rsidRDefault="006D135C" w:rsidP="00BF5CB4">
            <w:pPr>
              <w:pStyle w:val="Tabletext"/>
              <w:keepNext/>
              <w:keepLines/>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r>
      <w:tr w:rsidR="006D135C" w:rsidRPr="001C5EA7" w:rsidTr="00CA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auto"/>
              <w:bottom w:val="nil"/>
            </w:tcBorders>
          </w:tcPr>
          <w:p w:rsidR="006D135C" w:rsidRPr="001C5EA7" w:rsidRDefault="006D135C" w:rsidP="007036E4">
            <w:pPr>
              <w:pStyle w:val="Tabletext"/>
              <w:keepNext/>
              <w:keepLines/>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t>13</w:t>
            </w:r>
          </w:p>
        </w:tc>
        <w:tc>
          <w:tcPr>
            <w:tcW w:w="2977" w:type="dxa"/>
            <w:tcBorders>
              <w:top w:val="nil"/>
              <w:bottom w:val="nil"/>
            </w:tcBorders>
          </w:tcPr>
          <w:p w:rsidR="006D135C" w:rsidRPr="001C5EA7" w:rsidRDefault="006D135C" w:rsidP="007036E4">
            <w:pPr>
              <w:pStyle w:val="Tablet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bCs/>
                <w:szCs w:val="22"/>
                <w:lang w:val="fr-FR"/>
              </w:rPr>
            </w:pPr>
            <w:r w:rsidRPr="001C5EA7">
              <w:rPr>
                <w:rFonts w:asciiTheme="minorHAnsi" w:hAnsiTheme="minorHAnsi" w:cstheme="majorBidi"/>
                <w:bCs/>
                <w:szCs w:val="22"/>
                <w:lang w:val="fr-FR"/>
              </w:rPr>
              <w:t>Aprobación del Resumen de Decisiones</w:t>
            </w:r>
            <w:r w:rsidR="009129CB" w:rsidRPr="001C5EA7">
              <w:rPr>
                <w:rFonts w:asciiTheme="minorHAnsi" w:hAnsiTheme="minorHAnsi" w:cstheme="majorBidi"/>
                <w:bCs/>
                <w:szCs w:val="22"/>
                <w:lang w:val="fr-FR"/>
              </w:rPr>
              <w:br/>
            </w:r>
            <w:hyperlink r:id="rId33" w:history="1">
              <w:r w:rsidR="009129CB" w:rsidRPr="001C5EA7">
                <w:rPr>
                  <w:rFonts w:asciiTheme="minorHAnsi" w:hAnsiTheme="minorHAnsi"/>
                  <w:bCs/>
                  <w:lang w:val="fr-FR"/>
                </w:rPr>
                <w:t>(</w:t>
              </w:r>
              <w:r w:rsidR="009129CB" w:rsidRPr="001C5EA7">
                <w:rPr>
                  <w:rStyle w:val="Hyperlink"/>
                  <w:rFonts w:asciiTheme="minorHAnsi" w:hAnsiTheme="minorHAnsi" w:cstheme="majorBidi"/>
                  <w:szCs w:val="22"/>
                  <w:lang w:val="fr-CH"/>
                </w:rPr>
                <w:t>RRB18-1/10</w:t>
              </w:r>
              <w:r w:rsidR="009129CB" w:rsidRPr="001C5EA7">
                <w:rPr>
                  <w:rFonts w:asciiTheme="minorHAnsi" w:hAnsiTheme="minorHAnsi"/>
                  <w:bCs/>
                  <w:lang w:val="fr-FR"/>
                </w:rPr>
                <w:t>)</w:t>
              </w:r>
            </w:hyperlink>
          </w:p>
        </w:tc>
        <w:tc>
          <w:tcPr>
            <w:tcW w:w="7776" w:type="dxa"/>
            <w:tcBorders>
              <w:top w:val="nil"/>
              <w:bottom w:val="nil"/>
            </w:tcBorders>
          </w:tcPr>
          <w:p w:rsidR="006D135C" w:rsidRPr="001C5EA7" w:rsidRDefault="006D135C" w:rsidP="004A0472">
            <w:pPr>
              <w:pStyle w:val="Tabletext"/>
              <w:keepN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La Junta aprobó el resumen de decisiones que figura en el Documento RRB18</w:t>
            </w:r>
            <w:r w:rsidRPr="001C5EA7">
              <w:rPr>
                <w:rFonts w:asciiTheme="minorHAnsi" w:hAnsiTheme="minorHAnsi" w:cstheme="majorBidi"/>
                <w:szCs w:val="22"/>
                <w:lang w:val="fr-CH"/>
              </w:rPr>
              <w:noBreakHyphen/>
              <w:t>1/10.</w:t>
            </w:r>
          </w:p>
        </w:tc>
        <w:tc>
          <w:tcPr>
            <w:tcW w:w="2430" w:type="dxa"/>
            <w:tcBorders>
              <w:top w:val="nil"/>
              <w:bottom w:val="nil"/>
              <w:right w:val="single" w:sz="4" w:space="0" w:color="auto"/>
            </w:tcBorders>
          </w:tcPr>
          <w:p w:rsidR="006D135C" w:rsidRPr="001C5EA7" w:rsidRDefault="00BF5CB4" w:rsidP="00BF5CB4">
            <w:pPr>
              <w:pStyle w:val="Tabletext"/>
              <w:keepNext/>
              <w:keepLines/>
              <w:tabs>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r>
      <w:tr w:rsidR="006D135C" w:rsidRPr="001C5EA7" w:rsidTr="00CA20D1">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auto"/>
              <w:bottom w:val="single" w:sz="4" w:space="0" w:color="auto"/>
            </w:tcBorders>
            <w:shd w:val="clear" w:color="auto" w:fill="FFFFFF" w:themeFill="background1"/>
          </w:tcPr>
          <w:p w:rsidR="006D135C" w:rsidRPr="001C5EA7" w:rsidRDefault="006D135C" w:rsidP="007036E4">
            <w:pPr>
              <w:pStyle w:val="Tabletext"/>
              <w:keepNext/>
              <w:keepLines/>
              <w:spacing w:before="120" w:after="120"/>
              <w:jc w:val="center"/>
              <w:rPr>
                <w:rFonts w:asciiTheme="minorHAnsi" w:hAnsiTheme="minorHAnsi" w:cstheme="majorBidi"/>
                <w:bCs w:val="0"/>
                <w:szCs w:val="22"/>
                <w:lang w:val="fr-FR"/>
              </w:rPr>
            </w:pPr>
            <w:r w:rsidRPr="001C5EA7">
              <w:rPr>
                <w:rFonts w:asciiTheme="minorHAnsi" w:hAnsiTheme="minorHAnsi" w:cstheme="majorBidi"/>
                <w:bCs w:val="0"/>
                <w:szCs w:val="22"/>
                <w:lang w:val="fr-FR"/>
              </w:rPr>
              <w:t>14</w:t>
            </w:r>
          </w:p>
        </w:tc>
        <w:tc>
          <w:tcPr>
            <w:tcW w:w="2977" w:type="dxa"/>
            <w:tcBorders>
              <w:top w:val="nil"/>
              <w:bottom w:val="single" w:sz="4" w:space="0" w:color="auto"/>
            </w:tcBorders>
            <w:shd w:val="clear" w:color="auto" w:fill="FFFFFF" w:themeFill="background1"/>
          </w:tcPr>
          <w:p w:rsidR="006D135C" w:rsidRPr="001C5EA7" w:rsidRDefault="006D135C" w:rsidP="007036E4">
            <w:pPr>
              <w:pStyle w:val="Tablet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Cs/>
                <w:szCs w:val="22"/>
                <w:lang w:val="fr-FR"/>
              </w:rPr>
            </w:pPr>
            <w:r w:rsidRPr="001C5EA7">
              <w:rPr>
                <w:rFonts w:asciiTheme="minorHAnsi" w:hAnsiTheme="minorHAnsi" w:cstheme="majorBidi"/>
                <w:bCs/>
                <w:szCs w:val="22"/>
                <w:lang w:val="fr-FR"/>
              </w:rPr>
              <w:t>Clausura de la reunión</w:t>
            </w:r>
          </w:p>
        </w:tc>
        <w:tc>
          <w:tcPr>
            <w:tcW w:w="7776" w:type="dxa"/>
            <w:tcBorders>
              <w:top w:val="nil"/>
              <w:bottom w:val="single" w:sz="4" w:space="0" w:color="auto"/>
            </w:tcBorders>
            <w:shd w:val="clear" w:color="auto" w:fill="FFFFFF" w:themeFill="background1"/>
          </w:tcPr>
          <w:p w:rsidR="006D135C" w:rsidRPr="001C5EA7" w:rsidRDefault="006D135C" w:rsidP="00736FC1">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La reunión se clausuró a las 11.30 horas.</w:t>
            </w:r>
          </w:p>
        </w:tc>
        <w:tc>
          <w:tcPr>
            <w:tcW w:w="2430" w:type="dxa"/>
            <w:tcBorders>
              <w:top w:val="nil"/>
              <w:bottom w:val="single" w:sz="4" w:space="0" w:color="auto"/>
              <w:right w:val="single" w:sz="4" w:space="0" w:color="auto"/>
            </w:tcBorders>
            <w:shd w:val="clear" w:color="auto" w:fill="FFFFFF" w:themeFill="background1"/>
          </w:tcPr>
          <w:p w:rsidR="006D135C" w:rsidRPr="001C5EA7" w:rsidRDefault="00BF5CB4" w:rsidP="00BF5CB4">
            <w:pPr>
              <w:pStyle w:val="Tabletext"/>
              <w:keepNext/>
              <w:keepLines/>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CH"/>
              </w:rPr>
            </w:pPr>
            <w:r w:rsidRPr="001C5EA7">
              <w:rPr>
                <w:rFonts w:asciiTheme="minorHAnsi" w:hAnsiTheme="minorHAnsi" w:cstheme="majorBidi"/>
                <w:szCs w:val="22"/>
                <w:lang w:val="fr-CH"/>
              </w:rPr>
              <w:t>–</w:t>
            </w:r>
          </w:p>
        </w:tc>
      </w:tr>
    </w:tbl>
    <w:p w:rsidR="00A57298" w:rsidRPr="001C5EA7" w:rsidRDefault="00A57298" w:rsidP="0032202E">
      <w:pPr>
        <w:pStyle w:val="Reasons"/>
        <w:rPr>
          <w:rFonts w:asciiTheme="minorHAnsi" w:hAnsiTheme="minorHAnsi"/>
          <w:lang w:val="es-ES_tradnl"/>
        </w:rPr>
      </w:pPr>
    </w:p>
    <w:p w:rsidR="00A57298" w:rsidRPr="002B3837" w:rsidRDefault="00A57298">
      <w:pPr>
        <w:jc w:val="center"/>
      </w:pPr>
      <w:r w:rsidRPr="002B3837">
        <w:t>______________</w:t>
      </w:r>
    </w:p>
    <w:sectPr w:rsidR="00A57298" w:rsidRPr="002B3837" w:rsidSect="006D135C">
      <w:headerReference w:type="first" r:id="rId34"/>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35C" w:rsidRDefault="006D135C">
      <w:r>
        <w:separator/>
      </w:r>
    </w:p>
  </w:endnote>
  <w:endnote w:type="continuationSeparator" w:id="0">
    <w:p w:rsidR="006D135C" w:rsidRDefault="006D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B6" w:rsidRPr="00AD6AE8" w:rsidRDefault="00AC2DB6" w:rsidP="00AC2DB6">
    <w:pPr>
      <w:pStyle w:val="Footer"/>
      <w:rPr>
        <w:lang w:val="en-US"/>
      </w:rPr>
    </w:pPr>
    <w:r>
      <w:rPr>
        <w:lang w:val="en-US"/>
      </w:rPr>
      <w:t>(434046)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B6" w:rsidRPr="00AD6AE8" w:rsidRDefault="00AC2DB6" w:rsidP="00AC2DB6">
    <w:pPr>
      <w:pStyle w:val="Footer"/>
      <w:rPr>
        <w:lang w:val="en-US"/>
      </w:rPr>
    </w:pPr>
    <w:r>
      <w:rPr>
        <w:lang w:val="en-US"/>
      </w:rPr>
      <w:t>(434046)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35C" w:rsidRDefault="006D135C">
      <w:r>
        <w:t>____________________</w:t>
      </w:r>
    </w:p>
  </w:footnote>
  <w:footnote w:type="continuationSeparator" w:id="0">
    <w:p w:rsidR="006D135C" w:rsidRDefault="006D1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58" w:rsidRDefault="00B46F5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1C5EA7">
      <w:rPr>
        <w:rStyle w:val="PageNumber"/>
        <w:noProof/>
      </w:rPr>
      <w:t>12</w:t>
    </w:r>
    <w:r>
      <w:rPr>
        <w:rStyle w:val="PageNumber"/>
      </w:rPr>
      <w:fldChar w:fldCharType="end"/>
    </w:r>
  </w:p>
  <w:p w:rsidR="00B46F58" w:rsidRDefault="00B46F58" w:rsidP="006D135C">
    <w:pPr>
      <w:pStyle w:val="Header"/>
      <w:spacing w:after="120"/>
      <w:rPr>
        <w:lang w:val="es-ES"/>
      </w:rPr>
    </w:pPr>
    <w:r>
      <w:rPr>
        <w:lang w:val="es-ES"/>
      </w:rPr>
      <w:t>RRB18-1/</w:t>
    </w:r>
    <w:r w:rsidR="00AD178B">
      <w:rPr>
        <w:lang w:val="es-ES"/>
      </w:rPr>
      <w:t>10</w:t>
    </w:r>
    <w:r>
      <w:rPr>
        <w:lang w:val="es-ES"/>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5C" w:rsidRDefault="006D135C" w:rsidP="006D135C">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1C5EA7">
      <w:rPr>
        <w:rStyle w:val="PageNumber"/>
        <w:noProof/>
      </w:rPr>
      <w:t>2</w:t>
    </w:r>
    <w:r>
      <w:rPr>
        <w:rStyle w:val="PageNumber"/>
      </w:rPr>
      <w:fldChar w:fldCharType="end"/>
    </w:r>
  </w:p>
  <w:p w:rsidR="006D135C" w:rsidRPr="006D135C" w:rsidRDefault="006D135C" w:rsidP="006D135C">
    <w:pPr>
      <w:pStyle w:val="Header"/>
      <w:spacing w:after="120"/>
      <w:rPr>
        <w:lang w:val="es-ES"/>
      </w:rPr>
    </w:pPr>
    <w:r>
      <w:rPr>
        <w:lang w:val="es-ES"/>
      </w:rPr>
      <w:t>RRB18-1/10-S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5C"/>
    <w:rsid w:val="00010F5F"/>
    <w:rsid w:val="000159EE"/>
    <w:rsid w:val="00032A7C"/>
    <w:rsid w:val="00041529"/>
    <w:rsid w:val="00066621"/>
    <w:rsid w:val="00074462"/>
    <w:rsid w:val="00075863"/>
    <w:rsid w:val="00082499"/>
    <w:rsid w:val="000828AD"/>
    <w:rsid w:val="000901F6"/>
    <w:rsid w:val="00092503"/>
    <w:rsid w:val="000D0A10"/>
    <w:rsid w:val="000F3481"/>
    <w:rsid w:val="001106DA"/>
    <w:rsid w:val="00112A41"/>
    <w:rsid w:val="00117411"/>
    <w:rsid w:val="00137932"/>
    <w:rsid w:val="0014021A"/>
    <w:rsid w:val="00147621"/>
    <w:rsid w:val="00154C13"/>
    <w:rsid w:val="001567BE"/>
    <w:rsid w:val="001A6BE6"/>
    <w:rsid w:val="001B0379"/>
    <w:rsid w:val="001B58DF"/>
    <w:rsid w:val="001C5EA7"/>
    <w:rsid w:val="001D35F0"/>
    <w:rsid w:val="001F1BC7"/>
    <w:rsid w:val="001F22C0"/>
    <w:rsid w:val="002033CA"/>
    <w:rsid w:val="002213A2"/>
    <w:rsid w:val="00225216"/>
    <w:rsid w:val="0022773A"/>
    <w:rsid w:val="002371BE"/>
    <w:rsid w:val="00261658"/>
    <w:rsid w:val="002A0405"/>
    <w:rsid w:val="002B1DF9"/>
    <w:rsid w:val="002B3837"/>
    <w:rsid w:val="002B3C22"/>
    <w:rsid w:val="002C1FA0"/>
    <w:rsid w:val="002E2E3B"/>
    <w:rsid w:val="002F01B5"/>
    <w:rsid w:val="002F3B73"/>
    <w:rsid w:val="00331C57"/>
    <w:rsid w:val="00337818"/>
    <w:rsid w:val="00354012"/>
    <w:rsid w:val="0035735E"/>
    <w:rsid w:val="00362872"/>
    <w:rsid w:val="003661C9"/>
    <w:rsid w:val="0036669C"/>
    <w:rsid w:val="00385233"/>
    <w:rsid w:val="003858D8"/>
    <w:rsid w:val="003A2F75"/>
    <w:rsid w:val="003D6CD4"/>
    <w:rsid w:val="003F308D"/>
    <w:rsid w:val="003F7CBE"/>
    <w:rsid w:val="004031DD"/>
    <w:rsid w:val="00404BDD"/>
    <w:rsid w:val="004119BB"/>
    <w:rsid w:val="00414D8B"/>
    <w:rsid w:val="00417606"/>
    <w:rsid w:val="004310C5"/>
    <w:rsid w:val="00440790"/>
    <w:rsid w:val="004509BF"/>
    <w:rsid w:val="004625D0"/>
    <w:rsid w:val="00462D18"/>
    <w:rsid w:val="004749BA"/>
    <w:rsid w:val="004865FC"/>
    <w:rsid w:val="00491980"/>
    <w:rsid w:val="004A0472"/>
    <w:rsid w:val="004F1D54"/>
    <w:rsid w:val="004F69AF"/>
    <w:rsid w:val="005225AB"/>
    <w:rsid w:val="00526A8C"/>
    <w:rsid w:val="00534C73"/>
    <w:rsid w:val="00547F94"/>
    <w:rsid w:val="00560412"/>
    <w:rsid w:val="005631F4"/>
    <w:rsid w:val="00584602"/>
    <w:rsid w:val="005A1839"/>
    <w:rsid w:val="005B0B9D"/>
    <w:rsid w:val="005C5C95"/>
    <w:rsid w:val="006007B5"/>
    <w:rsid w:val="006018D0"/>
    <w:rsid w:val="00610642"/>
    <w:rsid w:val="00615889"/>
    <w:rsid w:val="00634B53"/>
    <w:rsid w:val="0064218D"/>
    <w:rsid w:val="006534B5"/>
    <w:rsid w:val="00662732"/>
    <w:rsid w:val="006814E7"/>
    <w:rsid w:val="006914AD"/>
    <w:rsid w:val="006923E8"/>
    <w:rsid w:val="006B6FCA"/>
    <w:rsid w:val="006B6FDE"/>
    <w:rsid w:val="006C2155"/>
    <w:rsid w:val="006D135C"/>
    <w:rsid w:val="006E291F"/>
    <w:rsid w:val="00701267"/>
    <w:rsid w:val="007036E4"/>
    <w:rsid w:val="007107D5"/>
    <w:rsid w:val="00736FC1"/>
    <w:rsid w:val="00766831"/>
    <w:rsid w:val="007950C3"/>
    <w:rsid w:val="007B0C1C"/>
    <w:rsid w:val="007C31CD"/>
    <w:rsid w:val="007F771F"/>
    <w:rsid w:val="008022AB"/>
    <w:rsid w:val="00802A17"/>
    <w:rsid w:val="00850794"/>
    <w:rsid w:val="0088081C"/>
    <w:rsid w:val="00887A89"/>
    <w:rsid w:val="008901BE"/>
    <w:rsid w:val="00893C01"/>
    <w:rsid w:val="00896997"/>
    <w:rsid w:val="008C7D3A"/>
    <w:rsid w:val="009129CB"/>
    <w:rsid w:val="00936722"/>
    <w:rsid w:val="00941334"/>
    <w:rsid w:val="0095377A"/>
    <w:rsid w:val="009538B2"/>
    <w:rsid w:val="00953DE2"/>
    <w:rsid w:val="009B6C5E"/>
    <w:rsid w:val="009F18F2"/>
    <w:rsid w:val="00A033DD"/>
    <w:rsid w:val="00A3658F"/>
    <w:rsid w:val="00A57298"/>
    <w:rsid w:val="00A67BD1"/>
    <w:rsid w:val="00A67C8A"/>
    <w:rsid w:val="00A71350"/>
    <w:rsid w:val="00A72711"/>
    <w:rsid w:val="00A80FCF"/>
    <w:rsid w:val="00A93E62"/>
    <w:rsid w:val="00AA1D32"/>
    <w:rsid w:val="00AB1531"/>
    <w:rsid w:val="00AC28E2"/>
    <w:rsid w:val="00AC2DB6"/>
    <w:rsid w:val="00AD178B"/>
    <w:rsid w:val="00AD6AE8"/>
    <w:rsid w:val="00B10950"/>
    <w:rsid w:val="00B24C4C"/>
    <w:rsid w:val="00B25F94"/>
    <w:rsid w:val="00B37C17"/>
    <w:rsid w:val="00B41789"/>
    <w:rsid w:val="00B46F58"/>
    <w:rsid w:val="00B52027"/>
    <w:rsid w:val="00B72C66"/>
    <w:rsid w:val="00B73EEB"/>
    <w:rsid w:val="00B801C5"/>
    <w:rsid w:val="00B90815"/>
    <w:rsid w:val="00B949D9"/>
    <w:rsid w:val="00BC2098"/>
    <w:rsid w:val="00BC3640"/>
    <w:rsid w:val="00BD2B15"/>
    <w:rsid w:val="00BD2BE5"/>
    <w:rsid w:val="00BE153E"/>
    <w:rsid w:val="00BF5CB4"/>
    <w:rsid w:val="00BF66B1"/>
    <w:rsid w:val="00C16E44"/>
    <w:rsid w:val="00C42767"/>
    <w:rsid w:val="00C71757"/>
    <w:rsid w:val="00C761EE"/>
    <w:rsid w:val="00C95793"/>
    <w:rsid w:val="00CA20D1"/>
    <w:rsid w:val="00CA6234"/>
    <w:rsid w:val="00CB7A43"/>
    <w:rsid w:val="00CD645D"/>
    <w:rsid w:val="00CF7B1D"/>
    <w:rsid w:val="00D05801"/>
    <w:rsid w:val="00D743E0"/>
    <w:rsid w:val="00DA2FA8"/>
    <w:rsid w:val="00DB2739"/>
    <w:rsid w:val="00DB79CA"/>
    <w:rsid w:val="00DE7F9E"/>
    <w:rsid w:val="00E05976"/>
    <w:rsid w:val="00E13886"/>
    <w:rsid w:val="00E16682"/>
    <w:rsid w:val="00E37108"/>
    <w:rsid w:val="00E6332C"/>
    <w:rsid w:val="00EA28E9"/>
    <w:rsid w:val="00EA38C7"/>
    <w:rsid w:val="00EA7828"/>
    <w:rsid w:val="00EB1CF5"/>
    <w:rsid w:val="00EB285E"/>
    <w:rsid w:val="00ED11DE"/>
    <w:rsid w:val="00EE7443"/>
    <w:rsid w:val="00F071BC"/>
    <w:rsid w:val="00F37AFE"/>
    <w:rsid w:val="00F408BC"/>
    <w:rsid w:val="00F454DB"/>
    <w:rsid w:val="00F550CD"/>
    <w:rsid w:val="00F6327D"/>
    <w:rsid w:val="00F71B54"/>
    <w:rsid w:val="00F74972"/>
    <w:rsid w:val="00F80D36"/>
    <w:rsid w:val="00FA57B2"/>
    <w:rsid w:val="00FB5D8E"/>
    <w:rsid w:val="00FE75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E720C03-35F0-44E8-A40A-3898A0DD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TabletextChar">
    <w:name w:val="Table_text Char"/>
    <w:basedOn w:val="DefaultParagraphFont"/>
    <w:link w:val="Tabletext"/>
    <w:locked/>
    <w:rsid w:val="006D135C"/>
    <w:rPr>
      <w:rFonts w:ascii="Times New Roman" w:hAnsi="Times New Roman"/>
      <w:sz w:val="22"/>
      <w:lang w:val="es-ES_tradnl" w:eastAsia="en-US"/>
    </w:rPr>
  </w:style>
  <w:style w:type="character" w:styleId="Hyperlink">
    <w:name w:val="Hyperlink"/>
    <w:basedOn w:val="DefaultParagraphFont"/>
    <w:uiPriority w:val="99"/>
    <w:rsid w:val="006D135C"/>
    <w:rPr>
      <w:color w:val="0000FF" w:themeColor="hyperlink"/>
      <w:u w:val="single"/>
    </w:rPr>
  </w:style>
  <w:style w:type="table" w:customStyle="1" w:styleId="ListTable4-Accent11">
    <w:name w:val="List Table 4 - Accent 11"/>
    <w:basedOn w:val="TableNormal"/>
    <w:uiPriority w:val="49"/>
    <w:rsid w:val="006D135C"/>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Reasons">
    <w:name w:val="Reasons"/>
    <w:basedOn w:val="Normal"/>
    <w:qFormat/>
    <w:rsid w:val="006D135C"/>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BC36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tu.int/md/R18-RRB18.1-C-0002/es" TargetMode="External"/><Relationship Id="rId18" Type="http://schemas.openxmlformats.org/officeDocument/2006/relationships/hyperlink" Target="https://www.itu.int/md/R18-RRB18.1-C-0002/es" TargetMode="External"/><Relationship Id="rId26" Type="http://schemas.openxmlformats.org/officeDocument/2006/relationships/hyperlink" Target="https://www.itu.int/md/R18-RRB18.1-C-0005/es" TargetMode="External"/><Relationship Id="rId3" Type="http://schemas.openxmlformats.org/officeDocument/2006/relationships/webSettings" Target="webSettings.xml"/><Relationship Id="rId21" Type="http://schemas.openxmlformats.org/officeDocument/2006/relationships/hyperlink" Target="https://www.itu.int/md/R16-RRB16.2-C-0003/es" TargetMode="External"/><Relationship Id="rId34" Type="http://schemas.openxmlformats.org/officeDocument/2006/relationships/header" Target="header2.xml"/><Relationship Id="rId7" Type="http://schemas.openxmlformats.org/officeDocument/2006/relationships/header" Target="header1.xml"/><Relationship Id="rId12" Type="http://schemas.openxmlformats.org/officeDocument/2006/relationships/hyperlink" Target="https://www.itu.int/md/R18-RRB18.1-C-0002/es" TargetMode="External"/><Relationship Id="rId17" Type="http://schemas.openxmlformats.org/officeDocument/2006/relationships/hyperlink" Target="https://www.itu.int/md/R18-RRB18.1-C-0002/es" TargetMode="External"/><Relationship Id="rId25" Type="http://schemas.openxmlformats.org/officeDocument/2006/relationships/hyperlink" Target="https://www.itu.int/md/R18-RRB18.1-C-0005/en" TargetMode="External"/><Relationship Id="rId33" Type="http://schemas.openxmlformats.org/officeDocument/2006/relationships/hyperlink" Target="https://www.itu.int/md/R18-RRB18.1-C-0010/es" TargetMode="External"/><Relationship Id="rId2" Type="http://schemas.openxmlformats.org/officeDocument/2006/relationships/settings" Target="settings.xml"/><Relationship Id="rId16" Type="http://schemas.openxmlformats.org/officeDocument/2006/relationships/hyperlink" Target="https://www.itu.int/md/R18-RRB18.1-C-0002/es" TargetMode="External"/><Relationship Id="rId20" Type="http://schemas.openxmlformats.org/officeDocument/2006/relationships/hyperlink" Target="https://www.itu.int/md/R18-RRB18.1-C-0001/es" TargetMode="External"/><Relationship Id="rId29" Type="http://schemas.openxmlformats.org/officeDocument/2006/relationships/hyperlink" Target="https://www.itu.int/md/R18-RRB18.1-C-0007/es"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R18-RRB18.1-C-0002/es" TargetMode="External"/><Relationship Id="rId24" Type="http://schemas.openxmlformats.org/officeDocument/2006/relationships/hyperlink" Target="https://www.itu.int/md/R18-RRB18.1-C-0008/es" TargetMode="External"/><Relationship Id="rId32" Type="http://schemas.openxmlformats.org/officeDocument/2006/relationships/hyperlink" Target="https://www.itu.int/md/R18-RRB18.1-INF-0001/es" TargetMode="External"/><Relationship Id="rId5" Type="http://schemas.openxmlformats.org/officeDocument/2006/relationships/endnotes" Target="endnotes.xml"/><Relationship Id="rId15" Type="http://schemas.openxmlformats.org/officeDocument/2006/relationships/hyperlink" Target="https://www.itu.int/md/R18-RRB18.1-C-0002/es" TargetMode="External"/><Relationship Id="rId23" Type="http://schemas.openxmlformats.org/officeDocument/2006/relationships/hyperlink" Target="https://www.itu.int/md/R18-RRB18.1-C-0006/es" TargetMode="External"/><Relationship Id="rId28" Type="http://schemas.openxmlformats.org/officeDocument/2006/relationships/hyperlink" Target="https://www.itu.int/md/R18-RRB18.1-C-0009/es" TargetMode="External"/><Relationship Id="rId36" Type="http://schemas.openxmlformats.org/officeDocument/2006/relationships/theme" Target="theme/theme1.xml"/><Relationship Id="rId10" Type="http://schemas.openxmlformats.org/officeDocument/2006/relationships/hyperlink" Target="https://www.itu.int/md/R18-RRB18.1-OJ/es" TargetMode="External"/><Relationship Id="rId19" Type="http://schemas.openxmlformats.org/officeDocument/2006/relationships/hyperlink" Target="https://www.itu.int/md/R18-RRB18.1-C-0002/es" TargetMode="External"/><Relationship Id="rId31" Type="http://schemas.openxmlformats.org/officeDocument/2006/relationships/hyperlink" Target="https://www.itu.int/md/R18-RRB18.1-SP-0002/es"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itu.int/md/R18-RRB18.1-C-0002/es" TargetMode="External"/><Relationship Id="rId22" Type="http://schemas.openxmlformats.org/officeDocument/2006/relationships/hyperlink" Target="https://www.itu.int/md/R18-RRB18.1-C-0004/es" TargetMode="External"/><Relationship Id="rId27" Type="http://schemas.openxmlformats.org/officeDocument/2006/relationships/hyperlink" Target="https://www.itu.int/md/R18-RRB18.1-C-0003/es" TargetMode="External"/><Relationship Id="rId30" Type="http://schemas.openxmlformats.org/officeDocument/2006/relationships/hyperlink" Target="https://www.itu.int/md/R18-RRB18.1-SP-0001/es"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RB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PS_RRB18.dotm</Template>
  <TotalTime>1</TotalTime>
  <Pages>12</Pages>
  <Words>3352</Words>
  <Characters>19514</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las Decisiones de la 77a reunión de la Junta del RRB (19-23 de marzo de 2018)</dc:title>
  <dc:subject>GRUPO ASESOR DE RADIOCOMUNICACIONES</dc:subject>
  <dc:creator>Spanish</dc:creator>
  <cp:keywords/>
  <dc:description>PS_RRB.DOT  For: _x000d_Document date: _x000d_Saved by TRA44246 at 19:27:50 on 18.11.2008</dc:description>
  <cp:lastModifiedBy>Gozal, Karine</cp:lastModifiedBy>
  <cp:revision>2</cp:revision>
  <cp:lastPrinted>1993-02-18T11:12:00Z</cp:lastPrinted>
  <dcterms:created xsi:type="dcterms:W3CDTF">2018-04-09T08:34:00Z</dcterms:created>
  <dcterms:modified xsi:type="dcterms:W3CDTF">2018-04-09T08:34:00Z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