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CC2622" w:rsidTr="00EC0BE3">
        <w:trPr>
          <w:cantSplit/>
        </w:trPr>
        <w:tc>
          <w:tcPr>
            <w:tcW w:w="6477" w:type="dxa"/>
            <w:vAlign w:val="center"/>
          </w:tcPr>
          <w:p w:rsidR="00EC0BE3" w:rsidRPr="00CC2622" w:rsidRDefault="00817BEA" w:rsidP="00817BEA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es-ES"/>
              </w:rPr>
            </w:pPr>
            <w:bookmarkStart w:id="0" w:name="_GoBack"/>
            <w:bookmarkEnd w:id="0"/>
            <w:r w:rsidRPr="00CC2622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Grupo Asesor de Radiocomunicaciones</w:t>
            </w:r>
            <w:r w:rsidR="00EC0BE3" w:rsidRPr="00CC2622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br/>
            </w:r>
            <w:r w:rsidR="00EC0BE3"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G</w:t>
            </w:r>
            <w:r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inebr</w:t>
            </w:r>
            <w:r w:rsidR="00EC0BE3"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a, </w:t>
            </w:r>
            <w:r w:rsidR="002F4DA3"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26</w:t>
            </w:r>
            <w:r w:rsidR="00EC0BE3"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-</w:t>
            </w:r>
            <w:r w:rsidR="00FF1290"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29</w:t>
            </w:r>
            <w:r w:rsidR="00EC0BE3"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</w:t>
            </w:r>
            <w:r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de marzo de</w:t>
            </w:r>
            <w:r w:rsidR="00EC0BE3"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201</w:t>
            </w:r>
            <w:r w:rsidR="00FF1290" w:rsidRPr="00CC262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C0BE3" w:rsidRPr="00CC2622" w:rsidRDefault="00EC0BE3" w:rsidP="009D27EC">
            <w:pPr>
              <w:shd w:val="solid" w:color="FFFFFF" w:fill="FFFFFF"/>
              <w:spacing w:before="0" w:line="240" w:lineRule="atLeast"/>
              <w:jc w:val="right"/>
              <w:rPr>
                <w:lang w:val="es-ES"/>
              </w:rPr>
            </w:pPr>
            <w:r w:rsidRPr="00CC2622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CC2622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CC2622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CC2622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s-ES"/>
              </w:rPr>
            </w:pPr>
          </w:p>
        </w:tc>
      </w:tr>
      <w:tr w:rsidR="0051782D" w:rsidRPr="00CC2622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CC2622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CC2622" w:rsidRDefault="0051782D" w:rsidP="00B35BE4">
            <w:pPr>
              <w:shd w:val="solid" w:color="FFFFFF" w:fill="FFFFFF"/>
              <w:spacing w:before="0" w:after="48" w:line="240" w:lineRule="atLeast"/>
              <w:rPr>
                <w:lang w:val="es-ES"/>
              </w:rPr>
            </w:pPr>
          </w:p>
        </w:tc>
      </w:tr>
      <w:tr w:rsidR="0051782D" w:rsidRPr="00CC2622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CC2622" w:rsidRDefault="0051782D" w:rsidP="00B35BE4">
            <w:pPr>
              <w:shd w:val="solid" w:color="FFFFFF" w:fill="FFFFFF"/>
              <w:spacing w:after="240"/>
              <w:rPr>
                <w:sz w:val="20"/>
                <w:lang w:val="es-ES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CC2622" w:rsidRDefault="00B33A5B" w:rsidP="006F4AA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CC2622">
              <w:rPr>
                <w:rFonts w:ascii="Verdana" w:hAnsi="Verdana"/>
                <w:b/>
                <w:sz w:val="20"/>
                <w:lang w:val="es-ES"/>
              </w:rPr>
              <w:t>Document</w:t>
            </w:r>
            <w:r w:rsidR="00817BEA" w:rsidRPr="00CC2622">
              <w:rPr>
                <w:rFonts w:ascii="Verdana" w:hAnsi="Verdana"/>
                <w:b/>
                <w:sz w:val="20"/>
                <w:lang w:val="es-ES"/>
              </w:rPr>
              <w:t>o</w:t>
            </w:r>
            <w:r w:rsidRPr="00CC2622">
              <w:rPr>
                <w:rFonts w:ascii="Verdana" w:hAnsi="Verdana"/>
                <w:b/>
                <w:sz w:val="20"/>
                <w:lang w:val="es-ES"/>
              </w:rPr>
              <w:t xml:space="preserve"> RAG18/1</w:t>
            </w:r>
            <w:r w:rsidR="006F4AA4" w:rsidRPr="00CC2622">
              <w:rPr>
                <w:rFonts w:ascii="Verdana" w:hAnsi="Verdana"/>
                <w:b/>
                <w:sz w:val="20"/>
                <w:lang w:val="es-ES"/>
              </w:rPr>
              <w:t>5</w:t>
            </w:r>
            <w:r w:rsidRPr="00CC2622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="001B2C02" w:rsidRPr="00CC2622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tr w:rsidR="0051782D" w:rsidRPr="00CC2622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CC2622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CC2622" w:rsidRDefault="00F8565D" w:rsidP="00817BE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CC2622">
              <w:rPr>
                <w:rFonts w:ascii="Verdana" w:hAnsi="Verdana"/>
                <w:b/>
                <w:sz w:val="20"/>
                <w:lang w:val="es-ES"/>
              </w:rPr>
              <w:t>21</w:t>
            </w:r>
            <w:r w:rsidR="00B33A5B" w:rsidRPr="00CC2622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r w:rsidR="00817BEA" w:rsidRPr="00CC2622">
              <w:rPr>
                <w:rFonts w:ascii="Verdana" w:hAnsi="Verdana"/>
                <w:b/>
                <w:sz w:val="20"/>
                <w:lang w:val="es-ES"/>
              </w:rPr>
              <w:t>de marzo de</w:t>
            </w:r>
            <w:r w:rsidR="00B33A5B" w:rsidRPr="00CC2622">
              <w:rPr>
                <w:rFonts w:ascii="Verdana" w:hAnsi="Verdana"/>
                <w:b/>
                <w:sz w:val="20"/>
                <w:lang w:val="es-ES"/>
              </w:rPr>
              <w:t xml:space="preserve"> 2018</w:t>
            </w:r>
          </w:p>
        </w:tc>
      </w:tr>
      <w:tr w:rsidR="0051782D" w:rsidRPr="00CC2622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Pr="00CC2622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CC2622" w:rsidRDefault="00B33A5B" w:rsidP="00817BE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"/>
              </w:rPr>
            </w:pPr>
            <w:r w:rsidRPr="00CC2622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817BEA" w:rsidRPr="00CC2622">
              <w:rPr>
                <w:rFonts w:ascii="Verdana" w:hAnsi="Verdana"/>
                <w:b/>
                <w:sz w:val="20"/>
                <w:lang w:val="es-ES"/>
              </w:rPr>
              <w:t>inglés</w:t>
            </w:r>
          </w:p>
        </w:tc>
      </w:tr>
      <w:tr w:rsidR="00093C73" w:rsidRPr="00CC2622" w:rsidTr="00B35BE4">
        <w:trPr>
          <w:cantSplit/>
        </w:trPr>
        <w:tc>
          <w:tcPr>
            <w:tcW w:w="9889" w:type="dxa"/>
            <w:gridSpan w:val="3"/>
          </w:tcPr>
          <w:p w:rsidR="00093C73" w:rsidRPr="00CC2622" w:rsidRDefault="00817BEA" w:rsidP="005B2C58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CC2622">
              <w:rPr>
                <w:lang w:val="es-ES"/>
              </w:rPr>
              <w:t>Federación de Rusia</w:t>
            </w:r>
          </w:p>
        </w:tc>
      </w:tr>
      <w:tr w:rsidR="00093C73" w:rsidRPr="009911AB" w:rsidTr="00B35BE4">
        <w:trPr>
          <w:cantSplit/>
        </w:trPr>
        <w:tc>
          <w:tcPr>
            <w:tcW w:w="9889" w:type="dxa"/>
            <w:gridSpan w:val="3"/>
          </w:tcPr>
          <w:p w:rsidR="00093C73" w:rsidRPr="00CC2622" w:rsidRDefault="00F8565D" w:rsidP="006F4AA4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CC2622">
              <w:rPr>
                <w:lang w:val="es-ES"/>
              </w:rPr>
              <w:t xml:space="preserve">propuestas para la </w:t>
            </w:r>
            <w:r w:rsidR="006F4AA4" w:rsidRPr="00CC2622">
              <w:rPr>
                <w:lang w:val="es-ES"/>
              </w:rPr>
              <w:t>colaboración entre el uit-r y el uit-d en relación con los estudios en respuesta a la resolució</w:t>
            </w:r>
            <w:r w:rsidR="009911AB">
              <w:rPr>
                <w:lang w:val="es-ES"/>
              </w:rPr>
              <w:t xml:space="preserve">n 9 (rev. buenos aires, 2017), </w:t>
            </w:r>
            <w:r w:rsidR="006F4AA4" w:rsidRPr="00CC2622">
              <w:rPr>
                <w:lang w:val="es-ES"/>
              </w:rPr>
              <w:t xml:space="preserve">PARTICIPACIÓN DE LOS PAÍSES, EN PARTICULAR LOS PAÍSES EN DESARROLLO, EN LA GESTIÓN DEL ESPECTRO DE FRECUENCIAS </w:t>
            </w:r>
          </w:p>
        </w:tc>
      </w:tr>
      <w:bookmarkEnd w:id="5"/>
    </w:tbl>
    <w:p w:rsidR="00FF1290" w:rsidRPr="00CC2622" w:rsidRDefault="00FF1290" w:rsidP="00906598">
      <w:pPr>
        <w:rPr>
          <w:lang w:val="es-ES"/>
        </w:rPr>
      </w:pPr>
    </w:p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AA4" w:rsidRPr="009911AB" w:rsidTr="00086EFB">
        <w:trPr>
          <w:cantSplit/>
        </w:trPr>
        <w:tc>
          <w:tcPr>
            <w:tcW w:w="9889" w:type="dxa"/>
          </w:tcPr>
          <w:tbl>
            <w:tblPr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 w:rsidR="006F4AA4" w:rsidRPr="009911AB" w:rsidTr="00086EFB">
              <w:trPr>
                <w:cantSplit/>
                <w:trHeight w:val="1479"/>
              </w:trPr>
              <w:tc>
                <w:tcPr>
                  <w:tcW w:w="9889" w:type="dxa"/>
                  <w:hideMark/>
                </w:tcPr>
                <w:p w:rsidR="006F4AA4" w:rsidRPr="00CC2622" w:rsidRDefault="006F4AA4" w:rsidP="00086EFB">
                  <w:pPr>
                    <w:pStyle w:val="Title1"/>
                    <w:framePr w:hSpace="180" w:wrap="around" w:vAnchor="page" w:hAnchor="margin" w:y="905"/>
                    <w:rPr>
                      <w:lang w:val="es-ES"/>
                    </w:rPr>
                  </w:pPr>
                </w:p>
              </w:tc>
            </w:tr>
          </w:tbl>
          <w:p w:rsidR="006F4AA4" w:rsidRPr="00CC2622" w:rsidRDefault="006F4AA4" w:rsidP="00086EFB">
            <w:pPr>
              <w:pStyle w:val="Normalaftertitle0"/>
              <w:rPr>
                <w:rFonts w:ascii="Calibri" w:hAnsi="Calibri"/>
                <w:lang w:val="es-ES"/>
              </w:rPr>
            </w:pPr>
          </w:p>
          <w:p w:rsidR="006F4AA4" w:rsidRPr="00CC2622" w:rsidRDefault="006F4AA4" w:rsidP="00086EFB">
            <w:pPr>
              <w:pStyle w:val="Title2"/>
              <w:rPr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Spec="center" w:tblpY="-138"/>
        <w:tblOverlap w:val="never"/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6F4AA4" w:rsidRPr="009911AB" w:rsidTr="006F4AA4">
        <w:trPr>
          <w:trHeight w:val="1481"/>
        </w:trPr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4AA4" w:rsidRPr="00CC2622" w:rsidRDefault="00F60053" w:rsidP="006F4AA4">
            <w:pPr>
              <w:pStyle w:val="Headingb"/>
              <w:rPr>
                <w:lang w:val="es-ES"/>
              </w:rPr>
            </w:pPr>
            <w:r>
              <w:rPr>
                <w:lang w:val="es-ES"/>
              </w:rPr>
              <w:t>Resumen</w:t>
            </w:r>
          </w:p>
          <w:p w:rsidR="006F4AA4" w:rsidRPr="00CC2622" w:rsidRDefault="00F60053" w:rsidP="00F60053">
            <w:pPr>
              <w:rPr>
                <w:lang w:val="es-ES"/>
              </w:rPr>
            </w:pPr>
            <w:r>
              <w:rPr>
                <w:lang w:val="es-ES"/>
              </w:rPr>
              <w:t>Con este documento se propone pedir al Director de la Oficina de Radiocomunicaciones que garantice que la información sobre los temas de estudio del UIT-R que son de interés común para el UIT-T y el UIT-D esté actualizada. Esta información puede resultar ú</w:t>
            </w:r>
            <w:r w:rsidR="00197CE6">
              <w:rPr>
                <w:lang w:val="es-ES"/>
              </w:rPr>
              <w:t>til para las actividades del</w:t>
            </w:r>
            <w:r w:rsidRPr="009911AB">
              <w:rPr>
                <w:lang w:val="es-ES_tradnl"/>
              </w:rPr>
              <w:t xml:space="preserve"> </w:t>
            </w:r>
            <w:r w:rsidRPr="00F60053">
              <w:rPr>
                <w:lang w:val="es-ES"/>
              </w:rPr>
              <w:t>Equipo de Coordinación Intersectorial sobre temas de interés común</w:t>
            </w:r>
            <w:r w:rsidR="006F4AA4" w:rsidRPr="00CC2622">
              <w:rPr>
                <w:lang w:val="es-ES"/>
              </w:rPr>
              <w:t xml:space="preserve">. </w:t>
            </w:r>
            <w:r>
              <w:rPr>
                <w:lang w:val="es-ES"/>
              </w:rPr>
              <w:t>En</w:t>
            </w:r>
            <w:r w:rsidR="006F4AA4" w:rsidRPr="00CC2622">
              <w:rPr>
                <w:lang w:val="es-ES"/>
              </w:rPr>
              <w:t xml:space="preserve"> particular,</w:t>
            </w:r>
            <w:r>
              <w:rPr>
                <w:lang w:val="es-ES"/>
              </w:rPr>
              <w:t xml:space="preserve"> se propone transmitir la declaración de coordinación al Grupo Asesor de Desarrollo de las Telecomunicaciones (GADT), y facilitar la lista de estudios del UIT-R en el campo de la gestión del espectro de radiofrecuencias que pudieran ser de interés para los países en desarrollo como respuesta a la Resolución 9 de la CMDT. </w:t>
            </w:r>
          </w:p>
          <w:p w:rsidR="006F4AA4" w:rsidRPr="00CC2622" w:rsidRDefault="00F60053" w:rsidP="00F60053">
            <w:pPr>
              <w:rPr>
                <w:lang w:val="es-ES"/>
              </w:rPr>
            </w:pPr>
            <w:r>
              <w:rPr>
                <w:lang w:val="es-ES"/>
              </w:rPr>
              <w:t>Se pide al GAR que estudie este documento y facilite las orientaciones que estime oportunas.</w:t>
            </w:r>
          </w:p>
        </w:tc>
      </w:tr>
    </w:tbl>
    <w:p w:rsidR="006F4AA4" w:rsidRPr="00CC2622" w:rsidRDefault="006F4AA4" w:rsidP="006F4AA4">
      <w:pPr>
        <w:rPr>
          <w:lang w:val="es-ES" w:eastAsia="zh-CN"/>
        </w:rPr>
      </w:pPr>
    </w:p>
    <w:p w:rsidR="006F4AA4" w:rsidRPr="00CC2622" w:rsidRDefault="006F4AA4" w:rsidP="006F4AA4">
      <w:pPr>
        <w:ind w:left="2160" w:hanging="2160"/>
        <w:rPr>
          <w:b/>
          <w:lang w:val="es-ES"/>
        </w:rPr>
      </w:pPr>
    </w:p>
    <w:p w:rsidR="006F4AA4" w:rsidRPr="00CC2622" w:rsidRDefault="006F4AA4" w:rsidP="006F4AA4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A57318" w:rsidRDefault="00A57318" w:rsidP="00F60053">
      <w:pPr>
        <w:ind w:left="2160" w:hanging="2160"/>
        <w:rPr>
          <w:b/>
          <w:lang w:val="es-ES"/>
        </w:rPr>
      </w:pPr>
    </w:p>
    <w:p w:rsidR="006F4AA4" w:rsidRPr="00CC2622" w:rsidRDefault="006F4AA4" w:rsidP="00F60053">
      <w:pPr>
        <w:ind w:left="2160" w:hanging="2160"/>
        <w:rPr>
          <w:lang w:val="es-ES"/>
        </w:rPr>
      </w:pPr>
      <w:r w:rsidRPr="00CC2622">
        <w:rPr>
          <w:b/>
          <w:lang w:val="es-ES"/>
        </w:rPr>
        <w:t>Contact</w:t>
      </w:r>
      <w:r w:rsidR="00F60053">
        <w:rPr>
          <w:b/>
          <w:lang w:val="es-ES"/>
        </w:rPr>
        <w:t>o</w:t>
      </w:r>
      <w:r w:rsidRPr="00CC2622">
        <w:rPr>
          <w:b/>
          <w:lang w:val="es-ES"/>
        </w:rPr>
        <w:t xml:space="preserve">: </w:t>
      </w:r>
      <w:r w:rsidRPr="00CC2622">
        <w:rPr>
          <w:b/>
          <w:lang w:val="es-ES"/>
        </w:rPr>
        <w:tab/>
      </w:r>
      <w:r w:rsidRPr="00CC2622">
        <w:rPr>
          <w:b/>
          <w:lang w:val="es-ES"/>
        </w:rPr>
        <w:tab/>
      </w:r>
      <w:r w:rsidRPr="00CC2622">
        <w:rPr>
          <w:lang w:val="es-ES"/>
        </w:rPr>
        <w:t>Arseny Plossky</w:t>
      </w:r>
      <w:r w:rsidRPr="00CC2622">
        <w:rPr>
          <w:lang w:val="es-ES"/>
        </w:rPr>
        <w:tab/>
      </w:r>
      <w:r w:rsidRPr="00CC2622">
        <w:rPr>
          <w:lang w:val="es-ES"/>
        </w:rPr>
        <w:tab/>
      </w:r>
      <w:r w:rsidRPr="00CC2622">
        <w:rPr>
          <w:lang w:val="es-ES"/>
        </w:rPr>
        <w:tab/>
      </w:r>
      <w:r w:rsidR="00F60053">
        <w:rPr>
          <w:b/>
          <w:bCs/>
          <w:lang w:val="es-ES"/>
        </w:rPr>
        <w:t>Correo-e</w:t>
      </w:r>
      <w:r w:rsidRPr="00CC2622">
        <w:rPr>
          <w:b/>
          <w:bCs/>
          <w:lang w:val="es-ES"/>
        </w:rPr>
        <w:t>:</w:t>
      </w:r>
      <w:r w:rsidRPr="00CC2622">
        <w:rPr>
          <w:lang w:val="es-ES"/>
        </w:rPr>
        <w:t xml:space="preserve"> </w:t>
      </w:r>
      <w:hyperlink r:id="rId8" w:history="1">
        <w:r w:rsidRPr="00CC2622">
          <w:rPr>
            <w:rStyle w:val="Hyperlink"/>
            <w:lang w:val="es-ES"/>
          </w:rPr>
          <w:t>aplossky@gmail.com</w:t>
        </w:r>
      </w:hyperlink>
      <w:r w:rsidRPr="00CC2622">
        <w:rPr>
          <w:lang w:val="es-ES"/>
        </w:rPr>
        <w:t xml:space="preserve"> </w:t>
      </w:r>
    </w:p>
    <w:p w:rsidR="006F4AA4" w:rsidRPr="00CC2622" w:rsidRDefault="006F4AA4" w:rsidP="00F60053">
      <w:pPr>
        <w:ind w:left="2160" w:hanging="2160"/>
        <w:rPr>
          <w:lang w:val="es-ES"/>
        </w:rPr>
      </w:pPr>
      <w:r w:rsidRPr="00CC2622">
        <w:rPr>
          <w:b/>
          <w:lang w:val="es-ES"/>
        </w:rPr>
        <w:tab/>
      </w:r>
      <w:r w:rsidRPr="00CC2622">
        <w:rPr>
          <w:b/>
          <w:lang w:val="es-ES"/>
        </w:rPr>
        <w:tab/>
      </w:r>
      <w:r w:rsidR="00197CE6">
        <w:rPr>
          <w:b/>
          <w:lang w:val="es-ES"/>
        </w:rPr>
        <w:tab/>
      </w:r>
      <w:r w:rsidR="00F60053" w:rsidRPr="00F60053">
        <w:rPr>
          <w:bCs/>
          <w:lang w:val="es-ES"/>
        </w:rPr>
        <w:t>Jefe Adjunto de Laboratorio,</w:t>
      </w:r>
      <w:r w:rsidR="00F60053">
        <w:rPr>
          <w:b/>
          <w:lang w:val="es-ES"/>
        </w:rPr>
        <w:t xml:space="preserve"> </w:t>
      </w:r>
    </w:p>
    <w:p w:rsidR="006F4AA4" w:rsidRPr="00CC2622" w:rsidRDefault="006F4AA4" w:rsidP="00F60053">
      <w:pPr>
        <w:ind w:left="2160" w:hanging="2160"/>
        <w:rPr>
          <w:lang w:val="es-ES"/>
        </w:rPr>
      </w:pPr>
      <w:r w:rsidRPr="00CC2622">
        <w:rPr>
          <w:lang w:val="es-ES"/>
        </w:rPr>
        <w:tab/>
      </w:r>
      <w:r w:rsidRPr="00CC2622">
        <w:rPr>
          <w:lang w:val="es-ES"/>
        </w:rPr>
        <w:tab/>
      </w:r>
      <w:r w:rsidR="00197CE6">
        <w:rPr>
          <w:lang w:val="es-ES"/>
        </w:rPr>
        <w:tab/>
      </w:r>
      <w:r w:rsidR="00F60053" w:rsidRPr="00F60053">
        <w:rPr>
          <w:lang w:val="es-ES"/>
        </w:rPr>
        <w:t>Instituto de Investigación y Desarrollo de las Radiocomunicaciones (NIIR)</w:t>
      </w:r>
      <w:r w:rsidRPr="00CC2622">
        <w:rPr>
          <w:lang w:val="es-ES"/>
        </w:rPr>
        <w:t>,</w:t>
      </w:r>
    </w:p>
    <w:p w:rsidR="006F4AA4" w:rsidRPr="00CC2622" w:rsidRDefault="006F4AA4" w:rsidP="00F60053">
      <w:pPr>
        <w:ind w:left="2160" w:hanging="2160"/>
        <w:rPr>
          <w:lang w:val="es-ES"/>
        </w:rPr>
      </w:pPr>
      <w:r w:rsidRPr="00CC2622">
        <w:rPr>
          <w:lang w:val="es-ES"/>
        </w:rPr>
        <w:tab/>
      </w:r>
      <w:r w:rsidRPr="00CC2622">
        <w:rPr>
          <w:lang w:val="es-ES"/>
        </w:rPr>
        <w:tab/>
      </w:r>
      <w:r w:rsidR="00197CE6">
        <w:rPr>
          <w:lang w:val="es-ES"/>
        </w:rPr>
        <w:tab/>
      </w:r>
      <w:r w:rsidR="00F60053">
        <w:rPr>
          <w:lang w:val="es-ES"/>
        </w:rPr>
        <w:t>Federación de Rusia</w:t>
      </w:r>
    </w:p>
    <w:p w:rsidR="006F4AA4" w:rsidRPr="00CC2622" w:rsidRDefault="006F4AA4" w:rsidP="006F4AA4">
      <w:pPr>
        <w:rPr>
          <w:lang w:val="es-ES" w:eastAsia="zh-CN"/>
        </w:rPr>
      </w:pPr>
      <w:r w:rsidRPr="00CC2622">
        <w:rPr>
          <w:lang w:val="es-ES" w:eastAsia="zh-CN"/>
        </w:rPr>
        <w:br w:type="page"/>
      </w:r>
    </w:p>
    <w:p w:rsidR="006F4AA4" w:rsidRPr="00CC2622" w:rsidRDefault="006F4AA4" w:rsidP="00474B74">
      <w:pPr>
        <w:pStyle w:val="Heading1"/>
        <w:rPr>
          <w:lang w:val="es-ES" w:eastAsia="zh-CN"/>
        </w:rPr>
      </w:pPr>
      <w:r w:rsidRPr="00CC2622">
        <w:rPr>
          <w:lang w:val="es-ES" w:eastAsia="zh-CN"/>
        </w:rPr>
        <w:lastRenderedPageBreak/>
        <w:t>1</w:t>
      </w:r>
      <w:r w:rsidRPr="00CC2622">
        <w:rPr>
          <w:lang w:val="es-ES" w:eastAsia="zh-CN"/>
        </w:rPr>
        <w:tab/>
      </w:r>
      <w:r w:rsidR="00F60053" w:rsidRPr="00CC2622">
        <w:rPr>
          <w:lang w:val="es-ES" w:eastAsia="zh-CN"/>
        </w:rPr>
        <w:t>Introducción</w:t>
      </w:r>
    </w:p>
    <w:p w:rsidR="006F4AA4" w:rsidRPr="00CC2622" w:rsidRDefault="00AB1ABF" w:rsidP="00AB1ABF">
      <w:pPr>
        <w:rPr>
          <w:lang w:val="es-ES" w:eastAsia="zh-CN"/>
        </w:rPr>
      </w:pPr>
      <w:r>
        <w:rPr>
          <w:lang w:val="es-ES"/>
        </w:rPr>
        <w:t>El</w:t>
      </w:r>
      <w:r w:rsidR="006F4AA4" w:rsidRPr="00CC2622">
        <w:rPr>
          <w:lang w:val="es-ES"/>
        </w:rPr>
        <w:t xml:space="preserve"> </w:t>
      </w:r>
      <w:r w:rsidR="00F60053" w:rsidRPr="00F60053">
        <w:rPr>
          <w:lang w:val="es-ES"/>
        </w:rPr>
        <w:t xml:space="preserve">Equipo de Coordinación Intersectorial sobre temas de interés común </w:t>
      </w:r>
      <w:r w:rsidR="006F4AA4" w:rsidRPr="00CC2622">
        <w:rPr>
          <w:lang w:val="es-ES"/>
        </w:rPr>
        <w:t>ha</w:t>
      </w:r>
      <w:r>
        <w:rPr>
          <w:lang w:val="es-ES"/>
        </w:rPr>
        <w:t xml:space="preserve"> estado funcionando a lo largo de los últimos periodos de estudio de los Sectores de la UIT, y su labor puede calificarse como un éxito. Se encarga al Equipo que notifique a los órganos de trabajo de todos los Sectores de la UIT acerca de los vínculos entre las Comisiones de Estudio y Cuestiones de estudio para evitar la duplicación de los estudios existentes y la utilización ineficiente de los r</w:t>
      </w:r>
      <w:r w:rsidR="00474B74">
        <w:rPr>
          <w:lang w:val="es-ES"/>
        </w:rPr>
        <w:t xml:space="preserve">ecursos humanos y financieros. </w:t>
      </w:r>
    </w:p>
    <w:p w:rsidR="006F4AA4" w:rsidRPr="00CC2622" w:rsidRDefault="00AB1ABF" w:rsidP="005D39A4">
      <w:pPr>
        <w:rPr>
          <w:lang w:val="es-ES"/>
        </w:rPr>
      </w:pPr>
      <w:r>
        <w:rPr>
          <w:lang w:val="es-ES"/>
        </w:rPr>
        <w:t>La</w:t>
      </w:r>
      <w:r w:rsidR="006F4AA4" w:rsidRPr="00CC2622">
        <w:rPr>
          <w:lang w:val="es-ES"/>
        </w:rPr>
        <w:t xml:space="preserve"> </w:t>
      </w:r>
      <w:r w:rsidR="00F60053">
        <w:rPr>
          <w:lang w:val="es-ES"/>
        </w:rPr>
        <w:t>Conferencia Mundial de Desarrollo de las Telecomunicaciones de</w:t>
      </w:r>
      <w:r w:rsidR="006F4AA4" w:rsidRPr="00CC2622">
        <w:rPr>
          <w:lang w:val="es-ES"/>
        </w:rPr>
        <w:t xml:space="preserve"> 2017 (</w:t>
      </w:r>
      <w:r w:rsidR="00F60053">
        <w:rPr>
          <w:lang w:val="es-ES"/>
        </w:rPr>
        <w:t>CMDT</w:t>
      </w:r>
      <w:r w:rsidR="006F4AA4" w:rsidRPr="00CC2622">
        <w:rPr>
          <w:lang w:val="es-ES"/>
        </w:rPr>
        <w:t xml:space="preserve">-17), </w:t>
      </w:r>
      <w:r>
        <w:rPr>
          <w:lang w:val="es-ES"/>
        </w:rPr>
        <w:t>que tuvo lugar en</w:t>
      </w:r>
      <w:r w:rsidR="006F4AA4" w:rsidRPr="00CC2622">
        <w:rPr>
          <w:lang w:val="es-ES"/>
        </w:rPr>
        <w:t xml:space="preserve"> Buenos Aires (Argentina), ha</w:t>
      </w:r>
      <w:r>
        <w:rPr>
          <w:lang w:val="es-ES"/>
        </w:rPr>
        <w:t xml:space="preserve"> resumido el periodo de estudios 2014-2017 del Sector de Desarrollo de las Telecomunicaciones (UIT-D), y ha revisado varias Resoluciones de interés mutuo. En especial, se revisó la </w:t>
      </w:r>
      <w:r w:rsidRPr="00CC2622">
        <w:rPr>
          <w:lang w:val="es-ES"/>
        </w:rPr>
        <w:t>Resolución</w:t>
      </w:r>
      <w:r w:rsidR="006F4AA4" w:rsidRPr="00CC2622">
        <w:rPr>
          <w:lang w:val="es-ES"/>
        </w:rPr>
        <w:t xml:space="preserve"> 9 "</w:t>
      </w:r>
      <w:r w:rsidR="00F60053">
        <w:rPr>
          <w:lang w:val="es-ES"/>
        </w:rPr>
        <w:t>P</w:t>
      </w:r>
      <w:r w:rsidR="00F60053" w:rsidRPr="00F60053">
        <w:rPr>
          <w:lang w:val="es-ES"/>
        </w:rPr>
        <w:t>articipación de los países, en particular los países en desarrollo, en la gestión del espectro de frecuencias</w:t>
      </w:r>
      <w:r w:rsidR="006F4AA4" w:rsidRPr="00CC2622">
        <w:rPr>
          <w:lang w:val="es-ES"/>
        </w:rPr>
        <w:t xml:space="preserve">", </w:t>
      </w:r>
      <w:r>
        <w:rPr>
          <w:lang w:val="es-ES"/>
        </w:rPr>
        <w:t xml:space="preserve">que está destinada a garantizar la cooperación entre el </w:t>
      </w:r>
      <w:r w:rsidR="00F60053">
        <w:rPr>
          <w:lang w:val="es-ES"/>
        </w:rPr>
        <w:t xml:space="preserve">Sector de Radiocomunicaciones (UIT-R) </w:t>
      </w:r>
      <w:r>
        <w:rPr>
          <w:lang w:val="es-ES"/>
        </w:rPr>
        <w:t>y el UIT-D para la aplicación de la utilización de las investigaciones y decisiones a escala nacional de la Comisión de Estudio 1 del UIT-R</w:t>
      </w:r>
      <w:r w:rsidR="005D39A4">
        <w:rPr>
          <w:lang w:val="es-ES"/>
        </w:rPr>
        <w:t xml:space="preserve">. En el anterior periodo de estudios de 2014-2017, las reuniones del </w:t>
      </w:r>
      <w:r w:rsidR="005D39A4" w:rsidRPr="005D39A4">
        <w:rPr>
          <w:lang w:val="es-ES"/>
        </w:rPr>
        <w:t>Grupo Mixto UIT-D/UIT-R sobre la Resolución 9</w:t>
      </w:r>
      <w:r w:rsidR="005D39A4">
        <w:rPr>
          <w:lang w:val="es-ES"/>
        </w:rPr>
        <w:t xml:space="preserve"> se celebraron como parte de las reuniones de la Comisión de Estudio 1 del UIT-D. Este Grupo Mixto ha elaborado un informe, que se sometió posteriormente a la CMDT-17. </w:t>
      </w:r>
    </w:p>
    <w:p w:rsidR="006F4AA4" w:rsidRPr="00CC2622" w:rsidRDefault="005D39A4" w:rsidP="00DF7F69">
      <w:pPr>
        <w:rPr>
          <w:lang w:val="es-ES"/>
        </w:rPr>
      </w:pPr>
      <w:r>
        <w:rPr>
          <w:lang w:val="es-ES"/>
        </w:rPr>
        <w:t>Durante este periodo de estudio, y posteriormente en la CMDT-17, se tomaron decisiones que tomaron nota de la falta de eficacia de este grupo, y también se reafirmó el incuestionable papel de liderazgo del UIT-D en la gestión del espectro de radiofrecuencias. Asimismo, se decidió no seguir adelante con los trabajos en el marco del Grupo Mixto y no publicar el informe por el lado del UIT</w:t>
      </w:r>
      <w:r w:rsidR="00DF7F69">
        <w:rPr>
          <w:lang w:val="es-ES"/>
        </w:rPr>
        <w:noBreakHyphen/>
      </w:r>
      <w:r>
        <w:rPr>
          <w:lang w:val="es-ES"/>
        </w:rPr>
        <w:t xml:space="preserve">D. Sin embargo, en la versión actual de la Resolución 9 de la CMDT figura una invitación al Director de la Oficina de Radiocomunicaciones (BR) a que siga garantizando que el UIT-R prosigue su colaboración con el UIT-D en la implementación de la Resolución 9. </w:t>
      </w:r>
    </w:p>
    <w:p w:rsidR="006F4AA4" w:rsidRPr="00CC2622" w:rsidRDefault="006F4AA4" w:rsidP="00474B74">
      <w:pPr>
        <w:pStyle w:val="Heading1"/>
        <w:rPr>
          <w:lang w:val="es-ES" w:eastAsia="zh-CN"/>
        </w:rPr>
      </w:pPr>
      <w:r w:rsidRPr="00CC2622">
        <w:rPr>
          <w:lang w:val="es-ES" w:eastAsia="zh-CN"/>
        </w:rPr>
        <w:t>2</w:t>
      </w:r>
      <w:r w:rsidRPr="00CC2622">
        <w:rPr>
          <w:lang w:val="es-ES" w:eastAsia="zh-CN"/>
        </w:rPr>
        <w:tab/>
        <w:t>Prop</w:t>
      </w:r>
      <w:r w:rsidR="00F60053">
        <w:rPr>
          <w:lang w:val="es-ES" w:eastAsia="zh-CN"/>
        </w:rPr>
        <w:t>uestas</w:t>
      </w:r>
    </w:p>
    <w:p w:rsidR="005D39A4" w:rsidRDefault="005D39A4" w:rsidP="00A57318">
      <w:pPr>
        <w:rPr>
          <w:lang w:val="es-ES"/>
        </w:rPr>
      </w:pPr>
      <w:r>
        <w:rPr>
          <w:lang w:val="es-ES"/>
        </w:rPr>
        <w:t xml:space="preserve">En relación con lo anterior, se propone que se pida al Director de la Oficina de Radiocomunicaciones que se asegure de que se mantiene actualizada la información relativa a los temas de estudio del UIT-R que sean de interés mutuo para el UIT-D y el UIT-T. </w:t>
      </w:r>
      <w:r w:rsidRPr="005D39A4">
        <w:rPr>
          <w:lang w:val="es-ES"/>
        </w:rPr>
        <w:t>Esta información puede resulta</w:t>
      </w:r>
      <w:r w:rsidR="00340ACF">
        <w:rPr>
          <w:lang w:val="es-ES"/>
        </w:rPr>
        <w:t>r útil para las actividades del</w:t>
      </w:r>
      <w:r w:rsidRPr="005D39A4">
        <w:rPr>
          <w:lang w:val="es-ES"/>
        </w:rPr>
        <w:t xml:space="preserve"> Equipo de Coordinación Intersectorial sobre temas de interés común. En particular, se propone transmitir </w:t>
      </w:r>
      <w:r w:rsidR="00A57318">
        <w:rPr>
          <w:lang w:val="es-ES"/>
        </w:rPr>
        <w:t>una</w:t>
      </w:r>
      <w:r w:rsidRPr="005D39A4">
        <w:rPr>
          <w:lang w:val="es-ES"/>
        </w:rPr>
        <w:t xml:space="preserve"> declaración de coordinación al Grupo Asesor de Desarrollo de las Telecomunicaciones (GADT), y facilitar la lista de estudios del UIT-R en el campo de la gestión del espectro de radiofrecuencias que pudieran ser de interés para los países en desarrollo</w:t>
      </w:r>
      <w:r w:rsidR="00A57318">
        <w:rPr>
          <w:lang w:val="es-ES"/>
        </w:rPr>
        <w:t>,</w:t>
      </w:r>
      <w:r w:rsidRPr="005D39A4">
        <w:rPr>
          <w:lang w:val="es-ES"/>
        </w:rPr>
        <w:t xml:space="preserve"> como respuesta a la Resolución 9 de la CMDT.</w:t>
      </w:r>
    </w:p>
    <w:p w:rsidR="006F4AA4" w:rsidRPr="00CC2622" w:rsidRDefault="006F4AA4" w:rsidP="006F4AA4">
      <w:pPr>
        <w:rPr>
          <w:lang w:val="es-ES"/>
        </w:rPr>
      </w:pPr>
      <w:r w:rsidRPr="00CC2622">
        <w:rPr>
          <w:lang w:val="es-ES"/>
        </w:rPr>
        <w:br w:type="page"/>
      </w:r>
    </w:p>
    <w:p w:rsidR="006F4AA4" w:rsidRPr="00CC2622" w:rsidRDefault="006F4AA4" w:rsidP="00F60053">
      <w:pPr>
        <w:pStyle w:val="AnnexNo"/>
        <w:rPr>
          <w:lang w:val="es-ES" w:eastAsia="zh-CN"/>
        </w:rPr>
      </w:pPr>
      <w:r w:rsidRPr="00CC2622">
        <w:rPr>
          <w:lang w:val="es-ES" w:eastAsia="zh-CN"/>
        </w:rPr>
        <w:lastRenderedPageBreak/>
        <w:t>Anex</w:t>
      </w:r>
      <w:r w:rsidR="00F60053">
        <w:rPr>
          <w:lang w:val="es-ES" w:eastAsia="zh-CN"/>
        </w:rPr>
        <w:t>O</w:t>
      </w:r>
    </w:p>
    <w:p w:rsidR="006F4AA4" w:rsidRPr="00CC2622" w:rsidRDefault="006F4AA4" w:rsidP="00340ACF">
      <w:pPr>
        <w:pStyle w:val="Annextitle"/>
        <w:rPr>
          <w:lang w:val="es-ES"/>
        </w:rPr>
      </w:pPr>
      <w:r w:rsidRPr="00CC2622">
        <w:rPr>
          <w:lang w:val="es-ES" w:eastAsia="zh-CN"/>
        </w:rPr>
        <w:t>List</w:t>
      </w:r>
      <w:r w:rsidR="00F60053">
        <w:rPr>
          <w:lang w:val="es-ES" w:eastAsia="zh-CN"/>
        </w:rPr>
        <w:t>a de publicaciones del UIT-R sobre cuestiones de interés mutuo</w:t>
      </w:r>
      <w:r w:rsidR="00340ACF">
        <w:rPr>
          <w:lang w:val="es-ES" w:eastAsia="zh-CN"/>
        </w:rPr>
        <w:br/>
      </w:r>
      <w:r w:rsidR="00F60053">
        <w:rPr>
          <w:lang w:val="es-ES" w:eastAsia="zh-CN"/>
        </w:rPr>
        <w:t>en el ámbito de la Resolución 9 de la CMDT</w:t>
      </w:r>
      <w:r w:rsidRPr="00CC2622">
        <w:rPr>
          <w:lang w:val="es-ES" w:eastAsia="zh-CN"/>
        </w:rPr>
        <w:t xml:space="preserve"> </w:t>
      </w:r>
    </w:p>
    <w:p w:rsidR="006F4AA4" w:rsidRPr="00340ACF" w:rsidRDefault="00642528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>Manual del UIT-R sobre técnicas informatizadas para la gestión del espectro (CAT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>). G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inebr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a, 2015. </w:t>
      </w:r>
      <w:hyperlink r:id="rId9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http://www.itu.int/pub/R-HDB-01</w:t>
        </w:r>
      </w:hyperlink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 </w:t>
      </w:r>
    </w:p>
    <w:p w:rsidR="006F4AA4" w:rsidRPr="00340ACF" w:rsidRDefault="00642528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n-U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>Manual del UIT-R sobre Gestión nacional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="006F4AA4" w:rsidRPr="00340ACF">
        <w:rPr>
          <w:rFonts w:asciiTheme="majorBidi" w:hAnsiTheme="majorBidi" w:cstheme="majorBidi"/>
          <w:sz w:val="22"/>
          <w:szCs w:val="22"/>
          <w:lang w:val="en-US"/>
        </w:rPr>
        <w:t xml:space="preserve">Geneva, 2015. </w:t>
      </w:r>
      <w:hyperlink r:id="rId10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  <w:lang w:val="en-US"/>
          </w:rPr>
          <w:t>http://www.itu.int/pub/R-HDB-21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>Manual del UIT-R sobre comprobación técnica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>. G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inebr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a, 2011. </w:t>
      </w:r>
      <w:hyperlink r:id="rId11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  <w:lang w:val="es-ES"/>
          </w:rPr>
          <w:t>http://www.itu.int/pub/R-HDB-23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>Recomendación UIT-R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R SM.1047-2.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Gestión nacional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>. G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inebr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a, 2012. </w:t>
      </w:r>
      <w:hyperlink r:id="rId12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https://www.itu.int/rec/R-REC-SM.1047/en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Recomendación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SM.1132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Principios y métodos generales relacionados con la compartición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2001. </w:t>
      </w:r>
      <w:hyperlink r:id="rId13" w:history="1">
        <w:r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https://www.itu.int/rec/R-REC-SM.1132/en</w:t>
        </w:r>
      </w:hyperlink>
      <w:r w:rsidRPr="00340ACF">
        <w:rPr>
          <w:rFonts w:asciiTheme="majorBidi" w:hAnsiTheme="majorBidi" w:cstheme="majorBidi"/>
          <w:sz w:val="22"/>
          <w:szCs w:val="22"/>
        </w:rPr>
        <w:t xml:space="preserve"> </w:t>
      </w:r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Recomendación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SM.1265-1.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Métodos nacionales de atribución alternativos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2001. </w:t>
      </w:r>
      <w:hyperlink r:id="rId14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https://www.itu.int/rec/R-REC-SM.1265/en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Recomendación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SM.1370-2.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Directrices de diseño para la elaboración de sistemas de gestión automática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2013. </w:t>
      </w:r>
      <w:hyperlink r:id="rId15" w:history="1">
        <w:r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http://www.itu.int/rec/R-REC-SM.1370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Recomendación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SM.1392-2.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Requisitos esenciales para una estación de comprobación técnica del espectro para países en desarrollo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2011. </w:t>
      </w:r>
      <w:hyperlink r:id="rId16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http://www.itu.int/rec/R-REC-SM.1392/en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Recomendación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SM.1394-0.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Formato común para un memorándum de entendimiento entre los países que lo acuerden relativo a la cooperación en asuntos de comprobación técnica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1999. </w:t>
      </w:r>
      <w:hyperlink r:id="rId17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https://www.itu.int/rec/R-REC-SM.1394/en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Recomendación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SM.1537-1.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Automatización e integración de los sistemas de comprobación técnica del espectro con la gestión automática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2013. </w:t>
      </w:r>
      <w:hyperlink r:id="rId18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https://www.itu.int/rec/R-REC-SM.1537/en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Recomendación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SM.1603-2.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Reorganización del espectro como método de gestión nacional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2014. </w:t>
      </w:r>
      <w:hyperlink r:id="rId19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http://www.itu.int/rec/R-REC-SM.1603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Recomendación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SM.1604-0.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Directrices para un sistema perfeccionado de gestión del espectro destinado a los países en desarrollo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2003. </w:t>
      </w:r>
      <w:hyperlink r:id="rId20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https://www.itu.int/rec/R-REC-SM.1604/en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Informe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SM.2012-5.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Aspectos económicos de la gestión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2016. </w:t>
      </w:r>
      <w:hyperlink r:id="rId21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http://www.itu.int/pub/R-REP-SM.2012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Informe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SM.2015-0.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Métodos para la determinación de estrategias nacionales a largo plazo para la utilización del espectro radioeléctrico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1998. </w:t>
      </w:r>
      <w:hyperlink r:id="rId22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http://www.itu.int/pub/R-REP-SM.2015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Informe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SM.2093-2. </w:t>
      </w:r>
      <w:r w:rsidR="005B529E" w:rsidRPr="00340ACF">
        <w:rPr>
          <w:rFonts w:asciiTheme="majorBidi" w:hAnsiTheme="majorBidi" w:cstheme="majorBidi"/>
          <w:sz w:val="22"/>
          <w:szCs w:val="22"/>
          <w:lang w:val="es-ES"/>
        </w:rPr>
        <w:t>Orientaciones sobre el marco reglamentario para la gestión nacional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2015. </w:t>
      </w:r>
      <w:hyperlink r:id="rId23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http://www.itu.int/pub/R-REP-SM.2093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Informe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SM.2257-3. </w:t>
      </w:r>
      <w:r w:rsidR="005B529E" w:rsidRPr="00340ACF">
        <w:rPr>
          <w:rFonts w:asciiTheme="majorBidi" w:hAnsiTheme="majorBidi" w:cstheme="majorBidi"/>
          <w:sz w:val="22"/>
          <w:szCs w:val="22"/>
          <w:lang w:val="es-ES"/>
        </w:rPr>
        <w:t>Gestión y control del espectro durante grandes acontecimientos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2015. </w:t>
      </w:r>
      <w:hyperlink r:id="rId24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http://www.itu.int/pub/R-REP-SM.2257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Informe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SM.2353-0. </w:t>
      </w:r>
      <w:r w:rsidR="005B529E" w:rsidRPr="00340ACF">
        <w:rPr>
          <w:rFonts w:asciiTheme="majorBidi" w:hAnsiTheme="majorBidi" w:cstheme="majorBidi"/>
          <w:sz w:val="22"/>
          <w:szCs w:val="22"/>
          <w:lang w:val="es-ES"/>
        </w:rPr>
        <w:t>Desafíos y oportunidades para la gestión del espectro resultantes de la transición a la televisión digital terrenal en las bandas de ondas decimétricas (en inglés)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2015. </w:t>
      </w:r>
      <w:hyperlink r:id="rId25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  <w:lang w:val="es-ES"/>
          </w:rPr>
          <w:t>http://www.itu.int/pub/R-REP-SM.2353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Style w:val="Hyperlink"/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Informe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>SM.2356-0. Proced</w:t>
      </w:r>
      <w:r w:rsidR="005B529E" w:rsidRPr="00340ACF">
        <w:rPr>
          <w:rFonts w:asciiTheme="majorBidi" w:hAnsiTheme="majorBidi" w:cstheme="majorBidi"/>
          <w:sz w:val="22"/>
          <w:szCs w:val="22"/>
          <w:lang w:val="es-ES"/>
        </w:rPr>
        <w:t>imientos para la planificación y utilización óptima de las redes de comprobación técnica del espectro en la gama de frecuencias métricas y decimétricas (en inglés)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2015. </w:t>
      </w:r>
      <w:hyperlink r:id="rId26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  <w:lang w:val="es-ES"/>
          </w:rPr>
          <w:t>http://www.itu.int/pub/R-REP-SM.2356</w:t>
        </w:r>
      </w:hyperlink>
    </w:p>
    <w:p w:rsidR="006F4AA4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Style w:val="Hyperlink"/>
          <w:rFonts w:asciiTheme="majorBidi" w:hAnsiTheme="majorBidi" w:cstheme="majorBidi"/>
          <w:sz w:val="22"/>
          <w:szCs w:val="22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lastRenderedPageBreak/>
        <w:t xml:space="preserve">Informe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SM.2404-0. </w:t>
      </w:r>
      <w:r w:rsidR="005B529E" w:rsidRPr="00340ACF">
        <w:rPr>
          <w:rFonts w:asciiTheme="majorBidi" w:hAnsiTheme="majorBidi" w:cstheme="majorBidi"/>
          <w:sz w:val="22"/>
          <w:szCs w:val="22"/>
          <w:lang w:val="es-ES"/>
        </w:rPr>
        <w:t>Herramientas reglamentarias para dar soporte a una utilización compartida mejorada del espectro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2017. </w:t>
      </w:r>
      <w:hyperlink r:id="rId27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  <w:lang w:val="es-ES"/>
          </w:rPr>
          <w:t>https://www.itu.int/pub/R-REP-SM.2404</w:t>
        </w:r>
      </w:hyperlink>
    </w:p>
    <w:p w:rsidR="00340ACF" w:rsidRPr="00340ACF" w:rsidRDefault="009D75EB" w:rsidP="00340ACF">
      <w:pPr>
        <w:pStyle w:val="Enumlevel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es-ES"/>
        </w:rPr>
      </w:pPr>
      <w:r w:rsidRPr="00340ACF">
        <w:rPr>
          <w:rFonts w:asciiTheme="majorBidi" w:hAnsiTheme="majorBidi" w:cstheme="majorBidi"/>
          <w:sz w:val="22"/>
          <w:szCs w:val="22"/>
          <w:lang w:val="es-ES"/>
        </w:rPr>
        <w:t xml:space="preserve">Informe UIT-R 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SM.2405-0. </w:t>
      </w:r>
      <w:r w:rsidR="00AB1ABF" w:rsidRPr="00340ACF">
        <w:rPr>
          <w:rFonts w:asciiTheme="majorBidi" w:hAnsiTheme="majorBidi" w:cstheme="majorBidi"/>
          <w:sz w:val="22"/>
          <w:szCs w:val="22"/>
          <w:lang w:val="es-ES"/>
        </w:rPr>
        <w:t>Principios, retos y problemas de la gestión del espectro relacionados con el acceso dinámico a las bandas de frecuencias mediante sistemas de radiocomunicaciones con capacidades cognitivas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. </w:t>
      </w:r>
      <w:r w:rsidRPr="00340ACF">
        <w:rPr>
          <w:rFonts w:asciiTheme="majorBidi" w:hAnsiTheme="majorBidi" w:cstheme="majorBidi"/>
          <w:sz w:val="22"/>
          <w:szCs w:val="22"/>
          <w:lang w:val="es-ES"/>
        </w:rPr>
        <w:t>Ginebra</w:t>
      </w:r>
      <w:r w:rsidR="006F4AA4" w:rsidRPr="00340ACF">
        <w:rPr>
          <w:rFonts w:asciiTheme="majorBidi" w:hAnsiTheme="majorBidi" w:cstheme="majorBidi"/>
          <w:sz w:val="22"/>
          <w:szCs w:val="22"/>
          <w:lang w:val="es-ES"/>
        </w:rPr>
        <w:t xml:space="preserve">, 2017. </w:t>
      </w:r>
      <w:hyperlink r:id="rId28" w:history="1">
        <w:r w:rsidR="006F4AA4" w:rsidRPr="00340ACF">
          <w:rPr>
            <w:rStyle w:val="Hyperlink"/>
            <w:rFonts w:asciiTheme="majorBidi" w:hAnsiTheme="majorBidi" w:cstheme="majorBidi"/>
            <w:sz w:val="22"/>
            <w:szCs w:val="22"/>
          </w:rPr>
          <w:t>https://www.itu.int/pub/R-REP-SM.2405</w:t>
        </w:r>
      </w:hyperlink>
    </w:p>
    <w:p w:rsidR="00340ACF" w:rsidRPr="00340ACF" w:rsidRDefault="00340ACF" w:rsidP="00340ACF">
      <w:pPr>
        <w:pStyle w:val="Enumlevel1"/>
        <w:tabs>
          <w:tab w:val="left" w:pos="426"/>
        </w:tabs>
        <w:ind w:left="0" w:firstLine="0"/>
        <w:jc w:val="left"/>
        <w:rPr>
          <w:rFonts w:asciiTheme="majorBidi" w:hAnsiTheme="majorBidi" w:cstheme="majorBidi"/>
          <w:sz w:val="22"/>
          <w:szCs w:val="22"/>
          <w:lang w:val="es-ES"/>
        </w:rPr>
      </w:pPr>
    </w:p>
    <w:p w:rsidR="006F4AA4" w:rsidRPr="00CC2622" w:rsidRDefault="006F4AA4" w:rsidP="006F4AA4">
      <w:pPr>
        <w:jc w:val="center"/>
        <w:rPr>
          <w:szCs w:val="22"/>
          <w:lang w:val="es-ES"/>
        </w:rPr>
      </w:pPr>
      <w:r w:rsidRPr="00CC2622">
        <w:rPr>
          <w:lang w:val="es-ES"/>
        </w:rPr>
        <w:t>______________</w:t>
      </w:r>
    </w:p>
    <w:sectPr w:rsidR="006F4AA4" w:rsidRPr="00CC2622" w:rsidSect="00F749FF">
      <w:headerReference w:type="default" r:id="rId29"/>
      <w:footerReference w:type="default" r:id="rId30"/>
      <w:footerReference w:type="first" r:id="rId3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5B" w:rsidRDefault="00B33A5B">
      <w:r>
        <w:separator/>
      </w:r>
    </w:p>
  </w:endnote>
  <w:endnote w:type="continuationSeparator" w:id="0">
    <w:p w:rsidR="00B33A5B" w:rsidRDefault="00B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7901E9" w:rsidRDefault="00BB0ED8" w:rsidP="00BB0ED8">
    <w:pPr>
      <w:pStyle w:val="Footer"/>
      <w:rPr>
        <w:lang w:val="en-US"/>
      </w:rPr>
    </w:pPr>
    <w:r>
      <w:fldChar w:fldCharType="begin"/>
    </w:r>
    <w:r w:rsidRPr="007901E9">
      <w:rPr>
        <w:lang w:val="en-US"/>
      </w:rPr>
      <w:instrText xml:space="preserve"> FILENAME \p \* MERGEFORMAT </w:instrText>
    </w:r>
    <w:r>
      <w:fldChar w:fldCharType="separate"/>
    </w:r>
    <w:r w:rsidR="00BC5B82">
      <w:rPr>
        <w:lang w:val="en-US"/>
      </w:rPr>
      <w:t>P:\ESP\ITU-R\AG\RAG\RAG18\000\015S.docx</w:t>
    </w:r>
    <w:r>
      <w:rPr>
        <w:lang w:val="es-ES_tradnl"/>
      </w:rPr>
      <w:fldChar w:fldCharType="end"/>
    </w:r>
    <w:r w:rsidR="00BC5B82">
      <w:rPr>
        <w:lang w:val="es-ES_tradnl"/>
      </w:rPr>
      <w:t xml:space="preserve"> (433914)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7901E9" w:rsidRDefault="001E41A0" w:rsidP="00BB0ED8">
    <w:pPr>
      <w:pStyle w:val="Footer"/>
      <w:rPr>
        <w:lang w:val="en-US"/>
      </w:rPr>
    </w:pPr>
    <w:r>
      <w:fldChar w:fldCharType="begin"/>
    </w:r>
    <w:r w:rsidRPr="007901E9">
      <w:rPr>
        <w:lang w:val="en-US"/>
      </w:rPr>
      <w:instrText xml:space="preserve"> FILENAME \p \* MERGEFORMAT </w:instrText>
    </w:r>
    <w:r>
      <w:fldChar w:fldCharType="separate"/>
    </w:r>
    <w:r w:rsidR="00197CE6">
      <w:rPr>
        <w:lang w:val="en-US"/>
      </w:rPr>
      <w:t>P:\ESP\ITU-R\AG\RAG\RAG18\000\015S.docx</w:t>
    </w:r>
    <w:r>
      <w:rPr>
        <w:lang w:val="es-ES_tradnl"/>
      </w:rPr>
      <w:fldChar w:fldCharType="end"/>
    </w:r>
    <w:r w:rsidR="00197CE6">
      <w:rPr>
        <w:lang w:val="es-ES_tradnl"/>
      </w:rPr>
      <w:t xml:space="preserve"> (433914)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5B" w:rsidRDefault="00B33A5B">
      <w:r>
        <w:t>____________________</w:t>
      </w:r>
    </w:p>
  </w:footnote>
  <w:footnote w:type="continuationSeparator" w:id="0">
    <w:p w:rsidR="00B33A5B" w:rsidRDefault="00B3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C47D8">
      <w:rPr>
        <w:noProof/>
      </w:rPr>
      <w:t>4</w:t>
    </w:r>
    <w:r>
      <w:rPr>
        <w:noProof/>
      </w:rPr>
      <w:fldChar w:fldCharType="end"/>
    </w:r>
  </w:p>
  <w:p w:rsidR="0095426A" w:rsidRDefault="00597657" w:rsidP="00A57318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FF1290">
      <w:rPr>
        <w:lang w:val="es-ES"/>
      </w:rPr>
      <w:t>8</w:t>
    </w:r>
    <w:r w:rsidR="00BB0ED8">
      <w:rPr>
        <w:lang w:val="es-ES"/>
      </w:rPr>
      <w:t>/1</w:t>
    </w:r>
    <w:r w:rsidR="00A57318">
      <w:rPr>
        <w:lang w:val="es-ES"/>
      </w:rPr>
      <w:t>5</w:t>
    </w:r>
    <w:r w:rsidR="0095426A">
      <w:rPr>
        <w:lang w:val="es-ES"/>
      </w:rPr>
      <w:t>-</w:t>
    </w:r>
    <w:r w:rsidR="00BF3953">
      <w:rPr>
        <w:lang w:val="es-ES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62639"/>
    <w:multiLevelType w:val="hybridMultilevel"/>
    <w:tmpl w:val="BB0AFE88"/>
    <w:lvl w:ilvl="0" w:tplc="315C23B4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</w:rPr>
    </w:lvl>
    <w:lvl w:ilvl="1" w:tplc="40FE9D46">
      <w:numFmt w:val="bullet"/>
      <w:lvlText w:val="-"/>
      <w:lvlJc w:val="left"/>
      <w:pPr>
        <w:ind w:left="2635" w:hanging="705"/>
      </w:pPr>
      <w:rPr>
        <w:rFonts w:ascii="Calibri" w:eastAsiaTheme="minorEastAsia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B"/>
    <w:rsid w:val="00093C73"/>
    <w:rsid w:val="000F2431"/>
    <w:rsid w:val="001377D6"/>
    <w:rsid w:val="001632FD"/>
    <w:rsid w:val="00197CE6"/>
    <w:rsid w:val="001B2C02"/>
    <w:rsid w:val="001E41A0"/>
    <w:rsid w:val="002774E4"/>
    <w:rsid w:val="002F4DA3"/>
    <w:rsid w:val="00340ACF"/>
    <w:rsid w:val="003D068D"/>
    <w:rsid w:val="003E2CE2"/>
    <w:rsid w:val="00474B74"/>
    <w:rsid w:val="00481551"/>
    <w:rsid w:val="004F0848"/>
    <w:rsid w:val="00507DA3"/>
    <w:rsid w:val="0051782D"/>
    <w:rsid w:val="00597657"/>
    <w:rsid w:val="005B2C58"/>
    <w:rsid w:val="005B529E"/>
    <w:rsid w:val="005C25A7"/>
    <w:rsid w:val="005D39A4"/>
    <w:rsid w:val="00642528"/>
    <w:rsid w:val="00656189"/>
    <w:rsid w:val="006B4CFB"/>
    <w:rsid w:val="006F4AA4"/>
    <w:rsid w:val="00746923"/>
    <w:rsid w:val="007901E9"/>
    <w:rsid w:val="00806E63"/>
    <w:rsid w:val="0081028D"/>
    <w:rsid w:val="00817BEA"/>
    <w:rsid w:val="00821EAE"/>
    <w:rsid w:val="008B3F50"/>
    <w:rsid w:val="00906598"/>
    <w:rsid w:val="0095426A"/>
    <w:rsid w:val="00971BF2"/>
    <w:rsid w:val="009911AB"/>
    <w:rsid w:val="009C47D8"/>
    <w:rsid w:val="009D27EC"/>
    <w:rsid w:val="009D75EB"/>
    <w:rsid w:val="00A16CB2"/>
    <w:rsid w:val="00A57318"/>
    <w:rsid w:val="00A8280A"/>
    <w:rsid w:val="00AB1ABF"/>
    <w:rsid w:val="00B33A5B"/>
    <w:rsid w:val="00B35BE4"/>
    <w:rsid w:val="00B409FB"/>
    <w:rsid w:val="00B52992"/>
    <w:rsid w:val="00B92069"/>
    <w:rsid w:val="00BB0ED8"/>
    <w:rsid w:val="00BC0855"/>
    <w:rsid w:val="00BC5B82"/>
    <w:rsid w:val="00BF3953"/>
    <w:rsid w:val="00C322C4"/>
    <w:rsid w:val="00C67275"/>
    <w:rsid w:val="00CC1D49"/>
    <w:rsid w:val="00CC2622"/>
    <w:rsid w:val="00CD4D80"/>
    <w:rsid w:val="00CE366B"/>
    <w:rsid w:val="00CF7532"/>
    <w:rsid w:val="00D211BC"/>
    <w:rsid w:val="00DB1AB8"/>
    <w:rsid w:val="00DC3B29"/>
    <w:rsid w:val="00DD3BF8"/>
    <w:rsid w:val="00DF7F69"/>
    <w:rsid w:val="00E860EC"/>
    <w:rsid w:val="00EC0BE3"/>
    <w:rsid w:val="00ED2886"/>
    <w:rsid w:val="00EE2EE8"/>
    <w:rsid w:val="00F60053"/>
    <w:rsid w:val="00F749FF"/>
    <w:rsid w:val="00F8565D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BBFA604-4F2E-42CF-AB8C-41752DA4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uiPriority w:val="39"/>
    <w:rsid w:val="00BB0ED8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link w:val="AnnexNoChar"/>
    <w:rsid w:val="006F4AA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link w:val="AnnexNo"/>
    <w:locked/>
    <w:rsid w:val="006F4AA4"/>
    <w:rPr>
      <w:rFonts w:ascii="Times New Roman" w:hAnsi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6F4AA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nnextitleChar1">
    <w:name w:val="Annex_title Char1"/>
    <w:link w:val="Annextitle"/>
    <w:locked/>
    <w:rsid w:val="006F4AA4"/>
    <w:rPr>
      <w:rFonts w:ascii="Times New Roman Bold" w:hAnsi="Times New Roman Bold"/>
      <w:b/>
      <w:sz w:val="26"/>
      <w:lang w:val="ru-RU" w:eastAsia="en-US"/>
    </w:rPr>
  </w:style>
  <w:style w:type="character" w:customStyle="1" w:styleId="HeadingbChar">
    <w:name w:val="Heading_b Char"/>
    <w:link w:val="Headingb"/>
    <w:locked/>
    <w:rsid w:val="006F4AA4"/>
    <w:rPr>
      <w:rFonts w:ascii="Times New Roman" w:hAnsi="Times New Roman"/>
      <w:b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F4AA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2"/>
      <w:lang w:val="ru-RU"/>
    </w:rPr>
  </w:style>
  <w:style w:type="character" w:customStyle="1" w:styleId="NormalaftertitleChar">
    <w:name w:val="Normal after title Char"/>
    <w:link w:val="Normalaftertitle0"/>
    <w:locked/>
    <w:rsid w:val="006F4AA4"/>
    <w:rPr>
      <w:rFonts w:ascii="Times New Roman" w:hAnsi="Times New Roman"/>
      <w:sz w:val="22"/>
      <w:lang w:val="ru-RU" w:eastAsia="en-US"/>
    </w:rPr>
  </w:style>
  <w:style w:type="character" w:customStyle="1" w:styleId="Title1Char">
    <w:name w:val="Title 1 Char"/>
    <w:link w:val="Title1"/>
    <w:locked/>
    <w:rsid w:val="006F4AA4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nhideWhenUsed/>
    <w:rsid w:val="006F4AA4"/>
    <w:rPr>
      <w:color w:val="0000FF" w:themeColor="hyperlink"/>
      <w:u w:val="single"/>
    </w:rPr>
  </w:style>
  <w:style w:type="paragraph" w:customStyle="1" w:styleId="Enumlevel1">
    <w:name w:val="Enum level 1"/>
    <w:basedOn w:val="Normal"/>
    <w:link w:val="Enumlevel1Char"/>
    <w:qFormat/>
    <w:rsid w:val="006F4A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851" w:hanging="494"/>
      <w:jc w:val="both"/>
      <w:textAlignment w:val="auto"/>
    </w:pPr>
    <w:rPr>
      <w:rFonts w:ascii="Calibri" w:eastAsia="SimSun" w:hAnsi="Calibri" w:cs="Calibri"/>
      <w:sz w:val="21"/>
      <w:szCs w:val="21"/>
      <w:lang w:eastAsia="en-GB"/>
    </w:rPr>
  </w:style>
  <w:style w:type="character" w:customStyle="1" w:styleId="Enumlevel1Char">
    <w:name w:val="Enum level 1 Char"/>
    <w:basedOn w:val="DefaultParagraphFont"/>
    <w:link w:val="Enumlevel1"/>
    <w:rsid w:val="006F4AA4"/>
    <w:rPr>
      <w:rFonts w:ascii="Calibri" w:eastAsia="SimSun" w:hAnsi="Calibri" w:cs="Calibri"/>
      <w:sz w:val="21"/>
      <w:szCs w:val="21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642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lossky@gmail.com" TargetMode="External"/><Relationship Id="rId13" Type="http://schemas.openxmlformats.org/officeDocument/2006/relationships/hyperlink" Target="https://www.itu.int/rec/R-REC-SM.1132/en" TargetMode="External"/><Relationship Id="rId18" Type="http://schemas.openxmlformats.org/officeDocument/2006/relationships/hyperlink" Target="https://www.itu.int/rec/R-REC-SM.1537/en" TargetMode="External"/><Relationship Id="rId26" Type="http://schemas.openxmlformats.org/officeDocument/2006/relationships/hyperlink" Target="http://www.itu.int/pub/R-REP-SM.23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pub/R-REP-SM.201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rec/R-REC-SM.1047/en" TargetMode="External"/><Relationship Id="rId17" Type="http://schemas.openxmlformats.org/officeDocument/2006/relationships/hyperlink" Target="https://www.itu.int/rec/R-REC-SM.1394/en" TargetMode="External"/><Relationship Id="rId25" Type="http://schemas.openxmlformats.org/officeDocument/2006/relationships/hyperlink" Target="http://www.itu.int/pub/R-REP-SM.23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rec/R-REC-SM.1392/en" TargetMode="External"/><Relationship Id="rId20" Type="http://schemas.openxmlformats.org/officeDocument/2006/relationships/hyperlink" Target="https://www.itu.int/rec/R-REC-SM.1604/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HDB-23" TargetMode="External"/><Relationship Id="rId24" Type="http://schemas.openxmlformats.org/officeDocument/2006/relationships/hyperlink" Target="http://www.itu.int/pub/R-REP-SM.225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rec/R-REC-SM.1370" TargetMode="External"/><Relationship Id="rId23" Type="http://schemas.openxmlformats.org/officeDocument/2006/relationships/hyperlink" Target="http://www.itu.int/pub/R-REP-SM.2093" TargetMode="External"/><Relationship Id="rId28" Type="http://schemas.openxmlformats.org/officeDocument/2006/relationships/hyperlink" Target="https://www.itu.int/pub/R-REP-SM.2405" TargetMode="External"/><Relationship Id="rId10" Type="http://schemas.openxmlformats.org/officeDocument/2006/relationships/hyperlink" Target="http://www.itu.int/pub/R-HDB-21" TargetMode="External"/><Relationship Id="rId19" Type="http://schemas.openxmlformats.org/officeDocument/2006/relationships/hyperlink" Target="http://www.itu.int/rec/R-REC-SM.1603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HDB-01" TargetMode="External"/><Relationship Id="rId14" Type="http://schemas.openxmlformats.org/officeDocument/2006/relationships/hyperlink" Target="https://www.itu.int/rec/R-REC-SM.1265/en" TargetMode="External"/><Relationship Id="rId22" Type="http://schemas.openxmlformats.org/officeDocument/2006/relationships/hyperlink" Target="http://www.itu.int/pub/R-REP-SM.2015" TargetMode="External"/><Relationship Id="rId27" Type="http://schemas.openxmlformats.org/officeDocument/2006/relationships/hyperlink" Target="https://www.itu.int/pub/R-REP-SM.240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1084</Words>
  <Characters>7921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Ayala Martinez, Beatriz</cp:lastModifiedBy>
  <cp:revision>8</cp:revision>
  <cp:lastPrinted>1999-09-30T15:03:00Z</cp:lastPrinted>
  <dcterms:created xsi:type="dcterms:W3CDTF">2018-03-22T14:00:00Z</dcterms:created>
  <dcterms:modified xsi:type="dcterms:W3CDTF">2018-03-22T14:16:00Z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