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:rsidTr="0020275A">
        <w:trPr>
          <w:cantSplit/>
        </w:trPr>
        <w:tc>
          <w:tcPr>
            <w:tcW w:w="6771" w:type="dxa"/>
            <w:vAlign w:val="center"/>
          </w:tcPr>
          <w:p w:rsidR="0020275A" w:rsidRPr="00440334" w:rsidRDefault="00440334" w:rsidP="00326EAD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en-US"/>
              </w:rPr>
            </w:pPr>
            <w:r w:rsidRPr="00440334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t>Radiocommunication Advisory Group</w:t>
            </w:r>
            <w:r w:rsidRPr="00440334">
              <w:rPr>
                <w:rFonts w:ascii="Verdana" w:hAnsi="Verdana" w:cs="Times New Roman Bold"/>
                <w:b/>
                <w:sz w:val="26"/>
                <w:szCs w:val="26"/>
                <w:lang w:val="en-US"/>
              </w:rPr>
              <w:br/>
            </w:r>
            <w:r w:rsidRPr="00440334">
              <w:rPr>
                <w:rFonts w:ascii="Verdana" w:hAnsi="Verdana" w:cs="Times New Roman Bold"/>
                <w:b/>
                <w:bCs/>
                <w:sz w:val="20"/>
                <w:lang w:val="en-US"/>
              </w:rPr>
              <w:t>Geneva, 26-29 March 2018</w:t>
            </w:r>
          </w:p>
        </w:tc>
        <w:tc>
          <w:tcPr>
            <w:tcW w:w="3118" w:type="dxa"/>
            <w:vAlign w:val="center"/>
          </w:tcPr>
          <w:p w:rsidR="0020275A" w:rsidRPr="00EB6F34" w:rsidRDefault="00440334" w:rsidP="00083244">
            <w:pPr>
              <w:shd w:val="solid" w:color="FFFFFF" w:fill="FFFFFF"/>
              <w:spacing w:before="0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6CF9EF0" wp14:editId="76114E7A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440334" w:rsidRDefault="00440334" w:rsidP="00946E2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Document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326EAD">
              <w:rPr>
                <w:rFonts w:ascii="Verdana" w:hAnsi="Verdana"/>
                <w:b/>
                <w:sz w:val="18"/>
                <w:szCs w:val="18"/>
                <w:lang w:val="en-US"/>
              </w:rPr>
              <w:t>8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946E25">
              <w:rPr>
                <w:rFonts w:ascii="Verdana" w:hAnsi="Verdana"/>
                <w:b/>
                <w:sz w:val="18"/>
                <w:szCs w:val="18"/>
                <w:lang w:val="fr-CA"/>
              </w:rPr>
              <w:t>15</w:t>
            </w:r>
            <w:r w:rsidR="00D30E84">
              <w:rPr>
                <w:rFonts w:ascii="Verdana" w:hAnsi="Verdana"/>
                <w:b/>
                <w:sz w:val="18"/>
                <w:szCs w:val="18"/>
                <w:lang w:val="fr-CA"/>
              </w:rPr>
              <w:t>-E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440334" w:rsidRDefault="00946E25" w:rsidP="00326EA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CA"/>
              </w:rPr>
              <w:t xml:space="preserve">21 March 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326EAD">
              <w:rPr>
                <w:rFonts w:ascii="Verdana" w:hAnsi="Verdana"/>
                <w:b/>
                <w:sz w:val="18"/>
                <w:szCs w:val="18"/>
                <w:lang w:val="en-US"/>
              </w:rPr>
              <w:t>8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FB6D5F" w:rsidRDefault="00440334" w:rsidP="00946E25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Original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946E25">
              <w:rPr>
                <w:rFonts w:ascii="Verdana" w:hAnsi="Verdana"/>
                <w:b/>
                <w:sz w:val="18"/>
                <w:szCs w:val="18"/>
                <w:lang w:val="fr-CA"/>
              </w:rPr>
              <w:t>English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440334" w:rsidRDefault="00440334" w:rsidP="000252AA">
            <w:pPr>
              <w:pStyle w:val="Source"/>
              <w:rPr>
                <w:lang w:val="en-US"/>
              </w:rPr>
            </w:pPr>
            <w:bookmarkStart w:id="3" w:name="dsource" w:colFirst="0" w:colLast="0"/>
            <w:bookmarkEnd w:id="2"/>
            <w:r>
              <w:rPr>
                <w:lang w:val="en-US"/>
              </w:rPr>
              <w:t>Russian Federation</w:t>
            </w:r>
          </w:p>
        </w:tc>
      </w:tr>
      <w:tr w:rsidR="00093C73" w:rsidRPr="00781B94" w:rsidTr="00675D35">
        <w:trPr>
          <w:cantSplit/>
        </w:trPr>
        <w:tc>
          <w:tcPr>
            <w:tcW w:w="9889" w:type="dxa"/>
            <w:gridSpan w:val="2"/>
          </w:tcPr>
          <w:tbl>
            <w:tblPr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9885"/>
            </w:tblGrid>
            <w:tr w:rsidR="00315160" w:rsidRPr="00781B94" w:rsidTr="00440334">
              <w:trPr>
                <w:cantSplit/>
                <w:trHeight w:val="1479"/>
              </w:trPr>
              <w:tc>
                <w:tcPr>
                  <w:tcW w:w="9889" w:type="dxa"/>
                  <w:hideMark/>
                </w:tcPr>
                <w:p w:rsidR="00315160" w:rsidRPr="00440334" w:rsidRDefault="00440334" w:rsidP="00440334">
                  <w:pPr>
                    <w:pStyle w:val="Title1"/>
                    <w:framePr w:hSpace="180" w:wrap="around" w:vAnchor="page" w:hAnchor="margin" w:y="905"/>
                    <w:rPr>
                      <w:lang w:val="en-US"/>
                    </w:rPr>
                  </w:pPr>
                  <w:bookmarkStart w:id="4" w:name="dtitle1" w:colFirst="0" w:colLast="0"/>
                  <w:bookmarkEnd w:id="3"/>
                  <w:r>
                    <w:rPr>
                      <w:lang w:val="en-US"/>
                    </w:rPr>
                    <w:t>Proposals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on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collaboration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between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Itu</w:t>
                  </w:r>
                  <w:r w:rsidRPr="00440334">
                    <w:rPr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R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and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itu</w:t>
                  </w:r>
                  <w:r w:rsidRPr="00440334">
                    <w:rPr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d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on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the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studies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in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response</w:t>
                  </w:r>
                  <w:r w:rsidRPr="00440334"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to</w:t>
                  </w:r>
                  <w:r w:rsidRPr="00440334">
                    <w:rPr>
                      <w:lang w:val="en-US"/>
                    </w:rPr>
                    <w:t xml:space="preserve"> RESOLUTION 9 (REV. BUENOS AIRES, 2017) Participation of countries, particularly developing countries, in spectrum management</w:t>
                  </w:r>
                </w:p>
              </w:tc>
            </w:tr>
          </w:tbl>
          <w:p w:rsidR="00315160" w:rsidRPr="00440334" w:rsidRDefault="00315160" w:rsidP="00315160">
            <w:pPr>
              <w:pStyle w:val="Normalaftertitle"/>
              <w:rPr>
                <w:rFonts w:ascii="Calibri" w:hAnsi="Calibri"/>
                <w:lang w:val="en-US"/>
              </w:rPr>
            </w:pPr>
          </w:p>
          <w:tbl>
            <w:tblPr>
              <w:tblW w:w="8085" w:type="dxa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85"/>
            </w:tblGrid>
            <w:tr w:rsidR="00315160" w:rsidRPr="00781B94" w:rsidTr="00315160">
              <w:trPr>
                <w:trHeight w:val="1481"/>
              </w:trPr>
              <w:tc>
                <w:tcPr>
                  <w:tcW w:w="8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315160" w:rsidRPr="00E065BE" w:rsidRDefault="00E065BE" w:rsidP="00315160">
                  <w:pPr>
                    <w:pStyle w:val="Headingb"/>
                    <w:framePr w:hSpace="180" w:wrap="around" w:vAnchor="page" w:hAnchor="margin" w:y="905"/>
                    <w:rPr>
                      <w:rFonts w:ascii="Times New Roman" w:hAnsi="Times New Roman"/>
                      <w:lang w:val="en-US"/>
                    </w:rPr>
                  </w:pPr>
                  <w:r w:rsidRPr="00440334">
                    <w:rPr>
                      <w:rFonts w:ascii="Times New Roman" w:hAnsi="Times New Roman"/>
                      <w:lang w:val="en-US"/>
                    </w:rPr>
                    <w:t>Summary</w:t>
                  </w:r>
                </w:p>
                <w:p w:rsidR="00F304EA" w:rsidRDefault="00F304EA" w:rsidP="00315160">
                  <w:pPr>
                    <w:framePr w:hSpace="180" w:wrap="around" w:vAnchor="page" w:hAnchor="margin" w:y="90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With this</w:t>
                  </w:r>
                  <w:r w:rsidR="00400D54">
                    <w:rPr>
                      <w:lang w:val="en-US"/>
                    </w:rPr>
                    <w:t xml:space="preserve"> document</w:t>
                  </w:r>
                  <w:r>
                    <w:rPr>
                      <w:lang w:val="en-US"/>
                    </w:rPr>
                    <w:t xml:space="preserve"> it is proposed to ask the Director of Radiocommunication Bureau to ensure that the information on ITU-R study issues, which are of mutual interest for ITU-D and ITU-T</w:t>
                  </w:r>
                  <w:r w:rsidRPr="00E1260E">
                    <w:rPr>
                      <w:lang w:val="en-US"/>
                    </w:rPr>
                    <w:t>, is up-to-date</w:t>
                  </w:r>
                  <w:r>
                    <w:rPr>
                      <w:lang w:val="en-US"/>
                    </w:rPr>
                    <w:t xml:space="preserve">. This information can be useful for the activities of the </w:t>
                  </w:r>
                  <w:r w:rsidRPr="00F71F83">
                    <w:rPr>
                      <w:lang w:val="en-US"/>
                    </w:rPr>
                    <w:t>Inter-Sector Coordination Team</w:t>
                  </w:r>
                  <w:r>
                    <w:rPr>
                      <w:lang w:val="en-US"/>
                    </w:rPr>
                    <w:t xml:space="preserve"> </w:t>
                  </w:r>
                  <w:r w:rsidRPr="00575F11">
                    <w:rPr>
                      <w:lang w:val="en-US"/>
                    </w:rPr>
                    <w:t>on Issues of Mutual Interest</w:t>
                  </w:r>
                  <w:r>
                    <w:rPr>
                      <w:lang w:val="en-US"/>
                    </w:rPr>
                    <w:t xml:space="preserve">. In particular, it is proposed to forward </w:t>
                  </w:r>
                  <w:r w:rsidR="00440334">
                    <w:rPr>
                      <w:lang w:val="en-US"/>
                    </w:rPr>
                    <w:t xml:space="preserve">liaison statement </w:t>
                  </w:r>
                  <w:r>
                    <w:rPr>
                      <w:lang w:val="en-US"/>
                    </w:rPr>
                    <w:t xml:space="preserve">to the </w:t>
                  </w:r>
                  <w:r w:rsidRPr="00F06FD4">
                    <w:rPr>
                      <w:lang w:val="en-US"/>
                    </w:rPr>
                    <w:t>Telecommunication Development Advisory Group (TDAG)</w:t>
                  </w:r>
                  <w:r>
                    <w:rPr>
                      <w:lang w:val="en-US"/>
                    </w:rPr>
                    <w:t>, and provide the list of ITU-R studies in the field of radio spectrum management that might be of interest for the developing countries as a response to the WTDC Resolution 9.</w:t>
                  </w:r>
                </w:p>
                <w:p w:rsidR="00315160" w:rsidRPr="00440334" w:rsidRDefault="00400D54" w:rsidP="00440334">
                  <w:pPr>
                    <w:framePr w:hSpace="180" w:wrap="around" w:vAnchor="page" w:hAnchor="margin" w:y="905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RAG is asked to consider this document and provide the guidance that it may deem necessary.</w:t>
                  </w:r>
                </w:p>
              </w:tc>
            </w:tr>
          </w:tbl>
          <w:p w:rsidR="00315160" w:rsidRPr="00440334" w:rsidRDefault="00315160" w:rsidP="00315160">
            <w:pPr>
              <w:pStyle w:val="Title2"/>
              <w:rPr>
                <w:lang w:val="en-US"/>
              </w:rPr>
            </w:pPr>
          </w:p>
        </w:tc>
      </w:tr>
      <w:bookmarkEnd w:id="4"/>
    </w:tbl>
    <w:p w:rsidR="00E05422" w:rsidRPr="00440334" w:rsidRDefault="00E05422" w:rsidP="005916ED">
      <w:pPr>
        <w:rPr>
          <w:lang w:val="en-US" w:eastAsia="zh-CN"/>
        </w:rPr>
      </w:pPr>
    </w:p>
    <w:p w:rsidR="00440334" w:rsidRDefault="00440334" w:rsidP="00E05422">
      <w:pPr>
        <w:ind w:left="2160" w:hanging="2160"/>
        <w:rPr>
          <w:lang w:val="en-US"/>
        </w:rPr>
      </w:pPr>
      <w:r>
        <w:rPr>
          <w:b/>
          <w:lang w:val="en-US"/>
        </w:rPr>
        <w:t>Contact</w:t>
      </w:r>
      <w:r w:rsidR="00E05422" w:rsidRPr="00440334">
        <w:rPr>
          <w:b/>
          <w:lang w:val="en-US"/>
        </w:rPr>
        <w:t xml:space="preserve">: </w:t>
      </w:r>
      <w:r w:rsidR="00E05422" w:rsidRPr="00440334">
        <w:rPr>
          <w:b/>
          <w:lang w:val="en-US"/>
        </w:rPr>
        <w:tab/>
      </w:r>
      <w:r w:rsidR="00E05422" w:rsidRPr="00440334">
        <w:rPr>
          <w:b/>
          <w:lang w:val="en-US"/>
        </w:rPr>
        <w:tab/>
      </w:r>
      <w:r w:rsidRPr="00440334">
        <w:rPr>
          <w:lang w:val="en-US"/>
        </w:rPr>
        <w:t>Arseny Plossky</w:t>
      </w:r>
      <w:r w:rsidR="00E05422" w:rsidRPr="00440334">
        <w:rPr>
          <w:lang w:val="en-US"/>
        </w:rPr>
        <w:tab/>
      </w:r>
      <w:r w:rsidR="00E05422" w:rsidRPr="00440334">
        <w:rPr>
          <w:lang w:val="en-US"/>
        </w:rPr>
        <w:tab/>
      </w:r>
      <w:r w:rsidR="00E05422" w:rsidRPr="00440334">
        <w:rPr>
          <w:lang w:val="en-US"/>
        </w:rPr>
        <w:tab/>
      </w:r>
      <w:r w:rsidR="00E05422">
        <w:rPr>
          <w:b/>
          <w:bCs/>
          <w:lang w:val="en-US"/>
        </w:rPr>
        <w:t>E</w:t>
      </w:r>
      <w:r w:rsidR="00E05422" w:rsidRPr="00440334">
        <w:rPr>
          <w:b/>
          <w:bCs/>
          <w:lang w:val="en-US"/>
        </w:rPr>
        <w:t>-</w:t>
      </w:r>
      <w:r w:rsidR="00E05422">
        <w:rPr>
          <w:b/>
          <w:bCs/>
          <w:lang w:val="en-US"/>
        </w:rPr>
        <w:t>mail</w:t>
      </w:r>
      <w:r w:rsidR="00E05422" w:rsidRPr="00440334">
        <w:rPr>
          <w:b/>
          <w:bCs/>
          <w:lang w:val="en-US"/>
        </w:rPr>
        <w:t>:</w:t>
      </w:r>
      <w:r w:rsidR="00E05422" w:rsidRPr="00440334">
        <w:rPr>
          <w:lang w:val="en-US"/>
        </w:rPr>
        <w:t xml:space="preserve">  </w:t>
      </w:r>
      <w:hyperlink r:id="rId11" w:history="1">
        <w:r w:rsidR="00E05422">
          <w:rPr>
            <w:rStyle w:val="Hyperlink"/>
            <w:lang w:val="en-US"/>
          </w:rPr>
          <w:t>aplossky</w:t>
        </w:r>
        <w:r w:rsidR="00E05422" w:rsidRPr="00440334">
          <w:rPr>
            <w:rStyle w:val="Hyperlink"/>
            <w:lang w:val="en-US"/>
          </w:rPr>
          <w:t>@</w:t>
        </w:r>
        <w:r w:rsidR="00E05422">
          <w:rPr>
            <w:rStyle w:val="Hyperlink"/>
            <w:lang w:val="en-US"/>
          </w:rPr>
          <w:t>gmail</w:t>
        </w:r>
        <w:r w:rsidR="00E05422" w:rsidRPr="00440334">
          <w:rPr>
            <w:rStyle w:val="Hyperlink"/>
            <w:lang w:val="en-US"/>
          </w:rPr>
          <w:t>.</w:t>
        </w:r>
        <w:r w:rsidR="00E05422">
          <w:rPr>
            <w:rStyle w:val="Hyperlink"/>
            <w:lang w:val="en-US"/>
          </w:rPr>
          <w:t>com</w:t>
        </w:r>
      </w:hyperlink>
      <w:r>
        <w:rPr>
          <w:lang w:val="en-US"/>
        </w:rPr>
        <w:t xml:space="preserve"> </w:t>
      </w:r>
    </w:p>
    <w:p w:rsidR="00440334" w:rsidRDefault="00440334" w:rsidP="00E05422">
      <w:pPr>
        <w:ind w:left="2160" w:hanging="2160"/>
        <w:rPr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 w:rsidR="00781B94">
        <w:rPr>
          <w:lang w:val="en-US"/>
        </w:rPr>
        <w:t>Deputy Head of L</w:t>
      </w:r>
      <w:r>
        <w:rPr>
          <w:lang w:val="en-US"/>
        </w:rPr>
        <w:t>aboratory,</w:t>
      </w:r>
    </w:p>
    <w:p w:rsidR="00E05422" w:rsidRDefault="00440334" w:rsidP="00E05422">
      <w:pPr>
        <w:ind w:left="2160" w:hanging="21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Radio Research &amp; Development Institute (NIIR),</w:t>
      </w:r>
    </w:p>
    <w:p w:rsidR="00440334" w:rsidRDefault="00440334" w:rsidP="00E05422">
      <w:pPr>
        <w:ind w:left="2160" w:hanging="216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40334">
        <w:rPr>
          <w:lang w:val="en-US"/>
        </w:rPr>
        <w:t>Russian Federation</w:t>
      </w:r>
    </w:p>
    <w:p w:rsidR="00D30E84" w:rsidRDefault="00FB6D5F" w:rsidP="00E05422">
      <w:pPr>
        <w:rPr>
          <w:lang w:val="en-US" w:eastAsia="zh-CN"/>
        </w:rPr>
      </w:pPr>
      <w:r w:rsidRPr="00440334">
        <w:rPr>
          <w:lang w:val="en-US" w:eastAsia="zh-CN"/>
        </w:rPr>
        <w:br w:type="page"/>
      </w:r>
    </w:p>
    <w:p w:rsidR="00D30E84" w:rsidRDefault="00D30E84" w:rsidP="00E05422">
      <w:pPr>
        <w:rPr>
          <w:lang w:val="en-US" w:eastAsia="zh-CN"/>
        </w:rPr>
      </w:pPr>
    </w:p>
    <w:p w:rsidR="00E05422" w:rsidRPr="001B5177" w:rsidRDefault="00E05422" w:rsidP="00E05422">
      <w:pPr>
        <w:rPr>
          <w:b/>
          <w:lang w:val="en-US" w:eastAsia="zh-CN"/>
        </w:rPr>
      </w:pPr>
      <w:r w:rsidRPr="00440334">
        <w:rPr>
          <w:b/>
          <w:bCs/>
          <w:lang w:val="en-US" w:eastAsia="zh-CN"/>
        </w:rPr>
        <w:t>1</w:t>
      </w:r>
      <w:r w:rsidRPr="00440334">
        <w:rPr>
          <w:b/>
          <w:bCs/>
          <w:lang w:val="en-US" w:eastAsia="zh-CN"/>
        </w:rPr>
        <w:tab/>
      </w:r>
      <w:r w:rsidR="001B5177">
        <w:rPr>
          <w:b/>
          <w:bCs/>
          <w:lang w:val="en-US" w:eastAsia="zh-CN"/>
        </w:rPr>
        <w:t>Introduction</w:t>
      </w:r>
    </w:p>
    <w:p w:rsidR="00D04BBC" w:rsidRPr="00F71F83" w:rsidRDefault="00575F11" w:rsidP="00E05422">
      <w:pPr>
        <w:rPr>
          <w:lang w:val="en-US" w:eastAsia="zh-CN"/>
        </w:rPr>
      </w:pPr>
      <w:r>
        <w:rPr>
          <w:lang w:val="en-US"/>
        </w:rPr>
        <w:t>T</w:t>
      </w:r>
      <w:r w:rsidR="00F71F83">
        <w:rPr>
          <w:lang w:val="en-US"/>
        </w:rPr>
        <w:t xml:space="preserve">he </w:t>
      </w:r>
      <w:r w:rsidR="00F71F83" w:rsidRPr="00F71F83">
        <w:rPr>
          <w:lang w:val="en-US"/>
        </w:rPr>
        <w:t xml:space="preserve">Inter-Sector </w:t>
      </w:r>
      <w:r w:rsidR="00F71F83" w:rsidRPr="00F304EA">
        <w:rPr>
          <w:lang w:val="en-US"/>
        </w:rPr>
        <w:t>Coordination Team</w:t>
      </w:r>
      <w:r w:rsidR="000F48D4" w:rsidRPr="00F304EA">
        <w:rPr>
          <w:lang w:val="en-US"/>
        </w:rPr>
        <w:t xml:space="preserve"> </w:t>
      </w:r>
      <w:r w:rsidRPr="00575F11">
        <w:rPr>
          <w:lang w:val="en-US"/>
        </w:rPr>
        <w:t xml:space="preserve">on Issues of Mutual Interest </w:t>
      </w:r>
      <w:r>
        <w:rPr>
          <w:lang w:val="en-US"/>
        </w:rPr>
        <w:t xml:space="preserve">has been </w:t>
      </w:r>
      <w:r w:rsidR="000F48D4">
        <w:rPr>
          <w:lang w:val="en-US"/>
        </w:rPr>
        <w:t>operating</w:t>
      </w:r>
      <w:r w:rsidRPr="00575F11">
        <w:rPr>
          <w:lang w:val="en-US"/>
        </w:rPr>
        <w:t xml:space="preserve"> </w:t>
      </w:r>
      <w:r>
        <w:rPr>
          <w:lang w:val="en-US"/>
        </w:rPr>
        <w:t>throughout the last several periods of ITU Sectors,</w:t>
      </w:r>
      <w:r w:rsidR="00F71F83">
        <w:rPr>
          <w:lang w:val="en-US"/>
        </w:rPr>
        <w:t xml:space="preserve"> </w:t>
      </w:r>
      <w:r w:rsidR="000F48D4">
        <w:rPr>
          <w:lang w:val="en-US"/>
        </w:rPr>
        <w:t>and its</w:t>
      </w:r>
      <w:r w:rsidR="00F71F83">
        <w:rPr>
          <w:lang w:val="en-US"/>
        </w:rPr>
        <w:t xml:space="preserve"> work can be called a success. The Team is tasked to </w:t>
      </w:r>
      <w:r w:rsidR="000F48D4">
        <w:rPr>
          <w:lang w:val="en-US"/>
        </w:rPr>
        <w:t xml:space="preserve">notify the working bodies of all the Sectors of ITU about </w:t>
      </w:r>
      <w:r w:rsidR="00F06FD4">
        <w:rPr>
          <w:lang w:val="en-US"/>
        </w:rPr>
        <w:t xml:space="preserve">the </w:t>
      </w:r>
      <w:r w:rsidR="000F48D4">
        <w:rPr>
          <w:lang w:val="en-US"/>
        </w:rPr>
        <w:t xml:space="preserve">linkages </w:t>
      </w:r>
      <w:r w:rsidR="00F06FD4">
        <w:rPr>
          <w:lang w:val="en-US"/>
        </w:rPr>
        <w:t xml:space="preserve">between </w:t>
      </w:r>
      <w:r w:rsidR="000F48D4">
        <w:rPr>
          <w:lang w:val="en-US"/>
        </w:rPr>
        <w:t xml:space="preserve">their Study Groups and Study Questions to avoid duplicating the existing studies and ineffective use of financial and human resources. </w:t>
      </w:r>
    </w:p>
    <w:p w:rsidR="00444F43" w:rsidRDefault="00400D54" w:rsidP="00440334">
      <w:pPr>
        <w:rPr>
          <w:lang w:val="en-US"/>
        </w:rPr>
      </w:pPr>
      <w:r>
        <w:rPr>
          <w:lang w:val="en-US"/>
        </w:rPr>
        <w:t>T</w:t>
      </w:r>
      <w:r w:rsidR="00AB5D97" w:rsidRPr="00AB5D97">
        <w:rPr>
          <w:lang w:val="en-US"/>
        </w:rPr>
        <w:t>he World Telecommunication Development Confere</w:t>
      </w:r>
      <w:r w:rsidR="00261A34">
        <w:rPr>
          <w:lang w:val="en-US"/>
        </w:rPr>
        <w:t xml:space="preserve">nce 2017 (WTDC-17), which took </w:t>
      </w:r>
      <w:r w:rsidR="00AB5D97" w:rsidRPr="00AB5D97">
        <w:rPr>
          <w:lang w:val="en-US"/>
        </w:rPr>
        <w:t>place in Buenos Aires (Argentina)</w:t>
      </w:r>
      <w:r>
        <w:rPr>
          <w:lang w:val="en-US"/>
        </w:rPr>
        <w:t xml:space="preserve">, has </w:t>
      </w:r>
      <w:r w:rsidR="00AB5D97" w:rsidRPr="00AB5D97">
        <w:rPr>
          <w:lang w:val="en-US"/>
        </w:rPr>
        <w:t>summarized the</w:t>
      </w:r>
      <w:r>
        <w:rPr>
          <w:lang w:val="en-US"/>
        </w:rPr>
        <w:t xml:space="preserve"> </w:t>
      </w:r>
      <w:r w:rsidRPr="00AB5D97">
        <w:rPr>
          <w:lang w:val="en-US"/>
        </w:rPr>
        <w:t>Telecommunication Development Sector (ITU-D)</w:t>
      </w:r>
      <w:r w:rsidR="00AB5D97" w:rsidRPr="00AB5D97">
        <w:rPr>
          <w:lang w:val="en-US"/>
        </w:rPr>
        <w:t xml:space="preserve"> </w:t>
      </w:r>
      <w:r w:rsidR="00E1260E">
        <w:rPr>
          <w:lang w:val="en-US"/>
        </w:rPr>
        <w:t>study</w:t>
      </w:r>
      <w:r w:rsidR="00AB5D97" w:rsidRPr="00AB5D97">
        <w:rPr>
          <w:lang w:val="en-US"/>
        </w:rPr>
        <w:t xml:space="preserve"> </w:t>
      </w:r>
      <w:r w:rsidR="00E1260E">
        <w:rPr>
          <w:lang w:val="en-US"/>
        </w:rPr>
        <w:t>p</w:t>
      </w:r>
      <w:r w:rsidR="00AB5D97" w:rsidRPr="00AB5D97">
        <w:rPr>
          <w:lang w:val="en-US"/>
        </w:rPr>
        <w:t xml:space="preserve">eriod </w:t>
      </w:r>
      <w:r>
        <w:rPr>
          <w:lang w:val="en-US"/>
        </w:rPr>
        <w:t>of 2014-2017</w:t>
      </w:r>
      <w:r w:rsidR="00AB5D97" w:rsidRPr="00AB5D97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AB5D97" w:rsidRPr="00AB5D97">
        <w:rPr>
          <w:lang w:val="en-US"/>
        </w:rPr>
        <w:t xml:space="preserve">a number of </w:t>
      </w:r>
      <w:r w:rsidR="001B5177">
        <w:rPr>
          <w:lang w:val="en-US"/>
        </w:rPr>
        <w:t>R</w:t>
      </w:r>
      <w:r w:rsidR="00AB5D97" w:rsidRPr="00AB5D97">
        <w:rPr>
          <w:lang w:val="en-US"/>
        </w:rPr>
        <w:t>esolutions of mutual interest</w:t>
      </w:r>
      <w:r w:rsidR="00AB5D97">
        <w:rPr>
          <w:lang w:val="en-US"/>
        </w:rPr>
        <w:t xml:space="preserve"> have been revised. In particular</w:t>
      </w:r>
      <w:r w:rsidR="001B5177">
        <w:rPr>
          <w:lang w:val="en-US"/>
        </w:rPr>
        <w:t>, the Resolution 9</w:t>
      </w:r>
      <w:r w:rsidR="00AB5D97" w:rsidRPr="00AB5D97">
        <w:rPr>
          <w:lang w:val="en-US"/>
        </w:rPr>
        <w:t xml:space="preserve"> "</w:t>
      </w:r>
      <w:r w:rsidR="00440334" w:rsidRPr="00440334">
        <w:rPr>
          <w:lang w:val="en-US"/>
        </w:rPr>
        <w:t>Participation of countries, particularly developing countries, in spectrum management</w:t>
      </w:r>
      <w:r w:rsidR="00AB5D97" w:rsidRPr="00AB5D97">
        <w:rPr>
          <w:lang w:val="en-US"/>
        </w:rPr>
        <w:t xml:space="preserve">", which </w:t>
      </w:r>
      <w:r w:rsidR="00D25337">
        <w:rPr>
          <w:lang w:val="en-US"/>
        </w:rPr>
        <w:t xml:space="preserve">is aimed to </w:t>
      </w:r>
      <w:r w:rsidR="00AB5D97" w:rsidRPr="00AB5D97">
        <w:rPr>
          <w:lang w:val="en-US"/>
        </w:rPr>
        <w:t>ensure the cooperation between Radiocommunication Sector (ITU-R) and ITU-D</w:t>
      </w:r>
      <w:r w:rsidR="00D25337">
        <w:rPr>
          <w:lang w:val="en-US"/>
        </w:rPr>
        <w:t xml:space="preserve"> to implement the </w:t>
      </w:r>
      <w:r w:rsidR="00D25337" w:rsidRPr="00AB5D97">
        <w:rPr>
          <w:lang w:val="en-US"/>
        </w:rPr>
        <w:t>ITU-R Study Group 1</w:t>
      </w:r>
      <w:r w:rsidR="00D25337">
        <w:rPr>
          <w:lang w:val="en-US"/>
        </w:rPr>
        <w:t xml:space="preserve"> use of </w:t>
      </w:r>
      <w:r w:rsidR="00D25337" w:rsidRPr="00AB5D97">
        <w:rPr>
          <w:lang w:val="en-US"/>
        </w:rPr>
        <w:t>radio frequency spectrum</w:t>
      </w:r>
      <w:r w:rsidR="00D25337">
        <w:rPr>
          <w:lang w:val="en-US"/>
        </w:rPr>
        <w:t xml:space="preserve"> research and decisions on the national level</w:t>
      </w:r>
      <w:r w:rsidR="001B5177">
        <w:rPr>
          <w:lang w:val="en-US"/>
        </w:rPr>
        <w:t>,</w:t>
      </w:r>
      <w:r w:rsidR="001B5177" w:rsidRPr="001B5177">
        <w:rPr>
          <w:lang w:val="en-US"/>
        </w:rPr>
        <w:t xml:space="preserve"> </w:t>
      </w:r>
      <w:r w:rsidR="001B5177">
        <w:rPr>
          <w:lang w:val="en-US"/>
        </w:rPr>
        <w:t>was revised</w:t>
      </w:r>
      <w:r w:rsidR="00D25337">
        <w:rPr>
          <w:lang w:val="en-US"/>
        </w:rPr>
        <w:t>.</w:t>
      </w:r>
      <w:r w:rsidR="00E1260E" w:rsidRPr="00E1260E">
        <w:rPr>
          <w:lang w:val="en-US"/>
        </w:rPr>
        <w:t xml:space="preserve"> </w:t>
      </w:r>
      <w:r w:rsidR="00AB5D97" w:rsidRPr="00AB5D97">
        <w:rPr>
          <w:lang w:val="en-US"/>
        </w:rPr>
        <w:t>In the previous</w:t>
      </w:r>
      <w:r w:rsidR="006E0223">
        <w:rPr>
          <w:lang w:val="en-US"/>
        </w:rPr>
        <w:t xml:space="preserve"> </w:t>
      </w:r>
      <w:r w:rsidR="00AB5D97" w:rsidRPr="00AB5D97">
        <w:rPr>
          <w:lang w:val="en-US"/>
        </w:rPr>
        <w:t xml:space="preserve">ITU-D study period </w:t>
      </w:r>
      <w:r w:rsidR="00444F43">
        <w:rPr>
          <w:lang w:val="en-US"/>
        </w:rPr>
        <w:t xml:space="preserve">of </w:t>
      </w:r>
      <w:r w:rsidR="00AB5D97" w:rsidRPr="00AB5D97">
        <w:rPr>
          <w:lang w:val="en-US"/>
        </w:rPr>
        <w:t xml:space="preserve">2014-2017, the </w:t>
      </w:r>
      <w:r w:rsidR="00AB5D97" w:rsidRPr="00440334">
        <w:rPr>
          <w:lang w:val="en-US"/>
        </w:rPr>
        <w:t xml:space="preserve">ITU-R / ITU-D Joint Group </w:t>
      </w:r>
      <w:r w:rsidR="00440334" w:rsidRPr="00440334">
        <w:rPr>
          <w:lang w:val="en-US"/>
        </w:rPr>
        <w:t>on Resolution 9</w:t>
      </w:r>
      <w:r w:rsidR="00AB5D97" w:rsidRPr="00AB5D97">
        <w:rPr>
          <w:lang w:val="en-US"/>
        </w:rPr>
        <w:t>meetings were held as</w:t>
      </w:r>
      <w:r w:rsidR="00444F43">
        <w:rPr>
          <w:lang w:val="en-US"/>
        </w:rPr>
        <w:t xml:space="preserve"> a</w:t>
      </w:r>
      <w:r w:rsidR="00AB5D97" w:rsidRPr="00AB5D97">
        <w:rPr>
          <w:lang w:val="en-US"/>
        </w:rPr>
        <w:t xml:space="preserve"> part of the ITU-D Study Group 1 meeting</w:t>
      </w:r>
      <w:r w:rsidR="00444F43">
        <w:rPr>
          <w:lang w:val="en-US"/>
        </w:rPr>
        <w:t>s</w:t>
      </w:r>
      <w:r w:rsidR="00AB5D97" w:rsidRPr="00AB5D97">
        <w:rPr>
          <w:lang w:val="en-US"/>
        </w:rPr>
        <w:t xml:space="preserve">. </w:t>
      </w:r>
      <w:r w:rsidR="00444F43">
        <w:rPr>
          <w:lang w:val="en-US"/>
        </w:rPr>
        <w:t>T</w:t>
      </w:r>
      <w:r w:rsidR="00AB5D97" w:rsidRPr="00AB5D97">
        <w:rPr>
          <w:lang w:val="en-US"/>
        </w:rPr>
        <w:t>h</w:t>
      </w:r>
      <w:r w:rsidR="00444F43">
        <w:rPr>
          <w:lang w:val="en-US"/>
        </w:rPr>
        <w:t xml:space="preserve">is </w:t>
      </w:r>
      <w:r w:rsidR="00444F43" w:rsidRPr="00440334">
        <w:rPr>
          <w:lang w:val="en-US"/>
        </w:rPr>
        <w:t>Joint</w:t>
      </w:r>
      <w:r w:rsidR="00AB5D97" w:rsidRPr="00440334">
        <w:rPr>
          <w:lang w:val="en-US"/>
        </w:rPr>
        <w:t xml:space="preserve"> </w:t>
      </w:r>
      <w:r w:rsidR="00444F43" w:rsidRPr="00444F43">
        <w:rPr>
          <w:lang w:val="en-US"/>
        </w:rPr>
        <w:t>G</w:t>
      </w:r>
      <w:r w:rsidR="00AB5D97" w:rsidRPr="00444F43">
        <w:rPr>
          <w:lang w:val="en-US"/>
        </w:rPr>
        <w:t>roup</w:t>
      </w:r>
      <w:r w:rsidR="00444F43">
        <w:rPr>
          <w:lang w:val="en-US"/>
        </w:rPr>
        <w:t xml:space="preserve"> has produced a </w:t>
      </w:r>
      <w:r w:rsidR="00440334">
        <w:rPr>
          <w:lang w:val="en-US"/>
        </w:rPr>
        <w:t>R</w:t>
      </w:r>
      <w:r w:rsidR="00444F43">
        <w:rPr>
          <w:lang w:val="en-US"/>
        </w:rPr>
        <w:t xml:space="preserve">eport, that was later has been submitted for consideration on </w:t>
      </w:r>
      <w:r w:rsidR="00AB5D97" w:rsidRPr="00AB5D97">
        <w:rPr>
          <w:lang w:val="en-US"/>
        </w:rPr>
        <w:t>WTDC-17.</w:t>
      </w:r>
      <w:r w:rsidR="00444F43">
        <w:rPr>
          <w:lang w:val="en-US"/>
        </w:rPr>
        <w:t xml:space="preserve"> </w:t>
      </w:r>
    </w:p>
    <w:p w:rsidR="00AB5D97" w:rsidRPr="00AB5D97" w:rsidRDefault="00AB5D97" w:rsidP="00250678">
      <w:pPr>
        <w:rPr>
          <w:lang w:val="en-US"/>
        </w:rPr>
      </w:pPr>
      <w:r w:rsidRPr="00AB5D97">
        <w:rPr>
          <w:lang w:val="en-US"/>
        </w:rPr>
        <w:t xml:space="preserve">During this research period, and later at WTDC-17, </w:t>
      </w:r>
      <w:r w:rsidR="00250678">
        <w:rPr>
          <w:lang w:val="en-US"/>
        </w:rPr>
        <w:t xml:space="preserve">the </w:t>
      </w:r>
      <w:r w:rsidRPr="00AB5D97">
        <w:rPr>
          <w:lang w:val="en-US"/>
        </w:rPr>
        <w:t>decision</w:t>
      </w:r>
      <w:r w:rsidR="00250678">
        <w:rPr>
          <w:lang w:val="en-US"/>
        </w:rPr>
        <w:t>s were passed that took note of</w:t>
      </w:r>
      <w:r w:rsidRPr="00AB5D97">
        <w:rPr>
          <w:lang w:val="en-US"/>
        </w:rPr>
        <w:t xml:space="preserve"> the inefficiency of this group</w:t>
      </w:r>
      <w:r w:rsidR="00250678">
        <w:rPr>
          <w:lang w:val="en-US"/>
        </w:rPr>
        <w:t>,</w:t>
      </w:r>
      <w:r w:rsidRPr="00AB5D97">
        <w:rPr>
          <w:lang w:val="en-US"/>
        </w:rPr>
        <w:t xml:space="preserve"> and </w:t>
      </w:r>
      <w:r w:rsidR="00250678">
        <w:rPr>
          <w:lang w:val="en-US"/>
        </w:rPr>
        <w:t>also have reaffirmed the ITU</w:t>
      </w:r>
      <w:r w:rsidR="001B5177">
        <w:rPr>
          <w:lang w:val="en-US"/>
        </w:rPr>
        <w:t>-R</w:t>
      </w:r>
      <w:r w:rsidR="00250678">
        <w:rPr>
          <w:lang w:val="en-US"/>
        </w:rPr>
        <w:t xml:space="preserve">’s unequivocal </w:t>
      </w:r>
      <w:r w:rsidRPr="00AB5D97">
        <w:rPr>
          <w:lang w:val="en-US"/>
        </w:rPr>
        <w:t>leading role</w:t>
      </w:r>
      <w:r w:rsidR="00250678">
        <w:rPr>
          <w:lang w:val="en-US"/>
        </w:rPr>
        <w:t xml:space="preserve"> in</w:t>
      </w:r>
      <w:r w:rsidRPr="00AB5D97">
        <w:rPr>
          <w:lang w:val="en-US"/>
        </w:rPr>
        <w:t xml:space="preserve"> managing the use of radio frequency spectrum. It was also decided not to </w:t>
      </w:r>
      <w:r w:rsidR="00250678">
        <w:rPr>
          <w:lang w:val="en-US"/>
        </w:rPr>
        <w:t xml:space="preserve">pursue </w:t>
      </w:r>
      <w:r w:rsidRPr="00AB5D97">
        <w:rPr>
          <w:lang w:val="en-US"/>
        </w:rPr>
        <w:t xml:space="preserve">further work within the </w:t>
      </w:r>
      <w:r w:rsidRPr="00440334">
        <w:rPr>
          <w:lang w:val="en-US"/>
        </w:rPr>
        <w:t xml:space="preserve">Joint Group </w:t>
      </w:r>
      <w:r w:rsidR="00E065BE" w:rsidRPr="00E065BE">
        <w:rPr>
          <w:lang w:val="en-US"/>
        </w:rPr>
        <w:t xml:space="preserve">framework </w:t>
      </w:r>
      <w:r w:rsidRPr="00AB5D97">
        <w:rPr>
          <w:lang w:val="en-US"/>
        </w:rPr>
        <w:t>and not</w:t>
      </w:r>
      <w:r w:rsidR="00250678">
        <w:rPr>
          <w:lang w:val="en-US"/>
        </w:rPr>
        <w:t xml:space="preserve"> to</w:t>
      </w:r>
      <w:r w:rsidRPr="00AB5D97">
        <w:rPr>
          <w:lang w:val="en-US"/>
        </w:rPr>
        <w:t xml:space="preserve"> issue the </w:t>
      </w:r>
      <w:r w:rsidR="00440334">
        <w:rPr>
          <w:lang w:val="en-US"/>
        </w:rPr>
        <w:t>R</w:t>
      </w:r>
      <w:r w:rsidRPr="00AB5D97">
        <w:rPr>
          <w:lang w:val="en-US"/>
        </w:rPr>
        <w:t>eport</w:t>
      </w:r>
      <w:r w:rsidR="00250678">
        <w:rPr>
          <w:lang w:val="en-US"/>
        </w:rPr>
        <w:t xml:space="preserve"> from the </w:t>
      </w:r>
      <w:r w:rsidR="00250678" w:rsidRPr="00AB5D97">
        <w:rPr>
          <w:lang w:val="en-US"/>
        </w:rPr>
        <w:t>ITU-D</w:t>
      </w:r>
      <w:r w:rsidR="00250678">
        <w:rPr>
          <w:lang w:val="en-US"/>
        </w:rPr>
        <w:t xml:space="preserve"> side</w:t>
      </w:r>
      <w:r w:rsidRPr="00AB5D97">
        <w:rPr>
          <w:lang w:val="en-US"/>
        </w:rPr>
        <w:t xml:space="preserve">. However, the </w:t>
      </w:r>
      <w:r w:rsidR="00E065BE">
        <w:rPr>
          <w:lang w:val="en-US"/>
        </w:rPr>
        <w:t>acting</w:t>
      </w:r>
      <w:r w:rsidRPr="00AB5D97">
        <w:rPr>
          <w:lang w:val="en-US"/>
        </w:rPr>
        <w:t xml:space="preserve"> edition of</w:t>
      </w:r>
      <w:r w:rsidR="00E065BE" w:rsidRPr="00E065BE">
        <w:rPr>
          <w:lang w:val="en-US"/>
        </w:rPr>
        <w:t xml:space="preserve"> </w:t>
      </w:r>
      <w:r w:rsidR="00E065BE" w:rsidRPr="00AB5D97">
        <w:rPr>
          <w:lang w:val="en-US"/>
        </w:rPr>
        <w:t>WTDC</w:t>
      </w:r>
      <w:r w:rsidRPr="00AB5D97">
        <w:rPr>
          <w:lang w:val="en-US"/>
        </w:rPr>
        <w:t xml:space="preserve"> Resolution 9 contains </w:t>
      </w:r>
      <w:r w:rsidR="00781B94" w:rsidRPr="00AB5D97">
        <w:rPr>
          <w:lang w:val="en-US"/>
        </w:rPr>
        <w:t>an</w:t>
      </w:r>
      <w:r w:rsidRPr="00AB5D97">
        <w:rPr>
          <w:lang w:val="en-US"/>
        </w:rPr>
        <w:t xml:space="preserve"> </w:t>
      </w:r>
      <w:r w:rsidR="001B5177">
        <w:rPr>
          <w:lang w:val="en-US"/>
        </w:rPr>
        <w:t>invitation</w:t>
      </w:r>
      <w:r w:rsidRPr="00AB5D97">
        <w:rPr>
          <w:lang w:val="en-US"/>
        </w:rPr>
        <w:t xml:space="preserve"> </w:t>
      </w:r>
      <w:r w:rsidR="00E065BE">
        <w:rPr>
          <w:lang w:val="en-US"/>
        </w:rPr>
        <w:t>for</w:t>
      </w:r>
      <w:r w:rsidRPr="00AB5D97">
        <w:rPr>
          <w:lang w:val="en-US"/>
        </w:rPr>
        <w:t xml:space="preserve"> the Director of the Radiocommunication Bureau (</w:t>
      </w:r>
      <w:r w:rsidR="00E065BE">
        <w:rPr>
          <w:lang w:val="en-US"/>
        </w:rPr>
        <w:t>BR</w:t>
      </w:r>
      <w:r w:rsidRPr="00AB5D97">
        <w:rPr>
          <w:lang w:val="en-US"/>
        </w:rPr>
        <w:t xml:space="preserve">) to continue </w:t>
      </w:r>
      <w:r w:rsidR="00E065BE">
        <w:rPr>
          <w:lang w:val="en-US"/>
        </w:rPr>
        <w:t xml:space="preserve">to </w:t>
      </w:r>
      <w:bookmarkStart w:id="5" w:name="_GoBack"/>
      <w:bookmarkEnd w:id="5"/>
      <w:r w:rsidR="001B5177" w:rsidRPr="001B5177">
        <w:rPr>
          <w:lang w:val="en-US"/>
        </w:rPr>
        <w:t xml:space="preserve">ensure that ITU-R continues the collaboration with ITU-D in the implementation </w:t>
      </w:r>
      <w:r w:rsidR="00E065BE">
        <w:rPr>
          <w:lang w:val="en-US"/>
        </w:rPr>
        <w:t>of</w:t>
      </w:r>
      <w:r w:rsidRPr="00AB5D97">
        <w:rPr>
          <w:lang w:val="en-US"/>
        </w:rPr>
        <w:t xml:space="preserve"> Resolution 9.</w:t>
      </w:r>
    </w:p>
    <w:p w:rsidR="00AB5D97" w:rsidRPr="00AB5D97" w:rsidRDefault="00AB5D97" w:rsidP="00E05422">
      <w:pPr>
        <w:rPr>
          <w:lang w:val="en-US"/>
        </w:rPr>
      </w:pPr>
    </w:p>
    <w:p w:rsidR="00542CEC" w:rsidRPr="00F06FD4" w:rsidRDefault="00542CEC" w:rsidP="00542CEC">
      <w:pPr>
        <w:rPr>
          <w:b/>
          <w:lang w:val="en-US" w:eastAsia="zh-CN"/>
        </w:rPr>
      </w:pPr>
      <w:r w:rsidRPr="00303118">
        <w:rPr>
          <w:b/>
          <w:bCs/>
          <w:lang w:val="en-US" w:eastAsia="zh-CN"/>
        </w:rPr>
        <w:t>2</w:t>
      </w:r>
      <w:r w:rsidRPr="00303118">
        <w:rPr>
          <w:b/>
          <w:bCs/>
          <w:lang w:val="en-US" w:eastAsia="zh-CN"/>
        </w:rPr>
        <w:tab/>
      </w:r>
      <w:r w:rsidR="00F06FD4">
        <w:rPr>
          <w:b/>
          <w:bCs/>
          <w:lang w:val="en-US" w:eastAsia="zh-CN"/>
        </w:rPr>
        <w:t>Proposals</w:t>
      </w:r>
    </w:p>
    <w:p w:rsidR="00303118" w:rsidRPr="00303118" w:rsidRDefault="00303118" w:rsidP="00E05422">
      <w:pPr>
        <w:rPr>
          <w:lang w:val="en-US"/>
        </w:rPr>
      </w:pPr>
      <w:r>
        <w:rPr>
          <w:lang w:val="en-US"/>
        </w:rPr>
        <w:t>In connection to the aforementioned, it is proposed to ask the Director of Radiocommunication Bureau to ensure that the information on ITU-R study issues</w:t>
      </w:r>
      <w:r w:rsidR="00575F11">
        <w:rPr>
          <w:lang w:val="en-US"/>
        </w:rPr>
        <w:t xml:space="preserve">, </w:t>
      </w:r>
      <w:r w:rsidR="006562CD">
        <w:rPr>
          <w:lang w:val="en-US"/>
        </w:rPr>
        <w:t>which are</w:t>
      </w:r>
      <w:r w:rsidR="00575F11">
        <w:rPr>
          <w:lang w:val="en-US"/>
        </w:rPr>
        <w:t xml:space="preserve"> of mutual interest for ITU-</w:t>
      </w:r>
      <w:r w:rsidR="00575F11" w:rsidRPr="00E1260E">
        <w:rPr>
          <w:lang w:val="en-US"/>
        </w:rPr>
        <w:t>D and ITU-T, is</w:t>
      </w:r>
      <w:r w:rsidRPr="00E1260E">
        <w:rPr>
          <w:lang w:val="en-US"/>
        </w:rPr>
        <w:t xml:space="preserve"> up-to-date.</w:t>
      </w:r>
      <w:r w:rsidR="00575F11">
        <w:rPr>
          <w:lang w:val="en-US"/>
        </w:rPr>
        <w:t xml:space="preserve"> This information can be useful for the activities of the </w:t>
      </w:r>
      <w:r w:rsidR="00575F11" w:rsidRPr="00F71F83">
        <w:rPr>
          <w:lang w:val="en-US"/>
        </w:rPr>
        <w:t>Inter-Sector Coordination Team</w:t>
      </w:r>
      <w:r w:rsidR="00575F11">
        <w:rPr>
          <w:lang w:val="en-US"/>
        </w:rPr>
        <w:t xml:space="preserve"> </w:t>
      </w:r>
      <w:r w:rsidR="00575F11" w:rsidRPr="00575F11">
        <w:rPr>
          <w:lang w:val="en-US"/>
        </w:rPr>
        <w:t>on Issues of Mutual Interest</w:t>
      </w:r>
      <w:r w:rsidR="00575F11">
        <w:rPr>
          <w:lang w:val="en-US"/>
        </w:rPr>
        <w:t xml:space="preserve">. In particular, it is proposed to </w:t>
      </w:r>
      <w:r w:rsidR="00F06FD4">
        <w:rPr>
          <w:lang w:val="en-US"/>
        </w:rPr>
        <w:t xml:space="preserve">forward </w:t>
      </w:r>
      <w:r w:rsidR="00440334">
        <w:rPr>
          <w:lang w:val="en-US"/>
        </w:rPr>
        <w:t xml:space="preserve">a liaison statement </w:t>
      </w:r>
      <w:r w:rsidR="00F06FD4">
        <w:rPr>
          <w:lang w:val="en-US"/>
        </w:rPr>
        <w:t xml:space="preserve">to the </w:t>
      </w:r>
      <w:r w:rsidR="00F06FD4" w:rsidRPr="00F06FD4">
        <w:rPr>
          <w:lang w:val="en-US"/>
        </w:rPr>
        <w:t>Telecommunication Development Advisory Group (TDAG)</w:t>
      </w:r>
      <w:r w:rsidR="00F06FD4">
        <w:rPr>
          <w:lang w:val="en-US"/>
        </w:rPr>
        <w:t>, and provide the list of ITU-R studies in the field of radio spectrum management that might be of interest for the developing countries as a response to the WTDC Resolution 9.</w:t>
      </w:r>
    </w:p>
    <w:p w:rsidR="00561245" w:rsidRPr="00946E25" w:rsidRDefault="00561245" w:rsidP="00400D54">
      <w:pPr>
        <w:rPr>
          <w:lang w:val="en-CA"/>
        </w:rPr>
      </w:pPr>
      <w:r w:rsidRPr="00946E25">
        <w:rPr>
          <w:lang w:val="en-CA"/>
        </w:rPr>
        <w:br w:type="page"/>
      </w:r>
    </w:p>
    <w:p w:rsidR="00D06CA7" w:rsidRPr="00946E25" w:rsidRDefault="00440334" w:rsidP="00781B94">
      <w:pPr>
        <w:pStyle w:val="AnnexNo"/>
        <w:rPr>
          <w:lang w:val="en-CA" w:eastAsia="zh-CN"/>
        </w:rPr>
      </w:pPr>
      <w:r>
        <w:rPr>
          <w:lang w:val="en-US" w:eastAsia="zh-CN"/>
        </w:rPr>
        <w:lastRenderedPageBreak/>
        <w:t>Annex</w:t>
      </w:r>
    </w:p>
    <w:p w:rsidR="00561245" w:rsidRPr="00440334" w:rsidRDefault="00440334" w:rsidP="00781B94">
      <w:pPr>
        <w:pStyle w:val="Annextitle"/>
        <w:rPr>
          <w:lang w:val="en-US"/>
        </w:rPr>
      </w:pPr>
      <w:r>
        <w:rPr>
          <w:lang w:val="en-US" w:eastAsia="zh-CN"/>
        </w:rPr>
        <w:t>List</w:t>
      </w:r>
      <w:r w:rsidRPr="00440334">
        <w:rPr>
          <w:lang w:val="en-US" w:eastAsia="zh-CN"/>
        </w:rPr>
        <w:t xml:space="preserve"> </w:t>
      </w:r>
      <w:r>
        <w:rPr>
          <w:lang w:val="en-US" w:eastAsia="zh-CN"/>
        </w:rPr>
        <w:t>of</w:t>
      </w:r>
      <w:r w:rsidRPr="00440334">
        <w:rPr>
          <w:lang w:val="en-US" w:eastAsia="zh-CN"/>
        </w:rPr>
        <w:t xml:space="preserve"> </w:t>
      </w:r>
      <w:r>
        <w:rPr>
          <w:lang w:val="en-US" w:eastAsia="zh-CN"/>
        </w:rPr>
        <w:t>ITU</w:t>
      </w:r>
      <w:r w:rsidRPr="00440334">
        <w:rPr>
          <w:lang w:val="en-US" w:eastAsia="zh-CN"/>
        </w:rPr>
        <w:t>-</w:t>
      </w:r>
      <w:r>
        <w:rPr>
          <w:lang w:val="en-US" w:eastAsia="zh-CN"/>
        </w:rPr>
        <w:t>R</w:t>
      </w:r>
      <w:r w:rsidRPr="00440334">
        <w:rPr>
          <w:lang w:val="en-US" w:eastAsia="zh-CN"/>
        </w:rPr>
        <w:t xml:space="preserve"> </w:t>
      </w:r>
      <w:r>
        <w:rPr>
          <w:lang w:val="en-US" w:eastAsia="zh-CN"/>
        </w:rPr>
        <w:t>publications</w:t>
      </w:r>
      <w:r w:rsidRPr="00440334">
        <w:rPr>
          <w:lang w:val="en-US" w:eastAsia="zh-CN"/>
        </w:rPr>
        <w:t xml:space="preserve"> on </w:t>
      </w:r>
      <w:r>
        <w:rPr>
          <w:lang w:val="en-US" w:eastAsia="zh-CN"/>
        </w:rPr>
        <w:t>issues of mutual i</w:t>
      </w:r>
      <w:r w:rsidRPr="00440334">
        <w:rPr>
          <w:lang w:val="en-US" w:eastAsia="zh-CN"/>
        </w:rPr>
        <w:t>nterest in the scope of WTDC Resolution</w:t>
      </w:r>
      <w:r>
        <w:rPr>
          <w:lang w:val="en-US"/>
        </w:rPr>
        <w:t xml:space="preserve"> 9</w:t>
      </w:r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ITU-R Handbook on Computer-aided Techniques for Spectrum Management (CAT). Geneva, 2015. </w:t>
      </w:r>
      <w:hyperlink r:id="rId12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http://www.itu.int/pub/R-HDB-01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ITU-R Handbook on National Spectrum Management. Geneva, 2015. </w:t>
      </w:r>
      <w:hyperlink r:id="rId13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http://www.itu.int/pub/R-HDB-21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ITU-R Handbook on Spectrum Monitoring. Geneva, 2011. </w:t>
      </w:r>
      <w:hyperlink r:id="rId14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http://www.itu.int/pub/R-HDB-23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SM.1047-2. National spectrum management. Geneva, 2012. </w:t>
      </w:r>
      <w:hyperlink r:id="rId15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https://www.itu.int/rec/R-REC-SM.1047/en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SM.1132 General principles and methods related to spectrum sharing. Geneva, 2001. </w:t>
      </w:r>
      <w:r w:rsidRPr="008773B3">
        <w:rPr>
          <w:rStyle w:val="Hyperlink"/>
          <w:rFonts w:ascii="Times New Roman" w:hAnsi="Times New Roman" w:cs="Times New Roman"/>
          <w:sz w:val="22"/>
          <w:szCs w:val="22"/>
          <w:lang w:val="en-CA"/>
        </w:rPr>
        <w:t>https://www.itu.int/rec/R-REC-SM.1132/en</w:t>
      </w:r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SM.1265-1. National alternative allocation methods. Geneva, 2001. </w:t>
      </w:r>
      <w:hyperlink r:id="rId16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https://www.itu.int/rec/R-REC-SM.1265/en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>Recommendation ITU-R SM.1370-2. Design guidelines for developing automated spectrum management systems. Geneva, 2013. http://www.itu.int/rec/R-REC-SM.1370</w:t>
      </w:r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SM.1392-2. Essential requirements for a spectrum monitoring system for developing countries. Geneva, 2011. </w:t>
      </w:r>
      <w:hyperlink r:id="rId17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http://www.itu.int/rec/R-REC-SM.1392/en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SM.1394-0. Common format for Memorandum of Understanding between the agreeing countries regarding cooperation in spectrum monitoring matters. Geneva, 1999. </w:t>
      </w:r>
      <w:hyperlink r:id="rId18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https://www.itu.int/rec/R-REC-SM.1394/en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SM.1537-1. Automation and integration of spectrum monitoring systems with automated spectrum management. Geneva, 2013. </w:t>
      </w:r>
      <w:hyperlink r:id="rId19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https://www.itu.int/rec/R-REC-SM.1537/en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SM.1603-2. Spectrum redeployment as a method of national spectrum management. Geneva, 2014. </w:t>
      </w:r>
      <w:hyperlink r:id="rId20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http://www.itu.int/rec/R-REC-SM.1603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Recommendation ITU-R SM.1604-0. Guidelines for an upgraded spectrum management system for developing countries. Geneva, 2003. </w:t>
      </w:r>
      <w:hyperlink r:id="rId21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https://www.itu.int/rec/R-REC-SM.1604/en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ITU-R Report SM.2012-5. Economic aspects of spectrum management. Geneva, 2016. </w:t>
      </w:r>
      <w:hyperlink r:id="rId22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http://www.itu.int/pub/R-REP-SM.2012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SM.2015-0. Methods for determining national long-term strategies for spectrum utilization. Geneva, 1998. </w:t>
      </w:r>
      <w:hyperlink r:id="rId23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http://www.itu.int/pub/R-REP-SM.2015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SM.2093-2. Guidance on the regulatory framework for national spectrum management. Geneva, 2015. </w:t>
      </w:r>
      <w:hyperlink r:id="rId24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http://www.itu.int/pub/R-REP-SM.2093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SM.2257-3. Spectrum management and monitoring during major events. Geneva, 2015. </w:t>
      </w:r>
      <w:hyperlink r:id="rId25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http://www.itu.int/pub/R-REP-SM.2257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SM.2353-0. The challenges and opportunities for spectrum management resulting from the transition to digital terrestrial television in the UHF bands. Geneva, 2015. </w:t>
      </w:r>
      <w:hyperlink r:id="rId26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http://www.itu.int/pub/R-REP-SM.2353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Style w:val="Hyperlink"/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SM.2356-0. Procedures for planning and optimization of spectrum-monitoring networks in the VHF/UHF frequency range. Geneva, 2015. </w:t>
      </w:r>
      <w:hyperlink r:id="rId27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http://www.itu.int/pub/R-REP-SM.2356</w:t>
        </w:r>
      </w:hyperlink>
    </w:p>
    <w:p w:rsidR="00D06CA7" w:rsidRPr="008773B3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  <w:rPr>
          <w:rStyle w:val="Hyperlink"/>
          <w:rFonts w:ascii="Times New Roman" w:hAnsi="Times New Roman" w:cs="Times New Roman"/>
          <w:sz w:val="22"/>
          <w:szCs w:val="22"/>
          <w:lang w:val="en-CA"/>
        </w:rPr>
      </w:pPr>
      <w:r w:rsidRPr="008773B3">
        <w:rPr>
          <w:rFonts w:ascii="Times New Roman" w:hAnsi="Times New Roman" w:cs="Times New Roman"/>
          <w:sz w:val="22"/>
          <w:szCs w:val="22"/>
          <w:lang w:val="en-CA"/>
        </w:rPr>
        <w:t xml:space="preserve">Report ITU-R SM.2404-0. Regulatory tools to support enhanced shared use of the spectrum. Geneva, 2017. </w:t>
      </w:r>
      <w:hyperlink r:id="rId28" w:history="1">
        <w:r w:rsidRPr="008773B3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https://www.itu.int/pub/R-REP-SM.2404</w:t>
        </w:r>
      </w:hyperlink>
    </w:p>
    <w:p w:rsidR="001B2756" w:rsidRDefault="00D06CA7" w:rsidP="001B2756">
      <w:pPr>
        <w:pStyle w:val="Enumlevel1"/>
        <w:numPr>
          <w:ilvl w:val="0"/>
          <w:numId w:val="43"/>
        </w:numPr>
        <w:tabs>
          <w:tab w:val="left" w:pos="426"/>
        </w:tabs>
        <w:ind w:left="0" w:firstLine="0"/>
      </w:pPr>
      <w:r w:rsidRPr="001B2756">
        <w:rPr>
          <w:rFonts w:ascii="Times New Roman" w:hAnsi="Times New Roman" w:cs="Times New Roman"/>
          <w:sz w:val="22"/>
          <w:szCs w:val="22"/>
          <w:lang w:val="en-CA"/>
        </w:rPr>
        <w:t xml:space="preserve">Report ITU-R SM.2405-0. Spectrum management principles, challenges and issues related to dynamic access to frequency bands by means of radio systems employing cognitive capabilities. Geneva, 2017. </w:t>
      </w:r>
      <w:hyperlink r:id="rId29" w:history="1">
        <w:r w:rsidRPr="001B2756">
          <w:rPr>
            <w:rStyle w:val="Hyperlink"/>
            <w:rFonts w:ascii="Times New Roman" w:hAnsi="Times New Roman" w:cs="Times New Roman"/>
            <w:sz w:val="22"/>
            <w:szCs w:val="22"/>
            <w:lang w:val="en-CA"/>
          </w:rPr>
          <w:t>https://www.itu.int/pub/R-REP-SM.2405</w:t>
        </w:r>
      </w:hyperlink>
    </w:p>
    <w:p w:rsidR="001B2756" w:rsidRPr="008773B3" w:rsidRDefault="001B2756" w:rsidP="001B2756">
      <w:pPr>
        <w:jc w:val="center"/>
        <w:rPr>
          <w:szCs w:val="22"/>
          <w:lang w:val="en-CA"/>
        </w:rPr>
      </w:pPr>
      <w:r>
        <w:t>______________</w:t>
      </w:r>
    </w:p>
    <w:sectPr w:rsidR="001B2756" w:rsidRPr="008773B3" w:rsidSect="00781B94">
      <w:headerReference w:type="default" r:id="rId30"/>
      <w:footerReference w:type="default" r:id="rId31"/>
      <w:footerReference w:type="first" r:id="rId32"/>
      <w:pgSz w:w="11907" w:h="16834" w:code="9"/>
      <w:pgMar w:top="1021" w:right="1134" w:bottom="1021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DC" w:rsidRDefault="00731CDC">
      <w:r>
        <w:separator/>
      </w:r>
    </w:p>
  </w:endnote>
  <w:endnote w:type="continuationSeparator" w:id="0">
    <w:p w:rsidR="00731CDC" w:rsidRDefault="0073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1B2756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1B2756">
      <w:rPr>
        <w:lang w:val="sv-SE"/>
      </w:rPr>
      <w:t>Y:\APP\BR\POOL\RAG-18\DOC\015E.docx</w:t>
    </w:r>
    <w:r>
      <w:fldChar w:fldCharType="end"/>
    </w:r>
    <w:r w:rsidRPr="00254F06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756" w:rsidRPr="001B2756" w:rsidRDefault="001B2756" w:rsidP="001B2756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Y:\APP\BR\POOL\RAG-18\DOC\015E.docx</w:t>
    </w:r>
    <w:r>
      <w:fldChar w:fldCharType="end"/>
    </w:r>
    <w:r w:rsidRPr="00254F06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DC" w:rsidRDefault="00731CDC">
      <w:r>
        <w:t>____________________</w:t>
      </w:r>
    </w:p>
  </w:footnote>
  <w:footnote w:type="continuationSeparator" w:id="0">
    <w:p w:rsidR="00731CDC" w:rsidRDefault="00731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1B2756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781B94">
      <w:rPr>
        <w:noProof/>
      </w:rPr>
      <w:t>3</w:t>
    </w:r>
    <w:r>
      <w:fldChar w:fldCharType="end"/>
    </w:r>
    <w:r>
      <w:rPr>
        <w:lang w:val="es-ES"/>
      </w:rPr>
      <w:br/>
      <w:t>RAG</w:t>
    </w:r>
    <w:r>
      <w:t>1</w:t>
    </w:r>
    <w:r w:rsidR="00326EAD">
      <w:rPr>
        <w:lang w:val="en-US"/>
      </w:rPr>
      <w:t>8</w:t>
    </w:r>
    <w:r>
      <w:rPr>
        <w:lang w:val="es-ES"/>
      </w:rPr>
      <w:t>/</w:t>
    </w:r>
    <w:r w:rsidR="001B2756">
      <w:rPr>
        <w:lang w:val="es-ES"/>
      </w:rPr>
      <w:t>15</w:t>
    </w:r>
    <w:r>
      <w:rPr>
        <w:lang w:val="es-ES"/>
      </w:rPr>
      <w:t>-</w:t>
    </w:r>
    <w:r w:rsidR="001B2756">
      <w:rPr>
        <w:lang w:val="es-ES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062639"/>
    <w:multiLevelType w:val="hybridMultilevel"/>
    <w:tmpl w:val="BB0AFE88"/>
    <w:lvl w:ilvl="0" w:tplc="315C23B4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auto"/>
      </w:rPr>
    </w:lvl>
    <w:lvl w:ilvl="1" w:tplc="40FE9D46">
      <w:numFmt w:val="bullet"/>
      <w:lvlText w:val="-"/>
      <w:lvlJc w:val="left"/>
      <w:pPr>
        <w:ind w:left="2635" w:hanging="705"/>
      </w:pPr>
      <w:rPr>
        <w:rFonts w:ascii="Calibri" w:eastAsiaTheme="minorEastAsia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F6C47E3"/>
    <w:multiLevelType w:val="hybridMultilevel"/>
    <w:tmpl w:val="F2A2BF38"/>
    <w:lvl w:ilvl="0" w:tplc="9FA02DF4">
      <w:numFmt w:val="bullet"/>
      <w:lvlText w:val="–"/>
      <w:lvlJc w:val="left"/>
      <w:pPr>
        <w:ind w:left="1570" w:hanging="360"/>
      </w:pPr>
      <w:rPr>
        <w:rFonts w:ascii="Times New Roman" w:eastAsia="Times New Roman" w:hAnsi="Times New Roman" w:cs="Times New Roman" w:hint="default"/>
        <w:color w:val="F79646" w:themeColor="accent6"/>
      </w:rPr>
    </w:lvl>
    <w:lvl w:ilvl="1" w:tplc="40FE9D46">
      <w:numFmt w:val="bullet"/>
      <w:lvlText w:val="-"/>
      <w:lvlJc w:val="left"/>
      <w:pPr>
        <w:ind w:left="2635" w:hanging="705"/>
      </w:pPr>
      <w:rPr>
        <w:rFonts w:ascii="Calibri" w:eastAsiaTheme="minorEastAsia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0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4"/>
  </w:num>
  <w:num w:numId="13">
    <w:abstractNumId w:val="36"/>
  </w:num>
  <w:num w:numId="14">
    <w:abstractNumId w:val="29"/>
  </w:num>
  <w:num w:numId="15">
    <w:abstractNumId w:val="26"/>
  </w:num>
  <w:num w:numId="16">
    <w:abstractNumId w:val="35"/>
  </w:num>
  <w:num w:numId="17">
    <w:abstractNumId w:val="25"/>
  </w:num>
  <w:num w:numId="18">
    <w:abstractNumId w:val="10"/>
  </w:num>
  <w:num w:numId="19">
    <w:abstractNumId w:val="15"/>
  </w:num>
  <w:num w:numId="20">
    <w:abstractNumId w:val="16"/>
  </w:num>
  <w:num w:numId="21">
    <w:abstractNumId w:val="23"/>
  </w:num>
  <w:num w:numId="22">
    <w:abstractNumId w:val="38"/>
  </w:num>
  <w:num w:numId="23">
    <w:abstractNumId w:val="27"/>
  </w:num>
  <w:num w:numId="24">
    <w:abstractNumId w:val="28"/>
  </w:num>
  <w:num w:numId="25">
    <w:abstractNumId w:val="12"/>
  </w:num>
  <w:num w:numId="26">
    <w:abstractNumId w:val="24"/>
  </w:num>
  <w:num w:numId="27">
    <w:abstractNumId w:val="14"/>
  </w:num>
  <w:num w:numId="28">
    <w:abstractNumId w:val="42"/>
  </w:num>
  <w:num w:numId="29">
    <w:abstractNumId w:val="20"/>
  </w:num>
  <w:num w:numId="30">
    <w:abstractNumId w:val="32"/>
  </w:num>
  <w:num w:numId="31">
    <w:abstractNumId w:val="37"/>
  </w:num>
  <w:num w:numId="32">
    <w:abstractNumId w:val="22"/>
  </w:num>
  <w:num w:numId="33">
    <w:abstractNumId w:val="19"/>
  </w:num>
  <w:num w:numId="34">
    <w:abstractNumId w:val="41"/>
  </w:num>
  <w:num w:numId="35">
    <w:abstractNumId w:val="3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0"/>
  </w:num>
  <w:num w:numId="40">
    <w:abstractNumId w:val="11"/>
  </w:num>
  <w:num w:numId="41">
    <w:abstractNumId w:val="31"/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64" w:dllVersion="131078" w:nlCheck="1" w:checkStyle="0"/>
  <w:activeWritingStyle w:appName="MSWord" w:lang="fr-CA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60"/>
    <w:rsid w:val="000026CE"/>
    <w:rsid w:val="00004C36"/>
    <w:rsid w:val="00006439"/>
    <w:rsid w:val="0000668C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5EC7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0671"/>
    <w:rsid w:val="000D738C"/>
    <w:rsid w:val="000E036E"/>
    <w:rsid w:val="000E2292"/>
    <w:rsid w:val="000E2C05"/>
    <w:rsid w:val="000F275A"/>
    <w:rsid w:val="000F438F"/>
    <w:rsid w:val="000F47E9"/>
    <w:rsid w:val="000F48D4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2756"/>
    <w:rsid w:val="001B425E"/>
    <w:rsid w:val="001B5177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0678"/>
    <w:rsid w:val="002511AD"/>
    <w:rsid w:val="00252B08"/>
    <w:rsid w:val="00254F06"/>
    <w:rsid w:val="00255BE1"/>
    <w:rsid w:val="002605E6"/>
    <w:rsid w:val="00261A34"/>
    <w:rsid w:val="00263CF7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118"/>
    <w:rsid w:val="00303349"/>
    <w:rsid w:val="00311633"/>
    <w:rsid w:val="00312735"/>
    <w:rsid w:val="003140E9"/>
    <w:rsid w:val="00314CF7"/>
    <w:rsid w:val="00314DB3"/>
    <w:rsid w:val="00315160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37BF"/>
    <w:rsid w:val="003E4819"/>
    <w:rsid w:val="003E4E3F"/>
    <w:rsid w:val="003E578C"/>
    <w:rsid w:val="003F2683"/>
    <w:rsid w:val="00400D54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0334"/>
    <w:rsid w:val="004425CD"/>
    <w:rsid w:val="004426AF"/>
    <w:rsid w:val="00443165"/>
    <w:rsid w:val="004431E5"/>
    <w:rsid w:val="00444F43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3D29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39BF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42CEC"/>
    <w:rsid w:val="00552474"/>
    <w:rsid w:val="00552F81"/>
    <w:rsid w:val="0055408A"/>
    <w:rsid w:val="0055452F"/>
    <w:rsid w:val="00555376"/>
    <w:rsid w:val="00556907"/>
    <w:rsid w:val="00561245"/>
    <w:rsid w:val="005624C2"/>
    <w:rsid w:val="0056406C"/>
    <w:rsid w:val="00565763"/>
    <w:rsid w:val="00567628"/>
    <w:rsid w:val="00567C41"/>
    <w:rsid w:val="00572887"/>
    <w:rsid w:val="00575F11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562CD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0223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1CDC"/>
    <w:rsid w:val="007331B2"/>
    <w:rsid w:val="00743DFA"/>
    <w:rsid w:val="007459BF"/>
    <w:rsid w:val="00745BF9"/>
    <w:rsid w:val="00747DE4"/>
    <w:rsid w:val="0075704C"/>
    <w:rsid w:val="0076044E"/>
    <w:rsid w:val="00763088"/>
    <w:rsid w:val="00764ECF"/>
    <w:rsid w:val="007712F8"/>
    <w:rsid w:val="00772533"/>
    <w:rsid w:val="00776BF6"/>
    <w:rsid w:val="00781B94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773B3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46E25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A6B05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2B5C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5D97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A371D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2735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BBC"/>
    <w:rsid w:val="00D04DD1"/>
    <w:rsid w:val="00D06CA7"/>
    <w:rsid w:val="00D105D6"/>
    <w:rsid w:val="00D12C28"/>
    <w:rsid w:val="00D14247"/>
    <w:rsid w:val="00D16119"/>
    <w:rsid w:val="00D20CD4"/>
    <w:rsid w:val="00D22D5C"/>
    <w:rsid w:val="00D25337"/>
    <w:rsid w:val="00D2593D"/>
    <w:rsid w:val="00D26E22"/>
    <w:rsid w:val="00D27D74"/>
    <w:rsid w:val="00D30E8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05422"/>
    <w:rsid w:val="00E065BE"/>
    <w:rsid w:val="00E123C0"/>
    <w:rsid w:val="00E1260E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84F5C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6FD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4EA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71F83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2902D29-4404-4015-8A5E-98A3151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1516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15160"/>
    <w:rPr>
      <w:rFonts w:ascii="Tahoma" w:hAnsi="Tahoma" w:cs="Tahoma"/>
      <w:sz w:val="16"/>
      <w:szCs w:val="16"/>
      <w:lang w:val="ru-RU" w:eastAsia="en-US"/>
    </w:rPr>
  </w:style>
  <w:style w:type="character" w:styleId="Hyperlink">
    <w:name w:val="Hyperlink"/>
    <w:basedOn w:val="DefaultParagraphFont"/>
    <w:semiHidden/>
    <w:unhideWhenUsed/>
    <w:rsid w:val="00E05422"/>
    <w:rPr>
      <w:color w:val="0000FF" w:themeColor="hyperlink"/>
      <w:u w:val="single"/>
    </w:rPr>
  </w:style>
  <w:style w:type="paragraph" w:customStyle="1" w:styleId="Enumlevel1">
    <w:name w:val="Enum level 1"/>
    <w:basedOn w:val="Normal"/>
    <w:link w:val="Enumlevel1Char"/>
    <w:qFormat/>
    <w:rsid w:val="00D06CA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51" w:hanging="494"/>
      <w:jc w:val="both"/>
      <w:textAlignment w:val="auto"/>
    </w:pPr>
    <w:rPr>
      <w:rFonts w:ascii="Calibri" w:eastAsia="SimSun" w:hAnsi="Calibri" w:cs="Calibri"/>
      <w:sz w:val="21"/>
      <w:szCs w:val="21"/>
      <w:lang w:val="en-GB" w:eastAsia="en-GB"/>
    </w:rPr>
  </w:style>
  <w:style w:type="character" w:customStyle="1" w:styleId="Enumlevel1Char">
    <w:name w:val="Enum level 1 Char"/>
    <w:basedOn w:val="DefaultParagraphFont"/>
    <w:link w:val="Enumlevel1"/>
    <w:rsid w:val="00D06CA7"/>
    <w:rPr>
      <w:rFonts w:ascii="Calibri" w:eastAsia="SimSun" w:hAnsi="Calibri" w:cs="Calibri"/>
      <w:sz w:val="21"/>
      <w:szCs w:val="21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6562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62C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2CD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62CD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138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0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7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27262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062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pub/R-HDB-21" TargetMode="External"/><Relationship Id="rId18" Type="http://schemas.openxmlformats.org/officeDocument/2006/relationships/hyperlink" Target="https://www.itu.int/rec/R-REC-SM.1394/en" TargetMode="External"/><Relationship Id="rId26" Type="http://schemas.openxmlformats.org/officeDocument/2006/relationships/hyperlink" Target="http://www.itu.int/pub/R-REP-SM.235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rec/R-REC-SM.1604/en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pub/R-HDB-01" TargetMode="External"/><Relationship Id="rId17" Type="http://schemas.openxmlformats.org/officeDocument/2006/relationships/hyperlink" Target="http://www.itu.int/rec/R-REC-SM.1392/en" TargetMode="External"/><Relationship Id="rId25" Type="http://schemas.openxmlformats.org/officeDocument/2006/relationships/hyperlink" Target="http://www.itu.int/pub/R-REP-SM.2257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rec/R-REC-SM.1265/en" TargetMode="External"/><Relationship Id="rId20" Type="http://schemas.openxmlformats.org/officeDocument/2006/relationships/hyperlink" Target="http://www.itu.int/rec/R-REC-SM.1603" TargetMode="External"/><Relationship Id="rId29" Type="http://schemas.openxmlformats.org/officeDocument/2006/relationships/hyperlink" Target="https://www.itu.int/pub/R-REP-SM.240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lossky@gmail.com" TargetMode="External"/><Relationship Id="rId24" Type="http://schemas.openxmlformats.org/officeDocument/2006/relationships/hyperlink" Target="http://www.itu.int/pub/R-REP-SM.2093" TargetMode="External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rec/R-REC-SM.1047/en" TargetMode="External"/><Relationship Id="rId23" Type="http://schemas.openxmlformats.org/officeDocument/2006/relationships/hyperlink" Target="http://www.itu.int/pub/R-REP-SM.2015" TargetMode="External"/><Relationship Id="rId28" Type="http://schemas.openxmlformats.org/officeDocument/2006/relationships/hyperlink" Target="https://www.itu.int/pub/R-REP-SM.2404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rec/R-REC-SM.1537/en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pub/R-HDB-23" TargetMode="External"/><Relationship Id="rId22" Type="http://schemas.openxmlformats.org/officeDocument/2006/relationships/hyperlink" Target="http://www.itu.int/pub/R-REP-SM.2012" TargetMode="External"/><Relationship Id="rId27" Type="http://schemas.openxmlformats.org/officeDocument/2006/relationships/hyperlink" Target="http://www.itu.int/pub/R-REP-SM.2356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yvalo\Downloads\PR_R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1" ma:contentTypeDescription="Create a new document." ma:contentTypeScope="" ma:versionID="1c3e0f5d2651a1fc71f0b75f168c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7CCFE-D292-4C63-B6E0-54EADA3D2BAB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034302-01A3-48EF-8E62-535556280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AD943-942A-48A6-8D18-9336EBBDD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PR_RAG18.dotx</Template>
  <TotalTime>8</TotalTime>
  <Pages>3</Pages>
  <Words>897</Words>
  <Characters>7054</Characters>
  <Application>Microsoft Office Word</Application>
  <DocSecurity>0</DocSecurity>
  <Lines>146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7879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Arseny Plossky</dc:creator>
  <cp:keywords>RAG03-1</cp:keywords>
  <dc:description>Document RAG08-1/1-E  For: _x000d_Document date: 12 December 2007_x000d_Saved by JJF44233 at 15:38:46 on 18/12/2007</dc:description>
  <cp:lastModifiedBy>BR</cp:lastModifiedBy>
  <cp:revision>9</cp:revision>
  <cp:lastPrinted>2011-05-23T08:58:00Z</cp:lastPrinted>
  <dcterms:created xsi:type="dcterms:W3CDTF">2018-03-21T09:05:00Z</dcterms:created>
  <dcterms:modified xsi:type="dcterms:W3CDTF">2018-03-21T13:39:00Z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</Properties>
</file>