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09269D" w:rsidTr="00A36797">
        <w:trPr>
          <w:cantSplit/>
        </w:trPr>
        <w:tc>
          <w:tcPr>
            <w:tcW w:w="6772" w:type="dxa"/>
            <w:vAlign w:val="center"/>
          </w:tcPr>
          <w:p w:rsidR="0057336B" w:rsidRPr="0009269D" w:rsidRDefault="0057336B" w:rsidP="00D51E1E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09269D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09269D">
              <w:rPr>
                <w:b/>
                <w:caps/>
                <w:sz w:val="32"/>
              </w:rPr>
              <w:br/>
            </w:r>
            <w:r w:rsidRPr="0009269D">
              <w:rPr>
                <w:rFonts w:ascii="Verdana" w:hAnsi="Verdana" w:cs="Times New Roman Bold"/>
                <w:b/>
                <w:bCs/>
                <w:sz w:val="20"/>
              </w:rPr>
              <w:t>Ginebra, 26-2</w:t>
            </w:r>
            <w:r w:rsidR="00D51E1E" w:rsidRPr="0009269D"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 w:rsidRPr="0009269D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D51E1E" w:rsidRPr="0009269D">
              <w:rPr>
                <w:rFonts w:ascii="Verdana" w:hAnsi="Verdana" w:cs="Times New Roman Bold"/>
                <w:b/>
                <w:bCs/>
                <w:sz w:val="20"/>
              </w:rPr>
              <w:t>marzo</w:t>
            </w:r>
            <w:r w:rsidRPr="0009269D"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D51E1E" w:rsidRPr="0009269D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117" w:type="dxa"/>
            <w:vAlign w:val="center"/>
          </w:tcPr>
          <w:p w:rsidR="0057336B" w:rsidRPr="0009269D" w:rsidRDefault="0057336B" w:rsidP="008F0106">
            <w:pPr>
              <w:shd w:val="solid" w:color="FFFFFF" w:fill="FFFFFF"/>
              <w:spacing w:before="0"/>
              <w:jc w:val="right"/>
            </w:pPr>
            <w:r w:rsidRPr="0009269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09269D" w:rsidTr="00A36797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09269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09269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09269D" w:rsidTr="00A36797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09269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09269D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09269D" w:rsidTr="00A36797">
        <w:trPr>
          <w:cantSplit/>
        </w:trPr>
        <w:tc>
          <w:tcPr>
            <w:tcW w:w="6772" w:type="dxa"/>
            <w:vMerge w:val="restart"/>
          </w:tcPr>
          <w:p w:rsidR="006E291F" w:rsidRPr="0009269D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09269D" w:rsidRDefault="00A36797" w:rsidP="00A3679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09269D">
              <w:rPr>
                <w:rFonts w:ascii="Verdana" w:hAnsi="Verdana"/>
                <w:b/>
                <w:sz w:val="20"/>
              </w:rPr>
              <w:t>Documento RAG18/11-S</w:t>
            </w:r>
          </w:p>
        </w:tc>
      </w:tr>
      <w:tr w:rsidR="006E291F" w:rsidRPr="0009269D" w:rsidTr="00A36797">
        <w:trPr>
          <w:cantSplit/>
        </w:trPr>
        <w:tc>
          <w:tcPr>
            <w:tcW w:w="6772" w:type="dxa"/>
            <w:vMerge/>
          </w:tcPr>
          <w:p w:rsidR="006E291F" w:rsidRPr="0009269D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09269D" w:rsidRDefault="00A36797" w:rsidP="00A3679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09269D">
              <w:rPr>
                <w:rFonts w:ascii="Verdana" w:hAnsi="Verdana"/>
                <w:b/>
                <w:sz w:val="20"/>
              </w:rPr>
              <w:t>12 de marzo de 2018</w:t>
            </w:r>
          </w:p>
        </w:tc>
      </w:tr>
      <w:tr w:rsidR="006E291F" w:rsidRPr="0009269D" w:rsidTr="00A36797">
        <w:trPr>
          <w:cantSplit/>
        </w:trPr>
        <w:tc>
          <w:tcPr>
            <w:tcW w:w="6772" w:type="dxa"/>
            <w:vMerge/>
          </w:tcPr>
          <w:p w:rsidR="006E291F" w:rsidRPr="0009269D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09269D" w:rsidRDefault="00A36797" w:rsidP="00A3679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09269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09269D" w:rsidTr="008F0106">
        <w:trPr>
          <w:cantSplit/>
        </w:trPr>
        <w:tc>
          <w:tcPr>
            <w:tcW w:w="9889" w:type="dxa"/>
            <w:gridSpan w:val="2"/>
          </w:tcPr>
          <w:p w:rsidR="006E291F" w:rsidRPr="0009269D" w:rsidRDefault="00A36797" w:rsidP="00CB7A43">
            <w:pPr>
              <w:pStyle w:val="Source"/>
            </w:pPr>
            <w:bookmarkStart w:id="3" w:name="dsource" w:colFirst="0" w:colLast="0"/>
            <w:bookmarkEnd w:id="2"/>
            <w:r w:rsidRPr="0009269D">
              <w:t>Federación de Rusia</w:t>
            </w:r>
          </w:p>
        </w:tc>
      </w:tr>
      <w:tr w:rsidR="006E291F" w:rsidRPr="0009269D" w:rsidTr="008F0106">
        <w:trPr>
          <w:cantSplit/>
        </w:trPr>
        <w:tc>
          <w:tcPr>
            <w:tcW w:w="9889" w:type="dxa"/>
            <w:gridSpan w:val="2"/>
          </w:tcPr>
          <w:p w:rsidR="006E291F" w:rsidRPr="0009269D" w:rsidRDefault="00A36797" w:rsidP="00CB7A43">
            <w:pPr>
              <w:pStyle w:val="Title1"/>
            </w:pPr>
            <w:bookmarkStart w:id="4" w:name="dtitle1" w:colFirst="0" w:colLast="0"/>
            <w:bookmarkEnd w:id="3"/>
            <w:r w:rsidRPr="0009269D">
              <w:t>RACIONALIZACIÓN DE RESOLUCIONES DE LA PP Y DEL UIT-R</w:t>
            </w:r>
          </w:p>
        </w:tc>
      </w:tr>
    </w:tbl>
    <w:bookmarkEnd w:id="4"/>
    <w:p w:rsidR="00A36797" w:rsidRPr="0009269D" w:rsidRDefault="00A36797" w:rsidP="00A36797">
      <w:pPr>
        <w:pStyle w:val="Heading1"/>
      </w:pPr>
      <w:r w:rsidRPr="0009269D">
        <w:t>I</w:t>
      </w:r>
      <w:r w:rsidRPr="0009269D">
        <w:tab/>
        <w:t>Introducción</w:t>
      </w:r>
    </w:p>
    <w:p w:rsidR="00A36797" w:rsidRPr="0009269D" w:rsidRDefault="00A36797" w:rsidP="00A27C52">
      <w:pPr>
        <w:spacing w:after="240"/>
      </w:pPr>
      <w:r w:rsidRPr="0009269D">
        <w:t>Diversas Resoluciones de los tres Sectores se basan directamente en Resoluciones correspondientes de la PP. En la práctica, la redacción de los documentos son muy similares y la parte esencial de las Resoluciones de la AR, la AMNT y la CMDT es una repetición y/o los elementos operativos detallados de la Resolución de la PP, por ejemplo:</w:t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2223"/>
        <w:gridCol w:w="1629"/>
        <w:gridCol w:w="1926"/>
        <w:gridCol w:w="1926"/>
        <w:gridCol w:w="1925"/>
      </w:tblGrid>
      <w:tr w:rsidR="00A36797" w:rsidRPr="0009269D" w:rsidTr="00A27C52">
        <w:trPr>
          <w:tblHeader/>
        </w:trPr>
        <w:tc>
          <w:tcPr>
            <w:tcW w:w="2127" w:type="dxa"/>
          </w:tcPr>
          <w:p w:rsidR="00A36797" w:rsidRPr="0009269D" w:rsidRDefault="00A36797" w:rsidP="00A36797">
            <w:pPr>
              <w:pStyle w:val="Tablehead"/>
            </w:pPr>
            <w:r w:rsidRPr="0009269D">
              <w:t>Tema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head"/>
            </w:pPr>
            <w:r w:rsidRPr="0009269D">
              <w:t xml:space="preserve">Resolución de la PP 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head"/>
            </w:pPr>
            <w:r w:rsidRPr="0009269D">
              <w:t xml:space="preserve">Resolución de la AR 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head"/>
            </w:pPr>
            <w:r w:rsidRPr="0009269D">
              <w:t xml:space="preserve">Resolución de la AMNT 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head"/>
            </w:pPr>
            <w:r w:rsidRPr="0009269D">
              <w:t>Resolución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Presencia Regional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25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48 del UIT-R</w:t>
            </w:r>
          </w:p>
        </w:tc>
        <w:tc>
          <w:tcPr>
            <w:tcW w:w="1843" w:type="dxa"/>
          </w:tcPr>
          <w:p w:rsidR="00A36797" w:rsidRPr="0009269D" w:rsidRDefault="00A36797" w:rsidP="00A27C52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54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17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CMSI+ODS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140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61 del UIT-R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75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30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Miembros de Sector, Asociados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152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43 del UIT-R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31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27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Idiomas oficiales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154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35/36 del UIT-R</w:t>
            </w:r>
          </w:p>
        </w:tc>
        <w:tc>
          <w:tcPr>
            <w:tcW w:w="1843" w:type="dxa"/>
          </w:tcPr>
          <w:p w:rsidR="00A36797" w:rsidRPr="0009269D" w:rsidRDefault="00A36797" w:rsidP="00A27C52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67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86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 xml:space="preserve">Presidencia de las CE/Grupos Asesores 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166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15 del UIT-R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35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61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 xml:space="preserve">Accesibilidad 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175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67 del UIT-R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70 de la AMNT</w:t>
            </w:r>
          </w:p>
        </w:tc>
        <w:tc>
          <w:tcPr>
            <w:tcW w:w="1842" w:type="dxa"/>
          </w:tcPr>
          <w:p w:rsidR="00A36797" w:rsidRPr="0009269D" w:rsidRDefault="00A27C52" w:rsidP="00A36797">
            <w:pPr>
              <w:pStyle w:val="Tabletext"/>
            </w:pPr>
            <w:r w:rsidRPr="0009269D">
              <w:t>Res. </w:t>
            </w:r>
            <w:r w:rsidR="00A36797" w:rsidRPr="0009269D">
              <w:t>58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Conformidad e Interoperabilidad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177 de la PP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62 del UIT-R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76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47 de la CMDT</w:t>
            </w:r>
          </w:p>
        </w:tc>
      </w:tr>
      <w:tr w:rsidR="00A36797" w:rsidRPr="0009269D" w:rsidTr="00A27C52">
        <w:tc>
          <w:tcPr>
            <w:tcW w:w="2127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Coordinación intersectorial</w:t>
            </w:r>
          </w:p>
        </w:tc>
        <w:tc>
          <w:tcPr>
            <w:tcW w:w="1559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191 de la PP</w:t>
            </w:r>
          </w:p>
        </w:tc>
        <w:tc>
          <w:tcPr>
            <w:tcW w:w="1843" w:type="dxa"/>
          </w:tcPr>
          <w:p w:rsidR="00A36797" w:rsidRPr="0009269D" w:rsidRDefault="00A36797" w:rsidP="00A27C52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6</w:t>
            </w:r>
            <w:r w:rsidR="00A27C52" w:rsidRPr="0009269D">
              <w:t xml:space="preserve"> y </w:t>
            </w:r>
            <w:r w:rsidRPr="0009269D">
              <w:t>7</w:t>
            </w:r>
            <w:r w:rsidR="00A27C52" w:rsidRPr="0009269D">
              <w:t xml:space="preserve"> del</w:t>
            </w:r>
            <w:r w:rsidR="00A27C52" w:rsidRPr="0009269D">
              <w:br/>
            </w:r>
            <w:r w:rsidRPr="0009269D">
              <w:t>UIT-R</w:t>
            </w:r>
          </w:p>
        </w:tc>
        <w:tc>
          <w:tcPr>
            <w:tcW w:w="1843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18 de la AMNT</w:t>
            </w:r>
          </w:p>
        </w:tc>
        <w:tc>
          <w:tcPr>
            <w:tcW w:w="1842" w:type="dxa"/>
          </w:tcPr>
          <w:p w:rsidR="00A36797" w:rsidRPr="0009269D" w:rsidRDefault="00A36797" w:rsidP="00A36797">
            <w:pPr>
              <w:pStyle w:val="Tabletext"/>
            </w:pPr>
            <w:r w:rsidRPr="0009269D">
              <w:t>Res.</w:t>
            </w:r>
            <w:r w:rsidR="00A27C52" w:rsidRPr="0009269D">
              <w:t> </w:t>
            </w:r>
            <w:r w:rsidRPr="0009269D">
              <w:t>59 de la CMDT</w:t>
            </w:r>
          </w:p>
        </w:tc>
      </w:tr>
    </w:tbl>
    <w:p w:rsidR="00A36797" w:rsidRPr="0009269D" w:rsidRDefault="00A36797" w:rsidP="00A27C52">
      <w:pPr>
        <w:spacing w:before="240"/>
      </w:pPr>
      <w:r w:rsidRPr="0009269D">
        <w:t>En el contexto de la preparación de la Conferencia de Plenipotenciarios, parece apropiado estudiar la posibilidad y conveniencia de que la PP-18 elabore y acuerde resoluciones que abarquen a los tres, o en ciertos casos, a dos Sectores, de manera que, cuando se considere la cuestión en las asambleas/conferencias sectoriales, o bien no se apliquen resoluciones sectoriales, o bien que su contenido se limite a una referencia a la Resolución correspondiente de la PP, a los nuevos acontecimientos y documentos que afecten directamente a las actividades del Sector de que se trate, y a los que se hayan producido después de la PP, y a las instrucciones específicas para el Sector en cuestión.</w:t>
      </w:r>
    </w:p>
    <w:p w:rsidR="00A36797" w:rsidRPr="0009269D" w:rsidRDefault="00A36797" w:rsidP="00A36797">
      <w:r w:rsidRPr="0009269D">
        <w:lastRenderedPageBreak/>
        <w:t>Por ejemplo, en caso de refrendo de un enfoque com</w:t>
      </w:r>
      <w:bookmarkStart w:id="5" w:name="_GoBack"/>
      <w:bookmarkEnd w:id="5"/>
      <w:r w:rsidRPr="0009269D">
        <w:t>ún del nombramiento de Presidentes/Vicepresidentes de las CE/Grupos Asesores de los Sectores, no será necesario en una Resolución sectorial similar y sólo requerirá un enlace apropiado a la</w:t>
      </w:r>
      <w:r w:rsidR="0009269D">
        <w:t xml:space="preserve"> </w:t>
      </w:r>
      <w:r w:rsidRPr="0009269D">
        <w:t>Resolución 1.</w:t>
      </w:r>
    </w:p>
    <w:p w:rsidR="00A36797" w:rsidRPr="0009269D" w:rsidRDefault="00A36797" w:rsidP="00A36797">
      <w:r w:rsidRPr="0009269D">
        <w:t>Este enfoque ha sido apoyado en la reuni</w:t>
      </w:r>
      <w:r w:rsidR="00A27C52" w:rsidRPr="0009269D">
        <w:t>ón del GANT del mes de febrero</w:t>
      </w:r>
      <w:r w:rsidR="0065226D">
        <w:t xml:space="preserve"> de 2018</w:t>
      </w:r>
      <w:r w:rsidR="00A27C52" w:rsidRPr="0009269D">
        <w:t>.</w:t>
      </w:r>
    </w:p>
    <w:p w:rsidR="00A36797" w:rsidRPr="0009269D" w:rsidRDefault="00A36797" w:rsidP="00A36797">
      <w:pPr>
        <w:pStyle w:val="Heading1"/>
      </w:pPr>
      <w:r w:rsidRPr="0009269D">
        <w:t>II</w:t>
      </w:r>
      <w:r w:rsidRPr="0009269D">
        <w:tab/>
        <w:t>Propuestas</w:t>
      </w:r>
    </w:p>
    <w:p w:rsidR="00A36797" w:rsidRPr="0009269D" w:rsidRDefault="00A36797" w:rsidP="00A36797">
      <w:r w:rsidRPr="0009269D">
        <w:t>2.1</w:t>
      </w:r>
      <w:r w:rsidRPr="0009269D">
        <w:tab/>
        <w:t>En la preparación de la Conferencia de Plenipotenciarios y teniendo en cuenta la revisión de resoluciones existentes y la preparación de nuevas resoluciones de la Conferencia de Plenipotenciarios, tomar en consideración las metas y objetivos reflejados en la parte del UIT-R del Plan Estratégico de la UIT para 2020-2023.</w:t>
      </w:r>
    </w:p>
    <w:p w:rsidR="00A36797" w:rsidRPr="0009269D" w:rsidRDefault="00A36797" w:rsidP="0065226D">
      <w:r w:rsidRPr="0009269D">
        <w:t>2.2.</w:t>
      </w:r>
      <w:r w:rsidRPr="0009269D">
        <w:tab/>
        <w:t xml:space="preserve">De acuerdo con los resultados de la PP-18, con la asistencia de la Secretaría, definir instrucciones específicas para cada Sector contenidas en los documentos de resultados de la PP-18, y a partir de ellas, revisar las correspondientes resoluciones sectoriales sobre la cuestión </w:t>
      </w:r>
      <w:r w:rsidR="0065226D">
        <w:t>simplificándolas mediante enlaces a la Resolución correspondiente de la PP y definir instrucciones concretas al Sector sobre el particular, o a través de la supresión de</w:t>
      </w:r>
      <w:r w:rsidRPr="0009269D">
        <w:t xml:space="preserve"> la Resolución UIT-R subordinada con el reflejo de los requisitos correspondi</w:t>
      </w:r>
      <w:r w:rsidR="00A27C52" w:rsidRPr="0009269D">
        <w:t>entes en otra Resolución UIT-R.</w:t>
      </w:r>
    </w:p>
    <w:p w:rsidR="00A36797" w:rsidRPr="0009269D" w:rsidRDefault="00A36797" w:rsidP="0032202E">
      <w:pPr>
        <w:pStyle w:val="Reasons"/>
        <w:rPr>
          <w:lang w:val="es-ES_tradnl"/>
        </w:rPr>
      </w:pPr>
    </w:p>
    <w:p w:rsidR="00A36797" w:rsidRPr="0009269D" w:rsidRDefault="00A36797">
      <w:pPr>
        <w:jc w:val="center"/>
      </w:pPr>
      <w:r w:rsidRPr="0009269D">
        <w:t>______________</w:t>
      </w:r>
    </w:p>
    <w:sectPr w:rsidR="00A36797" w:rsidRPr="0009269D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97" w:rsidRDefault="00A36797">
      <w:r>
        <w:separator/>
      </w:r>
    </w:p>
  </w:endnote>
  <w:endnote w:type="continuationSeparator" w:id="0">
    <w:p w:rsidR="00A36797" w:rsidRDefault="00A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Pr="003D785C" w:rsidRDefault="003D785C" w:rsidP="003D785C">
    <w:pPr>
      <w:pStyle w:val="Footer"/>
      <w:rPr>
        <w:lang w:val="en-US"/>
      </w:rPr>
    </w:pPr>
    <w:fldSimple w:instr=" FILENAME \p  \* MERGEFORMAT ">
      <w:r w:rsidR="0065226D">
        <w:t>P:\ESP\ITU-R\AG\RAG\RAG18\000\011S.docx</w:t>
      </w:r>
    </w:fldSimple>
    <w:r>
      <w:t xml:space="preserve"> (433618)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C8724B" w:rsidP="003D785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5226D">
      <w:t>P:\ESP\ITU-R\AG\RAG\RAG18\000\011S.docx</w:t>
    </w:r>
    <w:r>
      <w:fldChar w:fldCharType="end"/>
    </w:r>
    <w:r w:rsidR="003D785C">
      <w:t xml:space="preserve"> (433618)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97" w:rsidRDefault="00A36797">
      <w:r>
        <w:t>____________________</w:t>
      </w:r>
    </w:p>
  </w:footnote>
  <w:footnote w:type="continuationSeparator" w:id="0">
    <w:p w:rsidR="00A36797" w:rsidRDefault="00A3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24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C8724B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D51E1E">
      <w:rPr>
        <w:lang w:val="es-ES"/>
      </w:rPr>
      <w:t>8</w:t>
    </w:r>
    <w:r w:rsidR="00616601">
      <w:rPr>
        <w:lang w:val="es-ES"/>
      </w:rPr>
      <w:t>/</w:t>
    </w:r>
    <w:r w:rsidR="00C8724B">
      <w:rPr>
        <w:lang w:val="es-ES"/>
      </w:rPr>
      <w:t>11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7"/>
    <w:rsid w:val="0009269D"/>
    <w:rsid w:val="000C62BA"/>
    <w:rsid w:val="000D756D"/>
    <w:rsid w:val="0012592F"/>
    <w:rsid w:val="001F2F50"/>
    <w:rsid w:val="002E734F"/>
    <w:rsid w:val="0031432E"/>
    <w:rsid w:val="0034043B"/>
    <w:rsid w:val="003D785C"/>
    <w:rsid w:val="00414D8B"/>
    <w:rsid w:val="00482905"/>
    <w:rsid w:val="004D6C09"/>
    <w:rsid w:val="0057336B"/>
    <w:rsid w:val="005A2195"/>
    <w:rsid w:val="005D3E02"/>
    <w:rsid w:val="00610642"/>
    <w:rsid w:val="00616601"/>
    <w:rsid w:val="00646EEF"/>
    <w:rsid w:val="0065226D"/>
    <w:rsid w:val="00663829"/>
    <w:rsid w:val="006A42AB"/>
    <w:rsid w:val="006E291F"/>
    <w:rsid w:val="008506C9"/>
    <w:rsid w:val="008F0106"/>
    <w:rsid w:val="00924B63"/>
    <w:rsid w:val="00982618"/>
    <w:rsid w:val="009C205E"/>
    <w:rsid w:val="00A00FDE"/>
    <w:rsid w:val="00A0579C"/>
    <w:rsid w:val="00A27C52"/>
    <w:rsid w:val="00A36797"/>
    <w:rsid w:val="00B32E51"/>
    <w:rsid w:val="00C837F0"/>
    <w:rsid w:val="00C8724B"/>
    <w:rsid w:val="00CB7A43"/>
    <w:rsid w:val="00CF4CAC"/>
    <w:rsid w:val="00D51E1E"/>
    <w:rsid w:val="00DE77E6"/>
    <w:rsid w:val="00E72EA7"/>
    <w:rsid w:val="00EA4101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D26FC1-E004-459D-8805-4A6FDDCA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A36797"/>
    <w:rPr>
      <w:rFonts w:ascii="Times New Roman" w:hAnsi="Times New Roman"/>
      <w:b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A36797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367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PS_RAG18.dotm</Template>
  <TotalTime>16</TotalTime>
  <Pages>2</Pages>
  <Words>586</Words>
  <Characters>2784</Characters>
  <Application>Microsoft Office Word</Application>
  <DocSecurity>0</DocSecurity>
  <Lines>124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RACIONALIZACIÓN DE RESOLUCIONES DE LA PP Y DEL UIT-R</dc:title>
  <dc:subject>GRUPO ASESOR DE RADIOCOMUNICACIONES</dc:subject>
  <dc:creator>Federación de Rusia</dc:creator>
  <cp:keywords>RAG03-1</cp:keywords>
  <dc:description>Documento RAG18/11-S  For: _x000d_Document date: 12 de marzo de 2018_x000d_Saved by ITU51007829 at 16:37:06 on 14/03/2018</dc:description>
  <cp:lastModifiedBy>Marin Matas, Juan Gabriel</cp:lastModifiedBy>
  <cp:revision>8</cp:revision>
  <cp:lastPrinted>2018-03-14T15:04:00Z</cp:lastPrinted>
  <dcterms:created xsi:type="dcterms:W3CDTF">2018-03-14T14:48:00Z</dcterms:created>
  <dcterms:modified xsi:type="dcterms:W3CDTF">2018-03-14T15:37:00Z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RAG18/11-S</vt:lpwstr>
  </property>
  <property fmtid="{D5CDD505-2E9C-101B-9397-08002B2CF9AE}" pid="3" name="Docdate">
    <vt:lpwstr>12 de marzo de 2018</vt:lpwstr>
  </property>
  <property fmtid="{D5CDD505-2E9C-101B-9397-08002B2CF9AE}" pid="4" name="Docorlang">
    <vt:lpwstr>Original: inglés</vt:lpwstr>
  </property>
  <property fmtid="{D5CDD505-2E9C-101B-9397-08002B2CF9AE}" pid="5" name="Docauthor">
    <vt:lpwstr>Federación de Rusia</vt:lpwstr>
  </property>
</Properties>
</file>