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Tr="00EC0BE3">
        <w:trPr>
          <w:cantSplit/>
        </w:trPr>
        <w:tc>
          <w:tcPr>
            <w:tcW w:w="6477" w:type="dxa"/>
            <w:vAlign w:val="center"/>
          </w:tcPr>
          <w:p w:rsidR="00EC0BE3" w:rsidRPr="0051782D" w:rsidRDefault="00EC0BE3" w:rsidP="00FF1290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FF1290">
              <w:rPr>
                <w:rFonts w:ascii="Verdana" w:hAnsi="Verdana" w:cs="Times New Roman Bold"/>
                <w:b/>
                <w:bCs/>
                <w:sz w:val="20"/>
              </w:rPr>
              <w:t>29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FF1290">
              <w:rPr>
                <w:rFonts w:ascii="Verdana" w:hAnsi="Verdana" w:cs="Times New Roman Bold"/>
                <w:b/>
                <w:bCs/>
                <w:sz w:val="20"/>
              </w:rPr>
              <w:t>March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201</w:t>
            </w:r>
            <w:r w:rsidR="00FF1290">
              <w:rPr>
                <w:rFonts w:ascii="Verdana" w:hAnsi="Verdana" w:cs="Times New Roman Bold"/>
                <w:b/>
                <w:bCs/>
                <w:sz w:val="20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EC0BE3" w:rsidRDefault="00EC0BE3" w:rsidP="009D27EC">
            <w:pPr>
              <w:shd w:val="solid" w:color="FFFFFF" w:fill="FFFFFF"/>
              <w:spacing w:before="0" w:line="240" w:lineRule="atLeast"/>
              <w:jc w:val="right"/>
            </w:pPr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58C15E6" wp14:editId="6A30D1B9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B33A5B" w:rsidRDefault="00B33A5B" w:rsidP="00B33A5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RAG18/11-E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B33A5B" w:rsidRDefault="00B33A5B" w:rsidP="00B33A5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12 March 2018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B33A5B" w:rsidRDefault="00B33A5B" w:rsidP="00B33A5B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B33A5B" w:rsidP="005B2C58">
            <w:pPr>
              <w:pStyle w:val="Source"/>
            </w:pPr>
            <w:bookmarkStart w:id="3" w:name="dsource" w:colFirst="0" w:colLast="0"/>
            <w:bookmarkEnd w:id="2"/>
            <w:r>
              <w:t>Russian Federation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B33A5B" w:rsidP="005B2C58">
            <w:pPr>
              <w:pStyle w:val="Title1"/>
            </w:pPr>
            <w:bookmarkStart w:id="4" w:name="dtitle1" w:colFirst="0" w:colLast="0"/>
            <w:bookmarkEnd w:id="3"/>
            <w:r>
              <w:t>Streamlining PP and ITU-R Resolutions</w:t>
            </w:r>
          </w:p>
        </w:tc>
      </w:tr>
      <w:bookmarkEnd w:id="4"/>
    </w:tbl>
    <w:p w:rsidR="00FF1290" w:rsidRDefault="00FF1290" w:rsidP="00906598"/>
    <w:p w:rsidR="00BB0ED8" w:rsidRPr="005233B0" w:rsidRDefault="00BB0ED8" w:rsidP="00BB0ED8">
      <w:pPr>
        <w:pStyle w:val="Heading1"/>
        <w:rPr>
          <w:lang w:val="en-US"/>
        </w:rPr>
      </w:pPr>
      <w:r w:rsidRPr="005233B0">
        <w:rPr>
          <w:lang w:val="en-US"/>
        </w:rPr>
        <w:t>I</w:t>
      </w:r>
      <w:r w:rsidRPr="005233B0">
        <w:rPr>
          <w:lang w:val="en-US"/>
        </w:rPr>
        <w:tab/>
        <w:t>Introduction</w:t>
      </w:r>
    </w:p>
    <w:p w:rsidR="00BB0ED8" w:rsidRPr="005233B0" w:rsidRDefault="00BB0ED8" w:rsidP="00BB0ED8">
      <w:pPr>
        <w:rPr>
          <w:lang w:val="en-US"/>
        </w:rPr>
      </w:pPr>
      <w:r>
        <w:rPr>
          <w:rFonts w:asciiTheme="majorBidi" w:hAnsiTheme="majorBidi" w:cstheme="majorBidi"/>
          <w:lang w:val="en-US"/>
        </w:rPr>
        <w:t xml:space="preserve">A number of </w:t>
      </w:r>
      <w:r w:rsidRPr="005233B0">
        <w:rPr>
          <w:lang w:val="en-US"/>
        </w:rPr>
        <w:t xml:space="preserve">resolutions </w:t>
      </w:r>
      <w:r>
        <w:rPr>
          <w:lang w:val="en-US"/>
        </w:rPr>
        <w:t xml:space="preserve">in all three Sectors </w:t>
      </w:r>
      <w:r w:rsidRPr="005233B0">
        <w:rPr>
          <w:lang w:val="en-US"/>
        </w:rPr>
        <w:t>are directly based on relevant PP resolutions.  Practically the recitals of the documents are very close and the crucial part of the RA</w:t>
      </w:r>
      <w:r>
        <w:rPr>
          <w:lang w:val="en-US"/>
        </w:rPr>
        <w:t xml:space="preserve">, WTSA </w:t>
      </w:r>
      <w:r w:rsidRPr="005233B0">
        <w:rPr>
          <w:lang w:val="en-US"/>
        </w:rPr>
        <w:t>and WTDC resolution</w:t>
      </w:r>
      <w:r>
        <w:rPr>
          <w:lang w:val="en-US"/>
        </w:rPr>
        <w:t>s</w:t>
      </w:r>
      <w:r w:rsidRPr="005233B0">
        <w:rPr>
          <w:lang w:val="en-US"/>
        </w:rPr>
        <w:t xml:space="preserve"> is a repetition and/or detail </w:t>
      </w:r>
      <w:r w:rsidRPr="005233B0">
        <w:rPr>
          <w:rFonts w:asciiTheme="majorBidi" w:hAnsiTheme="majorBidi" w:cstheme="majorBidi"/>
          <w:lang w:val="en-US"/>
        </w:rPr>
        <w:t xml:space="preserve">operational element(s) </w:t>
      </w:r>
      <w:r w:rsidRPr="005233B0">
        <w:rPr>
          <w:lang w:val="en-US"/>
        </w:rPr>
        <w:t>of the PP resolution, for example:</w:t>
      </w:r>
    </w:p>
    <w:p w:rsidR="00BB0ED8" w:rsidRPr="005233B0" w:rsidRDefault="00BB0ED8" w:rsidP="00BB0ED8">
      <w:pPr>
        <w:rPr>
          <w:lang w:val="en-US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127"/>
        <w:gridCol w:w="1559"/>
        <w:gridCol w:w="1843"/>
        <w:gridCol w:w="1843"/>
        <w:gridCol w:w="1842"/>
      </w:tblGrid>
      <w:tr w:rsidR="00BB0ED8" w:rsidRPr="00217ABC" w:rsidTr="007F79EC">
        <w:trPr>
          <w:tblHeader/>
        </w:trPr>
        <w:tc>
          <w:tcPr>
            <w:tcW w:w="2127" w:type="dxa"/>
          </w:tcPr>
          <w:p w:rsidR="00BB0ED8" w:rsidRPr="00217ABC" w:rsidRDefault="00BB0ED8" w:rsidP="00BB0ED8">
            <w:pPr>
              <w:pStyle w:val="Tablehead"/>
            </w:pPr>
            <w:r w:rsidRPr="00217ABC">
              <w:t>Subject area</w:t>
            </w:r>
          </w:p>
        </w:tc>
        <w:tc>
          <w:tcPr>
            <w:tcW w:w="1559" w:type="dxa"/>
          </w:tcPr>
          <w:p w:rsidR="00BB0ED8" w:rsidRDefault="00BB0ED8" w:rsidP="00BB0ED8">
            <w:pPr>
              <w:pStyle w:val="Tablehead"/>
            </w:pPr>
            <w:r w:rsidRPr="00217ABC">
              <w:t xml:space="preserve">PP </w:t>
            </w:r>
          </w:p>
          <w:p w:rsidR="00BB0ED8" w:rsidRPr="00217ABC" w:rsidRDefault="00BB0ED8" w:rsidP="00BB0ED8">
            <w:pPr>
              <w:pStyle w:val="Tablehead"/>
            </w:pPr>
            <w:r w:rsidRPr="00217ABC">
              <w:t>Resolution</w:t>
            </w:r>
          </w:p>
        </w:tc>
        <w:tc>
          <w:tcPr>
            <w:tcW w:w="1843" w:type="dxa"/>
          </w:tcPr>
          <w:p w:rsidR="00BB0ED8" w:rsidRDefault="00BB0ED8" w:rsidP="00BB0ED8">
            <w:pPr>
              <w:pStyle w:val="Tablehead"/>
            </w:pPr>
            <w:r>
              <w:rPr>
                <w:lang w:val="en-US"/>
              </w:rPr>
              <w:t>RA</w:t>
            </w:r>
            <w:r w:rsidRPr="00217ABC">
              <w:t xml:space="preserve"> </w:t>
            </w:r>
          </w:p>
          <w:p w:rsidR="00BB0ED8" w:rsidRPr="008B583B" w:rsidRDefault="00BB0ED8" w:rsidP="00BB0ED8">
            <w:pPr>
              <w:pStyle w:val="Tablehead"/>
              <w:rPr>
                <w:lang w:val="en-US"/>
              </w:rPr>
            </w:pPr>
            <w:r w:rsidRPr="00217ABC">
              <w:t>Resolution</w:t>
            </w:r>
          </w:p>
        </w:tc>
        <w:tc>
          <w:tcPr>
            <w:tcW w:w="1843" w:type="dxa"/>
          </w:tcPr>
          <w:p w:rsidR="00BB0ED8" w:rsidRDefault="00BB0ED8" w:rsidP="00BB0ED8">
            <w:pPr>
              <w:pStyle w:val="Tablehead"/>
            </w:pPr>
            <w:r w:rsidRPr="00217ABC">
              <w:t xml:space="preserve">WTSA </w:t>
            </w:r>
          </w:p>
          <w:p w:rsidR="00BB0ED8" w:rsidRPr="00217ABC" w:rsidRDefault="00BB0ED8" w:rsidP="00BB0ED8">
            <w:pPr>
              <w:pStyle w:val="Tablehead"/>
            </w:pPr>
            <w:r w:rsidRPr="00217ABC">
              <w:t>Resolution</w:t>
            </w:r>
          </w:p>
        </w:tc>
        <w:tc>
          <w:tcPr>
            <w:tcW w:w="1842" w:type="dxa"/>
          </w:tcPr>
          <w:p w:rsidR="00BB0ED8" w:rsidRPr="00217ABC" w:rsidRDefault="00BB0ED8" w:rsidP="00BB0ED8">
            <w:pPr>
              <w:pStyle w:val="Tablehead"/>
            </w:pPr>
            <w:r w:rsidRPr="00217ABC">
              <w:t>WTDC Resolution</w:t>
            </w:r>
          </w:p>
        </w:tc>
      </w:tr>
      <w:tr w:rsidR="00BB0ED8" w:rsidRPr="00F2154F" w:rsidTr="007F79EC">
        <w:tc>
          <w:tcPr>
            <w:tcW w:w="2127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Regional presence</w:t>
            </w:r>
          </w:p>
        </w:tc>
        <w:tc>
          <w:tcPr>
            <w:tcW w:w="1559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PP Res.25</w:t>
            </w:r>
          </w:p>
        </w:tc>
        <w:tc>
          <w:tcPr>
            <w:tcW w:w="1843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ITU-R Res.</w:t>
            </w:r>
            <w:r w:rsidRPr="00F2154F">
              <w:rPr>
                <w:lang w:val="ru-RU"/>
              </w:rPr>
              <w:t>48</w:t>
            </w:r>
          </w:p>
        </w:tc>
        <w:tc>
          <w:tcPr>
            <w:tcW w:w="1843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WTSA Res.54</w:t>
            </w:r>
          </w:p>
        </w:tc>
        <w:tc>
          <w:tcPr>
            <w:tcW w:w="1842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WTDC Res.17</w:t>
            </w:r>
          </w:p>
        </w:tc>
      </w:tr>
      <w:tr w:rsidR="00BB0ED8" w:rsidRPr="00F2154F" w:rsidTr="007F79EC">
        <w:tc>
          <w:tcPr>
            <w:tcW w:w="2127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WSIS+SDG</w:t>
            </w:r>
          </w:p>
        </w:tc>
        <w:tc>
          <w:tcPr>
            <w:tcW w:w="1559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PP Res.140</w:t>
            </w:r>
          </w:p>
        </w:tc>
        <w:tc>
          <w:tcPr>
            <w:tcW w:w="1843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ITU-R Res.</w:t>
            </w:r>
            <w:r w:rsidRPr="00F2154F">
              <w:rPr>
                <w:lang w:val="ru-RU"/>
              </w:rPr>
              <w:t>61</w:t>
            </w:r>
          </w:p>
        </w:tc>
        <w:tc>
          <w:tcPr>
            <w:tcW w:w="1843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WTSA Res.75</w:t>
            </w:r>
          </w:p>
        </w:tc>
        <w:tc>
          <w:tcPr>
            <w:tcW w:w="1842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WTDC Res.30</w:t>
            </w:r>
          </w:p>
        </w:tc>
      </w:tr>
      <w:tr w:rsidR="00BB0ED8" w:rsidRPr="00F2154F" w:rsidTr="007F79EC">
        <w:tc>
          <w:tcPr>
            <w:tcW w:w="2127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Sector Members, Associates</w:t>
            </w:r>
          </w:p>
        </w:tc>
        <w:tc>
          <w:tcPr>
            <w:tcW w:w="1559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PP Res.152</w:t>
            </w:r>
          </w:p>
        </w:tc>
        <w:tc>
          <w:tcPr>
            <w:tcW w:w="1843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ITU-R Res.43</w:t>
            </w:r>
          </w:p>
        </w:tc>
        <w:tc>
          <w:tcPr>
            <w:tcW w:w="1843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WTSA Res.31</w:t>
            </w:r>
          </w:p>
        </w:tc>
        <w:tc>
          <w:tcPr>
            <w:tcW w:w="1842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WTDC Res.27</w:t>
            </w:r>
          </w:p>
        </w:tc>
      </w:tr>
      <w:tr w:rsidR="00BB0ED8" w:rsidRPr="00F2154F" w:rsidTr="007F79EC">
        <w:tc>
          <w:tcPr>
            <w:tcW w:w="2127" w:type="dxa"/>
          </w:tcPr>
          <w:p w:rsidR="00BB0ED8" w:rsidRPr="00F2154F" w:rsidRDefault="00BB0ED8" w:rsidP="00BB0ED8">
            <w:pPr>
              <w:pStyle w:val="Tabletext"/>
            </w:pPr>
            <w:r>
              <w:t>Official</w:t>
            </w:r>
            <w:r w:rsidRPr="00F2154F">
              <w:t xml:space="preserve"> Languages</w:t>
            </w:r>
          </w:p>
        </w:tc>
        <w:tc>
          <w:tcPr>
            <w:tcW w:w="1559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PP Res.154</w:t>
            </w:r>
          </w:p>
        </w:tc>
        <w:tc>
          <w:tcPr>
            <w:tcW w:w="1843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ITU-R Res.35/36</w:t>
            </w:r>
          </w:p>
        </w:tc>
        <w:tc>
          <w:tcPr>
            <w:tcW w:w="1843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WTSA Res.67</w:t>
            </w:r>
          </w:p>
        </w:tc>
        <w:tc>
          <w:tcPr>
            <w:tcW w:w="1842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 xml:space="preserve">WTDC Res. 86 </w:t>
            </w:r>
          </w:p>
        </w:tc>
      </w:tr>
      <w:tr w:rsidR="00BB0ED8" w:rsidRPr="00F2154F" w:rsidTr="007F79EC">
        <w:tc>
          <w:tcPr>
            <w:tcW w:w="2127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 xml:space="preserve">Chairmanship in </w:t>
            </w:r>
            <w:r w:rsidRPr="00F2154F">
              <w:rPr>
                <w:lang w:val="en-US"/>
              </w:rPr>
              <w:t>SGs/</w:t>
            </w:r>
            <w:r w:rsidRPr="00F2154F">
              <w:t>Advisory Groups</w:t>
            </w:r>
          </w:p>
        </w:tc>
        <w:tc>
          <w:tcPr>
            <w:tcW w:w="1559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PP Res.166</w:t>
            </w:r>
          </w:p>
        </w:tc>
        <w:tc>
          <w:tcPr>
            <w:tcW w:w="1843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ITU-R Res.15</w:t>
            </w:r>
          </w:p>
        </w:tc>
        <w:tc>
          <w:tcPr>
            <w:tcW w:w="1843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WTSA Res.35</w:t>
            </w:r>
          </w:p>
        </w:tc>
        <w:tc>
          <w:tcPr>
            <w:tcW w:w="1842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WTDC Res.61</w:t>
            </w:r>
          </w:p>
        </w:tc>
      </w:tr>
      <w:tr w:rsidR="00BB0ED8" w:rsidRPr="00F2154F" w:rsidTr="007F79EC">
        <w:tc>
          <w:tcPr>
            <w:tcW w:w="2127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 xml:space="preserve">Accessibility </w:t>
            </w:r>
          </w:p>
        </w:tc>
        <w:tc>
          <w:tcPr>
            <w:tcW w:w="1559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PP Res.175</w:t>
            </w:r>
          </w:p>
        </w:tc>
        <w:tc>
          <w:tcPr>
            <w:tcW w:w="1843" w:type="dxa"/>
          </w:tcPr>
          <w:p w:rsidR="00BB0ED8" w:rsidRPr="00F2154F" w:rsidRDefault="00BB0ED8" w:rsidP="00BB0ED8">
            <w:pPr>
              <w:pStyle w:val="Tabletext"/>
              <w:rPr>
                <w:lang w:val="en-US"/>
              </w:rPr>
            </w:pPr>
            <w:r w:rsidRPr="00F2154F">
              <w:t>ITU-R Res.</w:t>
            </w:r>
            <w:r w:rsidRPr="00F2154F">
              <w:rPr>
                <w:lang w:val="en-US"/>
              </w:rPr>
              <w:t>67</w:t>
            </w:r>
          </w:p>
        </w:tc>
        <w:tc>
          <w:tcPr>
            <w:tcW w:w="1843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WTSA Res.70</w:t>
            </w:r>
          </w:p>
        </w:tc>
        <w:tc>
          <w:tcPr>
            <w:tcW w:w="1842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WTDC Res 58</w:t>
            </w:r>
          </w:p>
        </w:tc>
      </w:tr>
      <w:tr w:rsidR="00BB0ED8" w:rsidRPr="00F2154F" w:rsidTr="007F79EC">
        <w:tc>
          <w:tcPr>
            <w:tcW w:w="2127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Conformance &amp; Interoperability</w:t>
            </w:r>
          </w:p>
        </w:tc>
        <w:tc>
          <w:tcPr>
            <w:tcW w:w="1559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PP Res.177</w:t>
            </w:r>
          </w:p>
        </w:tc>
        <w:tc>
          <w:tcPr>
            <w:tcW w:w="1843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ITU-R Res.</w:t>
            </w:r>
            <w:r w:rsidRPr="00F2154F">
              <w:rPr>
                <w:lang w:val="ru-RU"/>
              </w:rPr>
              <w:t>62</w:t>
            </w:r>
          </w:p>
        </w:tc>
        <w:tc>
          <w:tcPr>
            <w:tcW w:w="1843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WTSA Res.76</w:t>
            </w:r>
          </w:p>
        </w:tc>
        <w:tc>
          <w:tcPr>
            <w:tcW w:w="1842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WTDC Res.47</w:t>
            </w:r>
          </w:p>
        </w:tc>
      </w:tr>
      <w:tr w:rsidR="00BB0ED8" w:rsidRPr="00217ABC" w:rsidTr="007F79EC">
        <w:tc>
          <w:tcPr>
            <w:tcW w:w="2127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Inter-Sector coordination</w:t>
            </w:r>
          </w:p>
        </w:tc>
        <w:tc>
          <w:tcPr>
            <w:tcW w:w="1559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PP Res.191</w:t>
            </w:r>
          </w:p>
        </w:tc>
        <w:tc>
          <w:tcPr>
            <w:tcW w:w="1843" w:type="dxa"/>
          </w:tcPr>
          <w:p w:rsidR="00BB0ED8" w:rsidRDefault="00BB0ED8" w:rsidP="00BB0ED8">
            <w:pPr>
              <w:pStyle w:val="Tabletext"/>
            </w:pPr>
            <w:r w:rsidRPr="00F2154F">
              <w:t>ITU-R Res.</w:t>
            </w:r>
            <w:r w:rsidRPr="00F2154F">
              <w:rPr>
                <w:lang w:val="en-US"/>
              </w:rPr>
              <w:t>6&amp;7</w:t>
            </w:r>
          </w:p>
        </w:tc>
        <w:tc>
          <w:tcPr>
            <w:tcW w:w="1843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WTSA Res.18</w:t>
            </w:r>
          </w:p>
        </w:tc>
        <w:tc>
          <w:tcPr>
            <w:tcW w:w="1842" w:type="dxa"/>
          </w:tcPr>
          <w:p w:rsidR="00BB0ED8" w:rsidRPr="00F2154F" w:rsidRDefault="00BB0ED8" w:rsidP="00BB0ED8">
            <w:pPr>
              <w:pStyle w:val="Tabletext"/>
            </w:pPr>
            <w:r w:rsidRPr="00F2154F">
              <w:t>WTDC Res.59</w:t>
            </w:r>
          </w:p>
        </w:tc>
      </w:tr>
    </w:tbl>
    <w:p w:rsidR="00BB0ED8" w:rsidRDefault="00BB0ED8" w:rsidP="00BB0ED8"/>
    <w:p w:rsidR="00BB0ED8" w:rsidRPr="005233B0" w:rsidRDefault="00BB0ED8" w:rsidP="00BB0ED8">
      <w:pPr>
        <w:rPr>
          <w:lang w:val="en-US"/>
        </w:rPr>
      </w:pPr>
      <w:r w:rsidRPr="005233B0">
        <w:rPr>
          <w:lang w:val="en-US"/>
        </w:rPr>
        <w:t>It seems appropriate, under prepa</w:t>
      </w:r>
      <w:r>
        <w:rPr>
          <w:lang w:val="en-US"/>
        </w:rPr>
        <w:t xml:space="preserve">ration for the Plenipotentiary </w:t>
      </w:r>
      <w:r w:rsidR="005C25A7">
        <w:rPr>
          <w:lang w:val="en-US"/>
        </w:rPr>
        <w:t>C</w:t>
      </w:r>
      <w:r w:rsidRPr="005233B0">
        <w:rPr>
          <w:lang w:val="en-US"/>
        </w:rPr>
        <w:t>onference, to consider the possibility and desirability for PP-18 to develop and agree on resolutions on issues, covering three or, in certain cases, two Sectors, in such a way that under consideration of the issue at the sectoral assemblies/conference, either not to apply sectoral resolutions, or their content should contain only a reference to the relevant PP resolution, those new developments and documents directly affecting the activities of a particular Sector and those that have occurred after the PP and specific instructions to this Se</w:t>
      </w:r>
      <w:bookmarkStart w:id="5" w:name="_GoBack"/>
      <w:bookmarkEnd w:id="5"/>
      <w:r w:rsidRPr="005233B0">
        <w:rPr>
          <w:lang w:val="en-US"/>
        </w:rPr>
        <w:t>ctor.</w:t>
      </w:r>
    </w:p>
    <w:p w:rsidR="00BB0ED8" w:rsidRDefault="00BB0ED8" w:rsidP="00BB0ED8">
      <w:pPr>
        <w:rPr>
          <w:lang w:val="en-US"/>
        </w:rPr>
      </w:pPr>
      <w:r w:rsidRPr="005233B0">
        <w:rPr>
          <w:lang w:val="en-US"/>
        </w:rPr>
        <w:lastRenderedPageBreak/>
        <w:t>For example, in the case of endorsement of a common approach to the appointment of Chairmen/Vice-</w:t>
      </w:r>
      <w:r>
        <w:rPr>
          <w:lang w:val="en-US"/>
        </w:rPr>
        <w:t>C</w:t>
      </w:r>
      <w:r w:rsidRPr="005233B0">
        <w:rPr>
          <w:lang w:val="en-US"/>
        </w:rPr>
        <w:t>hairmen of the SGs/Advisory groups of the sectors, there will be no need in the similar sectoral resolution and will require only an appropriate link in Resolution 1.</w:t>
      </w:r>
    </w:p>
    <w:p w:rsidR="00BB0ED8" w:rsidRPr="005233B0" w:rsidRDefault="00BB0ED8" w:rsidP="00BB0ED8">
      <w:pPr>
        <w:rPr>
          <w:lang w:val="en-US"/>
        </w:rPr>
      </w:pPr>
      <w:r>
        <w:rPr>
          <w:lang w:val="en-US"/>
        </w:rPr>
        <w:t>This approach has been supported at the February 2018 TSAG meeting.</w:t>
      </w:r>
    </w:p>
    <w:p w:rsidR="00BB0ED8" w:rsidRPr="005233B0" w:rsidRDefault="00BB0ED8" w:rsidP="00BB0ED8">
      <w:pPr>
        <w:pStyle w:val="Heading1"/>
        <w:rPr>
          <w:lang w:val="en-US"/>
        </w:rPr>
      </w:pPr>
      <w:r>
        <w:rPr>
          <w:lang w:val="en-US"/>
        </w:rPr>
        <w:t>II</w:t>
      </w:r>
      <w:r>
        <w:rPr>
          <w:lang w:val="en-US"/>
        </w:rPr>
        <w:tab/>
      </w:r>
      <w:r w:rsidRPr="005233B0">
        <w:rPr>
          <w:lang w:val="en-US"/>
        </w:rPr>
        <w:t>Proposals</w:t>
      </w:r>
    </w:p>
    <w:p w:rsidR="00BB0ED8" w:rsidRPr="005233B0" w:rsidRDefault="00BB0ED8" w:rsidP="00BB0ED8">
      <w:pPr>
        <w:rPr>
          <w:lang w:val="en-US"/>
        </w:rPr>
      </w:pPr>
      <w:r>
        <w:rPr>
          <w:lang w:val="en-US"/>
        </w:rPr>
        <w:t>2.1</w:t>
      </w:r>
      <w:r>
        <w:rPr>
          <w:lang w:val="en-US"/>
        </w:rPr>
        <w:tab/>
      </w:r>
      <w:r w:rsidRPr="005233B0">
        <w:rPr>
          <w:lang w:val="en-US"/>
        </w:rPr>
        <w:t>In prep</w:t>
      </w:r>
      <w:r w:rsidR="005C25A7">
        <w:rPr>
          <w:lang w:val="en-US"/>
        </w:rPr>
        <w:t>aration to the Plenipotentiary C</w:t>
      </w:r>
      <w:r w:rsidRPr="005233B0">
        <w:rPr>
          <w:lang w:val="en-US"/>
        </w:rPr>
        <w:t>onference and considering the revision of existing and preparation of new reso</w:t>
      </w:r>
      <w:r w:rsidR="005C25A7">
        <w:rPr>
          <w:lang w:val="en-US"/>
        </w:rPr>
        <w:t>lutions of the Plenipotentiary C</w:t>
      </w:r>
      <w:r w:rsidRPr="005233B0">
        <w:rPr>
          <w:lang w:val="en-US"/>
        </w:rPr>
        <w:t xml:space="preserve">onference to take into consideration the goals and objectives reflected in the </w:t>
      </w:r>
      <w:r>
        <w:rPr>
          <w:lang w:val="en-US"/>
        </w:rPr>
        <w:t>ITU-R part</w:t>
      </w:r>
      <w:r w:rsidRPr="005233B0">
        <w:rPr>
          <w:lang w:val="en-US"/>
        </w:rPr>
        <w:t xml:space="preserve"> </w:t>
      </w:r>
      <w:r>
        <w:rPr>
          <w:lang w:val="en-US"/>
        </w:rPr>
        <w:t xml:space="preserve">of the </w:t>
      </w:r>
      <w:r w:rsidRPr="005233B0">
        <w:rPr>
          <w:lang w:val="en-US"/>
        </w:rPr>
        <w:t>ITU Strategic Plan for 2020-2023.</w:t>
      </w:r>
    </w:p>
    <w:p w:rsidR="00BB0ED8" w:rsidRPr="005233B0" w:rsidRDefault="00BB0ED8" w:rsidP="00BB0ED8">
      <w:pPr>
        <w:rPr>
          <w:lang w:val="en-US"/>
        </w:rPr>
      </w:pPr>
      <w:r>
        <w:rPr>
          <w:lang w:val="en-US"/>
        </w:rPr>
        <w:t>2.2.</w:t>
      </w:r>
      <w:r>
        <w:rPr>
          <w:lang w:val="en-US"/>
        </w:rPr>
        <w:tab/>
      </w:r>
      <w:r w:rsidRPr="005233B0">
        <w:rPr>
          <w:lang w:val="en-US"/>
        </w:rPr>
        <w:t xml:space="preserve">According to the results of PP-18, with the assistance of the Secretariat, to identify specific instructions to the </w:t>
      </w:r>
      <w:r>
        <w:rPr>
          <w:lang w:val="en-US"/>
        </w:rPr>
        <w:t>each Sector</w:t>
      </w:r>
      <w:r w:rsidRPr="005233B0">
        <w:rPr>
          <w:lang w:val="en-US"/>
        </w:rPr>
        <w:t xml:space="preserve"> contained in the outcome documents of the PP-18, and on their basis to review the </w:t>
      </w:r>
      <w:r>
        <w:rPr>
          <w:lang w:val="en-US"/>
        </w:rPr>
        <w:t>relevant Sectoral</w:t>
      </w:r>
      <w:r w:rsidRPr="005233B0">
        <w:rPr>
          <w:lang w:val="en-US"/>
        </w:rPr>
        <w:t xml:space="preserve"> resolutions by simplifying them via links on the relevant PP resolution and to define specific instructions to the sector on the subject or by suppression of </w:t>
      </w:r>
      <w:r>
        <w:rPr>
          <w:lang w:val="en-US"/>
        </w:rPr>
        <w:t>the subordinate ITU-R</w:t>
      </w:r>
      <w:r w:rsidRPr="005233B0">
        <w:rPr>
          <w:lang w:val="en-US"/>
        </w:rPr>
        <w:t xml:space="preserve"> resolution with the reflection of the relevant requirements in another </w:t>
      </w:r>
      <w:r>
        <w:rPr>
          <w:lang w:val="en-US"/>
        </w:rPr>
        <w:t>ITU-R</w:t>
      </w:r>
      <w:r w:rsidRPr="005233B0">
        <w:rPr>
          <w:lang w:val="en-US"/>
        </w:rPr>
        <w:t xml:space="preserve"> resolution.</w:t>
      </w:r>
    </w:p>
    <w:p w:rsidR="00BB0ED8" w:rsidRDefault="00BB0ED8" w:rsidP="00BB0ED8">
      <w:pPr>
        <w:rPr>
          <w:lang w:val="en-US"/>
        </w:rPr>
      </w:pPr>
    </w:p>
    <w:p w:rsidR="00BB0ED8" w:rsidRPr="00BB0ED8" w:rsidRDefault="00BB0ED8" w:rsidP="00BB0ED8">
      <w:pPr>
        <w:jc w:val="center"/>
        <w:rPr>
          <w:lang w:val="en-US"/>
        </w:rPr>
      </w:pPr>
      <w:r>
        <w:rPr>
          <w:lang w:val="en-US"/>
        </w:rPr>
        <w:t>________________</w:t>
      </w:r>
    </w:p>
    <w:sectPr w:rsidR="00BB0ED8" w:rsidRPr="00BB0ED8" w:rsidSect="00F749FF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A5B" w:rsidRDefault="00B33A5B">
      <w:r>
        <w:separator/>
      </w:r>
    </w:p>
  </w:endnote>
  <w:endnote w:type="continuationSeparator" w:id="0">
    <w:p w:rsidR="00B33A5B" w:rsidRDefault="00B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7901E9" w:rsidRDefault="00BB0ED8" w:rsidP="00BB0ED8">
    <w:pPr>
      <w:pStyle w:val="Footer"/>
      <w:rPr>
        <w:lang w:val="en-US"/>
      </w:rPr>
    </w:pPr>
    <w:r>
      <w:fldChar w:fldCharType="begin"/>
    </w:r>
    <w:r w:rsidRPr="007901E9">
      <w:rPr>
        <w:lang w:val="en-US"/>
      </w:rPr>
      <w:instrText xml:space="preserve"> FILENAME \p \* MERGEFORMAT </w:instrText>
    </w:r>
    <w:r>
      <w:fldChar w:fldCharType="separate"/>
    </w:r>
    <w:r w:rsidR="007901E9" w:rsidRPr="007901E9">
      <w:rPr>
        <w:lang w:val="en-US"/>
      </w:rPr>
      <w:t>Y:\APP\BR\POOL\RAG-18\DOC\011E.DOCX</w:t>
    </w:r>
    <w:r>
      <w:rPr>
        <w:lang w:val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7901E9" w:rsidRDefault="001E41A0" w:rsidP="00BB0ED8">
    <w:pPr>
      <w:pStyle w:val="Footer"/>
      <w:rPr>
        <w:lang w:val="en-US"/>
      </w:rPr>
    </w:pPr>
    <w:r>
      <w:fldChar w:fldCharType="begin"/>
    </w:r>
    <w:r w:rsidRPr="007901E9">
      <w:rPr>
        <w:lang w:val="en-US"/>
      </w:rPr>
      <w:instrText xml:space="preserve"> FILENAME \p \* MERGEFORMAT </w:instrText>
    </w:r>
    <w:r>
      <w:fldChar w:fldCharType="separate"/>
    </w:r>
    <w:r w:rsidR="007901E9" w:rsidRPr="007901E9">
      <w:rPr>
        <w:lang w:val="en-US"/>
      </w:rPr>
      <w:t>Y:\APP\BR\POOL\RAG-18\DOC\011E.DOCX</w:t>
    </w:r>
    <w:r>
      <w:rPr>
        <w:lang w:val="es-ES_tradnl"/>
      </w:rPr>
      <w:fldChar w:fldCharType="end"/>
    </w:r>
    <w:r w:rsidR="0095426A" w:rsidRPr="007901E9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A5B" w:rsidRDefault="00B33A5B">
      <w:r>
        <w:t>____________________</w:t>
      </w:r>
    </w:p>
  </w:footnote>
  <w:footnote w:type="continuationSeparator" w:id="0">
    <w:p w:rsidR="00B33A5B" w:rsidRDefault="00B33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7901E9">
      <w:rPr>
        <w:noProof/>
      </w:rPr>
      <w:t>2</w:t>
    </w:r>
    <w:r>
      <w:rPr>
        <w:noProof/>
      </w:rPr>
      <w:fldChar w:fldCharType="end"/>
    </w:r>
  </w:p>
  <w:p w:rsidR="0095426A" w:rsidRDefault="00597657" w:rsidP="00FF1290">
    <w:pPr>
      <w:pStyle w:val="Header"/>
      <w:rPr>
        <w:lang w:val="es-ES"/>
      </w:rPr>
    </w:pPr>
    <w:r>
      <w:rPr>
        <w:lang w:val="es-ES"/>
      </w:rPr>
      <w:t>RAG</w:t>
    </w:r>
    <w:r w:rsidR="001632FD">
      <w:rPr>
        <w:lang w:val="es-ES"/>
      </w:rPr>
      <w:t>1</w:t>
    </w:r>
    <w:r w:rsidR="00FF1290">
      <w:rPr>
        <w:lang w:val="es-ES"/>
      </w:rPr>
      <w:t>8</w:t>
    </w:r>
    <w:r w:rsidR="00BB0ED8">
      <w:rPr>
        <w:lang w:val="es-ES"/>
      </w:rPr>
      <w:t>/11</w:t>
    </w:r>
    <w:r w:rsidR="0095426A"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5B"/>
    <w:rsid w:val="00093C73"/>
    <w:rsid w:val="000F2431"/>
    <w:rsid w:val="001377D6"/>
    <w:rsid w:val="001632FD"/>
    <w:rsid w:val="001E41A0"/>
    <w:rsid w:val="002774E4"/>
    <w:rsid w:val="002F4DA3"/>
    <w:rsid w:val="003D068D"/>
    <w:rsid w:val="003E2CE2"/>
    <w:rsid w:val="00481551"/>
    <w:rsid w:val="004F0848"/>
    <w:rsid w:val="00507DA3"/>
    <w:rsid w:val="0051782D"/>
    <w:rsid w:val="00597657"/>
    <w:rsid w:val="005B2C58"/>
    <w:rsid w:val="005C25A7"/>
    <w:rsid w:val="00656189"/>
    <w:rsid w:val="006B4CFB"/>
    <w:rsid w:val="00746923"/>
    <w:rsid w:val="007901E9"/>
    <w:rsid w:val="00806E63"/>
    <w:rsid w:val="0081028D"/>
    <w:rsid w:val="00821EAE"/>
    <w:rsid w:val="008B3F50"/>
    <w:rsid w:val="00906598"/>
    <w:rsid w:val="0095426A"/>
    <w:rsid w:val="00971BF2"/>
    <w:rsid w:val="009D27EC"/>
    <w:rsid w:val="00A16CB2"/>
    <w:rsid w:val="00A8280A"/>
    <w:rsid w:val="00B33A5B"/>
    <w:rsid w:val="00B35BE4"/>
    <w:rsid w:val="00B409FB"/>
    <w:rsid w:val="00B52992"/>
    <w:rsid w:val="00BB0ED8"/>
    <w:rsid w:val="00C322C4"/>
    <w:rsid w:val="00CC1D49"/>
    <w:rsid w:val="00CD4D80"/>
    <w:rsid w:val="00CE366B"/>
    <w:rsid w:val="00CF7532"/>
    <w:rsid w:val="00D211BC"/>
    <w:rsid w:val="00DC3B29"/>
    <w:rsid w:val="00DD3BF8"/>
    <w:rsid w:val="00EC0BE3"/>
    <w:rsid w:val="00F749FF"/>
    <w:rsid w:val="00FC1E29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BFA604-4F2E-42CF-AB8C-41752DA4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table" w:styleId="TableGrid">
    <w:name w:val="Table Grid"/>
    <w:basedOn w:val="TableNormal"/>
    <w:uiPriority w:val="39"/>
    <w:rsid w:val="00BB0ED8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CPDU\Meeting%20Preparation\2018\10.%20RAG%202018%20(Geneva,%2026-29%20March%202018)\Documents\Templates\PE_RAG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PE_RAG18.dotm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>PE_RAG10.dotm  For: _x000d_Document date: _x000d_Saved by TRA44246 at 12:32:17 on 12.02.2010</dc:description>
  <cp:lastModifiedBy>BR</cp:lastModifiedBy>
  <cp:revision>3</cp:revision>
  <cp:lastPrinted>1999-09-30T15:03:00Z</cp:lastPrinted>
  <dcterms:created xsi:type="dcterms:W3CDTF">2018-03-12T15:56:00Z</dcterms:created>
  <dcterms:modified xsi:type="dcterms:W3CDTF">2018-03-12T15:57:00Z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