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521"/>
        <w:gridCol w:w="3368"/>
      </w:tblGrid>
      <w:tr w:rsidR="0020275A" w:rsidRPr="002A4C22" w:rsidTr="00FD7F60">
        <w:trPr>
          <w:cantSplit/>
        </w:trPr>
        <w:tc>
          <w:tcPr>
            <w:tcW w:w="6521" w:type="dxa"/>
            <w:vAlign w:val="center"/>
          </w:tcPr>
          <w:p w:rsidR="0020275A" w:rsidRPr="002A4C22" w:rsidRDefault="0020275A" w:rsidP="00E3454E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2A4C2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2A4C2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2A4C22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E3454E" w:rsidRPr="002A4C22">
              <w:rPr>
                <w:rFonts w:ascii="Verdana" w:hAnsi="Verdana"/>
                <w:b/>
                <w:bCs/>
                <w:sz w:val="18"/>
                <w:szCs w:val="16"/>
              </w:rPr>
              <w:t>26–29 марта 2018</w:t>
            </w:r>
            <w:r w:rsidRPr="002A4C22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368" w:type="dxa"/>
            <w:vAlign w:val="center"/>
          </w:tcPr>
          <w:p w:rsidR="0020275A" w:rsidRPr="002A4C22" w:rsidRDefault="0020275A" w:rsidP="004A34F8">
            <w:pPr>
              <w:shd w:val="solid" w:color="FFFFFF" w:fill="FFFFFF"/>
              <w:spacing w:before="0"/>
              <w:jc w:val="right"/>
            </w:pPr>
            <w:r w:rsidRPr="002A4C22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2A4C22" w:rsidTr="00FD7F6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1782D" w:rsidRPr="002A4C2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1782D" w:rsidRPr="002A4C22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2A4C22" w:rsidTr="00FD7F60">
        <w:trPr>
          <w:cantSplit/>
          <w:trHeight w:val="98"/>
        </w:trPr>
        <w:tc>
          <w:tcPr>
            <w:tcW w:w="6521" w:type="dxa"/>
            <w:tcBorders>
              <w:top w:val="single" w:sz="12" w:space="0" w:color="auto"/>
            </w:tcBorders>
          </w:tcPr>
          <w:p w:rsidR="0051782D" w:rsidRPr="002A4C2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1782D" w:rsidRPr="002A4C22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2A4C22" w:rsidTr="00FD7F60">
        <w:trPr>
          <w:cantSplit/>
        </w:trPr>
        <w:tc>
          <w:tcPr>
            <w:tcW w:w="6521" w:type="dxa"/>
            <w:vMerge w:val="restart"/>
          </w:tcPr>
          <w:p w:rsidR="0051782D" w:rsidRPr="002A4C22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368" w:type="dxa"/>
          </w:tcPr>
          <w:p w:rsidR="0051782D" w:rsidRPr="002A4C22" w:rsidRDefault="00FD7F60" w:rsidP="00E345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A4C22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</w:t>
            </w:r>
            <w:r w:rsidR="00E3454E" w:rsidRPr="002A4C22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A4C22">
              <w:rPr>
                <w:rFonts w:ascii="Verdana" w:hAnsi="Verdana"/>
                <w:b/>
                <w:sz w:val="18"/>
                <w:szCs w:val="18"/>
              </w:rPr>
              <w:br/>
              <w:t xml:space="preserve">к </w:t>
            </w:r>
            <w:r w:rsidR="006262A3" w:rsidRPr="002A4C2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Pr="002A4C22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2A4C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2A4C22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2A4C2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3454E" w:rsidRPr="002A4C22">
              <w:rPr>
                <w:rFonts w:ascii="Verdana" w:hAnsi="Verdana"/>
                <w:b/>
                <w:sz w:val="18"/>
                <w:szCs w:val="18"/>
              </w:rPr>
              <w:t>8</w:t>
            </w:r>
            <w:proofErr w:type="spellEnd"/>
            <w:r w:rsidR="00BD7223" w:rsidRPr="002A4C22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2A4C2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D7223" w:rsidRPr="002A4C2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2A4C2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2A4C22" w:rsidTr="00FD7F60">
        <w:trPr>
          <w:cantSplit/>
        </w:trPr>
        <w:tc>
          <w:tcPr>
            <w:tcW w:w="6521" w:type="dxa"/>
            <w:vMerge/>
          </w:tcPr>
          <w:p w:rsidR="0051782D" w:rsidRPr="002A4C2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368" w:type="dxa"/>
          </w:tcPr>
          <w:p w:rsidR="0051782D" w:rsidRPr="002A4C22" w:rsidRDefault="00E3454E" w:rsidP="009E6B6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A4C22">
              <w:rPr>
                <w:rFonts w:ascii="Verdana" w:hAnsi="Verdana"/>
                <w:b/>
                <w:sz w:val="18"/>
                <w:szCs w:val="18"/>
              </w:rPr>
              <w:t>13 февраля 2018</w:t>
            </w:r>
            <w:r w:rsidR="006262A3" w:rsidRPr="002A4C2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2A4C22" w:rsidTr="00FD7F60">
        <w:trPr>
          <w:cantSplit/>
        </w:trPr>
        <w:tc>
          <w:tcPr>
            <w:tcW w:w="6521" w:type="dxa"/>
            <w:vMerge/>
          </w:tcPr>
          <w:p w:rsidR="0051782D" w:rsidRPr="002A4C2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368" w:type="dxa"/>
          </w:tcPr>
          <w:p w:rsidR="0051782D" w:rsidRPr="002A4C22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2A4C2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2A4C2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2A4C22" w:rsidTr="00675D35">
        <w:trPr>
          <w:cantSplit/>
        </w:trPr>
        <w:tc>
          <w:tcPr>
            <w:tcW w:w="9889" w:type="dxa"/>
            <w:gridSpan w:val="2"/>
          </w:tcPr>
          <w:p w:rsidR="00093C73" w:rsidRPr="002A4C22" w:rsidRDefault="0002661B" w:rsidP="004A34F8">
            <w:pPr>
              <w:pStyle w:val="Source"/>
            </w:pPr>
            <w:bookmarkStart w:id="3" w:name="dsource" w:colFirst="0" w:colLast="0"/>
            <w:bookmarkEnd w:id="2"/>
            <w:r w:rsidRPr="002A4C22">
              <w:t>Директор Бюро радиосвязи</w:t>
            </w:r>
          </w:p>
        </w:tc>
      </w:tr>
      <w:tr w:rsidR="00093C73" w:rsidRPr="002A4C22" w:rsidTr="00675D35">
        <w:trPr>
          <w:cantSplit/>
        </w:trPr>
        <w:tc>
          <w:tcPr>
            <w:tcW w:w="9889" w:type="dxa"/>
            <w:gridSpan w:val="2"/>
          </w:tcPr>
          <w:p w:rsidR="00093C73" w:rsidRPr="002A4C22" w:rsidRDefault="009D02C5" w:rsidP="00041BBA">
            <w:pPr>
              <w:pStyle w:val="Title1"/>
            </w:pPr>
            <w:bookmarkStart w:id="4" w:name="dtitle1" w:colFirst="0" w:colLast="0"/>
            <w:bookmarkEnd w:id="3"/>
            <w:r w:rsidRPr="002A4C22">
              <w:t xml:space="preserve">ПРОЕКТ ЧЕТЫРЕХГОДИЧНОГО СКОЛЬЗЯЩЕГО ОПЕРАТИВНОГО ПЛАНА </w:t>
            </w:r>
            <w:r w:rsidRPr="002A4C22">
              <w:br/>
              <w:t>СЕКТОРА РАДИОСВЯЗИ НА 2019–2022 ГОДЫ</w:t>
            </w:r>
          </w:p>
        </w:tc>
      </w:tr>
      <w:tr w:rsidR="00041BBA" w:rsidRPr="002A4C22" w:rsidTr="00675D35">
        <w:trPr>
          <w:cantSplit/>
        </w:trPr>
        <w:tc>
          <w:tcPr>
            <w:tcW w:w="9889" w:type="dxa"/>
            <w:gridSpan w:val="2"/>
          </w:tcPr>
          <w:p w:rsidR="00041BBA" w:rsidRPr="002A4C22" w:rsidRDefault="00041BBA" w:rsidP="00E3454E">
            <w:pPr>
              <w:pStyle w:val="Title2"/>
            </w:pPr>
          </w:p>
        </w:tc>
      </w:tr>
    </w:tbl>
    <w:p w:rsidR="009D02C5" w:rsidRPr="002A4C22" w:rsidRDefault="009D02C5"/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D02C5" w:rsidRPr="002A4C22" w:rsidTr="009D02C5">
        <w:trPr>
          <w:trHeight w:val="1481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bookmarkEnd w:id="4"/>
          <w:p w:rsidR="009D02C5" w:rsidRPr="002A4C22" w:rsidRDefault="009D02C5">
            <w:pPr>
              <w:pStyle w:val="Headingb"/>
              <w:rPr>
                <w:rFonts w:ascii="Times New Roman" w:hAnsi="Times New Roman"/>
                <w:lang w:val="ru-RU"/>
              </w:rPr>
            </w:pPr>
            <w:r w:rsidRPr="002A4C22">
              <w:rPr>
                <w:rFonts w:ascii="Times New Roman" w:hAnsi="Times New Roman"/>
                <w:lang w:val="ru-RU"/>
              </w:rPr>
              <w:t>Резюме</w:t>
            </w:r>
          </w:p>
          <w:p w:rsidR="009D02C5" w:rsidRPr="002A4C22" w:rsidRDefault="009D02C5" w:rsidP="008231BE">
            <w:pPr>
              <w:rPr>
                <w:rFonts w:eastAsia="Calibri"/>
              </w:rPr>
            </w:pPr>
            <w:r w:rsidRPr="002A4C22">
              <w:rPr>
                <w:rFonts w:eastAsia="Calibri"/>
              </w:rPr>
              <w:t>В прилагаемом документе представлен проект четырехгодичного скользящего плана для Сектора радиосвязи (МСЭ-R) на период 2019–2022 годов.</w:t>
            </w:r>
          </w:p>
          <w:p w:rsidR="009D02C5" w:rsidRPr="002A4C22" w:rsidRDefault="009D02C5" w:rsidP="009D02C5">
            <w:pPr>
              <w:spacing w:after="120"/>
              <w:rPr>
                <w:b/>
                <w:bCs/>
              </w:rPr>
            </w:pPr>
            <w:r w:rsidRPr="002A4C22">
              <w:t xml:space="preserve">КГР предлагается рассмотреть этот документ </w:t>
            </w:r>
            <w:r w:rsidRPr="002A4C22">
              <w:rPr>
                <w:color w:val="000000"/>
              </w:rPr>
              <w:t>и представить руководящие указания, которые она сочтет необходимыми</w:t>
            </w:r>
            <w:r w:rsidRPr="002A4C22">
              <w:t>.</w:t>
            </w:r>
          </w:p>
        </w:tc>
      </w:tr>
    </w:tbl>
    <w:p w:rsidR="009D02C5" w:rsidRPr="002A4C22" w:rsidRDefault="009D02C5" w:rsidP="009D02C5"/>
    <w:p w:rsidR="0029690D" w:rsidRPr="002A4C22" w:rsidRDefault="0029690D" w:rsidP="0029690D">
      <w:pPr>
        <w:sectPr w:rsidR="0029690D" w:rsidRPr="002A4C22" w:rsidSect="00A05ABB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7C085D" w:rsidRPr="002A4C22" w:rsidRDefault="007C085D" w:rsidP="007C085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1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Введение</w:t>
      </w:r>
    </w:p>
    <w:p w:rsidR="007C085D" w:rsidRPr="002A4C22" w:rsidRDefault="007C085D" w:rsidP="006D600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 w:rsidR="006D6001" w:rsidRPr="002A4C22">
        <w:rPr>
          <w:rFonts w:ascii="Calibri" w:hAnsi="Calibri"/>
          <w:szCs w:val="22"/>
        </w:rPr>
        <w:t>9</w:t>
      </w:r>
      <w:r w:rsidRPr="002A4C22">
        <w:rPr>
          <w:rFonts w:ascii="Calibri" w:hAnsi="Calibri"/>
          <w:szCs w:val="22"/>
        </w:rPr>
        <w:t>−202</w:t>
      </w:r>
      <w:r w:rsidR="006D6001" w:rsidRPr="002A4C22">
        <w:rPr>
          <w:rFonts w:ascii="Calibri" w:hAnsi="Calibri"/>
          <w:szCs w:val="22"/>
        </w:rPr>
        <w:t>2</w:t>
      </w:r>
      <w:r w:rsidRPr="002A4C22">
        <w:rPr>
          <w:rFonts w:ascii="Calibri" w:hAnsi="Calibri"/>
          <w:szCs w:val="22"/>
        </w:rPr>
        <w:t> годы в рамках ограничений, установленных в Финансовом плане на 201</w:t>
      </w:r>
      <w:r w:rsidR="006D6001" w:rsidRPr="002A4C22">
        <w:rPr>
          <w:rFonts w:ascii="Calibri" w:hAnsi="Calibri"/>
          <w:szCs w:val="22"/>
        </w:rPr>
        <w:t>9</w:t>
      </w:r>
      <w:r w:rsidRPr="002A4C22">
        <w:rPr>
          <w:rFonts w:ascii="Calibri" w:hAnsi="Calibri"/>
          <w:szCs w:val="22"/>
        </w:rPr>
        <w:t>–202</w:t>
      </w:r>
      <w:r w:rsidR="006D6001" w:rsidRPr="002A4C22">
        <w:rPr>
          <w:rFonts w:ascii="Calibri" w:hAnsi="Calibri"/>
          <w:szCs w:val="22"/>
        </w:rPr>
        <w:t>2</w:t>
      </w:r>
      <w:r w:rsidRPr="002A4C22">
        <w:rPr>
          <w:rFonts w:ascii="Calibri" w:hAnsi="Calibri"/>
          <w:szCs w:val="22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7C085D" w:rsidRPr="002A4C22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7C085D" w:rsidRPr="002A4C22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i)</w:t>
      </w:r>
      <w:r w:rsidRPr="002A4C22">
        <w:rPr>
          <w:rFonts w:ascii="Calibri" w:hAnsi="Calibri"/>
          <w:szCs w:val="22"/>
        </w:rPr>
        <w:tab/>
        <w:t>планами работы департаментов и отделов БР; и</w:t>
      </w:r>
    </w:p>
    <w:p w:rsidR="007C085D" w:rsidRPr="002A4C22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 w:after="12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ii)</w:t>
      </w:r>
      <w:r w:rsidRPr="002A4C22">
        <w:rPr>
          <w:rFonts w:ascii="Calibri" w:hAnsi="Calibri"/>
          <w:szCs w:val="22"/>
        </w:rPr>
        <w:tab/>
        <w:t>соглашениями об уровне обслуживания (</w:t>
      </w:r>
      <w:proofErr w:type="spellStart"/>
      <w:r w:rsidRPr="002A4C22">
        <w:rPr>
          <w:rFonts w:ascii="Calibri" w:hAnsi="Calibri"/>
          <w:szCs w:val="22"/>
        </w:rPr>
        <w:t>СУО</w:t>
      </w:r>
      <w:proofErr w:type="spellEnd"/>
      <w:r w:rsidRPr="002A4C22">
        <w:rPr>
          <w:rFonts w:ascii="Calibri" w:hAnsi="Calibri"/>
          <w:szCs w:val="22"/>
        </w:rPr>
        <w:t>) для планирования, контроля и оценки вспомогательных услуг.</w:t>
      </w:r>
    </w:p>
    <w:p w:rsidR="007C085D" w:rsidRPr="002A4C22" w:rsidRDefault="007C085D" w:rsidP="007C085D">
      <w:pPr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center"/>
        <w:textAlignment w:val="auto"/>
        <w:rPr>
          <w:rFonts w:ascii="Calibri" w:hAnsi="Calibri"/>
          <w:b/>
        </w:rPr>
      </w:pPr>
      <w:r w:rsidRPr="002A4C22">
        <w:rPr>
          <w:rFonts w:ascii="Calibri" w:hAnsi="Calibri"/>
          <w:b/>
        </w:rPr>
        <w:object w:dxaOrig="9225" w:dyaOrig="5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15pt;height:294.9pt" o:ole="">
            <v:imagedata r:id="rId11" o:title="" croptop="14698f" cropbottom="1615f" cropleft="4070f" cropright="4009f"/>
          </v:shape>
          <o:OLEObject Type="Embed" ProgID="PowerPoint.Slide.12" ShapeID="_x0000_i1025" DrawAspect="Content" ObjectID="_1581843926" r:id="rId12"/>
        </w:object>
      </w:r>
    </w:p>
    <w:p w:rsidR="000D16D3" w:rsidRPr="002A4C22" w:rsidRDefault="007C085D" w:rsidP="000D16D3">
      <w:pPr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  <w:jc w:val="center"/>
        <w:textAlignment w:val="auto"/>
        <w:rPr>
          <w:rFonts w:ascii="Calibri" w:hAnsi="Calibri"/>
          <w:b/>
        </w:rPr>
      </w:pPr>
      <w:r w:rsidRPr="002A4C22">
        <w:rPr>
          <w:rFonts w:ascii="Calibri" w:hAnsi="Calibri"/>
          <w:b/>
        </w:rPr>
        <w:t>Рисунок 1: Оперативный план МСЭ-R и стратегическая основа МСЭ на 2016–2019 годы</w:t>
      </w:r>
      <w:r w:rsidR="000D16D3" w:rsidRPr="002A4C22">
        <w:rPr>
          <w:rFonts w:ascii="Calibri" w:hAnsi="Calibri"/>
          <w:b/>
        </w:rPr>
        <w:br w:type="page"/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2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Общие сведения и ключевые приоритеты применительно к Сектору МСЭ-R</w:t>
      </w:r>
    </w:p>
    <w:p w:rsidR="000D16D3" w:rsidRPr="002A4C22" w:rsidRDefault="000D16D3" w:rsidP="00281FB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Период 201</w:t>
      </w:r>
      <w:r w:rsidR="006D6001" w:rsidRPr="002A4C22">
        <w:rPr>
          <w:rFonts w:ascii="Calibri" w:hAnsi="Calibri"/>
          <w:szCs w:val="22"/>
        </w:rPr>
        <w:t>9</w:t>
      </w:r>
      <w:r w:rsidRPr="002A4C22">
        <w:rPr>
          <w:rFonts w:ascii="Calibri" w:hAnsi="Calibri"/>
          <w:szCs w:val="22"/>
        </w:rPr>
        <w:t>−202</w:t>
      </w:r>
      <w:r w:rsidR="006D6001" w:rsidRPr="002A4C22">
        <w:rPr>
          <w:rFonts w:ascii="Calibri" w:hAnsi="Calibri"/>
          <w:szCs w:val="22"/>
        </w:rPr>
        <w:t>2</w:t>
      </w:r>
      <w:r w:rsidRPr="002A4C22">
        <w:rPr>
          <w:rFonts w:ascii="Calibri" w:hAnsi="Calibri"/>
          <w:szCs w:val="22"/>
        </w:rPr>
        <w:t xml:space="preserve"> годов будет ознаменован </w:t>
      </w:r>
      <w:r w:rsidR="006D6001" w:rsidRPr="002A4C22">
        <w:rPr>
          <w:rFonts w:ascii="Calibri" w:hAnsi="Calibri"/>
          <w:szCs w:val="22"/>
        </w:rPr>
        <w:t xml:space="preserve">проведением </w:t>
      </w:r>
      <w:r w:rsidRPr="002A4C22">
        <w:rPr>
          <w:rFonts w:ascii="Calibri" w:hAnsi="Calibri"/>
          <w:szCs w:val="22"/>
        </w:rPr>
        <w:t>АР-1</w:t>
      </w:r>
      <w:r w:rsidR="006D6001" w:rsidRPr="002A4C22">
        <w:rPr>
          <w:rFonts w:ascii="Calibri" w:hAnsi="Calibri"/>
          <w:szCs w:val="22"/>
        </w:rPr>
        <w:t>9</w:t>
      </w:r>
      <w:r w:rsidRPr="002A4C22">
        <w:rPr>
          <w:rFonts w:ascii="Calibri" w:hAnsi="Calibri"/>
          <w:szCs w:val="22"/>
        </w:rPr>
        <w:t xml:space="preserve"> и ВКР-1</w:t>
      </w:r>
      <w:r w:rsidR="006D6001" w:rsidRPr="002A4C22">
        <w:rPr>
          <w:rFonts w:ascii="Calibri" w:hAnsi="Calibri"/>
          <w:szCs w:val="22"/>
        </w:rPr>
        <w:t>9</w:t>
      </w:r>
      <w:r w:rsidRPr="002A4C22">
        <w:rPr>
          <w:rFonts w:ascii="Calibri" w:hAnsi="Calibri"/>
          <w:szCs w:val="22"/>
        </w:rPr>
        <w:t xml:space="preserve">, </w:t>
      </w:r>
      <w:r w:rsidR="00281FB1" w:rsidRPr="002A4C22">
        <w:rPr>
          <w:rFonts w:ascii="Calibri" w:hAnsi="Calibri"/>
          <w:szCs w:val="22"/>
        </w:rPr>
        <w:t>завершением подготовки к ним и выполнением их решений</w:t>
      </w:r>
      <w:r w:rsidRPr="002A4C22">
        <w:rPr>
          <w:rFonts w:ascii="Calibri" w:hAnsi="Calibri"/>
          <w:szCs w:val="22"/>
        </w:rPr>
        <w:t>, а также разработкой ключевых стандартов и передового опыта в области радиосвязи</w:t>
      </w:r>
      <w:r w:rsidR="00281FB1" w:rsidRPr="002A4C22">
        <w:rPr>
          <w:rFonts w:ascii="Calibri" w:hAnsi="Calibri"/>
          <w:szCs w:val="22"/>
        </w:rPr>
        <w:t xml:space="preserve">, в том числе внедрением спецификаций </w:t>
      </w:r>
      <w:proofErr w:type="spellStart"/>
      <w:r w:rsidR="00281FB1" w:rsidRPr="002A4C22">
        <w:rPr>
          <w:rFonts w:ascii="Calibri" w:hAnsi="Calibri"/>
          <w:szCs w:val="22"/>
        </w:rPr>
        <w:t>радиоинтерфейса</w:t>
      </w:r>
      <w:proofErr w:type="spellEnd"/>
      <w:r w:rsidR="00281FB1" w:rsidRPr="002A4C22">
        <w:rPr>
          <w:rFonts w:ascii="Calibri" w:hAnsi="Calibri"/>
          <w:szCs w:val="22"/>
        </w:rPr>
        <w:t xml:space="preserve"> IMT-2020 (5G)</w:t>
      </w:r>
      <w:r w:rsidRPr="002A4C22">
        <w:rPr>
          <w:rFonts w:ascii="Calibri" w:hAnsi="Calibri"/>
          <w:szCs w:val="22"/>
        </w:rPr>
        <w:t>. Ниже перечислены важнейшие вопросы в разбивке по четырем направлениям оперативной деятельности Сектора МСЭ</w:t>
      </w:r>
      <w:r w:rsidRPr="002A4C22">
        <w:rPr>
          <w:rFonts w:ascii="Calibri" w:hAnsi="Calibri"/>
          <w:szCs w:val="22"/>
        </w:rPr>
        <w:noBreakHyphen/>
        <w:t>R и направлениям вспомогательной деятельности Бюро радиосвязи: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2.1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2A4C22" w:rsidRDefault="000D16D3" w:rsidP="00281FB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</w:r>
      <w:r w:rsidR="00281FB1" w:rsidRPr="002A4C22">
        <w:rPr>
          <w:rFonts w:ascii="Calibri" w:hAnsi="Calibri"/>
          <w:szCs w:val="22"/>
        </w:rPr>
        <w:t>Проведение ВКР-19 и выполнение ее решений</w:t>
      </w:r>
      <w:r w:rsidRPr="002A4C22">
        <w:rPr>
          <w:rFonts w:ascii="Calibri" w:hAnsi="Calibri"/>
          <w:szCs w:val="22"/>
        </w:rPr>
        <w:t>.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 xml:space="preserve">Принятие </w:t>
      </w:r>
      <w:proofErr w:type="spellStart"/>
      <w:r w:rsidRPr="002A4C22">
        <w:rPr>
          <w:rFonts w:ascii="Calibri" w:hAnsi="Calibri"/>
          <w:szCs w:val="22"/>
        </w:rPr>
        <w:t>РРК</w:t>
      </w:r>
      <w:proofErr w:type="spellEnd"/>
      <w:r w:rsidRPr="002A4C22">
        <w:rPr>
          <w:rFonts w:ascii="Calibri" w:hAnsi="Calibri"/>
          <w:szCs w:val="22"/>
        </w:rPr>
        <w:t xml:space="preserve"> соответствующих Правил процедуры.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2.2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2A4C22" w:rsidRDefault="000D16D3" w:rsidP="00BC10C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</w:r>
      <w:r w:rsidR="00BC10CD" w:rsidRPr="002A4C22">
        <w:rPr>
          <w:rFonts w:asciiTheme="minorHAnsi" w:hAnsiTheme="minorHAnsi"/>
          <w:szCs w:val="22"/>
        </w:rPr>
        <w:t>Р</w:t>
      </w:r>
      <w:r w:rsidRPr="002A4C22">
        <w:rPr>
          <w:rFonts w:asciiTheme="minorHAnsi" w:hAnsiTheme="minorHAnsi"/>
          <w:szCs w:val="22"/>
        </w:rPr>
        <w:t>азработк</w:t>
      </w:r>
      <w:r w:rsidR="00BC10CD" w:rsidRPr="002A4C22">
        <w:rPr>
          <w:rFonts w:asciiTheme="minorHAnsi" w:hAnsiTheme="minorHAnsi"/>
          <w:szCs w:val="22"/>
        </w:rPr>
        <w:t>а</w:t>
      </w:r>
      <w:r w:rsidRPr="002A4C22">
        <w:rPr>
          <w:rFonts w:asciiTheme="minorHAnsi" w:hAnsiTheme="minorHAnsi"/>
          <w:szCs w:val="22"/>
        </w:rPr>
        <w:t xml:space="preserve"> и предоставлени</w:t>
      </w:r>
      <w:r w:rsidR="00BC10CD" w:rsidRPr="002A4C22">
        <w:rPr>
          <w:rFonts w:asciiTheme="minorHAnsi" w:hAnsiTheme="minorHAnsi"/>
          <w:szCs w:val="22"/>
        </w:rPr>
        <w:t>е</w:t>
      </w:r>
      <w:r w:rsidRPr="002A4C22">
        <w:rPr>
          <w:rFonts w:asciiTheme="minorHAnsi" w:hAnsiTheme="minorHAnsi"/>
          <w:szCs w:val="22"/>
        </w:rPr>
        <w:t xml:space="preserve"> </w:t>
      </w:r>
      <w:r w:rsidR="00BC10CD" w:rsidRPr="002A4C22">
        <w:rPr>
          <w:rFonts w:asciiTheme="minorHAnsi" w:hAnsiTheme="minorHAnsi"/>
          <w:szCs w:val="22"/>
        </w:rPr>
        <w:t>Ч</w:t>
      </w:r>
      <w:r w:rsidRPr="002A4C22">
        <w:rPr>
          <w:rFonts w:asciiTheme="minorHAnsi" w:hAnsiTheme="minorHAnsi"/>
          <w:szCs w:val="22"/>
        </w:rPr>
        <w:t>ленам МСЭ программных инструментов</w:t>
      </w:r>
      <w:r w:rsidR="00BC10CD" w:rsidRPr="002A4C22">
        <w:rPr>
          <w:rFonts w:asciiTheme="minorHAnsi" w:hAnsiTheme="minorHAnsi"/>
          <w:szCs w:val="22"/>
        </w:rPr>
        <w:t xml:space="preserve">, касающихся </w:t>
      </w:r>
      <w:r w:rsidR="00BC10CD" w:rsidRPr="002A4C22">
        <w:rPr>
          <w:rFonts w:asciiTheme="minorHAnsi" w:hAnsiTheme="minorHAnsi"/>
          <w:color w:val="000000"/>
        </w:rPr>
        <w:t>применения Регламента радиосвязи и соответствующих Правил процедуры</w:t>
      </w:r>
      <w:r w:rsidRPr="002A4C22">
        <w:rPr>
          <w:rFonts w:asciiTheme="minorHAnsi" w:hAnsiTheme="minorHAnsi"/>
          <w:szCs w:val="22"/>
        </w:rPr>
        <w:t>.</w:t>
      </w:r>
      <w:r w:rsidRPr="002A4C22">
        <w:rPr>
          <w:rFonts w:ascii="Calibri" w:hAnsi="Calibri"/>
          <w:szCs w:val="22"/>
        </w:rPr>
        <w:t xml:space="preserve"> 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</w:t>
      </w:r>
      <w:proofErr w:type="spellStart"/>
      <w:r w:rsidRPr="002A4C22">
        <w:rPr>
          <w:rFonts w:ascii="Calibri" w:hAnsi="Calibri"/>
          <w:szCs w:val="22"/>
        </w:rPr>
        <w:t>МСРЧ</w:t>
      </w:r>
      <w:proofErr w:type="spellEnd"/>
      <w:r w:rsidRPr="002A4C22">
        <w:rPr>
          <w:rFonts w:ascii="Calibri" w:hAnsi="Calibri"/>
          <w:szCs w:val="22"/>
        </w:rPr>
        <w:t>) и Планов и Списков присвоений и/или выделений.</w:t>
      </w:r>
    </w:p>
    <w:p w:rsidR="000D16D3" w:rsidRPr="002A4C22" w:rsidRDefault="000D16D3" w:rsidP="00281FB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 xml:space="preserve">Контроль случаев вредных помех и, в более общем смысле, </w:t>
      </w:r>
      <w:r w:rsidR="00281FB1" w:rsidRPr="002A4C22">
        <w:rPr>
          <w:rFonts w:ascii="Calibri" w:hAnsi="Calibri"/>
          <w:szCs w:val="22"/>
        </w:rPr>
        <w:t>разногласий</w:t>
      </w:r>
      <w:r w:rsidRPr="002A4C22">
        <w:rPr>
          <w:rFonts w:ascii="Calibri" w:hAnsi="Calibri"/>
          <w:szCs w:val="22"/>
        </w:rPr>
        <w:t>, возникающих при совместном использовании ресурсов орбиты/спектра, а также урегулирование этих случаев.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2.3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0D16D3" w:rsidRPr="002A4C22" w:rsidRDefault="000D16D3" w:rsidP="003D64F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Подготовка к АР-19</w:t>
      </w:r>
      <w:r w:rsidR="00281FB1" w:rsidRPr="002A4C22">
        <w:rPr>
          <w:rFonts w:ascii="Calibri" w:hAnsi="Calibri"/>
          <w:szCs w:val="22"/>
        </w:rPr>
        <w:t>,</w:t>
      </w:r>
      <w:r w:rsidRPr="002A4C22">
        <w:rPr>
          <w:rFonts w:ascii="Calibri" w:hAnsi="Calibri"/>
          <w:szCs w:val="22"/>
        </w:rPr>
        <w:t xml:space="preserve"> ВКР-19</w:t>
      </w:r>
      <w:r w:rsidR="00281FB1" w:rsidRPr="002A4C22">
        <w:rPr>
          <w:rFonts w:ascii="Calibri" w:hAnsi="Calibri"/>
          <w:szCs w:val="22"/>
        </w:rPr>
        <w:t>, АР</w:t>
      </w:r>
      <w:r w:rsidR="00281FB1" w:rsidRPr="002A4C22">
        <w:rPr>
          <w:rFonts w:ascii="Calibri" w:hAnsi="Calibri"/>
          <w:szCs w:val="22"/>
        </w:rPr>
        <w:noBreakHyphen/>
        <w:t>23 и ВКР</w:t>
      </w:r>
      <w:r w:rsidR="00281FB1" w:rsidRPr="002A4C22">
        <w:rPr>
          <w:rFonts w:ascii="Calibri" w:hAnsi="Calibri"/>
          <w:szCs w:val="22"/>
        </w:rPr>
        <w:noBreakHyphen/>
        <w:t>23</w:t>
      </w:r>
      <w:r w:rsidRPr="002A4C22">
        <w:rPr>
          <w:rFonts w:ascii="Calibri" w:hAnsi="Calibri"/>
          <w:szCs w:val="22"/>
        </w:rPr>
        <w:t xml:space="preserve"> в исследовательских комиссиях МСЭ-R при тесном сотрудничестве с региональными группами, в том числе технически</w:t>
      </w:r>
      <w:r w:rsidR="003D64FE" w:rsidRPr="002A4C22">
        <w:rPr>
          <w:rFonts w:ascii="Calibri" w:hAnsi="Calibri"/>
          <w:szCs w:val="22"/>
        </w:rPr>
        <w:t>е</w:t>
      </w:r>
      <w:r w:rsidRPr="002A4C22">
        <w:rPr>
          <w:rFonts w:ascii="Calibri" w:hAnsi="Calibri"/>
          <w:szCs w:val="22"/>
        </w:rPr>
        <w:t xml:space="preserve">, </w:t>
      </w:r>
      <w:r w:rsidR="00980CDD" w:rsidRPr="002A4C22">
        <w:rPr>
          <w:rFonts w:ascii="Calibri" w:hAnsi="Calibri"/>
          <w:szCs w:val="22"/>
        </w:rPr>
        <w:t>эксплуатационны</w:t>
      </w:r>
      <w:r w:rsidR="003D64FE" w:rsidRPr="002A4C22">
        <w:rPr>
          <w:rFonts w:ascii="Calibri" w:hAnsi="Calibri"/>
          <w:szCs w:val="22"/>
        </w:rPr>
        <w:t>е</w:t>
      </w:r>
      <w:r w:rsidR="00980CDD" w:rsidRPr="002A4C22">
        <w:rPr>
          <w:rFonts w:ascii="Calibri" w:hAnsi="Calibri"/>
          <w:szCs w:val="22"/>
        </w:rPr>
        <w:t xml:space="preserve"> и </w:t>
      </w:r>
      <w:r w:rsidRPr="002A4C22">
        <w:rPr>
          <w:rFonts w:ascii="Calibri" w:hAnsi="Calibri"/>
          <w:szCs w:val="22"/>
        </w:rPr>
        <w:t>регламентарны</w:t>
      </w:r>
      <w:r w:rsidR="003D64FE" w:rsidRPr="002A4C22">
        <w:rPr>
          <w:rFonts w:ascii="Calibri" w:hAnsi="Calibri"/>
          <w:szCs w:val="22"/>
        </w:rPr>
        <w:t>е</w:t>
      </w:r>
      <w:r w:rsidRPr="002A4C22">
        <w:rPr>
          <w:rFonts w:ascii="Calibri" w:hAnsi="Calibri"/>
          <w:szCs w:val="22"/>
        </w:rPr>
        <w:t xml:space="preserve"> </w:t>
      </w:r>
      <w:r w:rsidR="003D64FE" w:rsidRPr="002A4C22">
        <w:rPr>
          <w:rFonts w:ascii="Calibri" w:hAnsi="Calibri"/>
          <w:szCs w:val="22"/>
        </w:rPr>
        <w:t>исследования</w:t>
      </w:r>
      <w:r w:rsidRPr="002A4C22">
        <w:rPr>
          <w:rFonts w:ascii="Calibri" w:hAnsi="Calibri"/>
          <w:szCs w:val="22"/>
        </w:rPr>
        <w:t xml:space="preserve"> для </w:t>
      </w:r>
      <w:r w:rsidR="00281FB1" w:rsidRPr="002A4C22">
        <w:rPr>
          <w:rFonts w:ascii="Calibri" w:hAnsi="Calibri"/>
          <w:szCs w:val="22"/>
        </w:rPr>
        <w:t>рассмотрения на</w:t>
      </w:r>
      <w:r w:rsidRPr="002A4C22">
        <w:rPr>
          <w:rFonts w:ascii="Calibri" w:hAnsi="Calibri"/>
          <w:szCs w:val="22"/>
        </w:rPr>
        <w:t xml:space="preserve"> </w:t>
      </w:r>
      <w:proofErr w:type="spellStart"/>
      <w:r w:rsidRPr="002A4C22">
        <w:rPr>
          <w:rFonts w:ascii="Calibri" w:hAnsi="Calibri"/>
          <w:szCs w:val="22"/>
        </w:rPr>
        <w:t>ПСК19</w:t>
      </w:r>
      <w:proofErr w:type="spellEnd"/>
      <w:r w:rsidRPr="002A4C22">
        <w:rPr>
          <w:rFonts w:ascii="Calibri" w:hAnsi="Calibri"/>
          <w:szCs w:val="22"/>
        </w:rPr>
        <w:t>-2</w:t>
      </w:r>
      <w:r w:rsidR="00281FB1" w:rsidRPr="002A4C22">
        <w:rPr>
          <w:rFonts w:ascii="Calibri" w:hAnsi="Calibri"/>
          <w:szCs w:val="22"/>
        </w:rPr>
        <w:t xml:space="preserve"> и </w:t>
      </w:r>
      <w:proofErr w:type="spellStart"/>
      <w:r w:rsidR="00281FB1" w:rsidRPr="002A4C22">
        <w:rPr>
          <w:rFonts w:ascii="Calibri" w:hAnsi="Calibri"/>
          <w:szCs w:val="22"/>
        </w:rPr>
        <w:t>ПСК23</w:t>
      </w:r>
      <w:proofErr w:type="spellEnd"/>
      <w:r w:rsidR="00281FB1" w:rsidRPr="002A4C22">
        <w:rPr>
          <w:rFonts w:ascii="Calibri" w:hAnsi="Calibri"/>
          <w:szCs w:val="22"/>
        </w:rPr>
        <w:noBreakHyphen/>
        <w:t>2</w:t>
      </w:r>
      <w:r w:rsidRPr="002A4C22">
        <w:rPr>
          <w:rFonts w:ascii="Calibri" w:hAnsi="Calibri"/>
          <w:szCs w:val="22"/>
        </w:rPr>
        <w:t>.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 xml:space="preserve">Разработка ключевых Рекомендаций, Отчетов и Справочников, в частности по </w:t>
      </w:r>
      <w:proofErr w:type="spellStart"/>
      <w:r w:rsidRPr="002A4C22">
        <w:rPr>
          <w:rFonts w:ascii="Calibri" w:hAnsi="Calibri"/>
          <w:szCs w:val="22"/>
        </w:rPr>
        <w:t>радиоинтерфейсу</w:t>
      </w:r>
      <w:proofErr w:type="spellEnd"/>
      <w:r w:rsidRPr="002A4C22">
        <w:rPr>
          <w:rFonts w:ascii="Calibri" w:hAnsi="Calibri"/>
          <w:szCs w:val="22"/>
        </w:rPr>
        <w:t xml:space="preserve"> IMT-2020</w:t>
      </w:r>
      <w:r w:rsidR="00C65F70" w:rsidRPr="002A4C22">
        <w:rPr>
          <w:rFonts w:ascii="Calibri" w:hAnsi="Calibri"/>
          <w:szCs w:val="22"/>
        </w:rPr>
        <w:t>, в тесном сотрудничестве с МСЭ</w:t>
      </w:r>
      <w:r w:rsidR="00C65F70" w:rsidRPr="002A4C22">
        <w:rPr>
          <w:rFonts w:ascii="Calibri" w:hAnsi="Calibri"/>
          <w:szCs w:val="22"/>
        </w:rPr>
        <w:noBreakHyphen/>
      </w:r>
      <w:r w:rsidRPr="002A4C22">
        <w:rPr>
          <w:rFonts w:ascii="Calibri" w:hAnsi="Calibri"/>
          <w:szCs w:val="22"/>
        </w:rPr>
        <w:t>T, региональными организациями и другими органами по разработке стандартов.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lastRenderedPageBreak/>
        <w:t>2.4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Предоставление информации и оказание помощи Членам МСЭ-R по вопросам, касающимся радиосвязи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0D16D3" w:rsidRPr="002A4C22" w:rsidRDefault="000D16D3" w:rsidP="00281FB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1191" w:hanging="397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−</w:t>
      </w:r>
      <w:r w:rsidRPr="002A4C22">
        <w:rPr>
          <w:rFonts w:ascii="Calibri" w:hAnsi="Calibri"/>
          <w:szCs w:val="22"/>
        </w:rPr>
        <w:tab/>
        <w:t xml:space="preserve">распространение </w:t>
      </w:r>
      <w:r w:rsidR="00281FB1" w:rsidRPr="002A4C22">
        <w:rPr>
          <w:rFonts w:ascii="Calibri" w:hAnsi="Calibri"/>
          <w:szCs w:val="22"/>
        </w:rPr>
        <w:t xml:space="preserve">и совместное использование </w:t>
      </w:r>
      <w:r w:rsidRPr="002A4C22">
        <w:rPr>
          <w:rFonts w:ascii="Calibri" w:hAnsi="Calibri"/>
          <w:szCs w:val="22"/>
        </w:rPr>
        <w:t>информации,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0D16D3" w:rsidRPr="002A4C22" w:rsidRDefault="000D16D3" w:rsidP="00281FB1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1191" w:hanging="397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−</w:t>
      </w:r>
      <w:r w:rsidRPr="002A4C22">
        <w:rPr>
          <w:rFonts w:ascii="Calibri" w:hAnsi="Calibri"/>
          <w:szCs w:val="22"/>
        </w:rPr>
        <w:tab/>
        <w:t>оказание помощи членам МСЭ, которы</w:t>
      </w:r>
      <w:r w:rsidR="00281FB1" w:rsidRPr="002A4C22">
        <w:rPr>
          <w:rFonts w:ascii="Calibri" w:hAnsi="Calibri"/>
          <w:szCs w:val="22"/>
        </w:rPr>
        <w:t>е встречают проблемы</w:t>
      </w:r>
      <w:r w:rsidRPr="002A4C22">
        <w:rPr>
          <w:rFonts w:ascii="Calibri" w:hAnsi="Calibri"/>
          <w:szCs w:val="22"/>
        </w:rPr>
        <w:t xml:space="preserve">, </w:t>
      </w:r>
      <w:r w:rsidR="00281FB1" w:rsidRPr="002A4C22">
        <w:rPr>
          <w:rFonts w:ascii="Calibri" w:hAnsi="Calibri"/>
          <w:szCs w:val="22"/>
        </w:rPr>
        <w:t>вызываемые управлением использованием спектра для развития</w:t>
      </w:r>
      <w:r w:rsidRPr="002A4C22">
        <w:rPr>
          <w:rFonts w:ascii="Calibri" w:hAnsi="Calibri"/>
          <w:szCs w:val="22"/>
        </w:rPr>
        <w:t xml:space="preserve"> их служб радиосвязи, в частности в связи с </w:t>
      </w:r>
      <w:r w:rsidR="00281FB1" w:rsidRPr="002A4C22">
        <w:rPr>
          <w:rFonts w:ascii="Calibri" w:hAnsi="Calibri"/>
          <w:szCs w:val="22"/>
        </w:rPr>
        <w:t xml:space="preserve">развертыванием подвижной широкополосной связи, </w:t>
      </w:r>
      <w:r w:rsidRPr="002A4C22">
        <w:rPr>
          <w:rFonts w:ascii="Calibri" w:hAnsi="Calibri"/>
          <w:szCs w:val="22"/>
        </w:rPr>
        <w:t xml:space="preserve">переходом на цифровое телевизионное радиовещание и </w:t>
      </w:r>
      <w:r w:rsidR="00281FB1" w:rsidRPr="002A4C22">
        <w:rPr>
          <w:rFonts w:ascii="Calibri" w:hAnsi="Calibri"/>
          <w:szCs w:val="22"/>
        </w:rPr>
        <w:t>использова</w:t>
      </w:r>
      <w:r w:rsidRPr="002A4C22">
        <w:rPr>
          <w:rFonts w:ascii="Calibri" w:hAnsi="Calibri"/>
          <w:szCs w:val="22"/>
        </w:rPr>
        <w:t>нием цифрового дивиденда.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2.5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Вспомогательная деятельность Бюро радиосвязи</w:t>
      </w:r>
    </w:p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0D16D3" w:rsidRPr="002A4C22" w:rsidRDefault="000D16D3" w:rsidP="00980CD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  <w:t>Материально-техническая и административная поддержка исследовательских комиссий МСЭ-R</w:t>
      </w:r>
      <w:r w:rsidR="00980CDD" w:rsidRPr="002A4C22">
        <w:rPr>
          <w:rFonts w:ascii="Calibri" w:hAnsi="Calibri"/>
          <w:szCs w:val="22"/>
        </w:rPr>
        <w:t xml:space="preserve">, </w:t>
      </w:r>
      <w:r w:rsidRPr="002A4C22">
        <w:rPr>
          <w:rFonts w:ascii="Calibri" w:hAnsi="Calibri"/>
          <w:szCs w:val="22"/>
        </w:rPr>
        <w:t>участие в соответствующей деятельности региональных групп</w:t>
      </w:r>
      <w:r w:rsidR="00281FB1" w:rsidRPr="002A4C22">
        <w:rPr>
          <w:rFonts w:ascii="Calibri" w:hAnsi="Calibri"/>
          <w:szCs w:val="22"/>
        </w:rPr>
        <w:t xml:space="preserve"> и оказание им поддержки</w:t>
      </w:r>
      <w:r w:rsidRPr="002A4C22">
        <w:rPr>
          <w:rFonts w:ascii="Calibri" w:hAnsi="Calibri"/>
          <w:szCs w:val="22"/>
        </w:rPr>
        <w:t>.</w:t>
      </w:r>
    </w:p>
    <w:p w:rsidR="000D16D3" w:rsidRPr="002A4C22" w:rsidRDefault="000D16D3" w:rsidP="003D64F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•</w:t>
      </w:r>
      <w:r w:rsidRPr="002A4C22">
        <w:rPr>
          <w:rFonts w:ascii="Calibri" w:hAnsi="Calibri"/>
          <w:szCs w:val="22"/>
        </w:rPr>
        <w:tab/>
      </w:r>
      <w:r w:rsidR="003D64FE" w:rsidRPr="002A4C22">
        <w:rPr>
          <w:rFonts w:ascii="Calibri" w:hAnsi="Calibri"/>
          <w:szCs w:val="22"/>
        </w:rPr>
        <w:t>П</w:t>
      </w:r>
      <w:r w:rsidRPr="002A4C22">
        <w:rPr>
          <w:rFonts w:ascii="Calibri" w:hAnsi="Calibri"/>
          <w:szCs w:val="22"/>
        </w:rPr>
        <w:t>омощ</w:t>
      </w:r>
      <w:r w:rsidR="003D64FE" w:rsidRPr="002A4C22">
        <w:rPr>
          <w:rFonts w:ascii="Calibri" w:hAnsi="Calibri"/>
          <w:szCs w:val="22"/>
        </w:rPr>
        <w:t>ь</w:t>
      </w:r>
      <w:r w:rsidRPr="002A4C22">
        <w:rPr>
          <w:rFonts w:ascii="Calibri" w:hAnsi="Calibri"/>
          <w:szCs w:val="22"/>
        </w:rPr>
        <w:t xml:space="preserve"> членам МСЭ, осуществляем</w:t>
      </w:r>
      <w:r w:rsidR="003D64FE" w:rsidRPr="002A4C22">
        <w:rPr>
          <w:rFonts w:ascii="Calibri" w:hAnsi="Calibri"/>
          <w:szCs w:val="22"/>
        </w:rPr>
        <w:t>ая</w:t>
      </w:r>
      <w:r w:rsidRPr="002A4C22">
        <w:rPr>
          <w:rFonts w:ascii="Calibri" w:hAnsi="Calibri"/>
          <w:szCs w:val="22"/>
        </w:rPr>
        <w:t xml:space="preserve"> в тесном сотрудничестве с другими Бюро, региональными отделениями МСЭ и региональными организациями.</w:t>
      </w:r>
    </w:p>
    <w:p w:rsidR="00F177E8" w:rsidRPr="002A4C22" w:rsidRDefault="00F177E8" w:rsidP="007350CA">
      <w:r w:rsidRPr="002A4C22">
        <w:br w:type="page"/>
      </w:r>
    </w:p>
    <w:p w:rsidR="000D16D3" w:rsidRPr="002A4C22" w:rsidRDefault="000D16D3" w:rsidP="00281FB1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3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Структура результатов деятельности МСЭ-R на 201</w:t>
      </w:r>
      <w:r w:rsidR="00281FB1"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9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−202</w:t>
      </w:r>
      <w:r w:rsidR="00281FB1"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2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 xml:space="preserve"> годы</w:t>
      </w:r>
    </w:p>
    <w:p w:rsidR="000D16D3" w:rsidRPr="002A4C22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3.1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Увязка со стратегическими целями МСЭ</w:t>
      </w:r>
      <w:r w:rsidRPr="002A4C22">
        <w:rPr>
          <w:rFonts w:ascii="Calibri" w:hAnsi="Calibri" w:cs="Times New Roman Bold"/>
          <w:bCs/>
          <w:color w:val="4F81BD" w:themeColor="accent1"/>
          <w:position w:val="6"/>
          <w:sz w:val="16"/>
          <w:szCs w:val="16"/>
        </w:rPr>
        <w:footnoteReference w:id="1"/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8137"/>
        <w:gridCol w:w="1371"/>
        <w:gridCol w:w="1400"/>
        <w:gridCol w:w="1509"/>
        <w:gridCol w:w="1571"/>
      </w:tblGrid>
      <w:tr w:rsidR="000D16D3" w:rsidRPr="002A4C22" w:rsidTr="000D1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Задачи МСЭ-R</w:t>
            </w:r>
          </w:p>
        </w:tc>
        <w:tc>
          <w:tcPr>
            <w:tcW w:w="1418" w:type="dxa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Цель 1: </w:t>
            </w:r>
            <w:r w:rsidRPr="002A4C22">
              <w:rPr>
                <w:rFonts w:ascii="Calibri" w:hAnsi="Calibri"/>
                <w:sz w:val="18"/>
                <w:szCs w:val="18"/>
              </w:rPr>
              <w:br/>
              <w:t>Рост</w:t>
            </w:r>
          </w:p>
        </w:tc>
        <w:tc>
          <w:tcPr>
            <w:tcW w:w="1417" w:type="dxa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Цель 2: Открытость</w:t>
            </w:r>
          </w:p>
        </w:tc>
        <w:tc>
          <w:tcPr>
            <w:tcW w:w="1524" w:type="dxa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Цель 3: Устойчивость</w:t>
            </w:r>
          </w:p>
        </w:tc>
        <w:tc>
          <w:tcPr>
            <w:tcW w:w="1595" w:type="dxa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Цель 4: Инновации и партнерство</w:t>
            </w:r>
          </w:p>
        </w:tc>
      </w:tr>
      <w:tr w:rsidR="000D16D3" w:rsidRPr="002A4C22" w:rsidTr="00745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0D16D3" w:rsidRPr="002A4C22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1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Рационально, справедливо, эффективно, экономично и своевременно</w:t>
            </w:r>
            <w:r w:rsidRPr="002A4C22">
              <w:rPr>
                <w:rFonts w:ascii="Calibri" w:eastAsia="Calibri" w:hAnsi="Calibri" w:cs="Arial"/>
                <w:b w:val="0"/>
                <w:bCs w:val="0"/>
                <w:sz w:val="18"/>
                <w:szCs w:val="18"/>
              </w:rPr>
              <w:t xml:space="preserve"> 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</w:tr>
      <w:tr w:rsidR="000D16D3" w:rsidRPr="002A4C22" w:rsidTr="0074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0D16D3" w:rsidRPr="002A4C22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2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</w:tr>
      <w:tr w:rsidR="000D16D3" w:rsidRPr="002A4C22" w:rsidTr="00745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hideMark/>
          </w:tcPr>
          <w:p w:rsidR="000D16D3" w:rsidRPr="002A4C22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3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Способствовать приобретению и совместному использованию знаний и ноу-хау в области радиосвязи 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  <w:hideMark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0D16D3" w:rsidRPr="002A4C22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16D3" w:rsidRPr="002A4C22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br w:type="page"/>
      </w:r>
    </w:p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lastRenderedPageBreak/>
        <w:t>3.2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686"/>
        <w:gridCol w:w="4917"/>
        <w:gridCol w:w="5279"/>
        <w:gridCol w:w="3106"/>
      </w:tblGrid>
      <w:tr w:rsidR="00883D26" w:rsidRPr="002A4C22" w:rsidTr="00B3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Задачи</w:t>
            </w:r>
          </w:p>
        </w:tc>
        <w:tc>
          <w:tcPr>
            <w:tcW w:w="5109" w:type="dxa"/>
          </w:tcPr>
          <w:p w:rsidR="00883D26" w:rsidRPr="002A4C22" w:rsidRDefault="00883D26" w:rsidP="0058292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sz w:val="18"/>
                <w:szCs w:val="18"/>
              </w:rPr>
              <w:t>1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:  Рационально</w:t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528" w:type="dxa"/>
          </w:tcPr>
          <w:p w:rsidR="00883D26" w:rsidRPr="002A4C22" w:rsidRDefault="00883D26" w:rsidP="0058292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sz w:val="18"/>
                <w:szCs w:val="18"/>
              </w:rPr>
              <w:t>2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:  Обеспечивать</w:t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120" w:type="dxa"/>
          </w:tcPr>
          <w:p w:rsidR="00883D26" w:rsidRPr="002A4C22" w:rsidRDefault="00883D26" w:rsidP="0058292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R.</w:t>
            </w:r>
            <w:proofErr w:type="gramStart"/>
            <w:r w:rsidRPr="002A4C22">
              <w:rPr>
                <w:rFonts w:ascii="Calibri" w:hAnsi="Calibri"/>
                <w:sz w:val="18"/>
                <w:szCs w:val="18"/>
              </w:rPr>
              <w:t>3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:  Способствовать</w:t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 приобретению и совместному использованию знаний и ноу-хау в области радиосвязи</w:t>
            </w:r>
          </w:p>
        </w:tc>
      </w:tr>
      <w:tr w:rsidR="00883D26" w:rsidRPr="002A4C22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Конечные результаты</w:t>
            </w:r>
          </w:p>
        </w:tc>
        <w:tc>
          <w:tcPr>
            <w:tcW w:w="5109" w:type="dxa"/>
            <w:shd w:val="clear" w:color="auto" w:fill="auto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sz w:val="18"/>
                <w:szCs w:val="18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)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Большее количество стран, имеющих частотные присвоения наземным службам, зарегистрированные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процентная доля присвоений, зарегистрированных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с благоприятным заключением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процентная доля стран, которые завершили переход к цифровому наземному телевизионному радиовещанию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-5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процентная доля спектра, присвоенного спутниковым сетям, который свободен от вредных помех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-6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процентная доля присвоений наземным службам, зарегистрированных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, которые свободны от вредных помех</w:t>
            </w:r>
          </w:p>
        </w:tc>
        <w:tc>
          <w:tcPr>
            <w:tcW w:w="5528" w:type="dxa"/>
            <w:shd w:val="clear" w:color="auto" w:fill="auto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sz w:val="18"/>
                <w:szCs w:val="18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sz w:val="18"/>
                <w:szCs w:val="18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ВНД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) на душу населения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sz w:val="18"/>
                <w:szCs w:val="18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="Calibri" w:hAnsi="Calibri"/>
                <w:sz w:val="18"/>
                <w:szCs w:val="18"/>
              </w:rPr>
              <w:t>: Число домашних хозяйств, принимающих цифровое наземное телевидение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-5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Число работающих спутниковых ретрансляторов (эквивалент 36 МГц) и соответствующая пропускная способность (Тбит/с); число терминалов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VSAT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; число домашних хозяйств, принимающих спутниковое телевидение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-6</w:t>
            </w:r>
            <w:r w:rsidRPr="002A4C22">
              <w:rPr>
                <w:rFonts w:ascii="Calibri" w:hAnsi="Calibri"/>
                <w:sz w:val="18"/>
                <w:szCs w:val="18"/>
              </w:rPr>
              <w:t>: Увеличение числа устройств, принимающих передачи радионавигационных спутников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-7</w:t>
            </w:r>
            <w:r w:rsidRPr="002A4C22">
              <w:rPr>
                <w:rFonts w:ascii="Calibri" w:hAnsi="Calibri"/>
                <w:sz w:val="18"/>
                <w:szCs w:val="18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120" w:type="dxa"/>
            <w:shd w:val="clear" w:color="auto" w:fill="auto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sz w:val="18"/>
                <w:szCs w:val="18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883D26" w:rsidRPr="002A4C22" w:rsidTr="00B377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lastRenderedPageBreak/>
              <w:t>Намеченные результаты</w:t>
            </w:r>
          </w:p>
        </w:tc>
        <w:tc>
          <w:tcPr>
            <w:tcW w:w="5109" w:type="dxa"/>
            <w:shd w:val="clear" w:color="auto" w:fill="auto"/>
          </w:tcPr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Правила процедуры, принятые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Радиорегламентарным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комитетом (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)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Решения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, не касающиеся принятия Правил процедуры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Совершенствование программного обеспечения МСЭ-R</w:t>
            </w:r>
          </w:p>
        </w:tc>
        <w:tc>
          <w:tcPr>
            <w:tcW w:w="5528" w:type="dxa"/>
            <w:shd w:val="clear" w:color="auto" w:fill="auto"/>
          </w:tcPr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Решения Ассамблеи радиосвязи, Резолюции МСЭ-R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Рекомендации, Отчеты (включая отчет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ПСК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) и Справочники МСЭ</w:t>
            </w:r>
            <w:r w:rsidRPr="002A4C22">
              <w:rPr>
                <w:rFonts w:ascii="Calibri" w:hAnsi="Calibri"/>
                <w:sz w:val="18"/>
                <w:szCs w:val="18"/>
              </w:rPr>
              <w:noBreakHyphen/>
              <w:t>R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120" w:type="dxa"/>
            <w:shd w:val="clear" w:color="auto" w:fill="auto"/>
          </w:tcPr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Публикации МСЭ-R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Помощь членам Союза, в частности развивающимся странам и НРС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Семинары, семинары-практикумы и другие мероприятия</w:t>
            </w:r>
          </w:p>
        </w:tc>
      </w:tr>
      <w:tr w:rsidR="00883D26" w:rsidRPr="002A4C22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3757" w:type="dxa"/>
            <w:gridSpan w:val="3"/>
            <w:shd w:val="clear" w:color="auto" w:fill="auto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96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96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br w:type="page"/>
      </w:r>
    </w:p>
    <w:p w:rsidR="00883D26" w:rsidRPr="002A4C22" w:rsidRDefault="00883D26" w:rsidP="00980CD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lastRenderedPageBreak/>
        <w:t>3.3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  <w:t>Распределение ресурсов между задачами и намеченными результатами деятельности МСЭ-R на 201</w:t>
      </w:r>
      <w:r w:rsidR="00980CDD" w:rsidRPr="002A4C22">
        <w:rPr>
          <w:rFonts w:ascii="Calibri" w:hAnsi="Calibri" w:cs="Times New Roman Bold"/>
          <w:b/>
          <w:color w:val="4F81BD" w:themeColor="accent1"/>
          <w:szCs w:val="22"/>
        </w:rPr>
        <w:t>9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>−202</w:t>
      </w:r>
      <w:r w:rsidR="00980CDD" w:rsidRPr="002A4C22">
        <w:rPr>
          <w:rFonts w:ascii="Calibri" w:hAnsi="Calibri" w:cs="Times New Roman Bold"/>
          <w:b/>
          <w:color w:val="4F81BD" w:themeColor="accent1"/>
          <w:szCs w:val="22"/>
        </w:rPr>
        <w:t>2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883D26" w:rsidRPr="002A4C22" w:rsidTr="00B5020E">
        <w:tc>
          <w:tcPr>
            <w:tcW w:w="7230" w:type="dxa"/>
            <w:vMerge w:val="restart"/>
          </w:tcPr>
          <w:p w:rsidR="00883D26" w:rsidRPr="002A4C22" w:rsidRDefault="00636F4B" w:rsidP="00B5020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eastAsiaTheme="minorHAnsi" w:hAnsi="Calibri" w:cstheme="minorBidi"/>
                <w:color w:val="4F81BD" w:themeColor="accent1"/>
                <w:szCs w:val="22"/>
                <w:lang w:eastAsia="zh-CN"/>
              </w:rPr>
            </w:pPr>
            <w:r w:rsidRPr="002A4C22">
              <w:rPr>
                <w:rFonts w:eastAsia="Calibri" w:cs="Arial"/>
                <w:noProof/>
                <w:color w:val="4F81BD"/>
                <w:lang w:val="en-GB" w:eastAsia="zh-CN"/>
              </w:rPr>
              <w:drawing>
                <wp:inline distT="0" distB="0" distL="0" distR="0" wp14:anchorId="1D48D4E4" wp14:editId="0E1BDE1C">
                  <wp:extent cx="4453890" cy="2672080"/>
                  <wp:effectExtent l="0" t="0" r="381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eastAsiaTheme="minorHAnsi" w:hAnsi="Calibri" w:cstheme="minorBidi"/>
                <w:b/>
                <w:color w:val="4F81BD" w:themeColor="accent1"/>
                <w:szCs w:val="22"/>
                <w:lang w:eastAsia="zh-CN"/>
              </w:rPr>
            </w:pPr>
            <w:r w:rsidRPr="002A4C22">
              <w:rPr>
                <w:rFonts w:ascii="Calibri" w:eastAsiaTheme="minorHAnsi" w:hAnsi="Calibri" w:cstheme="minorBidi"/>
                <w:b/>
                <w:color w:val="4F81BD" w:themeColor="accent1"/>
                <w:szCs w:val="22"/>
                <w:lang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="Calibri" w:hAnsi="Calibri" w:cs="Times New Roman Bold"/>
                <w:color w:val="0070C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</w:pPr>
            <w:r w:rsidRPr="002A4C2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t xml:space="preserve">% от объема </w:t>
            </w:r>
            <w:r w:rsidRPr="002A4C22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br/>
              <w:t>на задачу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2A4C22" w:rsidRDefault="0047559B" w:rsidP="00980CD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5,</w:t>
            </w:r>
            <w:r w:rsidR="00980CDD" w:rsidRPr="002A4C22">
              <w:rPr>
                <w:rFonts w:ascii="Calibri" w:hAnsi="Calibri"/>
                <w:sz w:val="18"/>
                <w:szCs w:val="18"/>
              </w:rPr>
              <w:t>3</w:t>
            </w:r>
            <w:r w:rsidR="00883D26"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980CDD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8,</w:t>
            </w:r>
            <w:r w:rsidR="00980CDD" w:rsidRPr="002A4C22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0,</w:t>
            </w:r>
            <w:r w:rsidR="0047559B" w:rsidRPr="002A4C22">
              <w:rPr>
                <w:rFonts w:ascii="Calibri" w:hAnsi="Calibri"/>
                <w:sz w:val="18"/>
                <w:szCs w:val="18"/>
              </w:rPr>
              <w:t>5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0,8%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Правила процедуры, принятые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Радиорегламентарным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комитетом (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2,</w:t>
            </w:r>
            <w:r w:rsidR="0047559B" w:rsidRPr="002A4C22">
              <w:rPr>
                <w:rFonts w:ascii="Calibri" w:hAnsi="Calibri"/>
                <w:sz w:val="18"/>
                <w:szCs w:val="18"/>
              </w:rPr>
              <w:t>0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3,</w:t>
            </w:r>
            <w:r w:rsidR="0047559B" w:rsidRPr="002A4C22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4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24,</w:t>
            </w:r>
            <w:r w:rsidR="00D17024" w:rsidRPr="002A4C22">
              <w:rPr>
                <w:rFonts w:ascii="Calibri" w:hAnsi="Calibri"/>
                <w:sz w:val="18"/>
                <w:szCs w:val="18"/>
              </w:rPr>
              <w:t>9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D17024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40,7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5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883D26" w:rsidRPr="002A4C22" w:rsidRDefault="00D17024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11,9</w:t>
            </w:r>
            <w:r w:rsidR="00883D26"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47559B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19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6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Решения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>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2,</w:t>
            </w:r>
            <w:r w:rsidR="0047559B" w:rsidRPr="002A4C22">
              <w:rPr>
                <w:rFonts w:ascii="Calibri" w:hAnsi="Calibri"/>
                <w:sz w:val="18"/>
                <w:szCs w:val="18"/>
              </w:rPr>
              <w:t>0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7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883D26" w:rsidRPr="002A4C22" w:rsidRDefault="0047559B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12,</w:t>
            </w:r>
            <w:r w:rsidR="00D17024" w:rsidRPr="002A4C22">
              <w:rPr>
                <w:rFonts w:ascii="Calibri" w:hAnsi="Calibri"/>
                <w:sz w:val="18"/>
                <w:szCs w:val="18"/>
              </w:rPr>
              <w:t>3</w:t>
            </w:r>
            <w:r w:rsidR="00883D26"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83D26" w:rsidRPr="002A4C22" w:rsidRDefault="0047559B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20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 w:val="restart"/>
          </w:tcPr>
          <w:tbl>
            <w:tblPr>
              <w:tblStyle w:val="TableGrid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883D26" w:rsidRPr="002A4C22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2A4C22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proofErr w:type="spell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</w:t>
                  </w:r>
                  <w:proofErr w:type="gram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1</w:t>
                  </w:r>
                  <w:proofErr w:type="spell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proofErr w:type="gram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Рационально, справедливо, эффективно, экономично и своевременно</w:t>
                  </w:r>
                  <w:r w:rsidRPr="002A4C22">
                    <w:rPr>
                      <w:rFonts w:ascii="Calibri" w:eastAsia="Calibri" w:hAnsi="Calibri" w:cs="Arial"/>
                      <w:sz w:val="18"/>
                      <w:szCs w:val="18"/>
                    </w:rPr>
                    <w:t xml:space="preserve"> </w:t>
                  </w:r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2A4C22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40" w:after="4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6</w:t>
                  </w:r>
                  <w:r w:rsidR="00B5020E"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1</w:t>
                  </w:r>
                  <w:r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83D26" w:rsidRPr="002A4C22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2A4C22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proofErr w:type="spell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</w:t>
                  </w:r>
                  <w:proofErr w:type="gram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2</w:t>
                  </w:r>
                  <w:proofErr w:type="spell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proofErr w:type="gram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2A4C22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40" w:after="4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14%</w:t>
                  </w:r>
                </w:p>
              </w:tc>
            </w:tr>
            <w:tr w:rsidR="00883D26" w:rsidRPr="002A4C22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2A4C22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proofErr w:type="spell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</w:t>
                  </w:r>
                  <w:proofErr w:type="gramStart"/>
                  <w:r w:rsidRPr="002A4C22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3</w:t>
                  </w:r>
                  <w:proofErr w:type="spell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ab/>
                  </w:r>
                  <w:proofErr w:type="gramEnd"/>
                  <w:r w:rsidRPr="002A4C22">
                    <w:rPr>
                      <w:rFonts w:ascii="Calibri" w:hAnsi="Calibri"/>
                      <w:sz w:val="18"/>
                      <w:szCs w:val="18"/>
                    </w:rPr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2A4C22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2</w:t>
                  </w:r>
                  <w:r w:rsidR="00B5020E"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5</w:t>
                  </w:r>
                  <w:r w:rsidRPr="002A4C2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17,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Рекомендации, Отчеты (включая отчет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ПСК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) и Справочники МСЭ-R 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9,</w:t>
            </w:r>
            <w:r w:rsidR="00D17024" w:rsidRPr="002A4C22">
              <w:rPr>
                <w:rFonts w:ascii="Calibri" w:hAnsi="Calibri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D17024" w:rsidP="00707087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66,1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1,</w:t>
            </w:r>
            <w:r w:rsidR="00707087" w:rsidRPr="002A4C22">
              <w:rPr>
                <w:rFonts w:ascii="Calibri" w:hAnsi="Calibri"/>
                <w:sz w:val="18"/>
                <w:szCs w:val="18"/>
              </w:rPr>
              <w:t>8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707087" w:rsidRPr="002A4C22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1</w:t>
            </w:r>
            <w:r w:rsidR="00C67D9B" w:rsidRPr="002A4C22">
              <w:rPr>
                <w:rFonts w:ascii="Calibri" w:hAnsi="Calibri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2A4C22" w:rsidRDefault="00C67D9B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49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883D26" w:rsidRPr="002A4C22" w:rsidRDefault="00D17024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4,0</w:t>
            </w:r>
            <w:r w:rsidR="00883D26"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C67D9B" w:rsidRPr="002A4C22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883D26" w:rsidRPr="002A4C22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2,</w:t>
            </w:r>
            <w:r w:rsidR="00C67D9B" w:rsidRPr="002A4C22">
              <w:rPr>
                <w:rFonts w:ascii="Calibri" w:hAnsi="Calibri"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883D26" w:rsidRPr="002A4C22" w:rsidRDefault="00C67D9B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883D26"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-</w:t>
            </w: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4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883D26" w:rsidRPr="002A4C22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5,</w:t>
            </w:r>
            <w:r w:rsidR="00C67D9B" w:rsidRPr="002A4C22">
              <w:rPr>
                <w:rFonts w:ascii="Calibri" w:hAnsi="Calibri"/>
                <w:sz w:val="18"/>
                <w:szCs w:val="18"/>
              </w:rPr>
              <w:t>5</w:t>
            </w:r>
            <w:r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="00C67D9B" w:rsidRPr="002A4C22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D17024" w:rsidRPr="002A4C22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ПК</w:t>
            </w:r>
            <w:r w:rsidRPr="002A4C22">
              <w:rPr>
                <w:rFonts w:ascii="Calibri" w:hAnsi="Calibri"/>
                <w:sz w:val="18"/>
                <w:szCs w:val="18"/>
              </w:rPr>
              <w:t>: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</w:r>
            <w:proofErr w:type="gramEnd"/>
            <w:r w:rsidRPr="002A4C22">
              <w:rPr>
                <w:rFonts w:ascii="Calibri" w:hAnsi="Calibri"/>
                <w:sz w:val="18"/>
                <w:szCs w:val="18"/>
              </w:rPr>
              <w:t>Решения, Резолюции, Рекомендации и другие результаты Полномочной конференции</w:t>
            </w:r>
            <w:r w:rsidRPr="002A4C22">
              <w:rPr>
                <w:rFonts w:asciiTheme="minorHAnsi" w:hAnsiTheme="minorHAnsi"/>
                <w:position w:val="4"/>
                <w:sz w:val="1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2A4C22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1,5%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Совет/РГС</w:t>
            </w:r>
            <w:r w:rsidRPr="002A4C22">
              <w:rPr>
                <w:rFonts w:ascii="Calibri" w:hAnsi="Calibri"/>
                <w:sz w:val="18"/>
                <w:szCs w:val="18"/>
              </w:rPr>
              <w:t>: Решения и Резолюции Совета, а также результаты, полученные рабочими группами Совета</w:t>
            </w:r>
            <w:r w:rsidRPr="002A4C22">
              <w:rPr>
                <w:rFonts w:asciiTheme="minorHAnsi" w:hAnsiTheme="minorHAnsi"/>
                <w:position w:val="4"/>
                <w:sz w:val="16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883D26" w:rsidRPr="002A4C22" w:rsidRDefault="00C67D9B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2,2</w:t>
            </w:r>
            <w:r w:rsidR="00883D26" w:rsidRPr="002A4C22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83D26" w:rsidRPr="002A4C22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2,</w:t>
            </w:r>
            <w:r w:rsidR="00C67D9B" w:rsidRPr="002A4C22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2A4C22" w:rsidTr="00B3773F">
        <w:tc>
          <w:tcPr>
            <w:tcW w:w="7230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30" w:after="30"/>
              <w:ind w:left="284" w:hanging="284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position w:val="4"/>
                <w:sz w:val="16"/>
              </w:rPr>
              <w:t>*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4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Анализ рисков</w:t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2089"/>
        <w:gridCol w:w="4204"/>
        <w:gridCol w:w="1415"/>
        <w:gridCol w:w="1534"/>
        <w:gridCol w:w="4746"/>
      </w:tblGrid>
      <w:tr w:rsidR="00883D26" w:rsidRPr="002A4C22" w:rsidTr="00B3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883D26" w:rsidRPr="002A4C22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Предмет анализа рисков</w:t>
            </w:r>
          </w:p>
        </w:tc>
        <w:tc>
          <w:tcPr>
            <w:tcW w:w="4380" w:type="dxa"/>
            <w:vAlign w:val="center"/>
          </w:tcPr>
          <w:p w:rsidR="00883D26" w:rsidRPr="002A4C22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Описание риска</w:t>
            </w:r>
          </w:p>
        </w:tc>
        <w:tc>
          <w:tcPr>
            <w:tcW w:w="1432" w:type="dxa"/>
            <w:vAlign w:val="center"/>
          </w:tcPr>
          <w:p w:rsidR="00883D26" w:rsidRPr="002A4C22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883D26" w:rsidRPr="002A4C22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Уровень воздействия</w:t>
            </w:r>
          </w:p>
        </w:tc>
        <w:tc>
          <w:tcPr>
            <w:tcW w:w="4962" w:type="dxa"/>
            <w:vAlign w:val="center"/>
          </w:tcPr>
          <w:p w:rsidR="00883D26" w:rsidRPr="002A4C22" w:rsidRDefault="00883D26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Меры смягчения последствий</w:t>
            </w:r>
            <w:r w:rsidR="0005126D">
              <w:rPr>
                <w:rStyle w:val="FootnoteReference"/>
                <w:szCs w:val="18"/>
              </w:rPr>
              <w:footnoteReference w:id="2"/>
            </w:r>
          </w:p>
        </w:tc>
      </w:tr>
      <w:tr w:rsidR="00883D26" w:rsidRPr="002A4C22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Оперативный риск</w:t>
            </w:r>
          </w:p>
        </w:tc>
        <w:tc>
          <w:tcPr>
            <w:tcW w:w="438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a)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 xml:space="preserve">Полная или частичная потеря целостности данных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b)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3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Низкая</w:t>
            </w:r>
          </w:p>
        </w:tc>
        <w:tc>
          <w:tcPr>
            <w:tcW w:w="156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Очень высокий</w:t>
            </w:r>
          </w:p>
        </w:tc>
        <w:tc>
          <w:tcPr>
            <w:tcW w:w="496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Ежедневное дублирование данных.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Разработка программ обеспечения высокой безопасности данных.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883D26" w:rsidRPr="002A4C22" w:rsidTr="00B37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8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c)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3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Низкая</w:t>
            </w:r>
          </w:p>
        </w:tc>
        <w:tc>
          <w:tcPr>
            <w:tcW w:w="156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Высокий</w:t>
            </w:r>
          </w:p>
        </w:tc>
        <w:tc>
          <w:tcPr>
            <w:tcW w:w="496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семинаров, других соответствующих мероприятий.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Донесение и информирование о случаях вредных помех и содействие в их урегулировании в соответствии с распоряжениями Директора Бюро, содержащимися в Резолюции 186 (Пусан, 2014 г.).</w:t>
            </w:r>
          </w:p>
        </w:tc>
      </w:tr>
      <w:tr w:rsidR="00883D26" w:rsidRPr="002A4C22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Организационный риск</w:t>
            </w:r>
          </w:p>
        </w:tc>
        <w:tc>
          <w:tcPr>
            <w:tcW w:w="438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3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Средняя</w:t>
            </w:r>
          </w:p>
        </w:tc>
        <w:tc>
          <w:tcPr>
            <w:tcW w:w="156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Высокий</w:t>
            </w:r>
          </w:p>
        </w:tc>
        <w:tc>
          <w:tcPr>
            <w:tcW w:w="4962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Проведение большего количества собраний вне МСЭ.</w:t>
            </w:r>
          </w:p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−</w:t>
            </w:r>
            <w:r w:rsidRPr="002A4C22">
              <w:rPr>
                <w:rFonts w:ascii="Calibri" w:hAnsi="Calibri"/>
                <w:sz w:val="18"/>
                <w:szCs w:val="18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883D26" w:rsidRPr="002A4C22" w:rsidRDefault="00883D26" w:rsidP="00D17024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5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Задачи, конечные результаты и намеченные результаты деятельности МСЭ-R на 201</w:t>
      </w:r>
      <w:r w:rsidR="00D17024"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9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–202</w:t>
      </w:r>
      <w:r w:rsidR="00D17024"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2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 xml:space="preserve"> годы</w:t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40" w:lineRule="exact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межсекторальных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t>5.1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</w:r>
      <w:proofErr w:type="spellStart"/>
      <w:r w:rsidRPr="002A4C22">
        <w:rPr>
          <w:rFonts w:ascii="Calibri" w:hAnsi="Calibri" w:cs="Times New Roman Bold"/>
          <w:b/>
          <w:color w:val="4F81BD" w:themeColor="accent1"/>
          <w:szCs w:val="22"/>
        </w:rPr>
        <w:t>R.1</w:t>
      </w:r>
      <w:proofErr w:type="spellEnd"/>
      <w:r w:rsidRPr="002A4C22">
        <w:rPr>
          <w:rFonts w:ascii="Calibri" w:hAnsi="Calibri" w:cs="Times New Roman Bold"/>
          <w:b/>
          <w:color w:val="4F81BD" w:themeColor="accent1"/>
          <w:szCs w:val="22"/>
        </w:rPr>
        <w:t>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14007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850"/>
        <w:gridCol w:w="851"/>
        <w:gridCol w:w="850"/>
        <w:gridCol w:w="851"/>
        <w:gridCol w:w="1134"/>
        <w:gridCol w:w="1112"/>
      </w:tblGrid>
      <w:tr w:rsidR="00222E27" w:rsidRPr="002A4C22" w:rsidTr="009D0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222E27" w:rsidRPr="002A4C22" w:rsidRDefault="00222E27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4678" w:type="dxa"/>
            <w:vAlign w:val="center"/>
          </w:tcPr>
          <w:p w:rsidR="00222E27" w:rsidRPr="002A4C22" w:rsidRDefault="00222E27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850" w:type="dxa"/>
            <w:vAlign w:val="center"/>
          </w:tcPr>
          <w:p w:rsidR="00222E27" w:rsidRPr="002A4C22" w:rsidRDefault="00222E27" w:rsidP="009D02C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FFFFFF"/>
                <w:sz w:val="18"/>
                <w:szCs w:val="18"/>
              </w:rPr>
              <w:t>2014 г.</w:t>
            </w:r>
          </w:p>
        </w:tc>
        <w:tc>
          <w:tcPr>
            <w:tcW w:w="851" w:type="dxa"/>
            <w:vAlign w:val="center"/>
          </w:tcPr>
          <w:p w:rsidR="00222E27" w:rsidRPr="002A4C22" w:rsidRDefault="00222E27" w:rsidP="009D02C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FFFFFF"/>
                <w:sz w:val="18"/>
                <w:szCs w:val="18"/>
              </w:rPr>
              <w:t>2015 г.</w:t>
            </w:r>
          </w:p>
        </w:tc>
        <w:tc>
          <w:tcPr>
            <w:tcW w:w="850" w:type="dxa"/>
            <w:vAlign w:val="center"/>
          </w:tcPr>
          <w:p w:rsidR="00222E27" w:rsidRPr="002A4C22" w:rsidRDefault="00222E27" w:rsidP="009D02C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FFFFFF"/>
                <w:sz w:val="18"/>
                <w:szCs w:val="18"/>
              </w:rPr>
              <w:t>2016 г.</w:t>
            </w:r>
          </w:p>
        </w:tc>
        <w:tc>
          <w:tcPr>
            <w:tcW w:w="851" w:type="dxa"/>
            <w:vAlign w:val="center"/>
          </w:tcPr>
          <w:p w:rsidR="00222E27" w:rsidRPr="002A4C22" w:rsidRDefault="00222E27" w:rsidP="009D02C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FFFFFF"/>
                <w:sz w:val="18"/>
                <w:szCs w:val="18"/>
              </w:rPr>
              <w:t>2017 г.</w:t>
            </w:r>
          </w:p>
        </w:tc>
        <w:tc>
          <w:tcPr>
            <w:tcW w:w="1134" w:type="dxa"/>
            <w:vAlign w:val="center"/>
          </w:tcPr>
          <w:p w:rsidR="00222E27" w:rsidRPr="002A4C22" w:rsidRDefault="00222E27" w:rsidP="009D02C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FFFFFF"/>
                <w:sz w:val="18"/>
                <w:szCs w:val="18"/>
              </w:rPr>
              <w:t>Целевые показатели на 2020 г.</w:t>
            </w:r>
          </w:p>
        </w:tc>
        <w:tc>
          <w:tcPr>
            <w:tcW w:w="1112" w:type="dxa"/>
            <w:vAlign w:val="center"/>
          </w:tcPr>
          <w:p w:rsidR="00222E27" w:rsidRPr="002A4C22" w:rsidRDefault="00222E27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D17024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)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стран, имеющих спутниковые сети, зарегистрированные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БР/</w:t>
            </w:r>
            <w:proofErr w:type="spellStart"/>
            <w:r w:rsidRPr="002A4C22">
              <w:rPr>
                <w:rFonts w:asciiTheme="minorHAnsi" w:hAnsiTheme="minorHAnsi"/>
                <w:sz w:val="18"/>
                <w:szCs w:val="18"/>
              </w:rPr>
              <w:t>МСРЧ</w:t>
            </w:r>
            <w:proofErr w:type="spellEnd"/>
          </w:p>
        </w:tc>
      </w:tr>
      <w:tr w:rsidR="00D17024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стран, имеющих земные станции, зарегистрированные в 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</w:p>
        </w:tc>
        <w:tc>
          <w:tcPr>
            <w:tcW w:w="850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7024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Большее количество стран, имеющих частотные присвоения наземным службам, зарегистрированные в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МСРЧ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стран, имеющих частотные присвоения наземным службам, зарегистрированные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188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193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БР/</w:t>
            </w:r>
            <w:proofErr w:type="spellStart"/>
            <w:r w:rsidRPr="002A4C22">
              <w:rPr>
                <w:rFonts w:asciiTheme="minorHAnsi" w:hAnsiTheme="minorHAnsi"/>
                <w:sz w:val="18"/>
                <w:szCs w:val="18"/>
              </w:rPr>
              <w:t>МСРЧ</w:t>
            </w:r>
            <w:proofErr w:type="spellEnd"/>
          </w:p>
        </w:tc>
      </w:tr>
      <w:tr w:rsidR="00D17024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стран, которые зарегистрировали присвоения наземным службам 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за последние четыре года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7024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присвоений, зарегистрированных в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с благоприятным заключением</w:t>
            </w: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Подлежат координации (наземные службы)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86%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87%</w:t>
            </w:r>
          </w:p>
        </w:tc>
        <w:tc>
          <w:tcPr>
            <w:tcW w:w="85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88%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86%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БР/</w:t>
            </w:r>
            <w:proofErr w:type="spellStart"/>
            <w:r w:rsidRPr="002A4C22">
              <w:rPr>
                <w:rFonts w:asciiTheme="minorHAnsi" w:hAnsiTheme="minorHAnsi"/>
                <w:sz w:val="18"/>
                <w:szCs w:val="18"/>
              </w:rPr>
              <w:t>МСРЧ</w:t>
            </w:r>
            <w:proofErr w:type="spellEnd"/>
          </w:p>
        </w:tc>
      </w:tr>
      <w:tr w:rsidR="00D17024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Подпадают под действие плана (наземные службы)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92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81%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74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46%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74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32%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74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40%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75%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7024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Другие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98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34%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eastAsia="fr-FR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98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98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46%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98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46%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98%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7024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17%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27%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28%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30%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70%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БР и БРЭ</w:t>
            </w:r>
          </w:p>
        </w:tc>
      </w:tr>
      <w:tr w:rsidR="00D17024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-5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2A4C22">
              <w:rPr>
                <w:b w:val="0"/>
                <w:bCs w:val="0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97%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96%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96%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96%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r w:rsidRPr="002A4C22">
              <w:rPr>
                <w:rFonts w:asciiTheme="minorHAnsi" w:hAnsiTheme="minorHAnsi"/>
                <w:sz w:val="18"/>
                <w:szCs w:val="18"/>
                <w:lang w:eastAsia="fr-FR"/>
              </w:rPr>
              <w:t>БР/</w:t>
            </w:r>
            <w:proofErr w:type="spellStart"/>
            <w:r w:rsidRPr="002A4C22">
              <w:rPr>
                <w:rFonts w:asciiTheme="minorHAnsi" w:hAnsiTheme="minorHAnsi"/>
                <w:sz w:val="18"/>
                <w:szCs w:val="18"/>
                <w:lang w:eastAsia="fr-FR"/>
              </w:rPr>
              <w:t>МСРЧ</w:t>
            </w:r>
            <w:proofErr w:type="spellEnd"/>
          </w:p>
        </w:tc>
      </w:tr>
      <w:tr w:rsidR="00D17024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17024" w:rsidRPr="002A4C22" w:rsidRDefault="00D17024" w:rsidP="00D17024">
            <w:pPr>
              <w:spacing w:before="40" w:after="40"/>
              <w:rPr>
                <w:rFonts w:asciiTheme="minorHAnsi" w:hAnsiTheme="minorHAnsi"/>
                <w:b w:val="0"/>
                <w:bCs w:val="0"/>
                <w:color w:val="5B9BD5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-6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присвоений наземным службам, зарегистрированных в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МСРЧ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, которые свободны от вредных помех</w:t>
            </w:r>
          </w:p>
        </w:tc>
        <w:tc>
          <w:tcPr>
            <w:tcW w:w="4678" w:type="dxa"/>
            <w:shd w:val="clear" w:color="auto" w:fill="auto"/>
          </w:tcPr>
          <w:p w:rsidR="00D17024" w:rsidRPr="002A4C22" w:rsidRDefault="00D17024" w:rsidP="00D1702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МСЭ)</w:t>
            </w:r>
          </w:p>
        </w:tc>
        <w:tc>
          <w:tcPr>
            <w:tcW w:w="850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851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850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851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1134" w:type="dxa"/>
            <w:vAlign w:val="center"/>
          </w:tcPr>
          <w:p w:rsidR="00D17024" w:rsidRPr="002A4C22" w:rsidRDefault="00D17024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99</w:t>
            </w:r>
            <w:r w:rsidR="00222E27" w:rsidRPr="002A4C22">
              <w:rPr>
                <w:rFonts w:asciiTheme="minorHAnsi" w:hAnsiTheme="minorHAnsi"/>
                <w:sz w:val="18"/>
                <w:szCs w:val="18"/>
              </w:rPr>
              <w:t>,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17024" w:rsidRPr="002A4C22" w:rsidRDefault="00D17024" w:rsidP="009D02C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r w:rsidRPr="002A4C22">
              <w:rPr>
                <w:rFonts w:asciiTheme="minorHAnsi" w:hAnsiTheme="minorHAnsi"/>
                <w:sz w:val="18"/>
                <w:szCs w:val="18"/>
                <w:lang w:eastAsia="fr-FR"/>
              </w:rPr>
              <w:t>БР/</w:t>
            </w:r>
            <w:proofErr w:type="spellStart"/>
            <w:r w:rsidRPr="002A4C22">
              <w:rPr>
                <w:rFonts w:asciiTheme="minorHAnsi" w:hAnsiTheme="minorHAnsi"/>
                <w:sz w:val="18"/>
                <w:szCs w:val="18"/>
                <w:lang w:eastAsia="fr-FR"/>
              </w:rPr>
              <w:t>МСРЧ</w:t>
            </w:r>
            <w:proofErr w:type="spellEnd"/>
          </w:p>
        </w:tc>
      </w:tr>
    </w:tbl>
    <w:p w:rsidR="00883D26" w:rsidRPr="002A4C22" w:rsidRDefault="00883D26" w:rsidP="00883D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42"/>
        <w:gridCol w:w="1436"/>
        <w:gridCol w:w="1437"/>
        <w:gridCol w:w="1436"/>
        <w:gridCol w:w="1437"/>
      </w:tblGrid>
      <w:tr w:rsidR="00883D26" w:rsidRPr="002A4C22" w:rsidTr="005A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vAlign w:val="center"/>
          </w:tcPr>
          <w:p w:rsidR="00883D26" w:rsidRPr="002A4C22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lastRenderedPageBreak/>
              <w:t>Намеченный результат деятельности</w:t>
            </w:r>
          </w:p>
        </w:tc>
        <w:tc>
          <w:tcPr>
            <w:tcW w:w="5746" w:type="dxa"/>
            <w:gridSpan w:val="4"/>
            <w:vAlign w:val="center"/>
          </w:tcPr>
          <w:p w:rsidR="00883D26" w:rsidRPr="002A4C22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Финансовые ресурсы</w:t>
            </w:r>
            <w:r w:rsidRPr="002A4C22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</w:rPr>
              <w:footnoteReference w:id="3"/>
            </w:r>
            <w:r w:rsidRPr="002A4C22">
              <w:rPr>
                <w:rFonts w:asciiTheme="minorHAnsi" w:hAnsiTheme="minorHAnsi"/>
                <w:sz w:val="18"/>
                <w:szCs w:val="18"/>
              </w:rPr>
              <w:t xml:space="preserve"> (в тыс. швейцарских франков)</w:t>
            </w:r>
          </w:p>
        </w:tc>
      </w:tr>
      <w:tr w:rsidR="00222E27" w:rsidRPr="002A4C22" w:rsidTr="0022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222E27">
            <w:pPr>
              <w:overflowPunct/>
              <w:autoSpaceDE/>
              <w:adjustRightInd/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  <w:t>2019 г.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222E27">
            <w:pPr>
              <w:overflowPunct/>
              <w:autoSpaceDE/>
              <w:adjustRightInd/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  <w:t>2020 г.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222E27">
            <w:pPr>
              <w:overflowPunct/>
              <w:autoSpaceDE/>
              <w:adjustRightInd/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  <w:t>2021 г.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222E27">
            <w:pPr>
              <w:overflowPunct/>
              <w:autoSpaceDE/>
              <w:adjustRightInd/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color w:val="5B9BD5"/>
                <w:sz w:val="18"/>
                <w:szCs w:val="18"/>
              </w:rPr>
              <w:t>2022 г.</w:t>
            </w:r>
          </w:p>
        </w:tc>
      </w:tr>
      <w:tr w:rsidR="00222E27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Заключительные акты всемирных конференций радиосвязи, обновленный Регламент радиосвязи</w:t>
            </w:r>
            <w:r w:rsidRPr="002A4C2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9 404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1 029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1 034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1 784</w:t>
            </w:r>
          </w:p>
        </w:tc>
      </w:tr>
      <w:tr w:rsidR="00222E27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341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309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242</w:t>
            </w:r>
          </w:p>
        </w:tc>
      </w:tr>
      <w:tr w:rsidR="00222E27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Правила процедуры, принятые </w:t>
            </w:r>
            <w:proofErr w:type="spellStart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Радиорегламентарным</w:t>
            </w:r>
            <w:proofErr w:type="spellEnd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комитетом (</w:t>
            </w:r>
            <w:proofErr w:type="spellStart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1 225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1 262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1 234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1 288</w:t>
            </w:r>
          </w:p>
        </w:tc>
      </w:tr>
      <w:tr w:rsidR="00222E27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15 072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15 956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16 031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15 063</w:t>
            </w:r>
          </w:p>
        </w:tc>
      </w:tr>
      <w:tr w:rsidR="00222E27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-5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7 391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7 464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7 421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7 519</w:t>
            </w:r>
          </w:p>
        </w:tc>
      </w:tr>
      <w:tr w:rsidR="00222E27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-6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Решения </w:t>
            </w:r>
            <w:proofErr w:type="spellStart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РРК</w:t>
            </w:r>
            <w:proofErr w:type="spellEnd"/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, не касающиеся принятия Правил процедуры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956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1 455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1 451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1 204</w:t>
            </w:r>
          </w:p>
        </w:tc>
      </w:tr>
      <w:tr w:rsidR="00222E27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-7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Совершенствование программного обеспечения МСЭ-R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7 640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7 586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7 606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7 776</w:t>
            </w:r>
          </w:p>
        </w:tc>
      </w:tr>
      <w:tr w:rsidR="00222E27" w:rsidRPr="002A4C22" w:rsidTr="009D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ПК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, </w:t>
            </w:r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Совет/РГС</w:t>
            </w:r>
            <w:r w:rsidRPr="002A4C2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1 244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1 070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2 090</w:t>
            </w:r>
          </w:p>
        </w:tc>
      </w:tr>
      <w:tr w:rsidR="00222E27" w:rsidRPr="002A4C22" w:rsidTr="009D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Всего по Задаче </w:t>
            </w:r>
            <w:proofErr w:type="spellStart"/>
            <w:r w:rsidRPr="002A4C2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</w:t>
            </w:r>
            <w:proofErr w:type="spellEnd"/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43 273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36 132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36 307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22E27" w:rsidRPr="002A4C22" w:rsidRDefault="00222E27" w:rsidP="009D02C5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36 965</w:t>
            </w:r>
          </w:p>
        </w:tc>
      </w:tr>
    </w:tbl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br w:type="page"/>
      </w:r>
    </w:p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lastRenderedPageBreak/>
        <w:t>5.2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</w:r>
      <w:proofErr w:type="spellStart"/>
      <w:r w:rsidRPr="002A4C22">
        <w:rPr>
          <w:rFonts w:ascii="Calibri" w:hAnsi="Calibri" w:cs="Times New Roman Bold"/>
          <w:b/>
          <w:color w:val="4F81BD" w:themeColor="accent1"/>
          <w:szCs w:val="22"/>
        </w:rPr>
        <w:t>R.2</w:t>
      </w:r>
      <w:proofErr w:type="spellEnd"/>
      <w:r w:rsidRPr="002A4C22">
        <w:rPr>
          <w:rFonts w:ascii="Calibri" w:hAnsi="Calibri" w:cs="Times New Roman Bold"/>
          <w:b/>
          <w:color w:val="4F81BD" w:themeColor="accent1"/>
          <w:szCs w:val="22"/>
        </w:rPr>
        <w:t>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0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850"/>
        <w:gridCol w:w="851"/>
        <w:gridCol w:w="850"/>
        <w:gridCol w:w="851"/>
        <w:gridCol w:w="850"/>
        <w:gridCol w:w="1134"/>
        <w:gridCol w:w="2530"/>
      </w:tblGrid>
      <w:tr w:rsidR="00D4702E" w:rsidRPr="002A4C22" w:rsidTr="00641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4702E" w:rsidRPr="002A4C22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D4702E" w:rsidRPr="002A4C22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  <w:r w:rsidRPr="002A4C22">
              <w:rPr>
                <w:rFonts w:asciiTheme="minorHAnsi" w:hAnsiTheme="minorHAnsi"/>
                <w:b w:val="0"/>
                <w:position w:val="6"/>
                <w:sz w:val="16"/>
                <w:szCs w:val="18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D4702E" w:rsidRPr="002A4C22" w:rsidRDefault="00D4702E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</w:t>
            </w:r>
            <w:r w:rsidR="00222E27" w:rsidRPr="002A4C22">
              <w:rPr>
                <w:rFonts w:ascii="Calibri" w:hAnsi="Calibri"/>
                <w:sz w:val="18"/>
                <w:szCs w:val="18"/>
              </w:rPr>
              <w:t>3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D4702E" w:rsidRPr="002A4C22" w:rsidRDefault="00D4702E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</w:t>
            </w:r>
            <w:r w:rsidR="00222E27" w:rsidRPr="002A4C22">
              <w:rPr>
                <w:rFonts w:ascii="Calibri" w:hAnsi="Calibri"/>
                <w:sz w:val="18"/>
                <w:szCs w:val="18"/>
              </w:rPr>
              <w:t>4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D4702E" w:rsidRPr="002A4C22" w:rsidRDefault="00D4702E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</w:t>
            </w:r>
            <w:r w:rsidR="00222E27" w:rsidRPr="002A4C22">
              <w:rPr>
                <w:rFonts w:ascii="Calibri" w:hAnsi="Calibri"/>
                <w:sz w:val="18"/>
                <w:szCs w:val="18"/>
              </w:rPr>
              <w:t>5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D4702E" w:rsidRPr="002A4C22" w:rsidRDefault="00D4702E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</w:t>
            </w:r>
            <w:r w:rsidR="00222E27" w:rsidRPr="002A4C22">
              <w:rPr>
                <w:rFonts w:ascii="Calibri" w:hAnsi="Calibri"/>
                <w:sz w:val="18"/>
                <w:szCs w:val="18"/>
              </w:rPr>
              <w:t>6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D4702E" w:rsidRPr="002A4C22" w:rsidRDefault="00D4702E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</w:t>
            </w:r>
            <w:r w:rsidR="00222E27" w:rsidRPr="002A4C22">
              <w:rPr>
                <w:rFonts w:ascii="Calibri" w:hAnsi="Calibri"/>
                <w:sz w:val="18"/>
                <w:szCs w:val="18"/>
              </w:rPr>
              <w:t>7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4702E" w:rsidRPr="002A4C22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Целевые</w:t>
            </w:r>
            <w:r w:rsidRPr="002A4C22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2A4C22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2530" w:type="dxa"/>
            <w:vAlign w:val="center"/>
          </w:tcPr>
          <w:p w:rsidR="00D4702E" w:rsidRPr="002A4C22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контрактов/абонентов (млрд.)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6,67/</w:t>
            </w:r>
            <w:r w:rsidR="00C01B4E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7,01/</w:t>
            </w:r>
            <w:r w:rsidR="00C01B4E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7,22/</w:t>
            </w:r>
            <w:r w:rsidR="00C01B4E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326B0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7,51/</w:t>
            </w:r>
            <w:r w:rsidR="009D02C5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5,18</w:t>
            </w:r>
            <w:r w:rsidR="00326B07" w:rsidRPr="002A4C22">
              <w:rPr>
                <w:rStyle w:val="FootnoteReference"/>
                <w:color w:val="000000"/>
                <w:position w:val="2"/>
                <w:szCs w:val="18"/>
              </w:rPr>
              <w:footnoteReference w:customMarkFollows="1" w:id="5"/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7,74*/</w:t>
            </w:r>
            <w:r w:rsidR="009D02C5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5,34*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222E27" w:rsidRPr="002A4C22" w:rsidRDefault="00B01128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Статистические данные БРЭ МСЭ в области ИКТ</w:t>
            </w: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Процентная доля контрактов на подвижную широкополосную связь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51%*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55%*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83,7%</w:t>
            </w: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01128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</w:t>
            </w:r>
            <w:proofErr w:type="spellStart"/>
            <w:r w:rsidRPr="002A4C22">
              <w:rPr>
                <w:rFonts w:ascii="Calibri" w:hAnsi="Calibri"/>
                <w:b w:val="0"/>
                <w:sz w:val="18"/>
                <w:szCs w:val="18"/>
              </w:rPr>
              <w:t>ВНД</w:t>
            </w:r>
            <w:proofErr w:type="spellEnd"/>
            <w:r w:rsidRPr="002A4C22">
              <w:rPr>
                <w:rFonts w:ascii="Calibri" w:hAnsi="Calibri"/>
                <w:b w:val="0"/>
                <w:sz w:val="18"/>
                <w:szCs w:val="18"/>
              </w:rPr>
              <w:t>) на душу населения</w:t>
            </w:r>
          </w:p>
        </w:tc>
        <w:tc>
          <w:tcPr>
            <w:tcW w:w="2977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Размер корзины цен на услуги подвижной широкополосной связи, выраженный в процентах от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ВНД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на душу населения (с предоплатой, на базе мобильного телефона, 500 Мбайт)</w:t>
            </w:r>
          </w:p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Мир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3,88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Статистические данные БРЭ МСЭ в области ИКТ</w:t>
            </w: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Развитые страны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sz w:val="18"/>
                <w:szCs w:val="18"/>
              </w:rPr>
              <w:t>0,57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Развивающиеся страны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11,6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Наименее развитые страны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30,3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стран, где размер корзины цен составляет менее 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Увеличение числа фиксированных линий и увеличение объема трафика, переносимого фиксированной службой (Тбит/с)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Число фиксированных линий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3D64FE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</w:t>
            </w:r>
            <w:r w:rsidR="004612DD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3D64FE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</w:t>
            </w:r>
            <w:r w:rsidR="004612DD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3D64FE" w:rsidP="004612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</w:t>
            </w:r>
            <w:r w:rsidR="004612DD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4612DD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Данные будут получены по результатам обследования БРЭ в области ИКТ</w:t>
            </w: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Суммарная емкость (в Тбит/с)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4612DD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Данные будут получены по результатам обследования БРЭ в области ИКТ</w:t>
            </w: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Число домашних хозяйств, принимающих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ЦНТ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(млн.)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164,7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203,3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sz w:val="18"/>
                <w:szCs w:val="18"/>
              </w:rPr>
              <w:t>235,5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222E27" w:rsidRPr="002A4C22" w:rsidRDefault="00222E27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Справочный отчет "Мир цифрового ТВ", ию</w:t>
            </w:r>
            <w:r w:rsidR="00B01128" w:rsidRPr="002A4C22">
              <w:rPr>
                <w:rFonts w:ascii="Calibri" w:hAnsi="Calibri"/>
                <w:sz w:val="18"/>
                <w:szCs w:val="18"/>
              </w:rPr>
              <w:t>л</w:t>
            </w:r>
            <w:r w:rsidRPr="002A4C22">
              <w:rPr>
                <w:rFonts w:ascii="Calibri" w:hAnsi="Calibri"/>
                <w:sz w:val="18"/>
                <w:szCs w:val="18"/>
              </w:rPr>
              <w:t>ь 201</w:t>
            </w:r>
            <w:r w:rsidR="00B01128" w:rsidRPr="002A4C22">
              <w:rPr>
                <w:rFonts w:ascii="Calibri" w:hAnsi="Calibri"/>
                <w:sz w:val="18"/>
                <w:szCs w:val="18"/>
              </w:rPr>
              <w:t>7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 г.,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Digital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TV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Research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Ltd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Справочный отчет</w:t>
            </w: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bookmarkStart w:id="6" w:name="lt_pId444"/>
            <w:r w:rsidRPr="002A4C22">
              <w:rPr>
                <w:rFonts w:ascii="Calibri" w:hAnsi="Calibri"/>
                <w:sz w:val="18"/>
                <w:szCs w:val="18"/>
              </w:rPr>
              <w:t>Число домашних хозяйств, принимающих АНТ</w:t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(млн.)</w:t>
            </w:r>
            <w:bookmarkEnd w:id="6"/>
          </w:p>
        </w:tc>
        <w:tc>
          <w:tcPr>
            <w:tcW w:w="850" w:type="dxa"/>
            <w:shd w:val="clear" w:color="auto" w:fill="FFFFFF" w:themeFill="background1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851" w:type="dxa"/>
            <w:shd w:val="clear" w:color="auto" w:fill="FFFFFF" w:themeFill="background1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319,8</w:t>
            </w:r>
          </w:p>
        </w:tc>
        <w:tc>
          <w:tcPr>
            <w:tcW w:w="850" w:type="dxa"/>
            <w:shd w:val="clear" w:color="auto" w:fill="auto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251,6</w:t>
            </w:r>
          </w:p>
        </w:tc>
        <w:tc>
          <w:tcPr>
            <w:tcW w:w="851" w:type="dxa"/>
            <w:shd w:val="clear" w:color="auto" w:fill="auto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850" w:type="dxa"/>
            <w:shd w:val="clear" w:color="auto" w:fill="auto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E27" w:rsidRPr="002A4C22" w:rsidRDefault="00222E27" w:rsidP="00222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bookmarkStart w:id="7" w:name="lt_pId449"/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Общее ч</w:t>
            </w:r>
            <w:r w:rsidRPr="002A4C22">
              <w:rPr>
                <w:rFonts w:ascii="Calibri" w:hAnsi="Calibri"/>
                <w:i/>
                <w:sz w:val="18"/>
                <w:szCs w:val="18"/>
              </w:rPr>
              <w:t>исло домашних хозяйств, принимающих</w:t>
            </w: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ЦНT</w:t>
            </w:r>
            <w:proofErr w:type="spellEnd"/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AНТ</w:t>
            </w:r>
            <w:proofErr w:type="spellEnd"/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(млн.)</w:t>
            </w:r>
            <w:bookmarkEnd w:id="7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529,3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487,1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Процент домашних хозяйств, принимающих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ЦНТ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Процент домашних хозяйств, принимающих АНТ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18,7%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12,6%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9,1%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Процент домашних хозяйств, принимающих наземное телевидение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27,2%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26,6%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24,5%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22,6%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2E27" w:rsidRPr="0005126D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keepNext/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-5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 xml:space="preserve">: Число работающих спутниковых ретрансляторов (эквивалент 36 МГц) и соответствующая пропускная способность (Тбит/с); число терминалов </w:t>
            </w:r>
            <w:proofErr w:type="spellStart"/>
            <w:r w:rsidRPr="002A4C22">
              <w:rPr>
                <w:rFonts w:ascii="Calibri" w:hAnsi="Calibri"/>
                <w:b w:val="0"/>
                <w:sz w:val="18"/>
                <w:szCs w:val="18"/>
              </w:rPr>
              <w:t>VSAT</w:t>
            </w:r>
            <w:proofErr w:type="spellEnd"/>
            <w:r w:rsidRPr="002A4C22">
              <w:rPr>
                <w:rFonts w:ascii="Calibri" w:hAnsi="Calibri"/>
                <w:b w:val="0"/>
                <w:sz w:val="18"/>
                <w:szCs w:val="18"/>
              </w:rPr>
              <w:t>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 w:rsidR="00B01128"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</w:t>
            </w:r>
            <w:r w:rsidR="00B01128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</w:t>
            </w:r>
            <w:r w:rsidR="00B01128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19</w:t>
            </w:r>
            <w:r w:rsidR="00B01128"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05126D" w:rsidRDefault="00222E27" w:rsidP="00326B07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proofErr w:type="spellStart"/>
            <w:r w:rsidRPr="0005126D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05126D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 </w:t>
            </w:r>
            <w:r w:rsidRPr="0005126D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14" w:history="1">
              <w:r w:rsidR="00326B07" w:rsidRPr="0005126D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05126D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222E27" w:rsidRPr="0005126D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05126D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Соответствующая пропускная способность (Тбит/с)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1,095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1,269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1,491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05126D" w:rsidRDefault="00222E27" w:rsidP="00326B0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es-ES" w:eastAsia="fr-FR"/>
              </w:rPr>
            </w:pPr>
            <w:proofErr w:type="spellStart"/>
            <w:r w:rsidRPr="0005126D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05126D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 </w:t>
            </w:r>
            <w:r w:rsidRPr="0005126D">
              <w:rPr>
                <w:rFonts w:asciiTheme="minorHAnsi" w:hAnsiTheme="minorHAnsi"/>
                <w:sz w:val="18"/>
                <w:szCs w:val="18"/>
                <w:lang w:val="es-ES"/>
              </w:rPr>
              <w:t>(</w:t>
            </w:r>
            <w:hyperlink r:id="rId15" w:history="1">
              <w:r w:rsidR="00326B07" w:rsidRPr="0005126D">
                <w:rPr>
                  <w:rStyle w:val="Hyperlink"/>
                  <w:rFonts w:asciiTheme="minorHAnsi" w:hAnsiTheme="minorHAnsi"/>
                  <w:sz w:val="18"/>
                  <w:szCs w:val="18"/>
                  <w:lang w:val="es-ES"/>
                </w:rPr>
                <w:t>http://www.euroconsult-ec.com</w:t>
              </w:r>
            </w:hyperlink>
            <w:r w:rsidRPr="0005126D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05126D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Число терминалов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VSAT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(млн.)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3,480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3,786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3,891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3,838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326B0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  <w:t xml:space="preserve">Глобальный форум </w:t>
            </w:r>
            <w:proofErr w:type="spellStart"/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  <w:t>VSAT</w:t>
            </w:r>
            <w:proofErr w:type="spellEnd"/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</w:t>
            </w:r>
            <w:hyperlink r:id="rId16" w:history="1">
              <w:r w:rsidR="00326B07" w:rsidRPr="002A4C2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https://gvf.org</w:t>
              </w:r>
            </w:hyperlink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систем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DTH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(млн.)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337,3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411,1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Справочный отчет "Мир цифрового ТВ", ию</w:t>
            </w:r>
            <w:r w:rsidR="00B01128" w:rsidRPr="002A4C22">
              <w:rPr>
                <w:rFonts w:ascii="Calibri" w:hAnsi="Calibri"/>
                <w:sz w:val="18"/>
                <w:szCs w:val="18"/>
              </w:rPr>
              <w:t>л</w:t>
            </w:r>
            <w:r w:rsidRPr="002A4C22">
              <w:rPr>
                <w:rFonts w:ascii="Calibri" w:hAnsi="Calibri"/>
                <w:sz w:val="18"/>
                <w:szCs w:val="18"/>
              </w:rPr>
              <w:t>ь 201</w:t>
            </w:r>
            <w:r w:rsidR="00B01128" w:rsidRPr="002A4C22">
              <w:rPr>
                <w:rFonts w:ascii="Calibri" w:hAnsi="Calibri"/>
                <w:sz w:val="18"/>
                <w:szCs w:val="18"/>
              </w:rPr>
              <w:t>7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 г.,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Digital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TV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Research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Ltd</w:t>
            </w:r>
            <w:proofErr w:type="spellEnd"/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-6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действующих группировок/спутников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ГНСС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4/75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5/90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6/144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БР/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устройств со встроенными приемниками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ГНСС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 (млрд.)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5,8</w:t>
            </w:r>
            <w:r w:rsidR="008231BE" w:rsidRPr="002A4C22">
              <w:rPr>
                <w:rStyle w:val="FootnoteReference"/>
                <w:color w:val="000000"/>
                <w:position w:val="2"/>
                <w:szCs w:val="18"/>
              </w:rPr>
              <w:footnoteReference w:customMarkFollows="1" w:id="6"/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326B0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Европейское агентство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ГНСС</w:t>
            </w:r>
            <w:proofErr w:type="spellEnd"/>
            <w:r w:rsidRPr="002A4C22">
              <w:rPr>
                <w:rFonts w:ascii="Calibri" w:hAnsi="Calibri"/>
                <w:sz w:val="18"/>
                <w:szCs w:val="18"/>
              </w:rPr>
              <w:t xml:space="preserve">; Отчет о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ГНСС</w:t>
            </w:r>
            <w:proofErr w:type="spellEnd"/>
            <w:r w:rsidR="00326B07"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</w:t>
            </w:r>
            <w:hyperlink r:id="rId17" w:history="1">
              <w:r w:rsidR="00326B07" w:rsidRPr="002A4C2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https://www.gsa.europa.eu</w:t>
              </w:r>
            </w:hyperlink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222E27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-7</w:t>
            </w:r>
            <w:r w:rsidRPr="002A4C22">
              <w:rPr>
                <w:rFonts w:ascii="Calibri" w:hAnsi="Calibri"/>
                <w:b w:val="0"/>
                <w:sz w:val="18"/>
                <w:szCs w:val="18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Количество спутников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ДЗЗ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БР/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МСРЧ</w:t>
            </w:r>
            <w:proofErr w:type="spellEnd"/>
          </w:p>
        </w:tc>
      </w:tr>
      <w:tr w:rsidR="00222E27" w:rsidRPr="002A4C22" w:rsidTr="00641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22E27" w:rsidRPr="002A4C22" w:rsidRDefault="00222E27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передаваемых изображений (млн.)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E27" w:rsidRPr="002A4C22" w:rsidRDefault="00222E27" w:rsidP="009D02C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222E27" w:rsidRPr="002A4C22" w:rsidRDefault="00B01128" w:rsidP="00222E2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Различные заинтересованные стороны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КОПУОС</w:t>
            </w:r>
            <w:proofErr w:type="spellEnd"/>
          </w:p>
        </w:tc>
      </w:tr>
      <w:tr w:rsidR="00B01128" w:rsidRPr="002A4C22" w:rsidTr="00641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Размер загружаемых изображений (Тбайт)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22 000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27 000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37 000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128" w:rsidRPr="002A4C22" w:rsidRDefault="00B01128" w:rsidP="009D02C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н. д.</w:t>
            </w:r>
          </w:p>
        </w:tc>
        <w:tc>
          <w:tcPr>
            <w:tcW w:w="253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 xml:space="preserve">Различные заинтересованные стороны </w:t>
            </w:r>
            <w:proofErr w:type="spellStart"/>
            <w:r w:rsidRPr="002A4C22">
              <w:rPr>
                <w:rFonts w:ascii="Calibri" w:hAnsi="Calibri"/>
                <w:sz w:val="18"/>
                <w:szCs w:val="18"/>
              </w:rPr>
              <w:t>КОПУОС</w:t>
            </w:r>
            <w:proofErr w:type="spellEnd"/>
          </w:p>
        </w:tc>
      </w:tr>
    </w:tbl>
    <w:p w:rsidR="00190B61" w:rsidRPr="002A4C22" w:rsidRDefault="00190B61" w:rsidP="007350CA"/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7900"/>
        <w:gridCol w:w="1522"/>
        <w:gridCol w:w="1522"/>
        <w:gridCol w:w="1522"/>
        <w:gridCol w:w="1522"/>
      </w:tblGrid>
      <w:tr w:rsidR="00883D26" w:rsidRPr="002A4C22" w:rsidTr="0019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6088" w:type="dxa"/>
            <w:gridSpan w:val="4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Финансовые ресурсы</w:t>
            </w:r>
            <w:r w:rsidRPr="002A4C22">
              <w:rPr>
                <w:rFonts w:asciiTheme="minorHAnsi" w:hAnsiTheme="minorHAnsi"/>
                <w:position w:val="6"/>
                <w:sz w:val="16"/>
                <w:szCs w:val="16"/>
              </w:rPr>
              <w:footnoteReference w:id="7"/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(в тыс. швейцарских франков)</w:t>
            </w:r>
          </w:p>
        </w:tc>
      </w:tr>
      <w:tr w:rsidR="00883D26" w:rsidRPr="002A4C22" w:rsidTr="0019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:rsidR="00883D26" w:rsidRPr="002A4C22" w:rsidRDefault="00883D26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B0112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9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2A4C22" w:rsidRDefault="00883D26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B0112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2A4C22" w:rsidRDefault="00883D26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A05ABB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B0112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2A4C22" w:rsidRDefault="00883D26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A05ABB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02</w:t>
            </w:r>
            <w:r w:rsidR="00B0112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B01128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Решения Ассамблеи радиосвязи, Резолюции МСЭ-R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2 160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1 390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1 395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1 023</w:t>
            </w:r>
          </w:p>
        </w:tc>
      </w:tr>
      <w:tr w:rsidR="00B01128" w:rsidRPr="002A4C22" w:rsidTr="00BF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Рекомендации, Отчеты (включая отчет </w:t>
            </w:r>
            <w:proofErr w:type="spellStart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ПСК</w:t>
            </w:r>
            <w:proofErr w:type="spellEnd"/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) и Справочники МСЭ-R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6 087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5 790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5 833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5 255</w:t>
            </w:r>
          </w:p>
        </w:tc>
      </w:tr>
      <w:tr w:rsidR="00B01128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Рекомендация Консультативной группы по радиосвязи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1 279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1 009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1 009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1 250</w:t>
            </w:r>
          </w:p>
        </w:tc>
      </w:tr>
      <w:tr w:rsidR="00B01128" w:rsidRPr="002A4C22" w:rsidTr="00BF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ПК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, </w:t>
            </w: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Совет/РГС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286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287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>446</w:t>
            </w:r>
          </w:p>
        </w:tc>
      </w:tr>
      <w:tr w:rsidR="00B01128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B01128" w:rsidRPr="002A4C22" w:rsidRDefault="00B01128" w:rsidP="00B0112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 xml:space="preserve">Всего по Задаче </w:t>
            </w: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9 812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8 439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8 524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01128" w:rsidRPr="002A4C22" w:rsidRDefault="00B01128" w:rsidP="00BF4206">
            <w:pPr>
              <w:overflowPunct/>
              <w:autoSpaceDE/>
              <w:adjustRightInd/>
              <w:spacing w:before="40" w:after="40"/>
              <w:ind w:right="38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7 973</w:t>
            </w:r>
          </w:p>
        </w:tc>
      </w:tr>
    </w:tbl>
    <w:p w:rsidR="007350CA" w:rsidRPr="002A4C22" w:rsidRDefault="007350CA" w:rsidP="007350CA">
      <w:r w:rsidRPr="002A4C22">
        <w:br w:type="page"/>
      </w:r>
    </w:p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Cs w:val="22"/>
        </w:rPr>
        <w:lastRenderedPageBreak/>
        <w:t>5.3</w:t>
      </w:r>
      <w:r w:rsidRPr="002A4C22">
        <w:rPr>
          <w:rFonts w:ascii="Calibri" w:hAnsi="Calibri" w:cs="Times New Roman Bold"/>
          <w:b/>
          <w:color w:val="4F81BD" w:themeColor="accent1"/>
          <w:szCs w:val="22"/>
        </w:rPr>
        <w:tab/>
      </w:r>
      <w:proofErr w:type="spellStart"/>
      <w:r w:rsidRPr="002A4C22">
        <w:rPr>
          <w:rFonts w:ascii="Calibri" w:hAnsi="Calibri" w:cs="Times New Roman Bold"/>
          <w:b/>
          <w:color w:val="4F81BD" w:themeColor="accent1"/>
          <w:szCs w:val="22"/>
        </w:rPr>
        <w:t>R.3</w:t>
      </w:r>
      <w:proofErr w:type="spellEnd"/>
      <w:r w:rsidRPr="002A4C22">
        <w:rPr>
          <w:rFonts w:ascii="Calibri" w:hAnsi="Calibri" w:cs="Times New Roman Bold"/>
          <w:b/>
          <w:color w:val="4F81BD" w:themeColor="accent1"/>
          <w:szCs w:val="22"/>
        </w:rPr>
        <w:t>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029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993"/>
        <w:gridCol w:w="1134"/>
        <w:gridCol w:w="992"/>
        <w:gridCol w:w="992"/>
        <w:gridCol w:w="1134"/>
        <w:gridCol w:w="1985"/>
      </w:tblGrid>
      <w:tr w:rsidR="00FC2F03" w:rsidRPr="002A4C22" w:rsidTr="00326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C2F03" w:rsidRPr="002A4C22" w:rsidRDefault="00FC2F0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3969" w:type="dxa"/>
            <w:vAlign w:val="center"/>
          </w:tcPr>
          <w:p w:rsidR="00FC2F03" w:rsidRPr="002A4C22" w:rsidRDefault="00FC2F0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993" w:type="dxa"/>
            <w:vAlign w:val="center"/>
          </w:tcPr>
          <w:p w:rsidR="00FC2F03" w:rsidRPr="002A4C22" w:rsidRDefault="00FC2F0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2014 г.</w:t>
            </w:r>
          </w:p>
        </w:tc>
        <w:tc>
          <w:tcPr>
            <w:tcW w:w="1134" w:type="dxa"/>
            <w:vAlign w:val="center"/>
          </w:tcPr>
          <w:p w:rsidR="00FC2F03" w:rsidRPr="002A4C22" w:rsidRDefault="00FC2F0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2015 г.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2016 г.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2017 г.</w:t>
            </w:r>
          </w:p>
        </w:tc>
        <w:tc>
          <w:tcPr>
            <w:tcW w:w="1134" w:type="dxa"/>
            <w:vAlign w:val="center"/>
          </w:tcPr>
          <w:p w:rsidR="00FC2F03" w:rsidRPr="002A4C22" w:rsidRDefault="00FC2F03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Целевые</w:t>
            </w:r>
            <w:r w:rsidRPr="002A4C22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2A4C22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1985" w:type="dxa"/>
            <w:vAlign w:val="center"/>
          </w:tcPr>
          <w:p w:rsidR="00FC2F03" w:rsidRPr="002A4C22" w:rsidRDefault="00FC2F0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FC2F03" w:rsidRPr="002A4C22" w:rsidTr="0032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загрузок бесплатных онлайновых публикаций МСЭ-R</w:t>
            </w:r>
            <w:r w:rsidRPr="002A4C22">
              <w:rPr>
                <w:rStyle w:val="FootnoteReference"/>
              </w:rPr>
              <w:footnoteReference w:id="8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FC2F03" w:rsidRPr="002A4C22" w:rsidTr="0032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C2F03" w:rsidRPr="002A4C22" w:rsidTr="0032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участников мероприятий по созданию потенциала, органи</w:t>
            </w:r>
            <w:r w:rsidR="006765D2">
              <w:rPr>
                <w:rFonts w:ascii="Calibri" w:hAnsi="Calibri"/>
                <w:sz w:val="18"/>
                <w:szCs w:val="18"/>
              </w:rPr>
              <w:t>зованных/поддержанных БР МСЭ (в </w:t>
            </w:r>
            <w:r w:rsidRPr="002A4C22">
              <w:rPr>
                <w:rFonts w:ascii="Calibri" w:hAnsi="Calibri"/>
                <w:sz w:val="18"/>
                <w:szCs w:val="18"/>
              </w:rPr>
              <w:t>совокупности за период между двумя ВКР)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1 518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985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C2F03" w:rsidRPr="002A4C22" w:rsidTr="0032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Расширенное участие в 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случаев оказания технической помощи/проведения технических мероприятий при участии БР</w:t>
            </w:r>
          </w:p>
        </w:tc>
        <w:tc>
          <w:tcPr>
            <w:tcW w:w="993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134" w:type="dxa"/>
            <w:vAlign w:val="center"/>
          </w:tcPr>
          <w:p w:rsidR="00FC2F03" w:rsidRPr="006765D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765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FC2F03" w:rsidRPr="002A4C22" w:rsidTr="0032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6765D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765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FC2F03" w:rsidRPr="002A4C22" w:rsidTr="0032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993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6 385/52</w:t>
            </w:r>
          </w:p>
        </w:tc>
        <w:tc>
          <w:tcPr>
            <w:tcW w:w="1134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8 972/38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6 042/48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7 061/52</w:t>
            </w:r>
          </w:p>
        </w:tc>
        <w:tc>
          <w:tcPr>
            <w:tcW w:w="1134" w:type="dxa"/>
            <w:vAlign w:val="center"/>
          </w:tcPr>
          <w:p w:rsidR="00FC2F03" w:rsidRPr="006765D2" w:rsidRDefault="00FC2F03" w:rsidP="00BF42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FC2F03" w:rsidRPr="002A4C22" w:rsidTr="0032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F03" w:rsidRPr="002A4C22" w:rsidRDefault="00FC2F03" w:rsidP="00BF42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985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</w:tbl>
    <w:p w:rsidR="007350CA" w:rsidRPr="002A4C22" w:rsidRDefault="007350CA" w:rsidP="007350CA">
      <w:r w:rsidRPr="002A4C22">
        <w:br w:type="page"/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048"/>
        <w:gridCol w:w="1485"/>
        <w:gridCol w:w="1485"/>
        <w:gridCol w:w="1485"/>
        <w:gridCol w:w="1485"/>
      </w:tblGrid>
      <w:tr w:rsidR="00883D26" w:rsidRPr="002A4C22" w:rsidTr="00E4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940" w:type="dxa"/>
            <w:gridSpan w:val="4"/>
          </w:tcPr>
          <w:p w:rsidR="00883D26" w:rsidRPr="002A4C22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sz w:val="18"/>
                <w:szCs w:val="18"/>
              </w:rPr>
              <w:t>Финансовые ресурсы</w:t>
            </w:r>
            <w:r w:rsidRPr="002A4C22">
              <w:rPr>
                <w:rFonts w:asciiTheme="minorHAnsi" w:hAnsiTheme="minorHAnsi"/>
                <w:position w:val="6"/>
                <w:sz w:val="16"/>
                <w:szCs w:val="16"/>
              </w:rPr>
              <w:footnoteReference w:id="9"/>
            </w:r>
            <w:r w:rsidRPr="002A4C2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A4C22">
              <w:rPr>
                <w:rFonts w:ascii="Calibri" w:hAnsi="Calibri"/>
                <w:sz w:val="18"/>
                <w:szCs w:val="18"/>
              </w:rPr>
              <w:t>(в тыс. швейцарских франков)</w:t>
            </w:r>
          </w:p>
        </w:tc>
      </w:tr>
      <w:tr w:rsidR="00883D26" w:rsidRPr="002A4C22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83D26" w:rsidRPr="002A4C22" w:rsidRDefault="00E43168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FC2F03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9</w:t>
            </w:r>
            <w:r w:rsidR="00883D26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2A4C22" w:rsidRDefault="00E43168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FC2F03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883D26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2A4C22" w:rsidRDefault="00883D26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E4316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FC2F03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2A4C22" w:rsidRDefault="00883D26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E43168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02</w:t>
            </w:r>
            <w:r w:rsidR="00FC2F03"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2A4C22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FC2F03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-1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Публикации МСЭ-R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6 014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8 455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8 279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7 745 </w:t>
            </w:r>
          </w:p>
        </w:tc>
      </w:tr>
      <w:tr w:rsidR="00FC2F03" w:rsidRPr="002A4C22" w:rsidTr="00BF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-2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Помощь членам Союза, в частности развивающимся странам и НРС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2 443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2 398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2 407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2 609 </w:t>
            </w:r>
          </w:p>
        </w:tc>
      </w:tr>
      <w:tr w:rsidR="00FC2F03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-3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1 568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1 293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1 297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1 488 </w:t>
            </w:r>
          </w:p>
        </w:tc>
      </w:tr>
      <w:tr w:rsidR="00FC2F03" w:rsidRPr="002A4C22" w:rsidTr="00BF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-4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: Семинары, семинары-практикумы и другие мероприятия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3 459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3 341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3 331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3 592 </w:t>
            </w:r>
          </w:p>
        </w:tc>
      </w:tr>
      <w:tr w:rsidR="00FC2F03" w:rsidRPr="002A4C22" w:rsidTr="00BF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ПК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,</w:t>
            </w:r>
            <w:r w:rsidRPr="002A4C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Совет/РГС</w:t>
            </w:r>
            <w:r w:rsidRPr="002A4C22">
              <w:rPr>
                <w:rFonts w:ascii="Calibri" w:hAnsi="Calibr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403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473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542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A4C22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938 </w:t>
            </w:r>
          </w:p>
        </w:tc>
      </w:tr>
      <w:tr w:rsidR="00FC2F03" w:rsidRPr="002A4C22" w:rsidTr="00BF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FC2F03" w:rsidRPr="002A4C22" w:rsidRDefault="00FC2F03" w:rsidP="00FC2F0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 xml:space="preserve">Всего по Задаче </w:t>
            </w:r>
            <w:proofErr w:type="spellStart"/>
            <w:r w:rsidRPr="002A4C22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13 887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15 959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15 855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C2F03" w:rsidRPr="002A4C22" w:rsidRDefault="00FC2F03" w:rsidP="00BF4206">
            <w:pPr>
              <w:tabs>
                <w:tab w:val="clear" w:pos="1134"/>
              </w:tabs>
              <w:overflowPunct/>
              <w:autoSpaceDE/>
              <w:adjustRightInd/>
              <w:spacing w:before="40" w:after="40"/>
              <w:ind w:right="35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4C22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16 373 </w:t>
            </w:r>
          </w:p>
        </w:tc>
      </w:tr>
    </w:tbl>
    <w:p w:rsidR="00883D26" w:rsidRPr="002A4C22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>6</w:t>
      </w:r>
      <w:r w:rsidRPr="002A4C22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Выполнение Оперативного плана</w:t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2A4C22">
        <w:rPr>
          <w:rFonts w:ascii="Calibri" w:hAnsi="Calibri"/>
          <w:szCs w:val="22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департамента; в выполнении настоящего Оперативного плана примут участие региональные отделения.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883D26" w:rsidRPr="002A4C22" w:rsidRDefault="00883D26" w:rsidP="007350CA">
      <w:r w:rsidRPr="002A4C22">
        <w:br w:type="page"/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ascii="Calibri" w:hAnsi="Calibri"/>
          <w:caps/>
          <w:sz w:val="26"/>
          <w:szCs w:val="22"/>
        </w:rPr>
      </w:pPr>
      <w:r w:rsidRPr="002A4C22">
        <w:rPr>
          <w:rFonts w:ascii="Calibri" w:hAnsi="Calibri"/>
          <w:caps/>
          <w:sz w:val="26"/>
          <w:szCs w:val="22"/>
        </w:rPr>
        <w:lastRenderedPageBreak/>
        <w:t>Приложение 1</w:t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rFonts w:ascii="Calibri" w:hAnsi="Calibri"/>
          <w:b/>
          <w:sz w:val="26"/>
          <w:szCs w:val="22"/>
        </w:rPr>
      </w:pPr>
      <w:r w:rsidRPr="002A4C22">
        <w:rPr>
          <w:rFonts w:ascii="Calibri" w:hAnsi="Calibri"/>
          <w:b/>
          <w:sz w:val="26"/>
          <w:szCs w:val="22"/>
        </w:rPr>
        <w:t xml:space="preserve">Распределение ресурсов между </w:t>
      </w:r>
      <w:proofErr w:type="spellStart"/>
      <w:r w:rsidRPr="002A4C22">
        <w:rPr>
          <w:rFonts w:ascii="Calibri" w:hAnsi="Calibri"/>
          <w:b/>
          <w:sz w:val="26"/>
          <w:szCs w:val="22"/>
        </w:rPr>
        <w:t>межсекторальными</w:t>
      </w:r>
      <w:proofErr w:type="spellEnd"/>
      <w:r w:rsidRPr="002A4C22">
        <w:rPr>
          <w:rFonts w:ascii="Calibri" w:hAnsi="Calibri"/>
          <w:b/>
          <w:sz w:val="26"/>
          <w:szCs w:val="22"/>
        </w:rPr>
        <w:t xml:space="preserve"> задачами и стратегическими целями МСЭ</w:t>
      </w:r>
    </w:p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40"/>
        <w:jc w:val="right"/>
        <w:rPr>
          <w:rFonts w:ascii="Calibri" w:hAnsi="Calibri"/>
          <w:szCs w:val="22"/>
        </w:rPr>
      </w:pPr>
      <w:r w:rsidRPr="002A4C22">
        <w:rPr>
          <w:rFonts w:ascii="Calibri" w:hAnsi="Calibri"/>
          <w:b/>
          <w:bCs/>
          <w:color w:val="000000"/>
          <w:sz w:val="16"/>
          <w:szCs w:val="16"/>
          <w:lang w:eastAsia="zh-CN"/>
        </w:rPr>
        <w:t>В тыс. швейцарских франков</w:t>
      </w:r>
    </w:p>
    <w:tbl>
      <w:tblPr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883D26" w:rsidRPr="002A4C22" w:rsidTr="00211340">
        <w:trPr>
          <w:trHeight w:val="288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</w:t>
            </w:r>
            <w:r w:rsidR="001552C7"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тратегические задачи МСЭ на 201</w:t>
            </w:r>
            <w:r w:rsidR="00647CCE"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Затраты БР/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-деленные</w:t>
            </w:r>
            <w:proofErr w:type="gram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ГС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распреде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-ленные</w:t>
            </w:r>
            <w:proofErr w:type="gram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БCЭ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</w:tr>
      <w:tr w:rsidR="00883D26" w:rsidRPr="002A4C22" w:rsidTr="00211340">
        <w:trPr>
          <w:trHeight w:val="501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647CCE" w:rsidRPr="002A4C22" w:rsidTr="000B3F83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R1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43 273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25 962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17 284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21 636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12 982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4 327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4 327</w:t>
            </w:r>
          </w:p>
        </w:tc>
      </w:tr>
      <w:tr w:rsidR="00647CCE" w:rsidRPr="002A4C22" w:rsidTr="000B3F83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R2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9 812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6 723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3 083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4 906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2 944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981</w:t>
            </w:r>
          </w:p>
        </w:tc>
      </w:tr>
      <w:tr w:rsidR="00647CCE" w:rsidRPr="002A4C22" w:rsidTr="000B3F83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R3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13 887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7 825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6 053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13 887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</w:tr>
      <w:tr w:rsidR="00647CCE" w:rsidRPr="002A4C22" w:rsidTr="000B3F83">
        <w:trPr>
          <w:trHeight w:val="28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66 972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40 511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26 420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5F33A2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26</w:t>
            </w:r>
            <w:r w:rsidR="005F33A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29 812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5 308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5 308</w:t>
            </w:r>
          </w:p>
        </w:tc>
      </w:tr>
      <w:tr w:rsidR="00647CCE" w:rsidRPr="002A4C22" w:rsidTr="000B3F83">
        <w:trPr>
          <w:trHeight w:val="288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47CCE" w:rsidRPr="002A4C22" w:rsidRDefault="00647CCE" w:rsidP="000B3F8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47CCE" w:rsidRPr="002A4C22" w:rsidRDefault="00647CCE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39,6%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44,5%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47CCE" w:rsidRPr="002A4C22" w:rsidRDefault="00647CCE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7,9%</w:t>
            </w:r>
          </w:p>
        </w:tc>
      </w:tr>
    </w:tbl>
    <w:p w:rsidR="00883D26" w:rsidRPr="002A4C22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883D26" w:rsidRPr="002A4C22" w:rsidTr="00211340">
        <w:trPr>
          <w:trHeight w:val="288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647C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Стратегические задачи МСЭ на 20</w:t>
            </w:r>
            <w:r w:rsidR="00647CCE"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Затраты БР/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-деленные</w:t>
            </w:r>
            <w:proofErr w:type="gram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ГС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распреде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-ленные</w:t>
            </w:r>
            <w:proofErr w:type="gram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БCЭ</w:t>
            </w:r>
            <w:proofErr w:type="spellEnd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</w:tr>
      <w:tr w:rsidR="00883D26" w:rsidRPr="002A4C22" w:rsidTr="00211340">
        <w:trPr>
          <w:trHeight w:val="288"/>
          <w:jc w:val="center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2A4C22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141B" w:rsidRPr="002A4C22" w:rsidTr="009D02C5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R1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36 132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18 931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17 179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18 066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10 840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3 613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3 613</w:t>
            </w:r>
          </w:p>
        </w:tc>
      </w:tr>
      <w:tr w:rsidR="0006141B" w:rsidRPr="002A4C22" w:rsidTr="009D02C5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R2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8 439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5 257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3 176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4 219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2 532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844</w:t>
            </w:r>
          </w:p>
        </w:tc>
      </w:tr>
      <w:tr w:rsidR="0006141B" w:rsidRPr="002A4C22" w:rsidTr="009D02C5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R3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15 959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9 929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6 020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eastAsia="Calibri" w:hAnsiTheme="minorHAnsi" w:cs="Arial"/>
                <w:color w:val="000000"/>
                <w:sz w:val="16"/>
                <w:szCs w:val="16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15 959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</w:tr>
      <w:tr w:rsidR="0006141B" w:rsidRPr="002A4C22" w:rsidTr="009D02C5">
        <w:trPr>
          <w:trHeight w:val="288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5F33A2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60</w:t>
            </w:r>
            <w:r w:rsidR="005F33A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34 117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26 376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5F33A2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22</w:t>
            </w:r>
            <w:r w:rsidR="005F33A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29 330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4 457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4 457</w:t>
            </w:r>
          </w:p>
        </w:tc>
      </w:tr>
      <w:tr w:rsidR="0006141B" w:rsidRPr="002A4C22" w:rsidTr="009D02C5">
        <w:trPr>
          <w:trHeight w:val="28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06141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6141B" w:rsidRPr="002A4C22" w:rsidRDefault="0006141B" w:rsidP="00BF42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36,8%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48,5%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06141B" w:rsidRPr="002A4C22" w:rsidRDefault="0006141B" w:rsidP="000B3F83">
            <w:pPr>
              <w:overflowPunct/>
              <w:autoSpaceDE/>
              <w:adjustRightInd/>
              <w:spacing w:before="40" w:after="40"/>
              <w:ind w:right="17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A4C2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7,4%</w:t>
            </w:r>
          </w:p>
        </w:tc>
      </w:tr>
    </w:tbl>
    <w:p w:rsidR="00BF4206" w:rsidRPr="002A4C22" w:rsidRDefault="00BF4206" w:rsidP="00507BAD">
      <w:pPr>
        <w:spacing w:before="480"/>
        <w:jc w:val="center"/>
      </w:pPr>
      <w:r w:rsidRPr="002A4C22">
        <w:t>______________</w:t>
      </w:r>
    </w:p>
    <w:sectPr w:rsidR="00BF4206" w:rsidRPr="002A4C22" w:rsidSect="00A05ABB">
      <w:headerReference w:type="first" r:id="rId18"/>
      <w:footerReference w:type="first" r:id="rId19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C5" w:rsidRDefault="009D02C5">
      <w:r>
        <w:separator/>
      </w:r>
    </w:p>
  </w:endnote>
  <w:endnote w:type="continuationSeparator" w:id="0">
    <w:p w:rsidR="009D02C5" w:rsidRDefault="009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C5" w:rsidRPr="00675D35" w:rsidRDefault="009D02C5" w:rsidP="009D02C5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90065">
      <w:rPr>
        <w:lang w:val="sv-SE"/>
      </w:rPr>
      <w:t>P:\RUS\ITU-R\AG\RAG\RAG18\000\001ADD03V2R.DOCX</w:t>
    </w:r>
    <w:r>
      <w:fldChar w:fldCharType="end"/>
    </w:r>
    <w:r w:rsidRPr="00254F06">
      <w:rPr>
        <w:lang w:val="en-US"/>
      </w:rPr>
      <w:t xml:space="preserve"> (</w:t>
    </w:r>
    <w:r>
      <w:t>432451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27.03.2017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C5" w:rsidRPr="00E30391" w:rsidRDefault="009D02C5" w:rsidP="009D02C5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90065">
      <w:rPr>
        <w:lang w:val="sv-SE"/>
      </w:rPr>
      <w:t>P:\RUS\ITU-R\AG\RAG\RAG18\000\001ADD03V2R.DOCX</w:t>
    </w:r>
    <w:r>
      <w:fldChar w:fldCharType="end"/>
    </w:r>
    <w:r w:rsidRPr="00254F06">
      <w:rPr>
        <w:lang w:val="en-US"/>
      </w:rPr>
      <w:t xml:space="preserve"> (</w:t>
    </w:r>
    <w:r>
      <w:t>432451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27.03.2017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C5" w:rsidRPr="00E30391" w:rsidRDefault="009D02C5" w:rsidP="009D02C5">
    <w:pPr>
      <w:pStyle w:val="Footer"/>
      <w:tabs>
        <w:tab w:val="clear" w:pos="5954"/>
        <w:tab w:val="clear" w:pos="9639"/>
        <w:tab w:val="left" w:pos="9072"/>
        <w:tab w:val="right" w:pos="13892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790065">
      <w:rPr>
        <w:lang w:val="sv-SE"/>
      </w:rPr>
      <w:t>P:\RUS\ITU-R\AG\RAG\RAG18\000\001ADD03V2R.DOCX</w:t>
    </w:r>
    <w:r>
      <w:fldChar w:fldCharType="end"/>
    </w:r>
    <w:r w:rsidRPr="00254F06">
      <w:rPr>
        <w:lang w:val="en-US"/>
      </w:rPr>
      <w:t xml:space="preserve"> (</w:t>
    </w:r>
    <w:r>
      <w:t>432451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27.03.2017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C5" w:rsidRDefault="009D02C5">
      <w:r>
        <w:t>____________________</w:t>
      </w:r>
    </w:p>
  </w:footnote>
  <w:footnote w:type="continuationSeparator" w:id="0">
    <w:p w:rsidR="009D02C5" w:rsidRDefault="009D02C5">
      <w:r>
        <w:continuationSeparator/>
      </w:r>
    </w:p>
  </w:footnote>
  <w:footnote w:id="1">
    <w:p w:rsidR="009D02C5" w:rsidRPr="000D16D3" w:rsidRDefault="009D02C5" w:rsidP="000D16D3">
      <w:pPr>
        <w:pStyle w:val="FootnoteText"/>
        <w:rPr>
          <w:lang w:val="ru-RU"/>
        </w:rPr>
      </w:pPr>
      <w:r w:rsidRPr="000D16D3">
        <w:rPr>
          <w:rStyle w:val="FootnoteReference"/>
        </w:rPr>
        <w:footnoteRef/>
      </w:r>
      <w:r w:rsidRPr="000D16D3"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05126D" w:rsidRPr="0005126D" w:rsidRDefault="0005126D" w:rsidP="000512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126D">
        <w:rPr>
          <w:lang w:val="ru-RU"/>
        </w:rPr>
        <w:tab/>
      </w:r>
      <w:r>
        <w:rPr>
          <w:lang w:val="ru-RU"/>
        </w:rPr>
        <w:t xml:space="preserve">Ответственные по </w:t>
      </w:r>
      <w:bookmarkStart w:id="5" w:name="_GoBack"/>
      <w:bookmarkEnd w:id="5"/>
      <w:r>
        <w:rPr>
          <w:lang w:val="ru-RU"/>
        </w:rPr>
        <w:t>рискам будут назначены Директором Бюро.</w:t>
      </w:r>
    </w:p>
  </w:footnote>
  <w:footnote w:id="3">
    <w:p w:rsidR="009D02C5" w:rsidRPr="001F4914" w:rsidRDefault="009D02C5" w:rsidP="00222E27">
      <w:pPr>
        <w:pStyle w:val="FootnoteText"/>
        <w:rPr>
          <w:lang w:val="ru-RU"/>
        </w:rPr>
      </w:pPr>
      <w:r w:rsidRPr="00176053">
        <w:rPr>
          <w:rStyle w:val="FootnoteReference"/>
          <w:rFonts w:eastAsia="SimSun"/>
        </w:rPr>
        <w:footnoteRef/>
      </w:r>
      <w:r w:rsidRPr="00176053">
        <w:rPr>
          <w:sz w:val="18"/>
          <w:szCs w:val="18"/>
          <w:lang w:val="ru-RU"/>
        </w:rPr>
        <w:tab/>
      </w:r>
      <w:r w:rsidRPr="001F4914">
        <w:rPr>
          <w:lang w:val="ru-RU"/>
        </w:rPr>
        <w:t>Оценки, в особенности на 2021–2022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9D02C5" w:rsidRPr="00D4702E" w:rsidRDefault="009D02C5" w:rsidP="00F8536A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>
        <w:rPr>
          <w:lang w:val="ru-RU"/>
        </w:rPr>
        <w:tab/>
      </w:r>
      <w:r w:rsidRPr="00E340F8">
        <w:rPr>
          <w:lang w:val="ru-RU"/>
        </w:rPr>
        <w:t>"</w:t>
      </w:r>
      <w:r>
        <w:rPr>
          <w:lang w:val="ru-RU"/>
        </w:rPr>
        <w:t>Н. д."</w:t>
      </w:r>
      <w:r w:rsidRPr="00E340F8">
        <w:rPr>
          <w:lang w:val="ru-RU"/>
        </w:rPr>
        <w:t xml:space="preserve"> указывает на то, что значения показателей пока не представлены</w:t>
      </w:r>
      <w:r>
        <w:rPr>
          <w:lang w:val="ru-RU"/>
        </w:rPr>
        <w:t>.</w:t>
      </w:r>
    </w:p>
  </w:footnote>
  <w:footnote w:id="5">
    <w:p w:rsidR="00326B07" w:rsidRPr="00326B07" w:rsidRDefault="00326B07">
      <w:pPr>
        <w:pStyle w:val="FootnoteText"/>
        <w:rPr>
          <w:lang w:val="ru-RU"/>
        </w:rPr>
      </w:pPr>
      <w:r w:rsidRPr="00326B07">
        <w:rPr>
          <w:rStyle w:val="FootnoteReference"/>
          <w:lang w:val="ru-RU"/>
        </w:rPr>
        <w:t>*</w:t>
      </w:r>
      <w:r>
        <w:rPr>
          <w:lang w:val="ru-RU"/>
        </w:rPr>
        <w:tab/>
        <w:t>Оценки.</w:t>
      </w:r>
    </w:p>
  </w:footnote>
  <w:footnote w:id="6">
    <w:p w:rsidR="008231BE" w:rsidRPr="00326B07" w:rsidRDefault="008231BE" w:rsidP="008231BE">
      <w:pPr>
        <w:pStyle w:val="FootnoteText"/>
        <w:rPr>
          <w:lang w:val="ru-RU"/>
        </w:rPr>
      </w:pPr>
      <w:r w:rsidRPr="00326B07">
        <w:rPr>
          <w:rStyle w:val="FootnoteReference"/>
          <w:lang w:val="ru-RU"/>
        </w:rPr>
        <w:t>*</w:t>
      </w:r>
      <w:r>
        <w:rPr>
          <w:lang w:val="ru-RU"/>
        </w:rPr>
        <w:tab/>
        <w:t>Оценки.</w:t>
      </w:r>
    </w:p>
  </w:footnote>
  <w:footnote w:id="7">
    <w:p w:rsidR="009D02C5" w:rsidRPr="00D4702E" w:rsidRDefault="009D02C5" w:rsidP="00326B07">
      <w:pPr>
        <w:pStyle w:val="FootnoteText"/>
        <w:rPr>
          <w:lang w:val="ru-RU"/>
        </w:rPr>
      </w:pPr>
      <w:r w:rsidRPr="005C6833">
        <w:rPr>
          <w:rStyle w:val="FootnoteReference"/>
          <w:rFonts w:eastAsia="SimSun"/>
        </w:rPr>
        <w:footnoteRef/>
      </w:r>
      <w:r w:rsidRPr="005C6833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8">
    <w:p w:rsidR="009D02C5" w:rsidRPr="00E3454E" w:rsidRDefault="009D02C5" w:rsidP="007350CA">
      <w:pPr>
        <w:pStyle w:val="FootnoteText"/>
        <w:rPr>
          <w:rStyle w:val="FootnoteReference"/>
          <w:position w:val="0"/>
          <w:sz w:val="20"/>
          <w:lang w:val="ru-RU"/>
        </w:rPr>
      </w:pPr>
      <w:r w:rsidRPr="007350CA">
        <w:rPr>
          <w:rStyle w:val="FootnoteReference"/>
        </w:rPr>
        <w:footnoteRef/>
      </w:r>
      <w:r>
        <w:rPr>
          <w:lang w:val="ru-RU"/>
        </w:rPr>
        <w:tab/>
        <w:t>Это</w:t>
      </w:r>
      <w:r w:rsidRPr="006402DD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6402DD">
        <w:rPr>
          <w:lang w:val="ru-RU"/>
        </w:rPr>
        <w:t xml:space="preserve"> </w:t>
      </w:r>
      <w:r>
        <w:rPr>
          <w:lang w:val="ru-RU"/>
        </w:rPr>
        <w:t>подходит</w:t>
      </w:r>
      <w:r w:rsidRPr="006402DD">
        <w:rPr>
          <w:lang w:val="ru-RU"/>
        </w:rPr>
        <w:t xml:space="preserve"> </w:t>
      </w:r>
      <w:r>
        <w:rPr>
          <w:lang w:val="ru-RU"/>
        </w:rPr>
        <w:t>только</w:t>
      </w:r>
      <w:r w:rsidRPr="006402DD">
        <w:rPr>
          <w:lang w:val="ru-RU"/>
        </w:rPr>
        <w:t xml:space="preserve"> </w:t>
      </w:r>
      <w:r>
        <w:rPr>
          <w:lang w:val="ru-RU"/>
        </w:rPr>
        <w:t>для</w:t>
      </w:r>
      <w:r w:rsidRPr="006402DD">
        <w:rPr>
          <w:lang w:val="ru-RU"/>
        </w:rPr>
        <w:t xml:space="preserve"> </w:t>
      </w:r>
      <w:r>
        <w:rPr>
          <w:lang w:val="ru-RU"/>
        </w:rPr>
        <w:t>целей</w:t>
      </w:r>
      <w:r w:rsidRPr="006402DD">
        <w:rPr>
          <w:lang w:val="ru-RU"/>
        </w:rPr>
        <w:t xml:space="preserve"> </w:t>
      </w:r>
      <w:r>
        <w:rPr>
          <w:lang w:val="ru-RU"/>
        </w:rPr>
        <w:t>сравнения</w:t>
      </w:r>
      <w:r w:rsidRPr="006402D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402DD">
        <w:rPr>
          <w:lang w:val="ru-RU"/>
        </w:rPr>
        <w:t xml:space="preserve"> </w:t>
      </w:r>
      <w:r>
        <w:rPr>
          <w:lang w:val="ru-RU"/>
        </w:rPr>
        <w:t>загрузка отдельного документа/публикации может считаться как несколько загрузок.</w:t>
      </w:r>
    </w:p>
  </w:footnote>
  <w:footnote w:id="9">
    <w:p w:rsidR="009D02C5" w:rsidRPr="00C32310" w:rsidRDefault="009D02C5" w:rsidP="00883D26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C5" w:rsidRDefault="009D02C5" w:rsidP="006D6001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231BE">
      <w:rPr>
        <w:noProof/>
      </w:rPr>
      <w:t>17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>
      <w:rPr>
        <w:lang w:val="ru-RU"/>
      </w:rPr>
      <w:t>8</w:t>
    </w:r>
    <w:r>
      <w:rPr>
        <w:lang w:val="es-ES"/>
      </w:rPr>
      <w:t>/</w:t>
    </w:r>
    <w:r>
      <w:rPr>
        <w:lang w:val="ru-RU"/>
      </w:rPr>
      <w:t>1(</w:t>
    </w:r>
    <w:r>
      <w:t>Add.</w:t>
    </w:r>
    <w:r>
      <w:rPr>
        <w:lang w:val="ru-RU"/>
      </w:rPr>
      <w:t>3</w:t>
    </w:r>
    <w:r>
      <w:t>)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C5" w:rsidRPr="00B357FA" w:rsidRDefault="009D02C5" w:rsidP="006D6001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231BE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>
      <w:rPr>
        <w:lang w:val="ru-RU"/>
      </w:rPr>
      <w:t>8</w:t>
    </w:r>
    <w:r>
      <w:rPr>
        <w:lang w:val="es-ES"/>
      </w:rPr>
      <w:t>/</w:t>
    </w:r>
    <w:r>
      <w:rPr>
        <w:lang w:val="ru-RU"/>
      </w:rPr>
      <w:t>1(</w:t>
    </w:r>
    <w:r>
      <w:t>Add.</w:t>
    </w:r>
    <w:r>
      <w:rPr>
        <w:lang w:val="ru-RU"/>
      </w:rPr>
      <w:t>3</w:t>
    </w:r>
    <w:r>
      <w:t>)</w:t>
    </w:r>
    <w:r>
      <w:rPr>
        <w:lang w:val="es-E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6A5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14E"/>
    <w:rsid w:val="00021007"/>
    <w:rsid w:val="000252AA"/>
    <w:rsid w:val="0002661B"/>
    <w:rsid w:val="000311CF"/>
    <w:rsid w:val="000365C9"/>
    <w:rsid w:val="00040472"/>
    <w:rsid w:val="00041BBA"/>
    <w:rsid w:val="00047081"/>
    <w:rsid w:val="00050979"/>
    <w:rsid w:val="0005126D"/>
    <w:rsid w:val="0005449A"/>
    <w:rsid w:val="00055FEE"/>
    <w:rsid w:val="00060A29"/>
    <w:rsid w:val="0006141B"/>
    <w:rsid w:val="00061F3A"/>
    <w:rsid w:val="00063688"/>
    <w:rsid w:val="0006477D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3F83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16D3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620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9D9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52C7"/>
    <w:rsid w:val="001575F8"/>
    <w:rsid w:val="0016188B"/>
    <w:rsid w:val="00163B42"/>
    <w:rsid w:val="00164043"/>
    <w:rsid w:val="00165EAA"/>
    <w:rsid w:val="001722B2"/>
    <w:rsid w:val="001725F1"/>
    <w:rsid w:val="00173D75"/>
    <w:rsid w:val="00176053"/>
    <w:rsid w:val="00180A3A"/>
    <w:rsid w:val="001842A5"/>
    <w:rsid w:val="00184DF4"/>
    <w:rsid w:val="00185093"/>
    <w:rsid w:val="00185346"/>
    <w:rsid w:val="00190B61"/>
    <w:rsid w:val="00191ADC"/>
    <w:rsid w:val="0019463F"/>
    <w:rsid w:val="00194AD3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4972"/>
    <w:rsid w:val="001E4A68"/>
    <w:rsid w:val="001E5A76"/>
    <w:rsid w:val="001E6608"/>
    <w:rsid w:val="001E692F"/>
    <w:rsid w:val="001F20FB"/>
    <w:rsid w:val="001F4914"/>
    <w:rsid w:val="001F6CBE"/>
    <w:rsid w:val="00200E65"/>
    <w:rsid w:val="0020275A"/>
    <w:rsid w:val="00203844"/>
    <w:rsid w:val="002052B1"/>
    <w:rsid w:val="00211340"/>
    <w:rsid w:val="002135E2"/>
    <w:rsid w:val="0021570F"/>
    <w:rsid w:val="00216CC8"/>
    <w:rsid w:val="00217144"/>
    <w:rsid w:val="00217585"/>
    <w:rsid w:val="00222354"/>
    <w:rsid w:val="00222E27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DC8"/>
    <w:rsid w:val="002605E6"/>
    <w:rsid w:val="00260EDE"/>
    <w:rsid w:val="002644F7"/>
    <w:rsid w:val="00265AF2"/>
    <w:rsid w:val="002679FD"/>
    <w:rsid w:val="00267FB1"/>
    <w:rsid w:val="00272B41"/>
    <w:rsid w:val="00274F95"/>
    <w:rsid w:val="00276ED4"/>
    <w:rsid w:val="0028191B"/>
    <w:rsid w:val="00281FB1"/>
    <w:rsid w:val="002864D7"/>
    <w:rsid w:val="002963EF"/>
    <w:rsid w:val="0029690D"/>
    <w:rsid w:val="002A0B6D"/>
    <w:rsid w:val="002A42BA"/>
    <w:rsid w:val="002A4C22"/>
    <w:rsid w:val="002A6FC3"/>
    <w:rsid w:val="002A7323"/>
    <w:rsid w:val="002A78EC"/>
    <w:rsid w:val="002B09B0"/>
    <w:rsid w:val="002B224F"/>
    <w:rsid w:val="002C605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065"/>
    <w:rsid w:val="00315AF9"/>
    <w:rsid w:val="0031739D"/>
    <w:rsid w:val="0032058C"/>
    <w:rsid w:val="0032086D"/>
    <w:rsid w:val="0032204B"/>
    <w:rsid w:val="003221F3"/>
    <w:rsid w:val="00326B07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7148"/>
    <w:rsid w:val="003A0580"/>
    <w:rsid w:val="003A0B83"/>
    <w:rsid w:val="003A4589"/>
    <w:rsid w:val="003B317F"/>
    <w:rsid w:val="003B31B7"/>
    <w:rsid w:val="003B55F3"/>
    <w:rsid w:val="003B6621"/>
    <w:rsid w:val="003C5141"/>
    <w:rsid w:val="003D0AB2"/>
    <w:rsid w:val="003D2EFD"/>
    <w:rsid w:val="003D64FE"/>
    <w:rsid w:val="003E056B"/>
    <w:rsid w:val="003E4819"/>
    <w:rsid w:val="003E4E3F"/>
    <w:rsid w:val="003E578C"/>
    <w:rsid w:val="003F2683"/>
    <w:rsid w:val="003F633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20B2"/>
    <w:rsid w:val="0042612F"/>
    <w:rsid w:val="004305B9"/>
    <w:rsid w:val="00430780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2DD"/>
    <w:rsid w:val="004618D6"/>
    <w:rsid w:val="004644CD"/>
    <w:rsid w:val="00472847"/>
    <w:rsid w:val="004733D4"/>
    <w:rsid w:val="00473479"/>
    <w:rsid w:val="00474CCC"/>
    <w:rsid w:val="0047559B"/>
    <w:rsid w:val="00475F29"/>
    <w:rsid w:val="0048197F"/>
    <w:rsid w:val="00483763"/>
    <w:rsid w:val="0048584C"/>
    <w:rsid w:val="004A34F8"/>
    <w:rsid w:val="004A4F2A"/>
    <w:rsid w:val="004B358C"/>
    <w:rsid w:val="004B468C"/>
    <w:rsid w:val="004B5692"/>
    <w:rsid w:val="004B7DD4"/>
    <w:rsid w:val="004C01AA"/>
    <w:rsid w:val="004C1CE6"/>
    <w:rsid w:val="004C6851"/>
    <w:rsid w:val="004C6B2A"/>
    <w:rsid w:val="004D3F4E"/>
    <w:rsid w:val="004D5597"/>
    <w:rsid w:val="004D5B60"/>
    <w:rsid w:val="004D5FED"/>
    <w:rsid w:val="004D6562"/>
    <w:rsid w:val="004D6A72"/>
    <w:rsid w:val="004E1267"/>
    <w:rsid w:val="004E162E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9BD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4DD"/>
    <w:rsid w:val="0055452F"/>
    <w:rsid w:val="00555376"/>
    <w:rsid w:val="00556907"/>
    <w:rsid w:val="005624C2"/>
    <w:rsid w:val="0056406C"/>
    <w:rsid w:val="00565763"/>
    <w:rsid w:val="00567353"/>
    <w:rsid w:val="00567628"/>
    <w:rsid w:val="00567C41"/>
    <w:rsid w:val="00572887"/>
    <w:rsid w:val="00574438"/>
    <w:rsid w:val="00576A0F"/>
    <w:rsid w:val="00577FAD"/>
    <w:rsid w:val="00582929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A41F1"/>
    <w:rsid w:val="005C08C0"/>
    <w:rsid w:val="005C1745"/>
    <w:rsid w:val="005C190E"/>
    <w:rsid w:val="005C1B2D"/>
    <w:rsid w:val="005C6338"/>
    <w:rsid w:val="005C647C"/>
    <w:rsid w:val="005C6833"/>
    <w:rsid w:val="005C6906"/>
    <w:rsid w:val="005C75E6"/>
    <w:rsid w:val="005D0F3F"/>
    <w:rsid w:val="005D3374"/>
    <w:rsid w:val="005D4564"/>
    <w:rsid w:val="005D6AB1"/>
    <w:rsid w:val="005D6EC1"/>
    <w:rsid w:val="005D7FF8"/>
    <w:rsid w:val="005E1C6A"/>
    <w:rsid w:val="005E35B6"/>
    <w:rsid w:val="005E3A4B"/>
    <w:rsid w:val="005E5BEE"/>
    <w:rsid w:val="005E5C6A"/>
    <w:rsid w:val="005F188A"/>
    <w:rsid w:val="005F33A2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36F4B"/>
    <w:rsid w:val="00641EF5"/>
    <w:rsid w:val="006427A8"/>
    <w:rsid w:val="00645289"/>
    <w:rsid w:val="006476FF"/>
    <w:rsid w:val="00647CCE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65D2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58D"/>
    <w:rsid w:val="006B7A92"/>
    <w:rsid w:val="006C0595"/>
    <w:rsid w:val="006C6CC6"/>
    <w:rsid w:val="006D36FE"/>
    <w:rsid w:val="006D3CED"/>
    <w:rsid w:val="006D6001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7087"/>
    <w:rsid w:val="00710EB4"/>
    <w:rsid w:val="00712E3F"/>
    <w:rsid w:val="00717B14"/>
    <w:rsid w:val="00723977"/>
    <w:rsid w:val="00725BEA"/>
    <w:rsid w:val="0073010A"/>
    <w:rsid w:val="007331B2"/>
    <w:rsid w:val="007350CA"/>
    <w:rsid w:val="00743DFA"/>
    <w:rsid w:val="00745868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0065"/>
    <w:rsid w:val="007955F2"/>
    <w:rsid w:val="007A0A02"/>
    <w:rsid w:val="007A299C"/>
    <w:rsid w:val="007C085D"/>
    <w:rsid w:val="007C1EBA"/>
    <w:rsid w:val="007C3994"/>
    <w:rsid w:val="007C4F8B"/>
    <w:rsid w:val="007D1EFB"/>
    <w:rsid w:val="007E206B"/>
    <w:rsid w:val="007E730A"/>
    <w:rsid w:val="007F087F"/>
    <w:rsid w:val="007F28FE"/>
    <w:rsid w:val="007F3EE5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1BE"/>
    <w:rsid w:val="00823553"/>
    <w:rsid w:val="00824811"/>
    <w:rsid w:val="00824ADB"/>
    <w:rsid w:val="00825B2A"/>
    <w:rsid w:val="008261D5"/>
    <w:rsid w:val="008262F2"/>
    <w:rsid w:val="00826449"/>
    <w:rsid w:val="008272E9"/>
    <w:rsid w:val="008276A0"/>
    <w:rsid w:val="00844DB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67525"/>
    <w:rsid w:val="0087115D"/>
    <w:rsid w:val="00875C5A"/>
    <w:rsid w:val="00883D26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36C60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4B5"/>
    <w:rsid w:val="0098015B"/>
    <w:rsid w:val="00980CDD"/>
    <w:rsid w:val="00981E62"/>
    <w:rsid w:val="00982915"/>
    <w:rsid w:val="0098698E"/>
    <w:rsid w:val="00990B31"/>
    <w:rsid w:val="009A796F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02C5"/>
    <w:rsid w:val="009D10D0"/>
    <w:rsid w:val="009D1E49"/>
    <w:rsid w:val="009D36FD"/>
    <w:rsid w:val="009D79B4"/>
    <w:rsid w:val="009E3FB0"/>
    <w:rsid w:val="009E6B64"/>
    <w:rsid w:val="009E763E"/>
    <w:rsid w:val="009F2C16"/>
    <w:rsid w:val="009F64E5"/>
    <w:rsid w:val="009F7E74"/>
    <w:rsid w:val="00A0023F"/>
    <w:rsid w:val="00A022C8"/>
    <w:rsid w:val="00A038FA"/>
    <w:rsid w:val="00A04487"/>
    <w:rsid w:val="00A05ABB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188F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6369"/>
    <w:rsid w:val="00AA7564"/>
    <w:rsid w:val="00AA7BBD"/>
    <w:rsid w:val="00AB50C4"/>
    <w:rsid w:val="00AB71A7"/>
    <w:rsid w:val="00AC2193"/>
    <w:rsid w:val="00AC555B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89E"/>
    <w:rsid w:val="00AF7953"/>
    <w:rsid w:val="00B01128"/>
    <w:rsid w:val="00B11BA5"/>
    <w:rsid w:val="00B13131"/>
    <w:rsid w:val="00B14F67"/>
    <w:rsid w:val="00B1508A"/>
    <w:rsid w:val="00B16424"/>
    <w:rsid w:val="00B207FF"/>
    <w:rsid w:val="00B25A3A"/>
    <w:rsid w:val="00B26065"/>
    <w:rsid w:val="00B277C7"/>
    <w:rsid w:val="00B278AD"/>
    <w:rsid w:val="00B326CB"/>
    <w:rsid w:val="00B357FA"/>
    <w:rsid w:val="00B3773F"/>
    <w:rsid w:val="00B40AB3"/>
    <w:rsid w:val="00B45BEE"/>
    <w:rsid w:val="00B5020E"/>
    <w:rsid w:val="00B52992"/>
    <w:rsid w:val="00B530A8"/>
    <w:rsid w:val="00B53E66"/>
    <w:rsid w:val="00B55F5F"/>
    <w:rsid w:val="00B5777E"/>
    <w:rsid w:val="00B57898"/>
    <w:rsid w:val="00B602EB"/>
    <w:rsid w:val="00B64A0E"/>
    <w:rsid w:val="00B65DBA"/>
    <w:rsid w:val="00B66008"/>
    <w:rsid w:val="00B72EF3"/>
    <w:rsid w:val="00B743FB"/>
    <w:rsid w:val="00B820B1"/>
    <w:rsid w:val="00B82BEC"/>
    <w:rsid w:val="00B8548B"/>
    <w:rsid w:val="00B87B3E"/>
    <w:rsid w:val="00B912A0"/>
    <w:rsid w:val="00B958A7"/>
    <w:rsid w:val="00B96260"/>
    <w:rsid w:val="00BA12AD"/>
    <w:rsid w:val="00BB4ADA"/>
    <w:rsid w:val="00BC10C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206"/>
    <w:rsid w:val="00BF4ECD"/>
    <w:rsid w:val="00BF5D79"/>
    <w:rsid w:val="00C0003C"/>
    <w:rsid w:val="00C01B4E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44258"/>
    <w:rsid w:val="00C53997"/>
    <w:rsid w:val="00C60F9F"/>
    <w:rsid w:val="00C6189E"/>
    <w:rsid w:val="00C630C3"/>
    <w:rsid w:val="00C659E9"/>
    <w:rsid w:val="00C65F70"/>
    <w:rsid w:val="00C67D9B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6A5F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4A8A"/>
    <w:rsid w:val="00D16119"/>
    <w:rsid w:val="00D17024"/>
    <w:rsid w:val="00D174CF"/>
    <w:rsid w:val="00D20CD4"/>
    <w:rsid w:val="00D22D5C"/>
    <w:rsid w:val="00D23920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02E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97F00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06E5A"/>
    <w:rsid w:val="00E123C0"/>
    <w:rsid w:val="00E13C38"/>
    <w:rsid w:val="00E13D80"/>
    <w:rsid w:val="00E14B27"/>
    <w:rsid w:val="00E1699D"/>
    <w:rsid w:val="00E17DF4"/>
    <w:rsid w:val="00E218B9"/>
    <w:rsid w:val="00E23E81"/>
    <w:rsid w:val="00E253F9"/>
    <w:rsid w:val="00E2683D"/>
    <w:rsid w:val="00E27750"/>
    <w:rsid w:val="00E301FE"/>
    <w:rsid w:val="00E30391"/>
    <w:rsid w:val="00E32DE7"/>
    <w:rsid w:val="00E3454E"/>
    <w:rsid w:val="00E34DC8"/>
    <w:rsid w:val="00E37220"/>
    <w:rsid w:val="00E37793"/>
    <w:rsid w:val="00E41191"/>
    <w:rsid w:val="00E43168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85E0F"/>
    <w:rsid w:val="00E91301"/>
    <w:rsid w:val="00E916B2"/>
    <w:rsid w:val="00E91B49"/>
    <w:rsid w:val="00E91B8F"/>
    <w:rsid w:val="00E935D6"/>
    <w:rsid w:val="00E96988"/>
    <w:rsid w:val="00EA0866"/>
    <w:rsid w:val="00EA3A88"/>
    <w:rsid w:val="00EA45CD"/>
    <w:rsid w:val="00EA7EA7"/>
    <w:rsid w:val="00EB27F8"/>
    <w:rsid w:val="00EB5D51"/>
    <w:rsid w:val="00EB6F34"/>
    <w:rsid w:val="00EC0ADA"/>
    <w:rsid w:val="00EC2739"/>
    <w:rsid w:val="00EC48CC"/>
    <w:rsid w:val="00EC5C8A"/>
    <w:rsid w:val="00EC70AC"/>
    <w:rsid w:val="00EC79F5"/>
    <w:rsid w:val="00ED021D"/>
    <w:rsid w:val="00ED0B4F"/>
    <w:rsid w:val="00ED13A2"/>
    <w:rsid w:val="00EE06FF"/>
    <w:rsid w:val="00EE13BA"/>
    <w:rsid w:val="00EE44D4"/>
    <w:rsid w:val="00EF5D90"/>
    <w:rsid w:val="00EF6791"/>
    <w:rsid w:val="00EF6E54"/>
    <w:rsid w:val="00F07E56"/>
    <w:rsid w:val="00F10CEC"/>
    <w:rsid w:val="00F113D0"/>
    <w:rsid w:val="00F12444"/>
    <w:rsid w:val="00F13BA3"/>
    <w:rsid w:val="00F15FFB"/>
    <w:rsid w:val="00F177E8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3A5B"/>
    <w:rsid w:val="00F818E8"/>
    <w:rsid w:val="00F84FB7"/>
    <w:rsid w:val="00F85331"/>
    <w:rsid w:val="00F8536A"/>
    <w:rsid w:val="00F85D87"/>
    <w:rsid w:val="00F90561"/>
    <w:rsid w:val="00F9582A"/>
    <w:rsid w:val="00F95A2A"/>
    <w:rsid w:val="00F95FC1"/>
    <w:rsid w:val="00F97513"/>
    <w:rsid w:val="00FA081F"/>
    <w:rsid w:val="00FA433B"/>
    <w:rsid w:val="00FA4DFE"/>
    <w:rsid w:val="00FB0B89"/>
    <w:rsid w:val="00FB1E59"/>
    <w:rsid w:val="00FB62A3"/>
    <w:rsid w:val="00FB6D5F"/>
    <w:rsid w:val="00FC2F03"/>
    <w:rsid w:val="00FC3D94"/>
    <w:rsid w:val="00FC42B3"/>
    <w:rsid w:val="00FD5BB5"/>
    <w:rsid w:val="00FD6111"/>
    <w:rsid w:val="00FD7F60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rsid w:val="005C6833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5C6833"/>
    <w:pPr>
      <w:keepLines/>
      <w:tabs>
        <w:tab w:val="left" w:pos="284"/>
      </w:tabs>
      <w:spacing w:before="60"/>
      <w:ind w:left="284" w:hanging="284"/>
    </w:pPr>
    <w:rPr>
      <w:rFonts w:asciiTheme="minorHAnsi" w:hAnsiTheme="minorHAnsi"/>
      <w:sz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5C6833"/>
    <w:rPr>
      <w:rFonts w:asciiTheme="minorHAnsi" w:hAnsiTheme="minorHAnsi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unhideWhenUsed/>
    <w:rsid w:val="00E5574B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0D16D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883D26"/>
  </w:style>
  <w:style w:type="paragraph" w:customStyle="1" w:styleId="CEOcontributionStart">
    <w:name w:val="CEO_contributionStart"/>
    <w:next w:val="Normal"/>
    <w:rsid w:val="00883D26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883D26"/>
    <w:pPr>
      <w:framePr w:hSpace="180" w:wrap="around" w:vAnchor="page" w:hAnchor="margin" w:y="1081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Calibri" w:hAnsi="Calibri" w:cs="Times New Roman Bold"/>
      <w:b/>
      <w:caps/>
      <w:szCs w:val="22"/>
    </w:rPr>
  </w:style>
  <w:style w:type="paragraph" w:styleId="Date">
    <w:name w:val="Date"/>
    <w:basedOn w:val="Normal"/>
    <w:link w:val="DateChar"/>
    <w:rsid w:val="00883D26"/>
    <w:pPr>
      <w:framePr w:hSpace="181" w:wrap="notBeside" w:vAnchor="page" w:hAnchor="page" w:x="1135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  <w:szCs w:val="22"/>
      <w:lang w:val="en-GB"/>
    </w:rPr>
  </w:style>
  <w:style w:type="character" w:customStyle="1" w:styleId="DateChar">
    <w:name w:val="Date Char"/>
    <w:basedOn w:val="DefaultParagraphFont"/>
    <w:link w:val="Date"/>
    <w:rsid w:val="00883D26"/>
    <w:rPr>
      <w:rFonts w:ascii="Calibri" w:hAnsi="Calibri"/>
      <w:szCs w:val="22"/>
      <w:lang w:val="en-GB" w:eastAsia="en-US"/>
    </w:rPr>
  </w:style>
  <w:style w:type="paragraph" w:customStyle="1" w:styleId="firstfooter0">
    <w:name w:val="firstfooter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-1701" w:hanging="284"/>
    </w:pPr>
    <w:rPr>
      <w:rFonts w:ascii="Calibri" w:hAnsi="Calibri"/>
      <w:szCs w:val="22"/>
      <w:lang w:val="en-GB"/>
    </w:rPr>
  </w:style>
  <w:style w:type="paragraph" w:customStyle="1" w:styleId="Part">
    <w:name w:val="Part"/>
    <w:basedOn w:val="Normal"/>
    <w:next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  <w:jc w:val="center"/>
    </w:pPr>
    <w:rPr>
      <w:rFonts w:ascii="Calibri" w:hAnsi="Calibri"/>
      <w:caps/>
      <w:sz w:val="26"/>
      <w:szCs w:val="22"/>
      <w:lang w:val="en-GB"/>
    </w:rPr>
  </w:style>
  <w:style w:type="paragraph" w:customStyle="1" w:styleId="Section10">
    <w:name w:val="Section 1"/>
    <w:basedOn w:val="ChapNo"/>
    <w:next w:val="Normal"/>
    <w:rsid w:val="00883D2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rFonts w:ascii="Calibri" w:hAnsi="Calibri"/>
      <w:b w:val="0"/>
      <w:caps w:val="0"/>
      <w:szCs w:val="22"/>
      <w:lang w:val="en-GB"/>
    </w:rPr>
  </w:style>
  <w:style w:type="paragraph" w:customStyle="1" w:styleId="Section20">
    <w:name w:val="Section 2"/>
    <w:basedOn w:val="Section10"/>
    <w:next w:val="Normal"/>
    <w:rsid w:val="00883D26"/>
    <w:pPr>
      <w:spacing w:before="240"/>
    </w:pPr>
    <w:rPr>
      <w:b/>
      <w:i/>
    </w:rPr>
  </w:style>
  <w:style w:type="table" w:customStyle="1" w:styleId="TableGrid1">
    <w:name w:val="Table Grid1"/>
    <w:basedOn w:val="TableNormal"/>
    <w:next w:val="TableGrid"/>
    <w:uiPriority w:val="39"/>
    <w:rsid w:val="00883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N1">
    <w:name w:val="ASN.1"/>
    <w:basedOn w:val="Normal"/>
    <w:rsid w:val="00883D26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883D26"/>
    <w:pPr>
      <w:tabs>
        <w:tab w:val="clear" w:pos="567"/>
        <w:tab w:val="clear" w:pos="7938"/>
        <w:tab w:val="left" w:pos="964"/>
        <w:tab w:val="left" w:leader="dot" w:pos="8647"/>
      </w:tabs>
      <w:ind w:left="964" w:hanging="964"/>
    </w:pPr>
    <w:rPr>
      <w:rFonts w:asciiTheme="minorHAnsi" w:hAnsiTheme="minorHAnsi"/>
      <w:sz w:val="24"/>
      <w:lang w:val="en-GB"/>
    </w:rPr>
  </w:style>
  <w:style w:type="paragraph" w:customStyle="1" w:styleId="ddate">
    <w:name w:val="ddate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883D26"/>
    <w:pPr>
      <w:framePr w:hSpace="181" w:wrap="around" w:vAnchor="page" w:hAnchor="margin" w:y="852"/>
      <w:shd w:val="solid" w:color="FFFFFF" w:fill="FFFFFF"/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883D26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883D26"/>
    <w:rPr>
      <w:rFonts w:ascii="Segoe UI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lang w:val="en-GB"/>
    </w:rPr>
  </w:style>
  <w:style w:type="paragraph" w:styleId="List">
    <w:name w:val="List"/>
    <w:basedOn w:val="Normal"/>
    <w:rsid w:val="00883D2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rFonts w:ascii="Calibri" w:hAnsi="Calibri"/>
      <w:lang w:val="en-GB"/>
    </w:rPr>
  </w:style>
  <w:style w:type="paragraph" w:customStyle="1" w:styleId="docnoted">
    <w:name w:val="docnoted"/>
    <w:basedOn w:val="Normal"/>
    <w:next w:val="Head"/>
    <w:rsid w:val="00883D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rFonts w:ascii="Calibri" w:hAnsi="Calibri"/>
      <w:sz w:val="20"/>
      <w:lang w:val="en-GB"/>
    </w:rPr>
  </w:style>
  <w:style w:type="paragraph" w:customStyle="1" w:styleId="meeting">
    <w:name w:val="meeting"/>
    <w:basedOn w:val="Head"/>
    <w:next w:val="Head"/>
    <w:rsid w:val="00883D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83D26"/>
    <w:pPr>
      <w:tabs>
        <w:tab w:val="clear" w:pos="1871"/>
        <w:tab w:val="clear" w:pos="2268"/>
      </w:tabs>
      <w:spacing w:before="0"/>
      <w:ind w:left="1134" w:hanging="1134"/>
    </w:pPr>
    <w:rPr>
      <w:rFonts w:ascii="Calibri" w:hAnsi="Calibri"/>
      <w:lang w:val="en-GB"/>
    </w:rPr>
  </w:style>
  <w:style w:type="paragraph" w:customStyle="1" w:styleId="Object">
    <w:name w:val="Object"/>
    <w:basedOn w:val="Subject"/>
    <w:next w:val="Subject"/>
    <w:rsid w:val="00883D26"/>
  </w:style>
  <w:style w:type="paragraph" w:customStyle="1" w:styleId="Data">
    <w:name w:val="Data"/>
    <w:basedOn w:val="Subject"/>
    <w:next w:val="Subject"/>
    <w:rsid w:val="00883D26"/>
  </w:style>
  <w:style w:type="paragraph" w:styleId="Title">
    <w:name w:val="Title"/>
    <w:basedOn w:val="Normal"/>
    <w:next w:val="Normal"/>
    <w:link w:val="TitleChar"/>
    <w:uiPriority w:val="10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83D26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D26"/>
    <w:rPr>
      <w:color w:val="808080"/>
    </w:rPr>
  </w:style>
  <w:style w:type="character" w:styleId="Strong">
    <w:name w:val="Strong"/>
    <w:basedOn w:val="DefaultParagraphFont"/>
    <w:uiPriority w:val="22"/>
    <w:qFormat/>
    <w:rsid w:val="00883D2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D2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D26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83D26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83D26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883D26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883D2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883D26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2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Otherideas">
    <w:name w:val="Other ideas"/>
    <w:basedOn w:val="Heading2"/>
    <w:link w:val="OtherideasChar"/>
    <w:qFormat/>
    <w:rsid w:val="00883D26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883D26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883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317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package" Target="embeddings/Microsoft_PowerPoint_Slide1.sldx"/><Relationship Id="rId17" Type="http://schemas.openxmlformats.org/officeDocument/2006/relationships/hyperlink" Target="https://www.gsa.europ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vf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://www.euroconsult-ec.com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uroconsult-e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61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DC3C-B392-4112-AEDD-80AD5D64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6</TotalTime>
  <Pages>17</Pages>
  <Words>3617</Words>
  <Characters>24439</Characters>
  <Application>Microsoft Office Word</Application>
  <DocSecurity>0</DocSecurity>
  <Lines>203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28001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3</cp:revision>
  <cp:lastPrinted>2017-03-27T11:50:00Z</cp:lastPrinted>
  <dcterms:created xsi:type="dcterms:W3CDTF">2018-03-06T11:08:00Z</dcterms:created>
  <dcterms:modified xsi:type="dcterms:W3CDTF">2018-03-06T11:17:00Z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