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096"/>
        <w:gridCol w:w="3793"/>
      </w:tblGrid>
      <w:tr w:rsidR="0057336B" w:rsidTr="009514CE">
        <w:trPr>
          <w:cantSplit/>
        </w:trPr>
        <w:tc>
          <w:tcPr>
            <w:tcW w:w="6096" w:type="dxa"/>
            <w:vAlign w:val="center"/>
          </w:tcPr>
          <w:p w:rsidR="0057336B" w:rsidRPr="008F0106" w:rsidRDefault="0057336B" w:rsidP="00D51E1E">
            <w:pPr>
              <w:shd w:val="solid" w:color="FFFFFF" w:fill="FFFFFF"/>
              <w:tabs>
                <w:tab w:val="left" w:pos="568"/>
              </w:tabs>
              <w:spacing w:before="360" w:after="240"/>
              <w:rPr>
                <w:b/>
                <w:caps/>
                <w:sz w:val="32"/>
              </w:rPr>
            </w:pPr>
            <w:r w:rsidRPr="006E291F">
              <w:rPr>
                <w:rFonts w:ascii="Verdana" w:hAnsi="Verdana" w:cs="Times New Roman Bold"/>
                <w:b/>
                <w:sz w:val="26"/>
                <w:szCs w:val="26"/>
              </w:rPr>
              <w:t>Grupo Asesor de Radiocomunicaciones</w:t>
            </w:r>
            <w:r>
              <w:rPr>
                <w:b/>
                <w:caps/>
                <w:sz w:val="32"/>
              </w:rPr>
              <w:br/>
            </w:r>
            <w:r>
              <w:rPr>
                <w:rFonts w:ascii="Verdana" w:hAnsi="Verdana" w:cs="Times New Roman Bold"/>
                <w:b/>
                <w:bCs/>
                <w:sz w:val="20"/>
              </w:rPr>
              <w:t>Ginebra, 26-2</w:t>
            </w:r>
            <w:r w:rsidR="00D51E1E">
              <w:rPr>
                <w:rFonts w:ascii="Verdana" w:hAnsi="Verdana" w:cs="Times New Roman Bold"/>
                <w:b/>
                <w:bCs/>
                <w:sz w:val="20"/>
              </w:rPr>
              <w:t>9</w:t>
            </w:r>
            <w:r>
              <w:rPr>
                <w:rFonts w:ascii="Verdana" w:hAnsi="Verdana" w:cs="Times New Roman Bold"/>
                <w:b/>
                <w:bCs/>
                <w:sz w:val="20"/>
              </w:rPr>
              <w:t xml:space="preserve"> de </w:t>
            </w:r>
            <w:r w:rsidR="00D51E1E">
              <w:rPr>
                <w:rFonts w:ascii="Verdana" w:hAnsi="Verdana" w:cs="Times New Roman Bold"/>
                <w:b/>
                <w:bCs/>
                <w:sz w:val="20"/>
              </w:rPr>
              <w:t>marzo</w:t>
            </w:r>
            <w:r>
              <w:rPr>
                <w:rFonts w:ascii="Verdana" w:hAnsi="Verdana" w:cs="Times New Roman Bold"/>
                <w:b/>
                <w:bCs/>
                <w:sz w:val="20"/>
              </w:rPr>
              <w:t xml:space="preserve"> de 201</w:t>
            </w:r>
            <w:r w:rsidR="00D51E1E">
              <w:rPr>
                <w:rFonts w:ascii="Verdana" w:hAnsi="Verdana" w:cs="Times New Roman Bold"/>
                <w:b/>
                <w:bCs/>
                <w:sz w:val="20"/>
              </w:rPr>
              <w:t>8</w:t>
            </w:r>
          </w:p>
        </w:tc>
        <w:tc>
          <w:tcPr>
            <w:tcW w:w="3793" w:type="dxa"/>
            <w:vAlign w:val="center"/>
          </w:tcPr>
          <w:p w:rsidR="0057336B" w:rsidRDefault="0057336B" w:rsidP="008F0106">
            <w:pPr>
              <w:shd w:val="solid" w:color="FFFFFF" w:fill="FFFFFF"/>
              <w:spacing w:before="0"/>
              <w:jc w:val="right"/>
            </w:pPr>
            <w:r w:rsidRPr="00DC0335">
              <w:rPr>
                <w:rFonts w:cstheme="minorHAnsi"/>
                <w:b/>
                <w:bCs/>
                <w:noProof/>
                <w:szCs w:val="24"/>
                <w:lang w:val="en-US" w:eastAsia="zh-CN"/>
              </w:rPr>
              <w:drawing>
                <wp:inline distT="0" distB="0" distL="0" distR="0" wp14:anchorId="7320830C" wp14:editId="41505B7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6E291F" w:rsidRPr="0051782D" w:rsidTr="009514CE">
        <w:trPr>
          <w:cantSplit/>
        </w:trPr>
        <w:tc>
          <w:tcPr>
            <w:tcW w:w="6096" w:type="dxa"/>
            <w:tcBorders>
              <w:bottom w:val="single" w:sz="12" w:space="0" w:color="auto"/>
            </w:tcBorders>
          </w:tcPr>
          <w:p w:rsidR="006E291F" w:rsidRPr="0051782D" w:rsidRDefault="006E291F" w:rsidP="00CB7A43">
            <w:pPr>
              <w:shd w:val="solid" w:color="FFFFFF" w:fill="FFFFFF"/>
              <w:spacing w:before="0" w:after="48"/>
              <w:rPr>
                <w:rFonts w:ascii="Verdana" w:hAnsi="Verdana" w:cs="Times New Roman Bold"/>
                <w:b/>
                <w:sz w:val="22"/>
                <w:szCs w:val="22"/>
              </w:rPr>
            </w:pPr>
          </w:p>
        </w:tc>
        <w:tc>
          <w:tcPr>
            <w:tcW w:w="3793" w:type="dxa"/>
            <w:tcBorders>
              <w:bottom w:val="single" w:sz="12" w:space="0" w:color="auto"/>
            </w:tcBorders>
          </w:tcPr>
          <w:p w:rsidR="006E291F" w:rsidRPr="0051782D" w:rsidRDefault="006E291F" w:rsidP="00CB7A43">
            <w:pPr>
              <w:shd w:val="solid" w:color="FFFFFF" w:fill="FFFFFF"/>
              <w:spacing w:before="0" w:after="48" w:line="240" w:lineRule="atLeast"/>
              <w:rPr>
                <w:sz w:val="22"/>
                <w:szCs w:val="22"/>
                <w:lang w:val="en-US"/>
              </w:rPr>
            </w:pPr>
          </w:p>
        </w:tc>
      </w:tr>
      <w:tr w:rsidR="006E291F" w:rsidRPr="00710D66" w:rsidTr="009514CE">
        <w:trPr>
          <w:cantSplit/>
        </w:trPr>
        <w:tc>
          <w:tcPr>
            <w:tcW w:w="6096" w:type="dxa"/>
            <w:tcBorders>
              <w:top w:val="single" w:sz="12" w:space="0" w:color="auto"/>
            </w:tcBorders>
          </w:tcPr>
          <w:p w:rsidR="006E291F" w:rsidRPr="0051782D" w:rsidRDefault="006E291F" w:rsidP="00CB7A43">
            <w:pPr>
              <w:shd w:val="solid" w:color="FFFFFF" w:fill="FFFFFF"/>
              <w:spacing w:before="0" w:after="48"/>
              <w:rPr>
                <w:rFonts w:ascii="Verdana" w:hAnsi="Verdana" w:cs="Times New Roman Bold"/>
                <w:bCs/>
                <w:sz w:val="22"/>
                <w:szCs w:val="22"/>
              </w:rPr>
            </w:pPr>
          </w:p>
        </w:tc>
        <w:tc>
          <w:tcPr>
            <w:tcW w:w="3793" w:type="dxa"/>
            <w:tcBorders>
              <w:top w:val="single" w:sz="12" w:space="0" w:color="auto"/>
            </w:tcBorders>
          </w:tcPr>
          <w:p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C34CE4" w:rsidRPr="002A127E" w:rsidTr="009514CE">
        <w:trPr>
          <w:cantSplit/>
        </w:trPr>
        <w:tc>
          <w:tcPr>
            <w:tcW w:w="6096" w:type="dxa"/>
            <w:vMerge w:val="restart"/>
          </w:tcPr>
          <w:p w:rsidR="00C34CE4" w:rsidRDefault="00C34CE4" w:rsidP="00C34CE4">
            <w:pPr>
              <w:shd w:val="solid" w:color="FFFFFF" w:fill="FFFFFF"/>
              <w:spacing w:after="240"/>
              <w:rPr>
                <w:sz w:val="20"/>
              </w:rPr>
            </w:pPr>
            <w:bookmarkStart w:id="0" w:name="dnum" w:colFirst="1" w:colLast="1"/>
            <w:r>
              <w:rPr>
                <w:rFonts w:ascii="Verdana" w:hAnsi="Verdana"/>
                <w:sz w:val="20"/>
                <w:lang w:val="en-US"/>
              </w:rPr>
              <w:t>Fuente</w:t>
            </w:r>
            <w:r w:rsidRPr="00D56AA1">
              <w:rPr>
                <w:rFonts w:ascii="Verdana" w:hAnsi="Verdana"/>
                <w:sz w:val="20"/>
                <w:lang w:val="en-US"/>
              </w:rPr>
              <w:t>:</w:t>
            </w:r>
            <w:r w:rsidRPr="00D56AA1">
              <w:rPr>
                <w:rFonts w:ascii="Verdana" w:hAnsi="Verdana"/>
                <w:sz w:val="20"/>
                <w:lang w:val="en-US"/>
              </w:rPr>
              <w:tab/>
              <w:t>Document</w:t>
            </w:r>
            <w:r>
              <w:rPr>
                <w:rFonts w:ascii="Verdana" w:hAnsi="Verdana"/>
                <w:sz w:val="20"/>
                <w:lang w:val="en-US"/>
              </w:rPr>
              <w:t>o</w:t>
            </w:r>
            <w:r w:rsidRPr="00D56AA1">
              <w:rPr>
                <w:rFonts w:ascii="Verdana" w:hAnsi="Verdana"/>
                <w:sz w:val="20"/>
                <w:lang w:val="en-US"/>
              </w:rPr>
              <w:t xml:space="preserve"> 4C/</w:t>
            </w:r>
            <w:r w:rsidRPr="005F5FE2">
              <w:rPr>
                <w:rFonts w:ascii="Verdana" w:hAnsi="Verdana"/>
                <w:sz w:val="20"/>
                <w:lang w:val="fr-CH"/>
              </w:rPr>
              <w:t>TEMP/124</w:t>
            </w:r>
          </w:p>
        </w:tc>
        <w:tc>
          <w:tcPr>
            <w:tcW w:w="3793" w:type="dxa"/>
          </w:tcPr>
          <w:p w:rsidR="00C34CE4" w:rsidRPr="00B27940" w:rsidRDefault="00C34CE4" w:rsidP="00C34CE4">
            <w:pPr>
              <w:shd w:val="solid" w:color="FFFFFF" w:fill="FFFFFF"/>
              <w:spacing w:before="0" w:line="240" w:lineRule="atLeast"/>
              <w:rPr>
                <w:rFonts w:ascii="Verdana" w:hAnsi="Verdana"/>
                <w:sz w:val="20"/>
              </w:rPr>
            </w:pPr>
            <w:r>
              <w:rPr>
                <w:rFonts w:ascii="Verdana" w:hAnsi="Verdana"/>
                <w:b/>
                <w:sz w:val="20"/>
              </w:rPr>
              <w:t>Addéndum 2 al</w:t>
            </w:r>
            <w:r>
              <w:rPr>
                <w:rFonts w:ascii="Verdana" w:hAnsi="Verdana"/>
                <w:b/>
                <w:sz w:val="20"/>
              </w:rPr>
              <w:br/>
              <w:t>Documento RAG18/1(Add.2)-S</w:t>
            </w:r>
          </w:p>
        </w:tc>
      </w:tr>
      <w:tr w:rsidR="00C34CE4" w:rsidRPr="002A127E" w:rsidTr="009514CE">
        <w:trPr>
          <w:cantSplit/>
        </w:trPr>
        <w:tc>
          <w:tcPr>
            <w:tcW w:w="6096" w:type="dxa"/>
            <w:vMerge/>
          </w:tcPr>
          <w:p w:rsidR="00C34CE4" w:rsidRDefault="00C34CE4" w:rsidP="00C34CE4">
            <w:pPr>
              <w:spacing w:before="60"/>
              <w:jc w:val="center"/>
              <w:rPr>
                <w:b/>
                <w:smallCaps/>
                <w:sz w:val="32"/>
              </w:rPr>
            </w:pPr>
            <w:bookmarkStart w:id="1" w:name="ddate" w:colFirst="1" w:colLast="1"/>
            <w:bookmarkEnd w:id="0"/>
          </w:p>
        </w:tc>
        <w:tc>
          <w:tcPr>
            <w:tcW w:w="3793" w:type="dxa"/>
          </w:tcPr>
          <w:p w:rsidR="00C34CE4" w:rsidRPr="00B27940" w:rsidRDefault="00C34CE4" w:rsidP="00C34CE4">
            <w:pPr>
              <w:shd w:val="solid" w:color="FFFFFF" w:fill="FFFFFF"/>
              <w:spacing w:before="0" w:line="240" w:lineRule="atLeast"/>
              <w:rPr>
                <w:rFonts w:ascii="Verdana" w:hAnsi="Verdana"/>
                <w:sz w:val="20"/>
              </w:rPr>
            </w:pPr>
            <w:r>
              <w:rPr>
                <w:rFonts w:ascii="Verdana" w:hAnsi="Verdana"/>
                <w:b/>
                <w:sz w:val="20"/>
              </w:rPr>
              <w:t>9 de marzo de 2018</w:t>
            </w:r>
          </w:p>
        </w:tc>
      </w:tr>
      <w:tr w:rsidR="00C34CE4" w:rsidRPr="002A127E" w:rsidTr="009514CE">
        <w:trPr>
          <w:cantSplit/>
        </w:trPr>
        <w:tc>
          <w:tcPr>
            <w:tcW w:w="6096" w:type="dxa"/>
            <w:vMerge/>
          </w:tcPr>
          <w:p w:rsidR="00C34CE4" w:rsidRDefault="00C34CE4" w:rsidP="00C34CE4">
            <w:pPr>
              <w:spacing w:before="60"/>
              <w:jc w:val="center"/>
              <w:rPr>
                <w:b/>
                <w:smallCaps/>
                <w:sz w:val="32"/>
              </w:rPr>
            </w:pPr>
            <w:bookmarkStart w:id="2" w:name="dorlang" w:colFirst="1" w:colLast="1"/>
            <w:bookmarkEnd w:id="1"/>
          </w:p>
        </w:tc>
        <w:tc>
          <w:tcPr>
            <w:tcW w:w="3793" w:type="dxa"/>
          </w:tcPr>
          <w:p w:rsidR="00C34CE4" w:rsidRPr="00B27940" w:rsidRDefault="00C34CE4" w:rsidP="00C34CE4">
            <w:pPr>
              <w:shd w:val="solid" w:color="FFFFFF" w:fill="FFFFFF"/>
              <w:spacing w:before="0" w:after="120" w:line="240" w:lineRule="atLeast"/>
              <w:rPr>
                <w:rFonts w:ascii="Verdana" w:hAnsi="Verdana"/>
                <w:sz w:val="20"/>
              </w:rPr>
            </w:pPr>
            <w:r>
              <w:rPr>
                <w:rFonts w:ascii="Verdana" w:hAnsi="Verdana"/>
                <w:b/>
                <w:sz w:val="20"/>
              </w:rPr>
              <w:t>Original: inglés</w:t>
            </w:r>
          </w:p>
        </w:tc>
      </w:tr>
      <w:tr w:rsidR="00C34CE4" w:rsidTr="008F0106">
        <w:trPr>
          <w:cantSplit/>
        </w:trPr>
        <w:tc>
          <w:tcPr>
            <w:tcW w:w="9889" w:type="dxa"/>
            <w:gridSpan w:val="2"/>
          </w:tcPr>
          <w:p w:rsidR="00C34CE4" w:rsidRPr="00555A95" w:rsidRDefault="00C34CE4" w:rsidP="00C34CE4">
            <w:pPr>
              <w:pStyle w:val="Source"/>
            </w:pPr>
            <w:bookmarkStart w:id="3" w:name="dsource" w:colFirst="0" w:colLast="0"/>
            <w:bookmarkEnd w:id="2"/>
            <w:r w:rsidRPr="00555A95">
              <w:t>Anexo 17 al Informe del Presidente del Grupo de Trabajo 4C</w:t>
            </w:r>
          </w:p>
        </w:tc>
      </w:tr>
      <w:tr w:rsidR="00C34CE4" w:rsidTr="008F0106">
        <w:trPr>
          <w:cantSplit/>
        </w:trPr>
        <w:tc>
          <w:tcPr>
            <w:tcW w:w="9889" w:type="dxa"/>
            <w:gridSpan w:val="2"/>
          </w:tcPr>
          <w:p w:rsidR="00C34CE4" w:rsidRPr="00555A95" w:rsidRDefault="00C34CE4" w:rsidP="00C34CE4">
            <w:pPr>
              <w:pStyle w:val="Title1"/>
            </w:pPr>
            <w:bookmarkStart w:id="4" w:name="dtitle1" w:colFirst="0" w:colLast="0"/>
            <w:bookmarkEnd w:id="3"/>
            <w:r w:rsidRPr="00555A95">
              <w:t>nota del presidente del grupo de trabajo 4c al director, Oficina de Radiocomunicaciones (copia para información al gar y a los grupos de trabajo 4A, 4b, 5a , 7b, 7c)</w:t>
            </w:r>
          </w:p>
        </w:tc>
      </w:tr>
    </w:tbl>
    <w:bookmarkEnd w:id="4"/>
    <w:p w:rsidR="009514CE" w:rsidRDefault="009514CE" w:rsidP="00935D92">
      <w:pPr>
        <w:pStyle w:val="AnnexNotitle"/>
      </w:pPr>
      <w:r>
        <w:t>Recuperación de costes para los sistemas de satélites no geoestacionarios</w:t>
      </w:r>
    </w:p>
    <w:p w:rsidR="009514CE" w:rsidRDefault="009514CE" w:rsidP="00555A95">
      <w:bookmarkStart w:id="5" w:name="lt_pId017"/>
      <w:r>
        <w:t xml:space="preserve">Durante su reunión de febrero de 2018, el GT 4C recibió del Director del Oficina de Radiocomunicaciones el Documento </w:t>
      </w:r>
      <w:hyperlink r:id="rId7" w:history="1">
        <w:r w:rsidRPr="005D7BF9">
          <w:rPr>
            <w:rStyle w:val="Hyperlink"/>
          </w:rPr>
          <w:t>4C/286</w:t>
        </w:r>
      </w:hyperlink>
      <w:r w:rsidR="005D7BF9">
        <w:t xml:space="preserve">, </w:t>
      </w:r>
      <w:r>
        <w:t>en el que se facilita un análisis detallado de la cuestión de la r</w:t>
      </w:r>
      <w:r w:rsidRPr="009514CE">
        <w:t>ecuperación de costes para los sistemas de satélites no geoestacionarios</w:t>
      </w:r>
      <w:r>
        <w:t>. Se indica que dicho análisis se presentó al Consejo el 31 de enero de 2018.</w:t>
      </w:r>
    </w:p>
    <w:p w:rsidR="009514CE" w:rsidRDefault="009514CE" w:rsidP="00935D92">
      <w:r>
        <w:t>Aunque los comentarios iniciales de los G</w:t>
      </w:r>
      <w:r w:rsidR="00935D92">
        <w:t>T</w:t>
      </w:r>
      <w:r>
        <w:t xml:space="preserve"> 4A, 4C, 7B y 7C se recopilan en la Sección 3 del documento 4C/286, el GT 4C considera que se requerirían más estudios técnicos detallados basados en una mayor cantidad de datos estadísticos obtenidos de diversas fuentes para </w:t>
      </w:r>
      <w:r w:rsidR="005D7BF9">
        <w:t xml:space="preserve">poder </w:t>
      </w:r>
      <w:r>
        <w:t xml:space="preserve">evaluar debidamente los tres </w:t>
      </w:r>
      <w:r w:rsidR="00555A95">
        <w:t>«</w:t>
      </w:r>
      <w:r>
        <w:t>procedimientos</w:t>
      </w:r>
      <w:r w:rsidR="00555A95">
        <w:t>»</w:t>
      </w:r>
      <w:r w:rsidR="006B208D">
        <w:t xml:space="preserve"> propuestos.</w:t>
      </w:r>
    </w:p>
    <w:p w:rsidR="009514CE" w:rsidRDefault="009514CE" w:rsidP="00555A95">
      <w:r>
        <w:t xml:space="preserve">Debido a la gran carga de trabajo y </w:t>
      </w:r>
      <w:r w:rsidR="005D7BF9">
        <w:t xml:space="preserve">a </w:t>
      </w:r>
      <w:r>
        <w:t xml:space="preserve">las limitaciones de tiempo, el GT 4C no </w:t>
      </w:r>
      <w:r w:rsidR="005D7BF9">
        <w:t>pudo</w:t>
      </w:r>
      <w:r>
        <w:t xml:space="preserve"> estudiar los </w:t>
      </w:r>
      <w:r w:rsidR="00555A95">
        <w:t>«</w:t>
      </w:r>
      <w:r>
        <w:t>procedimientos</w:t>
      </w:r>
      <w:r w:rsidR="00555A95">
        <w:t>»</w:t>
      </w:r>
      <w:r>
        <w:t xml:space="preserve"> propuestos </w:t>
      </w:r>
      <w:r w:rsidR="005D7BF9">
        <w:t>que se describen</w:t>
      </w:r>
      <w:r>
        <w:t xml:space="preserve"> en el documento 4C/286. Por consiguiente, el GT 4C no pudo comentar acerca de su aplicación y de si se respondería o no a las inquietudes planteadas anteriormente por los miembros.</w:t>
      </w:r>
    </w:p>
    <w:p w:rsidR="005D7BF9" w:rsidRDefault="005D7BF9" w:rsidP="00555A95">
      <w:r>
        <w:t>Una manera de acelerar los citados estudios sería crear un grupo de expertos del Consejo integrado por expertos de los miembros.</w:t>
      </w:r>
    </w:p>
    <w:p w:rsidR="00B27940" w:rsidRPr="00396925" w:rsidRDefault="005D7BF9" w:rsidP="00555A95">
      <w:r>
        <w:t>El GT 4C agradecería que se le mantuviera informado de los avances de dicho estudio, que reviste gran importancia para los Grupos de Trabajo que se ocupan de los sistemas de satélites no geoestacionarios.</w:t>
      </w:r>
      <w:bookmarkEnd w:id="5"/>
    </w:p>
    <w:p w:rsidR="00675D7A" w:rsidRPr="00B14B0B" w:rsidRDefault="00675D7A" w:rsidP="009514CE">
      <w:pPr>
        <w:pStyle w:val="Reasons"/>
        <w:rPr>
          <w:lang w:val="es-ES_tradnl"/>
        </w:rPr>
      </w:pPr>
    </w:p>
    <w:p w:rsidR="00D51E1E" w:rsidRDefault="00675D7A" w:rsidP="00675D7A">
      <w:pPr>
        <w:jc w:val="center"/>
      </w:pPr>
      <w:r>
        <w:t>______________</w:t>
      </w:r>
      <w:bookmarkStart w:id="6" w:name="_GoBack"/>
      <w:bookmarkEnd w:id="6"/>
    </w:p>
    <w:sectPr w:rsidR="00D51E1E" w:rsidSect="004D6C09">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4CE" w:rsidRDefault="009514CE">
      <w:r>
        <w:separator/>
      </w:r>
    </w:p>
  </w:endnote>
  <w:endnote w:type="continuationSeparator" w:id="0">
    <w:p w:rsidR="009514CE" w:rsidRDefault="0095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4CE" w:rsidRDefault="007011A7" w:rsidP="00B14B0B">
    <w:pPr>
      <w:pStyle w:val="Footer"/>
      <w:rPr>
        <w:lang w:val="en-US"/>
      </w:rPr>
    </w:pPr>
    <w:r>
      <w:fldChar w:fldCharType="begin"/>
    </w:r>
    <w:r>
      <w:instrText xml:space="preserve"> FILENAME \p  \* MERGEFORMAT </w:instrText>
    </w:r>
    <w:r>
      <w:fldChar w:fldCharType="separate"/>
    </w:r>
    <w:r w:rsidR="009514CE">
      <w:t>P:\ESP\ITU-R\AG\RAG\RAG18\000\001ADD02V2S.docx</w:t>
    </w:r>
    <w:r>
      <w:fldChar w:fldCharType="end"/>
    </w:r>
    <w:r w:rsidR="009514CE">
      <w:t xml:space="preserve"> (432410)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4CE" w:rsidRPr="00C34CE4" w:rsidRDefault="00C34CE4" w:rsidP="00C34CE4">
    <w:pPr>
      <w:pStyle w:val="Footer"/>
      <w:rPr>
        <w:szCs w:val="16"/>
        <w:lang w:val="en-US"/>
      </w:rPr>
    </w:pPr>
    <w:r w:rsidRPr="00C34CE4">
      <w:rPr>
        <w:szCs w:val="16"/>
      </w:rPr>
      <w:fldChar w:fldCharType="begin"/>
    </w:r>
    <w:r w:rsidRPr="00C34CE4">
      <w:rPr>
        <w:szCs w:val="16"/>
        <w:lang w:val="en-US"/>
      </w:rPr>
      <w:instrText xml:space="preserve"> FILENAME \p  \* MERGEFORMAT </w:instrText>
    </w:r>
    <w:r w:rsidRPr="00C34CE4">
      <w:rPr>
        <w:szCs w:val="16"/>
      </w:rPr>
      <w:fldChar w:fldCharType="separate"/>
    </w:r>
    <w:r w:rsidRPr="00C34CE4">
      <w:rPr>
        <w:szCs w:val="16"/>
        <w:lang w:val="en-US"/>
      </w:rPr>
      <w:t>P:\ESP\ITU-R\AG\RAG\RAG18\000\001ADD02ADD02S.docx</w:t>
    </w:r>
    <w:r w:rsidRPr="00C34CE4">
      <w:rPr>
        <w:szCs w:val="16"/>
      </w:rPr>
      <w:fldChar w:fldCharType="end"/>
    </w:r>
    <w:r w:rsidRPr="00C34CE4">
      <w:rPr>
        <w:szCs w:val="16"/>
        <w:lang w:val="en-US"/>
      </w:rPr>
      <w:t xml:space="preserve"> (433568)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4CE" w:rsidRDefault="009514CE">
      <w:r>
        <w:t>____________________</w:t>
      </w:r>
    </w:p>
  </w:footnote>
  <w:footnote w:type="continuationSeparator" w:id="0">
    <w:p w:rsidR="009514CE" w:rsidRDefault="009514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4CE" w:rsidRDefault="009514CE">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5D7BF9">
      <w:rPr>
        <w:rStyle w:val="PageNumber"/>
        <w:noProof/>
      </w:rPr>
      <w:t>9</w:t>
    </w:r>
    <w:r>
      <w:rPr>
        <w:rStyle w:val="PageNumber"/>
      </w:rPr>
      <w:fldChar w:fldCharType="end"/>
    </w:r>
  </w:p>
  <w:p w:rsidR="009514CE" w:rsidRDefault="009514CE" w:rsidP="00D51E1E">
    <w:pPr>
      <w:pStyle w:val="Header"/>
      <w:rPr>
        <w:lang w:val="es-ES"/>
      </w:rPr>
    </w:pPr>
    <w:r>
      <w:rPr>
        <w:lang w:val="es-ES"/>
      </w:rPr>
      <w:t>RAG18/1(Add.2)-S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940"/>
    <w:rsid w:val="00097567"/>
    <w:rsid w:val="000C62BA"/>
    <w:rsid w:val="000D756D"/>
    <w:rsid w:val="00105FF1"/>
    <w:rsid w:val="0012592F"/>
    <w:rsid w:val="001F2F50"/>
    <w:rsid w:val="002D4D38"/>
    <w:rsid w:val="00307524"/>
    <w:rsid w:val="0031432E"/>
    <w:rsid w:val="0034043B"/>
    <w:rsid w:val="00414D8B"/>
    <w:rsid w:val="00482905"/>
    <w:rsid w:val="004D6C09"/>
    <w:rsid w:val="00555A95"/>
    <w:rsid w:val="0057336B"/>
    <w:rsid w:val="00581746"/>
    <w:rsid w:val="00582AB8"/>
    <w:rsid w:val="005A2195"/>
    <w:rsid w:val="005D3E02"/>
    <w:rsid w:val="005D7BF9"/>
    <w:rsid w:val="00610642"/>
    <w:rsid w:val="00616601"/>
    <w:rsid w:val="00646EEF"/>
    <w:rsid w:val="00663829"/>
    <w:rsid w:val="00675D7A"/>
    <w:rsid w:val="006A42AB"/>
    <w:rsid w:val="006B208D"/>
    <w:rsid w:val="006E291F"/>
    <w:rsid w:val="007011A7"/>
    <w:rsid w:val="00796155"/>
    <w:rsid w:val="007A509C"/>
    <w:rsid w:val="0081207F"/>
    <w:rsid w:val="008506C9"/>
    <w:rsid w:val="008F0106"/>
    <w:rsid w:val="009208C7"/>
    <w:rsid w:val="00924B63"/>
    <w:rsid w:val="00935D92"/>
    <w:rsid w:val="009514CE"/>
    <w:rsid w:val="00982618"/>
    <w:rsid w:val="009C205E"/>
    <w:rsid w:val="009D4090"/>
    <w:rsid w:val="00A0579C"/>
    <w:rsid w:val="00B14B0B"/>
    <w:rsid w:val="00B27940"/>
    <w:rsid w:val="00B32E51"/>
    <w:rsid w:val="00BC209E"/>
    <w:rsid w:val="00C236C7"/>
    <w:rsid w:val="00C34CE4"/>
    <w:rsid w:val="00C4622A"/>
    <w:rsid w:val="00C837F0"/>
    <w:rsid w:val="00CB7A43"/>
    <w:rsid w:val="00CF4CAC"/>
    <w:rsid w:val="00D51E1E"/>
    <w:rsid w:val="00DE77E6"/>
    <w:rsid w:val="00E72EA7"/>
    <w:rsid w:val="00EA4101"/>
    <w:rsid w:val="00EF68CB"/>
    <w:rsid w:val="00F23715"/>
    <w:rsid w:val="00FD56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F3C270E-39CF-4CC9-9D2E-E529CC47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styleId="Hyperlink">
    <w:name w:val="Hyperlink"/>
    <w:basedOn w:val="DefaultParagraphFont"/>
    <w:unhideWhenUsed/>
    <w:rsid w:val="00B27940"/>
    <w:rPr>
      <w:color w:val="0000FF" w:themeColor="hyperlink"/>
      <w:u w:val="single"/>
    </w:rPr>
  </w:style>
  <w:style w:type="paragraph" w:customStyle="1" w:styleId="Reasons">
    <w:name w:val="Reasons"/>
    <w:basedOn w:val="Normal"/>
    <w:qFormat/>
    <w:rsid w:val="00B27940"/>
    <w:pPr>
      <w:tabs>
        <w:tab w:val="clear" w:pos="794"/>
        <w:tab w:val="clear" w:pos="1191"/>
        <w:tab w:val="clear" w:pos="1588"/>
        <w:tab w:val="clear" w:pos="1985"/>
      </w:tabs>
      <w:overflowPunct/>
      <w:autoSpaceDE/>
      <w:autoSpaceDN/>
      <w:adjustRightInd/>
      <w:spacing w:before="0"/>
      <w:textAlignment w:val="auto"/>
    </w:pPr>
    <w:rPr>
      <w:lang w:val="en-US"/>
    </w:rPr>
  </w:style>
  <w:style w:type="character" w:styleId="IntenseReference">
    <w:name w:val="Intense Reference"/>
    <w:basedOn w:val="DefaultParagraphFont"/>
    <w:uiPriority w:val="32"/>
    <w:qFormat/>
    <w:rsid w:val="00B27940"/>
    <w:rPr>
      <w:b/>
      <w:bCs/>
      <w:smallCaps/>
      <w:color w:val="4F81BD" w:themeColor="accent1"/>
      <w:spacing w:val="5"/>
    </w:rPr>
  </w:style>
  <w:style w:type="character" w:styleId="IntenseEmphasis">
    <w:name w:val="Intense Emphasis"/>
    <w:basedOn w:val="DefaultParagraphFont"/>
    <w:uiPriority w:val="21"/>
    <w:qFormat/>
    <w:rsid w:val="00B27940"/>
    <w:rPr>
      <w:i/>
      <w:iCs/>
      <w:color w:val="4F81BD" w:themeColor="accent1"/>
    </w:rPr>
  </w:style>
  <w:style w:type="paragraph" w:customStyle="1" w:styleId="3e">
    <w:name w:val="3e"/>
    <w:basedOn w:val="enumlev1"/>
    <w:rsid w:val="00675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tu.int/md/R15-WP4C-C-0286/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RAG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PS_RAG18.dotm</Template>
  <TotalTime>19</TotalTime>
  <Pages>1</Pages>
  <Words>298</Words>
  <Characters>1520</Characters>
  <Application>Microsoft Office Word</Application>
  <DocSecurity>0</DocSecurity>
  <Lines>38</Lines>
  <Paragraphs>14</Paragraphs>
  <ScaleCrop>false</ScaleCrop>
  <HeadingPairs>
    <vt:vector size="2" baseType="variant">
      <vt:variant>
        <vt:lpstr>Title</vt:lpstr>
      </vt:variant>
      <vt:variant>
        <vt:i4>1</vt:i4>
      </vt:variant>
    </vt:vector>
  </HeadingPairs>
  <TitlesOfParts>
    <vt:vector size="1" baseType="lpstr">
      <vt:lpstr>RECUPERACIÓN DE COSTOS PARA LAS REDES DE SATÉLITES NO OSG</vt:lpstr>
    </vt:vector>
  </TitlesOfParts>
  <Manager>General Secretariat - Pool</Manager>
  <Company>International Telecommunication Union (ITU)</Company>
  <LinksUpToDate>false</LinksUpToDate>
  <CharactersWithSpaces>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DEL PRESIDENTE DEL GRUPO DE TRABAJO 4C AL DIRECTOR, OFICINA DE RADIOCOMUNICACIONES (COPIA PARA INFORMACIÓN AL GAR Y A LOS GRUPOS DE TRABAJO 4A, 4B, 5A , 7B, 7C)</dc:title>
  <dc:subject>GRUPO ASESOR DE RADIOCOMUNICACIONES</dc:subject>
  <dc:creator>Anexo 17 al Informe del Presidente del Grupo de Trabajo 4C</dc:creator>
  <cp:keywords>RAG03-1</cp:keywords>
  <dc:description>Addéndum 2 al Documento RAG18/1(Add.2)-S  For: _x000d_Document date: 9 de marzo de 2018_x000d_Saved by ITU51007829 at 16:07:52 on 13/03/2018</dc:description>
  <cp:lastModifiedBy>Marin Matas, Juan Gabriel</cp:lastModifiedBy>
  <cp:revision>7</cp:revision>
  <cp:lastPrinted>1993-02-18T11:12:00Z</cp:lastPrinted>
  <dcterms:created xsi:type="dcterms:W3CDTF">2018-03-13T14:41:00Z</dcterms:created>
  <dcterms:modified xsi:type="dcterms:W3CDTF">2018-03-13T15:07:00Z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Addéndum 2 al Documento RAG18/1(Add.2)-S</vt:lpwstr>
  </property>
  <property fmtid="{D5CDD505-2E9C-101B-9397-08002B2CF9AE}" pid="3" name="Docdate">
    <vt:lpwstr>9 de marzo de 2018</vt:lpwstr>
  </property>
  <property fmtid="{D5CDD505-2E9C-101B-9397-08002B2CF9AE}" pid="4" name="Docorlang">
    <vt:lpwstr>Original: inglés</vt:lpwstr>
  </property>
  <property fmtid="{D5CDD505-2E9C-101B-9397-08002B2CF9AE}" pid="5" name="Docauthor">
    <vt:lpwstr>Anexo 17 al Informe del Presidente del Grupo de Trabajo 4C</vt:lpwstr>
  </property>
</Properties>
</file>