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C53010" w:rsidTr="00FA7C73">
        <w:trPr>
          <w:cantSplit/>
        </w:trPr>
        <w:tc>
          <w:tcPr>
            <w:tcW w:w="6772" w:type="dxa"/>
            <w:vAlign w:val="center"/>
          </w:tcPr>
          <w:p w:rsidR="0057336B" w:rsidRPr="00C53010" w:rsidRDefault="0057336B" w:rsidP="001F3A94">
            <w:pPr>
              <w:shd w:val="solid" w:color="FFFFFF" w:fill="FFFFFF"/>
              <w:tabs>
                <w:tab w:val="left" w:pos="568"/>
              </w:tabs>
              <w:spacing w:before="360" w:after="240"/>
              <w:rPr>
                <w:b/>
                <w:caps/>
                <w:sz w:val="32"/>
                <w:lang w:val="es-ES"/>
              </w:rPr>
            </w:pPr>
            <w:r w:rsidRPr="00C53010">
              <w:rPr>
                <w:rFonts w:ascii="Verdana" w:hAnsi="Verdana" w:cs="Times New Roman Bold"/>
                <w:b/>
                <w:sz w:val="26"/>
                <w:szCs w:val="26"/>
                <w:lang w:val="es-ES"/>
              </w:rPr>
              <w:t>Grupo Asesor de Radiocomunicaciones</w:t>
            </w:r>
            <w:r w:rsidRPr="00C53010">
              <w:rPr>
                <w:b/>
                <w:caps/>
                <w:sz w:val="32"/>
                <w:lang w:val="es-ES"/>
              </w:rPr>
              <w:br/>
            </w:r>
            <w:r w:rsidRPr="00C53010">
              <w:rPr>
                <w:rFonts w:ascii="Verdana" w:hAnsi="Verdana" w:cs="Times New Roman Bold"/>
                <w:b/>
                <w:bCs/>
                <w:sz w:val="20"/>
                <w:lang w:val="es-ES"/>
              </w:rPr>
              <w:t>Ginebra, 26-2</w:t>
            </w:r>
            <w:r w:rsidR="00D51E1E" w:rsidRPr="00C53010">
              <w:rPr>
                <w:rFonts w:ascii="Verdana" w:hAnsi="Verdana" w:cs="Times New Roman Bold"/>
                <w:b/>
                <w:bCs/>
                <w:sz w:val="20"/>
                <w:lang w:val="es-ES"/>
              </w:rPr>
              <w:t>9</w:t>
            </w:r>
            <w:r w:rsidRPr="00C53010">
              <w:rPr>
                <w:rFonts w:ascii="Verdana" w:hAnsi="Verdana" w:cs="Times New Roman Bold"/>
                <w:b/>
                <w:bCs/>
                <w:sz w:val="20"/>
                <w:lang w:val="es-ES"/>
              </w:rPr>
              <w:t xml:space="preserve"> de </w:t>
            </w:r>
            <w:r w:rsidR="00D51E1E" w:rsidRPr="00C53010">
              <w:rPr>
                <w:rFonts w:ascii="Verdana" w:hAnsi="Verdana" w:cs="Times New Roman Bold"/>
                <w:b/>
                <w:bCs/>
                <w:sz w:val="20"/>
                <w:lang w:val="es-ES"/>
              </w:rPr>
              <w:t>marzo</w:t>
            </w:r>
            <w:r w:rsidRPr="00C53010">
              <w:rPr>
                <w:rFonts w:ascii="Verdana" w:hAnsi="Verdana" w:cs="Times New Roman Bold"/>
                <w:b/>
                <w:bCs/>
                <w:sz w:val="20"/>
                <w:lang w:val="es-ES"/>
              </w:rPr>
              <w:t xml:space="preserve"> de 201</w:t>
            </w:r>
            <w:r w:rsidR="00D51E1E" w:rsidRPr="00C53010">
              <w:rPr>
                <w:rFonts w:ascii="Verdana" w:hAnsi="Verdana" w:cs="Times New Roman Bold"/>
                <w:b/>
                <w:bCs/>
                <w:sz w:val="20"/>
                <w:lang w:val="es-ES"/>
              </w:rPr>
              <w:t>8</w:t>
            </w:r>
          </w:p>
        </w:tc>
        <w:tc>
          <w:tcPr>
            <w:tcW w:w="3117" w:type="dxa"/>
            <w:vAlign w:val="center"/>
          </w:tcPr>
          <w:p w:rsidR="0057336B" w:rsidRPr="00C53010" w:rsidRDefault="0057336B" w:rsidP="001F3A94">
            <w:pPr>
              <w:shd w:val="solid" w:color="FFFFFF" w:fill="FFFFFF"/>
              <w:spacing w:before="0"/>
              <w:jc w:val="right"/>
              <w:rPr>
                <w:lang w:val="es-ES"/>
              </w:rPr>
            </w:pPr>
            <w:r w:rsidRPr="00C53010">
              <w:rPr>
                <w:rFonts w:cstheme="minorHAnsi"/>
                <w:b/>
                <w:bCs/>
                <w:noProof/>
                <w:szCs w:val="24"/>
                <w:lang w:val="en-US"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C53010" w:rsidTr="00FA7C73">
        <w:trPr>
          <w:cantSplit/>
        </w:trPr>
        <w:tc>
          <w:tcPr>
            <w:tcW w:w="6772" w:type="dxa"/>
            <w:tcBorders>
              <w:bottom w:val="single" w:sz="12" w:space="0" w:color="auto"/>
            </w:tcBorders>
          </w:tcPr>
          <w:p w:rsidR="006E291F" w:rsidRPr="00C53010" w:rsidRDefault="006E291F" w:rsidP="001F3A94">
            <w:pPr>
              <w:shd w:val="solid" w:color="FFFFFF" w:fill="FFFFFF"/>
              <w:spacing w:before="0" w:after="48"/>
              <w:rPr>
                <w:rFonts w:ascii="Verdana" w:hAnsi="Verdana" w:cs="Times New Roman Bold"/>
                <w:b/>
                <w:sz w:val="22"/>
                <w:szCs w:val="22"/>
                <w:lang w:val="es-ES"/>
              </w:rPr>
            </w:pPr>
          </w:p>
        </w:tc>
        <w:tc>
          <w:tcPr>
            <w:tcW w:w="3117" w:type="dxa"/>
            <w:tcBorders>
              <w:bottom w:val="single" w:sz="12" w:space="0" w:color="auto"/>
            </w:tcBorders>
          </w:tcPr>
          <w:p w:rsidR="006E291F" w:rsidRPr="00C53010" w:rsidRDefault="006E291F" w:rsidP="001F3A94">
            <w:pPr>
              <w:shd w:val="solid" w:color="FFFFFF" w:fill="FFFFFF"/>
              <w:spacing w:before="0" w:after="48"/>
              <w:rPr>
                <w:sz w:val="22"/>
                <w:szCs w:val="22"/>
                <w:lang w:val="es-ES"/>
              </w:rPr>
            </w:pPr>
          </w:p>
        </w:tc>
      </w:tr>
      <w:tr w:rsidR="006E291F" w:rsidRPr="00C53010" w:rsidTr="00FA7C73">
        <w:trPr>
          <w:cantSplit/>
        </w:trPr>
        <w:tc>
          <w:tcPr>
            <w:tcW w:w="6772" w:type="dxa"/>
            <w:tcBorders>
              <w:top w:val="single" w:sz="12" w:space="0" w:color="auto"/>
            </w:tcBorders>
          </w:tcPr>
          <w:p w:rsidR="006E291F" w:rsidRPr="00C53010" w:rsidRDefault="006E291F" w:rsidP="001F3A94">
            <w:pPr>
              <w:shd w:val="solid" w:color="FFFFFF" w:fill="FFFFFF"/>
              <w:spacing w:before="0" w:after="48"/>
              <w:rPr>
                <w:rFonts w:ascii="Verdana" w:hAnsi="Verdana" w:cs="Times New Roman Bold"/>
                <w:bCs/>
                <w:sz w:val="22"/>
                <w:szCs w:val="22"/>
                <w:lang w:val="es-ES"/>
              </w:rPr>
            </w:pPr>
          </w:p>
        </w:tc>
        <w:tc>
          <w:tcPr>
            <w:tcW w:w="3117" w:type="dxa"/>
            <w:tcBorders>
              <w:top w:val="single" w:sz="12" w:space="0" w:color="auto"/>
            </w:tcBorders>
          </w:tcPr>
          <w:p w:rsidR="006E291F" w:rsidRPr="00C53010" w:rsidRDefault="006E291F" w:rsidP="001F3A94">
            <w:pPr>
              <w:shd w:val="solid" w:color="FFFFFF" w:fill="FFFFFF"/>
              <w:spacing w:before="0" w:after="48"/>
              <w:rPr>
                <w:rFonts w:ascii="Verdana" w:hAnsi="Verdana"/>
                <w:sz w:val="22"/>
                <w:szCs w:val="22"/>
                <w:lang w:val="es-ES"/>
              </w:rPr>
            </w:pPr>
          </w:p>
        </w:tc>
      </w:tr>
      <w:tr w:rsidR="006E291F" w:rsidRPr="00C53010" w:rsidTr="00FA7C73">
        <w:trPr>
          <w:cantSplit/>
        </w:trPr>
        <w:tc>
          <w:tcPr>
            <w:tcW w:w="6772" w:type="dxa"/>
            <w:vMerge w:val="restart"/>
          </w:tcPr>
          <w:p w:rsidR="006E291F" w:rsidRPr="00C53010" w:rsidRDefault="006E291F" w:rsidP="001F3A94">
            <w:pPr>
              <w:shd w:val="solid" w:color="FFFFFF" w:fill="FFFFFF"/>
              <w:spacing w:after="240"/>
              <w:rPr>
                <w:sz w:val="20"/>
                <w:lang w:val="es-ES"/>
              </w:rPr>
            </w:pPr>
            <w:bookmarkStart w:id="0" w:name="dnum" w:colFirst="1" w:colLast="1"/>
          </w:p>
        </w:tc>
        <w:tc>
          <w:tcPr>
            <w:tcW w:w="3117" w:type="dxa"/>
          </w:tcPr>
          <w:p w:rsidR="006E291F" w:rsidRPr="00C53010" w:rsidRDefault="00FA7C73" w:rsidP="001F3A94">
            <w:pPr>
              <w:shd w:val="solid" w:color="FFFFFF" w:fill="FFFFFF"/>
              <w:spacing w:before="0"/>
              <w:rPr>
                <w:rFonts w:ascii="Verdana" w:hAnsi="Verdana"/>
                <w:sz w:val="20"/>
                <w:lang w:val="es-ES"/>
              </w:rPr>
            </w:pPr>
            <w:r w:rsidRPr="00C53010">
              <w:rPr>
                <w:rFonts w:ascii="Verdana" w:hAnsi="Verdana"/>
                <w:b/>
                <w:sz w:val="20"/>
                <w:lang w:val="es-ES"/>
              </w:rPr>
              <w:t>Documento RAG18/1-S</w:t>
            </w:r>
          </w:p>
        </w:tc>
      </w:tr>
      <w:tr w:rsidR="006E291F" w:rsidRPr="00C53010" w:rsidTr="00FA7C73">
        <w:trPr>
          <w:cantSplit/>
        </w:trPr>
        <w:tc>
          <w:tcPr>
            <w:tcW w:w="6772" w:type="dxa"/>
            <w:vMerge/>
          </w:tcPr>
          <w:p w:rsidR="006E291F" w:rsidRPr="00C53010" w:rsidRDefault="006E291F" w:rsidP="001F3A94">
            <w:pPr>
              <w:spacing w:before="60"/>
              <w:jc w:val="center"/>
              <w:rPr>
                <w:b/>
                <w:smallCaps/>
                <w:sz w:val="32"/>
                <w:lang w:val="es-ES"/>
              </w:rPr>
            </w:pPr>
            <w:bookmarkStart w:id="1" w:name="ddate" w:colFirst="1" w:colLast="1"/>
            <w:bookmarkEnd w:id="0"/>
          </w:p>
        </w:tc>
        <w:tc>
          <w:tcPr>
            <w:tcW w:w="3117" w:type="dxa"/>
          </w:tcPr>
          <w:p w:rsidR="006E291F" w:rsidRPr="00C53010" w:rsidRDefault="00FA7C73" w:rsidP="001F3A94">
            <w:pPr>
              <w:shd w:val="solid" w:color="FFFFFF" w:fill="FFFFFF"/>
              <w:spacing w:before="0"/>
              <w:rPr>
                <w:rFonts w:ascii="Verdana" w:hAnsi="Verdana"/>
                <w:sz w:val="20"/>
                <w:lang w:val="es-ES"/>
              </w:rPr>
            </w:pPr>
            <w:r w:rsidRPr="00C53010">
              <w:rPr>
                <w:rFonts w:ascii="Verdana" w:hAnsi="Verdana"/>
                <w:b/>
                <w:sz w:val="20"/>
                <w:lang w:val="es-ES"/>
              </w:rPr>
              <w:t>13 de febrero de 2018</w:t>
            </w:r>
          </w:p>
        </w:tc>
      </w:tr>
      <w:tr w:rsidR="006E291F" w:rsidRPr="00C53010" w:rsidTr="00FA7C73">
        <w:trPr>
          <w:cantSplit/>
        </w:trPr>
        <w:tc>
          <w:tcPr>
            <w:tcW w:w="6772" w:type="dxa"/>
            <w:vMerge/>
          </w:tcPr>
          <w:p w:rsidR="006E291F" w:rsidRPr="00C53010" w:rsidRDefault="006E291F" w:rsidP="001F3A94">
            <w:pPr>
              <w:spacing w:before="60"/>
              <w:jc w:val="center"/>
              <w:rPr>
                <w:b/>
                <w:smallCaps/>
                <w:sz w:val="32"/>
                <w:lang w:val="es-ES"/>
              </w:rPr>
            </w:pPr>
            <w:bookmarkStart w:id="2" w:name="dorlang" w:colFirst="1" w:colLast="1"/>
            <w:bookmarkEnd w:id="1"/>
          </w:p>
        </w:tc>
        <w:tc>
          <w:tcPr>
            <w:tcW w:w="3117" w:type="dxa"/>
          </w:tcPr>
          <w:p w:rsidR="006E291F" w:rsidRPr="00C53010" w:rsidRDefault="00FA7C73" w:rsidP="001F3A94">
            <w:pPr>
              <w:shd w:val="solid" w:color="FFFFFF" w:fill="FFFFFF"/>
              <w:spacing w:before="0" w:after="120"/>
              <w:rPr>
                <w:rFonts w:ascii="Verdana" w:hAnsi="Verdana"/>
                <w:sz w:val="20"/>
                <w:lang w:val="es-ES"/>
              </w:rPr>
            </w:pPr>
            <w:r w:rsidRPr="00C53010">
              <w:rPr>
                <w:rFonts w:ascii="Verdana" w:hAnsi="Verdana"/>
                <w:b/>
                <w:sz w:val="20"/>
                <w:lang w:val="es-ES"/>
              </w:rPr>
              <w:t>Original: inglés</w:t>
            </w:r>
          </w:p>
        </w:tc>
      </w:tr>
      <w:tr w:rsidR="001F3A94" w:rsidRPr="00C53010" w:rsidTr="008F0106">
        <w:trPr>
          <w:cantSplit/>
        </w:trPr>
        <w:tc>
          <w:tcPr>
            <w:tcW w:w="9889" w:type="dxa"/>
            <w:gridSpan w:val="2"/>
          </w:tcPr>
          <w:p w:rsidR="001F3A94" w:rsidRPr="00C53010" w:rsidRDefault="001F3A94" w:rsidP="001F3A94">
            <w:pPr>
              <w:pStyle w:val="Source"/>
              <w:rPr>
                <w:lang w:val="es-ES"/>
              </w:rPr>
            </w:pPr>
            <w:bookmarkStart w:id="3" w:name="dsource" w:colFirst="0" w:colLast="0"/>
            <w:bookmarkEnd w:id="2"/>
            <w:r w:rsidRPr="00C53010">
              <w:rPr>
                <w:lang w:val="es-ES"/>
              </w:rPr>
              <w:t>Director de la Oficina de Radiocomunicaciones</w:t>
            </w:r>
          </w:p>
        </w:tc>
      </w:tr>
      <w:tr w:rsidR="001F3A94" w:rsidRPr="00C53010" w:rsidTr="008F0106">
        <w:trPr>
          <w:cantSplit/>
        </w:trPr>
        <w:tc>
          <w:tcPr>
            <w:tcW w:w="9889" w:type="dxa"/>
            <w:gridSpan w:val="2"/>
          </w:tcPr>
          <w:p w:rsidR="001F3A94" w:rsidRPr="00C53010" w:rsidRDefault="001F3A94" w:rsidP="001F3A94">
            <w:pPr>
              <w:pStyle w:val="Title1"/>
              <w:rPr>
                <w:lang w:val="es-ES"/>
              </w:rPr>
            </w:pPr>
            <w:bookmarkStart w:id="4" w:name="dtitle1" w:colFirst="0" w:colLast="0"/>
            <w:bookmarkEnd w:id="3"/>
            <w:r w:rsidRPr="00C53010">
              <w:rPr>
                <w:lang w:val="es-ES"/>
              </w:rPr>
              <w:t xml:space="preserve">INFORME A LA VIGÉSIMA QUINTA REUNIÓN DEL </w:t>
            </w:r>
            <w:r w:rsidRPr="00C53010">
              <w:rPr>
                <w:lang w:val="es-ES"/>
              </w:rPr>
              <w:br/>
              <w:t>GRUPO ASESOR DE RADIOCOMUNICACIONES</w:t>
            </w:r>
          </w:p>
        </w:tc>
      </w:tr>
    </w:tbl>
    <w:p w:rsidR="00FA7C73" w:rsidRPr="00C53010" w:rsidRDefault="00FA7C73" w:rsidP="001F3A94">
      <w:pPr>
        <w:pStyle w:val="Heading1"/>
        <w:spacing w:before="600"/>
        <w:rPr>
          <w:lang w:val="es-ES"/>
        </w:rPr>
      </w:pPr>
      <w:bookmarkStart w:id="5" w:name="_Toc446060751"/>
      <w:bookmarkEnd w:id="4"/>
      <w:r w:rsidRPr="00C53010">
        <w:rPr>
          <w:lang w:val="es-ES"/>
        </w:rPr>
        <w:t>1</w:t>
      </w:r>
      <w:r w:rsidRPr="00C53010">
        <w:rPr>
          <w:lang w:val="es-ES"/>
        </w:rPr>
        <w:tab/>
      </w:r>
      <w:bookmarkEnd w:id="5"/>
      <w:r w:rsidR="001F3A94" w:rsidRPr="00C53010">
        <w:rPr>
          <w:lang w:val="es-ES"/>
        </w:rPr>
        <w:t>Introducción</w:t>
      </w:r>
    </w:p>
    <w:p w:rsidR="001F3A94" w:rsidRPr="00C53010" w:rsidRDefault="001F3A94" w:rsidP="001F3A94">
      <w:pPr>
        <w:rPr>
          <w:lang w:val="es-ES"/>
        </w:rPr>
      </w:pPr>
      <w:bookmarkStart w:id="6" w:name="_Toc446060752"/>
      <w:r w:rsidRPr="00C53010">
        <w:rPr>
          <w:lang w:val="es-ES"/>
        </w:rPr>
        <w:t xml:space="preserve">En el presente documento se informa de la situación y antecedentes de algunos temas que figuran en el orden del día provisional de la 25ª reunión del GAR (véase CA/236 del </w:t>
      </w:r>
      <w:r w:rsidRPr="00C53010">
        <w:rPr>
          <w:cs/>
          <w:lang w:val="es-ES"/>
        </w:rPr>
        <w:t>‎</w:t>
      </w:r>
      <w:r w:rsidRPr="00C53010">
        <w:rPr>
          <w:lang w:val="es-ES"/>
        </w:rPr>
        <w:t>30.10.2017</w:t>
      </w:r>
      <w:r w:rsidRPr="00C53010">
        <w:rPr>
          <w:cs/>
          <w:lang w:val="es-ES"/>
        </w:rPr>
        <w:t>‎</w:t>
      </w:r>
      <w:r w:rsidRPr="00C53010">
        <w:rPr>
          <w:lang w:val="es-ES"/>
        </w:rPr>
        <w:t>) con el fin de ayudar a los participantes en la reunión a examinar los correspondientes puntos del orden del día.</w:t>
      </w:r>
    </w:p>
    <w:p w:rsidR="001F3A94" w:rsidRPr="00C53010" w:rsidRDefault="001F3A94" w:rsidP="001F3A94">
      <w:pPr>
        <w:rPr>
          <w:lang w:val="es-ES"/>
        </w:rPr>
      </w:pPr>
      <w:r w:rsidRPr="00C53010">
        <w:rPr>
          <w:lang w:val="es-ES"/>
        </w:rPr>
        <w:t>Se presentarán informes separados para ciertos puntos del orden del día.</w:t>
      </w:r>
    </w:p>
    <w:p w:rsidR="00FA7C73" w:rsidRPr="00C53010" w:rsidRDefault="00FA7C73" w:rsidP="001F3A94">
      <w:pPr>
        <w:pStyle w:val="Heading1"/>
        <w:rPr>
          <w:lang w:val="es-ES"/>
        </w:rPr>
      </w:pPr>
      <w:r w:rsidRPr="00C53010">
        <w:rPr>
          <w:lang w:val="es-ES"/>
        </w:rPr>
        <w:t>2</w:t>
      </w:r>
      <w:r w:rsidRPr="00C53010">
        <w:rPr>
          <w:lang w:val="es-ES"/>
        </w:rPr>
        <w:tab/>
      </w:r>
      <w:bookmarkEnd w:id="6"/>
      <w:r w:rsidR="001F3A94" w:rsidRPr="00C53010">
        <w:rPr>
          <w:lang w:val="es-ES"/>
        </w:rPr>
        <w:t>Asuntos relativos al Consejo</w:t>
      </w:r>
    </w:p>
    <w:p w:rsidR="00FA7C73" w:rsidRPr="00C53010" w:rsidRDefault="001F3A94" w:rsidP="00E3515B">
      <w:pPr>
        <w:rPr>
          <w:lang w:val="es-ES"/>
        </w:rPr>
      </w:pPr>
      <w:r w:rsidRPr="00C53010">
        <w:rPr>
          <w:lang w:val="es-ES"/>
        </w:rPr>
        <w:t xml:space="preserve">En este punto se abordan los asuntos examinados por </w:t>
      </w:r>
      <w:r w:rsidR="00AB3809">
        <w:rPr>
          <w:lang w:val="es-ES"/>
        </w:rPr>
        <w:t>el Consejo en su reunión de 2017</w:t>
      </w:r>
      <w:r w:rsidRPr="00C53010">
        <w:rPr>
          <w:lang w:val="es-ES"/>
        </w:rPr>
        <w:t xml:space="preserve"> (véase</w:t>
      </w:r>
      <w:r w:rsidR="00FA7C73" w:rsidRPr="00C53010">
        <w:rPr>
          <w:lang w:val="es-ES"/>
        </w:rPr>
        <w:t>: </w:t>
      </w:r>
      <w:hyperlink r:id="rId8" w:history="1">
        <w:r w:rsidR="00FA7C73" w:rsidRPr="00C53010">
          <w:rPr>
            <w:rStyle w:val="Hyperlink"/>
            <w:rFonts w:asciiTheme="majorBidi" w:hAnsiTheme="majorBidi" w:cstheme="majorBidi"/>
            <w:szCs w:val="24"/>
            <w:lang w:val="es-ES"/>
          </w:rPr>
          <w:t>https://www.itu.int/en/council/2017/Pages/default.aspx</w:t>
        </w:r>
      </w:hyperlink>
      <w:r w:rsidR="00FA7C73" w:rsidRPr="00C53010">
        <w:rPr>
          <w:lang w:val="es-ES"/>
        </w:rPr>
        <w:t>).</w:t>
      </w:r>
    </w:p>
    <w:p w:rsidR="00FA7C73" w:rsidRPr="00C53010" w:rsidRDefault="00FA7C73" w:rsidP="001F3A94">
      <w:pPr>
        <w:pStyle w:val="Heading2"/>
        <w:rPr>
          <w:lang w:val="es-ES"/>
        </w:rPr>
      </w:pPr>
      <w:bookmarkStart w:id="7" w:name="_Toc446060753"/>
      <w:r w:rsidRPr="00C53010">
        <w:rPr>
          <w:lang w:val="es-ES"/>
        </w:rPr>
        <w:t>2.1</w:t>
      </w:r>
      <w:r w:rsidRPr="00C53010">
        <w:rPr>
          <w:lang w:val="es-ES"/>
        </w:rPr>
        <w:tab/>
      </w:r>
      <w:bookmarkEnd w:id="7"/>
      <w:r w:rsidR="001F3A94" w:rsidRPr="00C53010">
        <w:rPr>
          <w:lang w:val="es-ES"/>
        </w:rPr>
        <w:t>Acceso gratuito en línea a las publicaciones del UIT-R</w:t>
      </w:r>
    </w:p>
    <w:p w:rsidR="001F3A94" w:rsidRPr="00C53010" w:rsidRDefault="001F3A94" w:rsidP="001F3A94">
      <w:pPr>
        <w:rPr>
          <w:lang w:val="es-ES"/>
        </w:rPr>
      </w:pPr>
      <w:bookmarkStart w:id="8" w:name="_Toc446060754"/>
      <w:r w:rsidRPr="00C53010">
        <w:rPr>
          <w:lang w:val="es-ES"/>
        </w:rPr>
        <w:t>Gracias a la política de acceso gratuito en línea prosigue la difusión de las normas de la UIT a un público más amplio, especialmente en los países en desarrollo con limitaciones financieras y técnicas. Esta ampliación del acceso gratuito en línea contribuye a dar mejor a conocer la misión y el mandato de la UIT y a reforzar su papel de autoridad mundial en materia de telecomunicaciones.</w:t>
      </w:r>
    </w:p>
    <w:p w:rsidR="001F3A94" w:rsidRPr="00C53010" w:rsidRDefault="001F3A94" w:rsidP="001F3A94">
      <w:pPr>
        <w:rPr>
          <w:lang w:val="es-ES"/>
        </w:rPr>
      </w:pPr>
      <w:r w:rsidRPr="00C53010">
        <w:rPr>
          <w:lang w:val="es-ES"/>
        </w:rPr>
        <w:t>Mediante su Decisión 12 (Guadalajara, 2010), la PP-10 adoptó una política de acceso gratuito en línea a Recomendaciones e Informes del UIT-R, entre otros documentos. Esta política fue ampliada por el Consejo en su reunión de 2012 en virtud de su Acuerdo 571, revisado en 2013 y 2014, y confirmado por la revisión de la Decisión 12 que hizo la PP-14 y que proporciona al público en general y con carácter permanente acceso gratuito en línea a las Recomendaciones e Informes del UIT-R, el UIT-T y el UIT-D, a los Manuales UIT-R sobre gestión del espectro de radiofrecuencias</w:t>
      </w:r>
      <w:r w:rsidRPr="00C53010">
        <w:rPr>
          <w:vertAlign w:val="superscript"/>
          <w:lang w:val="es-ES"/>
        </w:rPr>
        <w:footnoteReference w:id="1"/>
      </w:r>
      <w:r w:rsidRPr="00C53010">
        <w:rPr>
          <w:lang w:val="es-ES"/>
        </w:rPr>
        <w:t xml:space="preserve">; las publicaciones de la UIT relativas a la utilización de las telecomunicaciones/TIC para la preparación ante catástrofes, la alerta temprana, las operaciones de salvamento, mitigación, socorro y respuesta en caso de catástrofe, el Reglamento de las Telecomunicaciones Internacionales, el Reglamento de Radiocomunicaciones, las Reglas de Procedimiento, los textos fundamentales de la Unión (Constitución, Convenio, Reglamento General </w:t>
      </w:r>
      <w:r w:rsidRPr="00C53010">
        <w:rPr>
          <w:lang w:val="es-ES"/>
        </w:rPr>
        <w:lastRenderedPageBreak/>
        <w:t>de las conferencias, asambleas y otras reuniones de la Unión, Decisiones, Resoluciones y Recomendaciones), las Actas Finales de las Conferencias de Plenipotenciarios, los Informes Finales de las CMDT, las Resoluciones y Acuerdos del Consejo de la UIT, las Actas Finales de las Conferencias Mundiales y Regionales de Radiocomunicaciones, así como las Actas Finales de las Conferencias Mundiales de Telecomunicaciones Internacionales.</w:t>
      </w:r>
    </w:p>
    <w:p w:rsidR="001F3A94" w:rsidRPr="00C53010" w:rsidRDefault="001F3A94" w:rsidP="001F3A94">
      <w:pPr>
        <w:rPr>
          <w:lang w:val="es-ES"/>
        </w:rPr>
      </w:pPr>
      <w:r w:rsidRPr="00C53010">
        <w:rPr>
          <w:lang w:val="es-ES"/>
        </w:rPr>
        <w:t>Además, en respuesta a solicitudes de los Estados Miembros, en particular de países en desarrollo, en enero de 2017 el Director de la BR la política de acceso gratuito a todos los Manuales del UIT-R</w:t>
      </w:r>
    </w:p>
    <w:p w:rsidR="001F3A94" w:rsidRPr="00C53010" w:rsidRDefault="001F3A94" w:rsidP="001F3A94">
      <w:pPr>
        <w:rPr>
          <w:lang w:val="es-ES"/>
        </w:rPr>
      </w:pPr>
      <w:r w:rsidRPr="00C53010">
        <w:rPr>
          <w:lang w:val="es-ES"/>
        </w:rPr>
        <w:t>La incidencia de estas decisiones se pone claramente de relieve en el gran número de publicaciones que se han descargado, como se indica en el punto 8.1.4.</w:t>
      </w:r>
    </w:p>
    <w:p w:rsidR="00FA7C73" w:rsidRPr="00C53010" w:rsidRDefault="00FA7C73" w:rsidP="001F3A94">
      <w:pPr>
        <w:pStyle w:val="Heading2"/>
        <w:rPr>
          <w:lang w:val="es-ES"/>
        </w:rPr>
      </w:pPr>
      <w:r w:rsidRPr="00C53010">
        <w:rPr>
          <w:lang w:val="es-ES"/>
        </w:rPr>
        <w:t>2.2</w:t>
      </w:r>
      <w:r w:rsidRPr="00C53010">
        <w:rPr>
          <w:lang w:val="es-ES"/>
        </w:rPr>
        <w:tab/>
      </w:r>
      <w:bookmarkEnd w:id="8"/>
      <w:r w:rsidR="001F3A94" w:rsidRPr="00C53010">
        <w:rPr>
          <w:lang w:val="es-ES"/>
        </w:rPr>
        <w:t>Recuperación de costes aplicable a las notificaciones de redes de satélites</w:t>
      </w:r>
      <w:r w:rsidRPr="00C53010">
        <w:rPr>
          <w:color w:val="548DD4" w:themeColor="text2" w:themeTint="99"/>
          <w:lang w:val="es-ES"/>
        </w:rPr>
        <w:t xml:space="preserve"> </w:t>
      </w:r>
    </w:p>
    <w:p w:rsidR="001F3A94" w:rsidRPr="00C53010" w:rsidRDefault="001F3A94" w:rsidP="001F3A94">
      <w:pPr>
        <w:rPr>
          <w:lang w:val="es-ES"/>
        </w:rPr>
      </w:pPr>
      <w:bookmarkStart w:id="9" w:name="lt_pId017"/>
      <w:r w:rsidRPr="00C53010">
        <w:rPr>
          <w:lang w:val="es-ES"/>
        </w:rPr>
        <w:t>La aplicación del Acuerdo 482 (modificado en 2012) y del</w:t>
      </w:r>
      <w:r w:rsidR="00AB3809">
        <w:rPr>
          <w:lang w:val="es-ES"/>
        </w:rPr>
        <w:t xml:space="preserve"> Acuerdo 482 (modificado en 2017</w:t>
      </w:r>
      <w:r w:rsidRPr="00C53010">
        <w:rPr>
          <w:lang w:val="es-ES"/>
        </w:rPr>
        <w:t>) por la Oficina de Radiocomunicaciones no ha planteado dificultad o problema alguno a nivel interno ni con las administraciones notificantes de redes de satélites.</w:t>
      </w:r>
    </w:p>
    <w:p w:rsidR="00FA7C73" w:rsidRPr="00C53010" w:rsidRDefault="003045E9" w:rsidP="001F3A94">
      <w:pPr>
        <w:jc w:val="both"/>
        <w:rPr>
          <w:highlight w:val="yellow"/>
          <w:lang w:val="es-ES"/>
        </w:rPr>
      </w:pPr>
      <w:r w:rsidRPr="00C53010">
        <w:rPr>
          <w:lang w:val="es-ES"/>
        </w:rPr>
        <w:t xml:space="preserve">En su reunión de 2017, el Consejo encargó a la Oficina de Radiocomunicaciones que presentase </w:t>
      </w:r>
      <w:bookmarkEnd w:id="9"/>
      <w:r w:rsidRPr="00C53010">
        <w:rPr>
          <w:lang w:val="es-ES"/>
        </w:rPr>
        <w:t>un estudio sobre los problemas técnicos relacionados con la tramitación de notificaciones de redes de satélites no geoestacionarios (no OSG) complejas. En particular, se le solicitó estudiar si es posible dividir las notificaciones no OSG (API/coordinación/notificación) con órbitas de satélites no homogéneas con diferentes altitudes e inclinaciones y/o con diferentes configuraciones de la constelación, en notificaciones individuales para cada constelación o cada tipo de órbita de satélites, para su tramitación por la Oficina.</w:t>
      </w:r>
    </w:p>
    <w:p w:rsidR="00FA7C73" w:rsidRPr="00C53010" w:rsidRDefault="003045E9" w:rsidP="00C10B9B">
      <w:pPr>
        <w:jc w:val="both"/>
        <w:rPr>
          <w:lang w:val="es-ES"/>
        </w:rPr>
      </w:pPr>
      <w:bookmarkStart w:id="10" w:name="lt_pId026"/>
      <w:r w:rsidRPr="00C53010">
        <w:rPr>
          <w:lang w:val="es-ES"/>
        </w:rPr>
        <w:t>En respuesta a la mencionada decisión del 2017, la Oficina de Radiocomunicaciones preparó un estudio para aclarar los problemas técnicos ligados a la tramitación de notificaciones de redes de satélites no OSG complejas, sin limitarse al procedimiento, y en particular los elementos necesarios para la tramitación de redes de satélites no geoestacionarios (no OSG), además de los que se precisan para las redes OSG.</w:t>
      </w:r>
      <w:bookmarkEnd w:id="10"/>
      <w:r w:rsidRPr="00C53010">
        <w:rPr>
          <w:lang w:val="es-ES"/>
        </w:rPr>
        <w:t xml:space="preserve"> Este estudio se presentó a la consideración de la Junta del Reglamento de Radiocomunicaciones</w:t>
      </w:r>
      <w:r w:rsidR="00FA7C73" w:rsidRPr="00C53010">
        <w:rPr>
          <w:rFonts w:ascii="Calibri" w:hAnsi="Calibri"/>
          <w:b/>
          <w:color w:val="800000"/>
          <w:sz w:val="22"/>
          <w:lang w:val="es-ES"/>
        </w:rPr>
        <w:t xml:space="preserve"> </w:t>
      </w:r>
      <w:r w:rsidR="001F3A94" w:rsidRPr="00C53010">
        <w:rPr>
          <w:lang w:val="es-ES"/>
        </w:rPr>
        <w:t>y a los Grupos de Trabajo U</w:t>
      </w:r>
      <w:r w:rsidR="00FA7C73" w:rsidRPr="00C53010">
        <w:rPr>
          <w:lang w:val="es-ES"/>
        </w:rPr>
        <w:t xml:space="preserve">IT-R </w:t>
      </w:r>
      <w:r w:rsidR="001F3A94" w:rsidRPr="00C53010">
        <w:rPr>
          <w:lang w:val="es-ES"/>
        </w:rPr>
        <w:t>para que formulen las observaciones que estimen oportunas</w:t>
      </w:r>
      <w:r w:rsidR="00FA7C73" w:rsidRPr="00C53010">
        <w:rPr>
          <w:lang w:val="es-ES"/>
        </w:rPr>
        <w:t xml:space="preserve">. </w:t>
      </w:r>
      <w:r w:rsidR="001F3A94" w:rsidRPr="00C53010">
        <w:rPr>
          <w:lang w:val="es-ES"/>
        </w:rPr>
        <w:t>Basándose en dichas observaciones</w:t>
      </w:r>
      <w:r w:rsidR="00FA7C73" w:rsidRPr="00C53010">
        <w:rPr>
          <w:lang w:val="es-ES"/>
        </w:rPr>
        <w:t xml:space="preserve">, </w:t>
      </w:r>
      <w:r w:rsidR="001F3A94" w:rsidRPr="00C53010">
        <w:rPr>
          <w:lang w:val="es-ES"/>
        </w:rPr>
        <w:t xml:space="preserve">la Oficina presentó un </w:t>
      </w:r>
      <w:hyperlink r:id="rId9" w:history="1">
        <w:r w:rsidR="00FA7C73" w:rsidRPr="00C53010">
          <w:rPr>
            <w:rStyle w:val="Hyperlink"/>
            <w:lang w:val="es-ES"/>
          </w:rPr>
          <w:t>documen</w:t>
        </w:r>
        <w:r w:rsidR="00FA7C73" w:rsidRPr="00C53010">
          <w:rPr>
            <w:rStyle w:val="Hyperlink"/>
            <w:lang w:val="es-ES"/>
          </w:rPr>
          <w:t>t</w:t>
        </w:r>
      </w:hyperlink>
      <w:r w:rsidR="001F3A94" w:rsidRPr="00C53010">
        <w:rPr>
          <w:rStyle w:val="Hyperlink"/>
          <w:lang w:val="es-ES"/>
        </w:rPr>
        <w:t>o</w:t>
      </w:r>
      <w:r w:rsidR="00FA7C73" w:rsidRPr="00C53010">
        <w:rPr>
          <w:lang w:val="es-ES"/>
        </w:rPr>
        <w:t xml:space="preserve"> </w:t>
      </w:r>
      <w:r w:rsidR="001F3A94" w:rsidRPr="00C53010">
        <w:rPr>
          <w:lang w:val="es-ES"/>
        </w:rPr>
        <w:t xml:space="preserve">al Grupo de Trabajo del Consejo sobre </w:t>
      </w:r>
      <w:r w:rsidR="00646303" w:rsidRPr="00C53010">
        <w:rPr>
          <w:lang w:val="es-ES"/>
        </w:rPr>
        <w:t>recursos humanos y financieros,</w:t>
      </w:r>
      <w:r w:rsidR="001F3A94" w:rsidRPr="00C53010">
        <w:rPr>
          <w:lang w:val="es-ES"/>
        </w:rPr>
        <w:t xml:space="preserve"> a la Junta del Reglamento de Radiocomunicaciones</w:t>
      </w:r>
      <w:r w:rsidR="00FA7C73" w:rsidRPr="00C53010">
        <w:rPr>
          <w:lang w:val="es-ES"/>
        </w:rPr>
        <w:t xml:space="preserve">, </w:t>
      </w:r>
      <w:r w:rsidR="00646303" w:rsidRPr="00C53010">
        <w:rPr>
          <w:lang w:val="es-ES"/>
        </w:rPr>
        <w:t>a los Grupos de Trabajo del U</w:t>
      </w:r>
      <w:r w:rsidR="00FA7C73" w:rsidRPr="00C53010">
        <w:rPr>
          <w:lang w:val="es-ES"/>
        </w:rPr>
        <w:t xml:space="preserve">IT-R </w:t>
      </w:r>
      <w:r w:rsidR="00646303" w:rsidRPr="00C53010">
        <w:rPr>
          <w:lang w:val="es-ES"/>
        </w:rPr>
        <w:t>y al GA</w:t>
      </w:r>
      <w:r w:rsidR="00FA7C73" w:rsidRPr="00C53010">
        <w:rPr>
          <w:lang w:val="es-ES"/>
        </w:rPr>
        <w:t>R (</w:t>
      </w:r>
      <w:r w:rsidR="009953DF">
        <w:rPr>
          <w:lang w:val="es-ES"/>
        </w:rPr>
        <w:t>véase el Addé</w:t>
      </w:r>
      <w:r w:rsidR="00646303" w:rsidRPr="00C53010">
        <w:rPr>
          <w:lang w:val="es-ES"/>
        </w:rPr>
        <w:t xml:space="preserve">ndum </w:t>
      </w:r>
      <w:r w:rsidR="00FA7C73" w:rsidRPr="00C53010">
        <w:rPr>
          <w:lang w:val="es-ES"/>
        </w:rPr>
        <w:t xml:space="preserve">2 </w:t>
      </w:r>
      <w:r w:rsidR="00646303" w:rsidRPr="00C53010">
        <w:rPr>
          <w:lang w:val="es-ES"/>
        </w:rPr>
        <w:t>al presente informe</w:t>
      </w:r>
      <w:r w:rsidR="00FA7C73" w:rsidRPr="00C53010">
        <w:rPr>
          <w:lang w:val="es-ES"/>
        </w:rPr>
        <w:t xml:space="preserve">), </w:t>
      </w:r>
      <w:r w:rsidR="00646303" w:rsidRPr="00C53010">
        <w:rPr>
          <w:lang w:val="es-ES"/>
        </w:rPr>
        <w:t>en el que se proponen tres posibles procedimientos específicos para la recuperación de costes de sistemas de satélites no OSG</w:t>
      </w:r>
      <w:r w:rsidR="00FA7C73" w:rsidRPr="00C53010">
        <w:rPr>
          <w:lang w:val="es-ES"/>
        </w:rPr>
        <w:t xml:space="preserve">. </w:t>
      </w:r>
      <w:r w:rsidR="00646303" w:rsidRPr="00C53010">
        <w:rPr>
          <w:lang w:val="es-ES"/>
        </w:rPr>
        <w:t>Conforme a lo solicitado por el Consejo en su reunión de</w:t>
      </w:r>
      <w:r w:rsidR="00FA7C73" w:rsidRPr="00C53010">
        <w:rPr>
          <w:lang w:val="es-ES"/>
        </w:rPr>
        <w:t xml:space="preserve"> 20</w:t>
      </w:r>
      <w:r w:rsidR="00C10B9B">
        <w:rPr>
          <w:lang w:val="es-ES"/>
        </w:rPr>
        <w:t>1</w:t>
      </w:r>
      <w:r w:rsidR="00FA7C73" w:rsidRPr="00C53010">
        <w:rPr>
          <w:lang w:val="es-ES"/>
        </w:rPr>
        <w:t xml:space="preserve">7, </w:t>
      </w:r>
      <w:r w:rsidR="00646303" w:rsidRPr="00C53010">
        <w:rPr>
          <w:lang w:val="es-ES"/>
        </w:rPr>
        <w:t xml:space="preserve">estas propuestas se han transmitido al Consejo de 2018 el 1 de febrero de </w:t>
      </w:r>
      <w:r w:rsidR="00FA7C73" w:rsidRPr="00C53010">
        <w:rPr>
          <w:lang w:val="es-ES"/>
        </w:rPr>
        <w:t>2018 (</w:t>
      </w:r>
      <w:r w:rsidR="00646303" w:rsidRPr="00C53010">
        <w:rPr>
          <w:lang w:val="es-ES"/>
        </w:rPr>
        <w:t xml:space="preserve">véase el </w:t>
      </w:r>
      <w:hyperlink r:id="rId10" w:history="1">
        <w:r w:rsidR="00FA7C73" w:rsidRPr="00C53010">
          <w:rPr>
            <w:rStyle w:val="Hyperlink"/>
            <w:lang w:val="es-ES"/>
          </w:rPr>
          <w:t>Document</w:t>
        </w:r>
        <w:r w:rsidR="00646303" w:rsidRPr="00C53010">
          <w:rPr>
            <w:rStyle w:val="Hyperlink"/>
            <w:lang w:val="es-ES"/>
          </w:rPr>
          <w:t>o</w:t>
        </w:r>
        <w:r w:rsidR="00FA7C73" w:rsidRPr="00C53010">
          <w:rPr>
            <w:rStyle w:val="Hyperlink"/>
            <w:lang w:val="es-ES"/>
          </w:rPr>
          <w:t xml:space="preserve"> C1</w:t>
        </w:r>
        <w:r w:rsidR="00FA7C73" w:rsidRPr="00C53010">
          <w:rPr>
            <w:rStyle w:val="Hyperlink"/>
            <w:lang w:val="es-ES"/>
          </w:rPr>
          <w:t>8</w:t>
        </w:r>
        <w:r w:rsidR="00FA7C73" w:rsidRPr="00C53010">
          <w:rPr>
            <w:rStyle w:val="Hyperlink"/>
            <w:lang w:val="es-ES"/>
          </w:rPr>
          <w:t>/36</w:t>
        </w:r>
      </w:hyperlink>
      <w:r w:rsidR="00FA7C73" w:rsidRPr="00C53010">
        <w:rPr>
          <w:lang w:val="es-ES"/>
        </w:rPr>
        <w:t>).</w:t>
      </w:r>
    </w:p>
    <w:p w:rsidR="00FA7C73" w:rsidRPr="00C53010" w:rsidRDefault="00FA7C73" w:rsidP="00646303">
      <w:pPr>
        <w:pStyle w:val="Heading2"/>
        <w:rPr>
          <w:lang w:val="es-ES"/>
        </w:rPr>
      </w:pPr>
      <w:bookmarkStart w:id="11" w:name="_Toc446060755"/>
      <w:r w:rsidRPr="00C53010">
        <w:rPr>
          <w:lang w:val="es-ES"/>
        </w:rPr>
        <w:t>2.3</w:t>
      </w:r>
      <w:r w:rsidRPr="00C53010">
        <w:rPr>
          <w:lang w:val="es-ES"/>
        </w:rPr>
        <w:tab/>
      </w:r>
      <w:r w:rsidR="00646303" w:rsidRPr="00C53010">
        <w:rPr>
          <w:lang w:val="es-ES"/>
        </w:rPr>
        <w:t>Tramitación de notificaciones de satélites</w:t>
      </w:r>
    </w:p>
    <w:p w:rsidR="00FA7C73" w:rsidRPr="00C53010" w:rsidRDefault="00646303" w:rsidP="00690662">
      <w:pPr>
        <w:rPr>
          <w:lang w:val="es-ES"/>
        </w:rPr>
      </w:pPr>
      <w:r w:rsidRPr="00C53010">
        <w:rPr>
          <w:lang w:val="es-ES"/>
        </w:rPr>
        <w:t>Habida cuenta de las deliberaciones durante la 24ª reunión del GAR</w:t>
      </w:r>
      <w:r w:rsidR="00FA7C73" w:rsidRPr="00C53010">
        <w:rPr>
          <w:lang w:val="es-ES"/>
        </w:rPr>
        <w:t xml:space="preserve">, </w:t>
      </w:r>
      <w:r w:rsidRPr="00C53010">
        <w:rPr>
          <w:lang w:val="es-ES"/>
        </w:rPr>
        <w:t xml:space="preserve">en su reunión de </w:t>
      </w:r>
      <w:r w:rsidR="00FA7C73" w:rsidRPr="00C53010">
        <w:rPr>
          <w:lang w:val="es-ES"/>
        </w:rPr>
        <w:t xml:space="preserve">2017 </w:t>
      </w:r>
      <w:r w:rsidRPr="00C53010">
        <w:rPr>
          <w:lang w:val="es-ES"/>
        </w:rPr>
        <w:t xml:space="preserve">el Consejo encargó al Director de la </w:t>
      </w:r>
      <w:r w:rsidR="00690662">
        <w:rPr>
          <w:lang w:val="es-ES"/>
        </w:rPr>
        <w:t>BR "</w:t>
      </w:r>
      <w:r w:rsidR="00E81110" w:rsidRPr="00C53010">
        <w:rPr>
          <w:lang w:val="es-ES"/>
        </w:rPr>
        <w:t>que tome medidas urgentes para restablecer el nivel de dotación de personal de la BR (especialmente en el Departamento se servicios espaciales y en la unidad encargada del desarrollo de software) al nivel necesario para que la BR pueda desempeñar plenamente su mandato</w:t>
      </w:r>
      <w:r w:rsidR="00690662">
        <w:rPr>
          <w:lang w:val="es-ES"/>
        </w:rPr>
        <w:t>"</w:t>
      </w:r>
      <w:r w:rsidR="00FA7C73" w:rsidRPr="00C53010">
        <w:rPr>
          <w:lang w:val="es-ES"/>
        </w:rPr>
        <w:t xml:space="preserve"> </w:t>
      </w:r>
      <w:r w:rsidRPr="00C53010">
        <w:rPr>
          <w:lang w:val="es-ES"/>
        </w:rPr>
        <w:t>y</w:t>
      </w:r>
      <w:r w:rsidR="00690662">
        <w:rPr>
          <w:lang w:val="es-ES"/>
        </w:rPr>
        <w:t xml:space="preserve"> "</w:t>
      </w:r>
      <w:r w:rsidR="00E81110" w:rsidRPr="00C53010">
        <w:rPr>
          <w:lang w:val="es-ES"/>
        </w:rPr>
        <w:t>que adopte medidas para eliminar el retraso en la tramitación de notificaciones de asignaciones de frecuencias</w:t>
      </w:r>
      <w:r w:rsidR="00690662">
        <w:rPr>
          <w:lang w:val="es-ES"/>
        </w:rPr>
        <w:t>"</w:t>
      </w:r>
      <w:r w:rsidR="00FA7C73" w:rsidRPr="00C53010">
        <w:rPr>
          <w:lang w:val="es-ES"/>
        </w:rPr>
        <w:t xml:space="preserve">. </w:t>
      </w:r>
      <w:r w:rsidR="00021810">
        <w:rPr>
          <w:lang w:val="es-ES"/>
        </w:rPr>
        <w:t xml:space="preserve">Al aprobar el presupuesto para </w:t>
      </w:r>
      <w:r w:rsidR="00FA7C73" w:rsidRPr="00C53010">
        <w:rPr>
          <w:lang w:val="es-ES"/>
        </w:rPr>
        <w:t xml:space="preserve">2018-2019, </w:t>
      </w:r>
      <w:r w:rsidR="00021810">
        <w:rPr>
          <w:lang w:val="es-ES"/>
        </w:rPr>
        <w:t xml:space="preserve">el Consejo de </w:t>
      </w:r>
      <w:r w:rsidR="00FA7C73" w:rsidRPr="00C53010">
        <w:rPr>
          <w:lang w:val="es-ES"/>
        </w:rPr>
        <w:t xml:space="preserve">2017 </w:t>
      </w:r>
      <w:r w:rsidR="00021810">
        <w:rPr>
          <w:lang w:val="es-ES"/>
        </w:rPr>
        <w:t>decidió atribuir los fondos necesarios para tres ingenieros de radiocomunicaciones adicionales. El proceso de contratación ha comenzado con la publicación de las tres vacantes</w:t>
      </w:r>
      <w:r w:rsidR="00FA7C73" w:rsidRPr="00C53010">
        <w:rPr>
          <w:lang w:val="es-ES"/>
        </w:rPr>
        <w:t xml:space="preserve">. </w:t>
      </w:r>
      <w:r w:rsidR="00021810">
        <w:rPr>
          <w:lang w:val="es-ES"/>
        </w:rPr>
        <w:t xml:space="preserve">El plazo para la presentación de candidaturas termina el </w:t>
      </w:r>
      <w:r w:rsidR="00FA7C73" w:rsidRPr="00C53010">
        <w:rPr>
          <w:lang w:val="es-ES"/>
        </w:rPr>
        <w:t xml:space="preserve">22 </w:t>
      </w:r>
      <w:r w:rsidR="00021810">
        <w:rPr>
          <w:lang w:val="es-ES"/>
        </w:rPr>
        <w:t xml:space="preserve">de febrero de </w:t>
      </w:r>
      <w:r w:rsidR="00FA7C73" w:rsidRPr="00C53010">
        <w:rPr>
          <w:lang w:val="es-ES"/>
        </w:rPr>
        <w:t xml:space="preserve">2018. </w:t>
      </w:r>
      <w:r w:rsidR="00021810">
        <w:rPr>
          <w:lang w:val="es-ES"/>
        </w:rPr>
        <w:t>Entretanto</w:t>
      </w:r>
      <w:r w:rsidR="00FA7C73" w:rsidRPr="00C53010">
        <w:rPr>
          <w:lang w:val="es-ES"/>
        </w:rPr>
        <w:t xml:space="preserve">, </w:t>
      </w:r>
      <w:r w:rsidR="00021810">
        <w:rPr>
          <w:lang w:val="es-ES"/>
        </w:rPr>
        <w:t xml:space="preserve">las mejoras en el </w:t>
      </w:r>
      <w:r w:rsidR="00FA7C73" w:rsidRPr="00C53010">
        <w:rPr>
          <w:lang w:val="es-ES"/>
        </w:rPr>
        <w:t xml:space="preserve">software </w:t>
      </w:r>
      <w:r w:rsidR="00021810">
        <w:rPr>
          <w:lang w:val="es-ES"/>
        </w:rPr>
        <w:t>de examen también pueden contribuir a reducir el actual retraso en la tramitación de redes de satélite</w:t>
      </w:r>
      <w:r w:rsidR="00FA7C73" w:rsidRPr="00C53010">
        <w:rPr>
          <w:lang w:val="es-ES"/>
        </w:rPr>
        <w:t xml:space="preserve">. </w:t>
      </w:r>
    </w:p>
    <w:p w:rsidR="00FA7C73" w:rsidRPr="00C53010" w:rsidRDefault="00FA7C73" w:rsidP="00646303">
      <w:pPr>
        <w:pStyle w:val="Heading2"/>
        <w:rPr>
          <w:lang w:val="es-ES"/>
        </w:rPr>
      </w:pPr>
      <w:r w:rsidRPr="00C53010">
        <w:rPr>
          <w:lang w:val="es-ES"/>
        </w:rPr>
        <w:lastRenderedPageBreak/>
        <w:t>2.4</w:t>
      </w:r>
      <w:r w:rsidRPr="00C53010">
        <w:rPr>
          <w:lang w:val="es-ES"/>
        </w:rPr>
        <w:tab/>
      </w:r>
      <w:r w:rsidR="00646303" w:rsidRPr="00C53010">
        <w:rPr>
          <w:lang w:val="es-ES"/>
        </w:rPr>
        <w:t>Conformidad e interoperabilidad (C+I</w:t>
      </w:r>
      <w:r w:rsidRPr="00C53010">
        <w:rPr>
          <w:lang w:val="es-ES"/>
        </w:rPr>
        <w:t>)</w:t>
      </w:r>
      <w:bookmarkEnd w:id="11"/>
    </w:p>
    <w:p w:rsidR="00646303" w:rsidRPr="00C53010" w:rsidRDefault="00646303" w:rsidP="00646303">
      <w:pPr>
        <w:rPr>
          <w:lang w:val="es-ES"/>
        </w:rPr>
      </w:pPr>
      <w:bookmarkStart w:id="12" w:name="_Toc446060756"/>
      <w:r w:rsidRPr="00C53010">
        <w:rPr>
          <w:lang w:val="es-ES"/>
        </w:rPr>
        <w:t>La Resolución 177 (Rev. Busán, 2014), que refrenda los objetivos enunciados en la Resolución 76 de la AMNT-12, la Resolución UIT-R 62 de la AR-12 y la Resolución 47 de la CMDT</w:t>
      </w:r>
      <w:r w:rsidRPr="00C53010">
        <w:rPr>
          <w:lang w:val="es-ES"/>
        </w:rPr>
        <w:noBreakHyphen/>
        <w:t>14, reconoce, por una parte, «que una amplia conformidad e interoperabilidad de equipos y sistemas de telecomunicaciones/tecnologías de la información y la comunicación (TIC) mediante la aplicación de programas, políticas y decisiones pertinentes, puede acrecentar las oportunidades y la fiabilidad del mercado, y estimular la integración y el comercio mundiales», y resuelve, por la otra, proseguir la aplicación del Plan de Acción para el Programa C+I revisado por el Consejo de la UIT.</w:t>
      </w:r>
    </w:p>
    <w:p w:rsidR="00646303" w:rsidRPr="00C53010" w:rsidRDefault="00646303" w:rsidP="00646303">
      <w:pPr>
        <w:rPr>
          <w:lang w:val="es-ES"/>
        </w:rPr>
      </w:pPr>
      <w:r w:rsidRPr="00C53010">
        <w:rPr>
          <w:lang w:val="es-ES"/>
        </w:rPr>
        <w:t xml:space="preserve">El Programa de conformidad e interoperabilidad (C+I) de la UIT establecido en virtud de la Resolución 177 (Rev. Busán, 2014) se basa aún en cuatro Pilares: Pilar 1: evaluación de la conformidad; </w:t>
      </w:r>
      <w:r w:rsidRPr="00C53010">
        <w:rPr>
          <w:bCs/>
          <w:lang w:val="es-ES"/>
        </w:rPr>
        <w:t>Pilar 2: eventos sobre interoperabilidad</w:t>
      </w:r>
      <w:r w:rsidRPr="00C53010">
        <w:rPr>
          <w:lang w:val="es-ES"/>
        </w:rPr>
        <w:t xml:space="preserve">; </w:t>
      </w:r>
      <w:r w:rsidRPr="00C53010">
        <w:rPr>
          <w:bCs/>
          <w:lang w:val="es-ES"/>
        </w:rPr>
        <w:t>Pilar 3: capacitación de recursos humanos</w:t>
      </w:r>
      <w:r w:rsidRPr="00C53010">
        <w:rPr>
          <w:lang w:val="es-ES"/>
        </w:rPr>
        <w:t xml:space="preserve">; y </w:t>
      </w:r>
      <w:r w:rsidRPr="00C53010">
        <w:rPr>
          <w:bCs/>
          <w:lang w:val="es-ES"/>
        </w:rPr>
        <w:t>Pilar 4: ayuda en la creación de centros de prueba y programas C+I en países en desarrollo.</w:t>
      </w:r>
    </w:p>
    <w:p w:rsidR="00646303" w:rsidRPr="00C53010" w:rsidRDefault="00646303" w:rsidP="00646303">
      <w:pPr>
        <w:rPr>
          <w:lang w:val="es-ES"/>
        </w:rPr>
      </w:pPr>
      <w:r w:rsidRPr="00C53010">
        <w:rPr>
          <w:lang w:val="es-ES"/>
        </w:rPr>
        <w:t xml:space="preserve">Las acciones en el marco de los Pilares 1 y 2 están encabezadas por la Oficina de Normalización de las Telecomunicaciones (TSB) y las correspondientes a los Pilares 3 y 4 por la Oficina de Desarrollo de las Telecomunicaciones (BDT). El UIT-R colabora y facilita la información solicitada por el UIT-T y el UIT-D sobre pruebas C+I, tal como se menciona en el </w:t>
      </w:r>
      <w:r w:rsidRPr="00C53010">
        <w:rPr>
          <w:i/>
          <w:iCs/>
          <w:lang w:val="es-ES"/>
        </w:rPr>
        <w:t>«resuelve»</w:t>
      </w:r>
      <w:r w:rsidRPr="00C53010">
        <w:rPr>
          <w:lang w:val="es-ES"/>
        </w:rPr>
        <w:t xml:space="preserve"> de la Resolución UIT-R 62. Desde la última reunión del GAR, las Comisiones de Estudio del UIT-R no han recibido contribución alguna sobre este tema.</w:t>
      </w:r>
    </w:p>
    <w:p w:rsidR="00FA7C73" w:rsidRPr="00C53010" w:rsidRDefault="00FA7C73" w:rsidP="00646303">
      <w:pPr>
        <w:pStyle w:val="Heading2"/>
        <w:rPr>
          <w:lang w:val="es-ES"/>
        </w:rPr>
      </w:pPr>
      <w:r w:rsidRPr="00C53010">
        <w:rPr>
          <w:lang w:val="es-ES"/>
        </w:rPr>
        <w:t>2.5</w:t>
      </w:r>
      <w:r w:rsidRPr="00C53010">
        <w:rPr>
          <w:lang w:val="es-ES"/>
        </w:rPr>
        <w:tab/>
      </w:r>
      <w:bookmarkEnd w:id="12"/>
      <w:r w:rsidR="00646303" w:rsidRPr="00C53010">
        <w:rPr>
          <w:lang w:val="es-ES"/>
        </w:rPr>
        <w:t>Protocolo del Espacio</w:t>
      </w:r>
    </w:p>
    <w:p w:rsidR="00FA7C73" w:rsidRPr="00C53010" w:rsidRDefault="00646303" w:rsidP="00E3515B">
      <w:pPr>
        <w:rPr>
          <w:lang w:val="es-ES"/>
        </w:rPr>
      </w:pPr>
      <w:r w:rsidRPr="00C53010">
        <w:rPr>
          <w:lang w:val="es-ES"/>
        </w:rPr>
        <w:t>En su reunión de</w:t>
      </w:r>
      <w:r w:rsidR="00FA7C73" w:rsidRPr="00C53010">
        <w:rPr>
          <w:lang w:val="es-ES"/>
        </w:rPr>
        <w:t xml:space="preserve"> 2017, </w:t>
      </w:r>
      <w:r w:rsidRPr="00C53010">
        <w:rPr>
          <w:lang w:val="es-ES"/>
        </w:rPr>
        <w:t>el Consejo examinó nuevamente el tema de que la UIT sea la Autoridad Supervisora del Sistema Internacional de Inscripción de Activos Espaciales con arreglo al Protocolo Espacial</w:t>
      </w:r>
      <w:r w:rsidR="00FA7C73" w:rsidRPr="00C53010">
        <w:rPr>
          <w:lang w:val="es-ES"/>
        </w:rPr>
        <w:t xml:space="preserve">. </w:t>
      </w:r>
      <w:r w:rsidRPr="00C53010">
        <w:rPr>
          <w:lang w:val="es-ES"/>
        </w:rPr>
        <w:t>Al examinar este asunto, se recordó que para oficializar la aceptación por la UIT de esa función de Autoridad Supervisora la UNIDROIT y la UIT deben firmar un acuerdo</w:t>
      </w:r>
      <w:r w:rsidR="00FA7C73" w:rsidRPr="00C53010">
        <w:rPr>
          <w:lang w:val="es-ES"/>
        </w:rPr>
        <w:t>.</w:t>
      </w:r>
    </w:p>
    <w:p w:rsidR="00FA7C73" w:rsidRPr="00C53010" w:rsidRDefault="00071270" w:rsidP="00E3515B">
      <w:pPr>
        <w:rPr>
          <w:lang w:val="es-ES"/>
        </w:rPr>
      </w:pPr>
      <w:r w:rsidRPr="00C53010">
        <w:rPr>
          <w:lang w:val="es-ES"/>
        </w:rPr>
        <w:t xml:space="preserve">El Presidente del Consejo observó que </w:t>
      </w:r>
      <w:r w:rsidR="00ED15DC" w:rsidRPr="00C53010">
        <w:rPr>
          <w:lang w:val="es-ES"/>
        </w:rPr>
        <w:t>al deliberar sobre este tema no hubo objeciones por cuestiones de principio a que la UIT se convierta en Autoridad Supervisora y que la decisión final corresponde a la Conferencia de Plenipotenciarios de la UIT</w:t>
      </w:r>
      <w:r w:rsidR="00FA7C73" w:rsidRPr="00C53010">
        <w:rPr>
          <w:lang w:val="es-ES"/>
        </w:rPr>
        <w:t xml:space="preserve"> (PP-18), </w:t>
      </w:r>
      <w:r w:rsidR="00ED15DC" w:rsidRPr="00C53010">
        <w:rPr>
          <w:lang w:val="es-ES"/>
        </w:rPr>
        <w:t xml:space="preserve">que tendrá lugar en </w:t>
      </w:r>
      <w:r w:rsidR="00FA7C73" w:rsidRPr="00C53010">
        <w:rPr>
          <w:lang w:val="es-ES"/>
        </w:rPr>
        <w:t>Dub</w:t>
      </w:r>
      <w:r w:rsidR="00ED15DC" w:rsidRPr="00C53010">
        <w:rPr>
          <w:lang w:val="es-ES"/>
        </w:rPr>
        <w:t>á</w:t>
      </w:r>
      <w:r w:rsidR="00FA7C73" w:rsidRPr="00C53010">
        <w:rPr>
          <w:lang w:val="es-ES"/>
        </w:rPr>
        <w:t>i (</w:t>
      </w:r>
      <w:r w:rsidR="00ED15DC" w:rsidRPr="00C53010">
        <w:rPr>
          <w:lang w:val="es-ES"/>
        </w:rPr>
        <w:t>EAU</w:t>
      </w:r>
      <w:r w:rsidR="00FA7C73" w:rsidRPr="00C53010">
        <w:rPr>
          <w:lang w:val="es-ES"/>
        </w:rPr>
        <w:t xml:space="preserve">) </w:t>
      </w:r>
      <w:r w:rsidR="00ED15DC" w:rsidRPr="00C53010">
        <w:rPr>
          <w:lang w:val="es-ES"/>
        </w:rPr>
        <w:t xml:space="preserve">del </w:t>
      </w:r>
      <w:r w:rsidR="00FA7C73" w:rsidRPr="00C53010">
        <w:rPr>
          <w:lang w:val="es-ES"/>
        </w:rPr>
        <w:t xml:space="preserve">29 </w:t>
      </w:r>
      <w:r w:rsidR="00ED15DC" w:rsidRPr="00C53010">
        <w:rPr>
          <w:lang w:val="es-ES"/>
        </w:rPr>
        <w:t xml:space="preserve">de octubre al </w:t>
      </w:r>
      <w:r w:rsidR="00FA7C73" w:rsidRPr="00C53010">
        <w:rPr>
          <w:lang w:val="es-ES"/>
        </w:rPr>
        <w:t xml:space="preserve">16 </w:t>
      </w:r>
      <w:r w:rsidR="00ED15DC" w:rsidRPr="00C53010">
        <w:rPr>
          <w:lang w:val="es-ES"/>
        </w:rPr>
        <w:t xml:space="preserve">de noviembre de </w:t>
      </w:r>
      <w:r w:rsidR="00FA7C73" w:rsidRPr="00C53010">
        <w:rPr>
          <w:lang w:val="es-ES"/>
        </w:rPr>
        <w:t>2018.</w:t>
      </w:r>
    </w:p>
    <w:p w:rsidR="00FA7C73" w:rsidRPr="00C53010" w:rsidRDefault="00ED15DC" w:rsidP="00E3515B">
      <w:pPr>
        <w:rPr>
          <w:lang w:val="es-ES"/>
        </w:rPr>
      </w:pPr>
      <w:r w:rsidRPr="00C53010">
        <w:rPr>
          <w:lang w:val="es-ES"/>
        </w:rPr>
        <w:t xml:space="preserve">No obstante esta falta de objeción, el Consejo refrendó un conjunto de condiciones para recomendarlas a la </w:t>
      </w:r>
      <w:r w:rsidR="00FA7C73" w:rsidRPr="00C53010">
        <w:rPr>
          <w:lang w:val="es-ES"/>
        </w:rPr>
        <w:t xml:space="preserve">PP-18, </w:t>
      </w:r>
      <w:r w:rsidRPr="00C53010">
        <w:rPr>
          <w:lang w:val="es-ES"/>
        </w:rPr>
        <w:t>en caso de que decidiera que la UIT asuma la función de Autoridad Supervisora</w:t>
      </w:r>
      <w:r w:rsidR="00FA7C73" w:rsidRPr="00C53010">
        <w:rPr>
          <w:lang w:val="es-ES"/>
        </w:rPr>
        <w:t xml:space="preserve">. </w:t>
      </w:r>
      <w:r w:rsidRPr="00C53010">
        <w:rPr>
          <w:lang w:val="es-ES"/>
        </w:rPr>
        <w:t xml:space="preserve">Estas condiciones figuran en los </w:t>
      </w:r>
      <w:r w:rsidR="00FA7C73" w:rsidRPr="00C53010">
        <w:rPr>
          <w:lang w:val="es-ES"/>
        </w:rPr>
        <w:t xml:space="preserve">§§ 4 </w:t>
      </w:r>
      <w:r w:rsidRPr="00C53010">
        <w:rPr>
          <w:lang w:val="es-ES"/>
        </w:rPr>
        <w:t>a</w:t>
      </w:r>
      <w:r w:rsidR="00FA7C73" w:rsidRPr="00C53010">
        <w:rPr>
          <w:lang w:val="es-ES"/>
        </w:rPr>
        <w:t xml:space="preserve"> 13 </w:t>
      </w:r>
      <w:r w:rsidRPr="00C53010">
        <w:rPr>
          <w:lang w:val="es-ES"/>
        </w:rPr>
        <w:t xml:space="preserve">del </w:t>
      </w:r>
      <w:hyperlink r:id="rId11" w:history="1">
        <w:r w:rsidR="00FA7C73" w:rsidRPr="00C53010">
          <w:rPr>
            <w:rStyle w:val="Hyperlink"/>
            <w:lang w:val="es-ES"/>
          </w:rPr>
          <w:t>Document</w:t>
        </w:r>
        <w:r w:rsidRPr="00C53010">
          <w:rPr>
            <w:rStyle w:val="Hyperlink"/>
            <w:lang w:val="es-ES"/>
          </w:rPr>
          <w:t>o</w:t>
        </w:r>
        <w:r w:rsidR="00FA7C73" w:rsidRPr="00C53010">
          <w:rPr>
            <w:rStyle w:val="Hyperlink"/>
            <w:lang w:val="es-ES"/>
          </w:rPr>
          <w:t xml:space="preserve"> C</w:t>
        </w:r>
        <w:r w:rsidR="00FA7C73" w:rsidRPr="00C53010">
          <w:rPr>
            <w:rStyle w:val="Hyperlink"/>
            <w:lang w:val="es-ES"/>
          </w:rPr>
          <w:t>1</w:t>
        </w:r>
        <w:r w:rsidR="00FA7C73" w:rsidRPr="00C53010">
          <w:rPr>
            <w:rStyle w:val="Hyperlink"/>
            <w:lang w:val="es-ES"/>
          </w:rPr>
          <w:t>7/36(Rev.1)</w:t>
        </w:r>
      </w:hyperlink>
      <w:r w:rsidR="00FA7C73" w:rsidRPr="00C53010">
        <w:rPr>
          <w:lang w:val="es-ES"/>
        </w:rPr>
        <w:t xml:space="preserve">. </w:t>
      </w:r>
      <w:r w:rsidRPr="00C53010">
        <w:rPr>
          <w:lang w:val="es-ES"/>
        </w:rPr>
        <w:t>Además</w:t>
      </w:r>
      <w:r w:rsidR="00FA7C73" w:rsidRPr="00C53010">
        <w:rPr>
          <w:lang w:val="es-ES"/>
        </w:rPr>
        <w:t xml:space="preserve">, </w:t>
      </w:r>
      <w:r w:rsidRPr="00C53010">
        <w:rPr>
          <w:lang w:val="es-ES"/>
        </w:rPr>
        <w:t xml:space="preserve">el Consejo autorizó al Secretario General de la UIT </w:t>
      </w:r>
      <w:r w:rsidR="00FA7C73" w:rsidRPr="00C53010">
        <w:rPr>
          <w:lang w:val="es-ES"/>
        </w:rPr>
        <w:t xml:space="preserve">(o </w:t>
      </w:r>
      <w:r w:rsidRPr="00C53010">
        <w:rPr>
          <w:lang w:val="es-ES"/>
        </w:rPr>
        <w:t>a su representante</w:t>
      </w:r>
      <w:r w:rsidR="00FA7C73" w:rsidRPr="00C53010">
        <w:rPr>
          <w:lang w:val="es-ES"/>
        </w:rPr>
        <w:t xml:space="preserve">) </w:t>
      </w:r>
      <w:r w:rsidRPr="00C53010">
        <w:rPr>
          <w:lang w:val="es-ES"/>
        </w:rPr>
        <w:t>a seguir participando en los trabajo</w:t>
      </w:r>
      <w:r w:rsidR="008E50FD">
        <w:rPr>
          <w:lang w:val="es-ES"/>
        </w:rPr>
        <w:t>s</w:t>
      </w:r>
      <w:r w:rsidRPr="00C53010">
        <w:rPr>
          <w:lang w:val="es-ES"/>
        </w:rPr>
        <w:t xml:space="preserve"> de la Comisión Preparatoria y sus grupos de trabajo</w:t>
      </w:r>
      <w:r w:rsidR="00FA7C73" w:rsidRPr="00C53010">
        <w:rPr>
          <w:lang w:val="es-ES"/>
        </w:rPr>
        <w:t xml:space="preserve">. </w:t>
      </w:r>
    </w:p>
    <w:p w:rsidR="00FA7C73" w:rsidRPr="00C53010" w:rsidRDefault="00ED15DC" w:rsidP="00E3515B">
      <w:pPr>
        <w:rPr>
          <w:lang w:val="es-ES"/>
        </w:rPr>
      </w:pPr>
      <w:r w:rsidRPr="00C53010">
        <w:rPr>
          <w:lang w:val="es-ES"/>
        </w:rPr>
        <w:t>El</w:t>
      </w:r>
      <w:r w:rsidR="00FA7C73" w:rsidRPr="00C53010">
        <w:rPr>
          <w:lang w:val="es-ES"/>
        </w:rPr>
        <w:t xml:space="preserve"> 6 </w:t>
      </w:r>
      <w:r w:rsidRPr="00C53010">
        <w:rPr>
          <w:lang w:val="es-ES"/>
        </w:rPr>
        <w:t xml:space="preserve">de diciembre de </w:t>
      </w:r>
      <w:r w:rsidR="00FA7C73" w:rsidRPr="00C53010">
        <w:rPr>
          <w:lang w:val="es-ES"/>
        </w:rPr>
        <w:t xml:space="preserve">2017, </w:t>
      </w:r>
      <w:r w:rsidRPr="00C53010">
        <w:rPr>
          <w:lang w:val="es-ES"/>
        </w:rPr>
        <w:t>el Asesor Jurídico de la UIT y el Jefe del Departamento de Servicios Espaciales de la Oficina de Radiocomunicaciones representaron</w:t>
      </w:r>
      <w:r w:rsidR="000F0B6F">
        <w:rPr>
          <w:lang w:val="es-ES"/>
        </w:rPr>
        <w:t xml:space="preserve"> al Secretario General en la 5ª </w:t>
      </w:r>
      <w:r w:rsidRPr="00C53010">
        <w:rPr>
          <w:lang w:val="es-ES"/>
        </w:rPr>
        <w:t xml:space="preserve">reunión de la Comisión Preparatoria de </w:t>
      </w:r>
      <w:r w:rsidR="00FA7C73" w:rsidRPr="00C53010">
        <w:rPr>
          <w:lang w:val="es-ES"/>
        </w:rPr>
        <w:t xml:space="preserve">UNIDROIT </w:t>
      </w:r>
      <w:r w:rsidRPr="00C53010">
        <w:rPr>
          <w:lang w:val="es-ES"/>
        </w:rPr>
        <w:t>para la creación de un registro internacional de activos espaciales, con arreglo al Protocolo del Espacio</w:t>
      </w:r>
      <w:r w:rsidR="00FA7C73" w:rsidRPr="00C53010">
        <w:rPr>
          <w:lang w:val="es-ES"/>
        </w:rPr>
        <w:t xml:space="preserve">. </w:t>
      </w:r>
      <w:r w:rsidRPr="00C53010">
        <w:rPr>
          <w:lang w:val="es-ES"/>
        </w:rPr>
        <w:t>Infor</w:t>
      </w:r>
      <w:r w:rsidR="000F0B6F">
        <w:rPr>
          <w:lang w:val="es-ES"/>
        </w:rPr>
        <w:t>maron a la Comisión Preparatoria</w:t>
      </w:r>
      <w:r w:rsidRPr="00C53010">
        <w:rPr>
          <w:lang w:val="es-ES"/>
        </w:rPr>
        <w:t xml:space="preserve"> de las conclusiones de la reunión de </w:t>
      </w:r>
      <w:r w:rsidR="00FA7C73" w:rsidRPr="00C53010">
        <w:rPr>
          <w:lang w:val="es-ES"/>
        </w:rPr>
        <w:t xml:space="preserve">2017 </w:t>
      </w:r>
      <w:r w:rsidRPr="00C53010">
        <w:rPr>
          <w:lang w:val="es-ES"/>
        </w:rPr>
        <w:t>del Consejo relativas al nombramiento de la UIT como Autoridad Supervisora del Protocolo del Espacio</w:t>
      </w:r>
      <w:r w:rsidR="00FA7C73" w:rsidRPr="00C53010">
        <w:rPr>
          <w:lang w:val="es-ES"/>
        </w:rPr>
        <w:t xml:space="preserve">. </w:t>
      </w:r>
      <w:r w:rsidR="000F0B6F">
        <w:rPr>
          <w:lang w:val="es-ES"/>
        </w:rPr>
        <w:t>La Comisión Preparatoria</w:t>
      </w:r>
      <w:r w:rsidR="0078024F" w:rsidRPr="00C53010">
        <w:rPr>
          <w:lang w:val="es-ES"/>
        </w:rPr>
        <w:t xml:space="preserve"> se congratuló por estos avances</w:t>
      </w:r>
      <w:r w:rsidR="00FA7C73" w:rsidRPr="00C53010">
        <w:rPr>
          <w:lang w:val="es-ES"/>
        </w:rPr>
        <w:t xml:space="preserve">. </w:t>
      </w:r>
      <w:r w:rsidR="0078024F" w:rsidRPr="00C53010">
        <w:rPr>
          <w:lang w:val="es-ES"/>
        </w:rPr>
        <w:t>El Asesor Jurídico de la U</w:t>
      </w:r>
      <w:r w:rsidR="00FA7C73" w:rsidRPr="00C53010">
        <w:rPr>
          <w:lang w:val="es-ES"/>
        </w:rPr>
        <w:t xml:space="preserve">IT </w:t>
      </w:r>
      <w:r w:rsidR="0078024F" w:rsidRPr="00C53010">
        <w:rPr>
          <w:lang w:val="es-ES"/>
        </w:rPr>
        <w:t xml:space="preserve">y la </w:t>
      </w:r>
      <w:r w:rsidR="00FA7C73" w:rsidRPr="00C53010">
        <w:rPr>
          <w:lang w:val="es-ES"/>
        </w:rPr>
        <w:t xml:space="preserve">BR </w:t>
      </w:r>
      <w:r w:rsidR="0078024F" w:rsidRPr="00C53010">
        <w:rPr>
          <w:lang w:val="es-ES"/>
        </w:rPr>
        <w:t xml:space="preserve">están preparando la documentación necesaria para la </w:t>
      </w:r>
      <w:r w:rsidR="00FA7C73" w:rsidRPr="00C53010">
        <w:rPr>
          <w:lang w:val="es-ES"/>
        </w:rPr>
        <w:t xml:space="preserve">PP-18. UNIDROIT </w:t>
      </w:r>
      <w:r w:rsidR="0078024F" w:rsidRPr="00C53010">
        <w:rPr>
          <w:lang w:val="es-ES"/>
        </w:rPr>
        <w:t xml:space="preserve">ofreció su ayuda para elaborar material informativo destinado a las delegaciones que asistan a la </w:t>
      </w:r>
      <w:r w:rsidR="00FA7C73" w:rsidRPr="00C53010">
        <w:rPr>
          <w:lang w:val="es-ES"/>
        </w:rPr>
        <w:t xml:space="preserve">PP-18 </w:t>
      </w:r>
      <w:r w:rsidR="0078024F" w:rsidRPr="00C53010">
        <w:rPr>
          <w:lang w:val="es-ES"/>
        </w:rPr>
        <w:t>a fin de que estén mejor informadas sobre el Protocolo del Espacio</w:t>
      </w:r>
      <w:r w:rsidR="00FA7C73" w:rsidRPr="00C53010">
        <w:rPr>
          <w:lang w:val="es-ES"/>
        </w:rPr>
        <w:t>.</w:t>
      </w:r>
      <w:bookmarkStart w:id="13" w:name="_Toc446060757"/>
      <w:r w:rsidR="00FA7C73" w:rsidRPr="00C53010">
        <w:rPr>
          <w:lang w:val="es-ES"/>
        </w:rPr>
        <w:tab/>
      </w:r>
      <w:bookmarkEnd w:id="13"/>
    </w:p>
    <w:p w:rsidR="00FA7C73" w:rsidRPr="00C53010" w:rsidRDefault="00FA7C73" w:rsidP="00071270">
      <w:pPr>
        <w:pStyle w:val="Heading2"/>
        <w:rPr>
          <w:lang w:val="es-ES"/>
        </w:rPr>
      </w:pPr>
      <w:r w:rsidRPr="00C53010">
        <w:rPr>
          <w:lang w:val="es-ES"/>
        </w:rPr>
        <w:t>2.6</w:t>
      </w:r>
      <w:r w:rsidRPr="00C53010">
        <w:rPr>
          <w:lang w:val="es-ES"/>
        </w:rPr>
        <w:tab/>
      </w:r>
      <w:r w:rsidR="00071270" w:rsidRPr="00C53010">
        <w:rPr>
          <w:lang w:val="es-ES"/>
        </w:rPr>
        <w:t>Presupuesto para el periodo 2018-2019</w:t>
      </w:r>
    </w:p>
    <w:p w:rsidR="00FA7C73" w:rsidRPr="00C53010" w:rsidRDefault="0078024F" w:rsidP="0078024F">
      <w:pPr>
        <w:rPr>
          <w:lang w:val="es-ES"/>
        </w:rPr>
        <w:sectPr w:rsidR="00FA7C73" w:rsidRPr="00C53010" w:rsidSect="00213431">
          <w:headerReference w:type="even" r:id="rId12"/>
          <w:headerReference w:type="default" r:id="rId13"/>
          <w:footerReference w:type="even" r:id="rId14"/>
          <w:footerReference w:type="default" r:id="rId15"/>
          <w:headerReference w:type="first" r:id="rId16"/>
          <w:footerReference w:type="first" r:id="rId17"/>
          <w:pgSz w:w="11907" w:h="16834"/>
          <w:pgMar w:top="1418" w:right="1134" w:bottom="1418" w:left="1134" w:header="720" w:footer="720" w:gutter="0"/>
          <w:paperSrc w:first="15" w:other="15"/>
          <w:cols w:space="720"/>
          <w:titlePg/>
          <w:docGrid w:linePitch="326"/>
        </w:sectPr>
      </w:pPr>
      <w:r w:rsidRPr="00C53010">
        <w:rPr>
          <w:lang w:val="es-ES"/>
        </w:rPr>
        <w:t xml:space="preserve">En su reunión de </w:t>
      </w:r>
      <w:r w:rsidR="00FA7C73" w:rsidRPr="00C53010">
        <w:rPr>
          <w:lang w:val="es-ES"/>
        </w:rPr>
        <w:t>2017</w:t>
      </w:r>
      <w:r w:rsidRPr="00C53010">
        <w:rPr>
          <w:lang w:val="es-ES"/>
        </w:rPr>
        <w:t>, el Consejo adoptó el siguiente presupuesto del U</w:t>
      </w:r>
      <w:r w:rsidR="00FA7C73" w:rsidRPr="00C53010">
        <w:rPr>
          <w:lang w:val="es-ES"/>
        </w:rPr>
        <w:t xml:space="preserve">IT-R </w:t>
      </w:r>
      <w:r w:rsidRPr="00C53010">
        <w:rPr>
          <w:lang w:val="es-ES"/>
        </w:rPr>
        <w:t xml:space="preserve">para el periodo </w:t>
      </w:r>
      <w:r w:rsidR="000F0B6F">
        <w:rPr>
          <w:lang w:val="es-ES"/>
        </w:rPr>
        <w:t>2018</w:t>
      </w:r>
      <w:r w:rsidR="000F0B6F">
        <w:rPr>
          <w:lang w:val="es-ES"/>
        </w:rPr>
        <w:noBreakHyphen/>
      </w:r>
      <w:r w:rsidR="00FA7C73" w:rsidRPr="00C53010">
        <w:rPr>
          <w:lang w:val="es-ES"/>
        </w:rPr>
        <w:t>2019.</w:t>
      </w:r>
    </w:p>
    <w:tbl>
      <w:tblPr>
        <w:tblW w:w="0" w:type="auto"/>
        <w:tblLayout w:type="fixed"/>
        <w:tblLook w:val="04A0" w:firstRow="1" w:lastRow="0" w:firstColumn="1" w:lastColumn="0" w:noHBand="0" w:noVBand="1"/>
      </w:tblPr>
      <w:tblGrid>
        <w:gridCol w:w="988"/>
        <w:gridCol w:w="2840"/>
        <w:gridCol w:w="992"/>
        <w:gridCol w:w="992"/>
        <w:gridCol w:w="851"/>
        <w:gridCol w:w="992"/>
        <w:gridCol w:w="992"/>
        <w:gridCol w:w="992"/>
      </w:tblGrid>
      <w:tr w:rsidR="00FA7C73" w:rsidRPr="00C53010" w:rsidTr="003045E9">
        <w:trPr>
          <w:trHeight w:val="405"/>
        </w:trPr>
        <w:tc>
          <w:tcPr>
            <w:tcW w:w="9639" w:type="dxa"/>
            <w:gridSpan w:val="8"/>
            <w:tcBorders>
              <w:top w:val="nil"/>
              <w:left w:val="nil"/>
              <w:bottom w:val="single" w:sz="4" w:space="0" w:color="auto"/>
              <w:right w:val="nil"/>
            </w:tcBorders>
            <w:shd w:val="clear" w:color="000000" w:fill="FFFFFF"/>
            <w:noWrap/>
            <w:vAlign w:val="center"/>
            <w:hideMark/>
          </w:tcPr>
          <w:p w:rsidR="00FA7C73" w:rsidRPr="00C53010" w:rsidRDefault="00071270" w:rsidP="00071270">
            <w:pPr>
              <w:overflowPunct/>
              <w:autoSpaceDE/>
              <w:autoSpaceDN/>
              <w:adjustRightInd/>
              <w:spacing w:before="0"/>
              <w:jc w:val="center"/>
              <w:textAlignment w:val="auto"/>
              <w:rPr>
                <w:b/>
                <w:bCs/>
                <w:color w:val="000099"/>
                <w:sz w:val="22"/>
                <w:szCs w:val="22"/>
                <w:lang w:val="es-ES" w:eastAsia="zh-CN"/>
              </w:rPr>
            </w:pPr>
            <w:r w:rsidRPr="00C53010">
              <w:rPr>
                <w:b/>
                <w:bCs/>
                <w:color w:val="000099"/>
                <w:sz w:val="22"/>
                <w:szCs w:val="22"/>
                <w:lang w:val="es-ES" w:eastAsia="zh-CN"/>
              </w:rPr>
              <w:lastRenderedPageBreak/>
              <w:t xml:space="preserve">Presupuesto </w:t>
            </w:r>
            <w:r w:rsidR="00FA7C73" w:rsidRPr="00C53010">
              <w:rPr>
                <w:b/>
                <w:bCs/>
                <w:color w:val="000099"/>
                <w:sz w:val="22"/>
                <w:szCs w:val="22"/>
                <w:lang w:val="es-ES" w:eastAsia="zh-CN"/>
              </w:rPr>
              <w:t xml:space="preserve">2018-2019 </w:t>
            </w:r>
            <w:r w:rsidRPr="00C53010">
              <w:rPr>
                <w:b/>
                <w:bCs/>
                <w:color w:val="000099"/>
                <w:sz w:val="22"/>
                <w:szCs w:val="22"/>
                <w:lang w:val="es-ES" w:eastAsia="zh-CN"/>
              </w:rPr>
              <w:t>–</w:t>
            </w:r>
            <w:r w:rsidR="00FA7C73" w:rsidRPr="00C53010">
              <w:rPr>
                <w:b/>
                <w:bCs/>
                <w:color w:val="000099"/>
                <w:sz w:val="22"/>
                <w:szCs w:val="22"/>
                <w:lang w:val="es-ES" w:eastAsia="zh-CN"/>
              </w:rPr>
              <w:t xml:space="preserve"> Sector</w:t>
            </w:r>
            <w:r w:rsidRPr="00C53010">
              <w:rPr>
                <w:b/>
                <w:bCs/>
                <w:color w:val="000099"/>
                <w:sz w:val="22"/>
                <w:szCs w:val="22"/>
                <w:lang w:val="es-ES" w:eastAsia="zh-CN"/>
              </w:rPr>
              <w:t xml:space="preserve"> de Radiocomunicaciones</w:t>
            </w:r>
          </w:p>
        </w:tc>
      </w:tr>
      <w:tr w:rsidR="00FA7C73" w:rsidRPr="00C53010" w:rsidTr="003045E9">
        <w:trPr>
          <w:trHeight w:val="240"/>
        </w:trPr>
        <w:tc>
          <w:tcPr>
            <w:tcW w:w="988" w:type="dxa"/>
            <w:tcBorders>
              <w:top w:val="single" w:sz="4" w:space="0" w:color="000099"/>
              <w:left w:val="nil"/>
              <w:bottom w:val="nil"/>
              <w:right w:val="nil"/>
            </w:tcBorders>
            <w:shd w:val="clear" w:color="000000" w:fill="DCE6F1"/>
            <w:noWrap/>
            <w:vAlign w:val="center"/>
          </w:tcPr>
          <w:p w:rsidR="00FA7C73" w:rsidRPr="00C53010" w:rsidRDefault="00FA7C73" w:rsidP="001F3A94">
            <w:pPr>
              <w:overflowPunct/>
              <w:autoSpaceDE/>
              <w:autoSpaceDN/>
              <w:adjustRightInd/>
              <w:spacing w:before="0"/>
              <w:textAlignment w:val="auto"/>
              <w:rPr>
                <w:b/>
                <w:bCs/>
                <w:color w:val="000099"/>
                <w:sz w:val="20"/>
                <w:lang w:val="es-ES" w:eastAsia="zh-CN"/>
              </w:rPr>
            </w:pPr>
          </w:p>
        </w:tc>
        <w:tc>
          <w:tcPr>
            <w:tcW w:w="2840" w:type="dxa"/>
            <w:tcBorders>
              <w:top w:val="single" w:sz="4" w:space="0" w:color="000099"/>
              <w:left w:val="nil"/>
              <w:bottom w:val="nil"/>
              <w:right w:val="nil"/>
            </w:tcBorders>
            <w:shd w:val="clear" w:color="000000" w:fill="DCE6F1"/>
            <w:noWrap/>
            <w:vAlign w:val="center"/>
          </w:tcPr>
          <w:p w:rsidR="00FA7C73" w:rsidRPr="00C53010" w:rsidRDefault="00FA7C73" w:rsidP="001F3A94">
            <w:pPr>
              <w:overflowPunct/>
              <w:autoSpaceDE/>
              <w:autoSpaceDN/>
              <w:adjustRightInd/>
              <w:spacing w:before="0"/>
              <w:textAlignment w:val="auto"/>
              <w:rPr>
                <w:b/>
                <w:bCs/>
                <w:color w:val="000099"/>
                <w:sz w:val="20"/>
                <w:u w:val="single"/>
                <w:lang w:val="es-ES" w:eastAsia="zh-CN"/>
              </w:rPr>
            </w:pPr>
          </w:p>
        </w:tc>
        <w:tc>
          <w:tcPr>
            <w:tcW w:w="5811" w:type="dxa"/>
            <w:gridSpan w:val="6"/>
            <w:tcBorders>
              <w:top w:val="single" w:sz="4" w:space="0" w:color="000099"/>
              <w:left w:val="nil"/>
              <w:bottom w:val="nil"/>
              <w:right w:val="nil"/>
            </w:tcBorders>
            <w:shd w:val="clear" w:color="000000" w:fill="DCE6F1"/>
            <w:noWrap/>
            <w:vAlign w:val="bottom"/>
            <w:hideMark/>
          </w:tcPr>
          <w:p w:rsidR="00FA7C73" w:rsidRPr="00C53010" w:rsidRDefault="00782776" w:rsidP="001F3A94">
            <w:pPr>
              <w:overflowPunct/>
              <w:autoSpaceDE/>
              <w:autoSpaceDN/>
              <w:adjustRightInd/>
              <w:spacing w:before="0"/>
              <w:jc w:val="right"/>
              <w:textAlignment w:val="auto"/>
              <w:rPr>
                <w:b/>
                <w:bCs/>
                <w:color w:val="000099"/>
                <w:sz w:val="20"/>
                <w:lang w:val="es-ES" w:eastAsia="zh-CN"/>
              </w:rPr>
            </w:pPr>
            <w:r w:rsidRPr="00C53010">
              <w:rPr>
                <w:b/>
                <w:color w:val="0070C0"/>
                <w:sz w:val="16"/>
                <w:szCs w:val="14"/>
                <w:lang w:val="es-ES"/>
              </w:rPr>
              <w:t>En miles de francos suizos</w:t>
            </w:r>
          </w:p>
        </w:tc>
      </w:tr>
      <w:tr w:rsidR="00782776" w:rsidRPr="00C53010" w:rsidTr="003045E9">
        <w:trPr>
          <w:trHeight w:val="300"/>
        </w:trPr>
        <w:tc>
          <w:tcPr>
            <w:tcW w:w="3828" w:type="dxa"/>
            <w:gridSpan w:val="2"/>
            <w:tcBorders>
              <w:top w:val="nil"/>
              <w:left w:val="nil"/>
              <w:bottom w:val="nil"/>
              <w:right w:val="nil"/>
            </w:tcBorders>
            <w:shd w:val="clear" w:color="000000" w:fill="DCE6F1"/>
            <w:noWrap/>
            <w:vAlign w:val="center"/>
            <w:hideMark/>
          </w:tcPr>
          <w:p w:rsidR="00782776" w:rsidRPr="00C53010" w:rsidRDefault="00782776" w:rsidP="00782776">
            <w:pPr>
              <w:overflowPunct/>
              <w:autoSpaceDE/>
              <w:autoSpaceDN/>
              <w:adjustRightInd/>
              <w:spacing w:before="0"/>
              <w:textAlignment w:val="auto"/>
              <w:rPr>
                <w:b/>
                <w:bCs/>
                <w:color w:val="000099"/>
                <w:sz w:val="16"/>
                <w:szCs w:val="16"/>
                <w:lang w:val="es-ES" w:eastAsia="zh-CN"/>
              </w:rPr>
            </w:pPr>
            <w:r w:rsidRPr="00C53010">
              <w:rPr>
                <w:b/>
                <w:color w:val="0070C0"/>
                <w:sz w:val="16"/>
                <w:szCs w:val="14"/>
                <w:lang w:val="es-ES"/>
              </w:rPr>
              <w:t>Gastos de explotación por sección</w:t>
            </w:r>
          </w:p>
        </w:tc>
        <w:tc>
          <w:tcPr>
            <w:tcW w:w="992" w:type="dxa"/>
            <w:tcBorders>
              <w:top w:val="nil"/>
              <w:left w:val="nil"/>
              <w:bottom w:val="nil"/>
              <w:right w:val="nil"/>
            </w:tcBorders>
            <w:shd w:val="clear" w:color="000000" w:fill="DCE6F1"/>
            <w:noWrap/>
            <w:vAlign w:val="center"/>
            <w:hideMark/>
          </w:tcPr>
          <w:p w:rsidR="00782776" w:rsidRPr="00C53010" w:rsidRDefault="00782776" w:rsidP="00782776">
            <w:pPr>
              <w:jc w:val="center"/>
              <w:rPr>
                <w:b/>
                <w:color w:val="0070C0"/>
                <w:sz w:val="16"/>
                <w:szCs w:val="14"/>
                <w:lang w:val="es-ES"/>
              </w:rPr>
            </w:pPr>
            <w:r w:rsidRPr="00C53010">
              <w:rPr>
                <w:b/>
                <w:color w:val="0070C0"/>
                <w:sz w:val="16"/>
                <w:szCs w:val="14"/>
                <w:lang w:val="es-ES"/>
              </w:rPr>
              <w:t>Reales</w:t>
            </w:r>
          </w:p>
        </w:tc>
        <w:tc>
          <w:tcPr>
            <w:tcW w:w="992" w:type="dxa"/>
            <w:tcBorders>
              <w:top w:val="nil"/>
              <w:left w:val="nil"/>
              <w:bottom w:val="nil"/>
              <w:right w:val="nil"/>
            </w:tcBorders>
            <w:shd w:val="clear" w:color="000000" w:fill="DCE6F1"/>
            <w:noWrap/>
            <w:vAlign w:val="center"/>
            <w:hideMark/>
          </w:tcPr>
          <w:p w:rsidR="00782776" w:rsidRPr="00C53010" w:rsidRDefault="00782776" w:rsidP="00071270">
            <w:pPr>
              <w:jc w:val="center"/>
              <w:rPr>
                <w:b/>
                <w:color w:val="0070C0"/>
                <w:sz w:val="16"/>
                <w:szCs w:val="14"/>
                <w:lang w:val="es-ES"/>
              </w:rPr>
            </w:pPr>
            <w:r w:rsidRPr="00C53010">
              <w:rPr>
                <w:b/>
                <w:color w:val="0070C0"/>
                <w:sz w:val="16"/>
                <w:szCs w:val="14"/>
                <w:lang w:val="es-ES"/>
              </w:rPr>
              <w:t>Presup</w:t>
            </w:r>
            <w:r w:rsidR="00071270" w:rsidRPr="00C53010">
              <w:rPr>
                <w:b/>
                <w:color w:val="0070C0"/>
                <w:sz w:val="16"/>
                <w:szCs w:val="14"/>
                <w:lang w:val="es-ES"/>
              </w:rPr>
              <w:t>.</w:t>
            </w:r>
          </w:p>
        </w:tc>
        <w:tc>
          <w:tcPr>
            <w:tcW w:w="851" w:type="dxa"/>
            <w:tcBorders>
              <w:top w:val="nil"/>
              <w:left w:val="nil"/>
              <w:bottom w:val="nil"/>
              <w:right w:val="nil"/>
            </w:tcBorders>
            <w:shd w:val="clear" w:color="000000" w:fill="DCE6F1"/>
            <w:vAlign w:val="center"/>
            <w:hideMark/>
          </w:tcPr>
          <w:p w:rsidR="00782776" w:rsidRPr="00C53010" w:rsidRDefault="00782776" w:rsidP="00782776">
            <w:pPr>
              <w:jc w:val="center"/>
              <w:rPr>
                <w:b/>
                <w:color w:val="0070C0"/>
                <w:sz w:val="16"/>
                <w:szCs w:val="14"/>
                <w:lang w:val="es-ES"/>
              </w:rPr>
            </w:pPr>
            <w:r w:rsidRPr="00C53010">
              <w:rPr>
                <w:b/>
                <w:color w:val="0070C0"/>
                <w:sz w:val="16"/>
                <w:szCs w:val="14"/>
                <w:lang w:val="es-ES"/>
              </w:rPr>
              <w:t>Reales</w:t>
            </w:r>
          </w:p>
        </w:tc>
        <w:tc>
          <w:tcPr>
            <w:tcW w:w="992" w:type="dxa"/>
            <w:tcBorders>
              <w:top w:val="nil"/>
              <w:left w:val="nil"/>
              <w:bottom w:val="nil"/>
              <w:right w:val="nil"/>
            </w:tcBorders>
            <w:shd w:val="clear" w:color="000000" w:fill="DCE6F1"/>
            <w:noWrap/>
            <w:vAlign w:val="center"/>
            <w:hideMark/>
          </w:tcPr>
          <w:p w:rsidR="00782776" w:rsidRPr="00C53010" w:rsidRDefault="00782776" w:rsidP="00071270">
            <w:pPr>
              <w:jc w:val="center"/>
              <w:rPr>
                <w:b/>
                <w:color w:val="0070C0"/>
                <w:sz w:val="16"/>
                <w:szCs w:val="14"/>
                <w:lang w:val="es-ES"/>
              </w:rPr>
            </w:pPr>
            <w:bookmarkStart w:id="14" w:name="lt_pId095"/>
            <w:r w:rsidRPr="00C53010">
              <w:rPr>
                <w:b/>
                <w:color w:val="0070C0"/>
                <w:sz w:val="16"/>
                <w:szCs w:val="14"/>
                <w:lang w:val="es-ES"/>
              </w:rPr>
              <w:t>Estim</w:t>
            </w:r>
            <w:bookmarkEnd w:id="14"/>
            <w:r w:rsidR="00071270" w:rsidRPr="00C53010">
              <w:rPr>
                <w:b/>
                <w:color w:val="0070C0"/>
                <w:sz w:val="16"/>
                <w:szCs w:val="14"/>
                <w:lang w:val="es-ES"/>
              </w:rPr>
              <w:t>ados</w:t>
            </w:r>
          </w:p>
        </w:tc>
        <w:tc>
          <w:tcPr>
            <w:tcW w:w="992" w:type="dxa"/>
            <w:tcBorders>
              <w:top w:val="nil"/>
              <w:left w:val="nil"/>
              <w:bottom w:val="nil"/>
              <w:right w:val="nil"/>
            </w:tcBorders>
            <w:shd w:val="clear" w:color="000000" w:fill="DCE6F1"/>
            <w:noWrap/>
            <w:vAlign w:val="center"/>
            <w:hideMark/>
          </w:tcPr>
          <w:p w:rsidR="00782776" w:rsidRPr="00C53010" w:rsidRDefault="00071270" w:rsidP="00782776">
            <w:pPr>
              <w:jc w:val="center"/>
              <w:rPr>
                <w:b/>
                <w:color w:val="0070C0"/>
                <w:sz w:val="16"/>
                <w:szCs w:val="14"/>
                <w:lang w:val="es-ES"/>
              </w:rPr>
            </w:pPr>
            <w:r w:rsidRPr="00C53010">
              <w:rPr>
                <w:b/>
                <w:color w:val="0070C0"/>
                <w:sz w:val="16"/>
                <w:szCs w:val="14"/>
                <w:lang w:val="es-ES"/>
              </w:rPr>
              <w:t>Estimados</w:t>
            </w:r>
          </w:p>
        </w:tc>
        <w:tc>
          <w:tcPr>
            <w:tcW w:w="992" w:type="dxa"/>
            <w:tcBorders>
              <w:top w:val="nil"/>
              <w:left w:val="nil"/>
              <w:bottom w:val="nil"/>
              <w:right w:val="nil"/>
            </w:tcBorders>
            <w:shd w:val="clear" w:color="000000" w:fill="DCE6F1"/>
            <w:noWrap/>
            <w:vAlign w:val="center"/>
            <w:hideMark/>
          </w:tcPr>
          <w:p w:rsidR="00782776" w:rsidRPr="00C53010" w:rsidRDefault="00071270" w:rsidP="00782776">
            <w:pPr>
              <w:jc w:val="center"/>
              <w:rPr>
                <w:b/>
                <w:color w:val="0070C0"/>
                <w:sz w:val="16"/>
                <w:szCs w:val="14"/>
                <w:lang w:val="es-ES"/>
              </w:rPr>
            </w:pPr>
            <w:r w:rsidRPr="00C53010">
              <w:rPr>
                <w:b/>
                <w:color w:val="0070C0"/>
                <w:sz w:val="16"/>
                <w:szCs w:val="14"/>
                <w:lang w:val="es-ES"/>
              </w:rPr>
              <w:t>Estimados</w:t>
            </w:r>
          </w:p>
        </w:tc>
      </w:tr>
      <w:tr w:rsidR="00FA7C73" w:rsidRPr="00C53010" w:rsidTr="003045E9">
        <w:trPr>
          <w:trHeight w:val="240"/>
        </w:trPr>
        <w:tc>
          <w:tcPr>
            <w:tcW w:w="988" w:type="dxa"/>
            <w:tcBorders>
              <w:top w:val="nil"/>
              <w:left w:val="nil"/>
              <w:bottom w:val="single" w:sz="4" w:space="0" w:color="000099"/>
              <w:right w:val="nil"/>
            </w:tcBorders>
            <w:shd w:val="clear" w:color="000000" w:fill="DCE6F1"/>
            <w:noWrap/>
            <w:vAlign w:val="center"/>
            <w:hideMark/>
          </w:tcPr>
          <w:p w:rsidR="00FA7C73" w:rsidRPr="00C53010" w:rsidRDefault="00FA7C73" w:rsidP="001F3A94">
            <w:pPr>
              <w:overflowPunct/>
              <w:autoSpaceDE/>
              <w:autoSpaceDN/>
              <w:adjustRightInd/>
              <w:spacing w:before="0"/>
              <w:jc w:val="right"/>
              <w:textAlignment w:val="auto"/>
              <w:rPr>
                <w:b/>
                <w:bCs/>
                <w:color w:val="000099"/>
                <w:sz w:val="16"/>
                <w:szCs w:val="16"/>
                <w:lang w:val="es-ES" w:eastAsia="zh-CN"/>
              </w:rPr>
            </w:pPr>
            <w:r w:rsidRPr="00C53010">
              <w:rPr>
                <w:b/>
                <w:bCs/>
                <w:color w:val="000099"/>
                <w:sz w:val="16"/>
                <w:szCs w:val="16"/>
                <w:lang w:val="es-ES" w:eastAsia="zh-CN"/>
              </w:rPr>
              <w:t> </w:t>
            </w:r>
          </w:p>
        </w:tc>
        <w:tc>
          <w:tcPr>
            <w:tcW w:w="2840" w:type="dxa"/>
            <w:tcBorders>
              <w:top w:val="nil"/>
              <w:left w:val="nil"/>
              <w:bottom w:val="single" w:sz="4" w:space="0" w:color="000099"/>
              <w:right w:val="nil"/>
            </w:tcBorders>
            <w:shd w:val="clear" w:color="000000" w:fill="DCE6F1"/>
            <w:noWrap/>
            <w:vAlign w:val="center"/>
            <w:hideMark/>
          </w:tcPr>
          <w:p w:rsidR="00FA7C73" w:rsidRPr="00C53010" w:rsidRDefault="00FA7C73" w:rsidP="001F3A94">
            <w:pPr>
              <w:overflowPunct/>
              <w:autoSpaceDE/>
              <w:autoSpaceDN/>
              <w:adjustRightInd/>
              <w:spacing w:before="0"/>
              <w:jc w:val="right"/>
              <w:textAlignment w:val="auto"/>
              <w:rPr>
                <w:b/>
                <w:bCs/>
                <w:color w:val="000099"/>
                <w:sz w:val="16"/>
                <w:szCs w:val="16"/>
                <w:lang w:val="es-ES" w:eastAsia="zh-CN"/>
              </w:rPr>
            </w:pPr>
            <w:r w:rsidRPr="00C53010">
              <w:rPr>
                <w:b/>
                <w:bCs/>
                <w:color w:val="000099"/>
                <w:sz w:val="16"/>
                <w:szCs w:val="16"/>
                <w:lang w:val="es-ES" w:eastAsia="zh-CN"/>
              </w:rPr>
              <w:t> </w:t>
            </w:r>
          </w:p>
        </w:tc>
        <w:tc>
          <w:tcPr>
            <w:tcW w:w="992" w:type="dxa"/>
            <w:tcBorders>
              <w:top w:val="nil"/>
              <w:left w:val="nil"/>
              <w:bottom w:val="single" w:sz="4" w:space="0" w:color="000099"/>
              <w:right w:val="nil"/>
            </w:tcBorders>
            <w:shd w:val="clear" w:color="000000" w:fill="DCE6F1"/>
            <w:vAlign w:val="center"/>
            <w:hideMark/>
          </w:tcPr>
          <w:p w:rsidR="00FA7C73" w:rsidRPr="00C53010" w:rsidRDefault="00FA7C73" w:rsidP="001F3A94">
            <w:pPr>
              <w:overflowPunct/>
              <w:autoSpaceDE/>
              <w:autoSpaceDN/>
              <w:adjustRightInd/>
              <w:spacing w:before="0"/>
              <w:jc w:val="center"/>
              <w:textAlignment w:val="auto"/>
              <w:rPr>
                <w:b/>
                <w:bCs/>
                <w:color w:val="000099"/>
                <w:sz w:val="16"/>
                <w:szCs w:val="16"/>
                <w:lang w:val="es-ES" w:eastAsia="zh-CN"/>
              </w:rPr>
            </w:pPr>
            <w:r w:rsidRPr="00C53010">
              <w:rPr>
                <w:b/>
                <w:bCs/>
                <w:color w:val="000099"/>
                <w:sz w:val="16"/>
                <w:szCs w:val="16"/>
                <w:lang w:val="es-ES" w:eastAsia="zh-CN"/>
              </w:rPr>
              <w:t>2014-2015</w:t>
            </w:r>
          </w:p>
        </w:tc>
        <w:tc>
          <w:tcPr>
            <w:tcW w:w="992" w:type="dxa"/>
            <w:tcBorders>
              <w:top w:val="nil"/>
              <w:left w:val="nil"/>
              <w:bottom w:val="single" w:sz="4" w:space="0" w:color="000099"/>
              <w:right w:val="nil"/>
            </w:tcBorders>
            <w:shd w:val="clear" w:color="000000" w:fill="DCE6F1"/>
            <w:vAlign w:val="center"/>
            <w:hideMark/>
          </w:tcPr>
          <w:p w:rsidR="00FA7C73" w:rsidRPr="00C53010" w:rsidRDefault="00FA7C73" w:rsidP="001F3A94">
            <w:pPr>
              <w:overflowPunct/>
              <w:autoSpaceDE/>
              <w:autoSpaceDN/>
              <w:adjustRightInd/>
              <w:spacing w:before="0"/>
              <w:jc w:val="center"/>
              <w:textAlignment w:val="auto"/>
              <w:rPr>
                <w:b/>
                <w:bCs/>
                <w:color w:val="000099"/>
                <w:sz w:val="16"/>
                <w:szCs w:val="16"/>
                <w:lang w:val="es-ES" w:eastAsia="zh-CN"/>
              </w:rPr>
            </w:pPr>
            <w:r w:rsidRPr="00C53010">
              <w:rPr>
                <w:b/>
                <w:bCs/>
                <w:color w:val="000099"/>
                <w:sz w:val="16"/>
                <w:szCs w:val="16"/>
                <w:lang w:val="es-ES" w:eastAsia="zh-CN"/>
              </w:rPr>
              <w:t>2016-2017</w:t>
            </w:r>
          </w:p>
        </w:tc>
        <w:tc>
          <w:tcPr>
            <w:tcW w:w="851" w:type="dxa"/>
            <w:tcBorders>
              <w:top w:val="nil"/>
              <w:left w:val="nil"/>
              <w:bottom w:val="single" w:sz="4" w:space="0" w:color="000099"/>
              <w:right w:val="nil"/>
            </w:tcBorders>
            <w:shd w:val="clear" w:color="000000" w:fill="DCE6F1"/>
            <w:vAlign w:val="center"/>
            <w:hideMark/>
          </w:tcPr>
          <w:p w:rsidR="00FA7C73" w:rsidRPr="00C53010" w:rsidRDefault="00FA7C73" w:rsidP="001F3A94">
            <w:pPr>
              <w:overflowPunct/>
              <w:autoSpaceDE/>
              <w:autoSpaceDN/>
              <w:adjustRightInd/>
              <w:spacing w:before="0"/>
              <w:jc w:val="center"/>
              <w:textAlignment w:val="auto"/>
              <w:rPr>
                <w:b/>
                <w:bCs/>
                <w:color w:val="000099"/>
                <w:sz w:val="16"/>
                <w:szCs w:val="16"/>
                <w:lang w:val="es-ES" w:eastAsia="zh-CN"/>
              </w:rPr>
            </w:pPr>
            <w:r w:rsidRPr="00C53010">
              <w:rPr>
                <w:b/>
                <w:bCs/>
                <w:color w:val="000099"/>
                <w:sz w:val="16"/>
                <w:szCs w:val="16"/>
                <w:lang w:val="es-ES" w:eastAsia="zh-CN"/>
              </w:rPr>
              <w:t>2016 *</w:t>
            </w:r>
          </w:p>
        </w:tc>
        <w:tc>
          <w:tcPr>
            <w:tcW w:w="992" w:type="dxa"/>
            <w:tcBorders>
              <w:top w:val="nil"/>
              <w:left w:val="nil"/>
              <w:bottom w:val="single" w:sz="4" w:space="0" w:color="000099"/>
              <w:right w:val="nil"/>
            </w:tcBorders>
            <w:shd w:val="clear" w:color="000000" w:fill="DCE6F1"/>
            <w:vAlign w:val="center"/>
            <w:hideMark/>
          </w:tcPr>
          <w:p w:rsidR="00FA7C73" w:rsidRPr="00C53010" w:rsidRDefault="00FA7C73" w:rsidP="001F3A94">
            <w:pPr>
              <w:overflowPunct/>
              <w:autoSpaceDE/>
              <w:autoSpaceDN/>
              <w:adjustRightInd/>
              <w:spacing w:before="0"/>
              <w:jc w:val="center"/>
              <w:textAlignment w:val="auto"/>
              <w:rPr>
                <w:b/>
                <w:bCs/>
                <w:color w:val="000099"/>
                <w:sz w:val="16"/>
                <w:szCs w:val="16"/>
                <w:lang w:val="es-ES" w:eastAsia="zh-CN"/>
              </w:rPr>
            </w:pPr>
            <w:r w:rsidRPr="00C53010">
              <w:rPr>
                <w:b/>
                <w:bCs/>
                <w:color w:val="000099"/>
                <w:sz w:val="16"/>
                <w:szCs w:val="16"/>
                <w:lang w:val="es-ES" w:eastAsia="zh-CN"/>
              </w:rPr>
              <w:t>2018</w:t>
            </w:r>
          </w:p>
        </w:tc>
        <w:tc>
          <w:tcPr>
            <w:tcW w:w="992" w:type="dxa"/>
            <w:tcBorders>
              <w:top w:val="nil"/>
              <w:left w:val="nil"/>
              <w:bottom w:val="single" w:sz="4" w:space="0" w:color="000099"/>
              <w:right w:val="nil"/>
            </w:tcBorders>
            <w:shd w:val="clear" w:color="000000" w:fill="DCE6F1"/>
            <w:vAlign w:val="center"/>
            <w:hideMark/>
          </w:tcPr>
          <w:p w:rsidR="00FA7C73" w:rsidRPr="00C53010" w:rsidRDefault="00FA7C73" w:rsidP="001F3A94">
            <w:pPr>
              <w:overflowPunct/>
              <w:autoSpaceDE/>
              <w:autoSpaceDN/>
              <w:adjustRightInd/>
              <w:spacing w:before="0"/>
              <w:jc w:val="center"/>
              <w:textAlignment w:val="auto"/>
              <w:rPr>
                <w:b/>
                <w:bCs/>
                <w:color w:val="000099"/>
                <w:sz w:val="16"/>
                <w:szCs w:val="16"/>
                <w:lang w:val="es-ES" w:eastAsia="zh-CN"/>
              </w:rPr>
            </w:pPr>
            <w:r w:rsidRPr="00C53010">
              <w:rPr>
                <w:b/>
                <w:bCs/>
                <w:color w:val="000099"/>
                <w:sz w:val="16"/>
                <w:szCs w:val="16"/>
                <w:lang w:val="es-ES" w:eastAsia="zh-CN"/>
              </w:rPr>
              <w:t>2019</w:t>
            </w:r>
          </w:p>
        </w:tc>
        <w:tc>
          <w:tcPr>
            <w:tcW w:w="992" w:type="dxa"/>
            <w:tcBorders>
              <w:top w:val="nil"/>
              <w:left w:val="nil"/>
              <w:bottom w:val="single" w:sz="4" w:space="0" w:color="000099"/>
              <w:right w:val="nil"/>
            </w:tcBorders>
            <w:shd w:val="clear" w:color="000000" w:fill="DCE6F1"/>
            <w:vAlign w:val="center"/>
            <w:hideMark/>
          </w:tcPr>
          <w:p w:rsidR="00FA7C73" w:rsidRPr="00C53010" w:rsidRDefault="00FA7C73" w:rsidP="001F3A94">
            <w:pPr>
              <w:overflowPunct/>
              <w:autoSpaceDE/>
              <w:autoSpaceDN/>
              <w:adjustRightInd/>
              <w:spacing w:before="0"/>
              <w:jc w:val="center"/>
              <w:textAlignment w:val="auto"/>
              <w:rPr>
                <w:b/>
                <w:bCs/>
                <w:color w:val="000099"/>
                <w:sz w:val="16"/>
                <w:szCs w:val="16"/>
                <w:lang w:val="es-ES" w:eastAsia="zh-CN"/>
              </w:rPr>
            </w:pPr>
            <w:r w:rsidRPr="00C53010">
              <w:rPr>
                <w:b/>
                <w:bCs/>
                <w:color w:val="000099"/>
                <w:sz w:val="16"/>
                <w:szCs w:val="16"/>
                <w:lang w:val="es-ES" w:eastAsia="zh-CN"/>
              </w:rPr>
              <w:t>2018-2019</w:t>
            </w:r>
          </w:p>
        </w:tc>
      </w:tr>
      <w:tr w:rsidR="00FA7C73" w:rsidRPr="00C53010" w:rsidTr="003045E9">
        <w:trPr>
          <w:trHeight w:val="199"/>
        </w:trPr>
        <w:tc>
          <w:tcPr>
            <w:tcW w:w="988" w:type="dxa"/>
            <w:tcBorders>
              <w:top w:val="nil"/>
              <w:left w:val="nil"/>
              <w:bottom w:val="nil"/>
              <w:right w:val="nil"/>
            </w:tcBorders>
            <w:shd w:val="clear" w:color="auto" w:fill="auto"/>
            <w:noWrap/>
            <w:vAlign w:val="center"/>
            <w:hideMark/>
          </w:tcPr>
          <w:p w:rsidR="00FA7C73" w:rsidRPr="00C53010" w:rsidRDefault="00FA7C73" w:rsidP="001F3A94">
            <w:pPr>
              <w:overflowPunct/>
              <w:autoSpaceDE/>
              <w:autoSpaceDN/>
              <w:adjustRightInd/>
              <w:spacing w:before="0"/>
              <w:jc w:val="center"/>
              <w:textAlignment w:val="auto"/>
              <w:rPr>
                <w:b/>
                <w:bCs/>
                <w:color w:val="000099"/>
                <w:sz w:val="20"/>
                <w:lang w:val="es-ES" w:eastAsia="zh-CN"/>
              </w:rPr>
            </w:pPr>
          </w:p>
        </w:tc>
        <w:tc>
          <w:tcPr>
            <w:tcW w:w="2840" w:type="dxa"/>
            <w:tcBorders>
              <w:top w:val="nil"/>
              <w:left w:val="nil"/>
              <w:bottom w:val="nil"/>
              <w:right w:val="nil"/>
            </w:tcBorders>
            <w:shd w:val="clear" w:color="auto" w:fill="auto"/>
            <w:noWrap/>
            <w:vAlign w:val="center"/>
            <w:hideMark/>
          </w:tcPr>
          <w:p w:rsidR="00FA7C73" w:rsidRPr="00C53010" w:rsidRDefault="00FA7C73" w:rsidP="001F3A94">
            <w:pPr>
              <w:overflowPunct/>
              <w:autoSpaceDE/>
              <w:autoSpaceDN/>
              <w:adjustRightInd/>
              <w:spacing w:before="0"/>
              <w:textAlignment w:val="auto"/>
              <w:rPr>
                <w:sz w:val="20"/>
                <w:lang w:val="es-ES" w:eastAsia="zh-CN"/>
              </w:rPr>
            </w:pPr>
          </w:p>
        </w:tc>
        <w:tc>
          <w:tcPr>
            <w:tcW w:w="992" w:type="dxa"/>
            <w:tcBorders>
              <w:top w:val="nil"/>
              <w:left w:val="nil"/>
              <w:bottom w:val="nil"/>
              <w:right w:val="nil"/>
            </w:tcBorders>
            <w:shd w:val="clear" w:color="auto" w:fill="auto"/>
            <w:noWrap/>
            <w:vAlign w:val="center"/>
            <w:hideMark/>
          </w:tcPr>
          <w:p w:rsidR="00FA7C73" w:rsidRPr="00454C57" w:rsidRDefault="00FA7C73" w:rsidP="001F3A94">
            <w:pPr>
              <w:overflowPunct/>
              <w:autoSpaceDE/>
              <w:autoSpaceDN/>
              <w:adjustRightInd/>
              <w:spacing w:before="0"/>
              <w:textAlignment w:val="auto"/>
              <w:rPr>
                <w:sz w:val="16"/>
                <w:szCs w:val="16"/>
                <w:lang w:val="es-ES" w:eastAsia="zh-CN"/>
              </w:rPr>
            </w:pPr>
          </w:p>
        </w:tc>
        <w:tc>
          <w:tcPr>
            <w:tcW w:w="992" w:type="dxa"/>
            <w:tcBorders>
              <w:top w:val="nil"/>
              <w:left w:val="nil"/>
              <w:bottom w:val="nil"/>
              <w:right w:val="nil"/>
            </w:tcBorders>
            <w:shd w:val="clear" w:color="auto" w:fill="auto"/>
            <w:noWrap/>
            <w:vAlign w:val="center"/>
            <w:hideMark/>
          </w:tcPr>
          <w:p w:rsidR="00FA7C73" w:rsidRPr="00454C57" w:rsidRDefault="00FA7C73" w:rsidP="001F3A94">
            <w:pPr>
              <w:overflowPunct/>
              <w:autoSpaceDE/>
              <w:autoSpaceDN/>
              <w:adjustRightInd/>
              <w:spacing w:before="0"/>
              <w:jc w:val="right"/>
              <w:textAlignment w:val="auto"/>
              <w:rPr>
                <w:sz w:val="16"/>
                <w:szCs w:val="16"/>
                <w:lang w:val="es-ES" w:eastAsia="zh-CN"/>
              </w:rPr>
            </w:pPr>
          </w:p>
        </w:tc>
        <w:tc>
          <w:tcPr>
            <w:tcW w:w="851" w:type="dxa"/>
            <w:tcBorders>
              <w:top w:val="nil"/>
              <w:left w:val="nil"/>
              <w:bottom w:val="nil"/>
              <w:right w:val="nil"/>
            </w:tcBorders>
            <w:shd w:val="clear" w:color="auto" w:fill="auto"/>
            <w:noWrap/>
            <w:vAlign w:val="center"/>
            <w:hideMark/>
          </w:tcPr>
          <w:p w:rsidR="00FA7C73" w:rsidRPr="00454C57" w:rsidRDefault="00FA7C73" w:rsidP="001F3A94">
            <w:pPr>
              <w:overflowPunct/>
              <w:autoSpaceDE/>
              <w:autoSpaceDN/>
              <w:adjustRightInd/>
              <w:spacing w:before="0"/>
              <w:jc w:val="right"/>
              <w:textAlignment w:val="auto"/>
              <w:rPr>
                <w:sz w:val="16"/>
                <w:szCs w:val="16"/>
                <w:lang w:val="es-ES" w:eastAsia="zh-CN"/>
              </w:rPr>
            </w:pPr>
          </w:p>
        </w:tc>
        <w:tc>
          <w:tcPr>
            <w:tcW w:w="992" w:type="dxa"/>
            <w:tcBorders>
              <w:top w:val="nil"/>
              <w:left w:val="nil"/>
              <w:bottom w:val="nil"/>
              <w:right w:val="nil"/>
            </w:tcBorders>
            <w:shd w:val="clear" w:color="auto" w:fill="auto"/>
            <w:noWrap/>
            <w:vAlign w:val="center"/>
            <w:hideMark/>
          </w:tcPr>
          <w:p w:rsidR="00FA7C73" w:rsidRPr="00454C57" w:rsidRDefault="00FA7C73" w:rsidP="001F3A94">
            <w:pPr>
              <w:overflowPunct/>
              <w:autoSpaceDE/>
              <w:autoSpaceDN/>
              <w:adjustRightInd/>
              <w:spacing w:before="0"/>
              <w:jc w:val="right"/>
              <w:textAlignment w:val="auto"/>
              <w:rPr>
                <w:sz w:val="16"/>
                <w:szCs w:val="16"/>
                <w:lang w:val="es-ES" w:eastAsia="zh-CN"/>
              </w:rPr>
            </w:pPr>
          </w:p>
        </w:tc>
        <w:tc>
          <w:tcPr>
            <w:tcW w:w="992" w:type="dxa"/>
            <w:tcBorders>
              <w:top w:val="nil"/>
              <w:left w:val="nil"/>
              <w:bottom w:val="nil"/>
              <w:right w:val="nil"/>
            </w:tcBorders>
            <w:shd w:val="clear" w:color="auto" w:fill="auto"/>
            <w:noWrap/>
            <w:vAlign w:val="center"/>
            <w:hideMark/>
          </w:tcPr>
          <w:p w:rsidR="00FA7C73" w:rsidRPr="00454C57" w:rsidRDefault="00FA7C73" w:rsidP="001F3A94">
            <w:pPr>
              <w:overflowPunct/>
              <w:autoSpaceDE/>
              <w:autoSpaceDN/>
              <w:adjustRightInd/>
              <w:spacing w:before="0"/>
              <w:jc w:val="right"/>
              <w:textAlignment w:val="auto"/>
              <w:rPr>
                <w:sz w:val="16"/>
                <w:szCs w:val="16"/>
                <w:lang w:val="es-ES" w:eastAsia="zh-CN"/>
              </w:rPr>
            </w:pPr>
          </w:p>
        </w:tc>
        <w:tc>
          <w:tcPr>
            <w:tcW w:w="992" w:type="dxa"/>
            <w:tcBorders>
              <w:top w:val="nil"/>
              <w:left w:val="nil"/>
              <w:bottom w:val="nil"/>
              <w:right w:val="nil"/>
            </w:tcBorders>
            <w:shd w:val="clear" w:color="auto" w:fill="auto"/>
            <w:noWrap/>
            <w:vAlign w:val="center"/>
            <w:hideMark/>
          </w:tcPr>
          <w:p w:rsidR="00FA7C73" w:rsidRPr="00454C57" w:rsidRDefault="00FA7C73" w:rsidP="001F3A94">
            <w:pPr>
              <w:overflowPunct/>
              <w:autoSpaceDE/>
              <w:autoSpaceDN/>
              <w:adjustRightInd/>
              <w:spacing w:before="0"/>
              <w:jc w:val="right"/>
              <w:textAlignment w:val="auto"/>
              <w:rPr>
                <w:sz w:val="16"/>
                <w:szCs w:val="16"/>
                <w:lang w:val="es-ES" w:eastAsia="zh-CN"/>
              </w:rPr>
            </w:pPr>
          </w:p>
        </w:tc>
      </w:tr>
      <w:tr w:rsidR="00782776" w:rsidRPr="00C53010" w:rsidTr="003045E9">
        <w:trPr>
          <w:trHeight w:val="252"/>
        </w:trPr>
        <w:tc>
          <w:tcPr>
            <w:tcW w:w="988"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lang w:val="es-ES"/>
              </w:rPr>
            </w:pPr>
            <w:r w:rsidRPr="00C53010">
              <w:rPr>
                <w:rFonts w:asciiTheme="majorBidi" w:hAnsiTheme="majorBidi" w:cstheme="majorBidi"/>
                <w:sz w:val="16"/>
                <w:szCs w:val="14"/>
                <w:lang w:val="es-ES"/>
              </w:rPr>
              <w:t>Sección 3.1</w:t>
            </w:r>
          </w:p>
        </w:tc>
        <w:tc>
          <w:tcPr>
            <w:tcW w:w="2840"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lang w:val="es-ES"/>
              </w:rPr>
            </w:pPr>
            <w:r w:rsidRPr="00C53010">
              <w:rPr>
                <w:rFonts w:asciiTheme="majorBidi" w:hAnsiTheme="majorBidi" w:cstheme="majorBidi"/>
                <w:sz w:val="16"/>
                <w:szCs w:val="14"/>
                <w:lang w:val="es-ES"/>
              </w:rPr>
              <w:t>Conferencias Mundiales de Radiocomunicaciones</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2</w:t>
            </w:r>
            <w:r w:rsidR="00454C57">
              <w:rPr>
                <w:sz w:val="16"/>
                <w:szCs w:val="16"/>
                <w:lang w:val="es-ES" w:eastAsia="zh-CN"/>
              </w:rPr>
              <w:t> </w:t>
            </w:r>
            <w:r w:rsidRPr="00454C57">
              <w:rPr>
                <w:sz w:val="16"/>
                <w:szCs w:val="16"/>
                <w:lang w:val="es-ES" w:eastAsia="zh-CN"/>
              </w:rPr>
              <w:t>167</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0</w:t>
            </w:r>
          </w:p>
        </w:tc>
        <w:tc>
          <w:tcPr>
            <w:tcW w:w="851"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rPr>
              <w:t>0</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rPr>
              <w:t>0</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2</w:t>
            </w:r>
            <w:r w:rsidR="00454C57">
              <w:rPr>
                <w:sz w:val="16"/>
                <w:szCs w:val="16"/>
                <w:lang w:val="es-ES"/>
              </w:rPr>
              <w:t> </w:t>
            </w:r>
            <w:r w:rsidRPr="00454C57">
              <w:rPr>
                <w:sz w:val="16"/>
                <w:szCs w:val="16"/>
                <w:lang w:val="es-ES"/>
              </w:rPr>
              <w:t>638</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b/>
                <w:bCs/>
                <w:sz w:val="16"/>
                <w:szCs w:val="16"/>
                <w:lang w:val="es-ES"/>
              </w:rPr>
            </w:pPr>
            <w:r w:rsidRPr="00454C57">
              <w:rPr>
                <w:b/>
                <w:bCs/>
                <w:sz w:val="16"/>
                <w:szCs w:val="16"/>
                <w:lang w:val="es-ES"/>
              </w:rPr>
              <w:t>2</w:t>
            </w:r>
            <w:r w:rsidR="00454C57">
              <w:rPr>
                <w:b/>
                <w:bCs/>
                <w:sz w:val="16"/>
                <w:szCs w:val="16"/>
                <w:lang w:val="es-ES"/>
              </w:rPr>
              <w:t> </w:t>
            </w:r>
            <w:r w:rsidRPr="00454C57">
              <w:rPr>
                <w:b/>
                <w:bCs/>
                <w:sz w:val="16"/>
                <w:szCs w:val="16"/>
                <w:lang w:val="es-ES"/>
              </w:rPr>
              <w:t>638</w:t>
            </w:r>
          </w:p>
        </w:tc>
      </w:tr>
      <w:tr w:rsidR="00782776" w:rsidRPr="00C53010" w:rsidTr="003045E9">
        <w:trPr>
          <w:trHeight w:val="199"/>
        </w:trPr>
        <w:tc>
          <w:tcPr>
            <w:tcW w:w="988"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lang w:val="es-ES"/>
              </w:rPr>
            </w:pPr>
          </w:p>
        </w:tc>
        <w:tc>
          <w:tcPr>
            <w:tcW w:w="2840"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textAlignment w:val="auto"/>
              <w:rPr>
                <w:sz w:val="16"/>
                <w:szCs w:val="16"/>
                <w:lang w:val="es-ES" w:eastAsia="zh-CN"/>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p>
        </w:tc>
        <w:tc>
          <w:tcPr>
            <w:tcW w:w="851"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b/>
                <w:bCs/>
                <w:sz w:val="16"/>
                <w:szCs w:val="16"/>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p>
        </w:tc>
      </w:tr>
      <w:tr w:rsidR="00782776" w:rsidRPr="00C53010" w:rsidTr="003045E9">
        <w:trPr>
          <w:trHeight w:val="252"/>
        </w:trPr>
        <w:tc>
          <w:tcPr>
            <w:tcW w:w="988"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lang w:val="es-ES"/>
              </w:rPr>
            </w:pPr>
            <w:r w:rsidRPr="00C53010">
              <w:rPr>
                <w:rFonts w:asciiTheme="majorBidi" w:hAnsiTheme="majorBidi" w:cstheme="majorBidi"/>
                <w:sz w:val="16"/>
                <w:szCs w:val="14"/>
                <w:lang w:val="es-ES"/>
              </w:rPr>
              <w:t>Sección 3.2</w:t>
            </w:r>
          </w:p>
        </w:tc>
        <w:tc>
          <w:tcPr>
            <w:tcW w:w="2840"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lang w:val="es-ES"/>
              </w:rPr>
            </w:pPr>
            <w:r w:rsidRPr="00C53010">
              <w:rPr>
                <w:rFonts w:asciiTheme="majorBidi" w:hAnsiTheme="majorBidi" w:cstheme="majorBidi"/>
                <w:sz w:val="16"/>
                <w:szCs w:val="14"/>
                <w:lang w:val="es-ES"/>
              </w:rPr>
              <w:t>Asambleas de Radiocomunicaciones</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211</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0</w:t>
            </w:r>
          </w:p>
        </w:tc>
        <w:tc>
          <w:tcPr>
            <w:tcW w:w="851"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0</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0</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335</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b/>
                <w:bCs/>
                <w:sz w:val="16"/>
                <w:szCs w:val="16"/>
                <w:lang w:val="es-ES"/>
              </w:rPr>
            </w:pPr>
            <w:r w:rsidRPr="00454C57">
              <w:rPr>
                <w:b/>
                <w:bCs/>
                <w:sz w:val="16"/>
                <w:szCs w:val="16"/>
                <w:lang w:val="es-ES"/>
              </w:rPr>
              <w:t>335</w:t>
            </w:r>
          </w:p>
        </w:tc>
      </w:tr>
      <w:tr w:rsidR="00782776" w:rsidRPr="00C53010" w:rsidTr="003045E9">
        <w:trPr>
          <w:trHeight w:val="199"/>
        </w:trPr>
        <w:tc>
          <w:tcPr>
            <w:tcW w:w="988"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lang w:val="es-ES"/>
              </w:rPr>
            </w:pPr>
          </w:p>
        </w:tc>
        <w:tc>
          <w:tcPr>
            <w:tcW w:w="2840"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textAlignment w:val="auto"/>
              <w:rPr>
                <w:sz w:val="16"/>
                <w:szCs w:val="16"/>
                <w:lang w:val="es-ES" w:eastAsia="zh-CN"/>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p>
        </w:tc>
        <w:tc>
          <w:tcPr>
            <w:tcW w:w="851"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b/>
                <w:bCs/>
                <w:sz w:val="16"/>
                <w:szCs w:val="16"/>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p>
        </w:tc>
      </w:tr>
      <w:tr w:rsidR="00782776" w:rsidRPr="00C53010" w:rsidTr="003045E9">
        <w:trPr>
          <w:trHeight w:val="252"/>
        </w:trPr>
        <w:tc>
          <w:tcPr>
            <w:tcW w:w="988"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lang w:val="es-ES"/>
              </w:rPr>
            </w:pPr>
            <w:r w:rsidRPr="00C53010">
              <w:rPr>
                <w:rFonts w:asciiTheme="majorBidi" w:hAnsiTheme="majorBidi" w:cstheme="majorBidi"/>
                <w:sz w:val="16"/>
                <w:szCs w:val="14"/>
                <w:lang w:val="es-ES"/>
              </w:rPr>
              <w:t>Sección 4.1</w:t>
            </w:r>
          </w:p>
        </w:tc>
        <w:tc>
          <w:tcPr>
            <w:tcW w:w="2840"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lang w:val="es-ES"/>
              </w:rPr>
            </w:pPr>
            <w:r w:rsidRPr="00C53010">
              <w:rPr>
                <w:rFonts w:asciiTheme="majorBidi" w:hAnsiTheme="majorBidi" w:cstheme="majorBidi"/>
                <w:sz w:val="16"/>
                <w:szCs w:val="14"/>
                <w:lang w:val="es-ES"/>
              </w:rPr>
              <w:t>Conferencias Regionales de Radiocomunicaciones</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0</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0</w:t>
            </w:r>
          </w:p>
        </w:tc>
        <w:tc>
          <w:tcPr>
            <w:tcW w:w="851"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0</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0</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0</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b/>
                <w:bCs/>
                <w:sz w:val="16"/>
                <w:szCs w:val="16"/>
                <w:lang w:val="es-ES"/>
              </w:rPr>
            </w:pPr>
            <w:r w:rsidRPr="00454C57">
              <w:rPr>
                <w:b/>
                <w:bCs/>
                <w:sz w:val="16"/>
                <w:szCs w:val="16"/>
                <w:lang w:val="es-ES"/>
              </w:rPr>
              <w:t>0</w:t>
            </w:r>
          </w:p>
        </w:tc>
      </w:tr>
      <w:tr w:rsidR="00782776" w:rsidRPr="00C53010" w:rsidTr="003045E9">
        <w:trPr>
          <w:trHeight w:val="199"/>
        </w:trPr>
        <w:tc>
          <w:tcPr>
            <w:tcW w:w="988" w:type="dxa"/>
            <w:tcBorders>
              <w:top w:val="nil"/>
              <w:left w:val="nil"/>
              <w:bottom w:val="nil"/>
              <w:right w:val="nil"/>
            </w:tcBorders>
            <w:shd w:val="clear" w:color="auto" w:fill="auto"/>
            <w:noWrap/>
            <w:vAlign w:val="center"/>
            <w:hideMark/>
          </w:tcPr>
          <w:p w:rsidR="00782776" w:rsidRPr="00C53010" w:rsidRDefault="00782776" w:rsidP="00782776">
            <w:pPr>
              <w:rPr>
                <w:rFonts w:asciiTheme="majorBidi" w:hAnsiTheme="majorBidi" w:cstheme="majorBidi"/>
                <w:sz w:val="16"/>
                <w:szCs w:val="14"/>
                <w:lang w:val="es-ES"/>
              </w:rPr>
            </w:pPr>
          </w:p>
        </w:tc>
        <w:tc>
          <w:tcPr>
            <w:tcW w:w="2840" w:type="dxa"/>
            <w:tcBorders>
              <w:top w:val="nil"/>
              <w:left w:val="nil"/>
              <w:bottom w:val="nil"/>
              <w:right w:val="nil"/>
            </w:tcBorders>
            <w:shd w:val="clear" w:color="auto" w:fill="auto"/>
            <w:noWrap/>
            <w:vAlign w:val="center"/>
            <w:hideMark/>
          </w:tcPr>
          <w:p w:rsidR="00782776" w:rsidRPr="00C53010" w:rsidRDefault="00782776" w:rsidP="00782776">
            <w:pPr>
              <w:rPr>
                <w:rFonts w:asciiTheme="majorBidi" w:hAnsiTheme="majorBidi" w:cstheme="majorBidi"/>
                <w:sz w:val="16"/>
                <w:szCs w:val="14"/>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textAlignment w:val="auto"/>
              <w:rPr>
                <w:sz w:val="16"/>
                <w:szCs w:val="16"/>
                <w:lang w:val="es-ES" w:eastAsia="zh-CN"/>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p>
        </w:tc>
        <w:tc>
          <w:tcPr>
            <w:tcW w:w="851"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b/>
                <w:bCs/>
                <w:sz w:val="16"/>
                <w:szCs w:val="16"/>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p>
        </w:tc>
      </w:tr>
      <w:tr w:rsidR="00782776" w:rsidRPr="00C53010" w:rsidTr="003045E9">
        <w:trPr>
          <w:trHeight w:val="252"/>
        </w:trPr>
        <w:tc>
          <w:tcPr>
            <w:tcW w:w="988"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lang w:val="es-ES"/>
              </w:rPr>
            </w:pPr>
            <w:r w:rsidRPr="00C53010">
              <w:rPr>
                <w:rFonts w:asciiTheme="majorBidi" w:hAnsiTheme="majorBidi" w:cstheme="majorBidi"/>
                <w:sz w:val="16"/>
                <w:szCs w:val="14"/>
                <w:lang w:val="es-ES"/>
              </w:rPr>
              <w:t>Sección 5.1</w:t>
            </w:r>
          </w:p>
        </w:tc>
        <w:tc>
          <w:tcPr>
            <w:tcW w:w="2840"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lang w:val="es-ES"/>
              </w:rPr>
            </w:pPr>
            <w:r w:rsidRPr="00C53010">
              <w:rPr>
                <w:rFonts w:asciiTheme="majorBidi" w:hAnsiTheme="majorBidi" w:cstheme="majorBidi"/>
                <w:sz w:val="16"/>
                <w:szCs w:val="14"/>
                <w:lang w:val="es-ES"/>
              </w:rPr>
              <w:t>Junta del Reglamento de Radiocomunicaciones</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904</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1</w:t>
            </w:r>
            <w:r w:rsidR="00454C57">
              <w:rPr>
                <w:sz w:val="16"/>
                <w:szCs w:val="16"/>
                <w:lang w:val="es-ES" w:eastAsia="zh-CN"/>
              </w:rPr>
              <w:t> </w:t>
            </w:r>
            <w:r w:rsidRPr="00454C57">
              <w:rPr>
                <w:sz w:val="16"/>
                <w:szCs w:val="16"/>
                <w:lang w:val="es-ES" w:eastAsia="zh-CN"/>
              </w:rPr>
              <w:t>410</w:t>
            </w:r>
          </w:p>
        </w:tc>
        <w:tc>
          <w:tcPr>
            <w:tcW w:w="851"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373</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406</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405</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b/>
                <w:bCs/>
                <w:sz w:val="16"/>
                <w:szCs w:val="16"/>
                <w:lang w:val="es-ES"/>
              </w:rPr>
            </w:pPr>
            <w:r w:rsidRPr="00454C57">
              <w:rPr>
                <w:b/>
                <w:bCs/>
                <w:sz w:val="16"/>
                <w:szCs w:val="16"/>
                <w:lang w:val="es-ES"/>
              </w:rPr>
              <w:t>811</w:t>
            </w:r>
          </w:p>
        </w:tc>
      </w:tr>
      <w:tr w:rsidR="00782776" w:rsidRPr="00C53010" w:rsidTr="003045E9">
        <w:trPr>
          <w:trHeight w:val="199"/>
        </w:trPr>
        <w:tc>
          <w:tcPr>
            <w:tcW w:w="988"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lang w:val="es-ES"/>
              </w:rPr>
            </w:pPr>
          </w:p>
        </w:tc>
        <w:tc>
          <w:tcPr>
            <w:tcW w:w="2840"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textAlignment w:val="auto"/>
              <w:rPr>
                <w:sz w:val="16"/>
                <w:szCs w:val="16"/>
                <w:lang w:val="es-ES" w:eastAsia="zh-CN"/>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p>
        </w:tc>
        <w:tc>
          <w:tcPr>
            <w:tcW w:w="851"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b/>
                <w:bCs/>
                <w:sz w:val="16"/>
                <w:szCs w:val="16"/>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p>
        </w:tc>
      </w:tr>
      <w:tr w:rsidR="00782776" w:rsidRPr="00C53010" w:rsidTr="003045E9">
        <w:trPr>
          <w:trHeight w:val="252"/>
        </w:trPr>
        <w:tc>
          <w:tcPr>
            <w:tcW w:w="988"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lang w:val="es-ES"/>
              </w:rPr>
            </w:pPr>
            <w:r w:rsidRPr="00C53010">
              <w:rPr>
                <w:rFonts w:asciiTheme="majorBidi" w:hAnsiTheme="majorBidi" w:cstheme="majorBidi"/>
                <w:sz w:val="16"/>
                <w:szCs w:val="14"/>
                <w:lang w:val="es-ES"/>
              </w:rPr>
              <w:t>Sección 5.2</w:t>
            </w:r>
          </w:p>
        </w:tc>
        <w:tc>
          <w:tcPr>
            <w:tcW w:w="2840"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lang w:val="es-ES"/>
              </w:rPr>
            </w:pPr>
            <w:r w:rsidRPr="00C53010">
              <w:rPr>
                <w:rFonts w:asciiTheme="majorBidi" w:hAnsiTheme="majorBidi" w:cstheme="majorBidi"/>
                <w:sz w:val="16"/>
                <w:szCs w:val="14"/>
                <w:lang w:val="es-ES"/>
              </w:rPr>
              <w:t>Grupo Asesor de Radiocomunicaciones</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85</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149</w:t>
            </w:r>
          </w:p>
        </w:tc>
        <w:tc>
          <w:tcPr>
            <w:tcW w:w="851"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36</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53</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53</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b/>
                <w:bCs/>
                <w:sz w:val="16"/>
                <w:szCs w:val="16"/>
                <w:lang w:val="es-ES"/>
              </w:rPr>
            </w:pPr>
            <w:r w:rsidRPr="00454C57">
              <w:rPr>
                <w:b/>
                <w:bCs/>
                <w:sz w:val="16"/>
                <w:szCs w:val="16"/>
                <w:lang w:val="es-ES"/>
              </w:rPr>
              <w:t>106</w:t>
            </w:r>
          </w:p>
        </w:tc>
      </w:tr>
      <w:tr w:rsidR="00782776" w:rsidRPr="00C53010" w:rsidTr="003045E9">
        <w:trPr>
          <w:trHeight w:val="199"/>
        </w:trPr>
        <w:tc>
          <w:tcPr>
            <w:tcW w:w="988" w:type="dxa"/>
            <w:tcBorders>
              <w:top w:val="nil"/>
              <w:left w:val="nil"/>
              <w:bottom w:val="nil"/>
              <w:right w:val="nil"/>
            </w:tcBorders>
            <w:shd w:val="clear" w:color="auto" w:fill="auto"/>
            <w:noWrap/>
            <w:vAlign w:val="center"/>
            <w:hideMark/>
          </w:tcPr>
          <w:p w:rsidR="00782776" w:rsidRPr="00C53010" w:rsidRDefault="00782776" w:rsidP="00782776">
            <w:pPr>
              <w:rPr>
                <w:sz w:val="16"/>
                <w:szCs w:val="14"/>
                <w:lang w:val="es-ES"/>
              </w:rPr>
            </w:pPr>
          </w:p>
        </w:tc>
        <w:tc>
          <w:tcPr>
            <w:tcW w:w="2840" w:type="dxa"/>
            <w:tcBorders>
              <w:top w:val="nil"/>
              <w:left w:val="nil"/>
              <w:bottom w:val="nil"/>
              <w:right w:val="nil"/>
            </w:tcBorders>
            <w:shd w:val="clear" w:color="auto" w:fill="auto"/>
            <w:noWrap/>
            <w:vAlign w:val="center"/>
            <w:hideMark/>
          </w:tcPr>
          <w:p w:rsidR="00782776" w:rsidRPr="00C53010" w:rsidRDefault="00782776" w:rsidP="00782776">
            <w:pPr>
              <w:rPr>
                <w:sz w:val="16"/>
                <w:szCs w:val="14"/>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textAlignment w:val="auto"/>
              <w:rPr>
                <w:sz w:val="16"/>
                <w:szCs w:val="16"/>
                <w:lang w:val="es-ES" w:eastAsia="zh-CN"/>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p>
        </w:tc>
        <w:tc>
          <w:tcPr>
            <w:tcW w:w="851"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b/>
                <w:bCs/>
                <w:sz w:val="16"/>
                <w:szCs w:val="16"/>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p>
        </w:tc>
      </w:tr>
      <w:tr w:rsidR="00782776" w:rsidRPr="00C53010" w:rsidTr="003045E9">
        <w:trPr>
          <w:trHeight w:val="252"/>
        </w:trPr>
        <w:tc>
          <w:tcPr>
            <w:tcW w:w="988"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val="es-ES"/>
              </w:rPr>
            </w:pPr>
            <w:r w:rsidRPr="00C53010">
              <w:rPr>
                <w:sz w:val="16"/>
                <w:szCs w:val="14"/>
                <w:lang w:val="es-ES"/>
              </w:rPr>
              <w:t>Sección 6</w:t>
            </w:r>
          </w:p>
        </w:tc>
        <w:tc>
          <w:tcPr>
            <w:tcW w:w="2840"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val="es-ES"/>
              </w:rPr>
            </w:pPr>
            <w:r w:rsidRPr="00C53010">
              <w:rPr>
                <w:sz w:val="16"/>
                <w:szCs w:val="14"/>
                <w:lang w:val="es-ES"/>
              </w:rPr>
              <w:t>Comisiones de Estudio</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1</w:t>
            </w:r>
            <w:r w:rsidR="00454C57">
              <w:rPr>
                <w:sz w:val="16"/>
                <w:szCs w:val="16"/>
                <w:lang w:val="es-ES" w:eastAsia="zh-CN"/>
              </w:rPr>
              <w:t> </w:t>
            </w:r>
            <w:r w:rsidRPr="00454C57">
              <w:rPr>
                <w:sz w:val="16"/>
                <w:szCs w:val="16"/>
                <w:lang w:val="es-ES" w:eastAsia="zh-CN"/>
              </w:rPr>
              <w:t>114</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1</w:t>
            </w:r>
            <w:r w:rsidR="00454C57">
              <w:rPr>
                <w:sz w:val="16"/>
                <w:szCs w:val="16"/>
                <w:lang w:val="es-ES" w:eastAsia="zh-CN"/>
              </w:rPr>
              <w:t> </w:t>
            </w:r>
            <w:r w:rsidRPr="00454C57">
              <w:rPr>
                <w:sz w:val="16"/>
                <w:szCs w:val="16"/>
                <w:lang w:val="es-ES" w:eastAsia="zh-CN"/>
              </w:rPr>
              <w:t>470</w:t>
            </w:r>
          </w:p>
        </w:tc>
        <w:tc>
          <w:tcPr>
            <w:tcW w:w="851"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164</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585</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892</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b/>
                <w:bCs/>
                <w:sz w:val="16"/>
                <w:szCs w:val="16"/>
                <w:lang w:val="es-ES"/>
              </w:rPr>
            </w:pPr>
            <w:r w:rsidRPr="00454C57">
              <w:rPr>
                <w:b/>
                <w:bCs/>
                <w:sz w:val="16"/>
                <w:szCs w:val="16"/>
                <w:lang w:val="es-ES"/>
              </w:rPr>
              <w:t>1</w:t>
            </w:r>
            <w:r w:rsidR="00454C57">
              <w:rPr>
                <w:b/>
                <w:bCs/>
                <w:sz w:val="16"/>
                <w:szCs w:val="16"/>
                <w:lang w:val="es-ES"/>
              </w:rPr>
              <w:t> </w:t>
            </w:r>
            <w:r w:rsidRPr="00454C57">
              <w:rPr>
                <w:b/>
                <w:bCs/>
                <w:sz w:val="16"/>
                <w:szCs w:val="16"/>
                <w:lang w:val="es-ES"/>
              </w:rPr>
              <w:t>477</w:t>
            </w:r>
          </w:p>
        </w:tc>
      </w:tr>
      <w:tr w:rsidR="00782776" w:rsidRPr="00C53010" w:rsidTr="003045E9">
        <w:trPr>
          <w:trHeight w:val="199"/>
        </w:trPr>
        <w:tc>
          <w:tcPr>
            <w:tcW w:w="988"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val="es-ES"/>
              </w:rPr>
            </w:pPr>
          </w:p>
        </w:tc>
        <w:tc>
          <w:tcPr>
            <w:tcW w:w="2840"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textAlignment w:val="auto"/>
              <w:rPr>
                <w:sz w:val="16"/>
                <w:szCs w:val="16"/>
                <w:lang w:val="es-ES" w:eastAsia="zh-CN"/>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p>
        </w:tc>
        <w:tc>
          <w:tcPr>
            <w:tcW w:w="851"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b/>
                <w:bCs/>
                <w:sz w:val="16"/>
                <w:szCs w:val="16"/>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p>
        </w:tc>
      </w:tr>
      <w:tr w:rsidR="00782776" w:rsidRPr="00C53010" w:rsidTr="003045E9">
        <w:trPr>
          <w:trHeight w:val="252"/>
        </w:trPr>
        <w:tc>
          <w:tcPr>
            <w:tcW w:w="988"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val="es-ES"/>
              </w:rPr>
            </w:pPr>
            <w:r w:rsidRPr="00C53010">
              <w:rPr>
                <w:sz w:val="16"/>
                <w:szCs w:val="14"/>
                <w:lang w:val="es-ES"/>
              </w:rPr>
              <w:t>Sección 7</w:t>
            </w:r>
          </w:p>
        </w:tc>
        <w:tc>
          <w:tcPr>
            <w:tcW w:w="2840"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val="es-ES"/>
              </w:rPr>
            </w:pPr>
            <w:r w:rsidRPr="00C53010">
              <w:rPr>
                <w:sz w:val="16"/>
                <w:szCs w:val="14"/>
                <w:lang w:val="es-ES"/>
              </w:rPr>
              <w:t>Actividades y programas</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514</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1</w:t>
            </w:r>
            <w:r w:rsidR="00454C57">
              <w:rPr>
                <w:sz w:val="16"/>
                <w:szCs w:val="16"/>
                <w:lang w:val="es-ES" w:eastAsia="zh-CN"/>
              </w:rPr>
              <w:t> </w:t>
            </w:r>
            <w:r w:rsidRPr="00454C57">
              <w:rPr>
                <w:sz w:val="16"/>
                <w:szCs w:val="16"/>
                <w:lang w:val="es-ES" w:eastAsia="zh-CN"/>
              </w:rPr>
              <w:t>200</w:t>
            </w:r>
          </w:p>
        </w:tc>
        <w:tc>
          <w:tcPr>
            <w:tcW w:w="851"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300</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595</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605</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b/>
                <w:bCs/>
                <w:sz w:val="16"/>
                <w:szCs w:val="16"/>
                <w:lang w:val="es-ES"/>
              </w:rPr>
            </w:pPr>
            <w:r w:rsidRPr="00454C57">
              <w:rPr>
                <w:b/>
                <w:bCs/>
                <w:sz w:val="16"/>
                <w:szCs w:val="16"/>
                <w:lang w:val="es-ES"/>
              </w:rPr>
              <w:t>1</w:t>
            </w:r>
            <w:r w:rsidR="00454C57">
              <w:rPr>
                <w:b/>
                <w:bCs/>
                <w:sz w:val="16"/>
                <w:szCs w:val="16"/>
                <w:lang w:val="es-ES"/>
              </w:rPr>
              <w:t> </w:t>
            </w:r>
            <w:r w:rsidRPr="00454C57">
              <w:rPr>
                <w:b/>
                <w:bCs/>
                <w:sz w:val="16"/>
                <w:szCs w:val="16"/>
                <w:lang w:val="es-ES"/>
              </w:rPr>
              <w:t>200</w:t>
            </w:r>
          </w:p>
        </w:tc>
      </w:tr>
      <w:tr w:rsidR="00782776" w:rsidRPr="00C53010" w:rsidTr="003045E9">
        <w:trPr>
          <w:trHeight w:val="199"/>
        </w:trPr>
        <w:tc>
          <w:tcPr>
            <w:tcW w:w="988"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val="es-ES"/>
              </w:rPr>
            </w:pPr>
          </w:p>
        </w:tc>
        <w:tc>
          <w:tcPr>
            <w:tcW w:w="2840"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textAlignment w:val="auto"/>
              <w:rPr>
                <w:sz w:val="16"/>
                <w:szCs w:val="16"/>
                <w:lang w:val="es-ES" w:eastAsia="zh-CN"/>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p>
        </w:tc>
        <w:tc>
          <w:tcPr>
            <w:tcW w:w="851"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b/>
                <w:bCs/>
                <w:sz w:val="16"/>
                <w:szCs w:val="16"/>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p>
        </w:tc>
      </w:tr>
      <w:tr w:rsidR="00782776" w:rsidRPr="00C53010" w:rsidTr="003045E9">
        <w:trPr>
          <w:trHeight w:val="252"/>
        </w:trPr>
        <w:tc>
          <w:tcPr>
            <w:tcW w:w="988"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val="es-ES"/>
              </w:rPr>
            </w:pPr>
            <w:r w:rsidRPr="00C53010">
              <w:rPr>
                <w:sz w:val="16"/>
                <w:szCs w:val="14"/>
                <w:lang w:val="es-ES"/>
              </w:rPr>
              <w:t>Sección 8</w:t>
            </w:r>
          </w:p>
        </w:tc>
        <w:tc>
          <w:tcPr>
            <w:tcW w:w="2840"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val="es-ES"/>
              </w:rPr>
            </w:pPr>
            <w:r w:rsidRPr="00C53010">
              <w:rPr>
                <w:sz w:val="16"/>
                <w:szCs w:val="14"/>
                <w:lang w:val="es-ES"/>
              </w:rPr>
              <w:t>Seminarios</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278</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876</w:t>
            </w:r>
          </w:p>
        </w:tc>
        <w:tc>
          <w:tcPr>
            <w:tcW w:w="851"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263</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390</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390</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b/>
                <w:bCs/>
                <w:sz w:val="16"/>
                <w:szCs w:val="16"/>
                <w:lang w:val="es-ES"/>
              </w:rPr>
            </w:pPr>
            <w:r w:rsidRPr="00454C57">
              <w:rPr>
                <w:b/>
                <w:bCs/>
                <w:sz w:val="16"/>
                <w:szCs w:val="16"/>
                <w:lang w:val="es-ES"/>
              </w:rPr>
              <w:t>780</w:t>
            </w:r>
          </w:p>
        </w:tc>
      </w:tr>
      <w:tr w:rsidR="00782776" w:rsidRPr="00C53010" w:rsidTr="003045E9">
        <w:trPr>
          <w:trHeight w:val="199"/>
        </w:trPr>
        <w:tc>
          <w:tcPr>
            <w:tcW w:w="988"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val="es-ES"/>
              </w:rPr>
            </w:pPr>
          </w:p>
        </w:tc>
        <w:tc>
          <w:tcPr>
            <w:tcW w:w="2840"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textAlignment w:val="auto"/>
              <w:rPr>
                <w:sz w:val="16"/>
                <w:szCs w:val="16"/>
                <w:lang w:val="es-ES" w:eastAsia="zh-CN"/>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p>
        </w:tc>
        <w:tc>
          <w:tcPr>
            <w:tcW w:w="851"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b/>
                <w:bCs/>
                <w:sz w:val="16"/>
                <w:szCs w:val="16"/>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p>
        </w:tc>
      </w:tr>
      <w:tr w:rsidR="00782776" w:rsidRPr="00C53010" w:rsidTr="003045E9">
        <w:trPr>
          <w:trHeight w:val="252"/>
        </w:trPr>
        <w:tc>
          <w:tcPr>
            <w:tcW w:w="988" w:type="dxa"/>
            <w:tcBorders>
              <w:top w:val="nil"/>
              <w:left w:val="nil"/>
              <w:bottom w:val="nil"/>
              <w:right w:val="nil"/>
            </w:tcBorders>
            <w:shd w:val="clear" w:color="auto" w:fill="auto"/>
            <w:noWrap/>
            <w:vAlign w:val="center"/>
            <w:hideMark/>
          </w:tcPr>
          <w:p w:rsidR="00782776" w:rsidRPr="00C53010" w:rsidRDefault="00782776" w:rsidP="00782776">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val="es-ES"/>
              </w:rPr>
            </w:pPr>
            <w:r w:rsidRPr="00C53010">
              <w:rPr>
                <w:sz w:val="16"/>
                <w:szCs w:val="14"/>
                <w:lang w:val="es-ES"/>
              </w:rPr>
              <w:t>Sección 9</w:t>
            </w:r>
          </w:p>
        </w:tc>
        <w:tc>
          <w:tcPr>
            <w:tcW w:w="2840"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val="es-ES"/>
              </w:rPr>
            </w:pPr>
            <w:r w:rsidRPr="00C53010">
              <w:rPr>
                <w:sz w:val="16"/>
                <w:szCs w:val="14"/>
                <w:lang w:val="es-ES"/>
              </w:rPr>
              <w:t>Oficina</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50</w:t>
            </w:r>
            <w:r w:rsidR="00454C57">
              <w:rPr>
                <w:sz w:val="16"/>
                <w:szCs w:val="16"/>
                <w:lang w:val="es-ES" w:eastAsia="zh-CN"/>
              </w:rPr>
              <w:t> </w:t>
            </w:r>
            <w:r w:rsidRPr="00454C57">
              <w:rPr>
                <w:sz w:val="16"/>
                <w:szCs w:val="16"/>
                <w:lang w:val="es-ES" w:eastAsia="zh-CN"/>
              </w:rPr>
              <w:t>627</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52</w:t>
            </w:r>
            <w:r w:rsidR="00454C57">
              <w:rPr>
                <w:sz w:val="16"/>
                <w:szCs w:val="16"/>
                <w:lang w:val="es-ES" w:eastAsia="zh-CN"/>
              </w:rPr>
              <w:t> </w:t>
            </w:r>
            <w:r w:rsidRPr="00454C57">
              <w:rPr>
                <w:sz w:val="16"/>
                <w:szCs w:val="16"/>
                <w:lang w:val="es-ES" w:eastAsia="zh-CN"/>
              </w:rPr>
              <w:t>396</w:t>
            </w:r>
          </w:p>
        </w:tc>
        <w:tc>
          <w:tcPr>
            <w:tcW w:w="851"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25</w:t>
            </w:r>
            <w:r w:rsidR="00454C57">
              <w:rPr>
                <w:sz w:val="16"/>
                <w:szCs w:val="16"/>
                <w:lang w:val="es-ES"/>
              </w:rPr>
              <w:t> </w:t>
            </w:r>
            <w:r w:rsidRPr="00454C57">
              <w:rPr>
                <w:sz w:val="16"/>
                <w:szCs w:val="16"/>
                <w:lang w:val="es-ES"/>
              </w:rPr>
              <w:t>393</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25</w:t>
            </w:r>
            <w:r w:rsidR="00454C57">
              <w:rPr>
                <w:sz w:val="16"/>
                <w:szCs w:val="16"/>
                <w:lang w:val="es-ES"/>
              </w:rPr>
              <w:t> </w:t>
            </w:r>
            <w:r w:rsidRPr="00454C57">
              <w:rPr>
                <w:sz w:val="16"/>
                <w:szCs w:val="16"/>
                <w:lang w:val="es-ES"/>
              </w:rPr>
              <w:t>959</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26</w:t>
            </w:r>
            <w:r w:rsidR="00454C57">
              <w:rPr>
                <w:sz w:val="16"/>
                <w:szCs w:val="16"/>
                <w:lang w:val="es-ES"/>
              </w:rPr>
              <w:t> </w:t>
            </w:r>
            <w:r w:rsidRPr="00454C57">
              <w:rPr>
                <w:sz w:val="16"/>
                <w:szCs w:val="16"/>
                <w:lang w:val="es-ES"/>
              </w:rPr>
              <w:t>280</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b/>
                <w:bCs/>
                <w:sz w:val="16"/>
                <w:szCs w:val="16"/>
                <w:lang w:val="es-ES"/>
              </w:rPr>
            </w:pPr>
            <w:r w:rsidRPr="00454C57">
              <w:rPr>
                <w:b/>
                <w:bCs/>
                <w:sz w:val="16"/>
                <w:szCs w:val="16"/>
                <w:lang w:val="es-ES"/>
              </w:rPr>
              <w:t>52</w:t>
            </w:r>
            <w:r w:rsidR="00454C57">
              <w:rPr>
                <w:b/>
                <w:bCs/>
                <w:sz w:val="16"/>
                <w:szCs w:val="16"/>
                <w:lang w:val="es-ES"/>
              </w:rPr>
              <w:t> </w:t>
            </w:r>
            <w:r w:rsidRPr="00454C57">
              <w:rPr>
                <w:b/>
                <w:bCs/>
                <w:sz w:val="16"/>
                <w:szCs w:val="16"/>
                <w:lang w:val="es-ES"/>
              </w:rPr>
              <w:t>239</w:t>
            </w:r>
          </w:p>
        </w:tc>
      </w:tr>
      <w:tr w:rsidR="00782776" w:rsidRPr="00C53010" w:rsidTr="003045E9">
        <w:trPr>
          <w:trHeight w:val="252"/>
        </w:trPr>
        <w:tc>
          <w:tcPr>
            <w:tcW w:w="988" w:type="dxa"/>
            <w:tcBorders>
              <w:top w:val="nil"/>
              <w:left w:val="nil"/>
              <w:bottom w:val="nil"/>
              <w:right w:val="nil"/>
            </w:tcBorders>
            <w:shd w:val="clear" w:color="auto" w:fill="auto"/>
            <w:noWrap/>
            <w:vAlign w:val="center"/>
            <w:hideMark/>
          </w:tcPr>
          <w:p w:rsidR="00782776" w:rsidRPr="00C53010" w:rsidRDefault="00782776" w:rsidP="00782776">
            <w:pPr>
              <w:rPr>
                <w:sz w:val="16"/>
                <w:szCs w:val="14"/>
                <w:lang w:val="es-ES"/>
              </w:rPr>
            </w:pPr>
          </w:p>
        </w:tc>
        <w:tc>
          <w:tcPr>
            <w:tcW w:w="2840"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val="es-ES"/>
              </w:rPr>
            </w:pPr>
            <w:r w:rsidRPr="00C53010">
              <w:rPr>
                <w:sz w:val="16"/>
                <w:szCs w:val="14"/>
                <w:lang w:val="es-ES"/>
              </w:rPr>
              <w:t>-</w:t>
            </w:r>
            <w:r w:rsidRPr="00C53010">
              <w:rPr>
                <w:sz w:val="16"/>
                <w:szCs w:val="14"/>
                <w:lang w:val="es-ES"/>
              </w:rPr>
              <w:tab/>
              <w:t>Gastos comunes</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1</w:t>
            </w:r>
            <w:r w:rsidR="00454C57">
              <w:rPr>
                <w:sz w:val="16"/>
                <w:szCs w:val="16"/>
                <w:lang w:val="es-ES" w:eastAsia="zh-CN"/>
              </w:rPr>
              <w:t> </w:t>
            </w:r>
            <w:r w:rsidRPr="00454C57">
              <w:rPr>
                <w:sz w:val="16"/>
                <w:szCs w:val="16"/>
                <w:lang w:val="es-ES" w:eastAsia="zh-CN"/>
              </w:rPr>
              <w:t>227</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1</w:t>
            </w:r>
            <w:r w:rsidR="00454C57">
              <w:rPr>
                <w:sz w:val="16"/>
                <w:szCs w:val="16"/>
                <w:lang w:val="es-ES" w:eastAsia="zh-CN"/>
              </w:rPr>
              <w:t> </w:t>
            </w:r>
            <w:r w:rsidRPr="00454C57">
              <w:rPr>
                <w:sz w:val="16"/>
                <w:szCs w:val="16"/>
                <w:lang w:val="es-ES" w:eastAsia="zh-CN"/>
              </w:rPr>
              <w:t>792</w:t>
            </w:r>
          </w:p>
        </w:tc>
        <w:tc>
          <w:tcPr>
            <w:tcW w:w="851"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201</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1</w:t>
            </w:r>
            <w:r w:rsidR="00454C57">
              <w:rPr>
                <w:sz w:val="16"/>
                <w:szCs w:val="16"/>
                <w:lang w:val="es-ES"/>
              </w:rPr>
              <w:t> </w:t>
            </w:r>
            <w:r w:rsidRPr="00454C57">
              <w:rPr>
                <w:sz w:val="16"/>
                <w:szCs w:val="16"/>
                <w:lang w:val="es-ES"/>
              </w:rPr>
              <w:t>035</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1</w:t>
            </w:r>
            <w:r w:rsidR="00454C57">
              <w:rPr>
                <w:sz w:val="16"/>
                <w:szCs w:val="16"/>
                <w:lang w:val="es-ES"/>
              </w:rPr>
              <w:t> </w:t>
            </w:r>
            <w:r w:rsidRPr="00454C57">
              <w:rPr>
                <w:sz w:val="16"/>
                <w:szCs w:val="16"/>
                <w:lang w:val="es-ES"/>
              </w:rPr>
              <w:t>035</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b/>
                <w:bCs/>
                <w:sz w:val="16"/>
                <w:szCs w:val="16"/>
                <w:lang w:val="es-ES"/>
              </w:rPr>
            </w:pPr>
            <w:r w:rsidRPr="00454C57">
              <w:rPr>
                <w:b/>
                <w:bCs/>
                <w:sz w:val="16"/>
                <w:szCs w:val="16"/>
                <w:lang w:val="es-ES"/>
              </w:rPr>
              <w:t>2</w:t>
            </w:r>
            <w:r w:rsidR="00454C57">
              <w:rPr>
                <w:b/>
                <w:bCs/>
                <w:sz w:val="16"/>
                <w:szCs w:val="16"/>
                <w:lang w:val="es-ES"/>
              </w:rPr>
              <w:t> </w:t>
            </w:r>
            <w:r w:rsidRPr="00454C57">
              <w:rPr>
                <w:b/>
                <w:bCs/>
                <w:sz w:val="16"/>
                <w:szCs w:val="16"/>
                <w:lang w:val="es-ES"/>
              </w:rPr>
              <w:t>070</w:t>
            </w:r>
          </w:p>
        </w:tc>
      </w:tr>
      <w:tr w:rsidR="00782776" w:rsidRPr="00C53010" w:rsidTr="003045E9">
        <w:trPr>
          <w:trHeight w:val="252"/>
        </w:trPr>
        <w:tc>
          <w:tcPr>
            <w:tcW w:w="988" w:type="dxa"/>
            <w:tcBorders>
              <w:top w:val="nil"/>
              <w:left w:val="nil"/>
              <w:bottom w:val="nil"/>
              <w:right w:val="nil"/>
            </w:tcBorders>
            <w:shd w:val="clear" w:color="auto" w:fill="auto"/>
            <w:noWrap/>
            <w:vAlign w:val="center"/>
            <w:hideMark/>
          </w:tcPr>
          <w:p w:rsidR="00782776" w:rsidRPr="00C53010" w:rsidRDefault="00782776" w:rsidP="00782776">
            <w:pPr>
              <w:rPr>
                <w:b/>
                <w:bCs/>
                <w:sz w:val="20"/>
                <w:lang w:val="es-ES"/>
              </w:rPr>
            </w:pPr>
          </w:p>
        </w:tc>
        <w:tc>
          <w:tcPr>
            <w:tcW w:w="2840"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val="es-ES"/>
              </w:rPr>
            </w:pPr>
            <w:r w:rsidRPr="00C53010">
              <w:rPr>
                <w:sz w:val="16"/>
                <w:szCs w:val="14"/>
                <w:lang w:val="es-ES"/>
              </w:rPr>
              <w:t>-</w:t>
            </w:r>
            <w:r w:rsidRPr="00C53010">
              <w:rPr>
                <w:sz w:val="16"/>
                <w:szCs w:val="14"/>
                <w:lang w:val="es-ES"/>
              </w:rPr>
              <w:tab/>
              <w:t>Oficina del Director</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1</w:t>
            </w:r>
            <w:r w:rsidR="00454C57">
              <w:rPr>
                <w:sz w:val="16"/>
                <w:szCs w:val="16"/>
                <w:lang w:val="es-ES" w:eastAsia="zh-CN"/>
              </w:rPr>
              <w:t> </w:t>
            </w:r>
            <w:r w:rsidRPr="00454C57">
              <w:rPr>
                <w:sz w:val="16"/>
                <w:szCs w:val="16"/>
                <w:lang w:val="es-ES" w:eastAsia="zh-CN"/>
              </w:rPr>
              <w:t>292</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1</w:t>
            </w:r>
            <w:r w:rsidR="00454C57">
              <w:rPr>
                <w:sz w:val="16"/>
                <w:szCs w:val="16"/>
                <w:lang w:val="es-ES" w:eastAsia="zh-CN"/>
              </w:rPr>
              <w:t> </w:t>
            </w:r>
            <w:r w:rsidRPr="00454C57">
              <w:rPr>
                <w:sz w:val="16"/>
                <w:szCs w:val="16"/>
                <w:lang w:val="es-ES" w:eastAsia="zh-CN"/>
              </w:rPr>
              <w:t>309</w:t>
            </w:r>
          </w:p>
        </w:tc>
        <w:tc>
          <w:tcPr>
            <w:tcW w:w="851"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721</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773</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776</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b/>
                <w:bCs/>
                <w:sz w:val="16"/>
                <w:szCs w:val="16"/>
                <w:lang w:val="es-ES"/>
              </w:rPr>
            </w:pPr>
            <w:r w:rsidRPr="00454C57">
              <w:rPr>
                <w:b/>
                <w:bCs/>
                <w:sz w:val="16"/>
                <w:szCs w:val="16"/>
                <w:lang w:val="es-ES"/>
              </w:rPr>
              <w:t>1</w:t>
            </w:r>
            <w:r w:rsidR="00454C57">
              <w:rPr>
                <w:b/>
                <w:bCs/>
                <w:sz w:val="16"/>
                <w:szCs w:val="16"/>
                <w:lang w:val="es-ES"/>
              </w:rPr>
              <w:t> </w:t>
            </w:r>
            <w:r w:rsidRPr="00454C57">
              <w:rPr>
                <w:b/>
                <w:bCs/>
                <w:sz w:val="16"/>
                <w:szCs w:val="16"/>
                <w:lang w:val="es-ES"/>
              </w:rPr>
              <w:t>549</w:t>
            </w:r>
          </w:p>
        </w:tc>
      </w:tr>
      <w:tr w:rsidR="00782776" w:rsidRPr="00C53010" w:rsidTr="003045E9">
        <w:trPr>
          <w:trHeight w:val="252"/>
        </w:trPr>
        <w:tc>
          <w:tcPr>
            <w:tcW w:w="988" w:type="dxa"/>
            <w:tcBorders>
              <w:top w:val="nil"/>
              <w:left w:val="nil"/>
              <w:bottom w:val="nil"/>
              <w:right w:val="nil"/>
            </w:tcBorders>
            <w:shd w:val="clear" w:color="auto" w:fill="auto"/>
            <w:noWrap/>
            <w:vAlign w:val="center"/>
            <w:hideMark/>
          </w:tcPr>
          <w:p w:rsidR="00782776" w:rsidRPr="00C53010" w:rsidRDefault="00782776" w:rsidP="00782776">
            <w:pPr>
              <w:rPr>
                <w:b/>
                <w:bCs/>
                <w:sz w:val="20"/>
                <w:lang w:val="es-ES"/>
              </w:rPr>
            </w:pPr>
          </w:p>
        </w:tc>
        <w:tc>
          <w:tcPr>
            <w:tcW w:w="2840"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 w:val="16"/>
                <w:szCs w:val="14"/>
                <w:lang w:val="es-ES"/>
              </w:rPr>
            </w:pPr>
            <w:r w:rsidRPr="00C53010">
              <w:rPr>
                <w:sz w:val="16"/>
                <w:szCs w:val="14"/>
                <w:lang w:val="es-ES"/>
              </w:rPr>
              <w:t>-</w:t>
            </w:r>
            <w:r w:rsidRPr="00C53010">
              <w:rPr>
                <w:sz w:val="16"/>
                <w:szCs w:val="14"/>
                <w:lang w:val="es-ES"/>
              </w:rPr>
              <w:tab/>
              <w:t>Departamento de Comisiones de Estudio</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5</w:t>
            </w:r>
            <w:r w:rsidR="00454C57">
              <w:rPr>
                <w:sz w:val="16"/>
                <w:szCs w:val="16"/>
                <w:lang w:val="es-ES" w:eastAsia="zh-CN"/>
              </w:rPr>
              <w:t> </w:t>
            </w:r>
            <w:r w:rsidRPr="00454C57">
              <w:rPr>
                <w:sz w:val="16"/>
                <w:szCs w:val="16"/>
                <w:lang w:val="es-ES" w:eastAsia="zh-CN"/>
              </w:rPr>
              <w:t>754</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5</w:t>
            </w:r>
            <w:r w:rsidR="00454C57">
              <w:rPr>
                <w:sz w:val="16"/>
                <w:szCs w:val="16"/>
                <w:lang w:val="es-ES" w:eastAsia="zh-CN"/>
              </w:rPr>
              <w:t> </w:t>
            </w:r>
            <w:r w:rsidRPr="00454C57">
              <w:rPr>
                <w:sz w:val="16"/>
                <w:szCs w:val="16"/>
                <w:lang w:val="es-ES" w:eastAsia="zh-CN"/>
              </w:rPr>
              <w:t>684</w:t>
            </w:r>
          </w:p>
        </w:tc>
        <w:tc>
          <w:tcPr>
            <w:tcW w:w="851"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2</w:t>
            </w:r>
            <w:r w:rsidR="00454C57">
              <w:rPr>
                <w:sz w:val="16"/>
                <w:szCs w:val="16"/>
                <w:lang w:val="es-ES"/>
              </w:rPr>
              <w:t> </w:t>
            </w:r>
            <w:r w:rsidRPr="00454C57">
              <w:rPr>
                <w:sz w:val="16"/>
                <w:szCs w:val="16"/>
                <w:lang w:val="es-ES"/>
              </w:rPr>
              <w:t>966</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2</w:t>
            </w:r>
            <w:r w:rsidR="00454C57">
              <w:rPr>
                <w:sz w:val="16"/>
                <w:szCs w:val="16"/>
                <w:lang w:val="es-ES"/>
              </w:rPr>
              <w:t> </w:t>
            </w:r>
            <w:r w:rsidRPr="00454C57">
              <w:rPr>
                <w:sz w:val="16"/>
                <w:szCs w:val="16"/>
                <w:lang w:val="es-ES"/>
              </w:rPr>
              <w:t>675</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2</w:t>
            </w:r>
            <w:r w:rsidR="00454C57">
              <w:rPr>
                <w:sz w:val="16"/>
                <w:szCs w:val="16"/>
                <w:lang w:val="es-ES"/>
              </w:rPr>
              <w:t> </w:t>
            </w:r>
            <w:r w:rsidRPr="00454C57">
              <w:rPr>
                <w:sz w:val="16"/>
                <w:szCs w:val="16"/>
                <w:lang w:val="es-ES"/>
              </w:rPr>
              <w:t>767</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b/>
                <w:bCs/>
                <w:sz w:val="16"/>
                <w:szCs w:val="16"/>
                <w:lang w:val="es-ES"/>
              </w:rPr>
            </w:pPr>
            <w:r w:rsidRPr="00454C57">
              <w:rPr>
                <w:b/>
                <w:bCs/>
                <w:sz w:val="16"/>
                <w:szCs w:val="16"/>
                <w:lang w:val="es-ES"/>
              </w:rPr>
              <w:t>5</w:t>
            </w:r>
            <w:r w:rsidR="00454C57">
              <w:rPr>
                <w:b/>
                <w:bCs/>
                <w:sz w:val="16"/>
                <w:szCs w:val="16"/>
                <w:lang w:val="es-ES"/>
              </w:rPr>
              <w:t> </w:t>
            </w:r>
            <w:r w:rsidRPr="00454C57">
              <w:rPr>
                <w:b/>
                <w:bCs/>
                <w:sz w:val="16"/>
                <w:szCs w:val="16"/>
                <w:lang w:val="es-ES"/>
              </w:rPr>
              <w:t>442</w:t>
            </w:r>
          </w:p>
        </w:tc>
      </w:tr>
      <w:tr w:rsidR="00782776" w:rsidRPr="00C53010" w:rsidTr="003045E9">
        <w:trPr>
          <w:trHeight w:val="252"/>
        </w:trPr>
        <w:tc>
          <w:tcPr>
            <w:tcW w:w="988" w:type="dxa"/>
            <w:tcBorders>
              <w:top w:val="nil"/>
              <w:left w:val="nil"/>
              <w:bottom w:val="nil"/>
              <w:right w:val="nil"/>
            </w:tcBorders>
            <w:shd w:val="clear" w:color="auto" w:fill="auto"/>
            <w:noWrap/>
            <w:vAlign w:val="center"/>
            <w:hideMark/>
          </w:tcPr>
          <w:p w:rsidR="00782776" w:rsidRPr="00C53010" w:rsidRDefault="00782776" w:rsidP="00782776">
            <w:pPr>
              <w:rPr>
                <w:b/>
                <w:bCs/>
                <w:sz w:val="20"/>
                <w:lang w:val="es-ES"/>
              </w:rPr>
            </w:pPr>
          </w:p>
        </w:tc>
        <w:tc>
          <w:tcPr>
            <w:tcW w:w="2840"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val="es-ES"/>
              </w:rPr>
            </w:pPr>
            <w:r w:rsidRPr="00C53010">
              <w:rPr>
                <w:sz w:val="16"/>
                <w:szCs w:val="14"/>
                <w:lang w:val="es-ES"/>
              </w:rPr>
              <w:t>-</w:t>
            </w:r>
            <w:r w:rsidRPr="00C53010">
              <w:rPr>
                <w:sz w:val="16"/>
                <w:szCs w:val="14"/>
                <w:lang w:val="es-ES"/>
              </w:rPr>
              <w:tab/>
              <w:t>Departamento de Servicios Espaciales</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16</w:t>
            </w:r>
            <w:r w:rsidR="00454C57">
              <w:rPr>
                <w:sz w:val="16"/>
                <w:szCs w:val="16"/>
                <w:lang w:val="es-ES" w:eastAsia="zh-CN"/>
              </w:rPr>
              <w:t> </w:t>
            </w:r>
            <w:r w:rsidRPr="00454C57">
              <w:rPr>
                <w:sz w:val="16"/>
                <w:szCs w:val="16"/>
                <w:lang w:val="es-ES" w:eastAsia="zh-CN"/>
              </w:rPr>
              <w:t>502</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16</w:t>
            </w:r>
            <w:r w:rsidR="00454C57">
              <w:rPr>
                <w:sz w:val="16"/>
                <w:szCs w:val="16"/>
                <w:lang w:val="es-ES" w:eastAsia="zh-CN"/>
              </w:rPr>
              <w:t> </w:t>
            </w:r>
            <w:r w:rsidRPr="00454C57">
              <w:rPr>
                <w:sz w:val="16"/>
                <w:szCs w:val="16"/>
                <w:lang w:val="es-ES" w:eastAsia="zh-CN"/>
              </w:rPr>
              <w:t>049</w:t>
            </w:r>
          </w:p>
        </w:tc>
        <w:tc>
          <w:tcPr>
            <w:tcW w:w="851"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8</w:t>
            </w:r>
            <w:r w:rsidR="00454C57">
              <w:rPr>
                <w:sz w:val="16"/>
                <w:szCs w:val="16"/>
                <w:lang w:val="es-ES"/>
              </w:rPr>
              <w:t> </w:t>
            </w:r>
            <w:r w:rsidRPr="00454C57">
              <w:rPr>
                <w:sz w:val="16"/>
                <w:szCs w:val="16"/>
                <w:lang w:val="es-ES"/>
              </w:rPr>
              <w:t>510</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8</w:t>
            </w:r>
            <w:r w:rsidR="00454C57">
              <w:rPr>
                <w:sz w:val="16"/>
                <w:szCs w:val="16"/>
                <w:lang w:val="es-ES"/>
              </w:rPr>
              <w:t> </w:t>
            </w:r>
            <w:r w:rsidRPr="00454C57">
              <w:rPr>
                <w:sz w:val="16"/>
                <w:szCs w:val="16"/>
                <w:lang w:val="es-ES"/>
              </w:rPr>
              <w:t>408</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8</w:t>
            </w:r>
            <w:r w:rsidR="00454C57">
              <w:rPr>
                <w:sz w:val="16"/>
                <w:szCs w:val="16"/>
                <w:lang w:val="es-ES"/>
              </w:rPr>
              <w:t> </w:t>
            </w:r>
            <w:r w:rsidRPr="00454C57">
              <w:rPr>
                <w:sz w:val="16"/>
                <w:szCs w:val="16"/>
                <w:lang w:val="es-ES"/>
              </w:rPr>
              <w:t>458</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b/>
                <w:bCs/>
                <w:sz w:val="16"/>
                <w:szCs w:val="16"/>
                <w:lang w:val="es-ES"/>
              </w:rPr>
            </w:pPr>
            <w:r w:rsidRPr="00454C57">
              <w:rPr>
                <w:b/>
                <w:bCs/>
                <w:sz w:val="16"/>
                <w:szCs w:val="16"/>
                <w:lang w:val="es-ES"/>
              </w:rPr>
              <w:t>16</w:t>
            </w:r>
            <w:r w:rsidR="00454C57">
              <w:rPr>
                <w:b/>
                <w:bCs/>
                <w:sz w:val="16"/>
                <w:szCs w:val="16"/>
                <w:lang w:val="es-ES"/>
              </w:rPr>
              <w:t> </w:t>
            </w:r>
            <w:r w:rsidRPr="00454C57">
              <w:rPr>
                <w:b/>
                <w:bCs/>
                <w:sz w:val="16"/>
                <w:szCs w:val="16"/>
                <w:lang w:val="es-ES"/>
              </w:rPr>
              <w:t>866</w:t>
            </w:r>
          </w:p>
        </w:tc>
      </w:tr>
      <w:tr w:rsidR="00782776" w:rsidRPr="00C53010" w:rsidTr="003045E9">
        <w:trPr>
          <w:trHeight w:val="252"/>
        </w:trPr>
        <w:tc>
          <w:tcPr>
            <w:tcW w:w="988" w:type="dxa"/>
            <w:tcBorders>
              <w:top w:val="nil"/>
              <w:left w:val="nil"/>
              <w:bottom w:val="nil"/>
              <w:right w:val="nil"/>
            </w:tcBorders>
            <w:shd w:val="clear" w:color="auto" w:fill="auto"/>
            <w:noWrap/>
            <w:vAlign w:val="center"/>
            <w:hideMark/>
          </w:tcPr>
          <w:p w:rsidR="00782776" w:rsidRPr="00C53010" w:rsidRDefault="00782776" w:rsidP="00782776">
            <w:pPr>
              <w:rPr>
                <w:b/>
                <w:bCs/>
                <w:sz w:val="20"/>
                <w:lang w:val="es-ES"/>
              </w:rPr>
            </w:pPr>
          </w:p>
        </w:tc>
        <w:tc>
          <w:tcPr>
            <w:tcW w:w="2840"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val="es-ES"/>
              </w:rPr>
            </w:pPr>
            <w:r w:rsidRPr="00C53010">
              <w:rPr>
                <w:sz w:val="16"/>
                <w:szCs w:val="14"/>
                <w:lang w:val="es-ES"/>
              </w:rPr>
              <w:t>-</w:t>
            </w:r>
            <w:r w:rsidRPr="00C53010">
              <w:rPr>
                <w:sz w:val="16"/>
                <w:szCs w:val="14"/>
                <w:lang w:val="es-ES"/>
              </w:rPr>
              <w:tab/>
              <w:t>Departamento de Servicios Terrenales</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12</w:t>
            </w:r>
            <w:r w:rsidR="00454C57">
              <w:rPr>
                <w:sz w:val="16"/>
                <w:szCs w:val="16"/>
                <w:lang w:val="es-ES" w:eastAsia="zh-CN"/>
              </w:rPr>
              <w:t> </w:t>
            </w:r>
            <w:r w:rsidRPr="00454C57">
              <w:rPr>
                <w:sz w:val="16"/>
                <w:szCs w:val="16"/>
                <w:lang w:val="es-ES" w:eastAsia="zh-CN"/>
              </w:rPr>
              <w:t>272</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12</w:t>
            </w:r>
            <w:r w:rsidR="00454C57">
              <w:rPr>
                <w:sz w:val="16"/>
                <w:szCs w:val="16"/>
                <w:lang w:val="es-ES" w:eastAsia="zh-CN"/>
              </w:rPr>
              <w:t> </w:t>
            </w:r>
            <w:r w:rsidRPr="00454C57">
              <w:rPr>
                <w:sz w:val="16"/>
                <w:szCs w:val="16"/>
                <w:lang w:val="es-ES" w:eastAsia="zh-CN"/>
              </w:rPr>
              <w:t>520</w:t>
            </w:r>
          </w:p>
        </w:tc>
        <w:tc>
          <w:tcPr>
            <w:tcW w:w="851"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6</w:t>
            </w:r>
            <w:r w:rsidR="00454C57">
              <w:rPr>
                <w:sz w:val="16"/>
                <w:szCs w:val="16"/>
                <w:lang w:val="es-ES"/>
              </w:rPr>
              <w:t> </w:t>
            </w:r>
            <w:r w:rsidRPr="00454C57">
              <w:rPr>
                <w:sz w:val="16"/>
                <w:szCs w:val="16"/>
                <w:lang w:val="es-ES"/>
              </w:rPr>
              <w:t>033</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5</w:t>
            </w:r>
            <w:r w:rsidR="00454C57">
              <w:rPr>
                <w:sz w:val="16"/>
                <w:szCs w:val="16"/>
                <w:lang w:val="es-ES"/>
              </w:rPr>
              <w:t> </w:t>
            </w:r>
            <w:r w:rsidRPr="00454C57">
              <w:rPr>
                <w:sz w:val="16"/>
                <w:szCs w:val="16"/>
                <w:lang w:val="es-ES"/>
              </w:rPr>
              <w:t>771</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5</w:t>
            </w:r>
            <w:r w:rsidR="00454C57">
              <w:rPr>
                <w:sz w:val="16"/>
                <w:szCs w:val="16"/>
                <w:lang w:val="es-ES"/>
              </w:rPr>
              <w:t> </w:t>
            </w:r>
            <w:r w:rsidRPr="00454C57">
              <w:rPr>
                <w:sz w:val="16"/>
                <w:szCs w:val="16"/>
                <w:lang w:val="es-ES"/>
              </w:rPr>
              <w:t>883</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b/>
                <w:bCs/>
                <w:sz w:val="16"/>
                <w:szCs w:val="16"/>
                <w:lang w:val="es-ES"/>
              </w:rPr>
            </w:pPr>
            <w:r w:rsidRPr="00454C57">
              <w:rPr>
                <w:b/>
                <w:bCs/>
                <w:sz w:val="16"/>
                <w:szCs w:val="16"/>
                <w:lang w:val="es-ES"/>
              </w:rPr>
              <w:t>11</w:t>
            </w:r>
            <w:r w:rsidR="00454C57">
              <w:rPr>
                <w:b/>
                <w:bCs/>
                <w:sz w:val="16"/>
                <w:szCs w:val="16"/>
                <w:lang w:val="es-ES"/>
              </w:rPr>
              <w:t> </w:t>
            </w:r>
            <w:r w:rsidRPr="00454C57">
              <w:rPr>
                <w:b/>
                <w:bCs/>
                <w:sz w:val="16"/>
                <w:szCs w:val="16"/>
                <w:lang w:val="es-ES"/>
              </w:rPr>
              <w:t>654</w:t>
            </w:r>
          </w:p>
        </w:tc>
      </w:tr>
      <w:tr w:rsidR="00782776" w:rsidRPr="00C53010" w:rsidTr="003045E9">
        <w:trPr>
          <w:trHeight w:val="252"/>
        </w:trPr>
        <w:tc>
          <w:tcPr>
            <w:tcW w:w="988" w:type="dxa"/>
            <w:tcBorders>
              <w:top w:val="nil"/>
              <w:left w:val="nil"/>
              <w:bottom w:val="nil"/>
              <w:right w:val="nil"/>
            </w:tcBorders>
            <w:shd w:val="clear" w:color="auto" w:fill="auto"/>
            <w:noWrap/>
            <w:vAlign w:val="center"/>
            <w:hideMark/>
          </w:tcPr>
          <w:p w:rsidR="00782776" w:rsidRPr="00C53010" w:rsidRDefault="00782776" w:rsidP="00782776">
            <w:pPr>
              <w:rPr>
                <w:b/>
                <w:bCs/>
                <w:sz w:val="20"/>
                <w:lang w:val="es-ES"/>
              </w:rPr>
            </w:pPr>
          </w:p>
        </w:tc>
        <w:tc>
          <w:tcPr>
            <w:tcW w:w="2840" w:type="dxa"/>
            <w:tcBorders>
              <w:top w:val="nil"/>
              <w:left w:val="nil"/>
              <w:bottom w:val="nil"/>
              <w:right w:val="nil"/>
            </w:tcBorders>
            <w:shd w:val="clear" w:color="auto" w:fill="auto"/>
            <w:noWrap/>
            <w:vAlign w:val="center"/>
            <w:hideMark/>
          </w:tcPr>
          <w:p w:rsidR="00782776" w:rsidRPr="00C53010" w:rsidRDefault="00782776" w:rsidP="0078277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 w:val="16"/>
                <w:szCs w:val="14"/>
                <w:lang w:val="es-ES"/>
              </w:rPr>
            </w:pPr>
            <w:r w:rsidRPr="00C53010">
              <w:rPr>
                <w:sz w:val="16"/>
                <w:szCs w:val="14"/>
                <w:lang w:val="es-ES"/>
              </w:rPr>
              <w:t>-</w:t>
            </w:r>
            <w:r w:rsidRPr="00C53010">
              <w:rPr>
                <w:sz w:val="16"/>
                <w:szCs w:val="14"/>
                <w:lang w:val="es-ES"/>
              </w:rPr>
              <w:tab/>
              <w:t>Departamento de Informática</w:t>
            </w:r>
            <w:r w:rsidR="001B0E79">
              <w:rPr>
                <w:sz w:val="16"/>
                <w:szCs w:val="14"/>
                <w:lang w:val="es-ES"/>
              </w:rPr>
              <w:t xml:space="preserve">, </w:t>
            </w:r>
            <w:r w:rsidRPr="00C53010">
              <w:rPr>
                <w:sz w:val="16"/>
                <w:szCs w:val="14"/>
                <w:lang w:val="es-ES"/>
              </w:rPr>
              <w:t>Administración y Publicaciones</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13</w:t>
            </w:r>
            <w:r w:rsidR="00454C57">
              <w:rPr>
                <w:sz w:val="16"/>
                <w:szCs w:val="16"/>
                <w:lang w:val="es-ES" w:eastAsia="zh-CN"/>
              </w:rPr>
              <w:t> </w:t>
            </w:r>
            <w:r w:rsidRPr="00454C57">
              <w:rPr>
                <w:sz w:val="16"/>
                <w:szCs w:val="16"/>
                <w:lang w:val="es-ES" w:eastAsia="zh-CN"/>
              </w:rPr>
              <w:t>580</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overflowPunct/>
              <w:autoSpaceDE/>
              <w:autoSpaceDN/>
              <w:adjustRightInd/>
              <w:spacing w:before="0"/>
              <w:jc w:val="right"/>
              <w:textAlignment w:val="auto"/>
              <w:rPr>
                <w:sz w:val="16"/>
                <w:szCs w:val="16"/>
                <w:lang w:val="es-ES" w:eastAsia="zh-CN"/>
              </w:rPr>
            </w:pPr>
            <w:r w:rsidRPr="00454C57">
              <w:rPr>
                <w:sz w:val="16"/>
                <w:szCs w:val="16"/>
                <w:lang w:val="es-ES" w:eastAsia="zh-CN"/>
              </w:rPr>
              <w:t>15</w:t>
            </w:r>
            <w:r w:rsidR="00454C57">
              <w:rPr>
                <w:sz w:val="16"/>
                <w:szCs w:val="16"/>
                <w:lang w:val="es-ES" w:eastAsia="zh-CN"/>
              </w:rPr>
              <w:t> </w:t>
            </w:r>
            <w:r w:rsidRPr="00454C57">
              <w:rPr>
                <w:sz w:val="16"/>
                <w:szCs w:val="16"/>
                <w:lang w:val="es-ES" w:eastAsia="zh-CN"/>
              </w:rPr>
              <w:t>042</w:t>
            </w:r>
          </w:p>
        </w:tc>
        <w:tc>
          <w:tcPr>
            <w:tcW w:w="851"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6</w:t>
            </w:r>
            <w:r w:rsidR="00454C57">
              <w:rPr>
                <w:sz w:val="16"/>
                <w:szCs w:val="16"/>
                <w:lang w:val="es-ES"/>
              </w:rPr>
              <w:t> </w:t>
            </w:r>
            <w:r w:rsidRPr="00454C57">
              <w:rPr>
                <w:sz w:val="16"/>
                <w:szCs w:val="16"/>
                <w:lang w:val="es-ES"/>
              </w:rPr>
              <w:t>962</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7</w:t>
            </w:r>
            <w:r w:rsidR="00454C57">
              <w:rPr>
                <w:sz w:val="16"/>
                <w:szCs w:val="16"/>
                <w:lang w:val="es-ES"/>
              </w:rPr>
              <w:t> </w:t>
            </w:r>
            <w:r w:rsidRPr="00454C57">
              <w:rPr>
                <w:sz w:val="16"/>
                <w:szCs w:val="16"/>
                <w:lang w:val="es-ES"/>
              </w:rPr>
              <w:t>297</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sz w:val="16"/>
                <w:szCs w:val="16"/>
                <w:lang w:val="es-ES"/>
              </w:rPr>
            </w:pPr>
            <w:r w:rsidRPr="00454C57">
              <w:rPr>
                <w:sz w:val="16"/>
                <w:szCs w:val="16"/>
                <w:lang w:val="es-ES"/>
              </w:rPr>
              <w:t>7</w:t>
            </w:r>
            <w:r w:rsidR="00454C57">
              <w:rPr>
                <w:sz w:val="16"/>
                <w:szCs w:val="16"/>
                <w:lang w:val="es-ES"/>
              </w:rPr>
              <w:t> </w:t>
            </w:r>
            <w:r w:rsidRPr="00454C57">
              <w:rPr>
                <w:sz w:val="16"/>
                <w:szCs w:val="16"/>
                <w:lang w:val="es-ES"/>
              </w:rPr>
              <w:t>361</w:t>
            </w:r>
          </w:p>
        </w:tc>
        <w:tc>
          <w:tcPr>
            <w:tcW w:w="992" w:type="dxa"/>
            <w:tcBorders>
              <w:top w:val="nil"/>
              <w:left w:val="nil"/>
              <w:bottom w:val="nil"/>
              <w:right w:val="nil"/>
            </w:tcBorders>
            <w:shd w:val="clear" w:color="auto" w:fill="auto"/>
            <w:noWrap/>
            <w:vAlign w:val="center"/>
            <w:hideMark/>
          </w:tcPr>
          <w:p w:rsidR="00782776" w:rsidRPr="00454C57" w:rsidRDefault="00782776" w:rsidP="00782776">
            <w:pPr>
              <w:spacing w:before="0"/>
              <w:jc w:val="right"/>
              <w:rPr>
                <w:b/>
                <w:bCs/>
                <w:sz w:val="16"/>
                <w:szCs w:val="16"/>
                <w:lang w:val="es-ES"/>
              </w:rPr>
            </w:pPr>
            <w:r w:rsidRPr="00454C57">
              <w:rPr>
                <w:b/>
                <w:bCs/>
                <w:sz w:val="16"/>
                <w:szCs w:val="16"/>
                <w:lang w:val="es-ES"/>
              </w:rPr>
              <w:t>14</w:t>
            </w:r>
            <w:r w:rsidR="00454C57">
              <w:rPr>
                <w:b/>
                <w:bCs/>
                <w:sz w:val="16"/>
                <w:szCs w:val="16"/>
                <w:lang w:val="es-ES"/>
              </w:rPr>
              <w:t> </w:t>
            </w:r>
            <w:r w:rsidRPr="00454C57">
              <w:rPr>
                <w:b/>
                <w:bCs/>
                <w:sz w:val="16"/>
                <w:szCs w:val="16"/>
                <w:lang w:val="es-ES"/>
              </w:rPr>
              <w:t>658</w:t>
            </w:r>
          </w:p>
        </w:tc>
      </w:tr>
      <w:tr w:rsidR="00FA7C73" w:rsidRPr="00C53010" w:rsidTr="003045E9">
        <w:trPr>
          <w:trHeight w:val="199"/>
        </w:trPr>
        <w:tc>
          <w:tcPr>
            <w:tcW w:w="988" w:type="dxa"/>
            <w:tcBorders>
              <w:top w:val="nil"/>
              <w:left w:val="nil"/>
              <w:bottom w:val="single" w:sz="4" w:space="0" w:color="000099"/>
              <w:right w:val="nil"/>
            </w:tcBorders>
            <w:shd w:val="clear" w:color="000000" w:fill="FFFFFF"/>
            <w:noWrap/>
            <w:vAlign w:val="center"/>
            <w:hideMark/>
          </w:tcPr>
          <w:p w:rsidR="00FA7C73" w:rsidRPr="00C53010" w:rsidRDefault="00FA7C73" w:rsidP="001F3A94">
            <w:pPr>
              <w:overflowPunct/>
              <w:autoSpaceDE/>
              <w:autoSpaceDN/>
              <w:adjustRightInd/>
              <w:spacing w:before="0"/>
              <w:textAlignment w:val="auto"/>
              <w:rPr>
                <w:color w:val="000099"/>
                <w:sz w:val="20"/>
                <w:lang w:val="es-ES" w:eastAsia="zh-CN"/>
              </w:rPr>
            </w:pPr>
            <w:r w:rsidRPr="00C53010">
              <w:rPr>
                <w:color w:val="000099"/>
                <w:sz w:val="20"/>
                <w:lang w:val="es-ES" w:eastAsia="zh-CN"/>
              </w:rPr>
              <w:t> </w:t>
            </w:r>
          </w:p>
        </w:tc>
        <w:tc>
          <w:tcPr>
            <w:tcW w:w="2840" w:type="dxa"/>
            <w:tcBorders>
              <w:top w:val="nil"/>
              <w:left w:val="nil"/>
              <w:bottom w:val="single" w:sz="4" w:space="0" w:color="000099"/>
              <w:right w:val="nil"/>
            </w:tcBorders>
            <w:shd w:val="clear" w:color="000000" w:fill="FFFFFF"/>
            <w:noWrap/>
            <w:vAlign w:val="center"/>
            <w:hideMark/>
          </w:tcPr>
          <w:p w:rsidR="00FA7C73" w:rsidRPr="00C53010" w:rsidRDefault="00FA7C73" w:rsidP="001F3A94">
            <w:pPr>
              <w:overflowPunct/>
              <w:autoSpaceDE/>
              <w:autoSpaceDN/>
              <w:adjustRightInd/>
              <w:spacing w:before="0"/>
              <w:textAlignment w:val="auto"/>
              <w:rPr>
                <w:color w:val="000099"/>
                <w:sz w:val="20"/>
                <w:lang w:val="es-ES" w:eastAsia="zh-CN"/>
              </w:rPr>
            </w:pPr>
            <w:r w:rsidRPr="00C53010">
              <w:rPr>
                <w:color w:val="000099"/>
                <w:sz w:val="20"/>
                <w:lang w:val="es-ES" w:eastAsia="zh-CN"/>
              </w:rPr>
              <w:t> </w:t>
            </w:r>
          </w:p>
        </w:tc>
        <w:tc>
          <w:tcPr>
            <w:tcW w:w="992" w:type="dxa"/>
            <w:tcBorders>
              <w:top w:val="nil"/>
              <w:left w:val="nil"/>
              <w:bottom w:val="single" w:sz="4" w:space="0" w:color="000099"/>
              <w:right w:val="nil"/>
            </w:tcBorders>
            <w:shd w:val="clear" w:color="000000" w:fill="FFFFFF"/>
            <w:noWrap/>
            <w:vAlign w:val="center"/>
            <w:hideMark/>
          </w:tcPr>
          <w:p w:rsidR="00FA7C73" w:rsidRPr="00454C57" w:rsidRDefault="00FA7C73" w:rsidP="001F3A94">
            <w:pPr>
              <w:overflowPunct/>
              <w:autoSpaceDE/>
              <w:autoSpaceDN/>
              <w:adjustRightInd/>
              <w:spacing w:before="0"/>
              <w:jc w:val="right"/>
              <w:textAlignment w:val="auto"/>
              <w:rPr>
                <w:color w:val="000099"/>
                <w:sz w:val="18"/>
                <w:szCs w:val="18"/>
                <w:lang w:val="es-ES" w:eastAsia="zh-CN"/>
              </w:rPr>
            </w:pPr>
            <w:r w:rsidRPr="00454C57">
              <w:rPr>
                <w:color w:val="000099"/>
                <w:sz w:val="18"/>
                <w:szCs w:val="18"/>
                <w:lang w:val="es-ES" w:eastAsia="zh-CN"/>
              </w:rPr>
              <w:t> </w:t>
            </w:r>
          </w:p>
        </w:tc>
        <w:tc>
          <w:tcPr>
            <w:tcW w:w="992" w:type="dxa"/>
            <w:tcBorders>
              <w:top w:val="nil"/>
              <w:left w:val="nil"/>
              <w:bottom w:val="single" w:sz="4" w:space="0" w:color="000099"/>
              <w:right w:val="nil"/>
            </w:tcBorders>
            <w:shd w:val="clear" w:color="000000" w:fill="FFFFFF"/>
            <w:noWrap/>
            <w:vAlign w:val="center"/>
            <w:hideMark/>
          </w:tcPr>
          <w:p w:rsidR="00FA7C73" w:rsidRPr="00454C57" w:rsidRDefault="00FA7C73" w:rsidP="001F3A94">
            <w:pPr>
              <w:overflowPunct/>
              <w:autoSpaceDE/>
              <w:autoSpaceDN/>
              <w:adjustRightInd/>
              <w:spacing w:before="0"/>
              <w:jc w:val="right"/>
              <w:textAlignment w:val="auto"/>
              <w:rPr>
                <w:color w:val="000099"/>
                <w:sz w:val="18"/>
                <w:szCs w:val="18"/>
                <w:lang w:val="es-ES" w:eastAsia="zh-CN"/>
              </w:rPr>
            </w:pPr>
            <w:r w:rsidRPr="00454C57">
              <w:rPr>
                <w:color w:val="000099"/>
                <w:sz w:val="18"/>
                <w:szCs w:val="18"/>
                <w:lang w:val="es-ES" w:eastAsia="zh-CN"/>
              </w:rPr>
              <w:t> </w:t>
            </w:r>
          </w:p>
        </w:tc>
        <w:tc>
          <w:tcPr>
            <w:tcW w:w="851" w:type="dxa"/>
            <w:tcBorders>
              <w:top w:val="nil"/>
              <w:left w:val="nil"/>
              <w:bottom w:val="single" w:sz="4" w:space="0" w:color="000099"/>
              <w:right w:val="nil"/>
            </w:tcBorders>
            <w:shd w:val="clear" w:color="000000" w:fill="FFFFFF"/>
            <w:noWrap/>
            <w:vAlign w:val="center"/>
            <w:hideMark/>
          </w:tcPr>
          <w:p w:rsidR="00FA7C73" w:rsidRPr="00454C57" w:rsidRDefault="00FA7C73" w:rsidP="001F3A94">
            <w:pPr>
              <w:spacing w:before="0"/>
              <w:jc w:val="right"/>
              <w:rPr>
                <w:color w:val="000099"/>
                <w:sz w:val="18"/>
                <w:szCs w:val="18"/>
                <w:lang w:val="es-ES"/>
              </w:rPr>
            </w:pPr>
            <w:r w:rsidRPr="00454C57">
              <w:rPr>
                <w:color w:val="000099"/>
                <w:sz w:val="18"/>
                <w:szCs w:val="18"/>
                <w:lang w:val="es-ES"/>
              </w:rPr>
              <w:t> </w:t>
            </w:r>
          </w:p>
        </w:tc>
        <w:tc>
          <w:tcPr>
            <w:tcW w:w="992" w:type="dxa"/>
            <w:tcBorders>
              <w:top w:val="nil"/>
              <w:left w:val="nil"/>
              <w:bottom w:val="single" w:sz="4" w:space="0" w:color="000099"/>
              <w:right w:val="nil"/>
            </w:tcBorders>
            <w:shd w:val="clear" w:color="000000" w:fill="FFFFFF"/>
            <w:noWrap/>
            <w:vAlign w:val="center"/>
            <w:hideMark/>
          </w:tcPr>
          <w:p w:rsidR="00FA7C73" w:rsidRPr="00454C57" w:rsidRDefault="00FA7C73" w:rsidP="001F3A94">
            <w:pPr>
              <w:spacing w:before="0"/>
              <w:jc w:val="right"/>
              <w:rPr>
                <w:color w:val="000099"/>
                <w:sz w:val="18"/>
                <w:szCs w:val="18"/>
                <w:lang w:val="es-ES"/>
              </w:rPr>
            </w:pPr>
            <w:r w:rsidRPr="00454C57">
              <w:rPr>
                <w:color w:val="000099"/>
                <w:sz w:val="18"/>
                <w:szCs w:val="18"/>
                <w:lang w:val="es-ES"/>
              </w:rPr>
              <w:t> </w:t>
            </w:r>
          </w:p>
        </w:tc>
        <w:tc>
          <w:tcPr>
            <w:tcW w:w="992" w:type="dxa"/>
            <w:tcBorders>
              <w:top w:val="nil"/>
              <w:left w:val="nil"/>
              <w:bottom w:val="single" w:sz="4" w:space="0" w:color="000099"/>
              <w:right w:val="nil"/>
            </w:tcBorders>
            <w:shd w:val="clear" w:color="000000" w:fill="FFFFFF"/>
            <w:noWrap/>
            <w:vAlign w:val="center"/>
            <w:hideMark/>
          </w:tcPr>
          <w:p w:rsidR="00FA7C73" w:rsidRPr="00454C57" w:rsidRDefault="00FA7C73" w:rsidP="001F3A94">
            <w:pPr>
              <w:spacing w:before="0"/>
              <w:jc w:val="right"/>
              <w:rPr>
                <w:color w:val="000099"/>
                <w:sz w:val="18"/>
                <w:szCs w:val="18"/>
                <w:lang w:val="es-ES"/>
              </w:rPr>
            </w:pPr>
            <w:r w:rsidRPr="00454C57">
              <w:rPr>
                <w:color w:val="000099"/>
                <w:sz w:val="18"/>
                <w:szCs w:val="18"/>
                <w:lang w:val="es-ES"/>
              </w:rPr>
              <w:t> </w:t>
            </w:r>
          </w:p>
        </w:tc>
        <w:tc>
          <w:tcPr>
            <w:tcW w:w="992" w:type="dxa"/>
            <w:tcBorders>
              <w:top w:val="nil"/>
              <w:left w:val="nil"/>
              <w:bottom w:val="single" w:sz="4" w:space="0" w:color="000099"/>
              <w:right w:val="nil"/>
            </w:tcBorders>
            <w:shd w:val="clear" w:color="000000" w:fill="FFFFFF"/>
            <w:noWrap/>
            <w:vAlign w:val="center"/>
            <w:hideMark/>
          </w:tcPr>
          <w:p w:rsidR="00FA7C73" w:rsidRPr="00454C57" w:rsidRDefault="00FA7C73" w:rsidP="001F3A94">
            <w:pPr>
              <w:spacing w:before="0"/>
              <w:jc w:val="right"/>
              <w:rPr>
                <w:color w:val="000099"/>
                <w:sz w:val="18"/>
                <w:szCs w:val="18"/>
                <w:lang w:val="es-ES"/>
              </w:rPr>
            </w:pPr>
            <w:r w:rsidRPr="00454C57">
              <w:rPr>
                <w:color w:val="000099"/>
                <w:sz w:val="18"/>
                <w:szCs w:val="18"/>
                <w:lang w:val="es-ES"/>
              </w:rPr>
              <w:t> </w:t>
            </w:r>
          </w:p>
        </w:tc>
      </w:tr>
      <w:tr w:rsidR="00FA7C73" w:rsidRPr="00C53010" w:rsidTr="003045E9">
        <w:trPr>
          <w:trHeight w:val="285"/>
        </w:trPr>
        <w:tc>
          <w:tcPr>
            <w:tcW w:w="988" w:type="dxa"/>
            <w:tcBorders>
              <w:top w:val="nil"/>
              <w:left w:val="nil"/>
              <w:bottom w:val="single" w:sz="4" w:space="0" w:color="000099"/>
              <w:right w:val="nil"/>
            </w:tcBorders>
            <w:shd w:val="clear" w:color="000000" w:fill="DCE6F1"/>
            <w:noWrap/>
            <w:vAlign w:val="center"/>
            <w:hideMark/>
          </w:tcPr>
          <w:p w:rsidR="00FA7C73" w:rsidRPr="00C53010" w:rsidRDefault="00FA7C73" w:rsidP="001F3A94">
            <w:pPr>
              <w:overflowPunct/>
              <w:autoSpaceDE/>
              <w:autoSpaceDN/>
              <w:adjustRightInd/>
              <w:spacing w:before="0"/>
              <w:textAlignment w:val="auto"/>
              <w:rPr>
                <w:b/>
                <w:bCs/>
                <w:color w:val="000099"/>
                <w:sz w:val="20"/>
                <w:lang w:val="es-ES" w:eastAsia="zh-CN"/>
              </w:rPr>
            </w:pPr>
            <w:r w:rsidRPr="00C53010">
              <w:rPr>
                <w:b/>
                <w:bCs/>
                <w:color w:val="000099"/>
                <w:sz w:val="20"/>
                <w:lang w:val="es-ES" w:eastAsia="zh-CN"/>
              </w:rPr>
              <w:t>TOTAL</w:t>
            </w:r>
          </w:p>
        </w:tc>
        <w:tc>
          <w:tcPr>
            <w:tcW w:w="2840" w:type="dxa"/>
            <w:tcBorders>
              <w:top w:val="nil"/>
              <w:left w:val="nil"/>
              <w:bottom w:val="single" w:sz="4" w:space="0" w:color="000099"/>
              <w:right w:val="nil"/>
            </w:tcBorders>
            <w:shd w:val="clear" w:color="000000" w:fill="DCE6F1"/>
            <w:noWrap/>
            <w:vAlign w:val="center"/>
            <w:hideMark/>
          </w:tcPr>
          <w:p w:rsidR="00FA7C73" w:rsidRPr="00C53010" w:rsidRDefault="00FA7C73" w:rsidP="001F3A94">
            <w:pPr>
              <w:overflowPunct/>
              <w:autoSpaceDE/>
              <w:autoSpaceDN/>
              <w:adjustRightInd/>
              <w:spacing w:before="0"/>
              <w:textAlignment w:val="auto"/>
              <w:rPr>
                <w:b/>
                <w:bCs/>
                <w:color w:val="000099"/>
                <w:sz w:val="20"/>
                <w:lang w:val="es-ES" w:eastAsia="zh-CN"/>
              </w:rPr>
            </w:pPr>
            <w:r w:rsidRPr="00C53010">
              <w:rPr>
                <w:b/>
                <w:bCs/>
                <w:color w:val="000099"/>
                <w:sz w:val="20"/>
                <w:lang w:val="es-ES" w:eastAsia="zh-CN"/>
              </w:rPr>
              <w:t> </w:t>
            </w:r>
          </w:p>
        </w:tc>
        <w:tc>
          <w:tcPr>
            <w:tcW w:w="992" w:type="dxa"/>
            <w:tcBorders>
              <w:top w:val="nil"/>
              <w:left w:val="nil"/>
              <w:bottom w:val="single" w:sz="4" w:space="0" w:color="000099"/>
              <w:right w:val="nil"/>
            </w:tcBorders>
            <w:shd w:val="clear" w:color="000000" w:fill="DCE6F1"/>
            <w:noWrap/>
            <w:vAlign w:val="center"/>
            <w:hideMark/>
          </w:tcPr>
          <w:p w:rsidR="00FA7C73" w:rsidRPr="00C53010" w:rsidRDefault="00FA7C73" w:rsidP="001F3A94">
            <w:pPr>
              <w:overflowPunct/>
              <w:autoSpaceDE/>
              <w:autoSpaceDN/>
              <w:adjustRightInd/>
              <w:spacing w:before="0"/>
              <w:jc w:val="right"/>
              <w:textAlignment w:val="auto"/>
              <w:rPr>
                <w:b/>
                <w:bCs/>
                <w:color w:val="000099"/>
                <w:sz w:val="20"/>
                <w:lang w:val="es-ES" w:eastAsia="zh-CN"/>
              </w:rPr>
            </w:pPr>
            <w:r w:rsidRPr="00C53010">
              <w:rPr>
                <w:b/>
                <w:bCs/>
                <w:color w:val="000099"/>
                <w:sz w:val="20"/>
                <w:lang w:val="es-ES" w:eastAsia="zh-CN"/>
              </w:rPr>
              <w:t>55</w:t>
            </w:r>
            <w:r w:rsidR="00454C57">
              <w:rPr>
                <w:b/>
                <w:bCs/>
                <w:color w:val="000099"/>
                <w:sz w:val="20"/>
                <w:lang w:val="es-ES" w:eastAsia="zh-CN"/>
              </w:rPr>
              <w:t> </w:t>
            </w:r>
            <w:r w:rsidRPr="00C53010">
              <w:rPr>
                <w:b/>
                <w:bCs/>
                <w:color w:val="000099"/>
                <w:sz w:val="20"/>
                <w:lang w:val="es-ES" w:eastAsia="zh-CN"/>
              </w:rPr>
              <w:t>900</w:t>
            </w:r>
          </w:p>
        </w:tc>
        <w:tc>
          <w:tcPr>
            <w:tcW w:w="992" w:type="dxa"/>
            <w:tcBorders>
              <w:top w:val="nil"/>
              <w:left w:val="nil"/>
              <w:bottom w:val="single" w:sz="4" w:space="0" w:color="000099"/>
              <w:right w:val="nil"/>
            </w:tcBorders>
            <w:shd w:val="clear" w:color="000000" w:fill="DCE6F1"/>
            <w:noWrap/>
            <w:vAlign w:val="center"/>
            <w:hideMark/>
          </w:tcPr>
          <w:p w:rsidR="00FA7C73" w:rsidRPr="00C53010" w:rsidRDefault="00FA7C73" w:rsidP="001F3A94">
            <w:pPr>
              <w:overflowPunct/>
              <w:autoSpaceDE/>
              <w:autoSpaceDN/>
              <w:adjustRightInd/>
              <w:spacing w:before="0"/>
              <w:jc w:val="right"/>
              <w:textAlignment w:val="auto"/>
              <w:rPr>
                <w:b/>
                <w:bCs/>
                <w:color w:val="000099"/>
                <w:sz w:val="20"/>
                <w:lang w:val="es-ES" w:eastAsia="zh-CN"/>
              </w:rPr>
            </w:pPr>
            <w:r w:rsidRPr="00C53010">
              <w:rPr>
                <w:b/>
                <w:bCs/>
                <w:color w:val="000099"/>
                <w:sz w:val="20"/>
                <w:lang w:val="es-ES" w:eastAsia="zh-CN"/>
              </w:rPr>
              <w:t>57</w:t>
            </w:r>
            <w:r w:rsidR="00454C57">
              <w:rPr>
                <w:b/>
                <w:bCs/>
                <w:color w:val="000099"/>
                <w:sz w:val="20"/>
                <w:lang w:val="es-ES" w:eastAsia="zh-CN"/>
              </w:rPr>
              <w:t> </w:t>
            </w:r>
            <w:r w:rsidRPr="00C53010">
              <w:rPr>
                <w:b/>
                <w:bCs/>
                <w:color w:val="000099"/>
                <w:sz w:val="20"/>
                <w:lang w:val="es-ES" w:eastAsia="zh-CN"/>
              </w:rPr>
              <w:t>501</w:t>
            </w:r>
          </w:p>
        </w:tc>
        <w:tc>
          <w:tcPr>
            <w:tcW w:w="851" w:type="dxa"/>
            <w:tcBorders>
              <w:top w:val="nil"/>
              <w:left w:val="nil"/>
              <w:bottom w:val="single" w:sz="4" w:space="0" w:color="000099"/>
              <w:right w:val="nil"/>
            </w:tcBorders>
            <w:shd w:val="clear" w:color="000000" w:fill="DCE6F1"/>
            <w:noWrap/>
            <w:vAlign w:val="center"/>
            <w:hideMark/>
          </w:tcPr>
          <w:p w:rsidR="00FA7C73" w:rsidRPr="00C53010" w:rsidRDefault="00FA7C73" w:rsidP="001F3A94">
            <w:pPr>
              <w:spacing w:before="0"/>
              <w:jc w:val="right"/>
              <w:rPr>
                <w:b/>
                <w:bCs/>
                <w:color w:val="000099"/>
                <w:sz w:val="18"/>
                <w:szCs w:val="18"/>
                <w:lang w:val="es-ES"/>
              </w:rPr>
            </w:pPr>
            <w:r w:rsidRPr="00C53010">
              <w:rPr>
                <w:b/>
                <w:bCs/>
                <w:color w:val="000099"/>
                <w:sz w:val="18"/>
                <w:szCs w:val="18"/>
                <w:lang w:val="es-ES"/>
              </w:rPr>
              <w:t>26</w:t>
            </w:r>
            <w:r w:rsidR="00454C57">
              <w:rPr>
                <w:b/>
                <w:bCs/>
                <w:color w:val="000099"/>
                <w:sz w:val="18"/>
                <w:szCs w:val="18"/>
                <w:lang w:val="es-ES"/>
              </w:rPr>
              <w:t> </w:t>
            </w:r>
            <w:r w:rsidRPr="00C53010">
              <w:rPr>
                <w:b/>
                <w:bCs/>
                <w:color w:val="000099"/>
                <w:sz w:val="18"/>
                <w:szCs w:val="18"/>
                <w:lang w:val="es-ES"/>
              </w:rPr>
              <w:t>529</w:t>
            </w:r>
          </w:p>
        </w:tc>
        <w:tc>
          <w:tcPr>
            <w:tcW w:w="992" w:type="dxa"/>
            <w:tcBorders>
              <w:top w:val="nil"/>
              <w:left w:val="nil"/>
              <w:bottom w:val="single" w:sz="4" w:space="0" w:color="000099"/>
              <w:right w:val="nil"/>
            </w:tcBorders>
            <w:shd w:val="clear" w:color="000000" w:fill="DCE6F1"/>
            <w:noWrap/>
            <w:vAlign w:val="center"/>
            <w:hideMark/>
          </w:tcPr>
          <w:p w:rsidR="00FA7C73" w:rsidRPr="00C53010" w:rsidRDefault="00FA7C73" w:rsidP="001F3A94">
            <w:pPr>
              <w:spacing w:before="0"/>
              <w:jc w:val="right"/>
              <w:rPr>
                <w:b/>
                <w:bCs/>
                <w:color w:val="000099"/>
                <w:sz w:val="18"/>
                <w:szCs w:val="18"/>
                <w:lang w:val="es-ES"/>
              </w:rPr>
            </w:pPr>
            <w:r w:rsidRPr="00C53010">
              <w:rPr>
                <w:b/>
                <w:bCs/>
                <w:color w:val="000099"/>
                <w:sz w:val="18"/>
                <w:szCs w:val="18"/>
                <w:lang w:val="es-ES"/>
              </w:rPr>
              <w:t>27</w:t>
            </w:r>
            <w:r w:rsidR="00454C57">
              <w:rPr>
                <w:b/>
                <w:bCs/>
                <w:color w:val="000099"/>
                <w:sz w:val="18"/>
                <w:szCs w:val="18"/>
                <w:lang w:val="es-ES"/>
              </w:rPr>
              <w:t> </w:t>
            </w:r>
            <w:r w:rsidRPr="00C53010">
              <w:rPr>
                <w:b/>
                <w:bCs/>
                <w:color w:val="000099"/>
                <w:sz w:val="18"/>
                <w:szCs w:val="18"/>
                <w:lang w:val="es-ES"/>
              </w:rPr>
              <w:t>988</w:t>
            </w:r>
          </w:p>
        </w:tc>
        <w:tc>
          <w:tcPr>
            <w:tcW w:w="992" w:type="dxa"/>
            <w:tcBorders>
              <w:top w:val="nil"/>
              <w:left w:val="nil"/>
              <w:bottom w:val="single" w:sz="4" w:space="0" w:color="000099"/>
              <w:right w:val="nil"/>
            </w:tcBorders>
            <w:shd w:val="clear" w:color="000000" w:fill="DCE6F1"/>
            <w:noWrap/>
            <w:vAlign w:val="center"/>
            <w:hideMark/>
          </w:tcPr>
          <w:p w:rsidR="00FA7C73" w:rsidRPr="00C53010" w:rsidRDefault="00FA7C73" w:rsidP="001F3A94">
            <w:pPr>
              <w:spacing w:before="0"/>
              <w:jc w:val="right"/>
              <w:rPr>
                <w:b/>
                <w:bCs/>
                <w:color w:val="000099"/>
                <w:sz w:val="18"/>
                <w:szCs w:val="18"/>
                <w:lang w:val="es-ES"/>
              </w:rPr>
            </w:pPr>
            <w:r w:rsidRPr="00C53010">
              <w:rPr>
                <w:b/>
                <w:bCs/>
                <w:color w:val="000099"/>
                <w:sz w:val="18"/>
                <w:szCs w:val="18"/>
                <w:lang w:val="es-ES"/>
              </w:rPr>
              <w:t>31</w:t>
            </w:r>
            <w:r w:rsidR="00454C57">
              <w:rPr>
                <w:b/>
                <w:bCs/>
                <w:color w:val="000099"/>
                <w:sz w:val="18"/>
                <w:szCs w:val="18"/>
                <w:lang w:val="es-ES"/>
              </w:rPr>
              <w:t> </w:t>
            </w:r>
            <w:r w:rsidRPr="00C53010">
              <w:rPr>
                <w:b/>
                <w:bCs/>
                <w:color w:val="000099"/>
                <w:sz w:val="18"/>
                <w:szCs w:val="18"/>
                <w:lang w:val="es-ES"/>
              </w:rPr>
              <w:t>598</w:t>
            </w:r>
          </w:p>
        </w:tc>
        <w:tc>
          <w:tcPr>
            <w:tcW w:w="992" w:type="dxa"/>
            <w:tcBorders>
              <w:top w:val="nil"/>
              <w:left w:val="nil"/>
              <w:bottom w:val="single" w:sz="4" w:space="0" w:color="000099"/>
              <w:right w:val="nil"/>
            </w:tcBorders>
            <w:shd w:val="clear" w:color="000000" w:fill="DCE6F1"/>
            <w:noWrap/>
            <w:vAlign w:val="center"/>
            <w:hideMark/>
          </w:tcPr>
          <w:p w:rsidR="00FA7C73" w:rsidRPr="00C53010" w:rsidRDefault="00FA7C73" w:rsidP="001F3A94">
            <w:pPr>
              <w:spacing w:before="0"/>
              <w:jc w:val="right"/>
              <w:rPr>
                <w:b/>
                <w:bCs/>
                <w:color w:val="000099"/>
                <w:sz w:val="18"/>
                <w:szCs w:val="18"/>
                <w:lang w:val="es-ES"/>
              </w:rPr>
            </w:pPr>
            <w:r w:rsidRPr="00C53010">
              <w:rPr>
                <w:b/>
                <w:bCs/>
                <w:color w:val="000099"/>
                <w:sz w:val="18"/>
                <w:szCs w:val="18"/>
                <w:lang w:val="es-ES"/>
              </w:rPr>
              <w:t>59</w:t>
            </w:r>
            <w:r w:rsidR="00454C57">
              <w:rPr>
                <w:b/>
                <w:bCs/>
                <w:color w:val="000099"/>
                <w:sz w:val="18"/>
                <w:szCs w:val="18"/>
                <w:lang w:val="es-ES"/>
              </w:rPr>
              <w:t> </w:t>
            </w:r>
            <w:r w:rsidRPr="00C53010">
              <w:rPr>
                <w:b/>
                <w:bCs/>
                <w:color w:val="000099"/>
                <w:sz w:val="18"/>
                <w:szCs w:val="18"/>
                <w:lang w:val="es-ES"/>
              </w:rPr>
              <w:t>586</w:t>
            </w:r>
          </w:p>
        </w:tc>
      </w:tr>
      <w:tr w:rsidR="00FA7C73" w:rsidRPr="00C53010" w:rsidTr="003045E9">
        <w:trPr>
          <w:trHeight w:val="285"/>
        </w:trPr>
        <w:tc>
          <w:tcPr>
            <w:tcW w:w="3828" w:type="dxa"/>
            <w:gridSpan w:val="2"/>
            <w:tcBorders>
              <w:top w:val="nil"/>
              <w:left w:val="nil"/>
              <w:bottom w:val="nil"/>
              <w:right w:val="nil"/>
            </w:tcBorders>
            <w:shd w:val="clear" w:color="auto" w:fill="auto"/>
            <w:noWrap/>
            <w:vAlign w:val="center"/>
            <w:hideMark/>
          </w:tcPr>
          <w:p w:rsidR="00FA7C73" w:rsidRPr="00C53010" w:rsidRDefault="00690662" w:rsidP="00782776">
            <w:pPr>
              <w:overflowPunct/>
              <w:autoSpaceDE/>
              <w:autoSpaceDN/>
              <w:adjustRightInd/>
              <w:textAlignment w:val="auto"/>
              <w:rPr>
                <w:sz w:val="20"/>
                <w:lang w:val="es-ES" w:eastAsia="zh-CN"/>
              </w:rPr>
            </w:pPr>
            <w:r>
              <w:rPr>
                <w:sz w:val="20"/>
                <w:lang w:val="es-ES" w:eastAsia="zh-CN"/>
              </w:rPr>
              <w:t xml:space="preserve">* </w:t>
            </w:r>
            <w:r w:rsidR="00782776" w:rsidRPr="00C53010">
              <w:rPr>
                <w:sz w:val="20"/>
                <w:lang w:val="es-ES" w:eastAsia="zh-CN"/>
              </w:rPr>
              <w:t>Al</w:t>
            </w:r>
            <w:r w:rsidR="00FA7C73" w:rsidRPr="00C53010">
              <w:rPr>
                <w:sz w:val="20"/>
                <w:lang w:val="es-ES" w:eastAsia="zh-CN"/>
              </w:rPr>
              <w:t xml:space="preserve"> 17 </w:t>
            </w:r>
            <w:r w:rsidR="00782776" w:rsidRPr="00C53010">
              <w:rPr>
                <w:sz w:val="20"/>
                <w:lang w:val="es-ES" w:eastAsia="zh-CN"/>
              </w:rPr>
              <w:t xml:space="preserve">de febrero de </w:t>
            </w:r>
            <w:r w:rsidR="00FA7C73" w:rsidRPr="00C53010">
              <w:rPr>
                <w:sz w:val="20"/>
                <w:lang w:val="es-ES" w:eastAsia="zh-CN"/>
              </w:rPr>
              <w:t>2017</w:t>
            </w:r>
          </w:p>
        </w:tc>
        <w:tc>
          <w:tcPr>
            <w:tcW w:w="992" w:type="dxa"/>
            <w:tcBorders>
              <w:top w:val="nil"/>
              <w:left w:val="nil"/>
              <w:bottom w:val="nil"/>
              <w:right w:val="nil"/>
            </w:tcBorders>
            <w:shd w:val="clear" w:color="auto" w:fill="auto"/>
            <w:noWrap/>
            <w:vAlign w:val="center"/>
            <w:hideMark/>
          </w:tcPr>
          <w:p w:rsidR="00FA7C73" w:rsidRPr="00C53010" w:rsidRDefault="00FA7C73" w:rsidP="001F3A94">
            <w:pPr>
              <w:overflowPunct/>
              <w:autoSpaceDE/>
              <w:autoSpaceDN/>
              <w:adjustRightInd/>
              <w:spacing w:before="0"/>
              <w:textAlignment w:val="auto"/>
              <w:rPr>
                <w:sz w:val="20"/>
                <w:lang w:val="es-ES" w:eastAsia="zh-CN"/>
              </w:rPr>
            </w:pPr>
          </w:p>
        </w:tc>
        <w:tc>
          <w:tcPr>
            <w:tcW w:w="992" w:type="dxa"/>
            <w:tcBorders>
              <w:top w:val="nil"/>
              <w:left w:val="nil"/>
              <w:bottom w:val="nil"/>
              <w:right w:val="nil"/>
            </w:tcBorders>
            <w:shd w:val="clear" w:color="auto" w:fill="auto"/>
            <w:noWrap/>
            <w:vAlign w:val="center"/>
            <w:hideMark/>
          </w:tcPr>
          <w:p w:rsidR="00FA7C73" w:rsidRPr="00C53010" w:rsidRDefault="00FA7C73" w:rsidP="001F3A94">
            <w:pPr>
              <w:overflowPunct/>
              <w:autoSpaceDE/>
              <w:autoSpaceDN/>
              <w:adjustRightInd/>
              <w:spacing w:before="0"/>
              <w:jc w:val="center"/>
              <w:textAlignment w:val="auto"/>
              <w:rPr>
                <w:sz w:val="20"/>
                <w:lang w:val="es-ES" w:eastAsia="zh-CN"/>
              </w:rPr>
            </w:pPr>
          </w:p>
        </w:tc>
        <w:tc>
          <w:tcPr>
            <w:tcW w:w="851" w:type="dxa"/>
            <w:tcBorders>
              <w:top w:val="nil"/>
              <w:left w:val="nil"/>
              <w:bottom w:val="nil"/>
              <w:right w:val="nil"/>
            </w:tcBorders>
            <w:shd w:val="clear" w:color="auto" w:fill="auto"/>
            <w:noWrap/>
            <w:vAlign w:val="center"/>
            <w:hideMark/>
          </w:tcPr>
          <w:p w:rsidR="00FA7C73" w:rsidRPr="00C53010" w:rsidRDefault="00FA7C73" w:rsidP="001F3A94">
            <w:pPr>
              <w:overflowPunct/>
              <w:autoSpaceDE/>
              <w:autoSpaceDN/>
              <w:adjustRightInd/>
              <w:spacing w:before="0"/>
              <w:jc w:val="center"/>
              <w:textAlignment w:val="auto"/>
              <w:rPr>
                <w:sz w:val="20"/>
                <w:lang w:val="es-ES" w:eastAsia="zh-CN"/>
              </w:rPr>
            </w:pPr>
          </w:p>
        </w:tc>
        <w:tc>
          <w:tcPr>
            <w:tcW w:w="992" w:type="dxa"/>
            <w:tcBorders>
              <w:top w:val="nil"/>
              <w:left w:val="nil"/>
              <w:bottom w:val="nil"/>
              <w:right w:val="nil"/>
            </w:tcBorders>
            <w:shd w:val="clear" w:color="auto" w:fill="auto"/>
            <w:noWrap/>
            <w:vAlign w:val="center"/>
            <w:hideMark/>
          </w:tcPr>
          <w:p w:rsidR="00FA7C73" w:rsidRPr="00C53010" w:rsidRDefault="00FA7C73" w:rsidP="001F3A94">
            <w:pPr>
              <w:overflowPunct/>
              <w:autoSpaceDE/>
              <w:autoSpaceDN/>
              <w:adjustRightInd/>
              <w:spacing w:before="0"/>
              <w:jc w:val="center"/>
              <w:textAlignment w:val="auto"/>
              <w:rPr>
                <w:sz w:val="20"/>
                <w:lang w:val="es-ES" w:eastAsia="zh-CN"/>
              </w:rPr>
            </w:pPr>
          </w:p>
        </w:tc>
        <w:tc>
          <w:tcPr>
            <w:tcW w:w="992" w:type="dxa"/>
            <w:tcBorders>
              <w:top w:val="nil"/>
              <w:left w:val="nil"/>
              <w:bottom w:val="nil"/>
              <w:right w:val="nil"/>
            </w:tcBorders>
            <w:shd w:val="clear" w:color="auto" w:fill="auto"/>
            <w:noWrap/>
            <w:vAlign w:val="center"/>
            <w:hideMark/>
          </w:tcPr>
          <w:p w:rsidR="00FA7C73" w:rsidRPr="00C53010" w:rsidRDefault="00FA7C73" w:rsidP="001F3A94">
            <w:pPr>
              <w:overflowPunct/>
              <w:autoSpaceDE/>
              <w:autoSpaceDN/>
              <w:adjustRightInd/>
              <w:spacing w:before="0"/>
              <w:jc w:val="center"/>
              <w:textAlignment w:val="auto"/>
              <w:rPr>
                <w:sz w:val="20"/>
                <w:lang w:val="es-ES" w:eastAsia="zh-CN"/>
              </w:rPr>
            </w:pPr>
          </w:p>
        </w:tc>
        <w:tc>
          <w:tcPr>
            <w:tcW w:w="992" w:type="dxa"/>
            <w:tcBorders>
              <w:top w:val="nil"/>
              <w:left w:val="nil"/>
              <w:bottom w:val="nil"/>
              <w:right w:val="nil"/>
            </w:tcBorders>
            <w:shd w:val="clear" w:color="auto" w:fill="auto"/>
            <w:noWrap/>
            <w:vAlign w:val="center"/>
            <w:hideMark/>
          </w:tcPr>
          <w:p w:rsidR="00FA7C73" w:rsidRPr="00C53010" w:rsidRDefault="00FA7C73" w:rsidP="001F3A94">
            <w:pPr>
              <w:overflowPunct/>
              <w:autoSpaceDE/>
              <w:autoSpaceDN/>
              <w:adjustRightInd/>
              <w:spacing w:before="0"/>
              <w:jc w:val="center"/>
              <w:textAlignment w:val="auto"/>
              <w:rPr>
                <w:sz w:val="20"/>
                <w:lang w:val="es-ES" w:eastAsia="zh-CN"/>
              </w:rPr>
            </w:pPr>
          </w:p>
        </w:tc>
      </w:tr>
    </w:tbl>
    <w:p w:rsidR="00FA7C73" w:rsidRPr="00C53010" w:rsidRDefault="00FA7C73" w:rsidP="0078024F">
      <w:pPr>
        <w:pStyle w:val="Heading2"/>
        <w:rPr>
          <w:lang w:val="es-ES"/>
        </w:rPr>
      </w:pPr>
      <w:bookmarkStart w:id="15" w:name="_Toc446060758"/>
      <w:r w:rsidRPr="00C53010">
        <w:rPr>
          <w:lang w:val="es-ES"/>
        </w:rPr>
        <w:t>2.7</w:t>
      </w:r>
      <w:r w:rsidRPr="00C53010">
        <w:rPr>
          <w:lang w:val="es-ES"/>
        </w:rPr>
        <w:tab/>
      </w:r>
      <w:r w:rsidR="00071270" w:rsidRPr="00C53010">
        <w:rPr>
          <w:lang w:val="es-ES"/>
        </w:rPr>
        <w:t>Lugar de celebración de la A</w:t>
      </w:r>
      <w:r w:rsidRPr="00C53010">
        <w:rPr>
          <w:lang w:val="es-ES"/>
        </w:rPr>
        <w:t>R/</w:t>
      </w:r>
      <w:r w:rsidR="00071270" w:rsidRPr="00C53010">
        <w:rPr>
          <w:lang w:val="es-ES"/>
        </w:rPr>
        <w:t>CMR</w:t>
      </w:r>
      <w:r w:rsidRPr="00C53010">
        <w:rPr>
          <w:lang w:val="es-ES"/>
        </w:rPr>
        <w:t xml:space="preserve">-19 </w:t>
      </w:r>
    </w:p>
    <w:p w:rsidR="00FA7C73" w:rsidRPr="00C53010" w:rsidRDefault="00676689" w:rsidP="00E3515B">
      <w:pPr>
        <w:rPr>
          <w:rFonts w:ascii="Calibri" w:eastAsia="SimSun" w:hAnsi="Calibri"/>
          <w:b/>
          <w:color w:val="800000"/>
          <w:sz w:val="22"/>
          <w:lang w:val="es-ES" w:eastAsia="zh-CN"/>
        </w:rPr>
      </w:pPr>
      <w:r w:rsidRPr="00C53010">
        <w:rPr>
          <w:lang w:val="es-ES"/>
        </w:rPr>
        <w:t>En su reunión de 2017 el Consejo de la UIT adoptó una revisión de la Resolución 1380</w:t>
      </w:r>
      <w:r w:rsidR="001B0E79">
        <w:rPr>
          <w:lang w:val="es-ES"/>
        </w:rPr>
        <w:t xml:space="preserve">, </w:t>
      </w:r>
      <w:r w:rsidRPr="00C53010">
        <w:rPr>
          <w:lang w:val="es-ES"/>
        </w:rPr>
        <w:t>en la que se resuelve convocar la próxima Conferencia Mundial de Radiocomunicaciones (CMR-19) y la Asamblea de Radiocomunicaciones (AR-19) en Sharm</w:t>
      </w:r>
      <w:r w:rsidRPr="00C53010">
        <w:rPr>
          <w:lang w:val="es-ES"/>
        </w:rPr>
        <w:noBreakHyphen/>
        <w:t>el</w:t>
      </w:r>
      <w:r w:rsidRPr="00C53010">
        <w:rPr>
          <w:lang w:val="es-ES"/>
        </w:rPr>
        <w:noBreakHyphen/>
        <w:t>Sheikh (Egipto)</w:t>
      </w:r>
      <w:r w:rsidR="001B0E79">
        <w:rPr>
          <w:lang w:val="es-ES"/>
        </w:rPr>
        <w:t xml:space="preserve">, </w:t>
      </w:r>
      <w:r w:rsidRPr="00C53010">
        <w:rPr>
          <w:lang w:val="es-ES"/>
        </w:rPr>
        <w:t>sin cambiar las fechas de celebración de estos eventos ni el orden del día de la CMR-19</w:t>
      </w:r>
      <w:r w:rsidR="001B0E79">
        <w:rPr>
          <w:lang w:val="es-ES"/>
        </w:rPr>
        <w:t xml:space="preserve">, </w:t>
      </w:r>
      <w:r w:rsidRPr="00C53010">
        <w:rPr>
          <w:lang w:val="es-ES"/>
        </w:rPr>
        <w:t>previamente acordados por el Consejo y confirmados mediante consulta a los Estados Miembros.</w:t>
      </w:r>
    </w:p>
    <w:p w:rsidR="00FA7C73" w:rsidRPr="00C53010" w:rsidRDefault="0078024F" w:rsidP="00E3515B">
      <w:pPr>
        <w:rPr>
          <w:rFonts w:eastAsia="SimSun"/>
          <w:lang w:val="es-ES" w:eastAsia="zh-CN"/>
        </w:rPr>
      </w:pPr>
      <w:r w:rsidRPr="00C53010">
        <w:rPr>
          <w:rFonts w:eastAsia="SimSun"/>
          <w:lang w:val="es-ES" w:eastAsia="zh-CN"/>
        </w:rPr>
        <w:t xml:space="preserve">En la Resolución </w:t>
      </w:r>
      <w:r w:rsidR="00FA7C73" w:rsidRPr="00C53010">
        <w:rPr>
          <w:rFonts w:eastAsia="SimSun"/>
          <w:lang w:val="es-ES" w:eastAsia="zh-CN"/>
        </w:rPr>
        <w:t>1380 (</w:t>
      </w:r>
      <w:r w:rsidRPr="00C53010">
        <w:rPr>
          <w:rFonts w:eastAsia="SimSun"/>
          <w:lang w:val="es-ES" w:eastAsia="zh-CN"/>
        </w:rPr>
        <w:t xml:space="preserve">modificada en </w:t>
      </w:r>
      <w:r w:rsidR="00FA7C73" w:rsidRPr="00C53010">
        <w:rPr>
          <w:rFonts w:eastAsia="SimSun"/>
          <w:lang w:val="es-ES" w:eastAsia="zh-CN"/>
        </w:rPr>
        <w:t xml:space="preserve">2017) </w:t>
      </w:r>
      <w:r w:rsidRPr="00C53010">
        <w:rPr>
          <w:rFonts w:eastAsia="SimSun"/>
          <w:lang w:val="es-ES" w:eastAsia="zh-CN"/>
        </w:rPr>
        <w:t xml:space="preserve">se encarga al Secretario </w:t>
      </w:r>
      <w:r w:rsidR="00FA7C73" w:rsidRPr="00C53010">
        <w:rPr>
          <w:rFonts w:eastAsia="SimSun"/>
          <w:lang w:val="es-ES" w:eastAsia="zh-CN"/>
        </w:rPr>
        <w:t xml:space="preserve">General </w:t>
      </w:r>
      <w:r w:rsidRPr="00C53010">
        <w:rPr>
          <w:rFonts w:eastAsia="SimSun"/>
          <w:lang w:val="es-ES" w:eastAsia="zh-CN"/>
        </w:rPr>
        <w:t>que consulte a los Estados Miembros sobre el lugar exacto donde celebrar la Conferencia Mundial de Radiocomunicaciones y la Asamblea de Radiocomunicaciones de 2019</w:t>
      </w:r>
      <w:r w:rsidR="00FA7C73" w:rsidRPr="00C53010">
        <w:rPr>
          <w:rFonts w:eastAsia="SimSun"/>
          <w:lang w:val="es-ES" w:eastAsia="zh-CN"/>
        </w:rPr>
        <w:t xml:space="preserve">. </w:t>
      </w:r>
      <w:r w:rsidRPr="00C53010">
        <w:rPr>
          <w:rFonts w:eastAsia="SimSun"/>
          <w:lang w:val="es-ES" w:eastAsia="zh-CN"/>
        </w:rPr>
        <w:t>Por consiguiente</w:t>
      </w:r>
      <w:r w:rsidR="001B0E79">
        <w:rPr>
          <w:rFonts w:eastAsia="SimSun"/>
          <w:lang w:val="es-ES" w:eastAsia="zh-CN"/>
        </w:rPr>
        <w:t xml:space="preserve">, </w:t>
      </w:r>
      <w:r w:rsidRPr="00C53010">
        <w:rPr>
          <w:rFonts w:eastAsia="SimSun"/>
          <w:lang w:val="es-ES" w:eastAsia="zh-CN"/>
        </w:rPr>
        <w:t xml:space="preserve">y de conformidad con el </w:t>
      </w:r>
      <w:r w:rsidR="00FA7C73" w:rsidRPr="00C53010">
        <w:rPr>
          <w:rFonts w:eastAsia="SimSun"/>
          <w:lang w:val="es-ES" w:eastAsia="zh-CN"/>
        </w:rPr>
        <w:t xml:space="preserve">CV 42 </w:t>
      </w:r>
      <w:r w:rsidRPr="00C53010">
        <w:rPr>
          <w:rFonts w:eastAsia="SimSun"/>
          <w:lang w:val="es-ES" w:eastAsia="zh-CN"/>
        </w:rPr>
        <w:t xml:space="preserve">y el </w:t>
      </w:r>
      <w:r w:rsidR="00FA7C73" w:rsidRPr="00C53010">
        <w:rPr>
          <w:rFonts w:eastAsia="SimSun"/>
          <w:lang w:val="es-ES" w:eastAsia="zh-CN"/>
        </w:rPr>
        <w:t>CV 118</w:t>
      </w:r>
      <w:r w:rsidR="001B0E79">
        <w:rPr>
          <w:rFonts w:eastAsia="SimSun"/>
          <w:lang w:val="es-ES" w:eastAsia="zh-CN"/>
        </w:rPr>
        <w:t xml:space="preserve">, </w:t>
      </w:r>
      <w:r w:rsidRPr="00C53010">
        <w:rPr>
          <w:rFonts w:eastAsia="SimSun"/>
          <w:lang w:val="es-ES" w:eastAsia="zh-CN"/>
        </w:rPr>
        <w:t xml:space="preserve">se consultó a los Estados Miembros mediante las Cartas Circulares </w:t>
      </w:r>
      <w:r w:rsidR="00FA7C73" w:rsidRPr="00C53010">
        <w:rPr>
          <w:rFonts w:eastAsia="SimSun"/>
          <w:lang w:val="es-ES" w:eastAsia="zh-CN"/>
        </w:rPr>
        <w:t>CL-17/34</w:t>
      </w:r>
      <w:r w:rsidR="001B0E79">
        <w:rPr>
          <w:rFonts w:eastAsia="SimSun"/>
          <w:lang w:val="es-ES" w:eastAsia="zh-CN"/>
        </w:rPr>
        <w:t xml:space="preserve">, </w:t>
      </w:r>
      <w:r w:rsidRPr="00C53010">
        <w:rPr>
          <w:rFonts w:eastAsia="SimSun"/>
          <w:lang w:val="es-ES" w:eastAsia="zh-CN"/>
        </w:rPr>
        <w:t>de</w:t>
      </w:r>
      <w:r w:rsidR="00FA7C73" w:rsidRPr="00C53010">
        <w:rPr>
          <w:rFonts w:eastAsia="SimSun"/>
          <w:lang w:val="es-ES" w:eastAsia="zh-CN"/>
        </w:rPr>
        <w:t xml:space="preserve"> 18 </w:t>
      </w:r>
      <w:r w:rsidRPr="00C53010">
        <w:rPr>
          <w:rFonts w:eastAsia="SimSun"/>
          <w:lang w:val="es-ES" w:eastAsia="zh-CN"/>
        </w:rPr>
        <w:t xml:space="preserve">de julio de </w:t>
      </w:r>
      <w:r w:rsidR="00FA7C73" w:rsidRPr="00C53010">
        <w:rPr>
          <w:rFonts w:eastAsia="SimSun"/>
          <w:lang w:val="es-ES" w:eastAsia="zh-CN"/>
        </w:rPr>
        <w:t>2017</w:t>
      </w:r>
      <w:r w:rsidR="001B0E79">
        <w:rPr>
          <w:rFonts w:eastAsia="SimSun"/>
          <w:lang w:val="es-ES" w:eastAsia="zh-CN"/>
        </w:rPr>
        <w:t xml:space="preserve">, </w:t>
      </w:r>
      <w:r w:rsidRPr="00C53010">
        <w:rPr>
          <w:rFonts w:eastAsia="SimSun"/>
          <w:lang w:val="es-ES" w:eastAsia="zh-CN"/>
        </w:rPr>
        <w:t xml:space="preserve">y </w:t>
      </w:r>
      <w:r w:rsidR="00FA7C73" w:rsidRPr="00C53010">
        <w:rPr>
          <w:rFonts w:eastAsia="SimSun"/>
          <w:lang w:val="es-ES" w:eastAsia="zh-CN"/>
        </w:rPr>
        <w:t>CL-17-39</w:t>
      </w:r>
      <w:r w:rsidR="001B0E79">
        <w:rPr>
          <w:rFonts w:eastAsia="SimSun"/>
          <w:lang w:val="es-ES" w:eastAsia="zh-CN"/>
        </w:rPr>
        <w:t xml:space="preserve">, </w:t>
      </w:r>
      <w:r w:rsidRPr="00C53010">
        <w:rPr>
          <w:rFonts w:eastAsia="SimSun"/>
          <w:lang w:val="es-ES" w:eastAsia="zh-CN"/>
        </w:rPr>
        <w:t xml:space="preserve">de </w:t>
      </w:r>
      <w:r w:rsidR="00FA7C73" w:rsidRPr="00C53010">
        <w:rPr>
          <w:rFonts w:eastAsia="SimSun"/>
          <w:lang w:val="es-ES" w:eastAsia="zh-CN"/>
        </w:rPr>
        <w:t xml:space="preserve">13 </w:t>
      </w:r>
      <w:r w:rsidRPr="00C53010">
        <w:rPr>
          <w:rFonts w:eastAsia="SimSun"/>
          <w:lang w:val="es-ES" w:eastAsia="zh-CN"/>
        </w:rPr>
        <w:t xml:space="preserve">de septiembre de </w:t>
      </w:r>
      <w:r w:rsidR="00FA7C73" w:rsidRPr="00C53010">
        <w:rPr>
          <w:rFonts w:eastAsia="SimSun"/>
          <w:lang w:val="es-ES" w:eastAsia="zh-CN"/>
        </w:rPr>
        <w:t>2017.</w:t>
      </w:r>
    </w:p>
    <w:p w:rsidR="00FA7C73" w:rsidRPr="00C53010" w:rsidRDefault="004F04DE" w:rsidP="00E3515B">
      <w:pPr>
        <w:rPr>
          <w:rFonts w:eastAsia="SimSun"/>
          <w:lang w:val="es-ES" w:eastAsia="zh-CN"/>
        </w:rPr>
      </w:pPr>
      <w:r w:rsidRPr="00C53010">
        <w:rPr>
          <w:rFonts w:eastAsia="SimSun"/>
          <w:lang w:val="es-ES" w:eastAsia="zh-CN"/>
        </w:rPr>
        <w:lastRenderedPageBreak/>
        <w:t xml:space="preserve">Según se informó a los Miembros mediante la Carta </w:t>
      </w:r>
      <w:r w:rsidR="00FA7C73" w:rsidRPr="00C53010">
        <w:rPr>
          <w:rFonts w:eastAsia="SimSun"/>
          <w:lang w:val="es-ES" w:eastAsia="zh-CN"/>
        </w:rPr>
        <w:t>Circular CL-17-52</w:t>
      </w:r>
      <w:r w:rsidR="001B0E79">
        <w:rPr>
          <w:rFonts w:eastAsia="SimSun"/>
          <w:lang w:val="es-ES" w:eastAsia="zh-CN"/>
        </w:rPr>
        <w:t xml:space="preserve">, </w:t>
      </w:r>
      <w:r w:rsidRPr="00C53010">
        <w:rPr>
          <w:rFonts w:eastAsia="SimSun"/>
          <w:lang w:val="es-ES" w:eastAsia="zh-CN"/>
        </w:rPr>
        <w:t xml:space="preserve">de </w:t>
      </w:r>
      <w:r w:rsidR="00FA7C73" w:rsidRPr="00C53010">
        <w:rPr>
          <w:rFonts w:eastAsia="SimSun"/>
          <w:lang w:val="es-ES" w:eastAsia="zh-CN"/>
        </w:rPr>
        <w:t xml:space="preserve">18 </w:t>
      </w:r>
      <w:r w:rsidRPr="00C53010">
        <w:rPr>
          <w:rFonts w:eastAsia="SimSun"/>
          <w:lang w:val="es-ES" w:eastAsia="zh-CN"/>
        </w:rPr>
        <w:t xml:space="preserve">de diciembre de </w:t>
      </w:r>
      <w:r w:rsidR="00FA7C73" w:rsidRPr="00C53010">
        <w:rPr>
          <w:rFonts w:eastAsia="SimSun"/>
          <w:lang w:val="es-ES" w:eastAsia="zh-CN"/>
        </w:rPr>
        <w:t>2017</w:t>
      </w:r>
      <w:r w:rsidR="001B0E79">
        <w:rPr>
          <w:rFonts w:eastAsia="SimSun"/>
          <w:lang w:val="es-ES" w:eastAsia="zh-CN"/>
        </w:rPr>
        <w:t xml:space="preserve">, </w:t>
      </w:r>
      <w:r w:rsidRPr="00C53010">
        <w:rPr>
          <w:rFonts w:eastAsia="SimSun"/>
          <w:lang w:val="es-ES" w:eastAsia="zh-CN"/>
        </w:rPr>
        <w:t>el lugar exacto de celebración de la CMR</w:t>
      </w:r>
      <w:r w:rsidR="00FA7C73" w:rsidRPr="00C53010">
        <w:rPr>
          <w:rFonts w:eastAsia="SimSun"/>
          <w:lang w:val="es-ES" w:eastAsia="zh-CN"/>
        </w:rPr>
        <w:t xml:space="preserve">-19 </w:t>
      </w:r>
      <w:r w:rsidRPr="00C53010">
        <w:rPr>
          <w:rFonts w:eastAsia="SimSun"/>
          <w:lang w:val="es-ES" w:eastAsia="zh-CN"/>
        </w:rPr>
        <w:t>y de la AR-19</w:t>
      </w:r>
      <w:r w:rsidR="001B0E79">
        <w:rPr>
          <w:rFonts w:eastAsia="SimSun"/>
          <w:lang w:val="es-ES" w:eastAsia="zh-CN"/>
        </w:rPr>
        <w:t xml:space="preserve">, </w:t>
      </w:r>
      <w:r w:rsidRPr="00C53010">
        <w:rPr>
          <w:rFonts w:eastAsia="SimSun"/>
          <w:lang w:val="es-ES" w:eastAsia="zh-CN"/>
        </w:rPr>
        <w:t xml:space="preserve">estipulado en la Resolución </w:t>
      </w:r>
      <w:r w:rsidR="00FA7C73" w:rsidRPr="00C53010">
        <w:rPr>
          <w:rFonts w:eastAsia="SimSun"/>
          <w:lang w:val="es-ES" w:eastAsia="zh-CN"/>
        </w:rPr>
        <w:t>1380 (</w:t>
      </w:r>
      <w:r w:rsidRPr="00C53010">
        <w:rPr>
          <w:rFonts w:eastAsia="SimSun"/>
          <w:lang w:val="es-ES" w:eastAsia="zh-CN"/>
        </w:rPr>
        <w:t xml:space="preserve">modificada en </w:t>
      </w:r>
      <w:r w:rsidR="00FA7C73" w:rsidRPr="00C53010">
        <w:rPr>
          <w:rFonts w:eastAsia="SimSun"/>
          <w:lang w:val="es-ES" w:eastAsia="zh-CN"/>
        </w:rPr>
        <w:t xml:space="preserve">2017) </w:t>
      </w:r>
      <w:r w:rsidRPr="00C53010">
        <w:rPr>
          <w:rFonts w:eastAsia="SimSun"/>
          <w:lang w:val="es-ES" w:eastAsia="zh-CN"/>
        </w:rPr>
        <w:t>recibió el acuerdo de la mayoría de los Estados Miembros de la UIT</w:t>
      </w:r>
      <w:r w:rsidR="001B0E79">
        <w:rPr>
          <w:rFonts w:eastAsia="SimSun"/>
          <w:lang w:val="es-ES" w:eastAsia="zh-CN"/>
        </w:rPr>
        <w:t xml:space="preserve">, </w:t>
      </w:r>
      <w:r w:rsidRPr="00C53010">
        <w:rPr>
          <w:rFonts w:eastAsia="SimSun"/>
          <w:lang w:val="es-ES" w:eastAsia="zh-CN"/>
        </w:rPr>
        <w:t xml:space="preserve">de conformidad con el número </w:t>
      </w:r>
      <w:r w:rsidR="00FA7C73" w:rsidRPr="00C53010">
        <w:rPr>
          <w:rFonts w:eastAsia="SimSun"/>
          <w:lang w:val="es-ES" w:eastAsia="zh-CN"/>
        </w:rPr>
        <w:t xml:space="preserve">47 </w:t>
      </w:r>
      <w:r w:rsidRPr="00C53010">
        <w:rPr>
          <w:rFonts w:eastAsia="SimSun"/>
          <w:lang w:val="es-ES" w:eastAsia="zh-CN"/>
        </w:rPr>
        <w:t>del Convenio de la U</w:t>
      </w:r>
      <w:r w:rsidR="00FA7C73" w:rsidRPr="00C53010">
        <w:rPr>
          <w:rFonts w:eastAsia="SimSun"/>
          <w:lang w:val="es-ES" w:eastAsia="zh-CN"/>
        </w:rPr>
        <w:t>IT.</w:t>
      </w:r>
    </w:p>
    <w:p w:rsidR="00FA7C73" w:rsidRPr="00C53010" w:rsidRDefault="004F04DE" w:rsidP="00E3515B">
      <w:pPr>
        <w:rPr>
          <w:rFonts w:eastAsia="SimSun"/>
          <w:lang w:val="es-ES" w:eastAsia="zh-CN"/>
        </w:rPr>
      </w:pPr>
      <w:r w:rsidRPr="00C53010">
        <w:rPr>
          <w:rFonts w:eastAsia="SimSun"/>
          <w:lang w:val="es-ES" w:eastAsia="zh-CN"/>
        </w:rPr>
        <w:t>En consecuencia</w:t>
      </w:r>
      <w:r w:rsidR="001B0E79">
        <w:rPr>
          <w:rFonts w:eastAsia="SimSun"/>
          <w:lang w:val="es-ES" w:eastAsia="zh-CN"/>
        </w:rPr>
        <w:t xml:space="preserve">, </w:t>
      </w:r>
      <w:r w:rsidRPr="00C53010">
        <w:rPr>
          <w:rFonts w:eastAsia="SimSun"/>
          <w:lang w:val="es-ES" w:eastAsia="zh-CN"/>
        </w:rPr>
        <w:t>la CMR</w:t>
      </w:r>
      <w:r w:rsidR="00FA7C73" w:rsidRPr="00C53010">
        <w:rPr>
          <w:rFonts w:eastAsia="SimSun"/>
          <w:lang w:val="es-ES" w:eastAsia="zh-CN"/>
        </w:rPr>
        <w:t xml:space="preserve">-19 </w:t>
      </w:r>
      <w:r w:rsidRPr="00C53010">
        <w:rPr>
          <w:rFonts w:eastAsia="SimSun"/>
          <w:lang w:val="es-ES" w:eastAsia="zh-CN"/>
        </w:rPr>
        <w:t>y la A</w:t>
      </w:r>
      <w:r w:rsidR="00FA7C73" w:rsidRPr="00C53010">
        <w:rPr>
          <w:rFonts w:eastAsia="SimSun"/>
          <w:lang w:val="es-ES" w:eastAsia="zh-CN"/>
        </w:rPr>
        <w:t xml:space="preserve">R-19 </w:t>
      </w:r>
      <w:r w:rsidRPr="00C53010">
        <w:rPr>
          <w:rFonts w:eastAsia="SimSun"/>
          <w:lang w:val="es-ES" w:eastAsia="zh-CN"/>
        </w:rPr>
        <w:t xml:space="preserve">tendrán lugar en </w:t>
      </w:r>
      <w:r w:rsidR="00FA7C73" w:rsidRPr="00C53010">
        <w:rPr>
          <w:rFonts w:eastAsia="SimSun"/>
          <w:lang w:val="es-ES" w:eastAsia="zh-CN"/>
        </w:rPr>
        <w:t>Sharm el-Sheikh (Eg</w:t>
      </w:r>
      <w:r w:rsidRPr="00C53010">
        <w:rPr>
          <w:rFonts w:eastAsia="SimSun"/>
          <w:lang w:val="es-ES" w:eastAsia="zh-CN"/>
        </w:rPr>
        <w:t>i</w:t>
      </w:r>
      <w:r w:rsidR="00FA7C73" w:rsidRPr="00C53010">
        <w:rPr>
          <w:rFonts w:eastAsia="SimSun"/>
          <w:lang w:val="es-ES" w:eastAsia="zh-CN"/>
        </w:rPr>
        <w:t>pt</w:t>
      </w:r>
      <w:r w:rsidRPr="00C53010">
        <w:rPr>
          <w:rFonts w:eastAsia="SimSun"/>
          <w:lang w:val="es-ES" w:eastAsia="zh-CN"/>
        </w:rPr>
        <w:t>o</w:t>
      </w:r>
      <w:r w:rsidR="00FA7C73" w:rsidRPr="00C53010">
        <w:rPr>
          <w:rFonts w:eastAsia="SimSun"/>
          <w:lang w:val="es-ES" w:eastAsia="zh-CN"/>
        </w:rPr>
        <w:t>)</w:t>
      </w:r>
      <w:r w:rsidR="001B0E79">
        <w:rPr>
          <w:rFonts w:eastAsia="SimSun"/>
          <w:lang w:val="es-ES" w:eastAsia="zh-CN"/>
        </w:rPr>
        <w:t xml:space="preserve">, </w:t>
      </w:r>
      <w:r w:rsidRPr="00C53010">
        <w:rPr>
          <w:rFonts w:eastAsia="SimSun"/>
          <w:lang w:val="es-ES" w:eastAsia="zh-CN"/>
        </w:rPr>
        <w:t>sin modificar las fechas ni el orden del día de la CMR</w:t>
      </w:r>
      <w:r w:rsidR="00FA7C73" w:rsidRPr="00C53010">
        <w:rPr>
          <w:rFonts w:eastAsia="SimSun"/>
          <w:lang w:val="es-ES" w:eastAsia="zh-CN"/>
        </w:rPr>
        <w:t xml:space="preserve">-19 </w:t>
      </w:r>
      <w:r w:rsidRPr="00C53010">
        <w:rPr>
          <w:rFonts w:eastAsia="SimSun"/>
          <w:lang w:val="es-ES" w:eastAsia="zh-CN"/>
        </w:rPr>
        <w:t>acordados previamente por el Consejo y confirmados por consulta a los Estados Miembros</w:t>
      </w:r>
      <w:r w:rsidR="00FA7C73" w:rsidRPr="00C53010">
        <w:rPr>
          <w:rFonts w:eastAsia="SimSun"/>
          <w:lang w:val="es-ES" w:eastAsia="zh-CN"/>
        </w:rPr>
        <w:t>.</w:t>
      </w:r>
    </w:p>
    <w:p w:rsidR="00FA7C73" w:rsidRPr="00C53010" w:rsidRDefault="004F04DE" w:rsidP="00E3515B">
      <w:pPr>
        <w:rPr>
          <w:rFonts w:eastAsia="SimSun"/>
          <w:lang w:val="es-ES" w:eastAsia="zh-CN"/>
        </w:rPr>
      </w:pPr>
      <w:r w:rsidRPr="00C53010">
        <w:rPr>
          <w:rFonts w:eastAsia="SimSun"/>
          <w:lang w:val="es-ES" w:eastAsia="zh-CN"/>
        </w:rPr>
        <w:t xml:space="preserve">Personal de la BR y de la Secretaría visitaron el lugar en enero de </w:t>
      </w:r>
      <w:r w:rsidR="00FA7C73" w:rsidRPr="00C53010">
        <w:rPr>
          <w:rFonts w:eastAsia="SimSun"/>
          <w:lang w:val="es-ES" w:eastAsia="zh-CN"/>
        </w:rPr>
        <w:t xml:space="preserve">2018. </w:t>
      </w:r>
      <w:r w:rsidRPr="00C53010">
        <w:rPr>
          <w:rFonts w:eastAsia="SimSun"/>
          <w:lang w:val="es-ES" w:eastAsia="zh-CN"/>
        </w:rPr>
        <w:t>Durante la visita prestaron atención principalmente a tres aspectos que se consideran esenciales para el éxito de la conferencia</w:t>
      </w:r>
      <w:r w:rsidR="00FA7C73" w:rsidRPr="00C53010">
        <w:rPr>
          <w:rFonts w:eastAsia="SimSun"/>
          <w:lang w:val="es-ES" w:eastAsia="zh-CN"/>
        </w:rPr>
        <w:t xml:space="preserve">: </w:t>
      </w:r>
      <w:r w:rsidRPr="00C53010">
        <w:rPr>
          <w:rFonts w:eastAsia="SimSun"/>
          <w:lang w:val="es-ES" w:eastAsia="zh-CN"/>
        </w:rPr>
        <w:t xml:space="preserve">logística </w:t>
      </w:r>
      <w:r w:rsidR="00FA7C73" w:rsidRPr="00C53010">
        <w:rPr>
          <w:rFonts w:eastAsia="SimSun"/>
          <w:lang w:val="es-ES" w:eastAsia="zh-CN"/>
        </w:rPr>
        <w:t>(</w:t>
      </w:r>
      <w:r w:rsidRPr="00C53010">
        <w:rPr>
          <w:rFonts w:eastAsia="SimSun"/>
          <w:lang w:val="es-ES" w:eastAsia="zh-CN"/>
        </w:rPr>
        <w:t>especialmente el tamaño y número de las salas de reunión y las instalaciones de interpretación</w:t>
      </w:r>
      <w:r w:rsidR="00FA7C73" w:rsidRPr="00C53010">
        <w:rPr>
          <w:rFonts w:eastAsia="SimSun"/>
          <w:lang w:val="es-ES" w:eastAsia="zh-CN"/>
        </w:rPr>
        <w:t>)</w:t>
      </w:r>
      <w:r w:rsidR="001B0E79">
        <w:rPr>
          <w:rFonts w:eastAsia="SimSun"/>
          <w:lang w:val="es-ES" w:eastAsia="zh-CN"/>
        </w:rPr>
        <w:t xml:space="preserve">, </w:t>
      </w:r>
      <w:r w:rsidRPr="00C53010">
        <w:rPr>
          <w:rFonts w:eastAsia="SimSun"/>
          <w:lang w:val="es-ES" w:eastAsia="zh-CN"/>
        </w:rPr>
        <w:t>instalaciones de T</w:t>
      </w:r>
      <w:r w:rsidR="00FA7C73" w:rsidRPr="00C53010">
        <w:rPr>
          <w:rFonts w:eastAsia="SimSun"/>
          <w:lang w:val="es-ES" w:eastAsia="zh-CN"/>
        </w:rPr>
        <w:t>I (</w:t>
      </w:r>
      <w:r w:rsidR="00D50600" w:rsidRPr="00C53010">
        <w:rPr>
          <w:rFonts w:eastAsia="SimSun"/>
          <w:lang w:val="es-ES" w:eastAsia="zh-CN"/>
        </w:rPr>
        <w:t>en particular</w:t>
      </w:r>
      <w:r w:rsidR="001B0E79">
        <w:rPr>
          <w:rFonts w:eastAsia="SimSun"/>
          <w:lang w:val="es-ES" w:eastAsia="zh-CN"/>
        </w:rPr>
        <w:t xml:space="preserve">, </w:t>
      </w:r>
      <w:r w:rsidR="00D50600" w:rsidRPr="00C53010">
        <w:rPr>
          <w:rFonts w:eastAsia="SimSun"/>
          <w:lang w:val="es-ES" w:eastAsia="zh-CN"/>
        </w:rPr>
        <w:t xml:space="preserve">capacidades de TIC y </w:t>
      </w:r>
      <w:r w:rsidR="00FA7C73" w:rsidRPr="00C53010">
        <w:rPr>
          <w:rFonts w:eastAsia="SimSun"/>
          <w:lang w:val="es-ES" w:eastAsia="zh-CN"/>
        </w:rPr>
        <w:t>audiovisual</w:t>
      </w:r>
      <w:r w:rsidR="00D50600" w:rsidRPr="00C53010">
        <w:rPr>
          <w:rFonts w:eastAsia="SimSun"/>
          <w:lang w:val="es-ES" w:eastAsia="zh-CN"/>
        </w:rPr>
        <w:t>es</w:t>
      </w:r>
      <w:r w:rsidR="00FA7C73" w:rsidRPr="00C53010">
        <w:rPr>
          <w:rFonts w:eastAsia="SimSun"/>
          <w:lang w:val="es-ES" w:eastAsia="zh-CN"/>
        </w:rPr>
        <w:t>)</w:t>
      </w:r>
      <w:r w:rsidR="001B0E79">
        <w:rPr>
          <w:rFonts w:eastAsia="SimSun"/>
          <w:lang w:val="es-ES" w:eastAsia="zh-CN"/>
        </w:rPr>
        <w:t xml:space="preserve">, </w:t>
      </w:r>
      <w:r w:rsidR="00D50600" w:rsidRPr="00C53010">
        <w:rPr>
          <w:rFonts w:eastAsia="SimSun"/>
          <w:lang w:val="es-ES" w:eastAsia="zh-CN"/>
        </w:rPr>
        <w:t>y la seguridad y protección</w:t>
      </w:r>
      <w:r w:rsidR="00FA7C73" w:rsidRPr="00C53010">
        <w:rPr>
          <w:rFonts w:eastAsia="SimSun"/>
          <w:lang w:val="es-ES" w:eastAsia="zh-CN"/>
        </w:rPr>
        <w:t>.</w:t>
      </w:r>
    </w:p>
    <w:p w:rsidR="00FA7C73" w:rsidRPr="00C53010" w:rsidRDefault="001B3686" w:rsidP="00E3515B">
      <w:pPr>
        <w:rPr>
          <w:rFonts w:eastAsia="SimSun"/>
          <w:lang w:val="es-ES" w:eastAsia="zh-CN"/>
        </w:rPr>
      </w:pPr>
      <w:r w:rsidRPr="00C53010">
        <w:rPr>
          <w:rFonts w:eastAsia="SimSun"/>
          <w:lang w:val="es-ES" w:eastAsia="zh-CN"/>
        </w:rPr>
        <w:t>Aunque el Centro Internacional de Convenciones Maritim Sharm el-Sheikh está en fase de remodelación y todavía no dispone de todas las instalaciones para celebrar la AR-19 y la CMR</w:t>
      </w:r>
      <w:r w:rsidR="00FA7C73" w:rsidRPr="00C53010">
        <w:rPr>
          <w:rFonts w:eastAsia="SimSun"/>
          <w:lang w:val="es-ES" w:eastAsia="zh-CN"/>
        </w:rPr>
        <w:t>-19</w:t>
      </w:r>
      <w:r w:rsidR="001B0E79">
        <w:rPr>
          <w:rFonts w:eastAsia="SimSun"/>
          <w:lang w:val="es-ES" w:eastAsia="zh-CN"/>
        </w:rPr>
        <w:t xml:space="preserve">, </w:t>
      </w:r>
      <w:r w:rsidRPr="00C53010">
        <w:rPr>
          <w:rFonts w:eastAsia="SimSun"/>
          <w:lang w:val="es-ES" w:eastAsia="zh-CN"/>
        </w:rPr>
        <w:t>una ampliación del centro de convenciones está en fase de construcción que aumentará considerablemente la capacidad y las instalaciones del centro actual</w:t>
      </w:r>
      <w:r w:rsidR="001B0E79">
        <w:rPr>
          <w:rFonts w:eastAsia="SimSun"/>
          <w:lang w:val="es-ES" w:eastAsia="zh-CN"/>
        </w:rPr>
        <w:t xml:space="preserve">, </w:t>
      </w:r>
      <w:r w:rsidRPr="00C53010">
        <w:rPr>
          <w:rFonts w:eastAsia="SimSun"/>
          <w:lang w:val="es-ES" w:eastAsia="zh-CN"/>
        </w:rPr>
        <w:t>tanto en lo relativo a salas de reunión como a instalaciones de TIC y audiovisuales</w:t>
      </w:r>
      <w:r w:rsidR="00FA7C73" w:rsidRPr="00C53010">
        <w:rPr>
          <w:rFonts w:eastAsia="SimSun"/>
          <w:lang w:val="es-ES" w:eastAsia="zh-CN"/>
        </w:rPr>
        <w:t xml:space="preserve">. </w:t>
      </w:r>
      <w:r w:rsidR="007C4171">
        <w:rPr>
          <w:rFonts w:eastAsia="SimSun"/>
          <w:lang w:val="es-ES" w:eastAsia="zh-CN"/>
        </w:rPr>
        <w:t>Está</w:t>
      </w:r>
      <w:r w:rsidRPr="00C53010">
        <w:rPr>
          <w:rFonts w:eastAsia="SimSun"/>
          <w:lang w:val="es-ES" w:eastAsia="zh-CN"/>
        </w:rPr>
        <w:t xml:space="preserve"> previsto terminar la construcción en agosto de </w:t>
      </w:r>
      <w:r w:rsidR="00FA7C73" w:rsidRPr="00C53010">
        <w:rPr>
          <w:rFonts w:eastAsia="SimSun"/>
          <w:lang w:val="es-ES" w:eastAsia="zh-CN"/>
        </w:rPr>
        <w:t>2018</w:t>
      </w:r>
      <w:r w:rsidR="001B0E79">
        <w:rPr>
          <w:rFonts w:eastAsia="SimSun"/>
          <w:lang w:val="es-ES" w:eastAsia="zh-CN"/>
        </w:rPr>
        <w:t xml:space="preserve">, </w:t>
      </w:r>
      <w:r w:rsidRPr="00C53010">
        <w:rPr>
          <w:rFonts w:eastAsia="SimSun"/>
          <w:lang w:val="es-ES" w:eastAsia="zh-CN"/>
        </w:rPr>
        <w:t>más de un año antes de la AR</w:t>
      </w:r>
      <w:r w:rsidR="00FA7C73" w:rsidRPr="00C53010">
        <w:rPr>
          <w:rFonts w:eastAsia="SimSun"/>
          <w:lang w:val="es-ES" w:eastAsia="zh-CN"/>
        </w:rPr>
        <w:t>/</w:t>
      </w:r>
      <w:r w:rsidRPr="00C53010">
        <w:rPr>
          <w:rFonts w:eastAsia="SimSun"/>
          <w:lang w:val="es-ES" w:eastAsia="zh-CN"/>
        </w:rPr>
        <w:t>CMR</w:t>
      </w:r>
      <w:r w:rsidR="00FA7C73" w:rsidRPr="00C53010">
        <w:rPr>
          <w:rFonts w:eastAsia="SimSun"/>
          <w:lang w:val="es-ES" w:eastAsia="zh-CN"/>
        </w:rPr>
        <w:t xml:space="preserve">-19. </w:t>
      </w:r>
      <w:r w:rsidRPr="00C53010">
        <w:rPr>
          <w:rFonts w:eastAsia="SimSun"/>
          <w:lang w:val="es-ES" w:eastAsia="zh-CN"/>
        </w:rPr>
        <w:t>Además</w:t>
      </w:r>
      <w:r w:rsidR="001B0E79">
        <w:rPr>
          <w:rFonts w:eastAsia="SimSun"/>
          <w:lang w:val="es-ES" w:eastAsia="zh-CN"/>
        </w:rPr>
        <w:t xml:space="preserve">, </w:t>
      </w:r>
      <w:r w:rsidRPr="00C53010">
        <w:rPr>
          <w:rFonts w:eastAsia="SimSun"/>
          <w:lang w:val="es-ES" w:eastAsia="zh-CN"/>
        </w:rPr>
        <w:t>el país anfitrión ha reiterado su compromiso de proporcionar todas las instalaciones necesarias para llevar a buen término la Conferencia</w:t>
      </w:r>
      <w:r w:rsidR="00FA7C73" w:rsidRPr="00C53010">
        <w:rPr>
          <w:rFonts w:eastAsia="SimSun"/>
          <w:lang w:val="es-ES" w:eastAsia="zh-CN"/>
        </w:rPr>
        <w:t>.</w:t>
      </w:r>
    </w:p>
    <w:p w:rsidR="00FA7C73" w:rsidRPr="00C53010" w:rsidRDefault="00FA7C73" w:rsidP="001B3686">
      <w:pPr>
        <w:pStyle w:val="Heading1"/>
        <w:rPr>
          <w:lang w:val="es-ES"/>
        </w:rPr>
      </w:pPr>
      <w:r w:rsidRPr="00C53010">
        <w:rPr>
          <w:lang w:val="es-ES"/>
        </w:rPr>
        <w:t>3</w:t>
      </w:r>
      <w:r w:rsidRPr="00C53010">
        <w:rPr>
          <w:lang w:val="es-ES"/>
        </w:rPr>
        <w:tab/>
      </w:r>
      <w:bookmarkEnd w:id="15"/>
      <w:r w:rsidR="001B3686" w:rsidRPr="00C53010">
        <w:rPr>
          <w:lang w:val="es-ES"/>
        </w:rPr>
        <w:t>Aplicación de las decisiones de la CMR</w:t>
      </w:r>
      <w:r w:rsidRPr="00C53010">
        <w:rPr>
          <w:lang w:val="es-ES"/>
        </w:rPr>
        <w:t xml:space="preserve">-15 </w:t>
      </w:r>
    </w:p>
    <w:p w:rsidR="00FA7C73" w:rsidRPr="00C53010" w:rsidRDefault="00FA7C73" w:rsidP="001B3686">
      <w:pPr>
        <w:pStyle w:val="Heading2"/>
        <w:rPr>
          <w:lang w:val="es-ES"/>
        </w:rPr>
      </w:pPr>
      <w:bookmarkStart w:id="16" w:name="_Toc446060759"/>
      <w:r w:rsidRPr="00C53010">
        <w:rPr>
          <w:lang w:val="es-ES"/>
        </w:rPr>
        <w:t>3.1</w:t>
      </w:r>
      <w:r w:rsidRPr="00C53010">
        <w:rPr>
          <w:lang w:val="es-ES"/>
        </w:rPr>
        <w:tab/>
      </w:r>
      <w:bookmarkStart w:id="17" w:name="lt_pId235"/>
      <w:bookmarkStart w:id="18" w:name="_Toc446060764"/>
      <w:bookmarkEnd w:id="16"/>
      <w:r w:rsidR="001B3686" w:rsidRPr="00C53010">
        <w:rPr>
          <w:lang w:val="es-ES"/>
        </w:rPr>
        <w:t>Creación de software para la aplicación de las decisiones de la CMR-15</w:t>
      </w:r>
      <w:bookmarkEnd w:id="17"/>
      <w:bookmarkEnd w:id="18"/>
    </w:p>
    <w:p w:rsidR="001B3686" w:rsidRPr="00C53010" w:rsidRDefault="001B3686" w:rsidP="00E3515B">
      <w:pPr>
        <w:rPr>
          <w:lang w:val="es-ES"/>
        </w:rPr>
      </w:pPr>
      <w:bookmarkStart w:id="19" w:name="lt_pId236"/>
      <w:r w:rsidRPr="00C53010">
        <w:rPr>
          <w:lang w:val="es-ES"/>
        </w:rPr>
        <w:t>En 2017</w:t>
      </w:r>
      <w:r w:rsidR="001B0E79">
        <w:rPr>
          <w:lang w:val="es-ES"/>
        </w:rPr>
        <w:t xml:space="preserve">, </w:t>
      </w:r>
      <w:r w:rsidRPr="00C53010">
        <w:rPr>
          <w:lang w:val="es-ES"/>
        </w:rPr>
        <w:t>la Oficina continuó el diseño y el desarrollo de software para aplicar las decisiones de la CMR-15. En el siguiente cuadro se resumen las principales tareas en cuestión</w:t>
      </w:r>
      <w:bookmarkStart w:id="20" w:name="lt_pId237"/>
      <w:bookmarkEnd w:id="19"/>
      <w:r w:rsidRPr="00C53010">
        <w:rPr>
          <w:lang w:val="es-ES"/>
        </w:rPr>
        <w:t>.</w:t>
      </w:r>
      <w:bookmarkEnd w:id="20"/>
    </w:p>
    <w:p w:rsidR="00FA7C73" w:rsidRPr="00C53010" w:rsidRDefault="001B3686" w:rsidP="001F3A94">
      <w:pPr>
        <w:tabs>
          <w:tab w:val="left" w:pos="7655"/>
        </w:tabs>
        <w:spacing w:before="240" w:after="120"/>
        <w:jc w:val="center"/>
        <w:rPr>
          <w:b/>
          <w:bCs/>
          <w:szCs w:val="24"/>
          <w:lang w:val="es-ES"/>
        </w:rPr>
      </w:pPr>
      <w:r w:rsidRPr="00C53010">
        <w:rPr>
          <w:b/>
          <w:bCs/>
          <w:szCs w:val="24"/>
          <w:lang w:val="es-ES"/>
        </w:rPr>
        <w:t>Diseño de software para aplicar las decisiones de la CMR-15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A7C73" w:rsidRPr="00C53010" w:rsidTr="00E3515B">
        <w:tc>
          <w:tcPr>
            <w:tcW w:w="9350" w:type="dxa"/>
          </w:tcPr>
          <w:p w:rsidR="000E6CFD" w:rsidRPr="00C53010" w:rsidRDefault="000E6CFD" w:rsidP="000E6CFD">
            <w:pPr>
              <w:pStyle w:val="Tabletext"/>
              <w:spacing w:before="120" w:after="0"/>
              <w:rPr>
                <w:rFonts w:eastAsia="SimSun" w:cs="Arial"/>
                <w:b/>
                <w:bCs/>
                <w:szCs w:val="22"/>
                <w:lang w:val="es-ES"/>
              </w:rPr>
            </w:pPr>
            <w:bookmarkStart w:id="21" w:name="lt_pId239"/>
            <w:r w:rsidRPr="00C53010">
              <w:rPr>
                <w:rFonts w:eastAsia="SimSun" w:cs="Arial"/>
                <w:b/>
                <w:bCs/>
                <w:szCs w:val="22"/>
                <w:lang w:val="es-ES"/>
              </w:rPr>
              <w:t>Resolución 907 (Rev.CMR-15): Utilización de modernos medios electrónicos de comunicación para la correspondencia administrativa relativa a las redes de satélite</w:t>
            </w:r>
            <w:bookmarkEnd w:id="21"/>
            <w:r w:rsidRPr="00C53010">
              <w:rPr>
                <w:rFonts w:eastAsia="SimSun" w:cs="Arial"/>
                <w:b/>
                <w:bCs/>
                <w:szCs w:val="22"/>
                <w:lang w:val="es-ES"/>
              </w:rPr>
              <w:t>.</w:t>
            </w:r>
          </w:p>
          <w:p w:rsidR="000E6CFD" w:rsidRPr="00C53010" w:rsidRDefault="000E6CFD" w:rsidP="000E6CFD">
            <w:pPr>
              <w:pStyle w:val="Tabletext"/>
              <w:spacing w:before="120" w:after="0"/>
              <w:rPr>
                <w:rFonts w:eastAsia="SimSun" w:cs="Arial"/>
                <w:szCs w:val="22"/>
                <w:lang w:val="es-ES"/>
              </w:rPr>
            </w:pPr>
            <w:bookmarkStart w:id="22" w:name="lt_pId241"/>
            <w:r w:rsidRPr="00C53010">
              <w:rPr>
                <w:rFonts w:eastAsia="SimSun" w:cs="Arial"/>
                <w:szCs w:val="22"/>
                <w:lang w:val="es-ES"/>
              </w:rPr>
              <w:t>Después de la CMR-15</w:t>
            </w:r>
            <w:r w:rsidR="001B0E79">
              <w:rPr>
                <w:rFonts w:eastAsia="SimSun" w:cs="Arial"/>
                <w:szCs w:val="22"/>
                <w:lang w:val="es-ES"/>
              </w:rPr>
              <w:t xml:space="preserve">, </w:t>
            </w:r>
            <w:r w:rsidRPr="00C53010">
              <w:rPr>
                <w:rFonts w:eastAsia="SimSun" w:cs="Arial"/>
                <w:szCs w:val="22"/>
                <w:lang w:val="es-ES"/>
              </w:rPr>
              <w:t>se inició un proyecto destinado a acometer la definición</w:t>
            </w:r>
            <w:r w:rsidR="001B0E79">
              <w:rPr>
                <w:rFonts w:eastAsia="SimSun" w:cs="Arial"/>
                <w:szCs w:val="22"/>
                <w:lang w:val="es-ES"/>
              </w:rPr>
              <w:t xml:space="preserve">, </w:t>
            </w:r>
            <w:r w:rsidRPr="00C53010">
              <w:rPr>
                <w:rFonts w:eastAsia="SimSun" w:cs="Arial"/>
                <w:szCs w:val="22"/>
                <w:lang w:val="es-ES"/>
              </w:rPr>
              <w:t xml:space="preserve">el diseño y la aplicación del conjunto de herramientas para llevar a cabo la aplicación de la Resolución </w:t>
            </w:r>
            <w:r w:rsidRPr="00C53010">
              <w:rPr>
                <w:rFonts w:eastAsia="SimSun" w:cs="Arial"/>
                <w:b/>
                <w:bCs/>
                <w:szCs w:val="22"/>
                <w:lang w:val="es-ES"/>
              </w:rPr>
              <w:t>907 (CMR-15)</w:t>
            </w:r>
            <w:r w:rsidRPr="00C53010">
              <w:rPr>
                <w:rFonts w:eastAsia="SimSun" w:cs="Arial"/>
                <w:szCs w:val="22"/>
                <w:lang w:val="es-ES"/>
              </w:rPr>
              <w:t xml:space="preserve"> bajo la coordinación del Departamento de Servicios Espaciales.</w:t>
            </w:r>
          </w:p>
          <w:p w:rsidR="000E6CFD" w:rsidRPr="00C53010" w:rsidRDefault="000E6CFD" w:rsidP="000E6CFD">
            <w:pPr>
              <w:pStyle w:val="Tabletext"/>
              <w:spacing w:before="120" w:after="0"/>
              <w:rPr>
                <w:rFonts w:eastAsia="SimSun" w:cs="Arial"/>
                <w:szCs w:val="22"/>
                <w:lang w:val="es-ES"/>
              </w:rPr>
            </w:pPr>
            <w:r w:rsidRPr="00C53010">
              <w:rPr>
                <w:rFonts w:eastAsia="SimSun" w:cs="Arial"/>
                <w:szCs w:val="22"/>
                <w:lang w:val="es-ES"/>
              </w:rPr>
              <w:t>Se fijaron los objetivos siguientes a fin de definir un sistema en línea seguro destinado a modernizar y mejorar el sistema actual de tramitación de la correspondencia destinada a las Administraciones de la UIT y entre ellas</w:t>
            </w:r>
            <w:bookmarkStart w:id="23" w:name="lt_pId242"/>
            <w:bookmarkEnd w:id="22"/>
            <w:r w:rsidRPr="00C53010">
              <w:rPr>
                <w:rFonts w:eastAsia="SimSun" w:cs="Arial"/>
                <w:szCs w:val="22"/>
                <w:lang w:val="es-ES"/>
              </w:rPr>
              <w:t>:</w:t>
            </w:r>
            <w:bookmarkEnd w:id="23"/>
          </w:p>
          <w:p w:rsidR="000E6CFD" w:rsidRPr="00E3515B" w:rsidRDefault="00E3515B" w:rsidP="00E3515B">
            <w:pPr>
              <w:pStyle w:val="enumlev1"/>
              <w:rPr>
                <w:rFonts w:eastAsia="SimSun"/>
                <w:sz w:val="22"/>
                <w:szCs w:val="22"/>
                <w:lang w:val="es-ES"/>
              </w:rPr>
            </w:pPr>
            <w:bookmarkStart w:id="24" w:name="lt_pId243"/>
            <w:r w:rsidRPr="00E3515B">
              <w:rPr>
                <w:rFonts w:eastAsia="SimSun"/>
                <w:sz w:val="22"/>
                <w:szCs w:val="22"/>
                <w:lang w:val="es-ES"/>
              </w:rPr>
              <w:t>–</w:t>
            </w:r>
            <w:r w:rsidRPr="00E3515B">
              <w:rPr>
                <w:rFonts w:eastAsia="SimSun"/>
                <w:sz w:val="22"/>
                <w:szCs w:val="22"/>
                <w:lang w:val="es-ES"/>
              </w:rPr>
              <w:tab/>
            </w:r>
            <w:r w:rsidR="000E6CFD" w:rsidRPr="00E3515B">
              <w:rPr>
                <w:rFonts w:eastAsia="SimSun"/>
                <w:sz w:val="22"/>
                <w:szCs w:val="22"/>
                <w:lang w:val="es-ES"/>
              </w:rPr>
              <w:t>Interfaz de usuario simple e intuitiva destinada a la comunidad mundial de administraciones miembros de la UIT</w:t>
            </w:r>
            <w:r w:rsidR="001B0E79">
              <w:rPr>
                <w:rFonts w:eastAsia="SimSun"/>
                <w:sz w:val="22"/>
                <w:szCs w:val="22"/>
                <w:lang w:val="es-ES"/>
              </w:rPr>
              <w:t xml:space="preserve">, </w:t>
            </w:r>
            <w:r w:rsidR="000E6CFD" w:rsidRPr="00E3515B">
              <w:rPr>
                <w:rFonts w:eastAsia="SimSun"/>
                <w:sz w:val="22"/>
                <w:szCs w:val="22"/>
                <w:lang w:val="es-ES"/>
              </w:rPr>
              <w:t>que garantice la máxima aceptación posible</w:t>
            </w:r>
          </w:p>
          <w:p w:rsidR="000E6CFD" w:rsidRPr="00E3515B" w:rsidRDefault="00E3515B" w:rsidP="00E3515B">
            <w:pPr>
              <w:pStyle w:val="enumlev1"/>
              <w:rPr>
                <w:rFonts w:eastAsia="SimSun"/>
                <w:sz w:val="22"/>
                <w:szCs w:val="22"/>
                <w:lang w:val="es-ES"/>
              </w:rPr>
            </w:pPr>
            <w:r w:rsidRPr="00E3515B">
              <w:rPr>
                <w:rFonts w:eastAsia="SimSun"/>
                <w:sz w:val="22"/>
                <w:szCs w:val="22"/>
                <w:lang w:val="es-ES"/>
              </w:rPr>
              <w:t>–</w:t>
            </w:r>
            <w:r w:rsidRPr="00E3515B">
              <w:rPr>
                <w:rFonts w:eastAsia="SimSun"/>
                <w:sz w:val="22"/>
                <w:szCs w:val="22"/>
                <w:lang w:val="es-ES"/>
              </w:rPr>
              <w:tab/>
            </w:r>
            <w:r w:rsidR="000E6CFD" w:rsidRPr="00E3515B">
              <w:rPr>
                <w:rFonts w:eastAsia="SimSun"/>
                <w:sz w:val="22"/>
                <w:szCs w:val="22"/>
                <w:lang w:val="es-ES"/>
              </w:rPr>
              <w:t>Sistema en línea autosuficiente albergado en la infraestructura informática de la UIT</w:t>
            </w:r>
            <w:r w:rsidR="001B0E79">
              <w:rPr>
                <w:rFonts w:eastAsia="SimSun"/>
                <w:sz w:val="22"/>
                <w:szCs w:val="22"/>
                <w:lang w:val="es-ES"/>
              </w:rPr>
              <w:t xml:space="preserve">, </w:t>
            </w:r>
            <w:r w:rsidR="000E6CFD" w:rsidRPr="00E3515B">
              <w:rPr>
                <w:rFonts w:eastAsia="SimSun"/>
                <w:sz w:val="22"/>
                <w:szCs w:val="22"/>
                <w:lang w:val="es-ES"/>
              </w:rPr>
              <w:t>que retransmita la correspondencia a su destino (UIT</w:t>
            </w:r>
            <w:r w:rsidR="001B0E79">
              <w:rPr>
                <w:rFonts w:eastAsia="SimSun"/>
                <w:sz w:val="22"/>
                <w:szCs w:val="22"/>
                <w:lang w:val="es-ES"/>
              </w:rPr>
              <w:t xml:space="preserve">, </w:t>
            </w:r>
            <w:r w:rsidR="000E6CFD" w:rsidRPr="00E3515B">
              <w:rPr>
                <w:rFonts w:eastAsia="SimSun"/>
                <w:sz w:val="22"/>
                <w:szCs w:val="22"/>
                <w:lang w:val="es-ES"/>
              </w:rPr>
              <w:t>Administraciones)</w:t>
            </w:r>
          </w:p>
          <w:p w:rsidR="000E6CFD" w:rsidRPr="00E3515B" w:rsidRDefault="00E3515B" w:rsidP="00E3515B">
            <w:pPr>
              <w:pStyle w:val="enumlev1"/>
              <w:rPr>
                <w:rFonts w:eastAsia="SimSun"/>
                <w:sz w:val="22"/>
                <w:szCs w:val="22"/>
                <w:lang w:val="es-ES"/>
              </w:rPr>
            </w:pPr>
            <w:r w:rsidRPr="00E3515B">
              <w:rPr>
                <w:rFonts w:eastAsia="SimSun"/>
                <w:sz w:val="22"/>
                <w:szCs w:val="22"/>
                <w:lang w:val="es-ES"/>
              </w:rPr>
              <w:t>–</w:t>
            </w:r>
            <w:r w:rsidRPr="00E3515B">
              <w:rPr>
                <w:rFonts w:eastAsia="SimSun"/>
                <w:sz w:val="22"/>
                <w:szCs w:val="22"/>
                <w:lang w:val="es-ES"/>
              </w:rPr>
              <w:tab/>
            </w:r>
            <w:r w:rsidR="00660EA2" w:rsidRPr="00E3515B">
              <w:rPr>
                <w:rFonts w:eastAsia="SimSun"/>
                <w:sz w:val="22"/>
                <w:szCs w:val="22"/>
                <w:lang w:val="es-ES"/>
              </w:rPr>
              <w:t>A</w:t>
            </w:r>
            <w:r w:rsidR="000E6CFD" w:rsidRPr="00E3515B">
              <w:rPr>
                <w:rFonts w:eastAsia="SimSun"/>
                <w:sz w:val="22"/>
                <w:szCs w:val="22"/>
                <w:lang w:val="es-ES"/>
              </w:rPr>
              <w:t>lta seguridad y confianza en la retransmisión</w:t>
            </w:r>
            <w:r w:rsidR="001B0E79">
              <w:rPr>
                <w:rFonts w:eastAsia="SimSun"/>
                <w:sz w:val="22"/>
                <w:szCs w:val="22"/>
                <w:lang w:val="es-ES"/>
              </w:rPr>
              <w:t xml:space="preserve">, </w:t>
            </w:r>
            <w:r w:rsidR="000E6CFD" w:rsidRPr="00E3515B">
              <w:rPr>
                <w:rFonts w:eastAsia="SimSun"/>
                <w:sz w:val="22"/>
                <w:szCs w:val="22"/>
                <w:lang w:val="es-ES"/>
              </w:rPr>
              <w:t>la indicación de fecha y hora y la transmisión de correspondencia</w:t>
            </w:r>
            <w:r w:rsidR="001B0E79">
              <w:rPr>
                <w:rFonts w:eastAsia="SimSun"/>
                <w:sz w:val="22"/>
                <w:szCs w:val="22"/>
                <w:lang w:val="es-ES"/>
              </w:rPr>
              <w:t xml:space="preserve">, </w:t>
            </w:r>
            <w:r w:rsidR="000E6CFD" w:rsidRPr="00E3515B">
              <w:rPr>
                <w:rFonts w:eastAsia="SimSun"/>
                <w:sz w:val="22"/>
                <w:szCs w:val="22"/>
                <w:lang w:val="es-ES"/>
              </w:rPr>
              <w:t>con una supervisión del flujo de información</w:t>
            </w:r>
          </w:p>
          <w:p w:rsidR="000E6CFD" w:rsidRPr="00E3515B" w:rsidRDefault="00E3515B" w:rsidP="00E3515B">
            <w:pPr>
              <w:pStyle w:val="enumlev1"/>
              <w:rPr>
                <w:rFonts w:eastAsia="SimSun"/>
                <w:sz w:val="22"/>
                <w:szCs w:val="22"/>
                <w:lang w:val="es-ES"/>
              </w:rPr>
            </w:pPr>
            <w:bookmarkStart w:id="25" w:name="lt_pId246"/>
            <w:bookmarkEnd w:id="24"/>
            <w:r w:rsidRPr="00E3515B">
              <w:rPr>
                <w:rFonts w:eastAsia="SimSun"/>
                <w:sz w:val="22"/>
                <w:szCs w:val="22"/>
                <w:lang w:val="es-ES"/>
              </w:rPr>
              <w:t>–</w:t>
            </w:r>
            <w:r w:rsidRPr="00E3515B">
              <w:rPr>
                <w:rFonts w:eastAsia="SimSun"/>
                <w:sz w:val="22"/>
                <w:szCs w:val="22"/>
                <w:lang w:val="es-ES"/>
              </w:rPr>
              <w:tab/>
            </w:r>
            <w:r w:rsidR="00660EA2" w:rsidRPr="00E3515B">
              <w:rPr>
                <w:rFonts w:eastAsia="SimSun"/>
                <w:sz w:val="22"/>
                <w:szCs w:val="22"/>
                <w:lang w:val="es-ES"/>
              </w:rPr>
              <w:t xml:space="preserve">Capacidad </w:t>
            </w:r>
            <w:r w:rsidR="000E6CFD" w:rsidRPr="00E3515B">
              <w:rPr>
                <w:rFonts w:eastAsia="SimSun"/>
                <w:sz w:val="22"/>
                <w:szCs w:val="22"/>
                <w:lang w:val="es-ES"/>
              </w:rPr>
              <w:t>para seguir la notificación y su entrega</w:t>
            </w:r>
            <w:r w:rsidR="001B0E79">
              <w:rPr>
                <w:rFonts w:eastAsia="SimSun"/>
                <w:sz w:val="22"/>
                <w:szCs w:val="22"/>
                <w:lang w:val="es-ES"/>
              </w:rPr>
              <w:t xml:space="preserve">, </w:t>
            </w:r>
            <w:r w:rsidR="000E6CFD" w:rsidRPr="00E3515B">
              <w:rPr>
                <w:rFonts w:eastAsia="SimSun"/>
                <w:sz w:val="22"/>
                <w:szCs w:val="22"/>
                <w:lang w:val="es-ES"/>
              </w:rPr>
              <w:t>así como la recepción satisfactoria de los datos enviados</w:t>
            </w:r>
            <w:bookmarkEnd w:id="25"/>
          </w:p>
          <w:p w:rsidR="000E6CFD" w:rsidRPr="00C53010" w:rsidRDefault="00E3515B" w:rsidP="00E3515B">
            <w:pPr>
              <w:pStyle w:val="enumlev1"/>
              <w:rPr>
                <w:rFonts w:eastAsia="SimSun"/>
                <w:lang w:val="es-ES"/>
              </w:rPr>
            </w:pPr>
            <w:bookmarkStart w:id="26" w:name="lt_pId247"/>
            <w:r w:rsidRPr="00E3515B">
              <w:rPr>
                <w:rFonts w:eastAsia="SimSun"/>
                <w:sz w:val="22"/>
                <w:szCs w:val="22"/>
                <w:lang w:val="es-ES"/>
              </w:rPr>
              <w:t>–</w:t>
            </w:r>
            <w:r w:rsidRPr="00E3515B">
              <w:rPr>
                <w:rFonts w:eastAsia="SimSun"/>
                <w:sz w:val="22"/>
                <w:szCs w:val="22"/>
                <w:lang w:val="es-ES"/>
              </w:rPr>
              <w:tab/>
            </w:r>
            <w:r w:rsidR="000E6CFD" w:rsidRPr="00E3515B">
              <w:rPr>
                <w:rFonts w:eastAsia="SimSun"/>
                <w:sz w:val="22"/>
                <w:szCs w:val="22"/>
                <w:lang w:val="es-ES"/>
              </w:rPr>
              <w:t xml:space="preserve">Integración armoniosa </w:t>
            </w:r>
            <w:r w:rsidR="00660EA2" w:rsidRPr="00E3515B">
              <w:rPr>
                <w:rFonts w:eastAsia="SimSun"/>
                <w:sz w:val="22"/>
                <w:szCs w:val="22"/>
                <w:lang w:val="es-ES"/>
              </w:rPr>
              <w:t xml:space="preserve">en </w:t>
            </w:r>
            <w:r w:rsidR="000E6CFD" w:rsidRPr="00E3515B">
              <w:rPr>
                <w:rFonts w:eastAsia="SimSun"/>
                <w:sz w:val="22"/>
                <w:szCs w:val="22"/>
                <w:lang w:val="es-ES"/>
              </w:rPr>
              <w:t>el sistema existente de tramitación de correspondencia y la infraestructura informática de la UIT</w:t>
            </w:r>
            <w:bookmarkEnd w:id="26"/>
            <w:r w:rsidR="000E6CFD" w:rsidRPr="00E3515B">
              <w:rPr>
                <w:rFonts w:eastAsia="SimSun"/>
                <w:sz w:val="22"/>
                <w:szCs w:val="22"/>
                <w:lang w:val="es-ES"/>
              </w:rPr>
              <w:t>.</w:t>
            </w:r>
          </w:p>
          <w:p w:rsidR="000E6CFD" w:rsidRPr="00C53010" w:rsidRDefault="000E6CFD" w:rsidP="00660EA2">
            <w:pPr>
              <w:pStyle w:val="Tabletext"/>
              <w:spacing w:before="120" w:after="0"/>
              <w:rPr>
                <w:rFonts w:eastAsia="SimSun" w:cs="Arial"/>
                <w:szCs w:val="22"/>
                <w:lang w:val="es-ES"/>
              </w:rPr>
            </w:pPr>
            <w:bookmarkStart w:id="27" w:name="lt_pId248"/>
            <w:r w:rsidRPr="00C53010">
              <w:rPr>
                <w:rFonts w:eastAsia="SimSun" w:cs="Arial"/>
                <w:szCs w:val="22"/>
                <w:lang w:val="es-ES"/>
              </w:rPr>
              <w:lastRenderedPageBreak/>
              <w:t xml:space="preserve">Al principio del proyecto se compilaron los requisitos de funcionalidad a fin de recopilar información sobre las expectativas de ese tipo de sistema. </w:t>
            </w:r>
            <w:r w:rsidR="00660EA2" w:rsidRPr="00C53010">
              <w:rPr>
                <w:rFonts w:eastAsia="SimSun" w:cs="Arial"/>
                <w:szCs w:val="22"/>
                <w:lang w:val="es-ES"/>
              </w:rPr>
              <w:t xml:space="preserve">Entre mediados de </w:t>
            </w:r>
            <w:r w:rsidRPr="00C53010">
              <w:rPr>
                <w:rFonts w:eastAsia="SimSun" w:cs="Arial"/>
                <w:szCs w:val="22"/>
                <w:lang w:val="es-ES"/>
              </w:rPr>
              <w:t xml:space="preserve">2016 </w:t>
            </w:r>
            <w:r w:rsidR="00660EA2" w:rsidRPr="00C53010">
              <w:rPr>
                <w:rFonts w:eastAsia="SimSun" w:cs="Arial"/>
                <w:szCs w:val="22"/>
                <w:lang w:val="es-ES"/>
              </w:rPr>
              <w:t xml:space="preserve">y mediados de 2017 una </w:t>
            </w:r>
            <w:r w:rsidRPr="00C53010">
              <w:rPr>
                <w:rFonts w:eastAsia="SimSun" w:cs="Arial"/>
                <w:szCs w:val="22"/>
                <w:lang w:val="es-ES"/>
              </w:rPr>
              <w:t xml:space="preserve">institución académica </w:t>
            </w:r>
            <w:r w:rsidR="00660EA2" w:rsidRPr="00C53010">
              <w:rPr>
                <w:rFonts w:eastAsia="SimSun" w:cs="Arial"/>
                <w:szCs w:val="22"/>
                <w:lang w:val="es-ES"/>
              </w:rPr>
              <w:t xml:space="preserve">Miembro </w:t>
            </w:r>
            <w:r w:rsidRPr="00C53010">
              <w:rPr>
                <w:rFonts w:eastAsia="SimSun" w:cs="Arial"/>
                <w:szCs w:val="22"/>
                <w:lang w:val="es-ES"/>
              </w:rPr>
              <w:t>de la UIT (CTU Prague</w:t>
            </w:r>
            <w:r w:rsidR="001B0E79">
              <w:rPr>
                <w:rFonts w:eastAsia="SimSun" w:cs="Arial"/>
                <w:szCs w:val="22"/>
                <w:lang w:val="es-ES"/>
              </w:rPr>
              <w:t xml:space="preserve">, </w:t>
            </w:r>
            <w:r w:rsidRPr="00C53010">
              <w:rPr>
                <w:rFonts w:eastAsia="SimSun" w:cs="Arial"/>
                <w:szCs w:val="22"/>
                <w:lang w:val="es-ES"/>
              </w:rPr>
              <w:t>República Checa) elaboró un prototipo de herramienta</w:t>
            </w:r>
            <w:r w:rsidR="001B0E79">
              <w:rPr>
                <w:rFonts w:eastAsia="SimSun" w:cs="Arial"/>
                <w:szCs w:val="22"/>
                <w:lang w:val="es-ES"/>
              </w:rPr>
              <w:t xml:space="preserve">, </w:t>
            </w:r>
            <w:r w:rsidRPr="00C53010">
              <w:rPr>
                <w:rFonts w:eastAsia="SimSun" w:cs="Arial"/>
                <w:szCs w:val="22"/>
                <w:lang w:val="es-ES"/>
              </w:rPr>
              <w:t>que se utilizó para efectuar una demostración tecnológica de la funcionalidad básica y orientar las decisiones sobre la futura evolución del proyecto.</w:t>
            </w:r>
          </w:p>
          <w:bookmarkEnd w:id="27"/>
          <w:p w:rsidR="000E6CFD" w:rsidRPr="00C53010" w:rsidRDefault="00C82341" w:rsidP="00C82341">
            <w:pPr>
              <w:pStyle w:val="Tabletext"/>
              <w:spacing w:before="120" w:after="0"/>
              <w:rPr>
                <w:rFonts w:eastAsia="SimSun" w:cs="Arial"/>
                <w:szCs w:val="22"/>
                <w:lang w:val="es-ES"/>
              </w:rPr>
            </w:pPr>
            <w:r w:rsidRPr="00C53010">
              <w:rPr>
                <w:rFonts w:eastAsia="SimSun" w:cs="Arial"/>
                <w:szCs w:val="22"/>
                <w:lang w:val="es-ES"/>
              </w:rPr>
              <w:t xml:space="preserve">En octubre de 2017 </w:t>
            </w:r>
            <w:r w:rsidR="000E6CFD" w:rsidRPr="00C53010">
              <w:rPr>
                <w:rFonts w:eastAsia="SimSun" w:cs="Arial"/>
                <w:szCs w:val="22"/>
                <w:lang w:val="es-ES"/>
              </w:rPr>
              <w:t>CTU Prague</w:t>
            </w:r>
            <w:r w:rsidRPr="00C53010">
              <w:rPr>
                <w:rFonts w:eastAsia="SimSun" w:cs="Arial"/>
                <w:szCs w:val="22"/>
                <w:lang w:val="es-ES"/>
              </w:rPr>
              <w:t xml:space="preserve"> entregó el prototipo al personal de la BR para que avanzara su desarrollo interno. La versión en producción del proyecto relativo a la </w:t>
            </w:r>
            <w:r w:rsidR="0049537A" w:rsidRPr="00C53010">
              <w:rPr>
                <w:rFonts w:eastAsia="SimSun" w:cs="Arial"/>
                <w:szCs w:val="22"/>
                <w:lang w:val="es-ES"/>
              </w:rPr>
              <w:t>Resolución</w:t>
            </w:r>
            <w:r w:rsidRPr="00C53010">
              <w:rPr>
                <w:rFonts w:eastAsia="SimSun" w:cs="Arial"/>
                <w:szCs w:val="22"/>
                <w:lang w:val="es-ES"/>
              </w:rPr>
              <w:t xml:space="preserve"> 907 integrará las mejores funciones el desarrollado para la Resolución 908 y la Resolución 186</w:t>
            </w:r>
            <w:r w:rsidR="001B0E79">
              <w:rPr>
                <w:rFonts w:eastAsia="SimSun" w:cs="Arial"/>
                <w:szCs w:val="22"/>
                <w:lang w:val="es-ES"/>
              </w:rPr>
              <w:t xml:space="preserve">, </w:t>
            </w:r>
            <w:r w:rsidRPr="00C53010">
              <w:rPr>
                <w:rFonts w:eastAsia="SimSun" w:cs="Arial"/>
                <w:szCs w:val="22"/>
                <w:lang w:val="es-ES"/>
              </w:rPr>
              <w:t xml:space="preserve">junto con las mejoras de seguridad introducidas por CTU Prague. Las </w:t>
            </w:r>
            <w:r w:rsidR="000E6CFD" w:rsidRPr="00C53010">
              <w:rPr>
                <w:rFonts w:eastAsia="SimSun" w:cs="Arial"/>
                <w:szCs w:val="22"/>
                <w:lang w:val="es-ES"/>
              </w:rPr>
              <w:t>etapas del proyecto</w:t>
            </w:r>
            <w:bookmarkStart w:id="28" w:name="lt_pId253"/>
            <w:r w:rsidRPr="00C53010">
              <w:rPr>
                <w:rFonts w:eastAsia="SimSun" w:cs="Arial"/>
                <w:szCs w:val="22"/>
                <w:lang w:val="es-ES"/>
              </w:rPr>
              <w:t xml:space="preserve"> son las siguientes</w:t>
            </w:r>
            <w:r w:rsidR="000E6CFD" w:rsidRPr="00C53010">
              <w:rPr>
                <w:rFonts w:eastAsia="SimSun" w:cs="Arial"/>
                <w:szCs w:val="22"/>
                <w:lang w:val="es-ES"/>
              </w:rPr>
              <w:t>:</w:t>
            </w:r>
            <w:bookmarkEnd w:id="28"/>
          </w:p>
          <w:p w:rsidR="00C82341" w:rsidRPr="00E3515B" w:rsidRDefault="00E3515B" w:rsidP="00E3515B">
            <w:pPr>
              <w:pStyle w:val="enumlev1"/>
              <w:rPr>
                <w:sz w:val="22"/>
                <w:szCs w:val="22"/>
                <w:lang w:val="es-ES"/>
              </w:rPr>
            </w:pPr>
            <w:bookmarkStart w:id="29" w:name="lt_pId254"/>
            <w:r w:rsidRPr="00E3515B">
              <w:rPr>
                <w:rFonts w:eastAsia="SimSun"/>
                <w:sz w:val="22"/>
                <w:szCs w:val="22"/>
                <w:lang w:val="es-ES"/>
              </w:rPr>
              <w:t>–</w:t>
            </w:r>
            <w:r w:rsidRPr="00E3515B">
              <w:rPr>
                <w:rFonts w:eastAsia="SimSun"/>
                <w:sz w:val="22"/>
                <w:szCs w:val="22"/>
                <w:lang w:val="es-ES"/>
              </w:rPr>
              <w:tab/>
            </w:r>
            <w:r w:rsidR="00C82341" w:rsidRPr="00E3515B">
              <w:rPr>
                <w:rFonts w:eastAsia="SimSun"/>
                <w:sz w:val="22"/>
                <w:szCs w:val="22"/>
                <w:lang w:val="es-ES"/>
              </w:rPr>
              <w:t xml:space="preserve">1 de </w:t>
            </w:r>
            <w:r w:rsidR="00C82341" w:rsidRPr="00E3515B">
              <w:rPr>
                <w:sz w:val="22"/>
                <w:szCs w:val="22"/>
                <w:lang w:val="es-ES"/>
              </w:rPr>
              <w:t>septiembre</w:t>
            </w:r>
            <w:r w:rsidR="00C82341" w:rsidRPr="00E3515B">
              <w:rPr>
                <w:rFonts w:eastAsia="SimSun"/>
                <w:sz w:val="22"/>
                <w:szCs w:val="22"/>
                <w:lang w:val="es-ES"/>
              </w:rPr>
              <w:t xml:space="preserve"> </w:t>
            </w:r>
            <w:r w:rsidR="000E6CFD" w:rsidRPr="00E3515B">
              <w:rPr>
                <w:rFonts w:eastAsia="SimSun"/>
                <w:sz w:val="22"/>
                <w:szCs w:val="22"/>
                <w:lang w:val="es-ES"/>
              </w:rPr>
              <w:t xml:space="preserve">de </w:t>
            </w:r>
            <w:r w:rsidR="00C82341" w:rsidRPr="00E3515B">
              <w:rPr>
                <w:rFonts w:eastAsia="SimSun"/>
                <w:sz w:val="22"/>
                <w:szCs w:val="22"/>
                <w:lang w:val="es-ES"/>
              </w:rPr>
              <w:t>2018</w:t>
            </w:r>
            <w:r w:rsidR="000E6CFD" w:rsidRPr="00E3515B">
              <w:rPr>
                <w:rFonts w:eastAsia="SimSun"/>
                <w:sz w:val="22"/>
                <w:szCs w:val="22"/>
                <w:lang w:val="es-ES"/>
              </w:rPr>
              <w:t xml:space="preserve">: </w:t>
            </w:r>
            <w:r w:rsidR="00C82341" w:rsidRPr="00E3515B">
              <w:rPr>
                <w:rFonts w:eastAsia="SimSun"/>
                <w:sz w:val="22"/>
                <w:szCs w:val="22"/>
                <w:lang w:val="es-ES"/>
              </w:rPr>
              <w:t xml:space="preserve">Prueba externa de la </w:t>
            </w:r>
            <w:r w:rsidR="000E6CFD" w:rsidRPr="00E3515B">
              <w:rPr>
                <w:rFonts w:eastAsia="SimSun"/>
                <w:sz w:val="22"/>
                <w:szCs w:val="22"/>
                <w:lang w:val="es-ES"/>
              </w:rPr>
              <w:t>versión beta</w:t>
            </w:r>
            <w:r w:rsidR="00C82341" w:rsidRPr="00E3515B">
              <w:rPr>
                <w:rFonts w:eastAsia="SimSun"/>
                <w:sz w:val="22"/>
                <w:szCs w:val="22"/>
                <w:lang w:val="es-ES"/>
              </w:rPr>
              <w:t xml:space="preserve"> de la fase 1</w:t>
            </w:r>
            <w:r w:rsidR="001B0E79">
              <w:rPr>
                <w:rFonts w:eastAsia="SimSun"/>
                <w:sz w:val="22"/>
                <w:szCs w:val="22"/>
                <w:lang w:val="es-ES"/>
              </w:rPr>
              <w:t xml:space="preserve">, </w:t>
            </w:r>
            <w:r w:rsidR="00C82341" w:rsidRPr="00E3515B">
              <w:rPr>
                <w:rFonts w:eastAsia="SimSun"/>
                <w:sz w:val="22"/>
                <w:szCs w:val="22"/>
                <w:lang w:val="es-ES"/>
              </w:rPr>
              <w:t>que</w:t>
            </w:r>
            <w:r w:rsidR="000E3BA4" w:rsidRPr="00E3515B">
              <w:rPr>
                <w:rFonts w:eastAsia="SimSun"/>
                <w:sz w:val="22"/>
                <w:szCs w:val="22"/>
                <w:lang w:val="es-ES"/>
              </w:rPr>
              <w:t xml:space="preserve"> permite la </w:t>
            </w:r>
            <w:r w:rsidR="00C82341" w:rsidRPr="00E3515B">
              <w:rPr>
                <w:rFonts w:eastAsia="SimSun"/>
                <w:sz w:val="22"/>
                <w:szCs w:val="22"/>
                <w:lang w:val="es-ES"/>
              </w:rPr>
              <w:t>comunicación entre la BR y las administraciones</w:t>
            </w:r>
            <w:bookmarkEnd w:id="29"/>
          </w:p>
          <w:p w:rsidR="00C82341" w:rsidRPr="00E3515B" w:rsidRDefault="00E3515B" w:rsidP="00E3515B">
            <w:pPr>
              <w:pStyle w:val="enumlev1"/>
              <w:rPr>
                <w:sz w:val="22"/>
                <w:szCs w:val="22"/>
                <w:lang w:val="es-ES"/>
              </w:rPr>
            </w:pPr>
            <w:r w:rsidRPr="00E3515B">
              <w:rPr>
                <w:rFonts w:eastAsia="SimSun"/>
                <w:sz w:val="22"/>
                <w:szCs w:val="22"/>
                <w:lang w:val="es-ES"/>
              </w:rPr>
              <w:t>–</w:t>
            </w:r>
            <w:r w:rsidRPr="00E3515B">
              <w:rPr>
                <w:rFonts w:eastAsia="SimSun"/>
                <w:sz w:val="22"/>
                <w:szCs w:val="22"/>
                <w:lang w:val="es-ES"/>
              </w:rPr>
              <w:tab/>
            </w:r>
            <w:r w:rsidR="00C82341" w:rsidRPr="00E3515B">
              <w:rPr>
                <w:sz w:val="22"/>
                <w:szCs w:val="22"/>
                <w:lang w:val="es-ES"/>
              </w:rPr>
              <w:t>1</w:t>
            </w:r>
            <w:r w:rsidR="000E3BA4" w:rsidRPr="00E3515B">
              <w:rPr>
                <w:sz w:val="22"/>
                <w:szCs w:val="22"/>
                <w:lang w:val="es-ES"/>
              </w:rPr>
              <w:t xml:space="preserve"> de enero de</w:t>
            </w:r>
            <w:r w:rsidR="00C82341" w:rsidRPr="00E3515B">
              <w:rPr>
                <w:sz w:val="22"/>
                <w:szCs w:val="22"/>
                <w:lang w:val="es-ES"/>
              </w:rPr>
              <w:t xml:space="preserve"> 2019: </w:t>
            </w:r>
            <w:r w:rsidR="000E3BA4" w:rsidRPr="00E3515B">
              <w:rPr>
                <w:sz w:val="22"/>
                <w:szCs w:val="22"/>
                <w:lang w:val="es-ES"/>
              </w:rPr>
              <w:t xml:space="preserve">Fase </w:t>
            </w:r>
            <w:r w:rsidR="00C82341" w:rsidRPr="00E3515B">
              <w:rPr>
                <w:sz w:val="22"/>
                <w:szCs w:val="22"/>
                <w:lang w:val="es-ES"/>
              </w:rPr>
              <w:t xml:space="preserve">1 </w:t>
            </w:r>
            <w:r w:rsidR="000E3BA4" w:rsidRPr="00E3515B">
              <w:rPr>
                <w:sz w:val="22"/>
                <w:szCs w:val="22"/>
                <w:lang w:val="es-ES"/>
              </w:rPr>
              <w:t>en producción</w:t>
            </w:r>
            <w:r w:rsidR="00C82341" w:rsidRPr="00E3515B">
              <w:rPr>
                <w:sz w:val="22"/>
                <w:szCs w:val="22"/>
                <w:lang w:val="es-ES"/>
              </w:rPr>
              <w:t>;</w:t>
            </w:r>
          </w:p>
          <w:p w:rsidR="00C82341" w:rsidRPr="00E3515B" w:rsidRDefault="00E3515B" w:rsidP="00E3515B">
            <w:pPr>
              <w:pStyle w:val="enumlev1"/>
              <w:rPr>
                <w:sz w:val="22"/>
                <w:szCs w:val="22"/>
                <w:lang w:val="es-ES"/>
              </w:rPr>
            </w:pPr>
            <w:r w:rsidRPr="00E3515B">
              <w:rPr>
                <w:rFonts w:eastAsia="SimSun"/>
                <w:sz w:val="22"/>
                <w:szCs w:val="22"/>
                <w:lang w:val="es-ES"/>
              </w:rPr>
              <w:t>–</w:t>
            </w:r>
            <w:r w:rsidRPr="00E3515B">
              <w:rPr>
                <w:rFonts w:eastAsia="SimSun"/>
                <w:sz w:val="22"/>
                <w:szCs w:val="22"/>
                <w:lang w:val="es-ES"/>
              </w:rPr>
              <w:tab/>
            </w:r>
            <w:r w:rsidR="00C82341" w:rsidRPr="00E3515B">
              <w:rPr>
                <w:sz w:val="22"/>
                <w:szCs w:val="22"/>
                <w:lang w:val="es-ES"/>
              </w:rPr>
              <w:t>1</w:t>
            </w:r>
            <w:r w:rsidR="000E3BA4" w:rsidRPr="00E3515B">
              <w:rPr>
                <w:sz w:val="22"/>
                <w:szCs w:val="22"/>
                <w:lang w:val="es-ES"/>
              </w:rPr>
              <w:t xml:space="preserve"> de marzo de </w:t>
            </w:r>
            <w:r w:rsidR="00C82341" w:rsidRPr="00E3515B">
              <w:rPr>
                <w:sz w:val="22"/>
                <w:szCs w:val="22"/>
                <w:lang w:val="es-ES"/>
              </w:rPr>
              <w:t xml:space="preserve">2019: </w:t>
            </w:r>
            <w:r w:rsidR="000E3BA4" w:rsidRPr="00E3515B">
              <w:rPr>
                <w:sz w:val="22"/>
                <w:szCs w:val="22"/>
                <w:lang w:val="es-ES"/>
              </w:rPr>
              <w:t xml:space="preserve">Prueba externa de la versión beta de la fase </w:t>
            </w:r>
            <w:r w:rsidR="00C82341" w:rsidRPr="00E3515B">
              <w:rPr>
                <w:sz w:val="22"/>
                <w:szCs w:val="22"/>
                <w:lang w:val="es-ES"/>
              </w:rPr>
              <w:t>2</w:t>
            </w:r>
            <w:r w:rsidR="001B0E79">
              <w:rPr>
                <w:sz w:val="22"/>
                <w:szCs w:val="22"/>
                <w:lang w:val="es-ES"/>
              </w:rPr>
              <w:t xml:space="preserve">, </w:t>
            </w:r>
            <w:r w:rsidR="000E3BA4" w:rsidRPr="00E3515B">
              <w:rPr>
                <w:rFonts w:eastAsia="SimSun"/>
                <w:sz w:val="22"/>
                <w:szCs w:val="22"/>
                <w:lang w:val="es-ES"/>
              </w:rPr>
              <w:t>que permite la comunicación entre las administraciones</w:t>
            </w:r>
            <w:r w:rsidR="00C82341" w:rsidRPr="00E3515B">
              <w:rPr>
                <w:sz w:val="22"/>
                <w:szCs w:val="22"/>
                <w:lang w:val="es-ES"/>
              </w:rPr>
              <w:t>;</w:t>
            </w:r>
          </w:p>
          <w:p w:rsidR="00FA7C73" w:rsidRPr="00C53010" w:rsidRDefault="00E3515B" w:rsidP="00E3515B">
            <w:pPr>
              <w:pStyle w:val="enumlev1"/>
              <w:rPr>
                <w:lang w:val="es-ES"/>
              </w:rPr>
            </w:pPr>
            <w:r w:rsidRPr="00E3515B">
              <w:rPr>
                <w:rFonts w:eastAsia="SimSun"/>
                <w:sz w:val="22"/>
                <w:szCs w:val="22"/>
                <w:lang w:val="es-ES"/>
              </w:rPr>
              <w:t>–</w:t>
            </w:r>
            <w:r w:rsidRPr="00E3515B">
              <w:rPr>
                <w:rFonts w:eastAsia="SimSun"/>
                <w:sz w:val="22"/>
                <w:szCs w:val="22"/>
                <w:lang w:val="es-ES"/>
              </w:rPr>
              <w:tab/>
            </w:r>
            <w:r w:rsidR="00C82341" w:rsidRPr="00E3515B">
              <w:rPr>
                <w:sz w:val="22"/>
                <w:szCs w:val="22"/>
                <w:lang w:val="es-ES"/>
              </w:rPr>
              <w:t>1</w:t>
            </w:r>
            <w:r w:rsidR="000E3BA4" w:rsidRPr="00E3515B">
              <w:rPr>
                <w:sz w:val="22"/>
                <w:szCs w:val="22"/>
                <w:lang w:val="es-ES"/>
              </w:rPr>
              <w:t xml:space="preserve"> de junio de</w:t>
            </w:r>
            <w:r w:rsidR="00C82341" w:rsidRPr="00E3515B">
              <w:rPr>
                <w:sz w:val="22"/>
                <w:szCs w:val="22"/>
                <w:lang w:val="es-ES"/>
              </w:rPr>
              <w:t xml:space="preserve"> 2019: </w:t>
            </w:r>
            <w:r w:rsidR="000E3BA4" w:rsidRPr="00E3515B">
              <w:rPr>
                <w:sz w:val="22"/>
                <w:szCs w:val="22"/>
                <w:lang w:val="es-ES"/>
              </w:rPr>
              <w:t xml:space="preserve">Fase </w:t>
            </w:r>
            <w:r w:rsidR="00C82341" w:rsidRPr="00E3515B">
              <w:rPr>
                <w:sz w:val="22"/>
                <w:szCs w:val="22"/>
                <w:lang w:val="es-ES"/>
              </w:rPr>
              <w:t xml:space="preserve">2 </w:t>
            </w:r>
            <w:bookmarkStart w:id="30" w:name="lt_pId258"/>
            <w:r w:rsidR="000E3BA4" w:rsidRPr="00E3515B">
              <w:rPr>
                <w:sz w:val="22"/>
                <w:szCs w:val="22"/>
                <w:lang w:val="es-ES"/>
              </w:rPr>
              <w:t>en producción</w:t>
            </w:r>
            <w:r w:rsidR="000E6CFD" w:rsidRPr="00E3515B">
              <w:rPr>
                <w:rFonts w:eastAsia="SimSun"/>
                <w:sz w:val="22"/>
                <w:szCs w:val="22"/>
                <w:lang w:val="es-ES"/>
              </w:rPr>
              <w:t>.</w:t>
            </w:r>
            <w:bookmarkEnd w:id="30"/>
          </w:p>
        </w:tc>
      </w:tr>
      <w:tr w:rsidR="00FA7C73" w:rsidRPr="00C53010" w:rsidTr="00E3515B">
        <w:tc>
          <w:tcPr>
            <w:tcW w:w="9350" w:type="dxa"/>
          </w:tcPr>
          <w:p w:rsidR="0049537A" w:rsidRPr="00C53010" w:rsidRDefault="0049537A" w:rsidP="0049537A">
            <w:pPr>
              <w:pStyle w:val="Tabletext"/>
              <w:spacing w:before="120" w:after="0"/>
              <w:rPr>
                <w:rFonts w:eastAsia="SimSun" w:cs="Arial"/>
                <w:b/>
                <w:bCs/>
                <w:szCs w:val="22"/>
                <w:lang w:val="es-ES"/>
              </w:rPr>
            </w:pPr>
            <w:bookmarkStart w:id="31" w:name="lt_pId259"/>
            <w:r w:rsidRPr="00C53010">
              <w:rPr>
                <w:rFonts w:eastAsia="SimSun" w:cs="Arial"/>
                <w:b/>
                <w:bCs/>
                <w:szCs w:val="22"/>
                <w:lang w:val="es-ES"/>
              </w:rPr>
              <w:lastRenderedPageBreak/>
              <w:t>Resolución 908 (Rev.CMR-15): Presentación en formato electrónico de las notificaciones de redes de satélite</w:t>
            </w:r>
            <w:bookmarkStart w:id="32" w:name="lt_pId261"/>
            <w:bookmarkEnd w:id="31"/>
          </w:p>
          <w:p w:rsidR="0049537A" w:rsidRPr="00C53010" w:rsidRDefault="0049537A" w:rsidP="0049537A">
            <w:pPr>
              <w:pStyle w:val="Tabletext"/>
              <w:spacing w:before="120" w:after="0"/>
              <w:rPr>
                <w:rFonts w:eastAsia="SimSun" w:cs="Arial"/>
                <w:szCs w:val="22"/>
                <w:lang w:val="es-ES"/>
              </w:rPr>
            </w:pPr>
            <w:r w:rsidRPr="00C53010">
              <w:rPr>
                <w:rFonts w:eastAsia="SimSun" w:cs="Arial"/>
                <w:szCs w:val="22"/>
                <w:lang w:val="es-ES"/>
              </w:rPr>
              <w:t xml:space="preserve">En la Resolución </w:t>
            </w:r>
            <w:r w:rsidRPr="00C53010">
              <w:rPr>
                <w:rFonts w:eastAsia="SimSun" w:cs="Arial"/>
                <w:b/>
                <w:bCs/>
                <w:szCs w:val="22"/>
                <w:lang w:val="es-ES"/>
              </w:rPr>
              <w:t>908 (Rev.CMR-15</w:t>
            </w:r>
            <w:r w:rsidRPr="00C53010">
              <w:rPr>
                <w:rFonts w:eastAsia="SimSun" w:cs="Arial"/>
                <w:bCs/>
                <w:szCs w:val="22"/>
                <w:lang w:val="es-ES"/>
              </w:rPr>
              <w:t>)</w:t>
            </w:r>
            <w:r w:rsidRPr="00C53010">
              <w:rPr>
                <w:rFonts w:eastAsia="SimSun" w:cs="Arial"/>
                <w:szCs w:val="22"/>
                <w:lang w:val="es-ES"/>
              </w:rPr>
              <w:t xml:space="preserve"> se resuelve que las administraciones presenten todas las notificaciones de redes de satélites y comentarios</w:t>
            </w:r>
            <w:r w:rsidR="001B0E79">
              <w:rPr>
                <w:rFonts w:eastAsia="SimSun" w:cs="Arial"/>
                <w:szCs w:val="22"/>
                <w:lang w:val="es-ES"/>
              </w:rPr>
              <w:t xml:space="preserve">, </w:t>
            </w:r>
            <w:r w:rsidRPr="00C53010">
              <w:rPr>
                <w:rFonts w:eastAsia="SimSun" w:cs="Arial"/>
                <w:szCs w:val="22"/>
                <w:lang w:val="es-ES"/>
              </w:rPr>
              <w:t>si fuera necesario</w:t>
            </w:r>
            <w:r w:rsidR="001B0E79">
              <w:rPr>
                <w:rFonts w:eastAsia="SimSun" w:cs="Arial"/>
                <w:szCs w:val="22"/>
                <w:lang w:val="es-ES"/>
              </w:rPr>
              <w:t xml:space="preserve">, </w:t>
            </w:r>
            <w:r w:rsidRPr="00C53010">
              <w:rPr>
                <w:rFonts w:eastAsia="SimSun" w:cs="Arial"/>
                <w:szCs w:val="22"/>
                <w:lang w:val="es-ES"/>
              </w:rPr>
              <w:t>utilizando un método electrónico seguro y sin papel</w:t>
            </w:r>
            <w:r w:rsidR="001B0E79">
              <w:rPr>
                <w:rFonts w:eastAsia="SimSun" w:cs="Arial"/>
                <w:szCs w:val="22"/>
                <w:lang w:val="es-ES"/>
              </w:rPr>
              <w:t xml:space="preserve">, </w:t>
            </w:r>
            <w:r w:rsidRPr="00C53010">
              <w:rPr>
                <w:rFonts w:eastAsia="SimSun" w:cs="Arial"/>
                <w:szCs w:val="22"/>
                <w:lang w:val="es-ES"/>
              </w:rPr>
              <w:t>una vez que se les informe de la puesta en marcha de los mecanismos para dicha presentación electrónica de las notificaciones de redes o sistemas de satélites</w:t>
            </w:r>
            <w:r w:rsidR="001B0E79">
              <w:rPr>
                <w:rFonts w:eastAsia="SimSun" w:cs="Arial"/>
                <w:szCs w:val="22"/>
                <w:lang w:val="es-ES"/>
              </w:rPr>
              <w:t xml:space="preserve">, </w:t>
            </w:r>
            <w:r w:rsidRPr="00C53010">
              <w:rPr>
                <w:rFonts w:eastAsia="SimSun" w:cs="Arial"/>
                <w:szCs w:val="22"/>
                <w:lang w:val="es-ES"/>
              </w:rPr>
              <w:t>y que se les garantice la seguridad de tales mecanismos</w:t>
            </w:r>
            <w:bookmarkEnd w:id="32"/>
            <w:r w:rsidRPr="00C53010">
              <w:rPr>
                <w:rFonts w:eastAsia="SimSun" w:cs="Arial"/>
                <w:szCs w:val="22"/>
                <w:lang w:val="es-ES"/>
              </w:rPr>
              <w:t>.</w:t>
            </w:r>
          </w:p>
          <w:p w:rsidR="0049537A" w:rsidRPr="00C53010" w:rsidRDefault="00FE1939" w:rsidP="00FE1939">
            <w:pPr>
              <w:pStyle w:val="Tabletext"/>
              <w:spacing w:before="120" w:after="0"/>
              <w:rPr>
                <w:rFonts w:eastAsia="SimSun" w:cs="Arial"/>
                <w:szCs w:val="22"/>
                <w:lang w:val="es-ES"/>
              </w:rPr>
            </w:pPr>
            <w:bookmarkStart w:id="33" w:name="lt_pId262"/>
            <w:r w:rsidRPr="00C53010">
              <w:rPr>
                <w:rFonts w:eastAsia="SimSun" w:cs="Arial"/>
                <w:szCs w:val="22"/>
                <w:lang w:val="es-ES"/>
              </w:rPr>
              <w:t>Como se informó al GAR en 2007</w:t>
            </w:r>
            <w:r w:rsidR="001B0E79">
              <w:rPr>
                <w:rFonts w:eastAsia="SimSun" w:cs="Arial"/>
                <w:szCs w:val="22"/>
                <w:lang w:val="es-ES"/>
              </w:rPr>
              <w:t xml:space="preserve">, </w:t>
            </w:r>
            <w:r w:rsidR="0049537A" w:rsidRPr="00C53010">
              <w:rPr>
                <w:rFonts w:eastAsia="SimSun" w:cs="Arial"/>
                <w:szCs w:val="22"/>
                <w:lang w:val="es-ES"/>
              </w:rPr>
              <w:t>la Oficina está adoptando un enfoque consolidado para la presentación</w:t>
            </w:r>
            <w:r w:rsidR="001B0E79">
              <w:rPr>
                <w:rFonts w:eastAsia="SimSun" w:cs="Arial"/>
                <w:szCs w:val="22"/>
                <w:lang w:val="es-ES"/>
              </w:rPr>
              <w:t xml:space="preserve">, </w:t>
            </w:r>
            <w:r w:rsidR="0049537A" w:rsidRPr="00C53010">
              <w:rPr>
                <w:rFonts w:eastAsia="SimSun" w:cs="Arial"/>
                <w:szCs w:val="22"/>
                <w:lang w:val="es-ES"/>
              </w:rPr>
              <w:t>la tramitación y la publicación electrónicas de todas las notificaciones de redes de satélite y los comentarios correspondientes. A fin de prestar ayuda en el desarrollo y las pruebas del software RES-908</w:t>
            </w:r>
            <w:r w:rsidR="001B0E79">
              <w:rPr>
                <w:rFonts w:eastAsia="SimSun" w:cs="Arial"/>
                <w:szCs w:val="22"/>
                <w:lang w:val="es-ES"/>
              </w:rPr>
              <w:t xml:space="preserve">, </w:t>
            </w:r>
            <w:r w:rsidR="0049537A" w:rsidRPr="00C53010">
              <w:rPr>
                <w:rFonts w:eastAsia="SimSun" w:cs="Arial"/>
                <w:szCs w:val="22"/>
                <w:lang w:val="es-ES"/>
              </w:rPr>
              <w:t xml:space="preserve">la Administración de Japón </w:t>
            </w:r>
            <w:r w:rsidRPr="00C53010">
              <w:rPr>
                <w:rFonts w:eastAsia="SimSun" w:cs="Arial"/>
                <w:szCs w:val="22"/>
                <w:lang w:val="es-ES"/>
              </w:rPr>
              <w:t>ha realizado una contribución financiera</w:t>
            </w:r>
            <w:r w:rsidR="0049537A" w:rsidRPr="00C53010">
              <w:rPr>
                <w:rFonts w:eastAsia="SimSun" w:cs="Arial"/>
                <w:szCs w:val="22"/>
                <w:lang w:val="es-ES"/>
              </w:rPr>
              <w:t xml:space="preserve"> a</w:t>
            </w:r>
            <w:r w:rsidRPr="00C53010">
              <w:rPr>
                <w:rFonts w:eastAsia="SimSun" w:cs="Arial"/>
                <w:szCs w:val="22"/>
                <w:lang w:val="es-ES"/>
              </w:rPr>
              <w:t xml:space="preserve"> este</w:t>
            </w:r>
            <w:r w:rsidR="0049537A" w:rsidRPr="00C53010">
              <w:rPr>
                <w:rFonts w:eastAsia="SimSun" w:cs="Arial"/>
                <w:szCs w:val="22"/>
                <w:lang w:val="es-ES"/>
              </w:rPr>
              <w:t xml:space="preserve"> proyecto y </w:t>
            </w:r>
            <w:r w:rsidRPr="00C53010">
              <w:rPr>
                <w:rFonts w:eastAsia="SimSun" w:cs="Arial"/>
                <w:szCs w:val="22"/>
                <w:lang w:val="es-ES"/>
              </w:rPr>
              <w:t>ha destacado</w:t>
            </w:r>
            <w:r w:rsidR="0049537A" w:rsidRPr="00C53010">
              <w:rPr>
                <w:rFonts w:eastAsia="SimSun" w:cs="Arial"/>
                <w:szCs w:val="22"/>
                <w:lang w:val="es-ES"/>
              </w:rPr>
              <w:t xml:space="preserve"> un experto en software de reglamentación espacial a Ginebra para un periodo de 2 años. </w:t>
            </w:r>
            <w:bookmarkEnd w:id="33"/>
          </w:p>
          <w:p w:rsidR="0049537A" w:rsidRPr="00C53010" w:rsidRDefault="0049537A" w:rsidP="0049537A">
            <w:pPr>
              <w:pStyle w:val="Tabletext"/>
              <w:spacing w:before="120" w:after="0"/>
              <w:rPr>
                <w:rFonts w:eastAsia="SimSun" w:cs="Arial"/>
                <w:szCs w:val="22"/>
                <w:lang w:val="es-ES"/>
              </w:rPr>
            </w:pPr>
            <w:bookmarkStart w:id="34" w:name="lt_pId265"/>
            <w:r w:rsidRPr="00C53010">
              <w:rPr>
                <w:rFonts w:eastAsia="SimSun" w:cs="Arial"/>
                <w:szCs w:val="22"/>
                <w:lang w:val="es-ES"/>
              </w:rPr>
              <w:t>Se prevén los resultados siguientes a tenor de la Resolución</w:t>
            </w:r>
            <w:r w:rsidRPr="00C53010">
              <w:rPr>
                <w:rFonts w:eastAsia="SimSun" w:cs="Arial"/>
                <w:b/>
                <w:bCs/>
                <w:szCs w:val="22"/>
                <w:lang w:val="es-ES"/>
              </w:rPr>
              <w:t xml:space="preserve"> 908 (Rev. CMR-15)</w:t>
            </w:r>
            <w:r w:rsidRPr="00C53010">
              <w:rPr>
                <w:rFonts w:eastAsia="SimSun" w:cs="Arial"/>
                <w:szCs w:val="22"/>
                <w:lang w:val="es-ES"/>
              </w:rPr>
              <w:t>:</w:t>
            </w:r>
          </w:p>
          <w:bookmarkEnd w:id="34"/>
          <w:p w:rsidR="0049537A" w:rsidRPr="00E3515B" w:rsidRDefault="0049537A" w:rsidP="00E3515B">
            <w:pPr>
              <w:pStyle w:val="enumlev1"/>
              <w:rPr>
                <w:rFonts w:eastAsia="SimSun"/>
                <w:sz w:val="22"/>
                <w:szCs w:val="22"/>
                <w:lang w:val="es-ES"/>
              </w:rPr>
            </w:pPr>
            <w:r w:rsidRPr="00E3515B">
              <w:rPr>
                <w:rFonts w:eastAsia="SimSun"/>
                <w:sz w:val="22"/>
                <w:szCs w:val="22"/>
                <w:lang w:val="es-ES"/>
              </w:rPr>
              <w:t>1</w:t>
            </w:r>
            <w:r w:rsidRPr="00E3515B">
              <w:rPr>
                <w:rFonts w:eastAsia="SimSun"/>
                <w:sz w:val="22"/>
                <w:szCs w:val="22"/>
                <w:lang w:val="es-ES"/>
              </w:rPr>
              <w:tab/>
            </w:r>
            <w:bookmarkStart w:id="35" w:name="lt_pId267"/>
            <w:r w:rsidRPr="00E3515B">
              <w:rPr>
                <w:rFonts w:eastAsia="SimSun"/>
                <w:sz w:val="22"/>
                <w:szCs w:val="22"/>
                <w:lang w:val="es-ES"/>
              </w:rPr>
              <w:t xml:space="preserve">Un enfoque consolidado para la presentación </w:t>
            </w:r>
            <w:r w:rsidR="00FE1939" w:rsidRPr="00E3515B">
              <w:rPr>
                <w:rFonts w:eastAsia="SimSun"/>
                <w:sz w:val="22"/>
                <w:szCs w:val="22"/>
                <w:lang w:val="es-ES"/>
              </w:rPr>
              <w:t xml:space="preserve">y publicación </w:t>
            </w:r>
            <w:r w:rsidRPr="00E3515B">
              <w:rPr>
                <w:rFonts w:eastAsia="SimSun"/>
                <w:sz w:val="22"/>
                <w:szCs w:val="22"/>
                <w:lang w:val="es-ES"/>
              </w:rPr>
              <w:t>electrónica de todas las notificaciones de redes de satélite</w:t>
            </w:r>
            <w:r w:rsidR="001B0E79">
              <w:rPr>
                <w:rFonts w:eastAsia="SimSun"/>
                <w:sz w:val="22"/>
                <w:szCs w:val="22"/>
                <w:lang w:val="es-ES"/>
              </w:rPr>
              <w:t xml:space="preserve">, </w:t>
            </w:r>
            <w:r w:rsidRPr="00E3515B">
              <w:rPr>
                <w:rFonts w:eastAsia="SimSun"/>
                <w:sz w:val="22"/>
                <w:szCs w:val="22"/>
                <w:lang w:val="es-ES"/>
              </w:rPr>
              <w:t>los comentarios y las publicaciones conexos.</w:t>
            </w:r>
            <w:bookmarkEnd w:id="35"/>
          </w:p>
          <w:p w:rsidR="0049537A" w:rsidRPr="00E3515B" w:rsidRDefault="0049537A" w:rsidP="00E3515B">
            <w:pPr>
              <w:pStyle w:val="enumlev1"/>
              <w:rPr>
                <w:rFonts w:eastAsia="SimSun"/>
                <w:sz w:val="22"/>
                <w:szCs w:val="22"/>
                <w:lang w:val="es-ES"/>
              </w:rPr>
            </w:pPr>
            <w:r w:rsidRPr="00E3515B">
              <w:rPr>
                <w:rFonts w:eastAsia="SimSun"/>
                <w:sz w:val="22"/>
                <w:szCs w:val="22"/>
                <w:lang w:val="es-ES"/>
              </w:rPr>
              <w:t>2</w:t>
            </w:r>
            <w:bookmarkStart w:id="36" w:name="lt_pId269"/>
            <w:r w:rsidRPr="00E3515B">
              <w:rPr>
                <w:rFonts w:eastAsia="SimSun"/>
                <w:sz w:val="22"/>
                <w:szCs w:val="22"/>
                <w:lang w:val="es-ES"/>
              </w:rPr>
              <w:tab/>
              <w:t>Un sistema interno mejorado de tramitación de la BR para el tratamiento de notificaciones de redes de satélite y los comentarios correspondientes.</w:t>
            </w:r>
            <w:bookmarkEnd w:id="36"/>
          </w:p>
          <w:p w:rsidR="00FA7C73" w:rsidRPr="00E3515B" w:rsidRDefault="00FA7C73" w:rsidP="00E3515B">
            <w:pPr>
              <w:pStyle w:val="enumlev1"/>
              <w:rPr>
                <w:sz w:val="22"/>
                <w:szCs w:val="22"/>
                <w:lang w:val="es-ES"/>
              </w:rPr>
            </w:pPr>
            <w:r w:rsidRPr="00E3515B">
              <w:rPr>
                <w:sz w:val="22"/>
                <w:szCs w:val="22"/>
                <w:lang w:val="es-ES"/>
              </w:rPr>
              <w:t>3</w:t>
            </w:r>
            <w:r w:rsidR="00E3515B" w:rsidRPr="00E3515B">
              <w:rPr>
                <w:sz w:val="22"/>
                <w:szCs w:val="22"/>
                <w:lang w:val="es-ES"/>
              </w:rPr>
              <w:tab/>
            </w:r>
            <w:r w:rsidR="00D40026" w:rsidRPr="00E3515B">
              <w:rPr>
                <w:sz w:val="22"/>
                <w:szCs w:val="22"/>
                <w:lang w:val="es-ES"/>
              </w:rPr>
              <w:t>Racionalización de los procedimientos interno</w:t>
            </w:r>
            <w:r w:rsidR="00EA7551" w:rsidRPr="00E3515B">
              <w:rPr>
                <w:sz w:val="22"/>
                <w:szCs w:val="22"/>
                <w:lang w:val="es-ES"/>
              </w:rPr>
              <w:t>s</w:t>
            </w:r>
            <w:r w:rsidR="00D40026" w:rsidRPr="00E3515B">
              <w:rPr>
                <w:sz w:val="22"/>
                <w:szCs w:val="22"/>
                <w:lang w:val="es-ES"/>
              </w:rPr>
              <w:t xml:space="preserve"> de la BR para la tramitación de notificaciones de redes de satélites</w:t>
            </w:r>
            <w:r w:rsidRPr="00E3515B">
              <w:rPr>
                <w:sz w:val="22"/>
                <w:szCs w:val="22"/>
                <w:lang w:val="es-ES"/>
              </w:rPr>
              <w:t>.</w:t>
            </w:r>
          </w:p>
          <w:p w:rsidR="00FA7C73" w:rsidRPr="00C53010" w:rsidRDefault="00FA7C73" w:rsidP="00E3515B">
            <w:pPr>
              <w:pStyle w:val="enumlev1"/>
              <w:rPr>
                <w:sz w:val="22"/>
                <w:lang w:val="es-ES"/>
              </w:rPr>
            </w:pPr>
            <w:r w:rsidRPr="00E3515B">
              <w:rPr>
                <w:sz w:val="22"/>
                <w:szCs w:val="22"/>
                <w:lang w:val="es-ES"/>
              </w:rPr>
              <w:t>4</w:t>
            </w:r>
            <w:r w:rsidR="00E3515B" w:rsidRPr="00E3515B">
              <w:rPr>
                <w:sz w:val="22"/>
                <w:szCs w:val="22"/>
                <w:lang w:val="es-ES"/>
              </w:rPr>
              <w:tab/>
            </w:r>
            <w:r w:rsidR="00D40026" w:rsidRPr="00E3515B">
              <w:rPr>
                <w:sz w:val="22"/>
                <w:szCs w:val="22"/>
                <w:lang w:val="es-ES"/>
              </w:rPr>
              <w:t xml:space="preserve">Integración entre las nuevas versiones de las aplicaciones </w:t>
            </w:r>
            <w:r w:rsidRPr="00E3515B">
              <w:rPr>
                <w:sz w:val="22"/>
                <w:szCs w:val="22"/>
                <w:lang w:val="es-ES"/>
              </w:rPr>
              <w:t xml:space="preserve">software </w:t>
            </w:r>
            <w:r w:rsidR="00D40026" w:rsidRPr="00E3515B">
              <w:rPr>
                <w:sz w:val="22"/>
                <w:szCs w:val="22"/>
                <w:lang w:val="es-ES"/>
              </w:rPr>
              <w:t xml:space="preserve">tradicionales </w:t>
            </w:r>
            <w:r w:rsidRPr="00E3515B">
              <w:rPr>
                <w:sz w:val="22"/>
                <w:szCs w:val="22"/>
                <w:lang w:val="es-ES"/>
              </w:rPr>
              <w:t>(</w:t>
            </w:r>
            <w:r w:rsidR="00D40026" w:rsidRPr="00E3515B">
              <w:rPr>
                <w:sz w:val="22"/>
                <w:szCs w:val="22"/>
                <w:lang w:val="es-ES"/>
              </w:rPr>
              <w:t>véase la hoja de ruta sobre los sistemas de información espacial de la BR en el Anexo</w:t>
            </w:r>
            <w:r w:rsidRPr="00E3515B">
              <w:rPr>
                <w:sz w:val="22"/>
                <w:szCs w:val="22"/>
                <w:lang w:val="es-ES"/>
              </w:rPr>
              <w:t xml:space="preserve"> 1) </w:t>
            </w:r>
            <w:r w:rsidR="00D40026" w:rsidRPr="00E3515B">
              <w:rPr>
                <w:sz w:val="22"/>
                <w:szCs w:val="22"/>
                <w:lang w:val="es-ES"/>
              </w:rPr>
              <w:t xml:space="preserve">y la moderna tecnología </w:t>
            </w:r>
            <w:r w:rsidRPr="00E3515B">
              <w:rPr>
                <w:sz w:val="22"/>
                <w:szCs w:val="22"/>
                <w:lang w:val="es-ES"/>
              </w:rPr>
              <w:t xml:space="preserve">web </w:t>
            </w:r>
            <w:r w:rsidR="00D40026" w:rsidRPr="00E3515B">
              <w:rPr>
                <w:sz w:val="22"/>
                <w:szCs w:val="22"/>
                <w:lang w:val="es-ES"/>
              </w:rPr>
              <w:t xml:space="preserve">seleccionada para la aplicación de la Resolución </w:t>
            </w:r>
            <w:r w:rsidRPr="00E3515B">
              <w:rPr>
                <w:sz w:val="22"/>
                <w:szCs w:val="22"/>
                <w:lang w:val="es-ES"/>
              </w:rPr>
              <w:t>908.</w:t>
            </w:r>
          </w:p>
          <w:p w:rsidR="00FA7C73" w:rsidRPr="00C53010" w:rsidRDefault="00D40026" w:rsidP="00D40026">
            <w:pPr>
              <w:tabs>
                <w:tab w:val="left" w:pos="7797"/>
              </w:tabs>
              <w:rPr>
                <w:lang w:val="es-ES"/>
              </w:rPr>
            </w:pPr>
            <w:r w:rsidRPr="00C53010">
              <w:rPr>
                <w:lang w:val="es-ES"/>
              </w:rPr>
              <w:t xml:space="preserve">Las etapas de producción del portal de comunicaciones electrónicas para la fase 1 del proyecto de la Resolución </w:t>
            </w:r>
            <w:r w:rsidR="00FA7C73" w:rsidRPr="00C53010">
              <w:rPr>
                <w:lang w:val="es-ES"/>
              </w:rPr>
              <w:t xml:space="preserve">908 </w:t>
            </w:r>
            <w:r w:rsidRPr="00C53010">
              <w:rPr>
                <w:lang w:val="es-ES"/>
              </w:rPr>
              <w:t>relativo a la comunicación de notificaciones de redes de satélites y comentarios es el siguiente</w:t>
            </w:r>
            <w:r w:rsidR="00FA7C73" w:rsidRPr="00C53010">
              <w:rPr>
                <w:lang w:val="es-ES"/>
              </w:rPr>
              <w:t>:</w:t>
            </w:r>
          </w:p>
          <w:p w:rsidR="00FA7C73" w:rsidRPr="00E3515B" w:rsidRDefault="00E3515B" w:rsidP="00E3515B">
            <w:pPr>
              <w:rPr>
                <w:sz w:val="22"/>
                <w:szCs w:val="22"/>
                <w:lang w:eastAsia="zh-CN"/>
              </w:rPr>
            </w:pPr>
            <w:r w:rsidRPr="00E3515B">
              <w:rPr>
                <w:sz w:val="22"/>
                <w:szCs w:val="22"/>
                <w:lang w:val="es-ES"/>
              </w:rPr>
              <w:t>•</w:t>
            </w:r>
            <w:r w:rsidRPr="00E3515B">
              <w:rPr>
                <w:sz w:val="22"/>
                <w:szCs w:val="22"/>
                <w:lang w:val="es-ES"/>
              </w:rPr>
              <w:tab/>
            </w:r>
            <w:r w:rsidR="00FA7C73" w:rsidRPr="00E3515B">
              <w:rPr>
                <w:sz w:val="22"/>
                <w:szCs w:val="22"/>
                <w:lang w:val="es-ES"/>
              </w:rPr>
              <w:t>15</w:t>
            </w:r>
            <w:r w:rsidR="00D40026" w:rsidRPr="00E3515B">
              <w:rPr>
                <w:sz w:val="22"/>
                <w:szCs w:val="22"/>
                <w:lang w:val="es-ES"/>
              </w:rPr>
              <w:t xml:space="preserve"> de febrero</w:t>
            </w:r>
            <w:r w:rsidR="00FA7C73" w:rsidRPr="00E3515B">
              <w:rPr>
                <w:sz w:val="22"/>
                <w:szCs w:val="22"/>
                <w:lang w:val="es-ES"/>
              </w:rPr>
              <w:t xml:space="preserve"> – </w:t>
            </w:r>
            <w:r w:rsidR="00D40026" w:rsidRPr="00E3515B">
              <w:rPr>
                <w:sz w:val="22"/>
                <w:szCs w:val="22"/>
                <w:lang w:val="es-ES"/>
              </w:rPr>
              <w:t xml:space="preserve">finales de abril de </w:t>
            </w:r>
            <w:r w:rsidR="00FA7C73" w:rsidRPr="00E3515B">
              <w:rPr>
                <w:sz w:val="22"/>
                <w:szCs w:val="22"/>
                <w:lang w:val="es-ES"/>
              </w:rPr>
              <w:t xml:space="preserve">2018: </w:t>
            </w:r>
            <w:r w:rsidR="00D40026" w:rsidRPr="00E3515B">
              <w:rPr>
                <w:sz w:val="22"/>
                <w:szCs w:val="22"/>
                <w:lang w:val="es-ES"/>
              </w:rPr>
              <w:t xml:space="preserve">prueba externa de la versión </w:t>
            </w:r>
            <w:r w:rsidR="00FA7C73" w:rsidRPr="00E3515B">
              <w:rPr>
                <w:sz w:val="22"/>
                <w:szCs w:val="22"/>
                <w:lang w:val="es-ES"/>
              </w:rPr>
              <w:t xml:space="preserve">beta </w:t>
            </w:r>
          </w:p>
          <w:p w:rsidR="00FA7C73" w:rsidRPr="00E3515B" w:rsidRDefault="00E3515B" w:rsidP="00E3515B">
            <w:pPr>
              <w:pStyle w:val="enumlev1"/>
              <w:rPr>
                <w:sz w:val="22"/>
                <w:szCs w:val="22"/>
                <w:lang w:val="es-ES"/>
              </w:rPr>
            </w:pPr>
            <w:r w:rsidRPr="00E3515B">
              <w:rPr>
                <w:sz w:val="22"/>
                <w:szCs w:val="22"/>
                <w:lang w:val="es-ES"/>
              </w:rPr>
              <w:t>•</w:t>
            </w:r>
            <w:r w:rsidRPr="00E3515B">
              <w:rPr>
                <w:sz w:val="22"/>
                <w:szCs w:val="22"/>
                <w:lang w:val="es-ES"/>
              </w:rPr>
              <w:tab/>
            </w:r>
            <w:r w:rsidR="00D40026" w:rsidRPr="00E3515B">
              <w:rPr>
                <w:sz w:val="22"/>
                <w:szCs w:val="22"/>
                <w:lang w:val="es-ES"/>
              </w:rPr>
              <w:t xml:space="preserve">Mayo </w:t>
            </w:r>
            <w:r w:rsidR="00FA7C73" w:rsidRPr="00E3515B">
              <w:rPr>
                <w:sz w:val="22"/>
                <w:szCs w:val="22"/>
                <w:lang w:val="es-ES"/>
              </w:rPr>
              <w:t xml:space="preserve">– </w:t>
            </w:r>
            <w:r w:rsidR="00D40026" w:rsidRPr="00E3515B">
              <w:rPr>
                <w:sz w:val="22"/>
                <w:szCs w:val="22"/>
                <w:lang w:val="es-ES"/>
              </w:rPr>
              <w:t xml:space="preserve">mediados de junio de </w:t>
            </w:r>
            <w:r w:rsidR="00FA7C73" w:rsidRPr="00E3515B">
              <w:rPr>
                <w:sz w:val="22"/>
                <w:szCs w:val="22"/>
                <w:lang w:val="es-ES"/>
              </w:rPr>
              <w:t xml:space="preserve">2018: </w:t>
            </w:r>
            <w:r w:rsidR="00D40026" w:rsidRPr="00E3515B">
              <w:rPr>
                <w:sz w:val="22"/>
                <w:szCs w:val="22"/>
                <w:lang w:val="es-ES"/>
              </w:rPr>
              <w:t>Corrección y mejora basada en los resultados de la prueba externa de la versión beta</w:t>
            </w:r>
          </w:p>
          <w:p w:rsidR="00FA7C73" w:rsidRPr="00E3515B" w:rsidRDefault="00E3515B" w:rsidP="00E3515B">
            <w:pPr>
              <w:pStyle w:val="enumlev1"/>
              <w:rPr>
                <w:sz w:val="22"/>
                <w:szCs w:val="22"/>
                <w:lang w:val="es-ES"/>
              </w:rPr>
            </w:pPr>
            <w:r w:rsidRPr="00E3515B">
              <w:rPr>
                <w:sz w:val="22"/>
                <w:szCs w:val="22"/>
                <w:lang w:val="es-ES"/>
              </w:rPr>
              <w:t>•</w:t>
            </w:r>
            <w:r w:rsidRPr="00E3515B">
              <w:rPr>
                <w:sz w:val="22"/>
                <w:szCs w:val="22"/>
                <w:lang w:val="es-ES"/>
              </w:rPr>
              <w:tab/>
            </w:r>
            <w:r w:rsidR="00FA7C73" w:rsidRPr="00E3515B">
              <w:rPr>
                <w:sz w:val="22"/>
                <w:szCs w:val="22"/>
                <w:lang w:val="es-ES"/>
              </w:rPr>
              <w:t xml:space="preserve">15 </w:t>
            </w:r>
            <w:r w:rsidR="00D40026" w:rsidRPr="00E3515B">
              <w:rPr>
                <w:sz w:val="22"/>
                <w:szCs w:val="22"/>
                <w:lang w:val="es-ES"/>
              </w:rPr>
              <w:t xml:space="preserve">de junio </w:t>
            </w:r>
            <w:r w:rsidR="00FA7C73" w:rsidRPr="00E3515B">
              <w:rPr>
                <w:sz w:val="22"/>
                <w:szCs w:val="22"/>
                <w:lang w:val="es-ES"/>
              </w:rPr>
              <w:t xml:space="preserve">– </w:t>
            </w:r>
            <w:r w:rsidR="00D40026" w:rsidRPr="00E3515B">
              <w:rPr>
                <w:sz w:val="22"/>
                <w:szCs w:val="22"/>
                <w:lang w:val="es-ES"/>
              </w:rPr>
              <w:t xml:space="preserve">finales de julio de </w:t>
            </w:r>
            <w:r w:rsidR="00FA7C73" w:rsidRPr="00E3515B">
              <w:rPr>
                <w:sz w:val="22"/>
                <w:szCs w:val="22"/>
                <w:lang w:val="es-ES"/>
              </w:rPr>
              <w:t xml:space="preserve">2018: </w:t>
            </w:r>
            <w:r w:rsidR="00D40026" w:rsidRPr="00E3515B">
              <w:rPr>
                <w:sz w:val="22"/>
                <w:szCs w:val="22"/>
                <w:lang w:val="es-ES"/>
              </w:rPr>
              <w:t>Utilización voluntari</w:t>
            </w:r>
            <w:r w:rsidR="008F1C1D" w:rsidRPr="00E3515B">
              <w:rPr>
                <w:sz w:val="22"/>
                <w:szCs w:val="22"/>
                <w:lang w:val="es-ES"/>
              </w:rPr>
              <w:t>a</w:t>
            </w:r>
            <w:r w:rsidR="00FA7C73" w:rsidRPr="00E3515B">
              <w:rPr>
                <w:sz w:val="22"/>
                <w:szCs w:val="22"/>
                <w:lang w:val="es-ES"/>
              </w:rPr>
              <w:t xml:space="preserve">: </w:t>
            </w:r>
            <w:r w:rsidR="00D40026" w:rsidRPr="00E3515B">
              <w:rPr>
                <w:sz w:val="22"/>
                <w:szCs w:val="22"/>
                <w:lang w:val="es-ES"/>
              </w:rPr>
              <w:t>las administraciones podrán seguir presentando sus notificaciones por fax o correo electrónico</w:t>
            </w:r>
            <w:r w:rsidR="00FA7C73" w:rsidRPr="00E3515B">
              <w:rPr>
                <w:sz w:val="22"/>
                <w:szCs w:val="22"/>
                <w:lang w:val="es-ES"/>
              </w:rPr>
              <w:t xml:space="preserve"> </w:t>
            </w:r>
          </w:p>
          <w:p w:rsidR="00FA7C73" w:rsidRPr="00C53010" w:rsidRDefault="00E3515B" w:rsidP="00E3515B">
            <w:pPr>
              <w:pStyle w:val="enumlev1"/>
              <w:rPr>
                <w:lang w:val="es-ES"/>
              </w:rPr>
            </w:pPr>
            <w:r w:rsidRPr="00E3515B">
              <w:rPr>
                <w:sz w:val="22"/>
                <w:szCs w:val="22"/>
                <w:lang w:val="es-ES"/>
              </w:rPr>
              <w:t>•</w:t>
            </w:r>
            <w:r w:rsidRPr="00E3515B">
              <w:rPr>
                <w:sz w:val="22"/>
                <w:szCs w:val="22"/>
                <w:lang w:val="es-ES"/>
              </w:rPr>
              <w:tab/>
            </w:r>
            <w:r w:rsidR="00D40026" w:rsidRPr="00E3515B">
              <w:rPr>
                <w:sz w:val="22"/>
                <w:szCs w:val="22"/>
                <w:lang w:val="es-ES"/>
              </w:rPr>
              <w:t xml:space="preserve">1 de agosto de </w:t>
            </w:r>
            <w:r w:rsidR="00FA7C73" w:rsidRPr="00E3515B">
              <w:rPr>
                <w:sz w:val="22"/>
                <w:szCs w:val="22"/>
                <w:lang w:val="es-ES"/>
              </w:rPr>
              <w:t xml:space="preserve">2018: </w:t>
            </w:r>
            <w:r w:rsidR="008F1C1D" w:rsidRPr="00E3515B">
              <w:rPr>
                <w:sz w:val="22"/>
                <w:szCs w:val="22"/>
                <w:lang w:val="es-ES"/>
              </w:rPr>
              <w:t xml:space="preserve">Utilización obligatoria </w:t>
            </w:r>
            <w:r w:rsidR="00FA7C73" w:rsidRPr="00E3515B">
              <w:rPr>
                <w:sz w:val="22"/>
                <w:szCs w:val="22"/>
                <w:lang w:val="es-ES"/>
              </w:rPr>
              <w:t>(</w:t>
            </w:r>
            <w:r w:rsidR="008F1C1D" w:rsidRPr="00E3515B">
              <w:rPr>
                <w:sz w:val="22"/>
                <w:szCs w:val="22"/>
                <w:lang w:val="es-ES"/>
              </w:rPr>
              <w:t>a reserva de la adopción de la correspondiente regla de procedimiento por la RRB</w:t>
            </w:r>
            <w:r w:rsidR="00FA7C73" w:rsidRPr="00E3515B">
              <w:rPr>
                <w:sz w:val="22"/>
                <w:szCs w:val="22"/>
                <w:lang w:val="es-ES"/>
              </w:rPr>
              <w:t>)</w:t>
            </w:r>
          </w:p>
          <w:p w:rsidR="00FA7C73" w:rsidRPr="00C53010" w:rsidRDefault="008F1C1D" w:rsidP="00E3515B">
            <w:pPr>
              <w:rPr>
                <w:lang w:val="es-ES"/>
              </w:rPr>
            </w:pPr>
            <w:r w:rsidRPr="00C53010">
              <w:rPr>
                <w:lang w:val="es-ES"/>
              </w:rPr>
              <w:lastRenderedPageBreak/>
              <w:t>Las mejoras de los procedimientos internos y del software de tramitación se aplicará</w:t>
            </w:r>
            <w:r w:rsidR="00D94160" w:rsidRPr="00C53010">
              <w:rPr>
                <w:lang w:val="es-ES"/>
              </w:rPr>
              <w:t>n</w:t>
            </w:r>
            <w:r w:rsidRPr="00C53010">
              <w:rPr>
                <w:lang w:val="es-ES"/>
              </w:rPr>
              <w:t xml:space="preserve"> </w:t>
            </w:r>
            <w:r w:rsidR="00021810" w:rsidRPr="00C53010">
              <w:rPr>
                <w:lang w:val="es-ES"/>
              </w:rPr>
              <w:t>simultáneamente</w:t>
            </w:r>
            <w:r w:rsidR="00D94160" w:rsidRPr="00C53010">
              <w:rPr>
                <w:lang w:val="es-ES"/>
              </w:rPr>
              <w:t xml:space="preserve"> </w:t>
            </w:r>
            <w:r w:rsidRPr="00C53010">
              <w:rPr>
                <w:lang w:val="es-ES"/>
              </w:rPr>
              <w:t>con la mencionada funcionalidad visible exteriormente</w:t>
            </w:r>
            <w:r w:rsidR="00FA7C73" w:rsidRPr="00C53010">
              <w:rPr>
                <w:lang w:val="es-ES"/>
              </w:rPr>
              <w:t xml:space="preserve">. </w:t>
            </w:r>
            <w:r w:rsidRPr="00C53010">
              <w:rPr>
                <w:lang w:val="es-ES"/>
              </w:rPr>
              <w:t xml:space="preserve">Los trabajos proseguirán en </w:t>
            </w:r>
            <w:r w:rsidR="00FA7C73" w:rsidRPr="00C53010">
              <w:rPr>
                <w:lang w:val="es-ES"/>
              </w:rPr>
              <w:t>2019</w:t>
            </w:r>
            <w:r w:rsidR="001B0E79">
              <w:rPr>
                <w:lang w:val="es-ES"/>
              </w:rPr>
              <w:t xml:space="preserve">, </w:t>
            </w:r>
            <w:r w:rsidRPr="00C53010">
              <w:rPr>
                <w:lang w:val="es-ES"/>
              </w:rPr>
              <w:t xml:space="preserve">junto con los trabajos previstos en la hoja de ruta sobre sistemas de información espacial de la BR </w:t>
            </w:r>
            <w:r w:rsidR="00FA7C73" w:rsidRPr="00C53010">
              <w:rPr>
                <w:sz w:val="22"/>
                <w:szCs w:val="22"/>
                <w:lang w:val="es-ES"/>
              </w:rPr>
              <w:t xml:space="preserve">(SNS </w:t>
            </w:r>
            <w:r w:rsidRPr="00C53010">
              <w:rPr>
                <w:sz w:val="22"/>
                <w:szCs w:val="22"/>
                <w:lang w:val="es-ES"/>
              </w:rPr>
              <w:t>en línea</w:t>
            </w:r>
            <w:r w:rsidR="001B0E79">
              <w:rPr>
                <w:sz w:val="22"/>
                <w:szCs w:val="22"/>
                <w:lang w:val="es-ES"/>
              </w:rPr>
              <w:t xml:space="preserve">, </w:t>
            </w:r>
            <w:r w:rsidR="00FA7C73" w:rsidRPr="00C53010">
              <w:rPr>
                <w:sz w:val="22"/>
                <w:szCs w:val="22"/>
                <w:lang w:val="es-ES"/>
              </w:rPr>
              <w:t>SNTrack</w:t>
            </w:r>
            <w:r w:rsidR="001B0E79">
              <w:rPr>
                <w:sz w:val="22"/>
                <w:szCs w:val="22"/>
                <w:lang w:val="es-ES"/>
              </w:rPr>
              <w:t xml:space="preserve">, </w:t>
            </w:r>
            <w:r w:rsidR="00FA7C73" w:rsidRPr="00C53010">
              <w:rPr>
                <w:sz w:val="22"/>
                <w:szCs w:val="22"/>
                <w:lang w:val="es-ES"/>
              </w:rPr>
              <w:t>etc.)</w:t>
            </w:r>
            <w:r w:rsidR="00FA7C73" w:rsidRPr="00C53010">
              <w:rPr>
                <w:lang w:val="es-ES"/>
              </w:rPr>
              <w:t>.</w:t>
            </w:r>
          </w:p>
        </w:tc>
      </w:tr>
      <w:tr w:rsidR="00FA7C73" w:rsidRPr="00C53010" w:rsidTr="00E3515B">
        <w:tc>
          <w:tcPr>
            <w:tcW w:w="9350" w:type="dxa"/>
          </w:tcPr>
          <w:p w:rsidR="00FA7C73" w:rsidRPr="00C53010" w:rsidRDefault="008F1C1D" w:rsidP="001F3A94">
            <w:pPr>
              <w:tabs>
                <w:tab w:val="left" w:pos="7655"/>
              </w:tabs>
              <w:rPr>
                <w:b/>
                <w:bCs/>
                <w:lang w:val="es-ES"/>
              </w:rPr>
            </w:pPr>
            <w:r w:rsidRPr="00C53010">
              <w:rPr>
                <w:rFonts w:eastAsia="SimSun" w:cs="Arial"/>
                <w:b/>
                <w:bCs/>
                <w:szCs w:val="22"/>
                <w:lang w:val="es-ES"/>
              </w:rPr>
              <w:lastRenderedPageBreak/>
              <w:t>Aplicación</w:t>
            </w:r>
            <w:r w:rsidRPr="00C53010">
              <w:rPr>
                <w:b/>
                <w:szCs w:val="22"/>
                <w:lang w:val="es-ES"/>
              </w:rPr>
              <w:t xml:space="preserve"> de las decisiones de la CMR-15 relativas a los servicios espaciales</w:t>
            </w:r>
          </w:p>
          <w:p w:rsidR="00FA7C73" w:rsidRPr="00C53010" w:rsidRDefault="008F1C1D" w:rsidP="000A1430">
            <w:pPr>
              <w:tabs>
                <w:tab w:val="left" w:pos="7655"/>
              </w:tabs>
              <w:rPr>
                <w:sz w:val="22"/>
                <w:szCs w:val="22"/>
                <w:lang w:val="es-ES"/>
              </w:rPr>
            </w:pPr>
            <w:r w:rsidRPr="00C53010">
              <w:rPr>
                <w:sz w:val="22"/>
                <w:szCs w:val="22"/>
                <w:lang w:val="es-ES"/>
              </w:rPr>
              <w:t>En 2017 se continuaron aplicando las decisiones de la CMR</w:t>
            </w:r>
            <w:r w:rsidR="00FA7C73" w:rsidRPr="00C53010">
              <w:rPr>
                <w:sz w:val="22"/>
                <w:szCs w:val="22"/>
                <w:lang w:val="es-ES"/>
              </w:rPr>
              <w:t>-15</w:t>
            </w:r>
            <w:r w:rsidR="001B0E79">
              <w:rPr>
                <w:sz w:val="22"/>
                <w:szCs w:val="22"/>
                <w:lang w:val="es-ES"/>
              </w:rPr>
              <w:t xml:space="preserve">, </w:t>
            </w:r>
            <w:r w:rsidR="000A1430" w:rsidRPr="00C53010">
              <w:rPr>
                <w:sz w:val="22"/>
                <w:szCs w:val="22"/>
                <w:lang w:val="es-ES"/>
              </w:rPr>
              <w:t>mejorando y perfeccionando el software de examen técnico y administrativo</w:t>
            </w:r>
            <w:r w:rsidR="00FA7C73" w:rsidRPr="00C53010">
              <w:rPr>
                <w:sz w:val="22"/>
                <w:szCs w:val="22"/>
                <w:lang w:val="es-ES"/>
              </w:rPr>
              <w:t xml:space="preserve">. </w:t>
            </w:r>
          </w:p>
          <w:p w:rsidR="00FA7C73" w:rsidRPr="00C53010" w:rsidRDefault="000A1430" w:rsidP="000A1430">
            <w:pPr>
              <w:tabs>
                <w:tab w:val="left" w:pos="7655"/>
              </w:tabs>
              <w:rPr>
                <w:b/>
                <w:bCs/>
                <w:sz w:val="22"/>
                <w:szCs w:val="18"/>
                <w:lang w:val="es-ES"/>
              </w:rPr>
            </w:pPr>
            <w:r w:rsidRPr="00C53010">
              <w:rPr>
                <w:b/>
                <w:bCs/>
                <w:sz w:val="22"/>
                <w:szCs w:val="18"/>
                <w:lang w:val="es-ES"/>
              </w:rPr>
              <w:t xml:space="preserve">Aplicación de la Resolución </w:t>
            </w:r>
            <w:r w:rsidR="00FA7C73" w:rsidRPr="00C53010">
              <w:rPr>
                <w:b/>
                <w:bCs/>
                <w:sz w:val="22"/>
                <w:szCs w:val="18"/>
                <w:lang w:val="es-ES"/>
              </w:rPr>
              <w:t>55 (</w:t>
            </w:r>
            <w:r w:rsidRPr="00C53010">
              <w:rPr>
                <w:b/>
                <w:bCs/>
                <w:sz w:val="22"/>
                <w:szCs w:val="18"/>
                <w:lang w:val="es-ES"/>
              </w:rPr>
              <w:t>CMR</w:t>
            </w:r>
            <w:r w:rsidR="00FA7C73" w:rsidRPr="00C53010">
              <w:rPr>
                <w:b/>
                <w:bCs/>
                <w:sz w:val="22"/>
                <w:szCs w:val="18"/>
                <w:lang w:val="es-ES"/>
              </w:rPr>
              <w:t>-15)</w:t>
            </w:r>
          </w:p>
          <w:p w:rsidR="00FA7C73" w:rsidRPr="00C53010" w:rsidRDefault="000A1430" w:rsidP="00690662">
            <w:pPr>
              <w:tabs>
                <w:tab w:val="left" w:pos="7655"/>
              </w:tabs>
              <w:rPr>
                <w:sz w:val="22"/>
                <w:szCs w:val="18"/>
                <w:lang w:val="es-ES"/>
              </w:rPr>
            </w:pPr>
            <w:r w:rsidRPr="00C53010">
              <w:rPr>
                <w:sz w:val="22"/>
                <w:szCs w:val="18"/>
                <w:lang w:val="es-ES"/>
              </w:rPr>
              <w:t xml:space="preserve">De conformidad con las modificaciones de la Resolución </w:t>
            </w:r>
            <w:r w:rsidR="00FA7C73" w:rsidRPr="00C53010">
              <w:rPr>
                <w:b/>
                <w:bCs/>
                <w:sz w:val="22"/>
                <w:szCs w:val="18"/>
                <w:lang w:val="es-ES"/>
              </w:rPr>
              <w:t>55 (</w:t>
            </w:r>
            <w:r w:rsidRPr="00C53010">
              <w:rPr>
                <w:b/>
                <w:bCs/>
                <w:sz w:val="22"/>
                <w:szCs w:val="18"/>
                <w:lang w:val="es-ES"/>
              </w:rPr>
              <w:t>CMR</w:t>
            </w:r>
            <w:r w:rsidR="00FA7C73" w:rsidRPr="00C53010">
              <w:rPr>
                <w:b/>
                <w:bCs/>
                <w:sz w:val="22"/>
                <w:szCs w:val="18"/>
                <w:lang w:val="es-ES"/>
              </w:rPr>
              <w:t>-15)</w:t>
            </w:r>
            <w:r w:rsidR="00FA7C73" w:rsidRPr="00C53010">
              <w:rPr>
                <w:sz w:val="22"/>
                <w:szCs w:val="18"/>
                <w:lang w:val="es-ES"/>
              </w:rPr>
              <w:t xml:space="preserve"> </w:t>
            </w:r>
            <w:r w:rsidR="00D94160" w:rsidRPr="00C53010">
              <w:rPr>
                <w:sz w:val="22"/>
                <w:szCs w:val="18"/>
                <w:lang w:val="es-ES"/>
              </w:rPr>
              <w:t xml:space="preserve">en la que se revisa el requisito de que las </w:t>
            </w:r>
            <w:r w:rsidR="005F6760" w:rsidRPr="00C53010">
              <w:rPr>
                <w:sz w:val="22"/>
                <w:szCs w:val="18"/>
                <w:lang w:val="es-ES"/>
              </w:rPr>
              <w:t xml:space="preserve">notificaciones se publiquen </w:t>
            </w:r>
            <w:r w:rsidR="00690662">
              <w:rPr>
                <w:sz w:val="22"/>
                <w:szCs w:val="18"/>
                <w:lang w:val="es-ES"/>
              </w:rPr>
              <w:t>"</w:t>
            </w:r>
            <w:r w:rsidR="00BB79E6" w:rsidRPr="00C53010">
              <w:rPr>
                <w:sz w:val="22"/>
                <w:szCs w:val="18"/>
                <w:lang w:val="es-ES"/>
              </w:rPr>
              <w:t>tal y como se reciben</w:t>
            </w:r>
            <w:r w:rsidR="00690662">
              <w:rPr>
                <w:sz w:val="22"/>
                <w:szCs w:val="18"/>
                <w:lang w:val="es-ES"/>
              </w:rPr>
              <w:t>"</w:t>
            </w:r>
            <w:r w:rsidR="00FA7C73" w:rsidRPr="00C53010">
              <w:rPr>
                <w:sz w:val="22"/>
                <w:szCs w:val="18"/>
                <w:lang w:val="es-ES"/>
              </w:rPr>
              <w:t xml:space="preserve"> </w:t>
            </w:r>
            <w:r w:rsidR="00D94160" w:rsidRPr="00C53010">
              <w:rPr>
                <w:sz w:val="22"/>
                <w:szCs w:val="18"/>
                <w:lang w:val="es-ES"/>
              </w:rPr>
              <w:t>exclusivamente en el sitio web de la BR</w:t>
            </w:r>
            <w:r w:rsidR="001B0E79">
              <w:rPr>
                <w:sz w:val="22"/>
                <w:szCs w:val="18"/>
                <w:lang w:val="es-ES"/>
              </w:rPr>
              <w:t xml:space="preserve">, </w:t>
            </w:r>
            <w:r w:rsidR="00D94160" w:rsidRPr="00C53010">
              <w:rPr>
                <w:sz w:val="22"/>
                <w:szCs w:val="18"/>
                <w:lang w:val="es-ES"/>
              </w:rPr>
              <w:t xml:space="preserve">y para satisfacer lo solicitado por las </w:t>
            </w:r>
            <w:r w:rsidR="00021810" w:rsidRPr="00C53010">
              <w:rPr>
                <w:sz w:val="22"/>
                <w:szCs w:val="18"/>
                <w:lang w:val="es-ES"/>
              </w:rPr>
              <w:t>Administraciones</w:t>
            </w:r>
            <w:r w:rsidR="00D94160" w:rsidRPr="00C53010">
              <w:rPr>
                <w:sz w:val="22"/>
                <w:szCs w:val="18"/>
                <w:lang w:val="es-ES"/>
              </w:rPr>
              <w:t xml:space="preserve"> en relación con la modificación del procedimiento de publicación anticipada</w:t>
            </w:r>
            <w:r w:rsidR="001B0E79">
              <w:rPr>
                <w:sz w:val="22"/>
                <w:szCs w:val="18"/>
                <w:lang w:val="es-ES"/>
              </w:rPr>
              <w:t xml:space="preserve">, </w:t>
            </w:r>
            <w:r w:rsidR="00D94160" w:rsidRPr="00C53010">
              <w:rPr>
                <w:sz w:val="22"/>
                <w:szCs w:val="18"/>
                <w:lang w:val="es-ES"/>
              </w:rPr>
              <w:t xml:space="preserve">de modo que la solicitud de coordinación es ahora la primera etapa de la </w:t>
            </w:r>
            <w:r w:rsidR="00BB79E6" w:rsidRPr="00C53010">
              <w:rPr>
                <w:sz w:val="22"/>
                <w:szCs w:val="18"/>
                <w:lang w:val="es-ES"/>
              </w:rPr>
              <w:t>comunicación de una red de satélites sujeta a coordinación</w:t>
            </w:r>
            <w:r w:rsidR="001B0E79">
              <w:rPr>
                <w:sz w:val="22"/>
                <w:szCs w:val="18"/>
                <w:lang w:val="es-ES"/>
              </w:rPr>
              <w:t xml:space="preserve">, </w:t>
            </w:r>
            <w:r w:rsidR="00BB79E6" w:rsidRPr="00C53010">
              <w:rPr>
                <w:sz w:val="22"/>
                <w:szCs w:val="18"/>
                <w:lang w:val="es-ES"/>
              </w:rPr>
              <w:t xml:space="preserve">la Oficina </w:t>
            </w:r>
            <w:r w:rsidR="00EA7551">
              <w:rPr>
                <w:sz w:val="22"/>
                <w:szCs w:val="18"/>
                <w:lang w:val="es-ES"/>
              </w:rPr>
              <w:t>h</w:t>
            </w:r>
            <w:r w:rsidR="00BB79E6" w:rsidRPr="00C53010">
              <w:rPr>
                <w:sz w:val="22"/>
                <w:szCs w:val="18"/>
                <w:lang w:val="es-ES"/>
              </w:rPr>
              <w:t xml:space="preserve">a creado una nueva página </w:t>
            </w:r>
            <w:r w:rsidR="00690662">
              <w:rPr>
                <w:sz w:val="22"/>
                <w:szCs w:val="18"/>
                <w:lang w:val="es-ES"/>
              </w:rPr>
              <w:t>web para todas las solicitudes "tal y como se reciben"</w:t>
            </w:r>
            <w:r w:rsidR="00FA7C73" w:rsidRPr="00C53010">
              <w:rPr>
                <w:sz w:val="22"/>
                <w:szCs w:val="18"/>
                <w:lang w:val="es-ES"/>
              </w:rPr>
              <w:t xml:space="preserve"> </w:t>
            </w:r>
            <w:hyperlink r:id="rId18" w:history="1">
              <w:r w:rsidR="00FA7C73" w:rsidRPr="00C53010">
                <w:rPr>
                  <w:rStyle w:val="Hyperlink"/>
                  <w:sz w:val="22"/>
                  <w:szCs w:val="18"/>
                  <w:lang w:val="es-ES"/>
                </w:rPr>
                <w:t>https://w</w:t>
              </w:r>
              <w:r w:rsidR="00FA7C73" w:rsidRPr="00C53010">
                <w:rPr>
                  <w:rStyle w:val="Hyperlink"/>
                  <w:sz w:val="22"/>
                  <w:szCs w:val="18"/>
                  <w:lang w:val="es-ES"/>
                </w:rPr>
                <w:t>w</w:t>
              </w:r>
              <w:r w:rsidR="00FA7C73" w:rsidRPr="00C53010">
                <w:rPr>
                  <w:rStyle w:val="Hyperlink"/>
                  <w:sz w:val="22"/>
                  <w:szCs w:val="18"/>
                  <w:lang w:val="es-ES"/>
                </w:rPr>
                <w:t>w.itu.int/net4/itu-r/res55asreceived/</w:t>
              </w:r>
            </w:hyperlink>
            <w:r w:rsidR="001B0E79">
              <w:rPr>
                <w:sz w:val="22"/>
                <w:szCs w:val="18"/>
                <w:lang w:val="es-ES"/>
              </w:rPr>
              <w:t xml:space="preserve">, </w:t>
            </w:r>
            <w:r w:rsidR="00BB79E6" w:rsidRPr="00C53010">
              <w:rPr>
                <w:sz w:val="22"/>
                <w:szCs w:val="18"/>
                <w:lang w:val="es-ES"/>
              </w:rPr>
              <w:t xml:space="preserve">disponible desde principios de </w:t>
            </w:r>
            <w:r w:rsidR="00FA7C73" w:rsidRPr="00C53010">
              <w:rPr>
                <w:sz w:val="22"/>
                <w:szCs w:val="18"/>
                <w:lang w:val="es-ES"/>
              </w:rPr>
              <w:t xml:space="preserve">2017. </w:t>
            </w:r>
            <w:r w:rsidR="00BB79E6" w:rsidRPr="00C53010">
              <w:rPr>
                <w:sz w:val="22"/>
                <w:szCs w:val="18"/>
                <w:lang w:val="es-ES"/>
              </w:rPr>
              <w:t>Todas las notificaciones recibidas por las administraciones se pueden descargar en el sitio web</w:t>
            </w:r>
            <w:r w:rsidR="001B0E79">
              <w:rPr>
                <w:sz w:val="22"/>
                <w:szCs w:val="18"/>
                <w:lang w:val="es-ES"/>
              </w:rPr>
              <w:t xml:space="preserve">, </w:t>
            </w:r>
            <w:r w:rsidR="00BB79E6" w:rsidRPr="00C53010">
              <w:rPr>
                <w:sz w:val="22"/>
                <w:szCs w:val="18"/>
                <w:lang w:val="es-ES"/>
              </w:rPr>
              <w:t>junto con un resumen de la red</w:t>
            </w:r>
            <w:r w:rsidR="00FA7C73" w:rsidRPr="00C53010">
              <w:rPr>
                <w:sz w:val="22"/>
                <w:szCs w:val="18"/>
                <w:lang w:val="es-ES"/>
              </w:rPr>
              <w:t xml:space="preserve">. </w:t>
            </w:r>
            <w:r w:rsidR="00BB79E6" w:rsidRPr="00C53010">
              <w:rPr>
                <w:sz w:val="22"/>
                <w:szCs w:val="18"/>
                <w:lang w:val="es-ES"/>
              </w:rPr>
              <w:t>En el caso de las solicitudes de coordinación</w:t>
            </w:r>
            <w:r w:rsidR="001B0E79">
              <w:rPr>
                <w:sz w:val="22"/>
                <w:szCs w:val="18"/>
                <w:lang w:val="es-ES"/>
              </w:rPr>
              <w:t xml:space="preserve">, </w:t>
            </w:r>
            <w:r w:rsidR="00BB79E6" w:rsidRPr="00C53010">
              <w:rPr>
                <w:sz w:val="22"/>
                <w:szCs w:val="18"/>
                <w:lang w:val="es-ES"/>
              </w:rPr>
              <w:t>la lista de bandas de frecuencias únicas figura en el resumen</w:t>
            </w:r>
            <w:r w:rsidR="00FA7C73" w:rsidRPr="00C53010">
              <w:rPr>
                <w:sz w:val="22"/>
                <w:szCs w:val="18"/>
                <w:lang w:val="es-ES"/>
              </w:rPr>
              <w:t xml:space="preserve">. </w:t>
            </w:r>
            <w:r w:rsidR="00BB79E6" w:rsidRPr="00C53010">
              <w:rPr>
                <w:sz w:val="22"/>
                <w:szCs w:val="18"/>
                <w:lang w:val="es-ES"/>
              </w:rPr>
              <w:t>Todas estas funcionalidades</w:t>
            </w:r>
            <w:r w:rsidR="001B0E79">
              <w:rPr>
                <w:sz w:val="22"/>
                <w:szCs w:val="18"/>
                <w:lang w:val="es-ES"/>
              </w:rPr>
              <w:t xml:space="preserve">, </w:t>
            </w:r>
            <w:r w:rsidR="00BB79E6" w:rsidRPr="00C53010">
              <w:rPr>
                <w:sz w:val="22"/>
                <w:szCs w:val="18"/>
                <w:lang w:val="es-ES"/>
              </w:rPr>
              <w:t>incluidas las funciones de tramitación interna de la BR</w:t>
            </w:r>
            <w:r w:rsidR="001B0E79">
              <w:rPr>
                <w:sz w:val="22"/>
                <w:szCs w:val="18"/>
                <w:lang w:val="es-ES"/>
              </w:rPr>
              <w:t xml:space="preserve">, </w:t>
            </w:r>
            <w:r w:rsidR="00BB79E6" w:rsidRPr="00C53010">
              <w:rPr>
                <w:sz w:val="22"/>
                <w:szCs w:val="18"/>
                <w:lang w:val="es-ES"/>
              </w:rPr>
              <w:t xml:space="preserve">se han preparado en el marco del proyecto de la Resolución </w:t>
            </w:r>
            <w:r w:rsidR="00FA7C73" w:rsidRPr="00C53010">
              <w:rPr>
                <w:sz w:val="22"/>
                <w:szCs w:val="18"/>
                <w:lang w:val="es-ES"/>
              </w:rPr>
              <w:t>908.</w:t>
            </w:r>
          </w:p>
          <w:p w:rsidR="00FA7C73" w:rsidRPr="00C53010" w:rsidRDefault="005F6760" w:rsidP="00021810">
            <w:pPr>
              <w:tabs>
                <w:tab w:val="left" w:pos="7655"/>
              </w:tabs>
              <w:rPr>
                <w:b/>
                <w:bCs/>
                <w:sz w:val="22"/>
                <w:szCs w:val="18"/>
                <w:lang w:val="es-ES"/>
              </w:rPr>
            </w:pPr>
            <w:r w:rsidRPr="00C53010">
              <w:rPr>
                <w:b/>
                <w:bCs/>
                <w:sz w:val="22"/>
                <w:szCs w:val="18"/>
                <w:lang w:val="es-ES"/>
              </w:rPr>
              <w:t xml:space="preserve">Aplicación de la </w:t>
            </w:r>
            <w:r w:rsidR="00FA7C73" w:rsidRPr="00C53010">
              <w:rPr>
                <w:b/>
                <w:bCs/>
                <w:sz w:val="22"/>
                <w:szCs w:val="18"/>
                <w:lang w:val="es-ES"/>
              </w:rPr>
              <w:t xml:space="preserve">API/C – </w:t>
            </w:r>
            <w:r w:rsidRPr="00C53010">
              <w:rPr>
                <w:b/>
                <w:bCs/>
                <w:sz w:val="22"/>
                <w:szCs w:val="18"/>
                <w:lang w:val="es-ES"/>
              </w:rPr>
              <w:t xml:space="preserve">información de publicación anticipada para redes de satélites sujetas a coordinación </w:t>
            </w:r>
          </w:p>
          <w:p w:rsidR="00FA7C73" w:rsidRPr="00C53010" w:rsidRDefault="005F6760" w:rsidP="005F6760">
            <w:pPr>
              <w:tabs>
                <w:tab w:val="left" w:pos="7655"/>
              </w:tabs>
              <w:rPr>
                <w:lang w:val="es-ES"/>
              </w:rPr>
            </w:pPr>
            <w:r w:rsidRPr="00C53010">
              <w:rPr>
                <w:sz w:val="22"/>
                <w:szCs w:val="18"/>
                <w:lang w:val="es-ES"/>
              </w:rPr>
              <w:t xml:space="preserve">De conformidad con los números </w:t>
            </w:r>
            <w:r w:rsidR="00FA7C73" w:rsidRPr="00C53010">
              <w:rPr>
                <w:b/>
                <w:bCs/>
                <w:sz w:val="22"/>
                <w:szCs w:val="18"/>
                <w:lang w:val="es-ES"/>
              </w:rPr>
              <w:t>9.1A</w:t>
            </w:r>
            <w:r w:rsidR="00FA7C73" w:rsidRPr="00C53010">
              <w:rPr>
                <w:sz w:val="22"/>
                <w:szCs w:val="18"/>
                <w:lang w:val="es-ES"/>
              </w:rPr>
              <w:t xml:space="preserve"> </w:t>
            </w:r>
            <w:r w:rsidRPr="00C53010">
              <w:rPr>
                <w:sz w:val="22"/>
                <w:szCs w:val="18"/>
                <w:lang w:val="es-ES"/>
              </w:rPr>
              <w:t xml:space="preserve">y </w:t>
            </w:r>
            <w:r w:rsidR="00FA7C73" w:rsidRPr="00C53010">
              <w:rPr>
                <w:b/>
                <w:bCs/>
                <w:sz w:val="22"/>
                <w:szCs w:val="18"/>
                <w:lang w:val="es-ES"/>
              </w:rPr>
              <w:t>9.2C</w:t>
            </w:r>
            <w:r w:rsidR="001B0E79">
              <w:rPr>
                <w:sz w:val="22"/>
                <w:szCs w:val="18"/>
                <w:lang w:val="es-ES"/>
              </w:rPr>
              <w:t xml:space="preserve">, </w:t>
            </w:r>
            <w:r w:rsidRPr="00C53010">
              <w:rPr>
                <w:sz w:val="22"/>
                <w:szCs w:val="18"/>
                <w:lang w:val="es-ES"/>
              </w:rPr>
              <w:t xml:space="preserve">la Oficina ha creado un sistema </w:t>
            </w:r>
            <w:r w:rsidR="00FA7C73" w:rsidRPr="00C53010">
              <w:rPr>
                <w:sz w:val="22"/>
                <w:szCs w:val="18"/>
                <w:lang w:val="es-ES"/>
              </w:rPr>
              <w:t>(</w:t>
            </w:r>
            <w:r w:rsidRPr="00C53010">
              <w:rPr>
                <w:sz w:val="22"/>
                <w:szCs w:val="18"/>
                <w:lang w:val="es-ES"/>
              </w:rPr>
              <w:t xml:space="preserve">en el marco del proyecto general de la Resolución </w:t>
            </w:r>
            <w:r w:rsidR="00FA7C73" w:rsidRPr="00C53010">
              <w:rPr>
                <w:sz w:val="22"/>
                <w:szCs w:val="18"/>
                <w:lang w:val="es-ES"/>
              </w:rPr>
              <w:t xml:space="preserve">908) </w:t>
            </w:r>
            <w:r w:rsidRPr="00C53010">
              <w:rPr>
                <w:sz w:val="22"/>
                <w:szCs w:val="18"/>
                <w:lang w:val="es-ES"/>
              </w:rPr>
              <w:t xml:space="preserve">para extraer las características básicas de la </w:t>
            </w:r>
            <w:r w:rsidR="00FA7C73" w:rsidRPr="00C53010">
              <w:rPr>
                <w:sz w:val="22"/>
                <w:szCs w:val="18"/>
                <w:lang w:val="es-ES"/>
              </w:rPr>
              <w:t xml:space="preserve">API </w:t>
            </w:r>
            <w:r w:rsidRPr="00C53010">
              <w:rPr>
                <w:sz w:val="22"/>
                <w:szCs w:val="18"/>
                <w:lang w:val="es-ES"/>
              </w:rPr>
              <w:t xml:space="preserve">a partir de las solicitudes de coordinación recibidas con arreglo al número </w:t>
            </w:r>
            <w:r w:rsidR="00FA7C73" w:rsidRPr="00C53010">
              <w:rPr>
                <w:b/>
                <w:bCs/>
                <w:sz w:val="22"/>
                <w:szCs w:val="18"/>
                <w:lang w:val="es-ES"/>
              </w:rPr>
              <w:t>9.30</w:t>
            </w:r>
            <w:r w:rsidR="001B0E79">
              <w:rPr>
                <w:sz w:val="22"/>
                <w:szCs w:val="18"/>
                <w:lang w:val="es-ES"/>
              </w:rPr>
              <w:t xml:space="preserve">, </w:t>
            </w:r>
            <w:r w:rsidRPr="00C53010">
              <w:rPr>
                <w:sz w:val="22"/>
                <w:szCs w:val="18"/>
                <w:lang w:val="es-ES"/>
              </w:rPr>
              <w:t xml:space="preserve">y publicarlas en una nueva Sección Especial </w:t>
            </w:r>
            <w:r w:rsidR="00FA7C73" w:rsidRPr="00C53010">
              <w:rPr>
                <w:sz w:val="22"/>
                <w:szCs w:val="18"/>
                <w:lang w:val="es-ES"/>
              </w:rPr>
              <w:t>"API/C"</w:t>
            </w:r>
            <w:r w:rsidR="001B0E79">
              <w:rPr>
                <w:sz w:val="22"/>
                <w:szCs w:val="18"/>
                <w:lang w:val="es-ES"/>
              </w:rPr>
              <w:t xml:space="preserve">, </w:t>
            </w:r>
            <w:r w:rsidRPr="00C53010">
              <w:rPr>
                <w:sz w:val="22"/>
                <w:szCs w:val="18"/>
                <w:lang w:val="es-ES"/>
              </w:rPr>
              <w:t>disponible para descargar gratuitamente en el sitio web de la U</w:t>
            </w:r>
            <w:r w:rsidR="00FA7C73" w:rsidRPr="00C53010">
              <w:rPr>
                <w:sz w:val="22"/>
                <w:szCs w:val="18"/>
                <w:lang w:val="es-ES"/>
              </w:rPr>
              <w:t>IT.</w:t>
            </w:r>
          </w:p>
        </w:tc>
      </w:tr>
      <w:tr w:rsidR="00FA7C73" w:rsidRPr="00C53010" w:rsidTr="00E3515B">
        <w:tc>
          <w:tcPr>
            <w:tcW w:w="9350" w:type="dxa"/>
          </w:tcPr>
          <w:p w:rsidR="008F1C1D" w:rsidRPr="00C53010" w:rsidRDefault="008F1C1D" w:rsidP="008F1C1D">
            <w:pPr>
              <w:pStyle w:val="Tabletext"/>
              <w:spacing w:before="120" w:after="0"/>
              <w:rPr>
                <w:bCs/>
                <w:szCs w:val="22"/>
                <w:lang w:val="es-ES"/>
              </w:rPr>
            </w:pPr>
            <w:r w:rsidRPr="00C53010">
              <w:rPr>
                <w:rFonts w:eastAsia="SimSun" w:cs="Arial"/>
                <w:b/>
                <w:bCs/>
                <w:szCs w:val="22"/>
                <w:lang w:val="es-ES"/>
              </w:rPr>
              <w:t>Aplicación</w:t>
            </w:r>
            <w:r w:rsidRPr="00C53010">
              <w:rPr>
                <w:b/>
                <w:szCs w:val="22"/>
                <w:lang w:val="es-ES"/>
              </w:rPr>
              <w:t xml:space="preserve"> de las decisiones de la CMR-15 relativas a los servicios terrenales</w:t>
            </w:r>
          </w:p>
          <w:p w:rsidR="008F1C1D" w:rsidRPr="00C53010" w:rsidRDefault="005F6760" w:rsidP="005F6760">
            <w:pPr>
              <w:spacing w:before="40" w:after="40"/>
              <w:rPr>
                <w:bCs/>
                <w:sz w:val="22"/>
                <w:szCs w:val="22"/>
                <w:lang w:val="es-ES"/>
              </w:rPr>
            </w:pPr>
            <w:r w:rsidRPr="00C53010">
              <w:rPr>
                <w:bCs/>
                <w:sz w:val="22"/>
                <w:szCs w:val="22"/>
                <w:lang w:val="es-ES"/>
              </w:rPr>
              <w:t xml:space="preserve">Prosiguió la actualización </w:t>
            </w:r>
            <w:r w:rsidR="008F1C1D" w:rsidRPr="00C53010">
              <w:rPr>
                <w:bCs/>
                <w:sz w:val="22"/>
                <w:szCs w:val="22"/>
                <w:lang w:val="es-ES"/>
              </w:rPr>
              <w:t xml:space="preserve">de todo </w:t>
            </w:r>
            <w:r w:rsidRPr="00C53010">
              <w:rPr>
                <w:bCs/>
                <w:sz w:val="22"/>
                <w:szCs w:val="22"/>
                <w:lang w:val="es-ES"/>
              </w:rPr>
              <w:t>e</w:t>
            </w:r>
            <w:r w:rsidR="008F1C1D" w:rsidRPr="00C53010">
              <w:rPr>
                <w:bCs/>
                <w:sz w:val="22"/>
                <w:szCs w:val="22"/>
                <w:lang w:val="es-ES"/>
              </w:rPr>
              <w:t>l software de tramitación de servicios terrenales</w:t>
            </w:r>
            <w:r w:rsidR="001B0E79">
              <w:rPr>
                <w:bCs/>
                <w:sz w:val="22"/>
                <w:szCs w:val="22"/>
                <w:lang w:val="es-ES"/>
              </w:rPr>
              <w:t xml:space="preserve">, </w:t>
            </w:r>
            <w:r w:rsidR="008F1C1D" w:rsidRPr="00C53010">
              <w:rPr>
                <w:bCs/>
                <w:sz w:val="22"/>
                <w:szCs w:val="22"/>
                <w:lang w:val="es-ES"/>
              </w:rPr>
              <w:t>para uso interno (</w:t>
            </w:r>
            <w:r w:rsidR="008F1C1D" w:rsidRPr="00C53010">
              <w:rPr>
                <w:bCs/>
                <w:i/>
                <w:iCs/>
                <w:sz w:val="22"/>
                <w:szCs w:val="22"/>
                <w:lang w:val="es-ES"/>
              </w:rPr>
              <w:t>TerRaSys</w:t>
            </w:r>
            <w:r w:rsidR="008F1C1D" w:rsidRPr="00C53010">
              <w:rPr>
                <w:bCs/>
                <w:sz w:val="22"/>
                <w:szCs w:val="22"/>
                <w:lang w:val="es-ES"/>
              </w:rPr>
              <w:t>) y externo (BR IFIC (terrenal))</w:t>
            </w:r>
            <w:r w:rsidR="001B0E79">
              <w:rPr>
                <w:bCs/>
                <w:sz w:val="22"/>
                <w:szCs w:val="22"/>
                <w:lang w:val="es-ES"/>
              </w:rPr>
              <w:t xml:space="preserve">, </w:t>
            </w:r>
            <w:r w:rsidRPr="00C53010">
              <w:rPr>
                <w:bCs/>
                <w:sz w:val="22"/>
                <w:szCs w:val="22"/>
                <w:lang w:val="es-ES"/>
              </w:rPr>
              <w:t xml:space="preserve">en particular </w:t>
            </w:r>
            <w:r w:rsidR="008F1C1D" w:rsidRPr="00C53010">
              <w:rPr>
                <w:bCs/>
                <w:sz w:val="22"/>
                <w:szCs w:val="22"/>
                <w:lang w:val="es-ES"/>
              </w:rPr>
              <w:t>de las estructuras de bases de datos y los módulos de software de validación y examen</w:t>
            </w:r>
            <w:r w:rsidR="001B0E79">
              <w:rPr>
                <w:bCs/>
                <w:sz w:val="22"/>
                <w:szCs w:val="22"/>
                <w:lang w:val="es-ES"/>
              </w:rPr>
              <w:t xml:space="preserve">, </w:t>
            </w:r>
            <w:r w:rsidRPr="00C53010">
              <w:rPr>
                <w:bCs/>
                <w:sz w:val="22"/>
                <w:szCs w:val="22"/>
                <w:lang w:val="es-ES"/>
              </w:rPr>
              <w:t xml:space="preserve">en consonancia con </w:t>
            </w:r>
            <w:r w:rsidR="008F1C1D" w:rsidRPr="00C53010">
              <w:rPr>
                <w:bCs/>
                <w:sz w:val="22"/>
                <w:szCs w:val="22"/>
                <w:lang w:val="es-ES"/>
              </w:rPr>
              <w:t xml:space="preserve">las modificaciones de los elementos de datos notificados del Apéndice </w:t>
            </w:r>
            <w:r w:rsidR="008F1C1D" w:rsidRPr="00C53010">
              <w:rPr>
                <w:b/>
                <w:sz w:val="22"/>
                <w:szCs w:val="22"/>
                <w:lang w:val="es-ES"/>
              </w:rPr>
              <w:t>4</w:t>
            </w:r>
            <w:r w:rsidR="001B0E79">
              <w:rPr>
                <w:bCs/>
                <w:sz w:val="22"/>
                <w:szCs w:val="22"/>
                <w:lang w:val="es-ES"/>
              </w:rPr>
              <w:t xml:space="preserve">, </w:t>
            </w:r>
            <w:r w:rsidR="008F1C1D" w:rsidRPr="00C53010">
              <w:rPr>
                <w:bCs/>
                <w:sz w:val="22"/>
                <w:szCs w:val="22"/>
                <w:lang w:val="es-ES"/>
              </w:rPr>
              <w:t>para la presentación de notificaciones de asignaciones de frecuencias terrenales</w:t>
            </w:r>
            <w:r w:rsidR="001B0E79">
              <w:rPr>
                <w:bCs/>
                <w:sz w:val="22"/>
                <w:szCs w:val="22"/>
                <w:lang w:val="es-ES"/>
              </w:rPr>
              <w:t xml:space="preserve">, </w:t>
            </w:r>
            <w:r w:rsidR="008F1C1D" w:rsidRPr="00C53010">
              <w:rPr>
                <w:bCs/>
                <w:sz w:val="22"/>
                <w:szCs w:val="22"/>
                <w:lang w:val="es-ES"/>
              </w:rPr>
              <w:t>a raíz de las decisiones de la CMR-15 y la RRB.</w:t>
            </w:r>
          </w:p>
          <w:p w:rsidR="008F1C1D" w:rsidRPr="00E272BE" w:rsidRDefault="005F6760" w:rsidP="00E272BE">
            <w:pPr>
              <w:spacing w:before="40" w:after="40"/>
              <w:rPr>
                <w:b/>
                <w:sz w:val="22"/>
                <w:szCs w:val="22"/>
                <w:lang w:val="es-ES"/>
              </w:rPr>
            </w:pPr>
            <w:r w:rsidRPr="00C53010">
              <w:rPr>
                <w:bCs/>
                <w:sz w:val="22"/>
                <w:szCs w:val="22"/>
                <w:lang w:val="es-ES"/>
              </w:rPr>
              <w:t xml:space="preserve">Se actualizaron </w:t>
            </w:r>
            <w:r w:rsidR="008F1C1D" w:rsidRPr="00C53010">
              <w:rPr>
                <w:bCs/>
                <w:sz w:val="22"/>
                <w:szCs w:val="22"/>
                <w:lang w:val="es-ES"/>
              </w:rPr>
              <w:t xml:space="preserve">las bases de datos de referencia y módulos de software asociados necesarios para los exámenes técnicos y reglamentarios de asignaciones de frecuencias terrenales en las bandas compartidas entre los servicios </w:t>
            </w:r>
            <w:r w:rsidR="008F1C1D" w:rsidRPr="00E272BE">
              <w:rPr>
                <w:bCs/>
                <w:sz w:val="22"/>
                <w:szCs w:val="22"/>
                <w:lang w:val="es-ES"/>
              </w:rPr>
              <w:t>terrenales y espaciales realizados por la BR</w:t>
            </w:r>
            <w:r w:rsidR="001B0E79">
              <w:rPr>
                <w:bCs/>
                <w:sz w:val="22"/>
                <w:szCs w:val="22"/>
                <w:lang w:val="es-ES"/>
              </w:rPr>
              <w:t xml:space="preserve">, </w:t>
            </w:r>
            <w:r w:rsidR="008F1C1D" w:rsidRPr="00E272BE">
              <w:rPr>
                <w:bCs/>
                <w:sz w:val="22"/>
                <w:szCs w:val="22"/>
                <w:lang w:val="es-ES"/>
              </w:rPr>
              <w:t>teniendo en cuenta las decisiones de la CMR-15 y la RRB.</w:t>
            </w:r>
            <w:r w:rsidRPr="00E272BE">
              <w:rPr>
                <w:bCs/>
                <w:sz w:val="22"/>
                <w:szCs w:val="22"/>
                <w:rtl/>
                <w:cs/>
                <w:lang w:val="es-ES"/>
              </w:rPr>
              <w:t xml:space="preserve"> </w:t>
            </w:r>
            <w:r w:rsidRPr="00E272BE">
              <w:rPr>
                <w:b/>
                <w:sz w:val="22"/>
                <w:szCs w:val="22"/>
                <w:rtl/>
                <w:cs/>
                <w:lang w:val="es-ES"/>
              </w:rPr>
              <w:t xml:space="preserve">Se actualizaron también todos los datos de referencia a las bandas de </w:t>
            </w:r>
            <w:r w:rsidR="00E272BE" w:rsidRPr="00E272BE">
              <w:rPr>
                <w:rFonts w:hint="cs"/>
                <w:b/>
                <w:sz w:val="22"/>
                <w:szCs w:val="22"/>
                <w:rtl/>
                <w:cs/>
                <w:lang w:val="es-ES"/>
              </w:rPr>
              <w:t>frecuencias comunes</w:t>
            </w:r>
            <w:r w:rsidRPr="00E272BE">
              <w:rPr>
                <w:b/>
                <w:sz w:val="22"/>
                <w:szCs w:val="22"/>
                <w:rtl/>
                <w:cs/>
                <w:lang w:val="es-ES"/>
              </w:rPr>
              <w:t>.</w:t>
            </w:r>
          </w:p>
          <w:p w:rsidR="00FA7C73" w:rsidRPr="00C53010" w:rsidRDefault="005F6760" w:rsidP="00D32F37">
            <w:pPr>
              <w:tabs>
                <w:tab w:val="left" w:pos="7797"/>
              </w:tabs>
              <w:jc w:val="both"/>
              <w:rPr>
                <w:bCs/>
                <w:sz w:val="22"/>
                <w:szCs w:val="22"/>
                <w:lang w:val="es-ES"/>
              </w:rPr>
            </w:pPr>
            <w:r w:rsidRPr="00E272BE">
              <w:rPr>
                <w:rFonts w:eastAsiaTheme="minorEastAsia" w:cstheme="minorBidi"/>
                <w:bCs/>
                <w:sz w:val="22"/>
                <w:szCs w:val="22"/>
                <w:lang w:val="es-ES" w:eastAsia="zh-CN"/>
              </w:rPr>
              <w:t xml:space="preserve">Prosiguió el </w:t>
            </w:r>
            <w:r w:rsidR="008F1C1D" w:rsidRPr="00E272BE">
              <w:rPr>
                <w:rFonts w:eastAsiaTheme="minorEastAsia" w:cstheme="minorBidi"/>
                <w:bCs/>
                <w:sz w:val="22"/>
                <w:szCs w:val="22"/>
                <w:lang w:val="es-ES" w:eastAsia="zh-CN"/>
              </w:rPr>
              <w:t>desarrollo de módulos de software</w:t>
            </w:r>
            <w:r w:rsidR="00B75838">
              <w:rPr>
                <w:rFonts w:eastAsiaTheme="minorEastAsia" w:cstheme="minorBidi"/>
                <w:bCs/>
                <w:sz w:val="22"/>
                <w:szCs w:val="22"/>
                <w:lang w:val="es-ES" w:eastAsia="zh-CN"/>
              </w:rPr>
              <w:t>,</w:t>
            </w:r>
            <w:r w:rsidR="008F1C1D" w:rsidRPr="00C53010">
              <w:rPr>
                <w:bCs/>
                <w:sz w:val="22"/>
                <w:szCs w:val="22"/>
                <w:lang w:val="es-ES"/>
              </w:rPr>
              <w:t xml:space="preserve"> bases de datos de referencia y herramientas asociadas para servicios terrenales</w:t>
            </w:r>
            <w:r w:rsidR="00B75838">
              <w:rPr>
                <w:bCs/>
                <w:sz w:val="22"/>
                <w:szCs w:val="22"/>
                <w:lang w:val="es-ES"/>
              </w:rPr>
              <w:t>,</w:t>
            </w:r>
            <w:r w:rsidR="008F1C1D" w:rsidRPr="00C53010">
              <w:rPr>
                <w:bCs/>
                <w:sz w:val="22"/>
                <w:szCs w:val="22"/>
                <w:lang w:val="es-ES"/>
              </w:rPr>
              <w:t xml:space="preserve"> con miras a automatizar </w:t>
            </w:r>
            <w:r w:rsidR="00D32F37" w:rsidRPr="00C53010">
              <w:rPr>
                <w:bCs/>
                <w:sz w:val="22"/>
                <w:szCs w:val="22"/>
                <w:lang w:val="es-ES"/>
              </w:rPr>
              <w:t xml:space="preserve">la tramitación </w:t>
            </w:r>
            <w:r w:rsidR="008F1C1D" w:rsidRPr="00C53010">
              <w:rPr>
                <w:bCs/>
                <w:sz w:val="22"/>
                <w:szCs w:val="22"/>
                <w:lang w:val="es-ES"/>
              </w:rPr>
              <w:t>de</w:t>
            </w:r>
            <w:r w:rsidRPr="00C53010">
              <w:rPr>
                <w:bCs/>
                <w:sz w:val="22"/>
                <w:szCs w:val="22"/>
                <w:lang w:val="es-ES"/>
              </w:rPr>
              <w:t>:</w:t>
            </w:r>
          </w:p>
          <w:p w:rsidR="00FA7C73" w:rsidRPr="00E3515B" w:rsidRDefault="00E3515B" w:rsidP="00E3515B">
            <w:pPr>
              <w:pStyle w:val="enumlev1"/>
              <w:rPr>
                <w:sz w:val="22"/>
                <w:szCs w:val="22"/>
                <w:lang w:val="es-ES"/>
              </w:rPr>
            </w:pPr>
            <w:r w:rsidRPr="00E3515B">
              <w:rPr>
                <w:sz w:val="22"/>
                <w:szCs w:val="22"/>
                <w:lang w:val="es-ES"/>
              </w:rPr>
              <w:t>–</w:t>
            </w:r>
            <w:r w:rsidRPr="00E3515B">
              <w:rPr>
                <w:sz w:val="22"/>
                <w:szCs w:val="22"/>
                <w:lang w:val="es-ES"/>
              </w:rPr>
              <w:tab/>
            </w:r>
            <w:r w:rsidR="00B75838" w:rsidRPr="00B75838">
              <w:rPr>
                <w:sz w:val="22"/>
                <w:szCs w:val="22"/>
                <w:lang w:val="es-ES"/>
              </w:rPr>
              <w:t>necesidades y solicitudes de coordinación a tenor del número 9.21 del RR, teniendo en cuenta las decisiones de la CMR-15 y la RRB. Los criterios de protección con arreglo a la RdP B5 se han aplicado y probado completamente. En cuanto a los relativos a la RdP B6, basados en parte en la Rec. UIT-R P.1546, se han aplicado y probado. La integración con la tramitación de TerRaSys está en curso.</w:t>
            </w:r>
          </w:p>
          <w:p w:rsidR="00FA7C73" w:rsidRPr="00C53010" w:rsidRDefault="00E3515B" w:rsidP="00E3515B">
            <w:pPr>
              <w:pStyle w:val="enumlev1"/>
              <w:rPr>
                <w:lang w:val="es-ES"/>
              </w:rPr>
            </w:pPr>
            <w:r w:rsidRPr="00E3515B">
              <w:rPr>
                <w:sz w:val="22"/>
                <w:szCs w:val="22"/>
                <w:lang w:val="es-ES"/>
              </w:rPr>
              <w:t>–</w:t>
            </w:r>
            <w:r w:rsidRPr="00E3515B">
              <w:rPr>
                <w:sz w:val="22"/>
                <w:szCs w:val="22"/>
                <w:lang w:val="es-ES"/>
              </w:rPr>
              <w:tab/>
            </w:r>
            <w:r w:rsidR="00D32F37" w:rsidRPr="00E3515B">
              <w:rPr>
                <w:sz w:val="22"/>
                <w:szCs w:val="22"/>
                <w:lang w:val="es-ES"/>
              </w:rPr>
              <w:t xml:space="preserve">Comunicaciones que no son admisibles con arreglo al número </w:t>
            </w:r>
            <w:r w:rsidR="00FA7C73" w:rsidRPr="00E3515B">
              <w:rPr>
                <w:rFonts w:asciiTheme="majorBidi" w:hAnsiTheme="majorBidi" w:cstheme="majorBidi"/>
                <w:b/>
                <w:sz w:val="22"/>
                <w:szCs w:val="22"/>
                <w:lang w:val="es-ES"/>
              </w:rPr>
              <w:t>11.14</w:t>
            </w:r>
            <w:r w:rsidR="00FA7C73" w:rsidRPr="00E3515B">
              <w:rPr>
                <w:rFonts w:asciiTheme="majorBidi" w:hAnsiTheme="majorBidi" w:cstheme="majorBidi"/>
                <w:sz w:val="22"/>
                <w:szCs w:val="22"/>
                <w:lang w:val="es-ES"/>
              </w:rPr>
              <w:t>.</w:t>
            </w:r>
            <w:r w:rsidR="00FA7C73" w:rsidRPr="00C53010">
              <w:rPr>
                <w:rFonts w:asciiTheme="majorBidi" w:hAnsiTheme="majorBidi" w:cstheme="majorBidi"/>
                <w:szCs w:val="24"/>
                <w:lang w:val="es-ES"/>
              </w:rPr>
              <w:t xml:space="preserve"> </w:t>
            </w:r>
          </w:p>
        </w:tc>
      </w:tr>
    </w:tbl>
    <w:p w:rsidR="00FA7C73" w:rsidRPr="00C53010" w:rsidRDefault="00FA7C73" w:rsidP="00E3515B">
      <w:pPr>
        <w:pStyle w:val="Heading2"/>
        <w:rPr>
          <w:lang w:val="es-ES"/>
        </w:rPr>
      </w:pPr>
      <w:bookmarkStart w:id="37" w:name="_Toc446060765"/>
      <w:r w:rsidRPr="00C53010">
        <w:rPr>
          <w:lang w:val="es-ES"/>
        </w:rPr>
        <w:t>3.2</w:t>
      </w:r>
      <w:r w:rsidRPr="00C53010">
        <w:rPr>
          <w:lang w:val="es-ES"/>
        </w:rPr>
        <w:tab/>
      </w:r>
      <w:r w:rsidR="00D32F37" w:rsidRPr="00C53010">
        <w:rPr>
          <w:lang w:val="es-ES"/>
        </w:rPr>
        <w:t>Otras medidas de aplicación de las decisiones de la CMR-</w:t>
      </w:r>
      <w:r w:rsidRPr="00C53010">
        <w:rPr>
          <w:lang w:val="es-ES"/>
        </w:rPr>
        <w:t xml:space="preserve">15 </w:t>
      </w:r>
      <w:bookmarkEnd w:id="37"/>
    </w:p>
    <w:p w:rsidR="00D32F37" w:rsidRPr="00E3515B" w:rsidRDefault="00D32F37" w:rsidP="00E3515B">
      <w:pPr>
        <w:rPr>
          <w:szCs w:val="24"/>
          <w:lang w:val="es-ES"/>
        </w:rPr>
      </w:pPr>
      <w:bookmarkStart w:id="38" w:name="lt_pId290"/>
      <w:r w:rsidRPr="00E3515B">
        <w:rPr>
          <w:szCs w:val="24"/>
          <w:lang w:val="es-ES"/>
        </w:rPr>
        <w:t xml:space="preserve">La Oficina </w:t>
      </w:r>
      <w:r w:rsidR="008F1E31" w:rsidRPr="00E3515B">
        <w:rPr>
          <w:szCs w:val="24"/>
          <w:lang w:val="es-ES"/>
        </w:rPr>
        <w:t>preparó</w:t>
      </w:r>
      <w:r w:rsidRPr="00E3515B">
        <w:rPr>
          <w:szCs w:val="24"/>
          <w:lang w:val="es-ES"/>
        </w:rPr>
        <w:t xml:space="preserve"> proyectos de Reglas de Procedimiento nuevas o modificadas a fin de reflejar las decisiones de la CMR-15. La RRB ha examinado esos proyectos</w:t>
      </w:r>
      <w:r w:rsidR="001B0E79">
        <w:rPr>
          <w:szCs w:val="24"/>
          <w:lang w:val="es-ES"/>
        </w:rPr>
        <w:t xml:space="preserve">, </w:t>
      </w:r>
      <w:r w:rsidRPr="00E3515B">
        <w:rPr>
          <w:szCs w:val="24"/>
          <w:lang w:val="es-ES"/>
        </w:rPr>
        <w:t xml:space="preserve">así como las observaciones </w:t>
      </w:r>
      <w:r w:rsidRPr="00E3515B">
        <w:rPr>
          <w:szCs w:val="24"/>
          <w:lang w:val="es-ES"/>
        </w:rPr>
        <w:lastRenderedPageBreak/>
        <w:t>recibidas de las administraciones</w:t>
      </w:r>
      <w:r w:rsidR="001B0E79">
        <w:rPr>
          <w:szCs w:val="24"/>
          <w:lang w:val="es-ES"/>
        </w:rPr>
        <w:t xml:space="preserve">, </w:t>
      </w:r>
      <w:r w:rsidRPr="00E3515B">
        <w:rPr>
          <w:szCs w:val="24"/>
          <w:lang w:val="es-ES"/>
        </w:rPr>
        <w:t>y aprobó las correspondientes Reglas de Procedimient</w:t>
      </w:r>
      <w:r w:rsidR="00E272BE" w:rsidRPr="00E3515B">
        <w:rPr>
          <w:szCs w:val="24"/>
          <w:lang w:val="es-ES"/>
        </w:rPr>
        <w:t>o en su 75ª y 76</w:t>
      </w:r>
      <w:r w:rsidRPr="00E3515B">
        <w:rPr>
          <w:szCs w:val="24"/>
          <w:lang w:val="es-ES"/>
        </w:rPr>
        <w:t>ª</w:t>
      </w:r>
      <w:bookmarkEnd w:id="38"/>
      <w:r w:rsidRPr="00E3515B">
        <w:rPr>
          <w:szCs w:val="24"/>
          <w:lang w:val="es-ES"/>
        </w:rPr>
        <w:t xml:space="preserve"> reuniones (julio y noviembre de 2017).</w:t>
      </w:r>
    </w:p>
    <w:p w:rsidR="00352126" w:rsidRPr="00E3515B" w:rsidRDefault="00352126" w:rsidP="00E3515B">
      <w:pPr>
        <w:rPr>
          <w:bCs/>
          <w:szCs w:val="24"/>
          <w:lang w:val="es-ES"/>
        </w:rPr>
      </w:pPr>
      <w:r w:rsidRPr="00E3515B">
        <w:rPr>
          <w:bCs/>
          <w:szCs w:val="24"/>
          <w:lang w:val="es-ES"/>
        </w:rPr>
        <w:t>La Oficina concluyó el examen de las conclusiones de asignaciones de frecuencias inscritas en el Registro en las bandas de frecuencias para las cuales la situación de las atribuciones había cambiado a consecuencia de las decisiones de la CMR-15 que entraron en vigor el 1 de enero de 2017. Por ese mismo motivo</w:t>
      </w:r>
      <w:r w:rsidR="001B0E79">
        <w:rPr>
          <w:bCs/>
          <w:szCs w:val="24"/>
          <w:lang w:val="es-ES"/>
        </w:rPr>
        <w:t xml:space="preserve">, </w:t>
      </w:r>
      <w:r w:rsidRPr="00E3515B">
        <w:rPr>
          <w:bCs/>
          <w:szCs w:val="24"/>
          <w:lang w:val="es-ES"/>
        </w:rPr>
        <w:t>la Oficina convirtió las asignaciones analógicas existentes que figuran en el Plan y la Lista de los Apéndices 30 y 30A para las Regiones 1 y 3 en asignaciones digitales.</w:t>
      </w:r>
    </w:p>
    <w:p w:rsidR="00FA7C73" w:rsidRPr="00E3515B" w:rsidRDefault="00352126" w:rsidP="00E3515B">
      <w:pPr>
        <w:rPr>
          <w:bCs/>
          <w:szCs w:val="24"/>
          <w:lang w:val="es-ES"/>
        </w:rPr>
      </w:pPr>
      <w:r w:rsidRPr="00E3515B">
        <w:rPr>
          <w:bCs/>
          <w:szCs w:val="24"/>
          <w:lang w:val="es-ES"/>
        </w:rPr>
        <w:t>La Oficina desarrolló v</w:t>
      </w:r>
      <w:r w:rsidR="001525B9" w:rsidRPr="00E3515B">
        <w:rPr>
          <w:bCs/>
          <w:szCs w:val="24"/>
          <w:lang w:val="es-ES"/>
        </w:rPr>
        <w:t>ersiones nuevas y/o actualizadas de todos los softwares de tramitación de servicios terrenales</w:t>
      </w:r>
      <w:r w:rsidR="001B0E79">
        <w:rPr>
          <w:bCs/>
          <w:szCs w:val="24"/>
          <w:lang w:val="es-ES"/>
        </w:rPr>
        <w:t xml:space="preserve">, </w:t>
      </w:r>
      <w:r w:rsidR="001525B9" w:rsidRPr="00E3515B">
        <w:rPr>
          <w:bCs/>
          <w:szCs w:val="24"/>
          <w:lang w:val="es-ES"/>
        </w:rPr>
        <w:t>para uso interno (TerRaSys) y externo (BR IFIC (terrenal))</w:t>
      </w:r>
      <w:r w:rsidR="001B0E79">
        <w:rPr>
          <w:bCs/>
          <w:szCs w:val="24"/>
          <w:lang w:val="es-ES"/>
        </w:rPr>
        <w:t xml:space="preserve">, </w:t>
      </w:r>
      <w:r w:rsidR="001525B9" w:rsidRPr="00E3515B">
        <w:rPr>
          <w:bCs/>
          <w:szCs w:val="24"/>
          <w:lang w:val="es-ES"/>
        </w:rPr>
        <w:t>y mejora de las estructuras de bases de datos y actualización de los módulos de software de validación y examen</w:t>
      </w:r>
      <w:r w:rsidR="001B0E79">
        <w:rPr>
          <w:bCs/>
          <w:szCs w:val="24"/>
          <w:lang w:val="es-ES"/>
        </w:rPr>
        <w:t xml:space="preserve">, </w:t>
      </w:r>
      <w:r w:rsidR="001525B9" w:rsidRPr="00E3515B">
        <w:rPr>
          <w:bCs/>
          <w:szCs w:val="24"/>
          <w:lang w:val="es-ES"/>
        </w:rPr>
        <w:t>habida cuenta de las modificaciones de los elementos de datos notificados del Apéndice 4</w:t>
      </w:r>
      <w:r w:rsidR="001B0E79">
        <w:rPr>
          <w:bCs/>
          <w:szCs w:val="24"/>
          <w:lang w:val="es-ES"/>
        </w:rPr>
        <w:t xml:space="preserve">, </w:t>
      </w:r>
      <w:r w:rsidR="001525B9" w:rsidRPr="00E3515B">
        <w:rPr>
          <w:bCs/>
          <w:szCs w:val="24"/>
          <w:lang w:val="es-ES"/>
        </w:rPr>
        <w:t>para la presentación de notificaciones de asignaciones de frecuencias terrenales</w:t>
      </w:r>
      <w:r w:rsidR="001B0E79">
        <w:rPr>
          <w:bCs/>
          <w:szCs w:val="24"/>
          <w:lang w:val="es-ES"/>
        </w:rPr>
        <w:t xml:space="preserve">, </w:t>
      </w:r>
      <w:r w:rsidR="001525B9" w:rsidRPr="00E3515B">
        <w:rPr>
          <w:bCs/>
          <w:szCs w:val="24"/>
          <w:lang w:val="es-ES"/>
        </w:rPr>
        <w:t>a raíz de las decisiones de la CMR-15 y la RRB.</w:t>
      </w:r>
    </w:p>
    <w:p w:rsidR="00FA7C73" w:rsidRPr="00E3515B" w:rsidRDefault="008F1E31" w:rsidP="00E3515B">
      <w:pPr>
        <w:rPr>
          <w:szCs w:val="24"/>
          <w:lang w:val="es-ES"/>
        </w:rPr>
      </w:pPr>
      <w:r w:rsidRPr="00E3515B">
        <w:rPr>
          <w:szCs w:val="24"/>
          <w:lang w:val="es-ES"/>
        </w:rPr>
        <w:t>De conformidad con el</w:t>
      </w:r>
      <w:r w:rsidR="00FA7C73" w:rsidRPr="00E3515B">
        <w:rPr>
          <w:szCs w:val="24"/>
          <w:lang w:val="es-ES"/>
        </w:rPr>
        <w:t xml:space="preserve"> </w:t>
      </w:r>
      <w:r w:rsidRPr="00E3515B">
        <w:rPr>
          <w:i/>
          <w:iCs/>
          <w:szCs w:val="24"/>
          <w:lang w:val="es-ES"/>
        </w:rPr>
        <w:t xml:space="preserve">resuelve </w:t>
      </w:r>
      <w:r w:rsidR="00FA7C73" w:rsidRPr="00E3515B">
        <w:rPr>
          <w:szCs w:val="24"/>
          <w:lang w:val="es-ES"/>
        </w:rPr>
        <w:t xml:space="preserve">2 </w:t>
      </w:r>
      <w:r w:rsidRPr="00E3515B">
        <w:rPr>
          <w:szCs w:val="24"/>
          <w:lang w:val="es-ES"/>
        </w:rPr>
        <w:t xml:space="preserve">de la </w:t>
      </w:r>
      <w:r w:rsidR="00FA7C73" w:rsidRPr="00E3515B">
        <w:rPr>
          <w:szCs w:val="24"/>
          <w:lang w:val="es-ES"/>
        </w:rPr>
        <w:t>Resolu</w:t>
      </w:r>
      <w:r w:rsidR="001525B9" w:rsidRPr="00E3515B">
        <w:rPr>
          <w:szCs w:val="24"/>
          <w:lang w:val="es-ES"/>
        </w:rPr>
        <w:t>ció</w:t>
      </w:r>
      <w:r w:rsidR="00FA7C73" w:rsidRPr="00E3515B">
        <w:rPr>
          <w:szCs w:val="24"/>
          <w:lang w:val="es-ES"/>
        </w:rPr>
        <w:t xml:space="preserve">n </w:t>
      </w:r>
      <w:r w:rsidR="00FA7C73" w:rsidRPr="00E3515B">
        <w:rPr>
          <w:b/>
          <w:bCs/>
          <w:szCs w:val="24"/>
          <w:lang w:val="es-ES"/>
        </w:rPr>
        <w:t>31 (</w:t>
      </w:r>
      <w:r w:rsidR="001525B9" w:rsidRPr="00E3515B">
        <w:rPr>
          <w:b/>
          <w:bCs/>
          <w:szCs w:val="24"/>
          <w:lang w:val="es-ES"/>
        </w:rPr>
        <w:t>CMR</w:t>
      </w:r>
      <w:r w:rsidR="00FA7C73" w:rsidRPr="00E3515B">
        <w:rPr>
          <w:b/>
          <w:bCs/>
          <w:szCs w:val="24"/>
          <w:lang w:val="es-ES"/>
        </w:rPr>
        <w:t>-15)</w:t>
      </w:r>
      <w:r w:rsidR="001B0E79">
        <w:rPr>
          <w:szCs w:val="24"/>
          <w:lang w:val="es-ES"/>
        </w:rPr>
        <w:t xml:space="preserve">, </w:t>
      </w:r>
      <w:r w:rsidR="000D4137" w:rsidRPr="00E3515B">
        <w:rPr>
          <w:szCs w:val="24"/>
          <w:lang w:val="es-ES"/>
        </w:rPr>
        <w:t>la Oficina suprim</w:t>
      </w:r>
      <w:r w:rsidRPr="00E3515B">
        <w:rPr>
          <w:szCs w:val="24"/>
          <w:lang w:val="es-ES"/>
        </w:rPr>
        <w:t>ió</w:t>
      </w:r>
      <w:r w:rsidR="000D4137" w:rsidRPr="00E3515B">
        <w:rPr>
          <w:szCs w:val="24"/>
          <w:lang w:val="es-ES"/>
        </w:rPr>
        <w:t xml:space="preserve"> </w:t>
      </w:r>
      <w:r w:rsidRPr="00E3515B">
        <w:rPr>
          <w:szCs w:val="24"/>
          <w:lang w:val="es-ES"/>
        </w:rPr>
        <w:t xml:space="preserve">toda la </w:t>
      </w:r>
      <w:r w:rsidR="000D4137" w:rsidRPr="00E3515B">
        <w:rPr>
          <w:szCs w:val="24"/>
          <w:lang w:val="es-ES"/>
        </w:rPr>
        <w:t xml:space="preserve">información </w:t>
      </w:r>
      <w:r w:rsidRPr="00E3515B">
        <w:rPr>
          <w:szCs w:val="24"/>
          <w:lang w:val="es-ES"/>
        </w:rPr>
        <w:t xml:space="preserve">de </w:t>
      </w:r>
      <w:r w:rsidR="000D4137" w:rsidRPr="00E3515B">
        <w:rPr>
          <w:szCs w:val="24"/>
          <w:lang w:val="es-ES"/>
        </w:rPr>
        <w:t xml:space="preserve">publicación anticipada correspondiente a una red o un sistema de satélites sujeto a los procedimientos de coordinación de la Sección II del Artículo </w:t>
      </w:r>
      <w:r w:rsidR="000D4137" w:rsidRPr="00E3515B">
        <w:rPr>
          <w:b/>
          <w:bCs/>
          <w:szCs w:val="24"/>
          <w:lang w:val="es-ES"/>
        </w:rPr>
        <w:t xml:space="preserve">9 </w:t>
      </w:r>
      <w:r w:rsidRPr="00E3515B">
        <w:rPr>
          <w:szCs w:val="24"/>
          <w:lang w:val="es-ES"/>
        </w:rPr>
        <w:t>para la que la Oficina no había</w:t>
      </w:r>
      <w:r w:rsidR="000D4137" w:rsidRPr="00E3515B">
        <w:rPr>
          <w:szCs w:val="24"/>
          <w:lang w:val="es-ES"/>
        </w:rPr>
        <w:t xml:space="preserve"> recibido una solicitud de coordinación al 31 de diciembre de 2016</w:t>
      </w:r>
      <w:r w:rsidR="00FA7C73" w:rsidRPr="00E3515B">
        <w:rPr>
          <w:szCs w:val="24"/>
          <w:lang w:val="es-ES"/>
        </w:rPr>
        <w:t xml:space="preserve">. </w:t>
      </w:r>
      <w:r w:rsidRPr="00E3515B">
        <w:rPr>
          <w:szCs w:val="24"/>
          <w:lang w:val="es-ES"/>
        </w:rPr>
        <w:t xml:space="preserve">Esta medida culminó en más </w:t>
      </w:r>
      <w:r w:rsidR="00FA7C73" w:rsidRPr="00E3515B">
        <w:rPr>
          <w:szCs w:val="24"/>
          <w:lang w:val="es-ES"/>
        </w:rPr>
        <w:t xml:space="preserve">2 500 </w:t>
      </w:r>
      <w:r w:rsidRPr="00E3515B">
        <w:rPr>
          <w:szCs w:val="24"/>
          <w:lang w:val="es-ES"/>
        </w:rPr>
        <w:t>supresiones</w:t>
      </w:r>
      <w:r w:rsidR="00FA7C73" w:rsidRPr="00E3515B">
        <w:rPr>
          <w:szCs w:val="24"/>
          <w:lang w:val="es-ES"/>
        </w:rPr>
        <w:t xml:space="preserve">. </w:t>
      </w:r>
    </w:p>
    <w:p w:rsidR="00FA7C73" w:rsidRPr="00E3515B" w:rsidRDefault="008F1E31" w:rsidP="00E3515B">
      <w:pPr>
        <w:rPr>
          <w:szCs w:val="24"/>
          <w:lang w:val="es-ES"/>
        </w:rPr>
      </w:pPr>
      <w:r w:rsidRPr="00E3515B">
        <w:rPr>
          <w:szCs w:val="24"/>
          <w:lang w:val="es-ES"/>
        </w:rPr>
        <w:t xml:space="preserve">Desde el 1 de enero de </w:t>
      </w:r>
      <w:r w:rsidR="00FA7C73" w:rsidRPr="00E3515B">
        <w:rPr>
          <w:szCs w:val="24"/>
          <w:lang w:val="es-ES"/>
        </w:rPr>
        <w:t>2018</w:t>
      </w:r>
      <w:r w:rsidR="001B0E79">
        <w:rPr>
          <w:szCs w:val="24"/>
          <w:lang w:val="es-ES"/>
        </w:rPr>
        <w:t xml:space="preserve">, </w:t>
      </w:r>
      <w:r w:rsidRPr="00E3515B">
        <w:rPr>
          <w:szCs w:val="24"/>
          <w:lang w:val="es-ES"/>
        </w:rPr>
        <w:t xml:space="preserve">ya no es necesario presentar las observaciones sobre las Secciones Especiales de la Parte </w:t>
      </w:r>
      <w:r w:rsidR="00FA7C73" w:rsidRPr="00E3515B">
        <w:rPr>
          <w:szCs w:val="24"/>
          <w:lang w:val="es-ES"/>
        </w:rPr>
        <w:t>A</w:t>
      </w:r>
      <w:r w:rsidRPr="00E3515B">
        <w:rPr>
          <w:szCs w:val="24"/>
          <w:lang w:val="es-ES"/>
        </w:rPr>
        <w:t xml:space="preserve"> del A</w:t>
      </w:r>
      <w:r w:rsidR="00FA7C73" w:rsidRPr="00E3515B">
        <w:rPr>
          <w:szCs w:val="24"/>
          <w:lang w:val="es-ES"/>
        </w:rPr>
        <w:t xml:space="preserve">P30/E </w:t>
      </w:r>
      <w:r w:rsidRPr="00E3515B">
        <w:rPr>
          <w:szCs w:val="24"/>
          <w:lang w:val="es-ES"/>
        </w:rPr>
        <w:t xml:space="preserve">o del </w:t>
      </w:r>
      <w:r w:rsidR="00FA7C73" w:rsidRPr="00E3515B">
        <w:rPr>
          <w:szCs w:val="24"/>
          <w:lang w:val="es-ES"/>
        </w:rPr>
        <w:t xml:space="preserve">AP30A/E </w:t>
      </w:r>
      <w:r w:rsidRPr="00E3515B">
        <w:rPr>
          <w:szCs w:val="24"/>
          <w:lang w:val="es-ES"/>
        </w:rPr>
        <w:t xml:space="preserve">y sobre las Secciones Especiales del </w:t>
      </w:r>
      <w:r w:rsidR="003A4442" w:rsidRPr="00E3515B">
        <w:rPr>
          <w:szCs w:val="24"/>
          <w:lang w:val="es-ES"/>
        </w:rPr>
        <w:t>AP30</w:t>
      </w:r>
      <w:r w:rsidR="003A4442" w:rsidRPr="00E3515B">
        <w:rPr>
          <w:szCs w:val="24"/>
          <w:lang w:val="es-ES"/>
        </w:rPr>
        <w:noBreakHyphen/>
      </w:r>
      <w:r w:rsidR="00FA7C73" w:rsidRPr="00E3515B">
        <w:rPr>
          <w:szCs w:val="24"/>
          <w:lang w:val="es-ES"/>
        </w:rPr>
        <w:t xml:space="preserve">30A/F/C </w:t>
      </w:r>
      <w:r w:rsidRPr="00E3515B">
        <w:rPr>
          <w:szCs w:val="24"/>
          <w:lang w:val="es-ES"/>
        </w:rPr>
        <w:t xml:space="preserve">relacionadas con las Regiones </w:t>
      </w:r>
      <w:r w:rsidR="00FA7C73" w:rsidRPr="00E3515B">
        <w:rPr>
          <w:szCs w:val="24"/>
          <w:lang w:val="es-ES"/>
        </w:rPr>
        <w:t xml:space="preserve">1 </w:t>
      </w:r>
      <w:r w:rsidRPr="00E3515B">
        <w:rPr>
          <w:szCs w:val="24"/>
          <w:lang w:val="es-ES"/>
        </w:rPr>
        <w:t xml:space="preserve">y </w:t>
      </w:r>
      <w:r w:rsidR="00FA7C73" w:rsidRPr="00E3515B">
        <w:rPr>
          <w:szCs w:val="24"/>
          <w:lang w:val="es-ES"/>
        </w:rPr>
        <w:t xml:space="preserve">3 </w:t>
      </w:r>
      <w:r w:rsidRPr="00E3515B">
        <w:rPr>
          <w:szCs w:val="24"/>
          <w:lang w:val="es-ES"/>
        </w:rPr>
        <w:t xml:space="preserve">utilizando </w:t>
      </w:r>
      <w:r w:rsidR="00FA7C73" w:rsidRPr="00E3515B">
        <w:rPr>
          <w:szCs w:val="24"/>
          <w:lang w:val="es-ES"/>
        </w:rPr>
        <w:t>SpaceCom</w:t>
      </w:r>
      <w:r w:rsidR="001B0E79">
        <w:rPr>
          <w:szCs w:val="24"/>
          <w:lang w:val="es-ES"/>
        </w:rPr>
        <w:t xml:space="preserve">, </w:t>
      </w:r>
      <w:r w:rsidRPr="00E3515B">
        <w:rPr>
          <w:szCs w:val="24"/>
          <w:lang w:val="es-ES"/>
        </w:rPr>
        <w:t xml:space="preserve">como consecuencia de la modificación del procedimiento de presentación de observaciones aplicable a las Regiones </w:t>
      </w:r>
      <w:r w:rsidR="00FA7C73" w:rsidRPr="00E3515B">
        <w:rPr>
          <w:szCs w:val="24"/>
          <w:lang w:val="es-ES"/>
        </w:rPr>
        <w:t xml:space="preserve">1 </w:t>
      </w:r>
      <w:r w:rsidRPr="00E3515B">
        <w:rPr>
          <w:szCs w:val="24"/>
          <w:lang w:val="es-ES"/>
        </w:rPr>
        <w:t xml:space="preserve">y </w:t>
      </w:r>
      <w:r w:rsidR="00FA7C73" w:rsidRPr="00E3515B">
        <w:rPr>
          <w:szCs w:val="24"/>
          <w:lang w:val="es-ES"/>
        </w:rPr>
        <w:t xml:space="preserve">3 </w:t>
      </w:r>
      <w:r w:rsidRPr="00E3515B">
        <w:rPr>
          <w:szCs w:val="24"/>
          <w:lang w:val="es-ES"/>
        </w:rPr>
        <w:t xml:space="preserve">en los Apéndices </w:t>
      </w:r>
      <w:r w:rsidR="00FA7C73" w:rsidRPr="00E3515B">
        <w:rPr>
          <w:szCs w:val="24"/>
          <w:lang w:val="es-ES"/>
        </w:rPr>
        <w:t xml:space="preserve">30 </w:t>
      </w:r>
      <w:r w:rsidRPr="00E3515B">
        <w:rPr>
          <w:szCs w:val="24"/>
          <w:lang w:val="es-ES"/>
        </w:rPr>
        <w:t xml:space="preserve">y </w:t>
      </w:r>
      <w:r w:rsidR="00FA7C73" w:rsidRPr="00E3515B">
        <w:rPr>
          <w:szCs w:val="24"/>
          <w:lang w:val="es-ES"/>
        </w:rPr>
        <w:t xml:space="preserve">30A. </w:t>
      </w:r>
      <w:r w:rsidRPr="00E3515B">
        <w:rPr>
          <w:szCs w:val="24"/>
          <w:lang w:val="es-ES"/>
        </w:rPr>
        <w:t>Por consiguiente</w:t>
      </w:r>
      <w:r w:rsidR="001B0E79">
        <w:rPr>
          <w:szCs w:val="24"/>
          <w:lang w:val="es-ES"/>
        </w:rPr>
        <w:t xml:space="preserve">, </w:t>
      </w:r>
      <w:r w:rsidRPr="00E3515B">
        <w:rPr>
          <w:szCs w:val="24"/>
          <w:lang w:val="es-ES"/>
        </w:rPr>
        <w:t xml:space="preserve">se preparó y publicó una nueva versión del software </w:t>
      </w:r>
      <w:r w:rsidR="00FA7C73" w:rsidRPr="00E3515B">
        <w:rPr>
          <w:szCs w:val="24"/>
          <w:lang w:val="es-ES"/>
        </w:rPr>
        <w:t xml:space="preserve">SpaceCom. </w:t>
      </w:r>
    </w:p>
    <w:p w:rsidR="00FA7C73" w:rsidRPr="00C53010" w:rsidRDefault="00FA7C73" w:rsidP="00FA1001">
      <w:pPr>
        <w:pStyle w:val="Heading1"/>
        <w:rPr>
          <w:lang w:val="es-ES"/>
        </w:rPr>
      </w:pPr>
      <w:bookmarkStart w:id="39" w:name="_Toc446060766"/>
      <w:r w:rsidRPr="00C53010">
        <w:rPr>
          <w:lang w:val="es-ES"/>
        </w:rPr>
        <w:t>4</w:t>
      </w:r>
      <w:r w:rsidRPr="00C53010">
        <w:rPr>
          <w:lang w:val="es-ES"/>
        </w:rPr>
        <w:tab/>
      </w:r>
      <w:bookmarkEnd w:id="39"/>
      <w:r w:rsidR="00FA1001" w:rsidRPr="00C53010">
        <w:rPr>
          <w:lang w:val="es-ES"/>
        </w:rPr>
        <w:t>Actividades de las Comisiones de Estudio</w:t>
      </w:r>
    </w:p>
    <w:p w:rsidR="00FA7C73" w:rsidRPr="00C53010" w:rsidRDefault="00FA1001" w:rsidP="00E3515B">
      <w:pPr>
        <w:rPr>
          <w:rFonts w:eastAsia="SimSun"/>
          <w:lang w:val="es-ES"/>
        </w:rPr>
      </w:pPr>
      <w:r w:rsidRPr="00C53010">
        <w:rPr>
          <w:rFonts w:eastAsia="SimSun"/>
          <w:lang w:val="es-ES"/>
        </w:rPr>
        <w:t>Este asunto se trata en el Addéndum 1 al presente documento</w:t>
      </w:r>
      <w:r w:rsidR="00FA7C73" w:rsidRPr="00C53010">
        <w:rPr>
          <w:rFonts w:eastAsia="SimSun"/>
          <w:lang w:val="es-ES"/>
        </w:rPr>
        <w:t>.</w:t>
      </w:r>
    </w:p>
    <w:p w:rsidR="00FA7C73" w:rsidRPr="00C53010" w:rsidRDefault="00FA7C73" w:rsidP="00235602">
      <w:pPr>
        <w:pStyle w:val="Heading1"/>
        <w:rPr>
          <w:lang w:val="es-ES"/>
        </w:rPr>
      </w:pPr>
      <w:bookmarkStart w:id="40" w:name="_Toc446060767"/>
      <w:r w:rsidRPr="00C53010">
        <w:rPr>
          <w:lang w:val="es-ES"/>
        </w:rPr>
        <w:t>5</w:t>
      </w:r>
      <w:r w:rsidRPr="00C53010">
        <w:rPr>
          <w:lang w:val="es-ES"/>
        </w:rPr>
        <w:tab/>
      </w:r>
      <w:r w:rsidR="00235602" w:rsidRPr="00C53010">
        <w:rPr>
          <w:lang w:val="es-ES"/>
        </w:rPr>
        <w:t>Preparación de la CMR</w:t>
      </w:r>
      <w:r w:rsidRPr="00C53010">
        <w:rPr>
          <w:lang w:val="es-ES"/>
        </w:rPr>
        <w:t>-19</w:t>
      </w:r>
      <w:bookmarkEnd w:id="40"/>
    </w:p>
    <w:p w:rsidR="00FA7C73" w:rsidRPr="00C53010" w:rsidRDefault="00FA1001" w:rsidP="006D5679">
      <w:pPr>
        <w:rPr>
          <w:rFonts w:ascii="Calibri" w:hAnsi="Calibri"/>
          <w:b/>
          <w:color w:val="800000"/>
          <w:sz w:val="22"/>
          <w:lang w:val="es-ES"/>
        </w:rPr>
      </w:pPr>
      <w:r w:rsidRPr="00C53010">
        <w:rPr>
          <w:lang w:val="es-ES"/>
        </w:rPr>
        <w:t>Partiendo de</w:t>
      </w:r>
      <w:r w:rsidR="000D4137" w:rsidRPr="00C53010">
        <w:rPr>
          <w:lang w:val="es-ES"/>
        </w:rPr>
        <w:t xml:space="preserve"> los resultados de la primera sesión de la Reunión Preparatoria </w:t>
      </w:r>
      <w:r w:rsidRPr="00C53010">
        <w:rPr>
          <w:lang w:val="es-ES"/>
        </w:rPr>
        <w:t>de la Conferencia de la CMR-19</w:t>
      </w:r>
      <w:r w:rsidR="000D4137" w:rsidRPr="00C53010">
        <w:rPr>
          <w:lang w:val="es-ES"/>
        </w:rPr>
        <w:t xml:space="preserve"> (RPC</w:t>
      </w:r>
      <w:r w:rsidR="000D4137" w:rsidRPr="00C53010">
        <w:rPr>
          <w:lang w:val="es-ES"/>
        </w:rPr>
        <w:noBreakHyphen/>
        <w:t>1</w:t>
      </w:r>
      <w:r w:rsidRPr="00C53010">
        <w:rPr>
          <w:lang w:val="es-ES"/>
        </w:rPr>
        <w:t>9</w:t>
      </w:r>
      <w:r w:rsidR="000D4137" w:rsidRPr="00C53010">
        <w:rPr>
          <w:lang w:val="es-ES"/>
        </w:rPr>
        <w:t>) y teniendo en cuenta los plazos para la preparación del proyecto de Informe de la RPC a la CMR-1</w:t>
      </w:r>
      <w:r w:rsidRPr="00C53010">
        <w:rPr>
          <w:lang w:val="es-ES"/>
        </w:rPr>
        <w:t>9</w:t>
      </w:r>
      <w:r w:rsidR="000D4137" w:rsidRPr="00C53010">
        <w:rPr>
          <w:lang w:val="es-ES"/>
        </w:rPr>
        <w:t xml:space="preserve"> (véase la </w:t>
      </w:r>
      <w:hyperlink r:id="rId19" w:history="1">
        <w:r w:rsidR="006D5679" w:rsidRPr="00914E6F">
          <w:rPr>
            <w:rStyle w:val="Hyperlink"/>
          </w:rPr>
          <w:t>Circular</w:t>
        </w:r>
        <w:r w:rsidR="006D5679">
          <w:rPr>
            <w:rStyle w:val="Hyperlink"/>
          </w:rPr>
          <w:t xml:space="preserve"> A</w:t>
        </w:r>
        <w:r w:rsidR="006D5679">
          <w:rPr>
            <w:rStyle w:val="Hyperlink"/>
          </w:rPr>
          <w:t>d</w:t>
        </w:r>
        <w:r w:rsidR="006D5679">
          <w:rPr>
            <w:rStyle w:val="Hyperlink"/>
          </w:rPr>
          <w:t>ministrativa</w:t>
        </w:r>
        <w:r w:rsidR="006D5679" w:rsidRPr="00914E6F">
          <w:rPr>
            <w:rStyle w:val="Hyperlink"/>
          </w:rPr>
          <w:t xml:space="preserve"> CA/22</w:t>
        </w:r>
        <w:r w:rsidR="006D5679">
          <w:rPr>
            <w:rStyle w:val="Hyperlink"/>
          </w:rPr>
          <w:t>6 de la BR</w:t>
        </w:r>
      </w:hyperlink>
      <w:r w:rsidR="000D4137" w:rsidRPr="00C53010">
        <w:rPr>
          <w:lang w:val="es-ES"/>
        </w:rPr>
        <w:t xml:space="preserve"> de </w:t>
      </w:r>
      <w:r w:rsidRPr="00C53010">
        <w:rPr>
          <w:lang w:val="es-ES"/>
        </w:rPr>
        <w:t>23</w:t>
      </w:r>
      <w:r w:rsidR="000D4137" w:rsidRPr="00C53010">
        <w:rPr>
          <w:lang w:val="es-ES"/>
        </w:rPr>
        <w:t xml:space="preserve"> de </w:t>
      </w:r>
      <w:r w:rsidRPr="00C53010">
        <w:rPr>
          <w:lang w:val="es-ES"/>
        </w:rPr>
        <w:t xml:space="preserve">diciembre </w:t>
      </w:r>
      <w:r w:rsidR="000D4137" w:rsidRPr="00C53010">
        <w:rPr>
          <w:lang w:val="es-ES"/>
        </w:rPr>
        <w:t>de 201</w:t>
      </w:r>
      <w:r w:rsidRPr="00C53010">
        <w:rPr>
          <w:lang w:val="es-ES"/>
        </w:rPr>
        <w:t>5</w:t>
      </w:r>
      <w:r w:rsidR="000D4137" w:rsidRPr="00C53010">
        <w:rPr>
          <w:lang w:val="es-ES"/>
        </w:rPr>
        <w:t xml:space="preserve"> y su Addéndum 1 del 1</w:t>
      </w:r>
      <w:r w:rsidRPr="00C53010">
        <w:rPr>
          <w:lang w:val="es-ES"/>
        </w:rPr>
        <w:t>9</w:t>
      </w:r>
      <w:r w:rsidR="000D4137" w:rsidRPr="00C53010">
        <w:rPr>
          <w:lang w:val="es-ES"/>
        </w:rPr>
        <w:t xml:space="preserve"> de </w:t>
      </w:r>
      <w:r w:rsidRPr="00C53010">
        <w:rPr>
          <w:lang w:val="es-ES"/>
        </w:rPr>
        <w:t xml:space="preserve">septiembre </w:t>
      </w:r>
      <w:r w:rsidR="000D4137" w:rsidRPr="00C53010">
        <w:rPr>
          <w:lang w:val="es-ES"/>
        </w:rPr>
        <w:t>de 201</w:t>
      </w:r>
      <w:r w:rsidRPr="00C53010">
        <w:rPr>
          <w:lang w:val="es-ES"/>
        </w:rPr>
        <w:t>6</w:t>
      </w:r>
      <w:r w:rsidR="001B0E79">
        <w:rPr>
          <w:lang w:val="es-ES"/>
        </w:rPr>
        <w:t xml:space="preserve">, </w:t>
      </w:r>
      <w:r w:rsidRPr="00C53010">
        <w:rPr>
          <w:lang w:val="es-ES"/>
        </w:rPr>
        <w:t>con sus correspondientes corrigenda</w:t>
      </w:r>
      <w:r w:rsidR="000D4137" w:rsidRPr="00C53010">
        <w:rPr>
          <w:lang w:val="es-ES"/>
        </w:rPr>
        <w:t>)</w:t>
      </w:r>
      <w:r w:rsidR="001B0E79">
        <w:rPr>
          <w:lang w:val="es-ES"/>
        </w:rPr>
        <w:t xml:space="preserve">, </w:t>
      </w:r>
      <w:r w:rsidR="000D4137" w:rsidRPr="00C53010">
        <w:rPr>
          <w:lang w:val="es-ES"/>
        </w:rPr>
        <w:t>se han logrado importantes avances en lo que respecta a los Grupos de Trabajo del UIT-R y el Grupo Mixto de Tareas Especiales encargado de los estudios preparatorios sobre los puntos del orden del día de la CMR-1</w:t>
      </w:r>
      <w:r w:rsidRPr="00C53010">
        <w:rPr>
          <w:lang w:val="es-ES"/>
        </w:rPr>
        <w:t>9</w:t>
      </w:r>
      <w:r w:rsidR="000D4137" w:rsidRPr="00C53010">
        <w:rPr>
          <w:lang w:val="es-ES"/>
        </w:rPr>
        <w:t xml:space="preserve"> y/o las Resoluciones conexas de la CMR</w:t>
      </w:r>
      <w:r w:rsidR="001B0E79">
        <w:rPr>
          <w:lang w:val="es-ES"/>
        </w:rPr>
        <w:t xml:space="preserve">, </w:t>
      </w:r>
      <w:r w:rsidR="000D4137" w:rsidRPr="00C53010">
        <w:rPr>
          <w:lang w:val="es-ES"/>
        </w:rPr>
        <w:t>así como sobre los estudios en aplicación de Resoluciones UIT-R para la preparación de la AR-1</w:t>
      </w:r>
      <w:r w:rsidRPr="00C53010">
        <w:rPr>
          <w:lang w:val="es-ES"/>
        </w:rPr>
        <w:t>9</w:t>
      </w:r>
      <w:r w:rsidR="000D4137" w:rsidRPr="00C53010">
        <w:rPr>
          <w:lang w:val="es-ES"/>
        </w:rPr>
        <w:t>. Puede hallarse una información detallada sobre estos estudios preparatorios del UIT</w:t>
      </w:r>
      <w:r w:rsidR="000D4137" w:rsidRPr="00C53010">
        <w:rPr>
          <w:lang w:val="es-ES"/>
        </w:rPr>
        <w:noBreakHyphen/>
        <w:t xml:space="preserve">R en la siguiente página web actualizada de la UIT: </w:t>
      </w:r>
      <w:hyperlink r:id="rId20" w:history="1">
        <w:r w:rsidR="006D5679" w:rsidRPr="006D5679">
          <w:rPr>
            <w:rStyle w:val="Hyperlink"/>
          </w:rPr>
          <w:t>www.itu.int/go/rcpm-w</w:t>
        </w:r>
        <w:r w:rsidR="006D5679" w:rsidRPr="006D5679">
          <w:rPr>
            <w:rStyle w:val="Hyperlink"/>
          </w:rPr>
          <w:t>r</w:t>
        </w:r>
        <w:r w:rsidR="006D5679" w:rsidRPr="006D5679">
          <w:rPr>
            <w:rStyle w:val="Hyperlink"/>
          </w:rPr>
          <w:t>c-19-studies</w:t>
        </w:r>
      </w:hyperlink>
      <w:r w:rsidR="000D4137" w:rsidRPr="00C53010">
        <w:rPr>
          <w:rStyle w:val="Hyperlink"/>
          <w:rFonts w:eastAsia="SimSun"/>
          <w:szCs w:val="24"/>
          <w:lang w:val="es-ES" w:eastAsia="zh-CN"/>
        </w:rPr>
        <w:t>.</w:t>
      </w:r>
      <w:r w:rsidR="000D4137" w:rsidRPr="00C53010">
        <w:rPr>
          <w:rStyle w:val="Hyperlink"/>
          <w:rFonts w:eastAsia="SimSun"/>
          <w:szCs w:val="24"/>
          <w:u w:val="none"/>
          <w:lang w:val="es-ES" w:eastAsia="zh-CN"/>
        </w:rPr>
        <w:t xml:space="preserve"> </w:t>
      </w:r>
      <w:r w:rsidR="000D4137" w:rsidRPr="00C53010">
        <w:rPr>
          <w:lang w:val="es-ES"/>
        </w:rPr>
        <w:t>La conclusión de estas actividades</w:t>
      </w:r>
      <w:r w:rsidR="001B0E79">
        <w:rPr>
          <w:lang w:val="es-ES"/>
        </w:rPr>
        <w:t xml:space="preserve">, </w:t>
      </w:r>
      <w:r w:rsidR="000D4137" w:rsidRPr="00C53010">
        <w:rPr>
          <w:lang w:val="es-ES"/>
        </w:rPr>
        <w:t>con arreglo a los planes de trabajo establecidos previamente</w:t>
      </w:r>
      <w:r w:rsidR="001B0E79">
        <w:rPr>
          <w:lang w:val="es-ES"/>
        </w:rPr>
        <w:t xml:space="preserve">, </w:t>
      </w:r>
      <w:r w:rsidR="000D4137" w:rsidRPr="00C53010">
        <w:rPr>
          <w:lang w:val="es-ES"/>
        </w:rPr>
        <w:t>debería garantizar en particular la disponibilidad a su debido tiempo del proyecto de Informe de la RPC a la CMR-1</w:t>
      </w:r>
      <w:r w:rsidRPr="00C53010">
        <w:rPr>
          <w:lang w:val="es-ES"/>
        </w:rPr>
        <w:t>9</w:t>
      </w:r>
      <w:r w:rsidR="001B0E79">
        <w:rPr>
          <w:lang w:val="es-ES"/>
        </w:rPr>
        <w:t xml:space="preserve">, </w:t>
      </w:r>
      <w:r w:rsidR="000D4137" w:rsidRPr="00C53010">
        <w:rPr>
          <w:lang w:val="es-ES"/>
        </w:rPr>
        <w:t>para su examen durante la segunda reunión de la RPC-1</w:t>
      </w:r>
      <w:r w:rsidRPr="00C53010">
        <w:rPr>
          <w:lang w:val="es-ES"/>
        </w:rPr>
        <w:t>9</w:t>
      </w:r>
      <w:r w:rsidR="001B0E79">
        <w:rPr>
          <w:lang w:val="es-ES"/>
        </w:rPr>
        <w:t xml:space="preserve">, </w:t>
      </w:r>
      <w:r w:rsidR="000D4137" w:rsidRPr="00C53010">
        <w:rPr>
          <w:lang w:val="es-ES"/>
        </w:rPr>
        <w:t xml:space="preserve">que tendrá lugar del </w:t>
      </w:r>
      <w:r w:rsidRPr="00C53010">
        <w:rPr>
          <w:lang w:val="es-ES"/>
        </w:rPr>
        <w:t>18</w:t>
      </w:r>
      <w:r w:rsidR="000D4137" w:rsidRPr="00C53010">
        <w:rPr>
          <w:lang w:val="es-ES"/>
        </w:rPr>
        <w:t xml:space="preserve"> al 2</w:t>
      </w:r>
      <w:r w:rsidRPr="00C53010">
        <w:rPr>
          <w:lang w:val="es-ES"/>
        </w:rPr>
        <w:t>8</w:t>
      </w:r>
      <w:r w:rsidR="000D4137" w:rsidRPr="00C53010">
        <w:rPr>
          <w:lang w:val="es-ES"/>
        </w:rPr>
        <w:t xml:space="preserve"> de </w:t>
      </w:r>
      <w:r w:rsidRPr="00C53010">
        <w:rPr>
          <w:lang w:val="es-ES"/>
        </w:rPr>
        <w:t xml:space="preserve">febrero </w:t>
      </w:r>
      <w:r w:rsidR="000D4137" w:rsidRPr="00C53010">
        <w:rPr>
          <w:lang w:val="es-ES"/>
        </w:rPr>
        <w:t>de 201</w:t>
      </w:r>
      <w:r w:rsidRPr="00C53010">
        <w:rPr>
          <w:lang w:val="es-ES"/>
        </w:rPr>
        <w:t>9.</w:t>
      </w:r>
    </w:p>
    <w:p w:rsidR="00FA7C73" w:rsidRPr="00C53010" w:rsidRDefault="00FA1001" w:rsidP="00E3515B">
      <w:pPr>
        <w:rPr>
          <w:lang w:val="es-ES"/>
        </w:rPr>
      </w:pPr>
      <w:r w:rsidRPr="00C53010">
        <w:rPr>
          <w:lang w:val="es-ES"/>
        </w:rPr>
        <w:t xml:space="preserve">Habida cuenta de la Resolución </w:t>
      </w:r>
      <w:r w:rsidR="00FA7C73" w:rsidRPr="00C53010">
        <w:rPr>
          <w:lang w:val="es-ES"/>
        </w:rPr>
        <w:t>80 (Rev. Marrake</w:t>
      </w:r>
      <w:r w:rsidR="00021810">
        <w:rPr>
          <w:lang w:val="es-ES"/>
        </w:rPr>
        <w:t>c</w:t>
      </w:r>
      <w:r w:rsidR="00FA7C73" w:rsidRPr="00C53010">
        <w:rPr>
          <w:lang w:val="es-ES"/>
        </w:rPr>
        <w:t>h</w:t>
      </w:r>
      <w:r w:rsidR="001B0E79">
        <w:rPr>
          <w:lang w:val="es-ES"/>
        </w:rPr>
        <w:t xml:space="preserve">, </w:t>
      </w:r>
      <w:r w:rsidR="00FA7C73" w:rsidRPr="00C53010">
        <w:rPr>
          <w:lang w:val="es-ES"/>
        </w:rPr>
        <w:t>2002)</w:t>
      </w:r>
      <w:r w:rsidR="001B0E79">
        <w:rPr>
          <w:lang w:val="es-ES"/>
        </w:rPr>
        <w:t xml:space="preserve">, </w:t>
      </w:r>
      <w:r w:rsidR="00421859" w:rsidRPr="00C53010">
        <w:rPr>
          <w:lang w:val="es-ES"/>
        </w:rPr>
        <w:t xml:space="preserve">continuaron </w:t>
      </w:r>
      <w:r w:rsidRPr="00C53010">
        <w:rPr>
          <w:lang w:val="es-ES"/>
        </w:rPr>
        <w:t xml:space="preserve">los </w:t>
      </w:r>
      <w:r w:rsidR="00421859" w:rsidRPr="00C53010">
        <w:rPr>
          <w:lang w:val="es-ES"/>
        </w:rPr>
        <w:t xml:space="preserve">amplios </w:t>
      </w:r>
      <w:r w:rsidRPr="00C53010">
        <w:rPr>
          <w:lang w:val="es-ES"/>
        </w:rPr>
        <w:t xml:space="preserve">preparativos </w:t>
      </w:r>
      <w:r w:rsidR="00421859" w:rsidRPr="00C53010">
        <w:rPr>
          <w:lang w:val="es-ES"/>
        </w:rPr>
        <w:t>de la CMR</w:t>
      </w:r>
      <w:r w:rsidR="00FA7C73" w:rsidRPr="00C53010">
        <w:rPr>
          <w:lang w:val="es-ES"/>
        </w:rPr>
        <w:t xml:space="preserve">-19 </w:t>
      </w:r>
      <w:r w:rsidR="00421859" w:rsidRPr="00C53010">
        <w:rPr>
          <w:lang w:val="es-ES"/>
        </w:rPr>
        <w:t xml:space="preserve">a través de organizaciones </w:t>
      </w:r>
      <w:r w:rsidR="00B75838">
        <w:rPr>
          <w:lang w:val="es-ES"/>
        </w:rPr>
        <w:t xml:space="preserve">regionales </w:t>
      </w:r>
      <w:r w:rsidR="00421859" w:rsidRPr="00C53010">
        <w:rPr>
          <w:lang w:val="es-ES"/>
        </w:rPr>
        <w:t xml:space="preserve">de telecomunicaciones regionales </w:t>
      </w:r>
      <w:r w:rsidR="00FA7C73" w:rsidRPr="00C53010">
        <w:rPr>
          <w:lang w:val="es-ES"/>
        </w:rPr>
        <w:t>(</w:t>
      </w:r>
      <w:r w:rsidR="00421859" w:rsidRPr="00C53010">
        <w:rPr>
          <w:lang w:val="es-ES"/>
        </w:rPr>
        <w:t>OTR</w:t>
      </w:r>
      <w:r w:rsidR="00FA7C73" w:rsidRPr="00C53010">
        <w:rPr>
          <w:lang w:val="es-ES"/>
        </w:rPr>
        <w:t xml:space="preserve">) </w:t>
      </w:r>
      <w:r w:rsidR="00421859" w:rsidRPr="00C53010">
        <w:rPr>
          <w:lang w:val="es-ES"/>
        </w:rPr>
        <w:t xml:space="preserve">entre las que cabe citar </w:t>
      </w:r>
      <w:r w:rsidR="00FA7C73" w:rsidRPr="00C53010">
        <w:rPr>
          <w:lang w:val="es-ES"/>
        </w:rPr>
        <w:t>CEPT</w:t>
      </w:r>
      <w:r w:rsidR="001B0E79">
        <w:rPr>
          <w:lang w:val="es-ES"/>
        </w:rPr>
        <w:t xml:space="preserve">, </w:t>
      </w:r>
      <w:r w:rsidR="00FA7C73" w:rsidRPr="00C53010">
        <w:rPr>
          <w:lang w:val="es-ES"/>
        </w:rPr>
        <w:t>CITEL</w:t>
      </w:r>
      <w:r w:rsidR="001B0E79">
        <w:rPr>
          <w:lang w:val="es-ES"/>
        </w:rPr>
        <w:t xml:space="preserve">, </w:t>
      </w:r>
      <w:r w:rsidR="00FA7C73" w:rsidRPr="00C53010">
        <w:rPr>
          <w:lang w:val="es-ES"/>
        </w:rPr>
        <w:t>APT</w:t>
      </w:r>
      <w:r w:rsidR="001B0E79">
        <w:rPr>
          <w:lang w:val="es-ES"/>
        </w:rPr>
        <w:t xml:space="preserve">, </w:t>
      </w:r>
      <w:r w:rsidR="00FA7C73" w:rsidRPr="00C53010">
        <w:rPr>
          <w:lang w:val="es-ES"/>
        </w:rPr>
        <w:t>RCC</w:t>
      </w:r>
      <w:r w:rsidR="001B0E79">
        <w:rPr>
          <w:lang w:val="es-ES"/>
        </w:rPr>
        <w:t xml:space="preserve">, </w:t>
      </w:r>
      <w:r w:rsidR="00421859" w:rsidRPr="00C53010">
        <w:rPr>
          <w:lang w:val="es-ES"/>
        </w:rPr>
        <w:t xml:space="preserve">el Grupo Árabe y el Grupo Africano a través de la </w:t>
      </w:r>
      <w:r w:rsidR="00FA7C73" w:rsidRPr="00C53010">
        <w:rPr>
          <w:lang w:val="es-ES"/>
        </w:rPr>
        <w:t xml:space="preserve">ATU. </w:t>
      </w:r>
      <w:r w:rsidR="00421859" w:rsidRPr="00C53010">
        <w:rPr>
          <w:lang w:val="es-ES"/>
        </w:rPr>
        <w:t>La Oficina de Radiocomunicaciones ha ayudado en estos preparativos en la medida de lo posible</w:t>
      </w:r>
      <w:r w:rsidR="001B0E79">
        <w:rPr>
          <w:lang w:val="es-ES"/>
        </w:rPr>
        <w:t xml:space="preserve">, </w:t>
      </w:r>
      <w:r w:rsidR="00421859" w:rsidRPr="00C53010">
        <w:rPr>
          <w:lang w:val="es-ES"/>
        </w:rPr>
        <w:t xml:space="preserve">a tenor de la Resolución </w:t>
      </w:r>
      <w:r w:rsidR="00FA7C73" w:rsidRPr="00C53010">
        <w:rPr>
          <w:lang w:val="es-ES"/>
        </w:rPr>
        <w:t>72 (Rev.</w:t>
      </w:r>
      <w:r w:rsidR="00421859" w:rsidRPr="00C53010">
        <w:rPr>
          <w:lang w:val="es-ES"/>
        </w:rPr>
        <w:t>CMR</w:t>
      </w:r>
      <w:r w:rsidR="00FA7C73" w:rsidRPr="00C53010">
        <w:rPr>
          <w:lang w:val="es-ES"/>
        </w:rPr>
        <w:t xml:space="preserve">-07). </w:t>
      </w:r>
    </w:p>
    <w:p w:rsidR="000D4137" w:rsidRPr="00C53010" w:rsidRDefault="00B75838" w:rsidP="00AC5996">
      <w:pPr>
        <w:rPr>
          <w:lang w:val="es-ES"/>
        </w:rPr>
      </w:pPr>
      <w:r w:rsidRPr="00C53010">
        <w:rPr>
          <w:lang w:val="es-ES"/>
        </w:rPr>
        <w:lastRenderedPageBreak/>
        <w:t xml:space="preserve">Con objeto de empezar a lograr un consenso sobre las posiciones y las propuestas formuladas por diversas organizaciones regionales de telecomunicaciones, la BR convocó el </w:t>
      </w:r>
      <w:hyperlink r:id="rId21" w:history="1">
        <w:r w:rsidRPr="00C53010">
          <w:rPr>
            <w:rStyle w:val="Hyperlink"/>
            <w:lang w:val="es-ES"/>
          </w:rPr>
          <w:t>primer Taller Interregional de la UIT sobre l</w:t>
        </w:r>
        <w:r w:rsidRPr="00C53010">
          <w:rPr>
            <w:rStyle w:val="Hyperlink"/>
            <w:lang w:val="es-ES"/>
          </w:rPr>
          <w:t>a</w:t>
        </w:r>
        <w:r w:rsidRPr="00C53010">
          <w:rPr>
            <w:rStyle w:val="Hyperlink"/>
            <w:lang w:val="es-ES"/>
          </w:rPr>
          <w:t xml:space="preserve"> preparación de la CMR-19</w:t>
        </w:r>
      </w:hyperlink>
      <w:r w:rsidRPr="00C53010">
        <w:rPr>
          <w:lang w:val="es-ES"/>
        </w:rPr>
        <w:t xml:space="preserve"> en Ginebra</w:t>
      </w:r>
      <w:r>
        <w:rPr>
          <w:lang w:val="es-ES"/>
        </w:rPr>
        <w:t xml:space="preserve"> los días 21 y 22 de noviembre de 2017</w:t>
      </w:r>
      <w:r w:rsidRPr="00C53010">
        <w:rPr>
          <w:lang w:val="es-ES"/>
        </w:rPr>
        <w:t xml:space="preserve">. Asistieron al taller </w:t>
      </w:r>
      <w:r>
        <w:rPr>
          <w:lang w:val="es-ES"/>
        </w:rPr>
        <w:t>253</w:t>
      </w:r>
      <w:r w:rsidRPr="00C53010">
        <w:rPr>
          <w:lang w:val="es-ES"/>
        </w:rPr>
        <w:t xml:space="preserve"> participantes en representación de </w:t>
      </w:r>
      <w:r>
        <w:rPr>
          <w:lang w:val="es-ES"/>
        </w:rPr>
        <w:t>59</w:t>
      </w:r>
      <w:r w:rsidRPr="00C53010">
        <w:rPr>
          <w:lang w:val="es-ES"/>
        </w:rPr>
        <w:t xml:space="preserve"> países y </w:t>
      </w:r>
      <w:r>
        <w:rPr>
          <w:lang w:val="es-ES"/>
        </w:rPr>
        <w:t>51</w:t>
      </w:r>
      <w:r w:rsidRPr="00C53010">
        <w:rPr>
          <w:lang w:val="es-ES"/>
        </w:rPr>
        <w:t> empresas</w:t>
      </w:r>
      <w:r>
        <w:rPr>
          <w:lang w:val="es-ES"/>
        </w:rPr>
        <w:t>,</w:t>
      </w:r>
      <w:r w:rsidRPr="00C53010">
        <w:rPr>
          <w:lang w:val="es-ES"/>
        </w:rPr>
        <w:t xml:space="preserve"> organizaciones</w:t>
      </w:r>
      <w:r>
        <w:rPr>
          <w:lang w:val="es-ES"/>
        </w:rPr>
        <w:t xml:space="preserve"> e instituciones académicas</w:t>
      </w:r>
      <w:r w:rsidRPr="00C53010">
        <w:rPr>
          <w:lang w:val="es-ES"/>
        </w:rPr>
        <w:t xml:space="preserve">, entre ellos representantes de las </w:t>
      </w:r>
      <w:r>
        <w:rPr>
          <w:lang w:val="es-ES"/>
        </w:rPr>
        <w:t xml:space="preserve">OTR </w:t>
      </w:r>
      <w:r w:rsidRPr="00C53010">
        <w:rPr>
          <w:lang w:val="es-ES"/>
        </w:rPr>
        <w:t>indicadas anteriormente</w:t>
      </w:r>
      <w:r>
        <w:rPr>
          <w:lang w:val="es-ES"/>
        </w:rPr>
        <w:t xml:space="preserve"> (puede consultarse información más detallada y otras estadísticas sobre la participación de Estados Miembros en el </w:t>
      </w:r>
      <w:hyperlink r:id="rId22" w:history="1">
        <w:r w:rsidR="006D5679" w:rsidRPr="00914E6F">
          <w:rPr>
            <w:rStyle w:val="Hyperlink"/>
          </w:rPr>
          <w:t>Docum</w:t>
        </w:r>
        <w:r w:rsidR="006D5679" w:rsidRPr="00914E6F">
          <w:rPr>
            <w:rStyle w:val="Hyperlink"/>
          </w:rPr>
          <w:t>e</w:t>
        </w:r>
        <w:r w:rsidR="006D5679" w:rsidRPr="00914E6F">
          <w:rPr>
            <w:rStyle w:val="Hyperlink"/>
          </w:rPr>
          <w:t>nt</w:t>
        </w:r>
        <w:r w:rsidR="00AC5996">
          <w:rPr>
            <w:rStyle w:val="Hyperlink"/>
          </w:rPr>
          <w:t>o</w:t>
        </w:r>
        <w:r w:rsidR="006D5679" w:rsidRPr="00914E6F">
          <w:rPr>
            <w:rStyle w:val="Hyperlink"/>
          </w:rPr>
          <w:t xml:space="preserve"> 31</w:t>
        </w:r>
      </w:hyperlink>
      <w:r w:rsidR="006D5679">
        <w:rPr>
          <w:lang w:val="es-ES"/>
        </w:rPr>
        <w:t xml:space="preserve"> </w:t>
      </w:r>
      <w:r>
        <w:rPr>
          <w:lang w:val="es-ES"/>
        </w:rPr>
        <w:t>y su Addéndum 1)</w:t>
      </w:r>
      <w:bookmarkStart w:id="41" w:name="_GoBack"/>
      <w:bookmarkEnd w:id="41"/>
      <w:r w:rsidRPr="00C53010">
        <w:rPr>
          <w:lang w:val="es-ES"/>
        </w:rPr>
        <w:t xml:space="preserve">. La información suministrada durante el taller y el intercambio de opiniones a que dieron origen, fueron sumamente valorados. Los </w:t>
      </w:r>
      <w:hyperlink r:id="rId23" w:history="1">
        <w:r w:rsidR="006D5679">
          <w:rPr>
            <w:rStyle w:val="Hyperlink"/>
          </w:rPr>
          <w:t>vídeos difundido</w:t>
        </w:r>
        <w:r w:rsidR="006D5679">
          <w:rPr>
            <w:rStyle w:val="Hyperlink"/>
          </w:rPr>
          <w:t>s</w:t>
        </w:r>
        <w:r w:rsidR="006D5679">
          <w:rPr>
            <w:rStyle w:val="Hyperlink"/>
          </w:rPr>
          <w:t xml:space="preserve"> por la web</w:t>
        </w:r>
      </w:hyperlink>
      <w:r w:rsidRPr="00C53010">
        <w:rPr>
          <w:lang w:val="es-ES"/>
        </w:rPr>
        <w:t xml:space="preserve"> y los </w:t>
      </w:r>
      <w:hyperlink r:id="rId24" w:history="1">
        <w:r w:rsidR="006D5679">
          <w:rPr>
            <w:rStyle w:val="Hyperlink"/>
          </w:rPr>
          <w:t xml:space="preserve">documentos </w:t>
        </w:r>
        <w:r w:rsidR="006D5679">
          <w:rPr>
            <w:rStyle w:val="Hyperlink"/>
          </w:rPr>
          <w:t>d</w:t>
        </w:r>
        <w:r w:rsidR="006D5679">
          <w:rPr>
            <w:rStyle w:val="Hyperlink"/>
          </w:rPr>
          <w:t>el taller</w:t>
        </w:r>
      </w:hyperlink>
      <w:r w:rsidR="006D5679">
        <w:rPr>
          <w:rStyle w:val="Hyperlink"/>
        </w:rPr>
        <w:t xml:space="preserve"> </w:t>
      </w:r>
      <w:r w:rsidRPr="00C53010">
        <w:rPr>
          <w:lang w:val="es-ES"/>
        </w:rPr>
        <w:t xml:space="preserve">siguen estando disponibles </w:t>
      </w:r>
      <w:hyperlink r:id="rId25" w:history="1">
        <w:r w:rsidR="006D5679">
          <w:rPr>
            <w:rStyle w:val="Hyperlink"/>
          </w:rPr>
          <w:t>e</w:t>
        </w:r>
        <w:r w:rsidR="006D5679" w:rsidRPr="00914E6F">
          <w:rPr>
            <w:rStyle w:val="Hyperlink"/>
          </w:rPr>
          <w:t>n</w:t>
        </w:r>
        <w:r w:rsidR="006D5679">
          <w:rPr>
            <w:rStyle w:val="Hyperlink"/>
          </w:rPr>
          <w:t xml:space="preserve"> </w:t>
        </w:r>
        <w:r w:rsidR="006D5679" w:rsidRPr="00914E6F">
          <w:rPr>
            <w:rStyle w:val="Hyperlink"/>
          </w:rPr>
          <w:t>l</w:t>
        </w:r>
        <w:r w:rsidR="006D5679">
          <w:rPr>
            <w:rStyle w:val="Hyperlink"/>
          </w:rPr>
          <w:t>í</w:t>
        </w:r>
        <w:r w:rsidR="006D5679" w:rsidRPr="00914E6F">
          <w:rPr>
            <w:rStyle w:val="Hyperlink"/>
          </w:rPr>
          <w:t>n</w:t>
        </w:r>
        <w:r w:rsidR="006D5679">
          <w:rPr>
            <w:rStyle w:val="Hyperlink"/>
          </w:rPr>
          <w:t>ea</w:t>
        </w:r>
      </w:hyperlink>
      <w:r w:rsidR="006D5679">
        <w:rPr>
          <w:rStyle w:val="Hyperlink"/>
        </w:rPr>
        <w:t xml:space="preserve"> </w:t>
      </w:r>
      <w:r w:rsidRPr="00C53010">
        <w:rPr>
          <w:lang w:val="es-ES"/>
        </w:rPr>
        <w:t xml:space="preserve">en los seis idiomas oficiales de la Unión. Durante el taller también se presentó la versión preliminar de la interfaz para la presentación de </w:t>
      </w:r>
      <w:hyperlink r:id="rId26" w:history="1">
        <w:r w:rsidR="006D5679">
          <w:rPr>
            <w:rStyle w:val="Hyperlink"/>
          </w:rPr>
          <w:t>Propuestas a la C</w:t>
        </w:r>
        <w:r w:rsidR="006D5679" w:rsidRPr="00914E6F">
          <w:rPr>
            <w:rStyle w:val="Hyperlink"/>
          </w:rPr>
          <w:t>onfer</w:t>
        </w:r>
        <w:r w:rsidR="006D5679" w:rsidRPr="00914E6F">
          <w:rPr>
            <w:rStyle w:val="Hyperlink"/>
          </w:rPr>
          <w:t>e</w:t>
        </w:r>
        <w:r w:rsidR="006D5679" w:rsidRPr="00914E6F">
          <w:rPr>
            <w:rStyle w:val="Hyperlink"/>
          </w:rPr>
          <w:t>n</w:t>
        </w:r>
        <w:r w:rsidR="006D5679" w:rsidRPr="00914E6F">
          <w:rPr>
            <w:rStyle w:val="Hyperlink"/>
          </w:rPr>
          <w:t>c</w:t>
        </w:r>
        <w:r w:rsidR="006D5679">
          <w:rPr>
            <w:rStyle w:val="Hyperlink"/>
          </w:rPr>
          <w:t xml:space="preserve">ia </w:t>
        </w:r>
        <w:r w:rsidR="006D5679" w:rsidRPr="00914E6F">
          <w:rPr>
            <w:rStyle w:val="Hyperlink"/>
          </w:rPr>
          <w:t xml:space="preserve">(CPI) </w:t>
        </w:r>
        <w:r w:rsidR="006D5679">
          <w:rPr>
            <w:rStyle w:val="Hyperlink"/>
          </w:rPr>
          <w:t>para la CMR</w:t>
        </w:r>
        <w:r w:rsidR="006D5679">
          <w:rPr>
            <w:rStyle w:val="Hyperlink"/>
          </w:rPr>
          <w:noBreakHyphen/>
        </w:r>
        <w:r w:rsidR="006D5679" w:rsidRPr="00914E6F">
          <w:rPr>
            <w:rStyle w:val="Hyperlink"/>
          </w:rPr>
          <w:t>19</w:t>
        </w:r>
      </w:hyperlink>
      <w:r w:rsidRPr="00C53010">
        <w:rPr>
          <w:lang w:val="es-ES"/>
        </w:rPr>
        <w:t>. Está prevista la organización de otros dos talleres interregionales sobre el mismo tema: uno para finales de noviembre de 2018 y el otro a principios de septiembre de 2019 (antes de la CMR-19).</w:t>
      </w:r>
    </w:p>
    <w:p w:rsidR="00FA7C73" w:rsidRPr="00C53010" w:rsidRDefault="000D4137" w:rsidP="00087FE8">
      <w:pPr>
        <w:rPr>
          <w:lang w:val="es-ES"/>
        </w:rPr>
      </w:pPr>
      <w:r w:rsidRPr="00C53010">
        <w:rPr>
          <w:lang w:val="es-ES"/>
        </w:rPr>
        <w:t>La pág</w:t>
      </w:r>
      <w:r w:rsidR="00E50353" w:rsidRPr="00C53010">
        <w:rPr>
          <w:lang w:val="es-ES"/>
        </w:rPr>
        <w:t>ina web de la UIT para la CMR-19</w:t>
      </w:r>
      <w:r w:rsidRPr="00C53010">
        <w:rPr>
          <w:lang w:val="es-ES"/>
        </w:rPr>
        <w:t xml:space="preserve"> (</w:t>
      </w:r>
      <w:hyperlink r:id="rId27" w:history="1">
        <w:r w:rsidR="00E50353" w:rsidRPr="00C53010">
          <w:rPr>
            <w:rStyle w:val="Hyperlink"/>
            <w:lang w:val="es-ES"/>
          </w:rPr>
          <w:t>www.itu.int/go</w:t>
        </w:r>
        <w:r w:rsidR="00E50353" w:rsidRPr="00C53010">
          <w:rPr>
            <w:rStyle w:val="Hyperlink"/>
            <w:lang w:val="es-ES"/>
          </w:rPr>
          <w:t>/</w:t>
        </w:r>
        <w:r w:rsidR="00E50353" w:rsidRPr="00C53010">
          <w:rPr>
            <w:rStyle w:val="Hyperlink"/>
            <w:lang w:val="es-ES"/>
          </w:rPr>
          <w:t>wrc-19</w:t>
        </w:r>
      </w:hyperlink>
      <w:r w:rsidRPr="00C53010">
        <w:rPr>
          <w:lang w:val="es-ES"/>
        </w:rPr>
        <w:t xml:space="preserve">) ha sido actualizada y permite el acceso directo a la </w:t>
      </w:r>
      <w:r w:rsidR="00B43E43" w:rsidRPr="00C53010">
        <w:rPr>
          <w:lang w:val="es-ES"/>
        </w:rPr>
        <w:t xml:space="preserve">mencionada </w:t>
      </w:r>
      <w:r w:rsidRPr="00C53010">
        <w:rPr>
          <w:lang w:val="es-ES"/>
        </w:rPr>
        <w:t>información.</w:t>
      </w:r>
    </w:p>
    <w:p w:rsidR="00FA7C73" w:rsidRPr="00C53010" w:rsidRDefault="00FA7C73" w:rsidP="00E50353">
      <w:pPr>
        <w:pStyle w:val="Heading1"/>
        <w:rPr>
          <w:lang w:val="es-ES"/>
        </w:rPr>
      </w:pPr>
      <w:bookmarkStart w:id="42" w:name="_Toc446060768"/>
      <w:r w:rsidRPr="00C53010">
        <w:rPr>
          <w:lang w:val="es-ES"/>
        </w:rPr>
        <w:t>6</w:t>
      </w:r>
      <w:r w:rsidRPr="00C53010">
        <w:rPr>
          <w:lang w:val="es-ES"/>
        </w:rPr>
        <w:tab/>
      </w:r>
      <w:bookmarkEnd w:id="42"/>
      <w:r w:rsidR="00E50353" w:rsidRPr="00C53010">
        <w:rPr>
          <w:lang w:val="es-ES"/>
        </w:rPr>
        <w:t>Plan Operacional</w:t>
      </w:r>
    </w:p>
    <w:p w:rsidR="00E50353" w:rsidRPr="00C53010" w:rsidRDefault="00E50353" w:rsidP="00E3515B">
      <w:pPr>
        <w:rPr>
          <w:lang w:val="es-ES"/>
        </w:rPr>
      </w:pPr>
      <w:r w:rsidRPr="00C53010">
        <w:rPr>
          <w:lang w:val="es-ES"/>
        </w:rPr>
        <w:t>Como ya se comunicó a la 24ª reunión del GAR</w:t>
      </w:r>
      <w:r w:rsidR="001B0E79">
        <w:rPr>
          <w:lang w:val="es-ES"/>
        </w:rPr>
        <w:t xml:space="preserve">, </w:t>
      </w:r>
      <w:r w:rsidRPr="00C53010">
        <w:rPr>
          <w:lang w:val="es-ES"/>
        </w:rPr>
        <w:t>conforme a lo dispuesto en el plan estratégico de la Unión para 2016-2019 aprobado por la PP-14</w:t>
      </w:r>
      <w:r w:rsidR="001B0E79">
        <w:rPr>
          <w:lang w:val="es-ES"/>
        </w:rPr>
        <w:t xml:space="preserve">, </w:t>
      </w:r>
      <w:r w:rsidRPr="00C53010">
        <w:rPr>
          <w:lang w:val="es-ES"/>
        </w:rPr>
        <w:t>el Plan Operacional del UIT R está estructurado con arreglo al concepto de gestión basada en resultados</w:t>
      </w:r>
      <w:r w:rsidR="001B0E79">
        <w:rPr>
          <w:lang w:val="es-ES"/>
        </w:rPr>
        <w:t xml:space="preserve">, </w:t>
      </w:r>
      <w:r w:rsidRPr="00C53010">
        <w:rPr>
          <w:lang w:val="es-ES"/>
        </w:rPr>
        <w:t>a fin de garantizar una vinculación total con el presupuesto y otras herramientas financieras de la Unión. El Plan Operacional del UIT-R para el periodo 2018-2021 fue aprobado por la reunión de 2017 del Consejo</w:t>
      </w:r>
      <w:r w:rsidRPr="00C53010">
        <w:rPr>
          <w:cs/>
          <w:lang w:val="es-ES"/>
        </w:rPr>
        <w:t>‎</w:t>
      </w:r>
      <w:r w:rsidRPr="00C53010">
        <w:rPr>
          <w:lang w:val="es-ES"/>
        </w:rPr>
        <w:t>.</w:t>
      </w:r>
    </w:p>
    <w:p w:rsidR="00E50353" w:rsidRPr="00C53010" w:rsidRDefault="00E50353" w:rsidP="00E3515B">
      <w:pPr>
        <w:rPr>
          <w:lang w:val="es-ES"/>
        </w:rPr>
      </w:pPr>
      <w:r w:rsidRPr="00C53010">
        <w:rPr>
          <w:lang w:val="es-ES"/>
        </w:rPr>
        <w:t xml:space="preserve">El proyecto de Plan Operacional del UIT R para el periodo 2019-2022 se presenta en el Addéndum </w:t>
      </w:r>
      <w:r w:rsidR="00906F26">
        <w:rPr>
          <w:lang w:val="es-ES"/>
        </w:rPr>
        <w:t>3</w:t>
      </w:r>
      <w:r w:rsidRPr="00C53010">
        <w:rPr>
          <w:lang w:val="es-ES"/>
        </w:rPr>
        <w:t xml:space="preserve"> al presente documento para que el GAR lo examine y formule los comentarios que estime oportunos.</w:t>
      </w:r>
    </w:p>
    <w:p w:rsidR="00E50353" w:rsidRPr="00C53010" w:rsidRDefault="00E50353" w:rsidP="00E50353">
      <w:pPr>
        <w:pStyle w:val="Heading1"/>
        <w:rPr>
          <w:lang w:val="es-ES"/>
        </w:rPr>
      </w:pPr>
      <w:bookmarkStart w:id="43" w:name="_Toc446060769"/>
      <w:r w:rsidRPr="00C53010">
        <w:rPr>
          <w:lang w:val="es-ES"/>
        </w:rPr>
        <w:t>7</w:t>
      </w:r>
      <w:r w:rsidRPr="00C53010">
        <w:rPr>
          <w:lang w:val="es-ES"/>
        </w:rPr>
        <w:tab/>
      </w:r>
      <w:bookmarkEnd w:id="43"/>
      <w:r w:rsidRPr="00C53010">
        <w:rPr>
          <w:lang w:val="es-ES"/>
        </w:rPr>
        <w:t>Sistema de información de la BR</w:t>
      </w:r>
    </w:p>
    <w:p w:rsidR="00E50353" w:rsidRPr="00C53010" w:rsidRDefault="00E50353" w:rsidP="00E50353">
      <w:pPr>
        <w:rPr>
          <w:lang w:val="es-ES"/>
        </w:rPr>
      </w:pPr>
      <w:bookmarkStart w:id="44" w:name="lt_pId332"/>
      <w:r w:rsidRPr="00C53010">
        <w:rPr>
          <w:lang w:val="es-ES"/>
        </w:rPr>
        <w:t>En su 19ª reunión (2012)</w:t>
      </w:r>
      <w:r w:rsidR="001B0E79">
        <w:rPr>
          <w:lang w:val="es-ES"/>
        </w:rPr>
        <w:t xml:space="preserve">, </w:t>
      </w:r>
      <w:r w:rsidRPr="00C53010">
        <w:rPr>
          <w:lang w:val="es-ES"/>
        </w:rPr>
        <w:t>el GAR aconsejó al Director que aplicase las medidas recomendadas en los plazos propuestos</w:t>
      </w:r>
      <w:r w:rsidR="001B0E79">
        <w:rPr>
          <w:lang w:val="es-ES"/>
        </w:rPr>
        <w:t xml:space="preserve">, </w:t>
      </w:r>
      <w:r w:rsidRPr="00C53010">
        <w:rPr>
          <w:lang w:val="es-ES"/>
        </w:rPr>
        <w:t>como se describe en la hoja de ruta</w:t>
      </w:r>
      <w:r w:rsidR="001B0E79">
        <w:rPr>
          <w:lang w:val="es-ES"/>
        </w:rPr>
        <w:t xml:space="preserve">, </w:t>
      </w:r>
      <w:r w:rsidRPr="00C53010">
        <w:rPr>
          <w:lang w:val="es-ES"/>
        </w:rPr>
        <w:t>que comprenden la Fase 1 (Aplicación de las decisiones de la CMR</w:t>
      </w:r>
      <w:r w:rsidRPr="00C53010">
        <w:rPr>
          <w:lang w:val="es-ES"/>
        </w:rPr>
        <w:noBreakHyphen/>
        <w:t>12) hasta el 31 de diciembre de 2012</w:t>
      </w:r>
      <w:r w:rsidR="001B0E79">
        <w:rPr>
          <w:lang w:val="es-ES"/>
        </w:rPr>
        <w:t xml:space="preserve">, </w:t>
      </w:r>
      <w:r w:rsidRPr="00C53010">
        <w:rPr>
          <w:lang w:val="es-ES"/>
        </w:rPr>
        <w:t>la Fase 2 (Reescribir parte del software existente) hasta el 31 de diciembre de 2015 y la Fase 3 (Crear un equipo de proyecto para implementar un marco común</w:t>
      </w:r>
      <w:r w:rsidR="001B0E79">
        <w:rPr>
          <w:lang w:val="es-ES"/>
        </w:rPr>
        <w:t xml:space="preserve">, </w:t>
      </w:r>
      <w:r w:rsidRPr="00C53010">
        <w:rPr>
          <w:lang w:val="es-ES"/>
        </w:rPr>
        <w:t>un sistema de seguridad y una base de datos espacial centralizada) desde el 1 de enero de 2016 hasta el 31 de diciembre de 2018. El GAR alentó a los Estados Miembros y a los Miembros de Sector a formular comentarios sobre la Fase 3.</w:t>
      </w:r>
    </w:p>
    <w:p w:rsidR="00FA7C73" w:rsidRPr="00C53010" w:rsidRDefault="00E50353" w:rsidP="007D31EE">
      <w:pPr>
        <w:rPr>
          <w:lang w:val="es-ES"/>
        </w:rPr>
      </w:pPr>
      <w:r w:rsidRPr="00C53010">
        <w:rPr>
          <w:lang w:val="es-ES"/>
        </w:rPr>
        <w:t>El Informe sobre los avances logrados en esta cuestión se facilita en el Anexo 1 al presente documento. A continuación se presentan otras actividades en curso.</w:t>
      </w:r>
      <w:bookmarkEnd w:id="44"/>
    </w:p>
    <w:p w:rsidR="00FA7C73" w:rsidRPr="00C53010" w:rsidRDefault="00FA7C73" w:rsidP="007D31EE">
      <w:pPr>
        <w:pStyle w:val="Heading2"/>
        <w:rPr>
          <w:lang w:val="es-ES"/>
        </w:rPr>
      </w:pPr>
      <w:bookmarkStart w:id="45" w:name="_Toc446060770"/>
      <w:r w:rsidRPr="00C53010">
        <w:rPr>
          <w:lang w:val="es-ES"/>
        </w:rPr>
        <w:t>7.1</w:t>
      </w:r>
      <w:r w:rsidRPr="00C53010">
        <w:rPr>
          <w:lang w:val="es-ES"/>
        </w:rPr>
        <w:tab/>
        <w:t xml:space="preserve">Software </w:t>
      </w:r>
      <w:r w:rsidR="007D31EE" w:rsidRPr="00C53010">
        <w:rPr>
          <w:lang w:val="es-ES"/>
        </w:rPr>
        <w:t>desarrollado para los servicios espaciales</w:t>
      </w:r>
    </w:p>
    <w:p w:rsidR="00FA7C73" w:rsidRPr="00C53010" w:rsidRDefault="00FA7C73" w:rsidP="00E3515B">
      <w:pPr>
        <w:pStyle w:val="Heading3"/>
        <w:rPr>
          <w:lang w:val="es-ES"/>
        </w:rPr>
      </w:pPr>
      <w:r w:rsidRPr="00C53010">
        <w:rPr>
          <w:lang w:val="es-ES"/>
        </w:rPr>
        <w:t>7.1.1</w:t>
      </w:r>
      <w:r w:rsidRPr="00C53010">
        <w:rPr>
          <w:lang w:val="es-ES"/>
        </w:rPr>
        <w:tab/>
      </w:r>
      <w:r w:rsidR="007D31EE" w:rsidRPr="00C53010">
        <w:rPr>
          <w:lang w:val="es-ES"/>
        </w:rPr>
        <w:t>Aplicación de la Resolución 186 (Busán</w:t>
      </w:r>
      <w:r w:rsidR="001B0E79">
        <w:rPr>
          <w:lang w:val="es-ES"/>
        </w:rPr>
        <w:t xml:space="preserve">, </w:t>
      </w:r>
      <w:r w:rsidRPr="00C53010">
        <w:rPr>
          <w:lang w:val="es-ES"/>
        </w:rPr>
        <w:t>2014)</w:t>
      </w:r>
      <w:bookmarkEnd w:id="45"/>
    </w:p>
    <w:p w:rsidR="00FA7C73" w:rsidRPr="00C53010" w:rsidRDefault="007D31EE" w:rsidP="007D31EE">
      <w:pPr>
        <w:rPr>
          <w:lang w:val="es-ES"/>
        </w:rPr>
      </w:pPr>
      <w:bookmarkStart w:id="46" w:name="lt_pId341"/>
      <w:r w:rsidRPr="00C53010">
        <w:rPr>
          <w:lang w:val="es-ES"/>
        </w:rPr>
        <w:t>La BR ha seguido desarrollando y revisando los requisitos de implementación de una base de datos y de la aplicación web correspondiente para la notificación y publicación de casos de interferencia perjudicial para los servicios espaciales (SIRRS). El sistema estará disponible para pruebas externas a finales del primer trimestre de 201</w:t>
      </w:r>
      <w:bookmarkEnd w:id="46"/>
      <w:r w:rsidRPr="00C53010">
        <w:rPr>
          <w:lang w:val="es-ES"/>
        </w:rPr>
        <w:t>8</w:t>
      </w:r>
      <w:r w:rsidR="00FA7C73" w:rsidRPr="00C53010">
        <w:rPr>
          <w:lang w:val="es-ES"/>
        </w:rPr>
        <w:t>.</w:t>
      </w:r>
    </w:p>
    <w:p w:rsidR="00FA7C73" w:rsidRPr="00C53010" w:rsidRDefault="00FA7C73" w:rsidP="003863D6">
      <w:pPr>
        <w:pStyle w:val="Heading3"/>
        <w:rPr>
          <w:lang w:val="es-ES"/>
        </w:rPr>
      </w:pPr>
      <w:r w:rsidRPr="00C53010">
        <w:rPr>
          <w:lang w:val="es-ES"/>
        </w:rPr>
        <w:lastRenderedPageBreak/>
        <w:t>7.1.2</w:t>
      </w:r>
      <w:r w:rsidRPr="00C53010">
        <w:rPr>
          <w:lang w:val="es-ES"/>
        </w:rPr>
        <w:tab/>
      </w:r>
      <w:r w:rsidR="007D31EE" w:rsidRPr="00C53010">
        <w:rPr>
          <w:lang w:val="es-ES"/>
        </w:rPr>
        <w:t>Integración del software de validación de la DFPE</w:t>
      </w:r>
    </w:p>
    <w:p w:rsidR="007D31EE" w:rsidRPr="00C53010" w:rsidRDefault="007D31EE" w:rsidP="007D31EE">
      <w:pPr>
        <w:rPr>
          <w:lang w:val="es-ES"/>
        </w:rPr>
      </w:pPr>
      <w:bookmarkStart w:id="47" w:name="lt_pId348"/>
      <w:r w:rsidRPr="00C53010">
        <w:rPr>
          <w:lang w:val="es-ES"/>
        </w:rPr>
        <w:t>En su Carta Circular CR/414 (6 de diciembre de 2016)</w:t>
      </w:r>
      <w:r w:rsidR="001B0E79">
        <w:rPr>
          <w:lang w:val="es-ES"/>
        </w:rPr>
        <w:t xml:space="preserve">, </w:t>
      </w:r>
      <w:r w:rsidRPr="00C53010">
        <w:rPr>
          <w:lang w:val="es-ES"/>
        </w:rPr>
        <w:t xml:space="preserve">la Oficina ofrece a las administraciones y otros usuarios información y orientación sobre el software de validación de la DFPE y la aplicación del </w:t>
      </w:r>
      <w:r w:rsidRPr="00C53010">
        <w:rPr>
          <w:i/>
          <w:iCs/>
          <w:lang w:val="es-ES"/>
        </w:rPr>
        <w:t>encarga al Director de la Oficina de Radiocomunicaciones</w:t>
      </w:r>
      <w:r w:rsidRPr="00C53010">
        <w:rPr>
          <w:lang w:val="es-ES"/>
        </w:rPr>
        <w:t xml:space="preserve"> de la Resolución </w:t>
      </w:r>
      <w:r w:rsidRPr="00C53010">
        <w:rPr>
          <w:b/>
          <w:bCs/>
          <w:lang w:val="es-ES"/>
        </w:rPr>
        <w:t>85 (CMR-03)</w:t>
      </w:r>
      <w:r w:rsidRPr="00C53010">
        <w:rPr>
          <w:lang w:val="es-ES"/>
        </w:rPr>
        <w:t>.</w:t>
      </w:r>
      <w:bookmarkEnd w:id="47"/>
    </w:p>
    <w:p w:rsidR="007D31EE" w:rsidRPr="00C53010" w:rsidRDefault="007D31EE" w:rsidP="007D31EE">
      <w:pPr>
        <w:rPr>
          <w:lang w:val="es-ES"/>
        </w:rPr>
      </w:pPr>
      <w:bookmarkStart w:id="48" w:name="lt_pId349"/>
      <w:r w:rsidRPr="00C53010">
        <w:rPr>
          <w:lang w:val="es-ES"/>
        </w:rPr>
        <w:t xml:space="preserve">De conformidad con los </w:t>
      </w:r>
      <w:r w:rsidRPr="00C53010">
        <w:rPr>
          <w:i/>
          <w:iCs/>
          <w:lang w:val="es-ES"/>
        </w:rPr>
        <w:t>encarga al Director de la Oficina de Radiocomunicaciones</w:t>
      </w:r>
      <w:r w:rsidRPr="00C53010">
        <w:rPr>
          <w:lang w:val="es-ES"/>
        </w:rPr>
        <w:t xml:space="preserve"> 2 y 3 de la Resolución </w:t>
      </w:r>
      <w:r w:rsidRPr="00C53010">
        <w:rPr>
          <w:b/>
          <w:bCs/>
          <w:lang w:val="es-ES"/>
        </w:rPr>
        <w:t>85 (CMR-03)</w:t>
      </w:r>
      <w:r w:rsidR="001B0E79">
        <w:rPr>
          <w:lang w:val="es-ES"/>
        </w:rPr>
        <w:t xml:space="preserve">, </w:t>
      </w:r>
      <w:r w:rsidRPr="00C53010">
        <w:rPr>
          <w:lang w:val="es-ES"/>
        </w:rPr>
        <w:t>la Oficina ha iniciado un examen de sus conclusiones con arreglo a los números </w:t>
      </w:r>
      <w:r w:rsidRPr="00C53010">
        <w:rPr>
          <w:b/>
          <w:bCs/>
          <w:lang w:val="es-ES"/>
        </w:rPr>
        <w:t>9.35</w:t>
      </w:r>
      <w:r w:rsidR="001B0E79">
        <w:rPr>
          <w:lang w:val="es-ES"/>
        </w:rPr>
        <w:t xml:space="preserve">, </w:t>
      </w:r>
      <w:r w:rsidRPr="00C53010">
        <w:rPr>
          <w:b/>
          <w:bCs/>
          <w:lang w:val="es-ES"/>
        </w:rPr>
        <w:t>11.31</w:t>
      </w:r>
      <w:r w:rsidR="001B0E79">
        <w:rPr>
          <w:lang w:val="es-ES"/>
        </w:rPr>
        <w:t xml:space="preserve">, </w:t>
      </w:r>
      <w:r w:rsidRPr="00C53010">
        <w:rPr>
          <w:b/>
          <w:bCs/>
          <w:lang w:val="es-ES"/>
        </w:rPr>
        <w:t>9.7A</w:t>
      </w:r>
      <w:r w:rsidRPr="00C53010">
        <w:rPr>
          <w:lang w:val="es-ES"/>
        </w:rPr>
        <w:t xml:space="preserve"> y </w:t>
      </w:r>
      <w:r w:rsidRPr="00C53010">
        <w:rPr>
          <w:b/>
          <w:bCs/>
          <w:lang w:val="es-ES"/>
        </w:rPr>
        <w:t>9.7B</w:t>
      </w:r>
      <w:r w:rsidRPr="00C53010">
        <w:rPr>
          <w:lang w:val="es-ES"/>
        </w:rPr>
        <w:t>. A tal efecto</w:t>
      </w:r>
      <w:r w:rsidR="001B0E79">
        <w:rPr>
          <w:lang w:val="es-ES"/>
        </w:rPr>
        <w:t xml:space="preserve">, </w:t>
      </w:r>
      <w:r w:rsidRPr="00C53010">
        <w:rPr>
          <w:lang w:val="es-ES"/>
        </w:rPr>
        <w:t>en marzo de 2017 la Oficina se puso en contacto por separado con cada administración que había presentado sistemas de satélites no OSG del SFS</w:t>
      </w:r>
      <w:r w:rsidR="001B0E79">
        <w:rPr>
          <w:lang w:val="es-ES"/>
        </w:rPr>
        <w:t xml:space="preserve">, </w:t>
      </w:r>
      <w:r w:rsidRPr="00C53010">
        <w:rPr>
          <w:lang w:val="es-ES"/>
        </w:rPr>
        <w:t xml:space="preserve">que incluían asignaciones de frecuencias con conclusiones favorables de conformidad con la Resolución </w:t>
      </w:r>
      <w:r w:rsidRPr="00C53010">
        <w:rPr>
          <w:b/>
          <w:bCs/>
          <w:lang w:val="es-ES"/>
        </w:rPr>
        <w:t>85 (CMR-03)</w:t>
      </w:r>
      <w:r w:rsidR="001B0E79">
        <w:rPr>
          <w:lang w:val="es-ES"/>
        </w:rPr>
        <w:t xml:space="preserve">, </w:t>
      </w:r>
      <w:r w:rsidRPr="00C53010">
        <w:rPr>
          <w:lang w:val="es-ES"/>
        </w:rPr>
        <w:t>y solici</w:t>
      </w:r>
      <w:r w:rsidR="00021810">
        <w:rPr>
          <w:lang w:val="es-ES"/>
        </w:rPr>
        <w:t>t</w:t>
      </w:r>
      <w:r w:rsidRPr="00C53010">
        <w:rPr>
          <w:lang w:val="es-ES"/>
        </w:rPr>
        <w:t>ó los datos de la DFP y de la máscara de p.i.r.e.</w:t>
      </w:r>
      <w:bookmarkStart w:id="49" w:name="lt_pId350"/>
      <w:bookmarkEnd w:id="48"/>
      <w:r w:rsidR="001B0E79">
        <w:rPr>
          <w:lang w:val="es-ES"/>
        </w:rPr>
        <w:t xml:space="preserve">, </w:t>
      </w:r>
      <w:r w:rsidRPr="00C53010">
        <w:rPr>
          <w:lang w:val="es-ES"/>
        </w:rPr>
        <w:t>así como los datos que faltan del Apéndice 4</w:t>
      </w:r>
      <w:bookmarkEnd w:id="49"/>
      <w:r w:rsidRPr="00C53010">
        <w:rPr>
          <w:lang w:val="es-ES"/>
        </w:rPr>
        <w:t>.</w:t>
      </w:r>
    </w:p>
    <w:p w:rsidR="00FA7C73" w:rsidRPr="00C53010" w:rsidRDefault="007D31EE" w:rsidP="00E3515B">
      <w:pPr>
        <w:rPr>
          <w:lang w:val="es-ES"/>
        </w:rPr>
      </w:pPr>
      <w:r w:rsidRPr="00C53010">
        <w:rPr>
          <w:lang w:val="es-ES"/>
        </w:rPr>
        <w:t>Habida cuenta de la falta de respuesta de la administración notificante</w:t>
      </w:r>
      <w:r w:rsidR="001B0E79">
        <w:rPr>
          <w:lang w:val="es-ES"/>
        </w:rPr>
        <w:t xml:space="preserve">, </w:t>
      </w:r>
      <w:r w:rsidRPr="00C53010">
        <w:rPr>
          <w:lang w:val="es-ES"/>
        </w:rPr>
        <w:t>l</w:t>
      </w:r>
      <w:r w:rsidR="000D4137" w:rsidRPr="00C53010">
        <w:rPr>
          <w:lang w:val="es-ES"/>
        </w:rPr>
        <w:t xml:space="preserve">a Oficina </w:t>
      </w:r>
      <w:r w:rsidRPr="00C53010">
        <w:rPr>
          <w:lang w:val="es-ES"/>
        </w:rPr>
        <w:t xml:space="preserve">observó que algunas </w:t>
      </w:r>
      <w:r w:rsidR="000D4137" w:rsidRPr="00C53010">
        <w:rPr>
          <w:lang w:val="es-ES"/>
        </w:rPr>
        <w:t xml:space="preserve">notificaciones </w:t>
      </w:r>
      <w:r w:rsidRPr="00C53010">
        <w:rPr>
          <w:lang w:val="es-ES"/>
        </w:rPr>
        <w:t xml:space="preserve">de satélite estaban </w:t>
      </w:r>
      <w:r w:rsidR="000D4137" w:rsidRPr="00C53010">
        <w:rPr>
          <w:lang w:val="es-ES"/>
        </w:rPr>
        <w:t>están incompletas y las correspondientes asignaciones de frecuencias</w:t>
      </w:r>
      <w:r w:rsidR="001B0E79">
        <w:rPr>
          <w:lang w:val="es-ES"/>
        </w:rPr>
        <w:t xml:space="preserve">, </w:t>
      </w:r>
      <w:r w:rsidRPr="00C53010">
        <w:rPr>
          <w:lang w:val="es-ES"/>
        </w:rPr>
        <w:t xml:space="preserve">que estaban </w:t>
      </w:r>
      <w:r w:rsidR="000D4137" w:rsidRPr="00C53010">
        <w:rPr>
          <w:lang w:val="es-ES"/>
        </w:rPr>
        <w:t xml:space="preserve">sujetas a la Resolución </w:t>
      </w:r>
      <w:r w:rsidR="000D4137" w:rsidRPr="00C53010">
        <w:rPr>
          <w:b/>
          <w:bCs/>
          <w:lang w:val="es-ES"/>
        </w:rPr>
        <w:t>85 (CMR-03)</w:t>
      </w:r>
      <w:r w:rsidRPr="00C53010">
        <w:rPr>
          <w:lang w:val="es-ES"/>
        </w:rPr>
        <w:t xml:space="preserve"> se consideraron por tanto</w:t>
      </w:r>
      <w:r w:rsidR="000D4137" w:rsidRPr="00C53010">
        <w:rPr>
          <w:lang w:val="es-ES"/>
        </w:rPr>
        <w:t xml:space="preserve"> inadmisibles</w:t>
      </w:r>
      <w:r w:rsidRPr="00C53010">
        <w:rPr>
          <w:lang w:val="es-ES"/>
        </w:rPr>
        <w:t xml:space="preserve"> por no haber recibido la información solicitada</w:t>
      </w:r>
      <w:r w:rsidR="000D4137" w:rsidRPr="00C53010">
        <w:rPr>
          <w:lang w:val="es-ES"/>
        </w:rPr>
        <w:t xml:space="preserve">. La Oficina </w:t>
      </w:r>
      <w:r w:rsidRPr="00C53010">
        <w:rPr>
          <w:lang w:val="es-ES"/>
        </w:rPr>
        <w:t xml:space="preserve">informó </w:t>
      </w:r>
      <w:r w:rsidR="000D4137" w:rsidRPr="00C53010">
        <w:rPr>
          <w:lang w:val="es-ES"/>
        </w:rPr>
        <w:t xml:space="preserve">a las administraciones de esas notificaciones no OSG de que las asignaciones </w:t>
      </w:r>
      <w:r w:rsidRPr="00C53010">
        <w:rPr>
          <w:lang w:val="es-ES"/>
        </w:rPr>
        <w:t xml:space="preserve">del caso </w:t>
      </w:r>
      <w:r w:rsidR="000D4137" w:rsidRPr="00C53010">
        <w:rPr>
          <w:lang w:val="es-ES"/>
        </w:rPr>
        <w:t>no son admisibles y las ha devuelto.</w:t>
      </w:r>
    </w:p>
    <w:p w:rsidR="00FA7C73" w:rsidRPr="00C53010" w:rsidRDefault="00021810" w:rsidP="00E3515B">
      <w:pPr>
        <w:rPr>
          <w:lang w:val="es-ES"/>
        </w:rPr>
      </w:pPr>
      <w:r>
        <w:rPr>
          <w:lang w:val="es-ES"/>
        </w:rPr>
        <w:t xml:space="preserve">La Oficina ha comenzado a publicar los resultados del examen de la DFPE junto con la DFP y las máscaras de p.i.r.e. y las bases de datos de examen en la </w:t>
      </w:r>
      <w:r w:rsidR="00FA7C73" w:rsidRPr="00C53010">
        <w:rPr>
          <w:lang w:val="es-ES"/>
        </w:rPr>
        <w:t>BR IFIC 2862 (</w:t>
      </w:r>
      <w:r>
        <w:rPr>
          <w:lang w:val="es-ES"/>
        </w:rPr>
        <w:t>Servicios espaciales</w:t>
      </w:r>
      <w:r w:rsidR="00FA7C73" w:rsidRPr="00C53010">
        <w:rPr>
          <w:lang w:val="es-ES"/>
        </w:rPr>
        <w:t xml:space="preserve">). </w:t>
      </w:r>
      <w:r>
        <w:rPr>
          <w:lang w:val="es-ES"/>
        </w:rPr>
        <w:t>Esta información está igualmente disponible en la siguiente página web de la BR</w:t>
      </w:r>
      <w:r w:rsidR="00FA7C73" w:rsidRPr="00C53010">
        <w:rPr>
          <w:lang w:val="es-ES"/>
        </w:rPr>
        <w:t xml:space="preserve">: </w:t>
      </w:r>
      <w:hyperlink r:id="rId28" w:history="1">
        <w:r w:rsidR="00FA7C73" w:rsidRPr="00C53010">
          <w:rPr>
            <w:rStyle w:val="Hyperlink"/>
            <w:lang w:val="es-ES"/>
          </w:rPr>
          <w:t>https://www.itu.int/ITU-R/g</w:t>
        </w:r>
        <w:r w:rsidR="00FA7C73" w:rsidRPr="00C53010">
          <w:rPr>
            <w:rStyle w:val="Hyperlink"/>
            <w:lang w:val="es-ES"/>
          </w:rPr>
          <w:t>o</w:t>
        </w:r>
        <w:r w:rsidR="00FA7C73" w:rsidRPr="00C53010">
          <w:rPr>
            <w:rStyle w:val="Hyperlink"/>
            <w:lang w:val="es-ES"/>
          </w:rPr>
          <w:t>/space-epfd-data</w:t>
        </w:r>
      </w:hyperlink>
      <w:r w:rsidR="00FA7C73" w:rsidRPr="00C53010">
        <w:rPr>
          <w:lang w:val="es-ES"/>
        </w:rPr>
        <w:t xml:space="preserve">. </w:t>
      </w:r>
      <w:r>
        <w:rPr>
          <w:lang w:val="es-ES"/>
        </w:rPr>
        <w:t>Como se informó a la 76ª reunión de la Junta del Reglamento de Radiocomunicaciones</w:t>
      </w:r>
      <w:r w:rsidR="001B0E79">
        <w:rPr>
          <w:lang w:val="es-ES"/>
        </w:rPr>
        <w:t xml:space="preserve">, </w:t>
      </w:r>
      <w:r>
        <w:rPr>
          <w:lang w:val="es-ES"/>
        </w:rPr>
        <w:t>para los sistemas de redes de satélite que requieren mucho tiempo de cálculo</w:t>
      </w:r>
      <w:r w:rsidR="001B0E79">
        <w:rPr>
          <w:lang w:val="es-ES"/>
        </w:rPr>
        <w:t xml:space="preserve">, </w:t>
      </w:r>
      <w:r>
        <w:rPr>
          <w:lang w:val="es-ES"/>
        </w:rPr>
        <w:t xml:space="preserve">la lista de los requisitos de coordinación con arreglo al número </w:t>
      </w:r>
      <w:r w:rsidR="00FA7C73" w:rsidRPr="00C53010">
        <w:rPr>
          <w:b/>
          <w:bCs/>
          <w:lang w:val="es-ES"/>
        </w:rPr>
        <w:t>9.7B</w:t>
      </w:r>
      <w:r w:rsidR="00FA7C73" w:rsidRPr="00C53010">
        <w:rPr>
          <w:lang w:val="es-ES"/>
        </w:rPr>
        <w:t xml:space="preserve"> </w:t>
      </w:r>
      <w:r>
        <w:rPr>
          <w:lang w:val="es-ES"/>
        </w:rPr>
        <w:t>se publicará en dos etapas</w:t>
      </w:r>
      <w:r w:rsidR="001B0E79">
        <w:rPr>
          <w:lang w:val="es-ES"/>
        </w:rPr>
        <w:t xml:space="preserve">, </w:t>
      </w:r>
      <w:r>
        <w:rPr>
          <w:lang w:val="es-ES"/>
        </w:rPr>
        <w:t>a fin de evitar demoras en todo el proceso</w:t>
      </w:r>
      <w:r w:rsidR="00FA7C73" w:rsidRPr="00C53010">
        <w:rPr>
          <w:rFonts w:cstheme="majorBidi"/>
          <w:lang w:val="es-ES"/>
        </w:rPr>
        <w:t xml:space="preserve">. </w:t>
      </w:r>
    </w:p>
    <w:p w:rsidR="00FA7C73" w:rsidRPr="00C53010" w:rsidRDefault="002002CB" w:rsidP="00E3515B">
      <w:pPr>
        <w:rPr>
          <w:lang w:val="es-ES"/>
        </w:rPr>
      </w:pPr>
      <w:bookmarkStart w:id="50" w:name="_Toc446060775"/>
      <w:r w:rsidRPr="00C53010">
        <w:rPr>
          <w:lang w:val="es-ES"/>
        </w:rPr>
        <w:t>Para dos notificaciones de satélites</w:t>
      </w:r>
      <w:r w:rsidR="001B0E79">
        <w:rPr>
          <w:lang w:val="es-ES"/>
        </w:rPr>
        <w:t xml:space="preserve">, </w:t>
      </w:r>
      <w:r w:rsidRPr="00C53010">
        <w:rPr>
          <w:lang w:val="es-ES"/>
        </w:rPr>
        <w:t xml:space="preserve">la Oficina ha recibido la solicitud de seguir aplicando la Resolución </w:t>
      </w:r>
      <w:r w:rsidRPr="00C53010">
        <w:rPr>
          <w:b/>
          <w:bCs/>
          <w:lang w:val="es-ES"/>
        </w:rPr>
        <w:t>85 (CMR-03)</w:t>
      </w:r>
      <w:r w:rsidR="001B0E79">
        <w:rPr>
          <w:lang w:val="es-ES"/>
        </w:rPr>
        <w:t xml:space="preserve">, </w:t>
      </w:r>
      <w:r w:rsidRPr="00C53010">
        <w:rPr>
          <w:lang w:val="es-ES"/>
        </w:rPr>
        <w:t>manteniendo al mismo tiempo la conclusión calificada favorable. Una vez conocida la información sobre la constelación de esos sistemas de satélites facilitada por la administración responsable</w:t>
      </w:r>
      <w:r w:rsidR="001B0E79">
        <w:rPr>
          <w:lang w:val="es-ES"/>
        </w:rPr>
        <w:t xml:space="preserve">, </w:t>
      </w:r>
      <w:r w:rsidRPr="00C53010">
        <w:rPr>
          <w:lang w:val="es-ES"/>
        </w:rPr>
        <w:t>el Grupo de Trabajo 4</w:t>
      </w:r>
      <w:r w:rsidR="002270A4">
        <w:rPr>
          <w:lang w:val="es-ES"/>
        </w:rPr>
        <w:t>A</w:t>
      </w:r>
      <w:r w:rsidR="0067236E">
        <w:rPr>
          <w:lang w:val="es-ES"/>
        </w:rPr>
        <w:t xml:space="preserve"> del UIT-R</w:t>
      </w:r>
      <w:r w:rsidRPr="00C53010">
        <w:rPr>
          <w:lang w:val="es-ES"/>
        </w:rPr>
        <w:t xml:space="preserve"> ya ha empezado a mejorar la metodología de la Recomendación UIT-R S.1503-2 a fin lograr una modelización más adecuada de las constelaciones de esas notificaciones.</w:t>
      </w:r>
      <w:r w:rsidR="00FA7C73" w:rsidRPr="00C53010">
        <w:rPr>
          <w:lang w:val="es-ES"/>
        </w:rPr>
        <w:t xml:space="preserve"> </w:t>
      </w:r>
      <w:r w:rsidR="00021810">
        <w:rPr>
          <w:lang w:val="es-ES"/>
        </w:rPr>
        <w:t>Una vez se disponga de la versión actualizada del software de validación de la DFPE que implementa esta versión</w:t>
      </w:r>
      <w:r w:rsidR="001B0E79">
        <w:rPr>
          <w:lang w:val="es-ES"/>
        </w:rPr>
        <w:t xml:space="preserve">, </w:t>
      </w:r>
      <w:r w:rsidR="00021810">
        <w:rPr>
          <w:lang w:val="es-ES"/>
        </w:rPr>
        <w:t xml:space="preserve">se revisarán las conclusiones favorables cualificadas con arreglo a la Resolución </w:t>
      </w:r>
      <w:r w:rsidR="00FA7C73" w:rsidRPr="00C53010">
        <w:rPr>
          <w:b/>
          <w:bCs/>
          <w:lang w:val="es-ES"/>
        </w:rPr>
        <w:t>85 (</w:t>
      </w:r>
      <w:r w:rsidR="00021810">
        <w:rPr>
          <w:b/>
          <w:bCs/>
          <w:lang w:val="es-ES"/>
        </w:rPr>
        <w:t>CMR</w:t>
      </w:r>
      <w:r w:rsidR="00FA7C73" w:rsidRPr="00C53010">
        <w:rPr>
          <w:b/>
          <w:bCs/>
          <w:lang w:val="es-ES"/>
        </w:rPr>
        <w:t>-03)</w:t>
      </w:r>
      <w:r w:rsidR="00FA7C73" w:rsidRPr="00C53010">
        <w:rPr>
          <w:lang w:val="es-ES"/>
        </w:rPr>
        <w:t xml:space="preserve">. </w:t>
      </w:r>
    </w:p>
    <w:p w:rsidR="00FA7C73" w:rsidRPr="00C53010" w:rsidRDefault="000D4137" w:rsidP="00E3515B">
      <w:pPr>
        <w:rPr>
          <w:lang w:val="es-ES"/>
        </w:rPr>
      </w:pPr>
      <w:r w:rsidRPr="00C53010">
        <w:rPr>
          <w:lang w:val="es-ES"/>
        </w:rPr>
        <w:t xml:space="preserve">La Oficina ha concluido contratos de mantenimiento </w:t>
      </w:r>
      <w:r w:rsidR="00897C38">
        <w:rPr>
          <w:lang w:val="es-ES"/>
        </w:rPr>
        <w:t xml:space="preserve">hasta julio de 2018 </w:t>
      </w:r>
      <w:r w:rsidRPr="00C53010">
        <w:rPr>
          <w:lang w:val="es-ES"/>
        </w:rPr>
        <w:t>con las dos empresas de software que crearon los paquetes de software de validación de la dfpe. En virtud de esos contratos es necesario identificar y resolver las dificultades causadas por datos inesperados</w:t>
      </w:r>
      <w:r w:rsidR="001B0E79">
        <w:rPr>
          <w:lang w:val="es-ES"/>
        </w:rPr>
        <w:t xml:space="preserve">, </w:t>
      </w:r>
      <w:r w:rsidRPr="00C53010">
        <w:rPr>
          <w:lang w:val="es-ES"/>
        </w:rPr>
        <w:t>solucionar los problemas que encuentra el software al examinar determinados casos e introducir mejoras en el programa. En el actual pliego de condiciones se prevén las siguientes mejoras:</w:t>
      </w:r>
    </w:p>
    <w:p w:rsidR="000D4137" w:rsidRPr="00E3515B" w:rsidRDefault="000D4137" w:rsidP="00E3515B">
      <w:pPr>
        <w:pStyle w:val="enumlev1"/>
      </w:pPr>
      <w:r w:rsidRPr="00C53010">
        <w:rPr>
          <w:lang w:val="es-ES"/>
        </w:rPr>
        <w:t>1)</w:t>
      </w:r>
      <w:r w:rsidRPr="00C53010">
        <w:rPr>
          <w:lang w:val="es-ES"/>
        </w:rPr>
        <w:tab/>
      </w:r>
      <w:r w:rsidRPr="00E3515B">
        <w:t>garantía de la coherencia en el cálculo alfa/X;</w:t>
      </w:r>
    </w:p>
    <w:p w:rsidR="000D4137" w:rsidRPr="00E3515B" w:rsidRDefault="000D4137" w:rsidP="00E3515B">
      <w:pPr>
        <w:pStyle w:val="enumlev1"/>
      </w:pPr>
      <w:r w:rsidRPr="00E3515B">
        <w:t>2)</w:t>
      </w:r>
      <w:r w:rsidRPr="00E3515B">
        <w:tab/>
        <w:t>mejora del rendimiento (optimización del tiempo utilizado</w:t>
      </w:r>
      <w:r w:rsidR="001B0E79">
        <w:t xml:space="preserve">, </w:t>
      </w:r>
      <w:r w:rsidRPr="00E3515B">
        <w:t>optimización del hardware);</w:t>
      </w:r>
    </w:p>
    <w:p w:rsidR="000D4137" w:rsidRPr="00E3515B" w:rsidRDefault="000D4137" w:rsidP="00E3515B">
      <w:pPr>
        <w:pStyle w:val="enumlev1"/>
      </w:pPr>
      <w:r w:rsidRPr="00E3515B">
        <w:t>3)</w:t>
      </w:r>
      <w:r w:rsidRPr="00E3515B">
        <w:tab/>
        <w:t>introducción de una opción para seleccionar el examen que se ha de ejecutar (es decir</w:t>
      </w:r>
      <w:r w:rsidR="001B0E79">
        <w:t xml:space="preserve">, </w:t>
      </w:r>
      <w:r w:rsidRPr="00E3515B">
        <w:t>no ejecutarlos todos);</w:t>
      </w:r>
    </w:p>
    <w:p w:rsidR="000D4137" w:rsidRPr="00E3515B" w:rsidRDefault="000D4137" w:rsidP="00E3515B">
      <w:pPr>
        <w:pStyle w:val="enumlev1"/>
      </w:pPr>
      <w:r w:rsidRPr="00E3515B">
        <w:t>4)</w:t>
      </w:r>
      <w:r w:rsidRPr="00E3515B">
        <w:tab/>
        <w:t>prueba de ejecución de la herramienta en el formato de la base de datos SNS v8 y su modificación</w:t>
      </w:r>
      <w:r w:rsidR="001B0E79">
        <w:t xml:space="preserve">, </w:t>
      </w:r>
      <w:r w:rsidRPr="00E3515B">
        <w:t>si procede;</w:t>
      </w:r>
    </w:p>
    <w:p w:rsidR="00FA7C73" w:rsidRPr="00C53010" w:rsidRDefault="000D4137" w:rsidP="00E3515B">
      <w:pPr>
        <w:pStyle w:val="enumlev1"/>
        <w:rPr>
          <w:lang w:val="es-ES"/>
        </w:rPr>
      </w:pPr>
      <w:r w:rsidRPr="00E3515B">
        <w:t>5)</w:t>
      </w:r>
      <w:r w:rsidRPr="00E3515B">
        <w:tab/>
        <w:t>presentación del resultado de la función de distribución de probabilidades en la base de datos de resultados</w:t>
      </w:r>
      <w:r w:rsidRPr="00C53010">
        <w:rPr>
          <w:lang w:val="es-ES"/>
        </w:rPr>
        <w:t>.</w:t>
      </w:r>
    </w:p>
    <w:p w:rsidR="00FA7C73" w:rsidRPr="00C53010" w:rsidRDefault="00021810" w:rsidP="00E3515B">
      <w:pPr>
        <w:rPr>
          <w:lang w:val="es-ES"/>
        </w:rPr>
      </w:pPr>
      <w:r>
        <w:rPr>
          <w:lang w:val="es-ES"/>
        </w:rPr>
        <w:t xml:space="preserve">La versión actualizada del </w:t>
      </w:r>
      <w:r w:rsidR="00FA7C73" w:rsidRPr="00C53010">
        <w:rPr>
          <w:lang w:val="es-ES"/>
        </w:rPr>
        <w:t xml:space="preserve">software </w:t>
      </w:r>
      <w:r>
        <w:rPr>
          <w:lang w:val="es-ES"/>
        </w:rPr>
        <w:t xml:space="preserve">se publicó en la </w:t>
      </w:r>
      <w:r w:rsidR="00FA7C73" w:rsidRPr="00C53010">
        <w:rPr>
          <w:lang w:val="es-ES"/>
        </w:rPr>
        <w:t xml:space="preserve">BR IFIC 2860 (12.12.2017). </w:t>
      </w:r>
    </w:p>
    <w:p w:rsidR="002002CB" w:rsidRPr="00C53010" w:rsidRDefault="002002CB" w:rsidP="00E3515B">
      <w:pPr>
        <w:rPr>
          <w:lang w:val="es-ES"/>
        </w:rPr>
      </w:pPr>
      <w:bookmarkStart w:id="51" w:name="_Toc446060771"/>
      <w:r w:rsidRPr="00C53010">
        <w:rPr>
          <w:lang w:val="es-ES"/>
        </w:rPr>
        <w:lastRenderedPageBreak/>
        <w:t>Dado que los fondos atribuidos a los contratos de mantenimiento son muy limitados</w:t>
      </w:r>
      <w:r w:rsidR="001B0E79">
        <w:rPr>
          <w:lang w:val="es-ES"/>
        </w:rPr>
        <w:t xml:space="preserve">, </w:t>
      </w:r>
      <w:r w:rsidRPr="00C53010">
        <w:rPr>
          <w:lang w:val="es-ES"/>
        </w:rPr>
        <w:t>la Oficina prevé que los fondos se agoten pronto</w:t>
      </w:r>
      <w:r w:rsidR="001B0E79">
        <w:rPr>
          <w:lang w:val="es-ES"/>
        </w:rPr>
        <w:t xml:space="preserve">, </w:t>
      </w:r>
      <w:r w:rsidRPr="00C53010">
        <w:rPr>
          <w:lang w:val="es-ES"/>
        </w:rPr>
        <w:t>mientras la Oficina progresa paulatinamente con cada caso que se ha de examinar. Por consiguiente</w:t>
      </w:r>
      <w:r w:rsidR="001B0E79">
        <w:rPr>
          <w:lang w:val="es-ES"/>
        </w:rPr>
        <w:t xml:space="preserve">, </w:t>
      </w:r>
      <w:r w:rsidRPr="00C53010">
        <w:rPr>
          <w:lang w:val="es-ES"/>
        </w:rPr>
        <w:t>la Oficina considera la posibilidad de concluir contratos a largo plazo para el soporte y proceder a la mejora de la metodología de la Recomendación UIT-R</w:t>
      </w:r>
      <w:r w:rsidRPr="00C53010">
        <w:rPr>
          <w:bCs/>
          <w:smallCaps/>
          <w:lang w:val="es-ES"/>
        </w:rPr>
        <w:t xml:space="preserve"> S.1503.</w:t>
      </w:r>
    </w:p>
    <w:p w:rsidR="00FA7C73" w:rsidRPr="00C53010" w:rsidRDefault="00FA7C73" w:rsidP="005330D2">
      <w:pPr>
        <w:pStyle w:val="Heading2"/>
        <w:rPr>
          <w:lang w:val="es-ES"/>
        </w:rPr>
      </w:pPr>
      <w:r w:rsidRPr="00C53010">
        <w:rPr>
          <w:lang w:val="es-ES"/>
        </w:rPr>
        <w:t>7.2</w:t>
      </w:r>
      <w:r w:rsidRPr="00C53010">
        <w:rPr>
          <w:lang w:val="es-ES"/>
        </w:rPr>
        <w:tab/>
      </w:r>
      <w:bookmarkEnd w:id="51"/>
      <w:r w:rsidR="005330D2" w:rsidRPr="00C53010">
        <w:rPr>
          <w:lang w:val="es-ES"/>
        </w:rPr>
        <w:t xml:space="preserve">Software desarrollado para los servicios </w:t>
      </w:r>
      <w:r w:rsidR="005330D2">
        <w:rPr>
          <w:lang w:val="es-ES"/>
        </w:rPr>
        <w:t>terrenales</w:t>
      </w:r>
    </w:p>
    <w:p w:rsidR="00FA7C73" w:rsidRPr="00C53010" w:rsidRDefault="00E3515B" w:rsidP="00E3515B">
      <w:pPr>
        <w:pStyle w:val="Heading3"/>
        <w:rPr>
          <w:lang w:val="es-ES"/>
        </w:rPr>
      </w:pPr>
      <w:r>
        <w:rPr>
          <w:lang w:val="es-ES"/>
        </w:rPr>
        <w:t>7.2.1</w:t>
      </w:r>
      <w:r>
        <w:rPr>
          <w:lang w:val="es-ES"/>
        </w:rPr>
        <w:tab/>
      </w:r>
      <w:r w:rsidR="005330D2">
        <w:rPr>
          <w:lang w:val="es-ES"/>
        </w:rPr>
        <w:t xml:space="preserve">Aplicación del número </w:t>
      </w:r>
      <w:r w:rsidR="00FA7C73" w:rsidRPr="00C53010">
        <w:rPr>
          <w:lang w:val="es-ES"/>
        </w:rPr>
        <w:t xml:space="preserve">of 9.19 </w:t>
      </w:r>
      <w:r w:rsidR="005330D2">
        <w:rPr>
          <w:lang w:val="es-ES"/>
        </w:rPr>
        <w:t xml:space="preserve">del Reglamento de Radiocomunicaciones </w:t>
      </w:r>
    </w:p>
    <w:p w:rsidR="00FA7C73" w:rsidRPr="00C53010" w:rsidRDefault="009552CB" w:rsidP="00E3515B">
      <w:pPr>
        <w:rPr>
          <w:lang w:val="es-ES"/>
        </w:rPr>
      </w:pPr>
      <w:r>
        <w:rPr>
          <w:lang w:val="es-ES"/>
        </w:rPr>
        <w:t xml:space="preserve">La Oficina ha terminado de desarrollar el módulo </w:t>
      </w:r>
      <w:r w:rsidR="00FA7C73" w:rsidRPr="00C53010">
        <w:rPr>
          <w:lang w:val="es-ES"/>
        </w:rPr>
        <w:t xml:space="preserve">software </w:t>
      </w:r>
      <w:r>
        <w:rPr>
          <w:lang w:val="es-ES"/>
        </w:rPr>
        <w:t xml:space="preserve">para la tramitación de notificaciones de servicios terrenales con arreglo a la nueva </w:t>
      </w:r>
      <w:r w:rsidR="00FA7C73" w:rsidRPr="00C53010">
        <w:rPr>
          <w:lang w:val="es-ES"/>
        </w:rPr>
        <w:t>R</w:t>
      </w:r>
      <w:r>
        <w:rPr>
          <w:lang w:val="es-ES"/>
        </w:rPr>
        <w:t>d</w:t>
      </w:r>
      <w:r w:rsidR="00FA7C73" w:rsidRPr="00C53010">
        <w:rPr>
          <w:lang w:val="es-ES"/>
        </w:rPr>
        <w:t xml:space="preserve">P </w:t>
      </w:r>
      <w:r>
        <w:rPr>
          <w:lang w:val="es-ES"/>
        </w:rPr>
        <w:t xml:space="preserve">relativa al número </w:t>
      </w:r>
      <w:r w:rsidR="00FA7C73" w:rsidRPr="00C53010">
        <w:rPr>
          <w:b/>
          <w:bCs/>
          <w:lang w:val="es-ES"/>
        </w:rPr>
        <w:t>9.19</w:t>
      </w:r>
      <w:r>
        <w:rPr>
          <w:b/>
          <w:bCs/>
          <w:lang w:val="es-ES"/>
        </w:rPr>
        <w:t xml:space="preserve"> </w:t>
      </w:r>
      <w:r w:rsidRPr="009552CB">
        <w:rPr>
          <w:lang w:val="es-ES"/>
        </w:rPr>
        <w:t>del RR</w:t>
      </w:r>
      <w:r w:rsidR="00FA7C73" w:rsidRPr="00C53010">
        <w:rPr>
          <w:lang w:val="es-ES"/>
        </w:rPr>
        <w:t>.</w:t>
      </w:r>
    </w:p>
    <w:p w:rsidR="00FA7C73" w:rsidRPr="00C53010" w:rsidRDefault="00E3515B" w:rsidP="00E3515B">
      <w:pPr>
        <w:pStyle w:val="Heading3"/>
        <w:rPr>
          <w:lang w:val="es-ES"/>
        </w:rPr>
      </w:pPr>
      <w:r>
        <w:rPr>
          <w:lang w:val="es-ES"/>
        </w:rPr>
        <w:t>7.2.2</w:t>
      </w:r>
      <w:r>
        <w:rPr>
          <w:lang w:val="es-ES"/>
        </w:rPr>
        <w:tab/>
      </w:r>
      <w:r w:rsidR="009552CB">
        <w:rPr>
          <w:lang w:val="es-ES"/>
        </w:rPr>
        <w:t xml:space="preserve">Integración de la verificación de la densidad espectral de potencia para las notificaciones del servicio de radiodifusión con arreglo al número </w:t>
      </w:r>
      <w:r w:rsidR="00FA7C73" w:rsidRPr="00C53010">
        <w:rPr>
          <w:lang w:val="es-ES"/>
        </w:rPr>
        <w:t xml:space="preserve">5.1.3 </w:t>
      </w:r>
      <w:r w:rsidR="009552CB">
        <w:rPr>
          <w:lang w:val="es-ES"/>
        </w:rPr>
        <w:t xml:space="preserve">del Acuerdo </w:t>
      </w:r>
      <w:r w:rsidR="00FA7C73" w:rsidRPr="00C53010">
        <w:rPr>
          <w:lang w:val="es-ES"/>
        </w:rPr>
        <w:t xml:space="preserve">GE06 </w:t>
      </w:r>
    </w:p>
    <w:p w:rsidR="00FA7C73" w:rsidRPr="00C53010" w:rsidRDefault="009552CB" w:rsidP="00E3515B">
      <w:pPr>
        <w:rPr>
          <w:szCs w:val="24"/>
          <w:lang w:val="es-ES"/>
        </w:rPr>
      </w:pPr>
      <w:r>
        <w:rPr>
          <w:lang w:val="es-ES"/>
        </w:rPr>
        <w:t xml:space="preserve">Se han actualizado las herramientas pertinentes de la </w:t>
      </w:r>
      <w:r w:rsidR="00FA7C73" w:rsidRPr="00C53010">
        <w:rPr>
          <w:lang w:val="es-ES"/>
        </w:rPr>
        <w:t xml:space="preserve">BR </w:t>
      </w:r>
      <w:r>
        <w:rPr>
          <w:lang w:val="es-ES"/>
        </w:rPr>
        <w:t xml:space="preserve">para realizar la verificación de los criterios especificados en el número </w:t>
      </w:r>
      <w:r w:rsidR="00FA7C73" w:rsidRPr="00C53010">
        <w:rPr>
          <w:lang w:val="es-ES"/>
        </w:rPr>
        <w:t xml:space="preserve">5.1.3 </w:t>
      </w:r>
      <w:r>
        <w:rPr>
          <w:lang w:val="es-ES"/>
        </w:rPr>
        <w:t>del Acuerdo</w:t>
      </w:r>
      <w:r w:rsidR="00FA7C73" w:rsidRPr="00C53010">
        <w:rPr>
          <w:lang w:val="es-ES"/>
        </w:rPr>
        <w:t xml:space="preserve"> GE06 </w:t>
      </w:r>
      <w:r>
        <w:rPr>
          <w:lang w:val="es-ES"/>
        </w:rPr>
        <w:t xml:space="preserve">de conformidad con el Apéndice </w:t>
      </w:r>
      <w:r w:rsidR="00FA7C73" w:rsidRPr="00C53010">
        <w:rPr>
          <w:lang w:val="es-ES"/>
        </w:rPr>
        <w:t xml:space="preserve">4 </w:t>
      </w:r>
      <w:r>
        <w:rPr>
          <w:lang w:val="es-ES"/>
        </w:rPr>
        <w:t xml:space="preserve">del </w:t>
      </w:r>
      <w:r w:rsidR="00FA7C73" w:rsidRPr="00C53010">
        <w:rPr>
          <w:lang w:val="es-ES"/>
        </w:rPr>
        <w:t xml:space="preserve">RR </w:t>
      </w:r>
      <w:r>
        <w:rPr>
          <w:lang w:val="es-ES"/>
        </w:rPr>
        <w:t xml:space="preserve">y el número </w:t>
      </w:r>
      <w:r w:rsidR="00FA7C73" w:rsidRPr="00C53010">
        <w:rPr>
          <w:lang w:val="es-ES"/>
        </w:rPr>
        <w:t xml:space="preserve">5.1.3 </w:t>
      </w:r>
      <w:r>
        <w:rPr>
          <w:lang w:val="es-ES"/>
        </w:rPr>
        <w:t xml:space="preserve">de la </w:t>
      </w:r>
      <w:r w:rsidR="00FA7C73" w:rsidRPr="00C53010">
        <w:rPr>
          <w:lang w:val="es-ES"/>
        </w:rPr>
        <w:t>Part</w:t>
      </w:r>
      <w:r>
        <w:rPr>
          <w:lang w:val="es-ES"/>
        </w:rPr>
        <w:t>e</w:t>
      </w:r>
      <w:r w:rsidR="00FA7C73" w:rsidRPr="00C53010">
        <w:rPr>
          <w:lang w:val="es-ES"/>
        </w:rPr>
        <w:t xml:space="preserve"> A10</w:t>
      </w:r>
      <w:r>
        <w:rPr>
          <w:lang w:val="es-ES"/>
        </w:rPr>
        <w:t xml:space="preserve"> de la RdP</w:t>
      </w:r>
      <w:r w:rsidR="00FA7C73" w:rsidRPr="00C53010">
        <w:rPr>
          <w:lang w:val="es-ES"/>
        </w:rPr>
        <w:t xml:space="preserve">. </w:t>
      </w:r>
    </w:p>
    <w:p w:rsidR="00FA7C73" w:rsidRPr="00C53010" w:rsidRDefault="00E3515B" w:rsidP="00E3515B">
      <w:pPr>
        <w:pStyle w:val="Heading3"/>
        <w:rPr>
          <w:szCs w:val="24"/>
          <w:lang w:val="es-ES" w:eastAsia="zh-CN"/>
        </w:rPr>
      </w:pPr>
      <w:r>
        <w:rPr>
          <w:lang w:val="es-ES"/>
        </w:rPr>
        <w:t>7.2.3</w:t>
      </w:r>
      <w:r>
        <w:rPr>
          <w:lang w:val="es-ES"/>
        </w:rPr>
        <w:tab/>
      </w:r>
      <w:r w:rsidR="00FA7C73" w:rsidRPr="00E3515B">
        <w:t>Software</w:t>
      </w:r>
      <w:r w:rsidR="00FA7C73" w:rsidRPr="00C53010">
        <w:rPr>
          <w:lang w:val="es-ES" w:eastAsia="zh-CN"/>
        </w:rPr>
        <w:t xml:space="preserve"> </w:t>
      </w:r>
      <w:r w:rsidR="009552CB" w:rsidRPr="00C53010">
        <w:rPr>
          <w:lang w:val="es-ES" w:eastAsia="zh-CN"/>
        </w:rPr>
        <w:t>HFBC</w:t>
      </w:r>
    </w:p>
    <w:p w:rsidR="00FA7C73" w:rsidRPr="00C53010" w:rsidRDefault="009552CB" w:rsidP="00E3515B">
      <w:pPr>
        <w:rPr>
          <w:lang w:val="es-ES"/>
        </w:rPr>
      </w:pPr>
      <w:r>
        <w:rPr>
          <w:lang w:val="es-ES"/>
        </w:rPr>
        <w:t xml:space="preserve">A fin de facilitar la coordinación y el intercambio de datos entre notificadores </w:t>
      </w:r>
      <w:r w:rsidR="00FA7C73" w:rsidRPr="00C53010">
        <w:rPr>
          <w:lang w:val="es-ES"/>
        </w:rPr>
        <w:t>HFBC</w:t>
      </w:r>
      <w:r w:rsidR="001B0E79">
        <w:rPr>
          <w:lang w:val="es-ES"/>
        </w:rPr>
        <w:t xml:space="preserve">, </w:t>
      </w:r>
      <w:r>
        <w:rPr>
          <w:lang w:val="es-ES"/>
        </w:rPr>
        <w:t xml:space="preserve">la Oficina tomó la decisión de interrumpir las publicaciones en </w:t>
      </w:r>
      <w:r w:rsidR="00FA7C73" w:rsidRPr="00C53010">
        <w:rPr>
          <w:lang w:val="es-ES"/>
        </w:rPr>
        <w:t xml:space="preserve">CD-ROM </w:t>
      </w:r>
      <w:r>
        <w:rPr>
          <w:lang w:val="es-ES"/>
        </w:rPr>
        <w:t xml:space="preserve">a partir de finales de </w:t>
      </w:r>
      <w:r w:rsidR="00FA7C73" w:rsidRPr="00C53010">
        <w:rPr>
          <w:lang w:val="es-ES"/>
        </w:rPr>
        <w:t xml:space="preserve">2018 </w:t>
      </w:r>
      <w:r>
        <w:rPr>
          <w:lang w:val="es-ES"/>
        </w:rPr>
        <w:t xml:space="preserve">y poner a disposición en línea y gratuitamente el </w:t>
      </w:r>
      <w:r>
        <w:rPr>
          <w:color w:val="000000"/>
        </w:rPr>
        <w:t xml:space="preserve">horario estacional de radiodifusión por ondas decamétricas y </w:t>
      </w:r>
      <w:r>
        <w:rPr>
          <w:lang w:val="es-ES"/>
        </w:rPr>
        <w:t>los resultados de la compatibilidad</w:t>
      </w:r>
      <w:r w:rsidR="00FA7C73" w:rsidRPr="00C53010">
        <w:rPr>
          <w:lang w:val="es-ES"/>
        </w:rPr>
        <w:t>.</w:t>
      </w:r>
    </w:p>
    <w:p w:rsidR="00FA7C73" w:rsidRPr="00C53010" w:rsidRDefault="009552CB" w:rsidP="00E3515B">
      <w:pPr>
        <w:rPr>
          <w:lang w:val="es-ES"/>
        </w:rPr>
      </w:pPr>
      <w:r>
        <w:rPr>
          <w:lang w:val="es-ES"/>
        </w:rPr>
        <w:t>A tal efecto</w:t>
      </w:r>
      <w:r w:rsidR="001B0E79">
        <w:rPr>
          <w:lang w:val="es-ES"/>
        </w:rPr>
        <w:t xml:space="preserve">, </w:t>
      </w:r>
      <w:r>
        <w:rPr>
          <w:lang w:val="es-ES"/>
        </w:rPr>
        <w:t xml:space="preserve">se prevé realizar la transición del actual software de procesamiento y usuario final HFBC de </w:t>
      </w:r>
      <w:r w:rsidR="00FA7C73" w:rsidRPr="00C53010">
        <w:rPr>
          <w:lang w:val="es-ES"/>
        </w:rPr>
        <w:t xml:space="preserve">Visual Basic </w:t>
      </w:r>
      <w:r>
        <w:rPr>
          <w:lang w:val="es-ES"/>
        </w:rPr>
        <w:t>a</w:t>
      </w:r>
      <w:r w:rsidR="00FA7C73" w:rsidRPr="00C53010">
        <w:rPr>
          <w:lang w:val="es-ES"/>
        </w:rPr>
        <w:t xml:space="preserve"> C# </w:t>
      </w:r>
      <w:r>
        <w:rPr>
          <w:lang w:val="es-ES"/>
        </w:rPr>
        <w:t xml:space="preserve">y comenzar la publicación en línea de los horarios </w:t>
      </w:r>
      <w:r w:rsidR="00FA7C73" w:rsidRPr="00C53010">
        <w:rPr>
          <w:lang w:val="es-ES"/>
        </w:rPr>
        <w:t xml:space="preserve">HFBC </w:t>
      </w:r>
      <w:r>
        <w:rPr>
          <w:lang w:val="es-ES"/>
        </w:rPr>
        <w:t xml:space="preserve">a partir de </w:t>
      </w:r>
      <w:r w:rsidR="00FA7C73" w:rsidRPr="00C53010">
        <w:rPr>
          <w:lang w:val="es-ES"/>
        </w:rPr>
        <w:t>2019.</w:t>
      </w:r>
    </w:p>
    <w:p w:rsidR="00FA7C73" w:rsidRPr="00C53010" w:rsidRDefault="00E3515B" w:rsidP="00E3515B">
      <w:pPr>
        <w:pStyle w:val="Heading3"/>
        <w:rPr>
          <w:lang w:val="es-ES"/>
        </w:rPr>
      </w:pPr>
      <w:r>
        <w:rPr>
          <w:lang w:val="es-ES"/>
        </w:rPr>
        <w:t>7.2.4</w:t>
      </w:r>
      <w:r>
        <w:rPr>
          <w:lang w:val="es-ES"/>
        </w:rPr>
        <w:tab/>
      </w:r>
      <w:r w:rsidR="009552CB">
        <w:rPr>
          <w:lang w:val="es-ES" w:eastAsia="zh-CN"/>
        </w:rPr>
        <w:t xml:space="preserve">Software de análisis de compatibilidad para la planificación de la televisión digital terrenal </w:t>
      </w:r>
      <w:r w:rsidR="00FA7C73" w:rsidRPr="00C53010">
        <w:rPr>
          <w:lang w:val="es-ES"/>
        </w:rPr>
        <w:t xml:space="preserve">(DTT) </w:t>
      </w:r>
      <w:r w:rsidR="009552CB">
        <w:rPr>
          <w:lang w:val="es-ES"/>
        </w:rPr>
        <w:t xml:space="preserve">en América </w:t>
      </w:r>
      <w:r w:rsidR="00FA7C73" w:rsidRPr="00C53010">
        <w:rPr>
          <w:lang w:val="es-ES"/>
        </w:rPr>
        <w:t xml:space="preserve">Central </w:t>
      </w:r>
      <w:r w:rsidR="009552CB">
        <w:rPr>
          <w:lang w:val="es-ES"/>
        </w:rPr>
        <w:t xml:space="preserve">y el Caribe </w:t>
      </w:r>
      <w:r w:rsidR="00FA7C73" w:rsidRPr="00C53010">
        <w:rPr>
          <w:lang w:val="es-ES"/>
        </w:rPr>
        <w:t>(CAC)</w:t>
      </w:r>
    </w:p>
    <w:p w:rsidR="00FA7C73" w:rsidRPr="00C53010" w:rsidRDefault="009552CB" w:rsidP="00E3515B">
      <w:pPr>
        <w:rPr>
          <w:szCs w:val="24"/>
          <w:lang w:val="es-ES"/>
        </w:rPr>
      </w:pPr>
      <w:r>
        <w:rPr>
          <w:lang w:val="es-ES"/>
        </w:rPr>
        <w:t xml:space="preserve">A fin de ayudar a la subregión de América Central y el Caribe a planificar la implantación de la televisión digital terrenal y otros servicios en las bandas </w:t>
      </w:r>
      <w:r>
        <w:rPr>
          <w:color w:val="000000"/>
        </w:rPr>
        <w:t>de ondas métricas/decimétricas</w:t>
      </w:r>
      <w:r w:rsidR="001B0E79">
        <w:rPr>
          <w:lang w:val="es-ES"/>
        </w:rPr>
        <w:t xml:space="preserve">, </w:t>
      </w:r>
      <w:r>
        <w:rPr>
          <w:lang w:val="es-ES"/>
        </w:rPr>
        <w:t xml:space="preserve">la Oficina ha desarrollado y mejorado el software de análisis de compatibilidad que fue creado por la Conferencia </w:t>
      </w:r>
      <w:r w:rsidR="00FA7C73" w:rsidRPr="00C53010">
        <w:rPr>
          <w:lang w:val="es-ES"/>
        </w:rPr>
        <w:t xml:space="preserve">GE06 </w:t>
      </w:r>
      <w:r>
        <w:rPr>
          <w:lang w:val="es-ES"/>
        </w:rPr>
        <w:t xml:space="preserve">y ha mejorado las anteriores actividades de planificación de frecuencia en la Región </w:t>
      </w:r>
      <w:r w:rsidR="00FA7C73" w:rsidRPr="00C53010">
        <w:rPr>
          <w:lang w:val="es-ES"/>
        </w:rPr>
        <w:t xml:space="preserve">1. </w:t>
      </w:r>
      <w:r>
        <w:rPr>
          <w:lang w:val="es-ES"/>
        </w:rPr>
        <w:t xml:space="preserve">El </w:t>
      </w:r>
      <w:r w:rsidR="00FA7C73" w:rsidRPr="00C53010">
        <w:rPr>
          <w:lang w:val="es-ES"/>
        </w:rPr>
        <w:t xml:space="preserve">software </w:t>
      </w:r>
      <w:r>
        <w:rPr>
          <w:lang w:val="es-ES"/>
        </w:rPr>
        <w:t xml:space="preserve">toma en consideración todas las normas </w:t>
      </w:r>
      <w:r w:rsidR="00FA7C73" w:rsidRPr="00C53010">
        <w:rPr>
          <w:lang w:val="es-ES"/>
        </w:rPr>
        <w:t xml:space="preserve">DTT </w:t>
      </w:r>
      <w:r>
        <w:rPr>
          <w:lang w:val="es-ES"/>
        </w:rPr>
        <w:t xml:space="preserve">y los dos disposiciones de canales </w:t>
      </w:r>
      <w:r w:rsidR="00FA7C73" w:rsidRPr="00C53010">
        <w:rPr>
          <w:lang w:val="es-ES"/>
        </w:rPr>
        <w:t xml:space="preserve">(6 MHz </w:t>
      </w:r>
      <w:r>
        <w:rPr>
          <w:lang w:val="es-ES"/>
        </w:rPr>
        <w:t xml:space="preserve">y </w:t>
      </w:r>
      <w:r w:rsidR="00FA7C73" w:rsidRPr="00C53010">
        <w:rPr>
          <w:lang w:val="es-ES"/>
        </w:rPr>
        <w:t xml:space="preserve">8 MHz) </w:t>
      </w:r>
      <w:r>
        <w:rPr>
          <w:lang w:val="es-ES"/>
        </w:rPr>
        <w:t>utilizadas en la región</w:t>
      </w:r>
      <w:r w:rsidR="00FA7C73" w:rsidRPr="00C53010">
        <w:rPr>
          <w:lang w:val="es-ES"/>
        </w:rPr>
        <w:t xml:space="preserve">. </w:t>
      </w:r>
      <w:r>
        <w:rPr>
          <w:lang w:val="es-ES"/>
        </w:rPr>
        <w:t>Las herramientas software actuales son capaces de realizar</w:t>
      </w:r>
      <w:r w:rsidR="00FA7C73" w:rsidRPr="00C53010">
        <w:rPr>
          <w:lang w:val="es-ES"/>
        </w:rPr>
        <w:t xml:space="preserve">: </w:t>
      </w:r>
    </w:p>
    <w:p w:rsidR="00FA7C73" w:rsidRPr="00C17C65" w:rsidRDefault="00C17C65" w:rsidP="00C17C65">
      <w:pPr>
        <w:pStyle w:val="enumlev1"/>
        <w:rPr>
          <w:sz w:val="22"/>
          <w:lang w:eastAsia="zh-CN"/>
        </w:rPr>
      </w:pPr>
      <w:r>
        <w:rPr>
          <w:lang w:val="es-ES"/>
        </w:rPr>
        <w:t>•</w:t>
      </w:r>
      <w:r>
        <w:rPr>
          <w:lang w:val="es-ES"/>
        </w:rPr>
        <w:tab/>
      </w:r>
      <w:r w:rsidR="00E2424E">
        <w:rPr>
          <w:lang w:val="es-ES"/>
        </w:rPr>
        <w:t xml:space="preserve">Análisis de la compatibilidad </w:t>
      </w:r>
      <w:r w:rsidR="00FA7C73" w:rsidRPr="00C53010">
        <w:rPr>
          <w:lang w:val="es-ES"/>
        </w:rPr>
        <w:t>digital</w:t>
      </w:r>
      <w:r w:rsidR="00E2424E">
        <w:rPr>
          <w:lang w:val="es-ES"/>
        </w:rPr>
        <w:t xml:space="preserve"> a </w:t>
      </w:r>
      <w:r w:rsidR="00FA7C73" w:rsidRPr="00C53010">
        <w:rPr>
          <w:lang w:val="es-ES"/>
        </w:rPr>
        <w:t>digital</w:t>
      </w:r>
      <w:r w:rsidR="001B0E79">
        <w:rPr>
          <w:lang w:val="es-ES"/>
        </w:rPr>
        <w:t xml:space="preserve">, </w:t>
      </w:r>
      <w:r w:rsidR="00FA7C73" w:rsidRPr="00C53010">
        <w:rPr>
          <w:lang w:val="es-ES"/>
        </w:rPr>
        <w:t>digital</w:t>
      </w:r>
      <w:r w:rsidR="00E2424E">
        <w:rPr>
          <w:lang w:val="es-ES"/>
        </w:rPr>
        <w:t xml:space="preserve"> a analógico y analógico a digital</w:t>
      </w:r>
      <w:r>
        <w:rPr>
          <w:lang w:val="es-ES"/>
        </w:rPr>
        <w:t xml:space="preserve">. </w:t>
      </w:r>
      <w:r w:rsidR="00E2424E">
        <w:rPr>
          <w:lang w:val="es-ES"/>
        </w:rPr>
        <w:t xml:space="preserve">Disponible en </w:t>
      </w:r>
      <w:r w:rsidR="00FA7C73" w:rsidRPr="00C53010">
        <w:rPr>
          <w:lang w:val="es-ES"/>
        </w:rPr>
        <w:t>eTools</w:t>
      </w:r>
      <w:r w:rsidR="001B0E79">
        <w:rPr>
          <w:lang w:val="es-ES"/>
        </w:rPr>
        <w:t xml:space="preserve">, </w:t>
      </w:r>
      <w:r w:rsidR="00E2424E">
        <w:rPr>
          <w:lang w:val="es-ES"/>
        </w:rPr>
        <w:t>como cálculo por solicitud</w:t>
      </w:r>
      <w:r w:rsidR="00FA7C73" w:rsidRPr="00C53010">
        <w:rPr>
          <w:lang w:val="es-ES"/>
        </w:rPr>
        <w:t xml:space="preserve">; </w:t>
      </w:r>
    </w:p>
    <w:p w:rsidR="00FA7C73" w:rsidRPr="00C53010" w:rsidRDefault="00C17C65" w:rsidP="00C17C65">
      <w:pPr>
        <w:pStyle w:val="enumlev1"/>
        <w:rPr>
          <w:lang w:val="es-ES"/>
        </w:rPr>
      </w:pPr>
      <w:r>
        <w:rPr>
          <w:lang w:val="es-ES"/>
        </w:rPr>
        <w:t>•</w:t>
      </w:r>
      <w:r>
        <w:rPr>
          <w:lang w:val="es-ES"/>
        </w:rPr>
        <w:tab/>
      </w:r>
      <w:r w:rsidR="00E2424E">
        <w:rPr>
          <w:lang w:val="es-ES"/>
        </w:rPr>
        <w:t xml:space="preserve">Visualización e interpretación de los resultados del análisis de compatibilidad en el </w:t>
      </w:r>
      <w:r w:rsidR="00FA7C73" w:rsidRPr="00C53010">
        <w:rPr>
          <w:lang w:val="es-ES"/>
        </w:rPr>
        <w:t xml:space="preserve">software </w:t>
      </w:r>
      <w:r w:rsidR="00E2424E">
        <w:rPr>
          <w:lang w:val="es-ES"/>
        </w:rPr>
        <w:t xml:space="preserve">de visualización </w:t>
      </w:r>
      <w:r w:rsidR="00FA7C73" w:rsidRPr="00C53010">
        <w:rPr>
          <w:lang w:val="es-ES"/>
        </w:rPr>
        <w:t xml:space="preserve">CA_Display. </w:t>
      </w:r>
    </w:p>
    <w:p w:rsidR="00FA7C73" w:rsidRPr="00C53010" w:rsidRDefault="00E2424E" w:rsidP="00C17C65">
      <w:pPr>
        <w:rPr>
          <w:szCs w:val="24"/>
          <w:lang w:val="es-ES"/>
        </w:rPr>
      </w:pPr>
      <w:r>
        <w:rPr>
          <w:lang w:val="es-ES"/>
        </w:rPr>
        <w:t>La Oficina está trabajando en la realización del análisis de compatibilidad entre la radiodifusión digital y las estaciones fijo/móvil</w:t>
      </w:r>
      <w:r w:rsidR="00FA7C73" w:rsidRPr="00C53010">
        <w:rPr>
          <w:lang w:val="es-ES"/>
        </w:rPr>
        <w:t>.</w:t>
      </w:r>
    </w:p>
    <w:p w:rsidR="00FA7C73" w:rsidRPr="00C53010" w:rsidRDefault="00FA7C73" w:rsidP="00E2424E">
      <w:pPr>
        <w:pStyle w:val="Heading2"/>
        <w:rPr>
          <w:lang w:val="es-ES"/>
        </w:rPr>
      </w:pPr>
      <w:bookmarkStart w:id="52" w:name="_Toc446060772"/>
      <w:r w:rsidRPr="00C53010">
        <w:rPr>
          <w:lang w:val="es-ES"/>
        </w:rPr>
        <w:t>7.3</w:t>
      </w:r>
      <w:r w:rsidRPr="00C53010">
        <w:rPr>
          <w:lang w:val="es-ES"/>
        </w:rPr>
        <w:tab/>
      </w:r>
      <w:bookmarkEnd w:id="52"/>
      <w:r w:rsidR="00E2424E">
        <w:rPr>
          <w:lang w:val="es-ES"/>
        </w:rPr>
        <w:t>Otros desarrollos</w:t>
      </w:r>
    </w:p>
    <w:p w:rsidR="00FA7C73" w:rsidRPr="00C53010" w:rsidRDefault="00FA7C73" w:rsidP="00E2424E">
      <w:pPr>
        <w:pStyle w:val="Heading3"/>
        <w:rPr>
          <w:lang w:val="es-ES"/>
        </w:rPr>
      </w:pPr>
      <w:bookmarkStart w:id="53" w:name="_Toc444689399"/>
      <w:bookmarkStart w:id="54" w:name="_Toc446060773"/>
      <w:r w:rsidRPr="00C53010">
        <w:rPr>
          <w:lang w:val="es-ES"/>
        </w:rPr>
        <w:t>7.3.1</w:t>
      </w:r>
      <w:r w:rsidRPr="00C53010">
        <w:rPr>
          <w:lang w:val="es-ES"/>
        </w:rPr>
        <w:tab/>
      </w:r>
      <w:bookmarkEnd w:id="50"/>
      <w:bookmarkEnd w:id="53"/>
      <w:bookmarkEnd w:id="54"/>
      <w:r w:rsidR="00E2424E">
        <w:rPr>
          <w:lang w:val="es-ES"/>
        </w:rPr>
        <w:t>Progresos en el cumplimiento de la hoja de ruta de los sistemas de información espacial de la BR</w:t>
      </w:r>
      <w:r w:rsidRPr="00C53010">
        <w:rPr>
          <w:lang w:val="es-ES"/>
        </w:rPr>
        <w:t xml:space="preserve"> (</w:t>
      </w:r>
      <w:r w:rsidR="00E2424E">
        <w:rPr>
          <w:lang w:val="es-ES"/>
        </w:rPr>
        <w:t>GAR</w:t>
      </w:r>
      <w:r w:rsidRPr="00C53010">
        <w:rPr>
          <w:lang w:val="es-ES"/>
        </w:rPr>
        <w:t>-19</w:t>
      </w:r>
      <w:r w:rsidR="001B0E79">
        <w:rPr>
          <w:lang w:val="es-ES"/>
        </w:rPr>
        <w:t xml:space="preserve">, </w:t>
      </w:r>
      <w:r w:rsidRPr="00C53010">
        <w:rPr>
          <w:lang w:val="es-ES"/>
        </w:rPr>
        <w:t>2012)</w:t>
      </w:r>
    </w:p>
    <w:p w:rsidR="00C17C65" w:rsidRDefault="00E2424E" w:rsidP="00C17C65">
      <w:pPr>
        <w:pStyle w:val="enumlev1"/>
        <w:rPr>
          <w:lang w:val="es-ES"/>
        </w:rPr>
      </w:pPr>
      <w:r>
        <w:rPr>
          <w:lang w:val="es-ES"/>
        </w:rPr>
        <w:t>E</w:t>
      </w:r>
      <w:r w:rsidR="00FA7C73" w:rsidRPr="00C53010">
        <w:rPr>
          <w:lang w:val="es-ES"/>
        </w:rPr>
        <w:t>n 2017</w:t>
      </w:r>
      <w:r w:rsidR="001B0E79">
        <w:rPr>
          <w:lang w:val="es-ES"/>
        </w:rPr>
        <w:t xml:space="preserve">, </w:t>
      </w:r>
      <w:r>
        <w:rPr>
          <w:lang w:val="es-ES"/>
        </w:rPr>
        <w:t xml:space="preserve">la </w:t>
      </w:r>
      <w:r w:rsidR="00FA7C73" w:rsidRPr="00C53010">
        <w:rPr>
          <w:lang w:val="es-ES"/>
        </w:rPr>
        <w:t xml:space="preserve">BR </w:t>
      </w:r>
      <w:r>
        <w:rPr>
          <w:lang w:val="es-ES"/>
        </w:rPr>
        <w:t>tuvo que modificar urgentemente el software tradicional existente a fin de mejorar</w:t>
      </w:r>
      <w:r w:rsidR="00FA7C73" w:rsidRPr="00C53010">
        <w:rPr>
          <w:lang w:val="es-ES"/>
        </w:rPr>
        <w:t>:</w:t>
      </w:r>
    </w:p>
    <w:p w:rsidR="00FA7C73" w:rsidRPr="00C53010" w:rsidRDefault="00C17C65" w:rsidP="00C17C65">
      <w:pPr>
        <w:pStyle w:val="enumlev1"/>
        <w:rPr>
          <w:lang w:val="es-ES"/>
        </w:rPr>
      </w:pPr>
      <w:r>
        <w:rPr>
          <w:lang w:val="es-ES"/>
        </w:rPr>
        <w:lastRenderedPageBreak/>
        <w:t>–</w:t>
      </w:r>
      <w:r>
        <w:rPr>
          <w:lang w:val="es-ES"/>
        </w:rPr>
        <w:tab/>
      </w:r>
      <w:r w:rsidR="00E2424E">
        <w:rPr>
          <w:lang w:val="es-ES"/>
        </w:rPr>
        <w:t>Seguridad de las aplicaciones</w:t>
      </w:r>
      <w:r w:rsidR="00FA7C73" w:rsidRPr="00C53010">
        <w:rPr>
          <w:lang w:val="es-ES"/>
        </w:rPr>
        <w:t xml:space="preserve">: </w:t>
      </w:r>
      <w:r w:rsidR="00E2424E">
        <w:rPr>
          <w:lang w:val="es-ES"/>
        </w:rPr>
        <w:t xml:space="preserve">la </w:t>
      </w:r>
      <w:r w:rsidR="00FA7C73" w:rsidRPr="00C53010">
        <w:rPr>
          <w:lang w:val="es-ES"/>
        </w:rPr>
        <w:t xml:space="preserve">BR </w:t>
      </w:r>
      <w:r w:rsidR="00E2424E">
        <w:rPr>
          <w:lang w:val="es-ES"/>
        </w:rPr>
        <w:t xml:space="preserve">adoptó procesos para detectar y mitigar falsos positivos de </w:t>
      </w:r>
      <w:r w:rsidR="00FA7C73" w:rsidRPr="00C53010">
        <w:rPr>
          <w:lang w:val="es-ES"/>
        </w:rPr>
        <w:t>antivirus</w:t>
      </w:r>
      <w:r w:rsidR="001B0E79">
        <w:rPr>
          <w:lang w:val="es-ES"/>
        </w:rPr>
        <w:t xml:space="preserve">, </w:t>
      </w:r>
      <w:r w:rsidR="00E2424E">
        <w:rPr>
          <w:lang w:val="es-ES"/>
        </w:rPr>
        <w:t>y para introducir las firmas digitales de ficheros ejecutables y bases de datos</w:t>
      </w:r>
      <w:r w:rsidR="00FA7C73" w:rsidRPr="00C53010">
        <w:rPr>
          <w:lang w:val="es-ES"/>
        </w:rPr>
        <w:t>.</w:t>
      </w:r>
    </w:p>
    <w:p w:rsidR="00FA7C73" w:rsidRPr="00C53010" w:rsidRDefault="00C17C65" w:rsidP="00C17C65">
      <w:pPr>
        <w:pStyle w:val="enumlev1"/>
        <w:rPr>
          <w:lang w:val="es-ES"/>
        </w:rPr>
      </w:pPr>
      <w:r>
        <w:rPr>
          <w:lang w:val="es-ES"/>
        </w:rPr>
        <w:t>–</w:t>
      </w:r>
      <w:r>
        <w:rPr>
          <w:lang w:val="es-ES"/>
        </w:rPr>
        <w:tab/>
      </w:r>
      <w:r w:rsidR="00E2424E">
        <w:rPr>
          <w:lang w:val="es-ES"/>
        </w:rPr>
        <w:t xml:space="preserve">Capacidad y rendimiento del </w:t>
      </w:r>
      <w:r w:rsidR="00FA7C73" w:rsidRPr="00C53010">
        <w:rPr>
          <w:lang w:val="es-ES"/>
        </w:rPr>
        <w:t xml:space="preserve">software </w:t>
      </w:r>
      <w:r w:rsidR="00E2424E">
        <w:rPr>
          <w:lang w:val="es-ES"/>
        </w:rPr>
        <w:t>de examen técnico</w:t>
      </w:r>
      <w:r w:rsidR="00FA7C73" w:rsidRPr="00C53010">
        <w:rPr>
          <w:lang w:val="es-ES"/>
        </w:rPr>
        <w:t xml:space="preserve">: </w:t>
      </w:r>
      <w:r w:rsidR="00E2424E">
        <w:rPr>
          <w:lang w:val="es-ES"/>
        </w:rPr>
        <w:t>e</w:t>
      </w:r>
      <w:r w:rsidR="00FA7C73" w:rsidRPr="00C53010">
        <w:rPr>
          <w:lang w:val="es-ES"/>
        </w:rPr>
        <w:t>n 2017</w:t>
      </w:r>
      <w:r w:rsidR="001B0E79">
        <w:rPr>
          <w:lang w:val="es-ES"/>
        </w:rPr>
        <w:t xml:space="preserve">, </w:t>
      </w:r>
      <w:r w:rsidR="00E2424E">
        <w:rPr>
          <w:lang w:val="es-ES"/>
        </w:rPr>
        <w:t>las administraciones presentaron redes OSG muy grandes</w:t>
      </w:r>
      <w:r w:rsidR="001B0E79">
        <w:rPr>
          <w:lang w:val="es-ES"/>
        </w:rPr>
        <w:t xml:space="preserve">, </w:t>
      </w:r>
      <w:r w:rsidR="00E2424E">
        <w:rPr>
          <w:lang w:val="es-ES"/>
        </w:rPr>
        <w:t>en las bandas planificadas o sin planificar</w:t>
      </w:r>
      <w:r w:rsidR="001B0E79">
        <w:rPr>
          <w:lang w:val="es-ES"/>
        </w:rPr>
        <w:t xml:space="preserve">, </w:t>
      </w:r>
      <w:r w:rsidR="00E2424E">
        <w:rPr>
          <w:lang w:val="es-ES"/>
        </w:rPr>
        <w:t xml:space="preserve">que rebasa con mucho los límites del </w:t>
      </w:r>
      <w:r w:rsidR="00FA7C73" w:rsidRPr="00C53010">
        <w:rPr>
          <w:lang w:val="es-ES"/>
        </w:rPr>
        <w:t>software</w:t>
      </w:r>
      <w:r w:rsidR="00E2424E">
        <w:rPr>
          <w:lang w:val="es-ES"/>
        </w:rPr>
        <w:t xml:space="preserve"> de examen existente</w:t>
      </w:r>
      <w:r w:rsidR="00FA7C73" w:rsidRPr="00C53010">
        <w:rPr>
          <w:lang w:val="es-ES"/>
        </w:rPr>
        <w:t xml:space="preserve">. </w:t>
      </w:r>
      <w:r w:rsidR="00E2424E">
        <w:rPr>
          <w:lang w:val="es-ES"/>
        </w:rPr>
        <w:t xml:space="preserve">Fueron necesarios varias personas-mes para rediseñar y probar el </w:t>
      </w:r>
      <w:r w:rsidR="00FA7C73" w:rsidRPr="00C53010">
        <w:rPr>
          <w:lang w:val="es-ES"/>
        </w:rPr>
        <w:t>software.</w:t>
      </w:r>
    </w:p>
    <w:p w:rsidR="00FA7C73" w:rsidRPr="00C53010" w:rsidRDefault="00E2424E" w:rsidP="00563D35">
      <w:pPr>
        <w:rPr>
          <w:lang w:val="es-ES"/>
        </w:rPr>
      </w:pPr>
      <w:r>
        <w:rPr>
          <w:lang w:val="es-ES"/>
        </w:rPr>
        <w:t>Además</w:t>
      </w:r>
      <w:r w:rsidR="001B0E79">
        <w:rPr>
          <w:lang w:val="es-ES"/>
        </w:rPr>
        <w:t xml:space="preserve">, </w:t>
      </w:r>
      <w:r>
        <w:rPr>
          <w:lang w:val="es-ES"/>
        </w:rPr>
        <w:t xml:space="preserve">la </w:t>
      </w:r>
      <w:r w:rsidR="00FA7C73" w:rsidRPr="00C53010">
        <w:rPr>
          <w:lang w:val="es-ES"/>
        </w:rPr>
        <w:t xml:space="preserve">BR </w:t>
      </w:r>
      <w:r>
        <w:rPr>
          <w:lang w:val="es-ES"/>
        </w:rPr>
        <w:t xml:space="preserve">comenzó a </w:t>
      </w:r>
      <w:r w:rsidR="00577D94">
        <w:rPr>
          <w:lang w:val="es-ES"/>
        </w:rPr>
        <w:t xml:space="preserve">aplicar el </w:t>
      </w:r>
      <w:r w:rsidR="00FA7C73" w:rsidRPr="00C53010">
        <w:rPr>
          <w:lang w:val="es-ES"/>
        </w:rPr>
        <w:t xml:space="preserve">software </w:t>
      </w:r>
      <w:r w:rsidR="00577D94">
        <w:rPr>
          <w:lang w:val="es-ES"/>
        </w:rPr>
        <w:t>de examen de la DF</w:t>
      </w:r>
      <w:r w:rsidR="00FA7C73" w:rsidRPr="00C53010">
        <w:rPr>
          <w:lang w:val="es-ES"/>
        </w:rPr>
        <w:t xml:space="preserve">P </w:t>
      </w:r>
      <w:r w:rsidR="00577D94">
        <w:rPr>
          <w:lang w:val="es-ES"/>
        </w:rPr>
        <w:t>para redes no OSG</w:t>
      </w:r>
      <w:r w:rsidR="001B0E79">
        <w:rPr>
          <w:lang w:val="es-ES"/>
        </w:rPr>
        <w:t xml:space="preserve">, </w:t>
      </w:r>
      <w:r w:rsidR="00577D94">
        <w:rPr>
          <w:lang w:val="es-ES"/>
        </w:rPr>
        <w:t>con mayor prioridad que el rediseño del software tradicional para exámenes de la DFP de redes OSG</w:t>
      </w:r>
      <w:r w:rsidR="00FA7C73" w:rsidRPr="00C53010">
        <w:rPr>
          <w:lang w:val="es-ES"/>
        </w:rPr>
        <w:t>.</w:t>
      </w:r>
    </w:p>
    <w:p w:rsidR="00FA7C73" w:rsidRPr="00C53010" w:rsidRDefault="00577D94" w:rsidP="00563D35">
      <w:pPr>
        <w:rPr>
          <w:lang w:val="es-ES"/>
        </w:rPr>
      </w:pPr>
      <w:r>
        <w:rPr>
          <w:lang w:val="es-ES"/>
        </w:rPr>
        <w:t>Por consiguiente</w:t>
      </w:r>
      <w:r w:rsidR="001B0E79">
        <w:rPr>
          <w:lang w:val="es-ES"/>
        </w:rPr>
        <w:t xml:space="preserve">, </w:t>
      </w:r>
      <w:r>
        <w:rPr>
          <w:lang w:val="es-ES"/>
        </w:rPr>
        <w:t>aunque e</w:t>
      </w:r>
      <w:r w:rsidRPr="00C53010">
        <w:rPr>
          <w:lang w:val="es-ES"/>
        </w:rPr>
        <w:t>n 2017</w:t>
      </w:r>
      <w:r>
        <w:rPr>
          <w:lang w:val="es-ES"/>
        </w:rPr>
        <w:t xml:space="preserve"> se han terminado en gran medida los cambios urgentes del software después de la CMR</w:t>
      </w:r>
      <w:r w:rsidR="00FA7C73" w:rsidRPr="00C53010">
        <w:rPr>
          <w:lang w:val="es-ES"/>
        </w:rPr>
        <w:t>-15</w:t>
      </w:r>
      <w:r w:rsidR="001B0E79">
        <w:rPr>
          <w:lang w:val="es-ES"/>
        </w:rPr>
        <w:t xml:space="preserve">, </w:t>
      </w:r>
      <w:r>
        <w:rPr>
          <w:lang w:val="es-ES"/>
        </w:rPr>
        <w:t xml:space="preserve">la </w:t>
      </w:r>
      <w:r w:rsidR="00FA7C73" w:rsidRPr="00C53010">
        <w:rPr>
          <w:lang w:val="es-ES"/>
        </w:rPr>
        <w:t xml:space="preserve">BR </w:t>
      </w:r>
      <w:r>
        <w:rPr>
          <w:lang w:val="es-ES"/>
        </w:rPr>
        <w:t>no pudo dedicar plenamente recursos a la realización de todas las mejoras propuestas a los sistemas de información espacial de la BR</w:t>
      </w:r>
      <w:r w:rsidR="001B0E79">
        <w:rPr>
          <w:lang w:val="es-ES"/>
        </w:rPr>
        <w:t xml:space="preserve">, </w:t>
      </w:r>
      <w:r>
        <w:rPr>
          <w:lang w:val="es-ES"/>
        </w:rPr>
        <w:t>como se describe en el Anexo 1 al presente documento</w:t>
      </w:r>
      <w:r w:rsidR="00FA7C73" w:rsidRPr="00C53010">
        <w:rPr>
          <w:lang w:val="es-ES"/>
        </w:rPr>
        <w:t>.</w:t>
      </w:r>
    </w:p>
    <w:p w:rsidR="00FA7C73" w:rsidRPr="00C53010" w:rsidRDefault="00FA7C73" w:rsidP="00235602">
      <w:pPr>
        <w:pStyle w:val="Heading3"/>
        <w:rPr>
          <w:lang w:val="es-ES"/>
        </w:rPr>
      </w:pPr>
      <w:r w:rsidRPr="00C53010">
        <w:rPr>
          <w:lang w:val="es-ES"/>
        </w:rPr>
        <w:t>7.3.2</w:t>
      </w:r>
      <w:r w:rsidRPr="00C53010">
        <w:rPr>
          <w:lang w:val="es-ES"/>
        </w:rPr>
        <w:tab/>
      </w:r>
      <w:r w:rsidR="00235602" w:rsidRPr="00C53010">
        <w:rPr>
          <w:lang w:val="es-ES"/>
        </w:rPr>
        <w:t>Derechos de propiedad intelectual (DPI</w:t>
      </w:r>
      <w:r w:rsidRPr="00C53010">
        <w:rPr>
          <w:lang w:val="es-ES"/>
        </w:rPr>
        <w:t>)</w:t>
      </w:r>
    </w:p>
    <w:p w:rsidR="00FA7C73" w:rsidRPr="00C53010" w:rsidRDefault="00235602" w:rsidP="00EB5C03">
      <w:pPr>
        <w:rPr>
          <w:lang w:val="es-ES"/>
        </w:rPr>
      </w:pPr>
      <w:r w:rsidRPr="00C53010">
        <w:rPr>
          <w:lang w:val="es-ES"/>
        </w:rPr>
        <w:t>En el marco de un proyecto común con la Oficina de Normalización de las Telecomunicaciones (TSB) y el Departamento IS</w:t>
      </w:r>
      <w:r w:rsidR="001B0E79">
        <w:rPr>
          <w:lang w:val="es-ES"/>
        </w:rPr>
        <w:t xml:space="preserve">, </w:t>
      </w:r>
      <w:r w:rsidRPr="00C53010">
        <w:rPr>
          <w:lang w:val="es-ES"/>
        </w:rPr>
        <w:t xml:space="preserve">la Oficina sigue trabajando en la necesaria armonización de las bases de datos de patentes UIT-R/UIT-T. Esta actividad sigue en curso (Véase </w:t>
      </w:r>
      <w:hyperlink r:id="rId29" w:history="1">
        <w:r w:rsidR="00EB5C03" w:rsidRPr="00C53010">
          <w:rPr>
            <w:rStyle w:val="Hyperlink"/>
            <w:lang w:val="es-ES"/>
          </w:rPr>
          <w:t>www.itu.i</w:t>
        </w:r>
        <w:r w:rsidR="00EB5C03" w:rsidRPr="00C53010">
          <w:rPr>
            <w:rStyle w:val="Hyperlink"/>
            <w:lang w:val="es-ES"/>
          </w:rPr>
          <w:t>n</w:t>
        </w:r>
        <w:r w:rsidR="00EB5C03" w:rsidRPr="00C53010">
          <w:rPr>
            <w:rStyle w:val="Hyperlink"/>
            <w:lang w:val="es-ES"/>
          </w:rPr>
          <w:t>t</w:t>
        </w:r>
        <w:r w:rsidR="00EB5C03" w:rsidRPr="00C53010">
          <w:rPr>
            <w:rStyle w:val="Hyperlink"/>
            <w:lang w:val="es-ES"/>
          </w:rPr>
          <w:t>/</w:t>
        </w:r>
        <w:r w:rsidR="00EB5C03" w:rsidRPr="00C53010">
          <w:rPr>
            <w:rStyle w:val="Hyperlink"/>
            <w:lang w:val="es-ES"/>
          </w:rPr>
          <w:t>ipr</w:t>
        </w:r>
      </w:hyperlink>
      <w:r w:rsidR="00FA7C73" w:rsidRPr="00C53010">
        <w:rPr>
          <w:lang w:val="es-ES"/>
        </w:rPr>
        <w:t>).</w:t>
      </w:r>
    </w:p>
    <w:p w:rsidR="00FA7C73" w:rsidRPr="00C53010" w:rsidRDefault="00FA7C73" w:rsidP="00577D94">
      <w:pPr>
        <w:pStyle w:val="Heading3"/>
        <w:rPr>
          <w:lang w:val="es-ES"/>
        </w:rPr>
      </w:pPr>
      <w:r w:rsidRPr="00C53010">
        <w:rPr>
          <w:lang w:val="es-ES"/>
        </w:rPr>
        <w:t>7.3.3</w:t>
      </w:r>
      <w:r w:rsidRPr="00C53010">
        <w:rPr>
          <w:lang w:val="es-ES"/>
        </w:rPr>
        <w:tab/>
      </w:r>
      <w:r w:rsidR="00577D94">
        <w:rPr>
          <w:lang w:val="es-ES"/>
        </w:rPr>
        <w:t xml:space="preserve">Desarrollo y mejora de herramientas </w:t>
      </w:r>
      <w:r w:rsidRPr="00C53010">
        <w:rPr>
          <w:lang w:val="es-ES"/>
        </w:rPr>
        <w:t xml:space="preserve">web </w:t>
      </w:r>
    </w:p>
    <w:p w:rsidR="00FA7C73" w:rsidRPr="00C53010" w:rsidRDefault="00577D94" w:rsidP="00563D35">
      <w:pPr>
        <w:rPr>
          <w:lang w:val="es-ES" w:eastAsia="zh-CN"/>
        </w:rPr>
      </w:pPr>
      <w:r>
        <w:rPr>
          <w:lang w:val="es-ES" w:eastAsia="zh-CN"/>
        </w:rPr>
        <w:t xml:space="preserve">En </w:t>
      </w:r>
      <w:r w:rsidR="00FA7C73" w:rsidRPr="00C53010">
        <w:rPr>
          <w:lang w:val="es-ES" w:eastAsia="zh-CN"/>
        </w:rPr>
        <w:t>2017</w:t>
      </w:r>
      <w:r w:rsidR="001B0E79">
        <w:rPr>
          <w:lang w:val="es-ES" w:eastAsia="zh-CN"/>
        </w:rPr>
        <w:t xml:space="preserve">, </w:t>
      </w:r>
      <w:r>
        <w:rPr>
          <w:lang w:val="es-ES" w:eastAsia="zh-CN"/>
        </w:rPr>
        <w:t xml:space="preserve">la Oficina siguió mejorando la </w:t>
      </w:r>
      <w:r>
        <w:rPr>
          <w:b/>
          <w:bCs/>
          <w:lang w:val="es-ES" w:eastAsia="zh-CN"/>
        </w:rPr>
        <w:t xml:space="preserve">plataforma </w:t>
      </w:r>
      <w:r w:rsidR="00FA7C73" w:rsidRPr="00C53010">
        <w:rPr>
          <w:b/>
          <w:bCs/>
          <w:lang w:val="es-ES" w:eastAsia="zh-CN"/>
        </w:rPr>
        <w:t xml:space="preserve">eBCD2.0 </w:t>
      </w:r>
      <w:r>
        <w:rPr>
          <w:lang w:val="es-ES" w:eastAsia="zh-CN"/>
        </w:rPr>
        <w:t>para servicios de radiodifusión terrenal</w:t>
      </w:r>
      <w:r w:rsidR="00FA7C73" w:rsidRPr="00C53010">
        <w:rPr>
          <w:lang w:val="es-ES" w:eastAsia="zh-CN"/>
        </w:rPr>
        <w:t xml:space="preserve">. </w:t>
      </w:r>
      <w:r>
        <w:rPr>
          <w:lang w:val="es-ES" w:eastAsia="zh-CN"/>
        </w:rPr>
        <w:t xml:space="preserve">Esta plataforma incluye los paquetes de </w:t>
      </w:r>
      <w:r w:rsidR="00FA7C73" w:rsidRPr="00C53010">
        <w:rPr>
          <w:lang w:val="es-ES" w:eastAsia="zh-CN"/>
        </w:rPr>
        <w:t xml:space="preserve">software </w:t>
      </w:r>
      <w:r>
        <w:rPr>
          <w:lang w:val="es-ES" w:eastAsia="zh-CN"/>
        </w:rPr>
        <w:t xml:space="preserve">que permiten visualizar la correspondencia enviada para los servicios de radiodifusión en el portal </w:t>
      </w:r>
      <w:r w:rsidR="00FA7C73" w:rsidRPr="00C53010">
        <w:rPr>
          <w:lang w:val="es-ES" w:eastAsia="zh-CN"/>
        </w:rPr>
        <w:t>myAdmin</w:t>
      </w:r>
      <w:r w:rsidR="001B0E79">
        <w:rPr>
          <w:lang w:val="es-ES" w:eastAsia="zh-CN"/>
        </w:rPr>
        <w:t xml:space="preserve">, </w:t>
      </w:r>
      <w:r>
        <w:rPr>
          <w:lang w:val="es-ES" w:eastAsia="zh-CN"/>
        </w:rPr>
        <w:t>tras la aprobación de la Regla de Procedimiento relativo al tratamiento de recordatorios</w:t>
      </w:r>
      <w:r w:rsidR="00FA7C73" w:rsidRPr="00C53010">
        <w:rPr>
          <w:lang w:val="es-ES" w:eastAsia="zh-CN"/>
        </w:rPr>
        <w:t>.</w:t>
      </w:r>
    </w:p>
    <w:p w:rsidR="00FA7C73" w:rsidRPr="00C53010" w:rsidRDefault="00577D94" w:rsidP="00690662">
      <w:pPr>
        <w:rPr>
          <w:lang w:val="es-ES"/>
        </w:rPr>
      </w:pPr>
      <w:r>
        <w:rPr>
          <w:lang w:val="es-ES"/>
        </w:rPr>
        <w:t xml:space="preserve">La Oficina desarrolló una interfaz que relaciona el sistema de gestión de documentos de la BR y el portal en línea </w:t>
      </w:r>
      <w:r w:rsidR="00690662">
        <w:rPr>
          <w:lang w:val="es-ES"/>
        </w:rPr>
        <w:t>"</w:t>
      </w:r>
      <w:r w:rsidR="00FA7C73" w:rsidRPr="00C53010">
        <w:rPr>
          <w:lang w:val="es-ES"/>
        </w:rPr>
        <w:t>myAdmin</w:t>
      </w:r>
      <w:r w:rsidR="00690662">
        <w:rPr>
          <w:lang w:val="es-ES"/>
        </w:rPr>
        <w:t>"</w:t>
      </w:r>
      <w:r w:rsidR="00FA7C73" w:rsidRPr="00C53010">
        <w:rPr>
          <w:lang w:val="es-ES"/>
        </w:rPr>
        <w:t xml:space="preserve"> </w:t>
      </w:r>
      <w:r>
        <w:rPr>
          <w:lang w:val="es-ES"/>
        </w:rPr>
        <w:t>a fin de poner a disposición en dicho portal la correspondencia disponible para las administraciones</w:t>
      </w:r>
      <w:r w:rsidR="001B0E79">
        <w:rPr>
          <w:lang w:val="es-ES"/>
        </w:rPr>
        <w:t xml:space="preserve">, </w:t>
      </w:r>
      <w:r>
        <w:rPr>
          <w:lang w:val="es-ES"/>
        </w:rPr>
        <w:t>comprendida la notificación automático por correo electrónico de la nueva correspondencia a los coordinadores oficiales</w:t>
      </w:r>
      <w:r w:rsidR="00FA7C73" w:rsidRPr="00C53010">
        <w:rPr>
          <w:lang w:val="es-ES"/>
        </w:rPr>
        <w:t>.</w:t>
      </w:r>
    </w:p>
    <w:p w:rsidR="00FA7C73" w:rsidRPr="00577D94" w:rsidRDefault="00577D94" w:rsidP="00563D35">
      <w:pPr>
        <w:rPr>
          <w:lang w:val="es-ES"/>
        </w:rPr>
      </w:pPr>
      <w:r>
        <w:rPr>
          <w:lang w:val="es-ES"/>
        </w:rPr>
        <w:t>Por otra parte</w:t>
      </w:r>
      <w:r w:rsidR="001B0E79">
        <w:rPr>
          <w:lang w:val="es-ES"/>
        </w:rPr>
        <w:t xml:space="preserve">, </w:t>
      </w:r>
      <w:r>
        <w:rPr>
          <w:lang w:val="es-ES"/>
        </w:rPr>
        <w:t>la Oficina inició un proyecto para mejorar</w:t>
      </w:r>
      <w:r w:rsidR="001B0E79">
        <w:rPr>
          <w:lang w:val="es-ES"/>
        </w:rPr>
        <w:t xml:space="preserve">, </w:t>
      </w:r>
      <w:r>
        <w:rPr>
          <w:lang w:val="es-ES"/>
        </w:rPr>
        <w:t>utilizando una tecnología más liviana</w:t>
      </w:r>
      <w:r w:rsidR="001B0E79">
        <w:rPr>
          <w:lang w:val="es-ES"/>
        </w:rPr>
        <w:t xml:space="preserve">, </w:t>
      </w:r>
      <w:r>
        <w:rPr>
          <w:lang w:val="es-ES"/>
        </w:rPr>
        <w:t>y generalizar las herramientas en línea para todos los servicios terrenales</w:t>
      </w:r>
      <w:r w:rsidR="00FA7C73" w:rsidRPr="00C53010">
        <w:rPr>
          <w:lang w:val="es-ES"/>
        </w:rPr>
        <w:t xml:space="preserve">. </w:t>
      </w:r>
    </w:p>
    <w:p w:rsidR="00FA7C73" w:rsidRPr="00C53010" w:rsidRDefault="00FA7C73" w:rsidP="00235602">
      <w:pPr>
        <w:pStyle w:val="Heading3"/>
        <w:rPr>
          <w:lang w:val="es-ES"/>
        </w:rPr>
      </w:pPr>
      <w:r w:rsidRPr="00C53010">
        <w:rPr>
          <w:lang w:val="es-ES"/>
        </w:rPr>
        <w:t>7.3.4</w:t>
      </w:r>
      <w:r w:rsidRPr="00C53010">
        <w:rPr>
          <w:lang w:val="es-ES"/>
        </w:rPr>
        <w:tab/>
      </w:r>
      <w:r w:rsidR="00235602" w:rsidRPr="00C53010">
        <w:rPr>
          <w:lang w:val="es-ES"/>
        </w:rPr>
        <w:t>Supresión progresiva de la plataforma Ingres</w:t>
      </w:r>
    </w:p>
    <w:p w:rsidR="00235602" w:rsidRPr="00C53010" w:rsidRDefault="00235602" w:rsidP="00563D35">
      <w:pPr>
        <w:rPr>
          <w:lang w:val="es-ES"/>
        </w:rPr>
      </w:pPr>
      <w:r w:rsidRPr="00C53010">
        <w:rPr>
          <w:lang w:val="es-ES"/>
        </w:rPr>
        <w:t>Dada la obsolescencia de la plataforma Ingres utilizada para varias aplicaciones de la BR</w:t>
      </w:r>
      <w:r w:rsidR="001B0E79">
        <w:rPr>
          <w:lang w:val="es-ES"/>
        </w:rPr>
        <w:t xml:space="preserve">, </w:t>
      </w:r>
      <w:r w:rsidRPr="00C53010">
        <w:rPr>
          <w:lang w:val="es-ES"/>
        </w:rPr>
        <w:t>la Oficina ha iniciado una migración gradual de Ingres al servidor SQL. Ha comenzado la migración de la base de datos MARS de Ingres al servidor SQL</w:t>
      </w:r>
      <w:r w:rsidR="001B0E79">
        <w:rPr>
          <w:lang w:val="es-ES"/>
        </w:rPr>
        <w:t xml:space="preserve">, </w:t>
      </w:r>
      <w:r w:rsidRPr="00C53010">
        <w:rPr>
          <w:lang w:val="es-ES"/>
        </w:rPr>
        <w:t>que se prevé terminar en agosto de 2018.</w:t>
      </w:r>
    </w:p>
    <w:p w:rsidR="00FA7C73" w:rsidRPr="00C53010" w:rsidRDefault="00577D94" w:rsidP="00563D35">
      <w:pPr>
        <w:rPr>
          <w:lang w:val="es-ES"/>
        </w:rPr>
      </w:pPr>
      <w:r>
        <w:rPr>
          <w:lang w:val="es-ES"/>
        </w:rPr>
        <w:t xml:space="preserve">Los trabajos para la migración de </w:t>
      </w:r>
      <w:r w:rsidR="00FA7C73" w:rsidRPr="00C53010">
        <w:rPr>
          <w:b/>
          <w:bCs/>
          <w:i/>
          <w:iCs/>
          <w:lang w:val="es-ES"/>
        </w:rPr>
        <w:t>TerRaSys</w:t>
      </w:r>
      <w:r w:rsidR="00FA7C73" w:rsidRPr="00C53010">
        <w:rPr>
          <w:b/>
          <w:bCs/>
          <w:lang w:val="es-ES"/>
        </w:rPr>
        <w:t xml:space="preserve"> </w:t>
      </w:r>
      <w:r>
        <w:rPr>
          <w:lang w:val="es-ES"/>
        </w:rPr>
        <w:t>han comenzado</w:t>
      </w:r>
      <w:r w:rsidR="00FA7C73" w:rsidRPr="00C53010">
        <w:rPr>
          <w:lang w:val="es-ES"/>
        </w:rPr>
        <w:t xml:space="preserve">. </w:t>
      </w:r>
      <w:r>
        <w:rPr>
          <w:lang w:val="es-ES"/>
        </w:rPr>
        <w:t xml:space="preserve">La base de datos de asignaciones terrenales y los correspondientes datos están ahora disponibles para pruebas en el nuevo </w:t>
      </w:r>
      <w:r w:rsidR="00FA7C73" w:rsidRPr="00C53010">
        <w:rPr>
          <w:lang w:val="es-ES"/>
        </w:rPr>
        <w:t>DBMS (</w:t>
      </w:r>
      <w:r>
        <w:rPr>
          <w:lang w:val="es-ES"/>
        </w:rPr>
        <w:t xml:space="preserve">servidor </w:t>
      </w:r>
      <w:r w:rsidR="00FA7C73" w:rsidRPr="00C53010">
        <w:rPr>
          <w:lang w:val="es-ES"/>
        </w:rPr>
        <w:t xml:space="preserve">SQL). </w:t>
      </w:r>
      <w:r w:rsidR="002B775F">
        <w:rPr>
          <w:lang w:val="es-ES"/>
        </w:rPr>
        <w:t>Comprende la migración de la estructura de la base de datos</w:t>
      </w:r>
      <w:r w:rsidR="001B0E79">
        <w:rPr>
          <w:lang w:val="es-ES"/>
        </w:rPr>
        <w:t xml:space="preserve">, </w:t>
      </w:r>
      <w:r w:rsidR="002B775F">
        <w:rPr>
          <w:lang w:val="es-ES"/>
        </w:rPr>
        <w:t>los procedimientos de almacenamiento y archivado</w:t>
      </w:r>
      <w:r w:rsidR="001B0E79">
        <w:rPr>
          <w:lang w:val="es-ES"/>
        </w:rPr>
        <w:t xml:space="preserve">, </w:t>
      </w:r>
      <w:r w:rsidR="002B775F">
        <w:rPr>
          <w:lang w:val="es-ES"/>
        </w:rPr>
        <w:t>el mantenimiento de las bases de datos y los procedimientos de copias de seguridad</w:t>
      </w:r>
      <w:r w:rsidR="00FA7C73" w:rsidRPr="00C53010">
        <w:rPr>
          <w:lang w:val="es-ES"/>
        </w:rPr>
        <w:t xml:space="preserve">. </w:t>
      </w:r>
      <w:r w:rsidR="002B775F">
        <w:rPr>
          <w:lang w:val="es-ES"/>
        </w:rPr>
        <w:t>Se está trabajando en la armonización de los diversos códigos de los módulos software</w:t>
      </w:r>
      <w:r w:rsidR="00FA7C73" w:rsidRPr="00C53010">
        <w:rPr>
          <w:lang w:val="es-ES"/>
        </w:rPr>
        <w:t xml:space="preserve"> (</w:t>
      </w:r>
      <w:r w:rsidR="002B775F">
        <w:rPr>
          <w:lang w:val="es-ES"/>
        </w:rPr>
        <w:t>validación</w:t>
      </w:r>
      <w:r w:rsidR="001B0E79">
        <w:rPr>
          <w:lang w:val="es-ES"/>
        </w:rPr>
        <w:t xml:space="preserve">, </w:t>
      </w:r>
      <w:r w:rsidR="002B775F">
        <w:rPr>
          <w:lang w:val="es-ES"/>
        </w:rPr>
        <w:t>examen</w:t>
      </w:r>
      <w:r w:rsidR="001B0E79">
        <w:rPr>
          <w:lang w:val="es-ES"/>
        </w:rPr>
        <w:t xml:space="preserve">, </w:t>
      </w:r>
      <w:r w:rsidR="00FA7C73" w:rsidRPr="00C53010">
        <w:rPr>
          <w:lang w:val="es-ES"/>
        </w:rPr>
        <w:t xml:space="preserve">etc.) </w:t>
      </w:r>
      <w:r w:rsidR="002B775F">
        <w:rPr>
          <w:lang w:val="es-ES"/>
        </w:rPr>
        <w:t>para utilizar esta nueva plataforma</w:t>
      </w:r>
      <w:r w:rsidR="00FA7C73" w:rsidRPr="00C53010">
        <w:rPr>
          <w:lang w:val="es-ES"/>
        </w:rPr>
        <w:t>.</w:t>
      </w:r>
    </w:p>
    <w:p w:rsidR="00FA7C73" w:rsidRPr="00C53010" w:rsidRDefault="00FA7C73" w:rsidP="002B775F">
      <w:pPr>
        <w:pStyle w:val="Heading3"/>
        <w:rPr>
          <w:szCs w:val="24"/>
          <w:lang w:val="es-ES" w:eastAsia="zh-CN"/>
        </w:rPr>
      </w:pPr>
      <w:r w:rsidRPr="00C53010">
        <w:rPr>
          <w:lang w:val="es-ES"/>
        </w:rPr>
        <w:t>7.3.5</w:t>
      </w:r>
      <w:r w:rsidRPr="00C53010">
        <w:rPr>
          <w:lang w:val="es-ES"/>
        </w:rPr>
        <w:tab/>
      </w:r>
      <w:r w:rsidR="002B775F">
        <w:rPr>
          <w:lang w:val="es-ES"/>
        </w:rPr>
        <w:t xml:space="preserve">Sistemas de información geográfica (SIG) de la </w:t>
      </w:r>
      <w:r w:rsidRPr="00C53010">
        <w:rPr>
          <w:lang w:val="es-ES" w:eastAsia="zh-CN"/>
        </w:rPr>
        <w:t xml:space="preserve">BR </w:t>
      </w:r>
    </w:p>
    <w:p w:rsidR="00FA7C73" w:rsidRPr="00C53010" w:rsidRDefault="002B775F" w:rsidP="00563D35">
      <w:pPr>
        <w:rPr>
          <w:lang w:val="es-ES"/>
        </w:rPr>
      </w:pPr>
      <w:r>
        <w:rPr>
          <w:lang w:val="es-ES" w:eastAsia="zh-CN"/>
        </w:rPr>
        <w:t>La Oficina está estudiando las necesidades internas y las tecnologías existentes para crear una plataforma SIG común y de datos</w:t>
      </w:r>
      <w:r w:rsidR="001B0E79">
        <w:rPr>
          <w:lang w:val="es-ES" w:eastAsia="zh-CN"/>
        </w:rPr>
        <w:t xml:space="preserve">, </w:t>
      </w:r>
      <w:r>
        <w:rPr>
          <w:lang w:val="es-ES" w:eastAsia="zh-CN"/>
        </w:rPr>
        <w:t>utilizando primordialmente herramientas de código fuente abierto (</w:t>
      </w:r>
      <w:r w:rsidRPr="00EE128E">
        <w:rPr>
          <w:i/>
          <w:iCs/>
          <w:lang w:val="es-ES" w:eastAsia="zh-CN"/>
        </w:rPr>
        <w:t>o</w:t>
      </w:r>
      <w:r w:rsidR="00FA7C73" w:rsidRPr="00EE128E">
        <w:rPr>
          <w:i/>
          <w:iCs/>
          <w:lang w:val="es-ES" w:eastAsia="zh-CN"/>
        </w:rPr>
        <w:t xml:space="preserve">pen </w:t>
      </w:r>
      <w:r w:rsidRPr="00EE128E">
        <w:rPr>
          <w:i/>
          <w:iCs/>
          <w:lang w:val="es-ES" w:eastAsia="zh-CN"/>
        </w:rPr>
        <w:t>s</w:t>
      </w:r>
      <w:r w:rsidR="00FA7C73" w:rsidRPr="00EE128E">
        <w:rPr>
          <w:i/>
          <w:iCs/>
          <w:lang w:val="es-ES" w:eastAsia="zh-CN"/>
        </w:rPr>
        <w:t>ource</w:t>
      </w:r>
      <w:r>
        <w:rPr>
          <w:lang w:val="es-ES" w:eastAsia="zh-CN"/>
        </w:rPr>
        <w:t>)</w:t>
      </w:r>
      <w:r w:rsidR="00FA7C73" w:rsidRPr="00C53010">
        <w:rPr>
          <w:lang w:val="es-ES" w:eastAsia="zh-CN"/>
        </w:rPr>
        <w:t xml:space="preserve">. </w:t>
      </w:r>
      <w:r>
        <w:rPr>
          <w:lang w:val="es-ES" w:eastAsia="zh-CN"/>
        </w:rPr>
        <w:t xml:space="preserve">Se ha establecido una asociación </w:t>
      </w:r>
      <w:r w:rsidR="00EE128E">
        <w:rPr>
          <w:lang w:val="es-ES" w:eastAsia="zh-CN"/>
        </w:rPr>
        <w:t xml:space="preserve">con la Sección </w:t>
      </w:r>
      <w:r w:rsidR="00AD61B5">
        <w:rPr>
          <w:lang w:val="es-ES" w:eastAsia="zh-CN"/>
        </w:rPr>
        <w:t xml:space="preserve">de Información </w:t>
      </w:r>
      <w:r w:rsidR="00EE128E">
        <w:rPr>
          <w:lang w:val="es-ES" w:eastAsia="zh-CN"/>
        </w:rPr>
        <w:t xml:space="preserve">Geoespacial </w:t>
      </w:r>
      <w:r w:rsidR="00AD61B5">
        <w:rPr>
          <w:lang w:val="es-ES" w:eastAsia="zh-CN"/>
        </w:rPr>
        <w:t xml:space="preserve">(GIS) </w:t>
      </w:r>
      <w:r w:rsidR="00EE128E">
        <w:rPr>
          <w:lang w:val="es-ES" w:eastAsia="zh-CN"/>
        </w:rPr>
        <w:t xml:space="preserve">de las Naciones Unidas </w:t>
      </w:r>
      <w:r w:rsidR="00AD61B5">
        <w:rPr>
          <w:lang w:val="es-ES" w:eastAsia="zh-CN"/>
        </w:rPr>
        <w:t>con el fin de aprovechar los conocimientos y recursos de la GIS de Naciones Unidas</w:t>
      </w:r>
      <w:r w:rsidR="00FA7C73" w:rsidRPr="00C53010">
        <w:rPr>
          <w:lang w:val="es-ES" w:eastAsia="zh-CN"/>
        </w:rPr>
        <w:t>.</w:t>
      </w:r>
    </w:p>
    <w:p w:rsidR="00FA7C73" w:rsidRPr="00C53010" w:rsidRDefault="00FA7C73" w:rsidP="00AD61B5">
      <w:pPr>
        <w:pStyle w:val="Heading3"/>
        <w:rPr>
          <w:lang w:val="es-ES"/>
        </w:rPr>
      </w:pPr>
      <w:r w:rsidRPr="00C53010">
        <w:rPr>
          <w:lang w:val="es-ES"/>
        </w:rPr>
        <w:lastRenderedPageBreak/>
        <w:t>7.3.6</w:t>
      </w:r>
      <w:r w:rsidRPr="00C53010">
        <w:rPr>
          <w:lang w:val="es-ES"/>
        </w:rPr>
        <w:tab/>
      </w:r>
      <w:r w:rsidR="00AD61B5">
        <w:rPr>
          <w:lang w:val="es-ES"/>
        </w:rPr>
        <w:t>Migración de las lista de distribución de las Comisiones de Estudio a una plataforma moderna de distribución de correo electrónico</w:t>
      </w:r>
    </w:p>
    <w:p w:rsidR="00FA7C73" w:rsidRPr="00C53010" w:rsidRDefault="00AD61B5" w:rsidP="00563D35">
      <w:pPr>
        <w:rPr>
          <w:lang w:val="es-ES"/>
        </w:rPr>
      </w:pPr>
      <w:r>
        <w:rPr>
          <w:lang w:val="es-ES"/>
        </w:rPr>
        <w:t xml:space="preserve">En el marco de la actividad interna de migración de las listas de distribución de las </w:t>
      </w:r>
      <w:r w:rsidR="000A4257">
        <w:rPr>
          <w:lang w:val="es-ES"/>
        </w:rPr>
        <w:t>Comisiones</w:t>
      </w:r>
      <w:r>
        <w:rPr>
          <w:lang w:val="es-ES"/>
        </w:rPr>
        <w:t xml:space="preserve"> de Estudio </w:t>
      </w:r>
      <w:r w:rsidR="00FA7C73" w:rsidRPr="00C53010">
        <w:rPr>
          <w:lang w:val="es-ES"/>
        </w:rPr>
        <w:t>(</w:t>
      </w:r>
      <w:r>
        <w:rPr>
          <w:lang w:val="es-ES"/>
        </w:rPr>
        <w:t xml:space="preserve">tanto las activas como las </w:t>
      </w:r>
      <w:r w:rsidR="000A4257">
        <w:rPr>
          <w:lang w:val="es-ES"/>
        </w:rPr>
        <w:t>disueltas/archivadas</w:t>
      </w:r>
      <w:r w:rsidR="00FA7C73" w:rsidRPr="00C53010">
        <w:rPr>
          <w:lang w:val="es-ES"/>
        </w:rPr>
        <w:t xml:space="preserve">) </w:t>
      </w:r>
      <w:r w:rsidR="000A4257">
        <w:rPr>
          <w:lang w:val="es-ES"/>
        </w:rPr>
        <w:t>a una plataforma moderna</w:t>
      </w:r>
      <w:r w:rsidR="001B0E79">
        <w:rPr>
          <w:lang w:val="es-ES"/>
        </w:rPr>
        <w:t xml:space="preserve">, </w:t>
      </w:r>
      <w:r w:rsidR="000A4257">
        <w:rPr>
          <w:lang w:val="es-ES"/>
        </w:rPr>
        <w:t xml:space="preserve">la </w:t>
      </w:r>
      <w:r w:rsidR="00FA7C73" w:rsidRPr="00C53010">
        <w:rPr>
          <w:lang w:val="es-ES"/>
        </w:rPr>
        <w:t xml:space="preserve">BR </w:t>
      </w:r>
      <w:r w:rsidR="000A4257">
        <w:rPr>
          <w:lang w:val="es-ES"/>
        </w:rPr>
        <w:t>ha rediseñado las páginas autoservicio de listas de distribución</w:t>
      </w:r>
      <w:r w:rsidR="00FA7C73" w:rsidRPr="00C53010">
        <w:rPr>
          <w:lang w:val="es-ES"/>
        </w:rPr>
        <w:t xml:space="preserve">. </w:t>
      </w:r>
      <w:r w:rsidR="000A4257">
        <w:rPr>
          <w:lang w:val="es-ES"/>
        </w:rPr>
        <w:t xml:space="preserve">Estas páginas autoservicio modernas se pondrán a disposición de los delegados en el primer trimestre de </w:t>
      </w:r>
      <w:r w:rsidR="00FA7C73" w:rsidRPr="00C53010">
        <w:rPr>
          <w:lang w:val="es-ES"/>
        </w:rPr>
        <w:t>2018.</w:t>
      </w:r>
    </w:p>
    <w:p w:rsidR="00FA7C73" w:rsidRPr="00C53010" w:rsidRDefault="00FA7C73" w:rsidP="001D1D20">
      <w:pPr>
        <w:pStyle w:val="Heading1"/>
        <w:rPr>
          <w:lang w:val="es-ES"/>
        </w:rPr>
      </w:pPr>
      <w:bookmarkStart w:id="55" w:name="_Toc446060776"/>
      <w:r w:rsidRPr="00C53010">
        <w:rPr>
          <w:lang w:val="es-ES"/>
        </w:rPr>
        <w:t>8</w:t>
      </w:r>
      <w:r w:rsidRPr="00C53010">
        <w:rPr>
          <w:lang w:val="es-ES"/>
        </w:rPr>
        <w:tab/>
      </w:r>
      <w:bookmarkEnd w:id="55"/>
      <w:r w:rsidR="001D1D20" w:rsidRPr="00C53010">
        <w:rPr>
          <w:lang w:val="es-ES"/>
        </w:rPr>
        <w:t>Comunicación con los Miembros</w:t>
      </w:r>
    </w:p>
    <w:p w:rsidR="00FA7C73" w:rsidRPr="00C53010" w:rsidRDefault="001D1D20" w:rsidP="00563D35">
      <w:pPr>
        <w:rPr>
          <w:lang w:val="es-ES"/>
        </w:rPr>
      </w:pPr>
      <w:r w:rsidRPr="00C53010">
        <w:rPr>
          <w:lang w:val="es-ES"/>
        </w:rPr>
        <w:t>Las actividades de comunicación comprenden la información y asistencia a los Miembros</w:t>
      </w:r>
      <w:r w:rsidR="001B0E79">
        <w:rPr>
          <w:lang w:val="es-ES"/>
        </w:rPr>
        <w:t xml:space="preserve">, </w:t>
      </w:r>
      <w:r w:rsidRPr="00C53010">
        <w:rPr>
          <w:lang w:val="es-ES"/>
        </w:rPr>
        <w:t>la publicación de los productos del UIT-R y su divulgación</w:t>
      </w:r>
      <w:r w:rsidR="001B0E79">
        <w:rPr>
          <w:lang w:val="es-ES"/>
        </w:rPr>
        <w:t xml:space="preserve">, </w:t>
      </w:r>
      <w:r w:rsidRPr="00C53010">
        <w:rPr>
          <w:lang w:val="es-ES"/>
        </w:rPr>
        <w:t>la organización de seminarios y talleres</w:t>
      </w:r>
      <w:r w:rsidR="001B0E79">
        <w:rPr>
          <w:lang w:val="es-ES"/>
        </w:rPr>
        <w:t xml:space="preserve">, </w:t>
      </w:r>
      <w:r w:rsidRPr="00C53010">
        <w:rPr>
          <w:lang w:val="es-ES"/>
        </w:rPr>
        <w:t>además de la participación en los mismos</w:t>
      </w:r>
      <w:r w:rsidR="001B0E79">
        <w:rPr>
          <w:lang w:val="es-ES"/>
        </w:rPr>
        <w:t xml:space="preserve">, </w:t>
      </w:r>
      <w:r w:rsidRPr="00C53010">
        <w:rPr>
          <w:lang w:val="es-ES"/>
        </w:rPr>
        <w:t>y la elaboración y mantenimiento de herramientas de comunicación y promoción. El objetivo de estas actividades es garantizar que los productos del Sector UIT-R (Reglamentos</w:t>
      </w:r>
      <w:r w:rsidR="001B0E79">
        <w:rPr>
          <w:lang w:val="es-ES"/>
        </w:rPr>
        <w:t xml:space="preserve">, </w:t>
      </w:r>
      <w:r w:rsidRPr="00C53010">
        <w:rPr>
          <w:lang w:val="es-ES"/>
        </w:rPr>
        <w:t>Recomendaciones</w:t>
      </w:r>
      <w:r w:rsidR="001B0E79">
        <w:rPr>
          <w:lang w:val="es-ES"/>
        </w:rPr>
        <w:t xml:space="preserve">, </w:t>
      </w:r>
      <w:r w:rsidRPr="00C53010">
        <w:rPr>
          <w:lang w:val="es-ES"/>
        </w:rPr>
        <w:t>Informes y Manuales) tienen una difusión mundial y están en conocimiento de los Miembros de la UIT y demás interesados en el espectro; y</w:t>
      </w:r>
      <w:r w:rsidR="001B0E79">
        <w:rPr>
          <w:lang w:val="es-ES"/>
        </w:rPr>
        <w:t xml:space="preserve">, </w:t>
      </w:r>
      <w:r w:rsidRPr="00C53010">
        <w:rPr>
          <w:lang w:val="es-ES"/>
        </w:rPr>
        <w:t>además</w:t>
      </w:r>
      <w:r w:rsidR="001B0E79">
        <w:rPr>
          <w:lang w:val="es-ES"/>
        </w:rPr>
        <w:t xml:space="preserve">, </w:t>
      </w:r>
      <w:r w:rsidRPr="00C53010">
        <w:rPr>
          <w:lang w:val="es-ES"/>
        </w:rPr>
        <w:t>sirven de base para la formulación de políticas y decisiones en materia de gestión del espectro y la utilización de las radiocomunicaciones en general. Para llevar a cabo estas actividades</w:t>
      </w:r>
      <w:r w:rsidR="001B0E79">
        <w:rPr>
          <w:lang w:val="es-ES"/>
        </w:rPr>
        <w:t xml:space="preserve">, </w:t>
      </w:r>
      <w:r w:rsidRPr="00C53010">
        <w:rPr>
          <w:lang w:val="es-ES"/>
        </w:rPr>
        <w:t>la BR coopera estrechamente con las demás Oficinas y Sectores</w:t>
      </w:r>
      <w:r w:rsidR="001B0E79">
        <w:rPr>
          <w:lang w:val="es-ES"/>
        </w:rPr>
        <w:t xml:space="preserve">, </w:t>
      </w:r>
      <w:r w:rsidRPr="00C53010">
        <w:rPr>
          <w:lang w:val="es-ES"/>
        </w:rPr>
        <w:t>las Oficinas Regionales y de Zona de la UIT</w:t>
      </w:r>
      <w:r w:rsidR="001B0E79">
        <w:rPr>
          <w:lang w:val="es-ES"/>
        </w:rPr>
        <w:t xml:space="preserve">, </w:t>
      </w:r>
      <w:r w:rsidRPr="00C53010">
        <w:rPr>
          <w:lang w:val="es-ES"/>
        </w:rPr>
        <w:t>además de las organizaciones internacionales y autoridades nacionales pertinentes</w:t>
      </w:r>
      <w:r w:rsidR="00FA7C73" w:rsidRPr="00C53010">
        <w:rPr>
          <w:lang w:val="es-ES"/>
        </w:rPr>
        <w:t xml:space="preserve">. </w:t>
      </w:r>
    </w:p>
    <w:p w:rsidR="00FA7C73" w:rsidRPr="00C53010" w:rsidRDefault="00FA7C73" w:rsidP="001D1D20">
      <w:pPr>
        <w:pStyle w:val="Heading2"/>
        <w:rPr>
          <w:lang w:val="es-ES"/>
        </w:rPr>
      </w:pPr>
      <w:bookmarkStart w:id="56" w:name="_Toc418163376"/>
      <w:bookmarkStart w:id="57" w:name="_Toc418232294"/>
      <w:bookmarkStart w:id="58" w:name="_Toc424047595"/>
      <w:bookmarkStart w:id="59" w:name="_Toc446060777"/>
      <w:r w:rsidRPr="00C53010">
        <w:rPr>
          <w:lang w:val="es-ES"/>
        </w:rPr>
        <w:t>8.1</w:t>
      </w:r>
      <w:r w:rsidRPr="00C53010">
        <w:rPr>
          <w:lang w:val="es-ES"/>
        </w:rPr>
        <w:tab/>
      </w:r>
      <w:bookmarkEnd w:id="56"/>
      <w:bookmarkEnd w:id="57"/>
      <w:bookmarkEnd w:id="58"/>
      <w:bookmarkEnd w:id="59"/>
      <w:r w:rsidR="001D1D20" w:rsidRPr="00C53010">
        <w:rPr>
          <w:lang w:val="es-ES"/>
        </w:rPr>
        <w:t>Publicaciones</w:t>
      </w:r>
    </w:p>
    <w:p w:rsidR="00FA7C73" w:rsidRPr="00C53010" w:rsidRDefault="00FA7C73" w:rsidP="001D1D20">
      <w:pPr>
        <w:pStyle w:val="Heading3"/>
        <w:rPr>
          <w:lang w:val="es-ES"/>
        </w:rPr>
      </w:pPr>
      <w:bookmarkStart w:id="60" w:name="_Toc424047596"/>
      <w:bookmarkStart w:id="61" w:name="_Toc446060778"/>
      <w:r w:rsidRPr="00C53010">
        <w:rPr>
          <w:lang w:val="es-ES"/>
        </w:rPr>
        <w:t>8.1.1</w:t>
      </w:r>
      <w:r w:rsidRPr="00C53010">
        <w:rPr>
          <w:lang w:val="es-ES"/>
        </w:rPr>
        <w:tab/>
      </w:r>
      <w:bookmarkEnd w:id="60"/>
      <w:bookmarkEnd w:id="61"/>
      <w:r w:rsidR="001D1D20" w:rsidRPr="00C53010">
        <w:rPr>
          <w:lang w:val="es-ES"/>
        </w:rPr>
        <w:t>Publicaciones reglamentarias</w:t>
      </w:r>
    </w:p>
    <w:p w:rsidR="00FA7C73" w:rsidRPr="00C53010" w:rsidRDefault="00E96D93" w:rsidP="00563D35">
      <w:pPr>
        <w:rPr>
          <w:lang w:val="es-ES"/>
        </w:rPr>
      </w:pPr>
      <w:r>
        <w:rPr>
          <w:lang w:val="es-ES"/>
        </w:rPr>
        <w:t xml:space="preserve">Tras la publicación de la edición de </w:t>
      </w:r>
      <w:r w:rsidR="00FA7C73" w:rsidRPr="00C53010">
        <w:rPr>
          <w:lang w:val="es-ES"/>
        </w:rPr>
        <w:t xml:space="preserve">2016 </w:t>
      </w:r>
      <w:r>
        <w:rPr>
          <w:lang w:val="es-ES"/>
        </w:rPr>
        <w:t xml:space="preserve">del Reglamento de Radiocomunicaciones en diciembre de </w:t>
      </w:r>
      <w:r w:rsidR="00FA7C73" w:rsidRPr="00C53010">
        <w:rPr>
          <w:lang w:val="es-ES"/>
        </w:rPr>
        <w:t>2016</w:t>
      </w:r>
      <w:r w:rsidR="001B0E79">
        <w:rPr>
          <w:lang w:val="es-ES"/>
        </w:rPr>
        <w:t xml:space="preserve">, </w:t>
      </w:r>
      <w:r>
        <w:rPr>
          <w:lang w:val="es-ES"/>
        </w:rPr>
        <w:t xml:space="preserve">se publicó la versión refundida de las Reglas de Procedimiento en mayo de </w:t>
      </w:r>
      <w:r w:rsidR="00FA7C73" w:rsidRPr="00C53010">
        <w:rPr>
          <w:lang w:val="es-ES"/>
        </w:rPr>
        <w:t xml:space="preserve">2017. </w:t>
      </w:r>
      <w:r>
        <w:rPr>
          <w:lang w:val="es-ES"/>
        </w:rPr>
        <w:t xml:space="preserve">Se publicó una actualización en noviembre de </w:t>
      </w:r>
      <w:r w:rsidR="00FA7C73" w:rsidRPr="00C53010">
        <w:rPr>
          <w:lang w:val="es-ES"/>
        </w:rPr>
        <w:t>2017.</w:t>
      </w:r>
    </w:p>
    <w:p w:rsidR="00FA7C73" w:rsidRPr="00C53010" w:rsidRDefault="00FA7C73" w:rsidP="001D1D20">
      <w:pPr>
        <w:pStyle w:val="Heading3"/>
        <w:rPr>
          <w:lang w:val="es-ES"/>
        </w:rPr>
      </w:pPr>
      <w:bookmarkStart w:id="62" w:name="_Toc424047597"/>
      <w:bookmarkStart w:id="63" w:name="_Toc446060779"/>
      <w:r w:rsidRPr="00C53010">
        <w:rPr>
          <w:lang w:val="es-ES"/>
        </w:rPr>
        <w:t>8.1.2</w:t>
      </w:r>
      <w:r w:rsidRPr="00C53010">
        <w:rPr>
          <w:lang w:val="es-ES"/>
        </w:rPr>
        <w:tab/>
      </w:r>
      <w:bookmarkEnd w:id="62"/>
      <w:bookmarkEnd w:id="63"/>
      <w:r w:rsidR="001D1D20" w:rsidRPr="00C53010">
        <w:rPr>
          <w:lang w:val="es-ES"/>
        </w:rPr>
        <w:t>Documentos de servicio</w:t>
      </w:r>
    </w:p>
    <w:p w:rsidR="001D1D20" w:rsidRPr="00C53010" w:rsidRDefault="001D1D20" w:rsidP="001D1D20">
      <w:pPr>
        <w:pStyle w:val="Heading4"/>
        <w:rPr>
          <w:lang w:val="es-ES"/>
        </w:rPr>
      </w:pPr>
      <w:r w:rsidRPr="00C53010">
        <w:rPr>
          <w:lang w:val="es-ES"/>
        </w:rPr>
        <w:t>8.1.2.1</w:t>
      </w:r>
      <w:r w:rsidRPr="00C53010">
        <w:rPr>
          <w:lang w:val="es-ES"/>
        </w:rPr>
        <w:tab/>
        <w:t>Antecedentes y consideraciones generales</w:t>
      </w:r>
    </w:p>
    <w:p w:rsidR="001D1D20" w:rsidRPr="00C53010" w:rsidRDefault="001D1D20" w:rsidP="001D1D20">
      <w:pPr>
        <w:rPr>
          <w:lang w:val="es-ES"/>
        </w:rPr>
      </w:pPr>
      <w:r w:rsidRPr="00C53010">
        <w:rPr>
          <w:lang w:val="es-ES"/>
        </w:rPr>
        <w:t>La Oficina elabora y publica diversos documentos de servicio</w:t>
      </w:r>
      <w:r w:rsidR="001B0E79">
        <w:rPr>
          <w:lang w:val="es-ES"/>
        </w:rPr>
        <w:t xml:space="preserve">, </w:t>
      </w:r>
      <w:r w:rsidRPr="00C53010">
        <w:rPr>
          <w:lang w:val="es-ES"/>
        </w:rPr>
        <w:t xml:space="preserve">tal como especifica el Articulo </w:t>
      </w:r>
      <w:r w:rsidRPr="00C53010">
        <w:rPr>
          <w:bCs/>
          <w:lang w:val="es-ES"/>
        </w:rPr>
        <w:t>20</w:t>
      </w:r>
      <w:r w:rsidRPr="00C53010">
        <w:rPr>
          <w:lang w:val="es-ES"/>
        </w:rPr>
        <w:t xml:space="preserve"> del Reglamento de Radiocomunicaciones.</w:t>
      </w:r>
    </w:p>
    <w:p w:rsidR="001D1D20" w:rsidRPr="00C53010" w:rsidRDefault="001D1D20" w:rsidP="001D1D20">
      <w:pPr>
        <w:rPr>
          <w:lang w:val="es-ES"/>
        </w:rPr>
      </w:pPr>
      <w:bookmarkStart w:id="64" w:name="lt_pId458"/>
      <w:r w:rsidRPr="00C53010">
        <w:rPr>
          <w:lang w:val="es-ES"/>
        </w:rPr>
        <w:t>Habida cuenta de la importancia de la información operacional contenida en las publicaciones de servicio de los servicios marítimos</w:t>
      </w:r>
      <w:r w:rsidR="001B0E79">
        <w:rPr>
          <w:lang w:val="es-ES"/>
        </w:rPr>
        <w:t xml:space="preserve">, </w:t>
      </w:r>
      <w:r w:rsidRPr="00C53010">
        <w:rPr>
          <w:lang w:val="es-ES"/>
        </w:rPr>
        <w:t>en particular lo relativo a la seguridad</w:t>
      </w:r>
      <w:r w:rsidR="001B0E79">
        <w:rPr>
          <w:lang w:val="es-ES"/>
        </w:rPr>
        <w:t xml:space="preserve">, </w:t>
      </w:r>
      <w:r w:rsidRPr="00C53010">
        <w:rPr>
          <w:lang w:val="es-ES"/>
        </w:rPr>
        <w:t>las administraciones tienen la obligación de comunicar las modificaciones realizadas</w:t>
      </w:r>
      <w:r w:rsidR="001B0E79">
        <w:rPr>
          <w:lang w:val="es-ES"/>
        </w:rPr>
        <w:t xml:space="preserve">, </w:t>
      </w:r>
      <w:r w:rsidRPr="00C53010">
        <w:rPr>
          <w:lang w:val="es-ES"/>
        </w:rPr>
        <w:t xml:space="preserve">tal como estipula el número </w:t>
      </w:r>
      <w:r w:rsidRPr="00C53010">
        <w:rPr>
          <w:b/>
          <w:lang w:val="es-ES"/>
        </w:rPr>
        <w:t>20.16</w:t>
      </w:r>
      <w:r w:rsidRPr="00C53010">
        <w:rPr>
          <w:lang w:val="es-ES"/>
        </w:rPr>
        <w:t xml:space="preserve"> del RR. No obstante</w:t>
      </w:r>
      <w:r w:rsidR="001B0E79">
        <w:rPr>
          <w:lang w:val="es-ES"/>
        </w:rPr>
        <w:t xml:space="preserve">, </w:t>
      </w:r>
      <w:r w:rsidRPr="00C53010">
        <w:rPr>
          <w:lang w:val="es-ES"/>
        </w:rPr>
        <w:t>debe señalarse que sigue existiendo la preocupación expresada en reuniones anteriores del GAR sobre el hecho de que las administraciones no siempre proporcionan a la Oficina actualizaciones periódicas de la información pertinente.</w:t>
      </w:r>
      <w:bookmarkEnd w:id="64"/>
    </w:p>
    <w:p w:rsidR="001D1D20" w:rsidRPr="00C53010" w:rsidRDefault="001D1D20" w:rsidP="001D1D20">
      <w:pPr>
        <w:rPr>
          <w:lang w:val="es-ES"/>
        </w:rPr>
      </w:pPr>
      <w:bookmarkStart w:id="65" w:name="lt_pId459"/>
      <w:r w:rsidRPr="00C53010">
        <w:rPr>
          <w:lang w:val="es-ES"/>
        </w:rPr>
        <w:t>Además</w:t>
      </w:r>
      <w:r w:rsidR="001B0E79">
        <w:rPr>
          <w:lang w:val="es-ES"/>
        </w:rPr>
        <w:t xml:space="preserve">, </w:t>
      </w:r>
      <w:r w:rsidRPr="00C53010">
        <w:rPr>
          <w:lang w:val="es-ES"/>
        </w:rPr>
        <w:t>la información contenida en las publicaciones de servicio de los servicios marítimos</w:t>
      </w:r>
      <w:r w:rsidR="001B0E79">
        <w:rPr>
          <w:lang w:val="es-ES"/>
        </w:rPr>
        <w:t xml:space="preserve">, </w:t>
      </w:r>
      <w:r w:rsidRPr="00C53010">
        <w:rPr>
          <w:lang w:val="es-ES"/>
        </w:rPr>
        <w:t>en particular el Nomenclátor de las estaciones de barco y de las asignaciones a identidades del servicio móvil marítimo (Lista V) también se utiliza para otros procedimientos administrativos (por ejemplo</w:t>
      </w:r>
      <w:r w:rsidR="001B0E79">
        <w:rPr>
          <w:lang w:val="es-ES"/>
        </w:rPr>
        <w:t xml:space="preserve">, </w:t>
      </w:r>
      <w:r w:rsidRPr="00C53010">
        <w:rPr>
          <w:lang w:val="es-ES"/>
        </w:rPr>
        <w:t>la admisibilidad para cifras de identidad marítima (MID) adicionales).</w:t>
      </w:r>
      <w:bookmarkEnd w:id="65"/>
    </w:p>
    <w:p w:rsidR="001D1D20" w:rsidRPr="00C53010" w:rsidRDefault="001D1D20" w:rsidP="001D1D20">
      <w:pPr>
        <w:pStyle w:val="Heading4"/>
        <w:rPr>
          <w:lang w:val="es-ES"/>
        </w:rPr>
      </w:pPr>
      <w:r w:rsidRPr="00C53010">
        <w:rPr>
          <w:lang w:val="es-ES"/>
        </w:rPr>
        <w:t>8.1.2.2</w:t>
      </w:r>
      <w:r w:rsidRPr="00C53010">
        <w:rPr>
          <w:lang w:val="es-ES"/>
        </w:rPr>
        <w:tab/>
        <w:t>Nomenclátor de estaciones costeras y estaciones de servicios especiales (Lista IV)</w:t>
      </w:r>
    </w:p>
    <w:p w:rsidR="001D1D20" w:rsidRPr="00C53010" w:rsidRDefault="008F3CA4" w:rsidP="001D1D20">
      <w:pPr>
        <w:rPr>
          <w:lang w:val="es-ES"/>
        </w:rPr>
      </w:pPr>
      <w:bookmarkStart w:id="66" w:name="lt_pId462"/>
      <w:r w:rsidRPr="00C53010">
        <w:rPr>
          <w:lang w:val="es-ES"/>
        </w:rPr>
        <w:t xml:space="preserve">Durante el periodo </w:t>
      </w:r>
      <w:r>
        <w:rPr>
          <w:lang w:val="es-ES"/>
        </w:rPr>
        <w:t>considerado</w:t>
      </w:r>
      <w:r w:rsidRPr="00C53010">
        <w:rPr>
          <w:lang w:val="es-ES"/>
        </w:rPr>
        <w:t xml:space="preserve"> se </w:t>
      </w:r>
      <w:r>
        <w:rPr>
          <w:lang w:val="es-ES"/>
        </w:rPr>
        <w:t xml:space="preserve">preparó la edición de 2017 </w:t>
      </w:r>
      <w:r w:rsidRPr="00C53010">
        <w:rPr>
          <w:lang w:val="es-ES"/>
        </w:rPr>
        <w:t>de la Lista IV</w:t>
      </w:r>
      <w:r>
        <w:rPr>
          <w:lang w:val="es-ES"/>
        </w:rPr>
        <w:t xml:space="preserve"> y se publicó en noviembre de 2017</w:t>
      </w:r>
      <w:r w:rsidRPr="00C53010">
        <w:rPr>
          <w:lang w:val="es-ES"/>
        </w:rPr>
        <w:t>. Esta Lista está compuesta de un folleto en papel que contiene el Prefacio y los Cuadros de Referencia y un CD</w:t>
      </w:r>
      <w:r w:rsidRPr="00C53010">
        <w:rPr>
          <w:lang w:val="es-ES"/>
        </w:rPr>
        <w:noBreakHyphen/>
        <w:t>ROM donde figura el contenido del folleto y la información notificada a la BR sobre estaciones costeras, estaciones piloto, estaciones en puerto, estaciones del servicio de gestión del tráfico de navíos (VTS), etc.</w:t>
      </w:r>
      <w:bookmarkEnd w:id="66"/>
    </w:p>
    <w:p w:rsidR="001D1D20" w:rsidRPr="00C53010" w:rsidRDefault="001D1D20" w:rsidP="001D1D20">
      <w:pPr>
        <w:rPr>
          <w:szCs w:val="24"/>
          <w:lang w:val="es-ES"/>
        </w:rPr>
      </w:pPr>
      <w:bookmarkStart w:id="67" w:name="lt_pId464"/>
      <w:r w:rsidRPr="00C53010">
        <w:rPr>
          <w:lang w:val="es-ES"/>
        </w:rPr>
        <w:lastRenderedPageBreak/>
        <w:t>La información sobre esta Lista también está disponible a través del sistema de información en línea de la UIT de acceso y consulta de la base de datos del servicio móvil marítimo (MARS).</w:t>
      </w:r>
      <w:bookmarkEnd w:id="67"/>
      <w:r w:rsidRPr="00C53010">
        <w:rPr>
          <w:lang w:val="es-ES"/>
        </w:rPr>
        <w:t xml:space="preserve"> </w:t>
      </w:r>
      <w:bookmarkStart w:id="68" w:name="lt_pId465"/>
      <w:r w:rsidRPr="00C53010">
        <w:rPr>
          <w:lang w:val="es-ES"/>
        </w:rPr>
        <w:t>Además</w:t>
      </w:r>
      <w:r w:rsidR="001B0E79">
        <w:rPr>
          <w:lang w:val="es-ES"/>
        </w:rPr>
        <w:t xml:space="preserve">, </w:t>
      </w:r>
      <w:r w:rsidRPr="00C53010">
        <w:rPr>
          <w:lang w:val="es-ES"/>
        </w:rPr>
        <w:t>la Oficina sigue publicando cada seis meses una compilación de todos los cambios notificados a la UIT durante ese periodo</w:t>
      </w:r>
      <w:r w:rsidRPr="00C53010">
        <w:rPr>
          <w:szCs w:val="24"/>
          <w:lang w:val="es-ES"/>
        </w:rPr>
        <w:t>.</w:t>
      </w:r>
      <w:bookmarkEnd w:id="68"/>
    </w:p>
    <w:p w:rsidR="001D1D20" w:rsidRPr="00C53010" w:rsidRDefault="001D1D20" w:rsidP="001D1D20">
      <w:pPr>
        <w:pStyle w:val="Heading4"/>
        <w:rPr>
          <w:lang w:val="es-ES"/>
        </w:rPr>
      </w:pPr>
      <w:r w:rsidRPr="00C53010">
        <w:rPr>
          <w:lang w:val="es-ES"/>
        </w:rPr>
        <w:t>8.1.2.3</w:t>
      </w:r>
      <w:r w:rsidRPr="00C53010">
        <w:rPr>
          <w:lang w:val="es-ES"/>
        </w:rPr>
        <w:tab/>
        <w:t>Nomenclátor de las estaciones de barco y de las asignaciones a identidades del servicio móvil marítimo (Lista V)</w:t>
      </w:r>
    </w:p>
    <w:p w:rsidR="001D1D20" w:rsidRPr="00C53010" w:rsidRDefault="00BF547F" w:rsidP="001D1D20">
      <w:pPr>
        <w:rPr>
          <w:lang w:val="es-ES"/>
        </w:rPr>
      </w:pPr>
      <w:bookmarkStart w:id="69" w:name="lt_pId468"/>
      <w:r>
        <w:rPr>
          <w:lang w:val="es-ES"/>
        </w:rPr>
        <w:t xml:space="preserve">La edición de 2017 del </w:t>
      </w:r>
      <w:r w:rsidRPr="00C53010">
        <w:rPr>
          <w:lang w:val="es-ES"/>
        </w:rPr>
        <w:t>Nomenclátor de las estaciones de barco y de las asignaciones a identidades del servicio móvil marítimo (Lista V)</w:t>
      </w:r>
      <w:r>
        <w:rPr>
          <w:lang w:val="es-ES"/>
        </w:rPr>
        <w:t xml:space="preserve"> se publicó en marzo de 2017</w:t>
      </w:r>
      <w:r w:rsidRPr="00C53010">
        <w:rPr>
          <w:lang w:val="es-ES"/>
        </w:rPr>
        <w:t>. La Lista está compuesta de un folleto en papel que contiene el Prefacio y los Cuadros de Referencia y un CD</w:t>
      </w:r>
      <w:r w:rsidRPr="00C53010">
        <w:rPr>
          <w:lang w:val="es-ES"/>
        </w:rPr>
        <w:noBreakHyphen/>
        <w:t>ROM donde figura el contenido del folleto y la información notificada a la BR sobre estaciones de barco, aeronaves de búsqueda y salvamento (SAR) a las que se ha asignado una MMSI, etc.</w:t>
      </w:r>
      <w:bookmarkEnd w:id="69"/>
    </w:p>
    <w:p w:rsidR="001D1D20" w:rsidRPr="00C53010" w:rsidRDefault="001D1D20" w:rsidP="001D1D20">
      <w:pPr>
        <w:rPr>
          <w:lang w:val="es-ES"/>
        </w:rPr>
      </w:pPr>
      <w:bookmarkStart w:id="70" w:name="lt_pId470"/>
      <w:r w:rsidRPr="00C53010">
        <w:rPr>
          <w:lang w:val="es-ES"/>
        </w:rPr>
        <w:t>La información sobre esta Lista también está disponible diariamente a través del sistema de información en línea de la UIT de acceso y consulta de la base de datos del servicio móvil marítimo (MARS). La compilación de todos los cambios notificados a la UIT sigue estando disponible cada tres meses a través del sistema MARS de la UIT</w:t>
      </w:r>
      <w:bookmarkStart w:id="71" w:name="lt_pId471"/>
      <w:bookmarkEnd w:id="70"/>
      <w:r w:rsidRPr="00C53010">
        <w:rPr>
          <w:szCs w:val="24"/>
          <w:lang w:val="es-ES"/>
        </w:rPr>
        <w:t>.</w:t>
      </w:r>
      <w:bookmarkEnd w:id="71"/>
    </w:p>
    <w:p w:rsidR="002002CB" w:rsidRPr="00C53010" w:rsidRDefault="002002CB" w:rsidP="00BF547F">
      <w:pPr>
        <w:rPr>
          <w:lang w:val="es-ES"/>
        </w:rPr>
      </w:pPr>
      <w:r w:rsidRPr="00C53010">
        <w:rPr>
          <w:lang w:val="es-ES"/>
        </w:rPr>
        <w:t>Por un error de procesamiento ciertos barcos de una administración no se incluyeron en la publicación</w:t>
      </w:r>
      <w:r w:rsidR="00D1010F">
        <w:rPr>
          <w:lang w:val="es-ES"/>
        </w:rPr>
        <w:t xml:space="preserve"> </w:t>
      </w:r>
      <w:r w:rsidR="00BF547F">
        <w:rPr>
          <w:lang w:val="es-ES"/>
        </w:rPr>
        <w:t>de</w:t>
      </w:r>
      <w:r w:rsidR="00D1010F">
        <w:rPr>
          <w:lang w:val="es-ES"/>
        </w:rPr>
        <w:t xml:space="preserve"> marzo de 2017</w:t>
      </w:r>
      <w:r w:rsidRPr="00C53010">
        <w:rPr>
          <w:lang w:val="es-ES"/>
        </w:rPr>
        <w:t>. Para rectificar el error y garantizar que la información de la Lista V es correcta y completa</w:t>
      </w:r>
      <w:r w:rsidR="001B0E79">
        <w:rPr>
          <w:lang w:val="es-ES"/>
        </w:rPr>
        <w:t xml:space="preserve">, </w:t>
      </w:r>
      <w:r w:rsidRPr="00C53010">
        <w:rPr>
          <w:lang w:val="es-ES"/>
        </w:rPr>
        <w:t>se preparó y publicó en junio de 2017 una edición especial que sustituye a la publicación de marzo de 2017.</w:t>
      </w:r>
    </w:p>
    <w:p w:rsidR="002002CB" w:rsidRPr="00C53010" w:rsidRDefault="002002CB" w:rsidP="001B0E79">
      <w:pPr>
        <w:rPr>
          <w:lang w:val="es-ES"/>
        </w:rPr>
      </w:pPr>
      <w:r w:rsidRPr="00C53010">
        <w:rPr>
          <w:lang w:val="es-ES"/>
        </w:rPr>
        <w:t>La versión corregida de la edición de 2017 de la Lista V está publicada en el sitio web de la UIT</w:t>
      </w:r>
      <w:r w:rsidR="001B0E79">
        <w:rPr>
          <w:lang w:val="es-ES"/>
        </w:rPr>
        <w:t>,</w:t>
      </w:r>
      <w:r w:rsidRPr="00C53010">
        <w:rPr>
          <w:lang w:val="es-ES"/>
        </w:rPr>
        <w:t xml:space="preserve"> </w:t>
      </w:r>
      <w:hyperlink r:id="rId30" w:history="1">
        <w:r w:rsidRPr="00C53010">
          <w:rPr>
            <w:rStyle w:val="Hyperlink"/>
            <w:rFonts w:eastAsiaTheme="minorEastAsia"/>
            <w:lang w:val="es-ES"/>
          </w:rPr>
          <w:t>http://www.itu.int/en/ITU-R/terr</w:t>
        </w:r>
        <w:r w:rsidRPr="00C53010">
          <w:rPr>
            <w:rStyle w:val="Hyperlink"/>
            <w:rFonts w:eastAsiaTheme="minorEastAsia"/>
            <w:lang w:val="es-ES"/>
          </w:rPr>
          <w:t>e</w:t>
        </w:r>
        <w:r w:rsidRPr="00C53010">
          <w:rPr>
            <w:rStyle w:val="Hyperlink"/>
            <w:rFonts w:eastAsiaTheme="minorEastAsia"/>
            <w:lang w:val="es-ES"/>
          </w:rPr>
          <w:t>strial/mars/Pages/default.aspx</w:t>
        </w:r>
      </w:hyperlink>
      <w:r w:rsidR="001B0E79">
        <w:rPr>
          <w:lang w:val="es-ES"/>
        </w:rPr>
        <w:t>,</w:t>
      </w:r>
      <w:r w:rsidRPr="00C53010">
        <w:rPr>
          <w:lang w:val="es-ES"/>
        </w:rPr>
        <w:t xml:space="preserve"> y puede descargarse gratuitamente. </w:t>
      </w:r>
    </w:p>
    <w:p w:rsidR="002002CB" w:rsidRPr="00C53010" w:rsidRDefault="002002CB" w:rsidP="001B0E79">
      <w:pPr>
        <w:rPr>
          <w:lang w:val="es-ES"/>
        </w:rPr>
      </w:pPr>
      <w:r w:rsidRPr="00C53010">
        <w:rPr>
          <w:lang w:val="es-ES"/>
        </w:rPr>
        <w:t>Para evitar tales problemas en el futuro</w:t>
      </w:r>
      <w:r w:rsidR="001B0E79">
        <w:rPr>
          <w:lang w:val="es-ES"/>
        </w:rPr>
        <w:t xml:space="preserve">, </w:t>
      </w:r>
      <w:r w:rsidRPr="00C53010">
        <w:rPr>
          <w:lang w:val="es-ES"/>
        </w:rPr>
        <w:t>la Oficina ha definido y puesto en práctica varias medidas técnicas y administrativas internas destinadas a la mejora de la tramitación de las comunicaciones de las administraciones sobre las estaciones de barco.</w:t>
      </w:r>
    </w:p>
    <w:p w:rsidR="00FA7C73" w:rsidRPr="00C53010" w:rsidRDefault="00FA7C73" w:rsidP="001D1D20">
      <w:pPr>
        <w:pStyle w:val="Heading4"/>
        <w:rPr>
          <w:lang w:val="es-ES"/>
        </w:rPr>
      </w:pPr>
      <w:r w:rsidRPr="00C53010">
        <w:rPr>
          <w:lang w:val="es-ES"/>
        </w:rPr>
        <w:t>8.1.2.4</w:t>
      </w:r>
      <w:r w:rsidRPr="00C53010">
        <w:rPr>
          <w:lang w:val="es-ES"/>
        </w:rPr>
        <w:tab/>
      </w:r>
      <w:r w:rsidR="001D1D20" w:rsidRPr="00C53010">
        <w:rPr>
          <w:lang w:val="es-ES"/>
        </w:rPr>
        <w:t xml:space="preserve">Nomenclátor de las estaciones de comprobación técnica internacional de las emisiones (Lista </w:t>
      </w:r>
      <w:r w:rsidRPr="00C53010">
        <w:rPr>
          <w:lang w:val="es-ES"/>
        </w:rPr>
        <w:t xml:space="preserve">VIII) </w:t>
      </w:r>
    </w:p>
    <w:p w:rsidR="00FA7C73" w:rsidRPr="00C53010" w:rsidRDefault="00727858" w:rsidP="00563D35">
      <w:pPr>
        <w:rPr>
          <w:lang w:val="es-ES"/>
        </w:rPr>
      </w:pPr>
      <w:r w:rsidRPr="00C53010">
        <w:rPr>
          <w:lang w:val="es-ES"/>
        </w:rPr>
        <w:t xml:space="preserve">No se publicó una nueva </w:t>
      </w:r>
      <w:r w:rsidR="00C10B9B">
        <w:rPr>
          <w:lang w:val="es-ES"/>
        </w:rPr>
        <w:t>e</w:t>
      </w:r>
      <w:r w:rsidRPr="00C53010">
        <w:rPr>
          <w:lang w:val="es-ES"/>
        </w:rPr>
        <w:t>dición del Nomenclátor en el periodo considerado</w:t>
      </w:r>
      <w:r w:rsidR="00FA7C73" w:rsidRPr="00C53010">
        <w:rPr>
          <w:lang w:val="es-ES"/>
        </w:rPr>
        <w:t>.</w:t>
      </w:r>
    </w:p>
    <w:p w:rsidR="00FA7C73" w:rsidRPr="00C53010" w:rsidRDefault="00FA7C73" w:rsidP="001D1D20">
      <w:pPr>
        <w:pStyle w:val="Heading4"/>
        <w:rPr>
          <w:lang w:val="es-ES"/>
        </w:rPr>
      </w:pPr>
      <w:r w:rsidRPr="00C53010">
        <w:rPr>
          <w:lang w:val="es-ES"/>
        </w:rPr>
        <w:t>8.1.2.5</w:t>
      </w:r>
      <w:r w:rsidRPr="00C53010">
        <w:rPr>
          <w:lang w:val="es-ES"/>
        </w:rPr>
        <w:tab/>
      </w:r>
      <w:r w:rsidR="001D1D20" w:rsidRPr="00C53010">
        <w:rPr>
          <w:lang w:val="es-ES"/>
        </w:rPr>
        <w:t>Lista de documentos de servicio publicados</w:t>
      </w:r>
      <w:r w:rsidRPr="00C53010">
        <w:rPr>
          <w:lang w:val="es-ES"/>
        </w:rPr>
        <w:t xml:space="preserve"> </w:t>
      </w:r>
    </w:p>
    <w:p w:rsidR="00FA7C73" w:rsidRDefault="001D1D20" w:rsidP="00563D35">
      <w:pPr>
        <w:rPr>
          <w:lang w:val="es-ES"/>
        </w:rPr>
      </w:pPr>
      <w:bookmarkStart w:id="72" w:name="_Toc418163378"/>
      <w:bookmarkStart w:id="73" w:name="_Toc418232296"/>
      <w:bookmarkStart w:id="74" w:name="_Toc424047598"/>
      <w:bookmarkStart w:id="75" w:name="_Toc446060780"/>
      <w:r w:rsidRPr="00C53010">
        <w:rPr>
          <w:lang w:val="es-ES"/>
        </w:rPr>
        <w:t xml:space="preserve">En el Cuadro </w:t>
      </w:r>
      <w:r w:rsidR="00FA7C73" w:rsidRPr="00C53010">
        <w:rPr>
          <w:lang w:val="es-ES"/>
        </w:rPr>
        <w:t xml:space="preserve">8.1.2.5-1 </w:t>
      </w:r>
      <w:r w:rsidRPr="00C53010">
        <w:rPr>
          <w:lang w:val="es-ES"/>
        </w:rPr>
        <w:t>se resumen las publicaciones elaboradas y publicadas durante el periodo</w:t>
      </w:r>
      <w:r w:rsidR="00FA7C73" w:rsidRPr="00C53010">
        <w:rPr>
          <w:lang w:val="es-ES"/>
        </w:rPr>
        <w:t xml:space="preserve"> 2014-2017:</w:t>
      </w:r>
    </w:p>
    <w:p w:rsidR="00C10B9B" w:rsidRPr="00AB3809" w:rsidRDefault="00C10B9B" w:rsidP="00C10B9B">
      <w:pPr>
        <w:pStyle w:val="TableNoBR"/>
      </w:pPr>
      <w:r w:rsidRPr="00AB3809">
        <w:t>CUADRO 8.1.2.5-1</w:t>
      </w:r>
    </w:p>
    <w:p w:rsidR="00C10B9B" w:rsidRPr="001E6A10" w:rsidRDefault="00C10B9B" w:rsidP="00C10B9B">
      <w:pPr>
        <w:pStyle w:val="TabletitleBR"/>
      </w:pPr>
      <w:r>
        <w:t>Información resumida sobre los documentos de servicio publicados en el periodo 2014-2017</w:t>
      </w:r>
    </w:p>
    <w:p w:rsidR="00C10B9B" w:rsidRPr="00C53010" w:rsidRDefault="00C10B9B" w:rsidP="001D1D20">
      <w:pPr>
        <w:jc w:val="both"/>
        <w:rPr>
          <w:lang w:val="es-ES"/>
        </w:rPr>
      </w:pPr>
    </w:p>
    <w:p w:rsidR="00FA7C73" w:rsidRPr="00C53010" w:rsidRDefault="00FA7C73" w:rsidP="001F3A94">
      <w:pPr>
        <w:tabs>
          <w:tab w:val="clear" w:pos="794"/>
          <w:tab w:val="clear" w:pos="1191"/>
          <w:tab w:val="clear" w:pos="1588"/>
          <w:tab w:val="clear" w:pos="1985"/>
        </w:tabs>
        <w:overflowPunct/>
        <w:autoSpaceDE/>
        <w:autoSpaceDN/>
        <w:adjustRightInd/>
        <w:spacing w:before="0"/>
        <w:textAlignment w:val="auto"/>
        <w:rPr>
          <w:lang w:val="es-ES"/>
        </w:rPr>
      </w:pPr>
    </w:p>
    <w:tbl>
      <w:tblPr>
        <w:tblW w:w="88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012"/>
        <w:gridCol w:w="1241"/>
        <w:gridCol w:w="1417"/>
        <w:gridCol w:w="1418"/>
        <w:gridCol w:w="1771"/>
      </w:tblGrid>
      <w:tr w:rsidR="00FA7C73" w:rsidRPr="00C53010" w:rsidTr="00727858">
        <w:trPr>
          <w:jc w:val="center"/>
        </w:trPr>
        <w:tc>
          <w:tcPr>
            <w:tcW w:w="3012" w:type="dxa"/>
            <w:tcBorders>
              <w:top w:val="nil"/>
              <w:left w:val="nil"/>
              <w:bottom w:val="single" w:sz="4" w:space="0" w:color="auto"/>
              <w:right w:val="single" w:sz="4" w:space="0" w:color="auto"/>
            </w:tcBorders>
            <w:vAlign w:val="center"/>
          </w:tcPr>
          <w:p w:rsidR="00FA7C73" w:rsidRPr="00C53010" w:rsidRDefault="00FA7C73" w:rsidP="001F3A94">
            <w:pPr>
              <w:tabs>
                <w:tab w:val="clear" w:pos="794"/>
                <w:tab w:val="clear" w:pos="1191"/>
                <w:tab w:val="clear" w:pos="1588"/>
                <w:tab w:val="clear" w:pos="1985"/>
              </w:tabs>
              <w:overflowPunct/>
              <w:autoSpaceDE/>
              <w:autoSpaceDN/>
              <w:adjustRightInd/>
              <w:spacing w:before="0" w:after="160"/>
              <w:jc w:val="center"/>
              <w:textAlignment w:val="auto"/>
              <w:rPr>
                <w:rFonts w:eastAsia="SimSun"/>
                <w:szCs w:val="24"/>
                <w:lang w:val="es-ES" w:eastAsia="zh-CN"/>
              </w:rPr>
            </w:pPr>
          </w:p>
        </w:tc>
        <w:tc>
          <w:tcPr>
            <w:tcW w:w="1241" w:type="dxa"/>
            <w:tcBorders>
              <w:top w:val="single" w:sz="4" w:space="0" w:color="auto"/>
              <w:left w:val="single" w:sz="4" w:space="0" w:color="auto"/>
              <w:bottom w:val="single" w:sz="4" w:space="0" w:color="auto"/>
            </w:tcBorders>
            <w:vAlign w:val="center"/>
          </w:tcPr>
          <w:p w:rsidR="00FA7C73" w:rsidRPr="00C53010" w:rsidRDefault="00FA7C73" w:rsidP="001F3A94">
            <w:pPr>
              <w:keepNext/>
              <w:tabs>
                <w:tab w:val="clear" w:pos="794"/>
                <w:tab w:val="clear" w:pos="1191"/>
                <w:tab w:val="clear" w:pos="1588"/>
                <w:tab w:val="clear" w:pos="1985"/>
              </w:tabs>
              <w:overflowPunct/>
              <w:autoSpaceDE/>
              <w:autoSpaceDN/>
              <w:adjustRightInd/>
              <w:spacing w:before="80" w:after="80"/>
              <w:jc w:val="center"/>
              <w:textAlignment w:val="auto"/>
              <w:rPr>
                <w:rFonts w:eastAsia="SimSun"/>
                <w:b/>
                <w:sz w:val="22"/>
                <w:szCs w:val="22"/>
                <w:lang w:val="es-ES" w:eastAsia="zh-CN"/>
              </w:rPr>
            </w:pPr>
            <w:r w:rsidRPr="00C53010">
              <w:rPr>
                <w:rFonts w:eastAsia="SimSun"/>
                <w:b/>
                <w:sz w:val="22"/>
                <w:szCs w:val="22"/>
                <w:lang w:val="es-ES" w:eastAsia="zh-CN"/>
              </w:rPr>
              <w:t>2014</w:t>
            </w:r>
          </w:p>
        </w:tc>
        <w:tc>
          <w:tcPr>
            <w:tcW w:w="1417" w:type="dxa"/>
            <w:tcBorders>
              <w:top w:val="single" w:sz="4" w:space="0" w:color="auto"/>
              <w:bottom w:val="single" w:sz="4" w:space="0" w:color="auto"/>
            </w:tcBorders>
            <w:vAlign w:val="center"/>
          </w:tcPr>
          <w:p w:rsidR="00FA7C73" w:rsidRPr="00C53010" w:rsidRDefault="00FA7C73" w:rsidP="001F3A94">
            <w:pPr>
              <w:keepNext/>
              <w:tabs>
                <w:tab w:val="clear" w:pos="794"/>
                <w:tab w:val="clear" w:pos="1191"/>
                <w:tab w:val="clear" w:pos="1588"/>
                <w:tab w:val="clear" w:pos="1985"/>
              </w:tabs>
              <w:overflowPunct/>
              <w:autoSpaceDE/>
              <w:autoSpaceDN/>
              <w:adjustRightInd/>
              <w:spacing w:before="80" w:after="80"/>
              <w:jc w:val="center"/>
              <w:textAlignment w:val="auto"/>
              <w:rPr>
                <w:rFonts w:eastAsia="SimSun"/>
                <w:b/>
                <w:sz w:val="22"/>
                <w:szCs w:val="22"/>
                <w:lang w:val="es-ES" w:eastAsia="zh-CN"/>
              </w:rPr>
            </w:pPr>
            <w:r w:rsidRPr="00C53010">
              <w:rPr>
                <w:rFonts w:eastAsia="SimSun"/>
                <w:b/>
                <w:sz w:val="22"/>
                <w:szCs w:val="22"/>
                <w:lang w:val="es-ES" w:eastAsia="zh-CN"/>
              </w:rPr>
              <w:t>2015</w:t>
            </w:r>
          </w:p>
        </w:tc>
        <w:tc>
          <w:tcPr>
            <w:tcW w:w="1418" w:type="dxa"/>
            <w:tcBorders>
              <w:top w:val="single" w:sz="4" w:space="0" w:color="auto"/>
              <w:bottom w:val="single" w:sz="4" w:space="0" w:color="auto"/>
              <w:right w:val="single" w:sz="4" w:space="0" w:color="auto"/>
            </w:tcBorders>
            <w:vAlign w:val="center"/>
          </w:tcPr>
          <w:p w:rsidR="00FA7C73" w:rsidRPr="00C53010" w:rsidRDefault="00FA7C73" w:rsidP="001F3A94">
            <w:pPr>
              <w:keepNext/>
              <w:tabs>
                <w:tab w:val="clear" w:pos="794"/>
                <w:tab w:val="clear" w:pos="1191"/>
                <w:tab w:val="clear" w:pos="1588"/>
                <w:tab w:val="clear" w:pos="1985"/>
              </w:tabs>
              <w:overflowPunct/>
              <w:autoSpaceDE/>
              <w:autoSpaceDN/>
              <w:adjustRightInd/>
              <w:spacing w:before="80" w:after="80"/>
              <w:jc w:val="center"/>
              <w:textAlignment w:val="auto"/>
              <w:rPr>
                <w:rFonts w:eastAsia="SimSun"/>
                <w:b/>
                <w:sz w:val="22"/>
                <w:szCs w:val="22"/>
                <w:lang w:val="es-ES" w:eastAsia="zh-CN"/>
              </w:rPr>
            </w:pPr>
            <w:r w:rsidRPr="00C53010">
              <w:rPr>
                <w:rFonts w:eastAsia="SimSun"/>
                <w:b/>
                <w:sz w:val="22"/>
                <w:szCs w:val="22"/>
                <w:lang w:val="es-ES" w:eastAsia="zh-CN"/>
              </w:rPr>
              <w:t>2016</w:t>
            </w:r>
          </w:p>
        </w:tc>
        <w:tc>
          <w:tcPr>
            <w:tcW w:w="1771" w:type="dxa"/>
            <w:tcBorders>
              <w:top w:val="single" w:sz="4" w:space="0" w:color="auto"/>
              <w:bottom w:val="single" w:sz="4" w:space="0" w:color="auto"/>
              <w:right w:val="single" w:sz="4" w:space="0" w:color="auto"/>
            </w:tcBorders>
            <w:vAlign w:val="center"/>
          </w:tcPr>
          <w:p w:rsidR="00FA7C73" w:rsidRPr="00C53010" w:rsidRDefault="00FA7C73" w:rsidP="001F3A94">
            <w:pPr>
              <w:keepNext/>
              <w:tabs>
                <w:tab w:val="clear" w:pos="794"/>
                <w:tab w:val="clear" w:pos="1191"/>
                <w:tab w:val="clear" w:pos="1588"/>
                <w:tab w:val="clear" w:pos="1985"/>
              </w:tabs>
              <w:overflowPunct/>
              <w:autoSpaceDE/>
              <w:autoSpaceDN/>
              <w:adjustRightInd/>
              <w:spacing w:before="80" w:after="80"/>
              <w:jc w:val="center"/>
              <w:textAlignment w:val="auto"/>
              <w:rPr>
                <w:rFonts w:eastAsia="SimSun"/>
                <w:b/>
                <w:sz w:val="22"/>
                <w:szCs w:val="22"/>
                <w:lang w:val="es-ES" w:eastAsia="zh-CN"/>
              </w:rPr>
            </w:pPr>
            <w:r w:rsidRPr="00C53010">
              <w:rPr>
                <w:rFonts w:eastAsia="SimSun"/>
                <w:b/>
                <w:sz w:val="22"/>
                <w:szCs w:val="22"/>
                <w:lang w:val="es-ES" w:eastAsia="zh-CN"/>
              </w:rPr>
              <w:t>2017</w:t>
            </w:r>
          </w:p>
        </w:tc>
      </w:tr>
      <w:tr w:rsidR="001D1D20" w:rsidRPr="00C53010" w:rsidTr="00727858">
        <w:trPr>
          <w:cantSplit/>
          <w:jc w:val="center"/>
        </w:trPr>
        <w:tc>
          <w:tcPr>
            <w:tcW w:w="3012" w:type="dxa"/>
            <w:tcBorders>
              <w:left w:val="single" w:sz="4" w:space="0" w:color="auto"/>
              <w:bottom w:val="single" w:sz="4" w:space="0" w:color="auto"/>
            </w:tcBorders>
            <w:vAlign w:val="center"/>
          </w:tcPr>
          <w:p w:rsidR="001D1D20" w:rsidRPr="00C53010" w:rsidRDefault="001D1D20" w:rsidP="001D1D2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
              </w:rPr>
            </w:pPr>
            <w:r w:rsidRPr="00C53010">
              <w:rPr>
                <w:rFonts w:asciiTheme="majorBidi" w:hAnsiTheme="majorBidi" w:cstheme="majorBidi"/>
                <w:sz w:val="20"/>
                <w:lang w:val="es-ES"/>
              </w:rPr>
              <w:t>Lista IV (Nomenclátor de estaciones costeras y estaciones de servicios especiales)</w:t>
            </w:r>
          </w:p>
        </w:tc>
        <w:tc>
          <w:tcPr>
            <w:tcW w:w="1241" w:type="dxa"/>
            <w:tcBorders>
              <w:bottom w:val="single" w:sz="4" w:space="0" w:color="auto"/>
            </w:tcBorders>
            <w:vAlign w:val="center"/>
          </w:tcPr>
          <w:p w:rsidR="001D1D20" w:rsidRPr="00C53010" w:rsidRDefault="001D1D20" w:rsidP="001D1D20">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sz w:val="22"/>
                <w:szCs w:val="22"/>
                <w:lang w:val="es-ES" w:eastAsia="zh-CN"/>
              </w:rPr>
            </w:pPr>
            <w:r w:rsidRPr="00C53010">
              <w:rPr>
                <w:rFonts w:eastAsia="SimSun"/>
                <w:sz w:val="22"/>
                <w:szCs w:val="22"/>
                <w:lang w:val="es-ES" w:eastAsia="zh-CN"/>
              </w:rPr>
              <w:t>-</w:t>
            </w:r>
          </w:p>
        </w:tc>
        <w:tc>
          <w:tcPr>
            <w:tcW w:w="1417" w:type="dxa"/>
            <w:tcBorders>
              <w:bottom w:val="single" w:sz="4" w:space="0" w:color="auto"/>
            </w:tcBorders>
            <w:vAlign w:val="center"/>
          </w:tcPr>
          <w:p w:rsidR="001D1D20" w:rsidRPr="00C53010" w:rsidRDefault="00727858" w:rsidP="00727858">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sz w:val="22"/>
                <w:szCs w:val="22"/>
                <w:lang w:val="es-ES" w:eastAsia="zh-CN"/>
              </w:rPr>
            </w:pPr>
            <w:r w:rsidRPr="00C53010">
              <w:rPr>
                <w:rFonts w:eastAsia="SimSun"/>
                <w:sz w:val="22"/>
                <w:szCs w:val="22"/>
                <w:lang w:val="es-ES" w:eastAsia="zh-CN"/>
              </w:rPr>
              <w:t>Edición de</w:t>
            </w:r>
            <w:r w:rsidR="001D1D20" w:rsidRPr="00C53010">
              <w:rPr>
                <w:rFonts w:eastAsia="SimSun"/>
                <w:sz w:val="22"/>
                <w:szCs w:val="22"/>
                <w:lang w:val="es-ES" w:eastAsia="zh-CN"/>
              </w:rPr>
              <w:t xml:space="preserve"> 2015</w:t>
            </w:r>
            <w:r w:rsidR="001D1D20" w:rsidRPr="00C53010">
              <w:rPr>
                <w:rFonts w:eastAsia="SimSun"/>
                <w:sz w:val="22"/>
                <w:szCs w:val="22"/>
                <w:lang w:val="es-ES" w:eastAsia="zh-CN"/>
              </w:rPr>
              <w:br/>
              <w:t>(</w:t>
            </w:r>
            <w:r w:rsidRPr="00C53010">
              <w:rPr>
                <w:rFonts w:eastAsia="SimSun"/>
                <w:sz w:val="22"/>
                <w:szCs w:val="22"/>
                <w:lang w:val="es-ES" w:eastAsia="zh-CN"/>
              </w:rPr>
              <w:t>noviembre</w:t>
            </w:r>
            <w:r w:rsidR="001D1D20" w:rsidRPr="00C53010">
              <w:rPr>
                <w:rFonts w:eastAsia="SimSun"/>
                <w:sz w:val="22"/>
                <w:szCs w:val="22"/>
                <w:lang w:val="es-ES" w:eastAsia="zh-CN"/>
              </w:rPr>
              <w:t>)</w:t>
            </w:r>
          </w:p>
        </w:tc>
        <w:tc>
          <w:tcPr>
            <w:tcW w:w="1418" w:type="dxa"/>
            <w:tcBorders>
              <w:bottom w:val="single" w:sz="4" w:space="0" w:color="auto"/>
              <w:right w:val="single" w:sz="4" w:space="0" w:color="auto"/>
            </w:tcBorders>
            <w:vAlign w:val="center"/>
          </w:tcPr>
          <w:p w:rsidR="001D1D20" w:rsidRPr="00C53010" w:rsidRDefault="001D1D20" w:rsidP="001D1D20">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sz w:val="22"/>
                <w:szCs w:val="22"/>
                <w:lang w:val="es-ES" w:eastAsia="zh-CN"/>
              </w:rPr>
            </w:pPr>
            <w:r w:rsidRPr="00C53010">
              <w:rPr>
                <w:rFonts w:eastAsia="SimSun"/>
                <w:sz w:val="22"/>
                <w:szCs w:val="22"/>
                <w:lang w:val="es-ES" w:eastAsia="zh-CN"/>
              </w:rPr>
              <w:t>-</w:t>
            </w:r>
          </w:p>
        </w:tc>
        <w:tc>
          <w:tcPr>
            <w:tcW w:w="1771" w:type="dxa"/>
            <w:tcBorders>
              <w:bottom w:val="single" w:sz="4" w:space="0" w:color="auto"/>
              <w:right w:val="single" w:sz="4" w:space="0" w:color="auto"/>
            </w:tcBorders>
            <w:vAlign w:val="center"/>
          </w:tcPr>
          <w:p w:rsidR="001D1D20" w:rsidRPr="00C53010" w:rsidRDefault="00727858" w:rsidP="001D1D20">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sz w:val="22"/>
                <w:szCs w:val="22"/>
                <w:lang w:val="es-ES" w:eastAsia="zh-CN"/>
              </w:rPr>
            </w:pPr>
            <w:r w:rsidRPr="00C53010">
              <w:rPr>
                <w:rFonts w:eastAsia="SimSun"/>
                <w:sz w:val="22"/>
                <w:szCs w:val="22"/>
                <w:lang w:val="es-ES" w:eastAsia="zh-CN"/>
              </w:rPr>
              <w:t xml:space="preserve">Edición de </w:t>
            </w:r>
            <w:r w:rsidR="001D1D20" w:rsidRPr="00C53010">
              <w:rPr>
                <w:rFonts w:eastAsia="SimSun"/>
                <w:sz w:val="22"/>
                <w:szCs w:val="22"/>
                <w:lang w:val="es-ES" w:eastAsia="zh-CN"/>
              </w:rPr>
              <w:t>2017</w:t>
            </w:r>
            <w:r w:rsidR="001D1D20" w:rsidRPr="00C53010">
              <w:rPr>
                <w:rFonts w:eastAsia="SimSun"/>
                <w:sz w:val="22"/>
                <w:szCs w:val="22"/>
                <w:lang w:val="es-ES" w:eastAsia="zh-CN"/>
              </w:rPr>
              <w:br/>
              <w:t>(</w:t>
            </w:r>
            <w:r w:rsidRPr="00C53010">
              <w:rPr>
                <w:rFonts w:eastAsia="SimSun"/>
                <w:sz w:val="22"/>
                <w:szCs w:val="22"/>
                <w:lang w:val="es-ES" w:eastAsia="zh-CN"/>
              </w:rPr>
              <w:t>noviembre</w:t>
            </w:r>
            <w:r w:rsidR="001D1D20" w:rsidRPr="00C53010">
              <w:rPr>
                <w:rFonts w:eastAsia="SimSun"/>
                <w:sz w:val="22"/>
                <w:szCs w:val="22"/>
                <w:lang w:val="es-ES" w:eastAsia="zh-CN"/>
              </w:rPr>
              <w:t>)</w:t>
            </w:r>
          </w:p>
        </w:tc>
      </w:tr>
      <w:tr w:rsidR="001D1D20" w:rsidRPr="00C53010" w:rsidTr="00727858">
        <w:trPr>
          <w:cantSplit/>
          <w:jc w:val="center"/>
        </w:trPr>
        <w:tc>
          <w:tcPr>
            <w:tcW w:w="3012" w:type="dxa"/>
            <w:tcBorders>
              <w:top w:val="single" w:sz="4" w:space="0" w:color="auto"/>
              <w:left w:val="single" w:sz="4" w:space="0" w:color="auto"/>
              <w:bottom w:val="single" w:sz="4" w:space="0" w:color="auto"/>
              <w:right w:val="single" w:sz="4" w:space="0" w:color="auto"/>
            </w:tcBorders>
            <w:vAlign w:val="center"/>
          </w:tcPr>
          <w:p w:rsidR="001D1D20" w:rsidRPr="00C53010" w:rsidRDefault="001D1D20" w:rsidP="001D1D2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
              </w:rPr>
            </w:pPr>
            <w:r w:rsidRPr="00C53010">
              <w:rPr>
                <w:rFonts w:asciiTheme="majorBidi" w:hAnsiTheme="majorBidi" w:cstheme="majorBidi"/>
                <w:sz w:val="20"/>
                <w:lang w:val="es-ES"/>
              </w:rPr>
              <w:t>Lista V (Nomenclátor de las estaciones de barco y de las asignaciones a identidades del servicio móvil marítimo)</w:t>
            </w:r>
          </w:p>
        </w:tc>
        <w:tc>
          <w:tcPr>
            <w:tcW w:w="1241" w:type="dxa"/>
            <w:tcBorders>
              <w:top w:val="single" w:sz="4" w:space="0" w:color="auto"/>
              <w:left w:val="single" w:sz="4" w:space="0" w:color="auto"/>
              <w:bottom w:val="single" w:sz="4" w:space="0" w:color="auto"/>
              <w:right w:val="single" w:sz="4" w:space="0" w:color="auto"/>
            </w:tcBorders>
            <w:vAlign w:val="center"/>
          </w:tcPr>
          <w:p w:rsidR="001D1D20" w:rsidRPr="00C53010" w:rsidRDefault="00727858" w:rsidP="001D1D20">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sz w:val="22"/>
                <w:szCs w:val="22"/>
                <w:lang w:val="es-ES" w:eastAsia="zh-CN"/>
              </w:rPr>
            </w:pPr>
            <w:r w:rsidRPr="00C53010">
              <w:rPr>
                <w:rFonts w:eastAsia="SimSun"/>
                <w:sz w:val="22"/>
                <w:szCs w:val="22"/>
                <w:lang w:val="es-ES" w:eastAsia="zh-CN"/>
              </w:rPr>
              <w:t xml:space="preserve">Edición de </w:t>
            </w:r>
            <w:r w:rsidR="001D1D20" w:rsidRPr="00C53010">
              <w:rPr>
                <w:rFonts w:eastAsia="SimSun"/>
                <w:sz w:val="22"/>
                <w:szCs w:val="22"/>
                <w:lang w:val="es-ES" w:eastAsia="zh-CN"/>
              </w:rPr>
              <w:t>2014</w:t>
            </w:r>
            <w:r w:rsidR="001D1D20" w:rsidRPr="00C53010">
              <w:rPr>
                <w:rFonts w:eastAsia="SimSun"/>
                <w:sz w:val="22"/>
                <w:szCs w:val="22"/>
                <w:lang w:val="es-ES" w:eastAsia="zh-CN"/>
              </w:rPr>
              <w:br/>
              <w:t>(</w:t>
            </w:r>
            <w:r w:rsidRPr="00C53010">
              <w:rPr>
                <w:rFonts w:eastAsia="SimSun"/>
                <w:sz w:val="22"/>
                <w:szCs w:val="22"/>
                <w:lang w:val="es-ES" w:eastAsia="zh-CN"/>
              </w:rPr>
              <w:t>marzo</w:t>
            </w:r>
            <w:r w:rsidR="001D1D20" w:rsidRPr="00C53010">
              <w:rPr>
                <w:rFonts w:eastAsia="SimSun"/>
                <w:sz w:val="22"/>
                <w:szCs w:val="22"/>
                <w:lang w:val="es-ES" w:eastAsia="zh-CN"/>
              </w:rPr>
              <w:t>)</w:t>
            </w:r>
          </w:p>
        </w:tc>
        <w:tc>
          <w:tcPr>
            <w:tcW w:w="1417" w:type="dxa"/>
            <w:tcBorders>
              <w:top w:val="single" w:sz="4" w:space="0" w:color="auto"/>
              <w:left w:val="single" w:sz="4" w:space="0" w:color="auto"/>
              <w:bottom w:val="single" w:sz="4" w:space="0" w:color="auto"/>
              <w:right w:val="single" w:sz="4" w:space="0" w:color="auto"/>
            </w:tcBorders>
            <w:vAlign w:val="center"/>
          </w:tcPr>
          <w:p w:rsidR="001D1D20" w:rsidRPr="00C53010" w:rsidRDefault="00727858" w:rsidP="00727858">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sz w:val="22"/>
                <w:szCs w:val="22"/>
                <w:lang w:val="es-ES" w:eastAsia="zh-CN"/>
              </w:rPr>
            </w:pPr>
            <w:r w:rsidRPr="00C53010">
              <w:rPr>
                <w:rFonts w:eastAsia="SimSun"/>
                <w:sz w:val="22"/>
                <w:szCs w:val="22"/>
                <w:lang w:val="es-ES" w:eastAsia="zh-CN"/>
              </w:rPr>
              <w:t xml:space="preserve">Edición de </w:t>
            </w:r>
            <w:r w:rsidR="001D1D20" w:rsidRPr="00C53010">
              <w:rPr>
                <w:rFonts w:eastAsia="SimSun"/>
                <w:sz w:val="22"/>
                <w:szCs w:val="22"/>
                <w:lang w:val="es-ES" w:eastAsia="zh-CN"/>
              </w:rPr>
              <w:t>2015</w:t>
            </w:r>
            <w:r w:rsidR="001D1D20" w:rsidRPr="00C53010">
              <w:rPr>
                <w:rFonts w:eastAsia="SimSun"/>
                <w:sz w:val="22"/>
                <w:szCs w:val="22"/>
                <w:lang w:val="es-ES" w:eastAsia="zh-CN"/>
              </w:rPr>
              <w:br/>
              <w:t>(</w:t>
            </w:r>
            <w:r w:rsidRPr="00C53010">
              <w:rPr>
                <w:rFonts w:eastAsia="SimSun"/>
                <w:sz w:val="22"/>
                <w:szCs w:val="22"/>
                <w:lang w:val="es-ES" w:eastAsia="zh-CN"/>
              </w:rPr>
              <w:t>marzo</w:t>
            </w:r>
            <w:r w:rsidR="001D1D20" w:rsidRPr="00C53010">
              <w:rPr>
                <w:rFonts w:eastAsia="SimSun"/>
                <w:sz w:val="22"/>
                <w:szCs w:val="22"/>
                <w:lang w:val="es-ES" w:eastAsia="zh-CN"/>
              </w:rPr>
              <w:t>)</w:t>
            </w:r>
          </w:p>
        </w:tc>
        <w:tc>
          <w:tcPr>
            <w:tcW w:w="1418" w:type="dxa"/>
            <w:tcBorders>
              <w:top w:val="single" w:sz="4" w:space="0" w:color="auto"/>
              <w:left w:val="single" w:sz="4" w:space="0" w:color="auto"/>
              <w:bottom w:val="single" w:sz="4" w:space="0" w:color="auto"/>
              <w:right w:val="single" w:sz="4" w:space="0" w:color="auto"/>
            </w:tcBorders>
            <w:vAlign w:val="center"/>
          </w:tcPr>
          <w:p w:rsidR="001D1D20" w:rsidRPr="00C53010" w:rsidRDefault="00727858" w:rsidP="001D1D20">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sz w:val="22"/>
                <w:szCs w:val="22"/>
                <w:lang w:val="es-ES" w:eastAsia="zh-CN"/>
              </w:rPr>
            </w:pPr>
            <w:r w:rsidRPr="00C53010">
              <w:rPr>
                <w:rFonts w:eastAsia="SimSun"/>
                <w:sz w:val="22"/>
                <w:szCs w:val="22"/>
                <w:lang w:val="es-ES" w:eastAsia="zh-CN"/>
              </w:rPr>
              <w:t xml:space="preserve">Edición de </w:t>
            </w:r>
            <w:r w:rsidR="001D1D20" w:rsidRPr="00C53010">
              <w:rPr>
                <w:rFonts w:eastAsia="SimSun"/>
                <w:sz w:val="22"/>
                <w:szCs w:val="22"/>
                <w:lang w:val="es-ES" w:eastAsia="zh-CN"/>
              </w:rPr>
              <w:t>2016</w:t>
            </w:r>
            <w:r w:rsidR="001D1D20" w:rsidRPr="00C53010">
              <w:rPr>
                <w:rFonts w:eastAsia="SimSun"/>
                <w:sz w:val="22"/>
                <w:szCs w:val="22"/>
                <w:lang w:val="es-ES" w:eastAsia="zh-CN"/>
              </w:rPr>
              <w:br/>
              <w:t>(</w:t>
            </w:r>
            <w:r w:rsidRPr="00C53010">
              <w:rPr>
                <w:rFonts w:eastAsia="SimSun"/>
                <w:sz w:val="22"/>
                <w:szCs w:val="22"/>
                <w:lang w:val="es-ES" w:eastAsia="zh-CN"/>
              </w:rPr>
              <w:t>marzo</w:t>
            </w:r>
            <w:r w:rsidR="001D1D20" w:rsidRPr="00C53010">
              <w:rPr>
                <w:rFonts w:eastAsia="SimSun"/>
                <w:sz w:val="22"/>
                <w:szCs w:val="22"/>
                <w:lang w:val="es-ES" w:eastAsia="zh-CN"/>
              </w:rPr>
              <w:t>)</w:t>
            </w:r>
          </w:p>
        </w:tc>
        <w:tc>
          <w:tcPr>
            <w:tcW w:w="1771" w:type="dxa"/>
            <w:tcBorders>
              <w:top w:val="single" w:sz="4" w:space="0" w:color="auto"/>
              <w:left w:val="single" w:sz="4" w:space="0" w:color="auto"/>
              <w:bottom w:val="single" w:sz="4" w:space="0" w:color="auto"/>
              <w:right w:val="single" w:sz="4" w:space="0" w:color="auto"/>
            </w:tcBorders>
            <w:vAlign w:val="center"/>
          </w:tcPr>
          <w:p w:rsidR="001D1D20" w:rsidRPr="00C53010" w:rsidRDefault="00727858" w:rsidP="00727858">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sz w:val="22"/>
                <w:szCs w:val="22"/>
                <w:lang w:val="es-ES" w:eastAsia="zh-CN"/>
              </w:rPr>
            </w:pPr>
            <w:r w:rsidRPr="00C53010">
              <w:rPr>
                <w:rFonts w:eastAsia="SimSun"/>
                <w:sz w:val="22"/>
                <w:szCs w:val="22"/>
                <w:lang w:val="es-ES" w:eastAsia="zh-CN"/>
              </w:rPr>
              <w:t xml:space="preserve">Edición de </w:t>
            </w:r>
            <w:r w:rsidR="001D1D20" w:rsidRPr="00C53010">
              <w:rPr>
                <w:rFonts w:eastAsia="SimSun"/>
                <w:sz w:val="22"/>
                <w:szCs w:val="22"/>
                <w:lang w:val="es-ES" w:eastAsia="zh-CN"/>
              </w:rPr>
              <w:t>2017</w:t>
            </w:r>
            <w:r w:rsidR="001D1D20" w:rsidRPr="00C53010">
              <w:rPr>
                <w:rFonts w:eastAsia="SimSun"/>
                <w:sz w:val="22"/>
                <w:szCs w:val="22"/>
                <w:lang w:val="es-ES" w:eastAsia="zh-CN"/>
              </w:rPr>
              <w:br/>
              <w:t>(</w:t>
            </w:r>
            <w:r w:rsidRPr="00C53010">
              <w:rPr>
                <w:rFonts w:eastAsia="SimSun"/>
                <w:sz w:val="22"/>
                <w:szCs w:val="22"/>
                <w:lang w:val="es-ES" w:eastAsia="zh-CN"/>
              </w:rPr>
              <w:t>marzo</w:t>
            </w:r>
            <w:r w:rsidR="001D1D20" w:rsidRPr="00C53010">
              <w:rPr>
                <w:rFonts w:eastAsia="SimSun"/>
                <w:sz w:val="22"/>
                <w:szCs w:val="22"/>
                <w:lang w:val="es-ES" w:eastAsia="zh-CN"/>
              </w:rPr>
              <w:t>)</w:t>
            </w:r>
          </w:p>
          <w:p w:rsidR="001D1D20" w:rsidRPr="00C53010" w:rsidRDefault="00727858" w:rsidP="00727858">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sz w:val="22"/>
                <w:szCs w:val="22"/>
                <w:lang w:val="es-ES" w:eastAsia="zh-CN"/>
              </w:rPr>
            </w:pPr>
            <w:r w:rsidRPr="00C53010">
              <w:rPr>
                <w:rFonts w:eastAsia="SimSun"/>
                <w:sz w:val="22"/>
                <w:szCs w:val="22"/>
                <w:lang w:val="es-ES" w:eastAsia="zh-CN"/>
              </w:rPr>
              <w:t xml:space="preserve">Edición especial </w:t>
            </w:r>
            <w:r w:rsidR="001D1D20" w:rsidRPr="00C53010">
              <w:rPr>
                <w:rFonts w:eastAsia="SimSun"/>
                <w:sz w:val="22"/>
                <w:szCs w:val="22"/>
                <w:lang w:val="es-ES" w:eastAsia="zh-CN"/>
              </w:rPr>
              <w:t>(Jun</w:t>
            </w:r>
            <w:r w:rsidRPr="00C53010">
              <w:rPr>
                <w:rFonts w:eastAsia="SimSun"/>
                <w:sz w:val="22"/>
                <w:szCs w:val="22"/>
                <w:lang w:val="es-ES" w:eastAsia="zh-CN"/>
              </w:rPr>
              <w:t>io</w:t>
            </w:r>
            <w:r w:rsidR="001D1D20" w:rsidRPr="00C53010">
              <w:rPr>
                <w:rFonts w:eastAsia="SimSun"/>
                <w:sz w:val="22"/>
                <w:szCs w:val="22"/>
                <w:lang w:val="es-ES" w:eastAsia="zh-CN"/>
              </w:rPr>
              <w:t>)</w:t>
            </w:r>
          </w:p>
        </w:tc>
      </w:tr>
      <w:tr w:rsidR="001D1D20" w:rsidRPr="00C53010" w:rsidTr="00727858">
        <w:trPr>
          <w:cantSplit/>
          <w:jc w:val="center"/>
        </w:trPr>
        <w:tc>
          <w:tcPr>
            <w:tcW w:w="3012" w:type="dxa"/>
            <w:tcBorders>
              <w:top w:val="single" w:sz="4" w:space="0" w:color="auto"/>
              <w:left w:val="single" w:sz="4" w:space="0" w:color="auto"/>
              <w:bottom w:val="single" w:sz="4" w:space="0" w:color="auto"/>
              <w:right w:val="single" w:sz="4" w:space="0" w:color="auto"/>
            </w:tcBorders>
            <w:vAlign w:val="center"/>
          </w:tcPr>
          <w:p w:rsidR="001D1D20" w:rsidRPr="00C53010" w:rsidRDefault="001D1D20" w:rsidP="001D1D2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
              </w:rPr>
            </w:pPr>
            <w:r w:rsidRPr="00C53010">
              <w:rPr>
                <w:rFonts w:asciiTheme="majorBidi" w:hAnsiTheme="majorBidi" w:cstheme="majorBidi"/>
                <w:sz w:val="20"/>
                <w:lang w:val="es-ES"/>
              </w:rPr>
              <w:lastRenderedPageBreak/>
              <w:t>Lista VIII (Nomenclátor de las estaciones de comprobación técnica internacional de las emisiones)</w:t>
            </w:r>
          </w:p>
        </w:tc>
        <w:tc>
          <w:tcPr>
            <w:tcW w:w="1241" w:type="dxa"/>
            <w:tcBorders>
              <w:top w:val="single" w:sz="4" w:space="0" w:color="auto"/>
              <w:left w:val="single" w:sz="4" w:space="0" w:color="auto"/>
              <w:bottom w:val="single" w:sz="4" w:space="0" w:color="auto"/>
              <w:right w:val="single" w:sz="4" w:space="0" w:color="auto"/>
            </w:tcBorders>
            <w:vAlign w:val="center"/>
          </w:tcPr>
          <w:p w:rsidR="001D1D20" w:rsidRPr="00C53010" w:rsidRDefault="001D1D20" w:rsidP="001D1D20">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sz w:val="22"/>
                <w:szCs w:val="22"/>
                <w:lang w:val="es-ES" w:eastAsia="zh-CN"/>
              </w:rPr>
            </w:pPr>
            <w:r w:rsidRPr="00C53010">
              <w:rPr>
                <w:rFonts w:eastAsia="SimSun"/>
                <w:sz w:val="22"/>
                <w:szCs w:val="22"/>
                <w:lang w:val="es-ES" w:eastAsia="zh-CN"/>
              </w:rPr>
              <w:t>-</w:t>
            </w:r>
          </w:p>
        </w:tc>
        <w:tc>
          <w:tcPr>
            <w:tcW w:w="1417" w:type="dxa"/>
            <w:tcBorders>
              <w:top w:val="single" w:sz="4" w:space="0" w:color="auto"/>
              <w:left w:val="single" w:sz="4" w:space="0" w:color="auto"/>
              <w:bottom w:val="single" w:sz="4" w:space="0" w:color="auto"/>
              <w:right w:val="single" w:sz="4" w:space="0" w:color="auto"/>
            </w:tcBorders>
            <w:vAlign w:val="center"/>
          </w:tcPr>
          <w:p w:rsidR="001D1D20" w:rsidRPr="00C53010" w:rsidRDefault="001D1D20" w:rsidP="001D1D20">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sz w:val="22"/>
                <w:szCs w:val="22"/>
                <w:lang w:val="es-ES" w:eastAsia="zh-CN"/>
              </w:rPr>
            </w:pPr>
            <w:r w:rsidRPr="00C53010">
              <w:rPr>
                <w:rFonts w:eastAsia="SimSun"/>
                <w:sz w:val="22"/>
                <w:szCs w:val="22"/>
                <w:lang w:val="es-ES" w:eastAsia="zh-CN"/>
              </w:rPr>
              <w:t>-</w:t>
            </w:r>
          </w:p>
        </w:tc>
        <w:tc>
          <w:tcPr>
            <w:tcW w:w="1418" w:type="dxa"/>
            <w:tcBorders>
              <w:top w:val="single" w:sz="4" w:space="0" w:color="auto"/>
              <w:left w:val="single" w:sz="4" w:space="0" w:color="auto"/>
              <w:bottom w:val="single" w:sz="4" w:space="0" w:color="auto"/>
              <w:right w:val="single" w:sz="4" w:space="0" w:color="auto"/>
            </w:tcBorders>
            <w:vAlign w:val="center"/>
          </w:tcPr>
          <w:p w:rsidR="001D1D20" w:rsidRPr="00C53010" w:rsidRDefault="00727858" w:rsidP="00727858">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sz w:val="22"/>
                <w:szCs w:val="22"/>
                <w:lang w:val="es-ES" w:eastAsia="zh-CN"/>
              </w:rPr>
            </w:pPr>
            <w:r w:rsidRPr="00C53010">
              <w:rPr>
                <w:rFonts w:eastAsia="SimSun"/>
                <w:sz w:val="22"/>
                <w:szCs w:val="22"/>
                <w:lang w:val="es-ES" w:eastAsia="zh-CN"/>
              </w:rPr>
              <w:t xml:space="preserve">Edición de </w:t>
            </w:r>
            <w:r w:rsidR="001D1D20" w:rsidRPr="00C53010">
              <w:rPr>
                <w:rFonts w:eastAsia="SimSun"/>
                <w:sz w:val="22"/>
                <w:szCs w:val="22"/>
                <w:lang w:val="es-ES" w:eastAsia="zh-CN"/>
              </w:rPr>
              <w:t>2016</w:t>
            </w:r>
            <w:r w:rsidR="001D1D20" w:rsidRPr="00C53010">
              <w:rPr>
                <w:rFonts w:eastAsia="SimSun"/>
                <w:sz w:val="22"/>
                <w:szCs w:val="22"/>
                <w:lang w:val="es-ES" w:eastAsia="zh-CN"/>
              </w:rPr>
              <w:br/>
              <w:t>(</w:t>
            </w:r>
            <w:r w:rsidRPr="00C53010">
              <w:rPr>
                <w:rFonts w:eastAsia="SimSun"/>
                <w:sz w:val="22"/>
                <w:szCs w:val="22"/>
                <w:lang w:val="es-ES" w:eastAsia="zh-CN"/>
              </w:rPr>
              <w:t>diciembre</w:t>
            </w:r>
            <w:r w:rsidR="001D1D20" w:rsidRPr="00C53010">
              <w:rPr>
                <w:rFonts w:eastAsia="SimSun"/>
                <w:sz w:val="22"/>
                <w:szCs w:val="22"/>
                <w:lang w:val="es-ES" w:eastAsia="zh-CN"/>
              </w:rPr>
              <w:t>)</w:t>
            </w:r>
          </w:p>
        </w:tc>
        <w:tc>
          <w:tcPr>
            <w:tcW w:w="1771" w:type="dxa"/>
            <w:tcBorders>
              <w:top w:val="single" w:sz="4" w:space="0" w:color="auto"/>
              <w:left w:val="single" w:sz="4" w:space="0" w:color="auto"/>
              <w:bottom w:val="single" w:sz="4" w:space="0" w:color="auto"/>
              <w:right w:val="single" w:sz="4" w:space="0" w:color="auto"/>
            </w:tcBorders>
            <w:vAlign w:val="center"/>
          </w:tcPr>
          <w:p w:rsidR="001D1D20" w:rsidRPr="00C53010" w:rsidRDefault="001D1D20" w:rsidP="001D1D20">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sz w:val="22"/>
                <w:szCs w:val="22"/>
                <w:lang w:val="es-ES" w:eastAsia="zh-CN"/>
              </w:rPr>
            </w:pPr>
            <w:r w:rsidRPr="00C53010">
              <w:rPr>
                <w:rFonts w:eastAsia="SimSun"/>
                <w:sz w:val="22"/>
                <w:szCs w:val="22"/>
                <w:lang w:val="es-ES" w:eastAsia="zh-CN"/>
              </w:rPr>
              <w:t>-</w:t>
            </w:r>
          </w:p>
        </w:tc>
      </w:tr>
      <w:tr w:rsidR="001D1D20" w:rsidRPr="00C53010" w:rsidTr="00727858">
        <w:trPr>
          <w:cantSplit/>
          <w:jc w:val="center"/>
        </w:trPr>
        <w:tc>
          <w:tcPr>
            <w:tcW w:w="3012" w:type="dxa"/>
            <w:tcBorders>
              <w:top w:val="single" w:sz="4" w:space="0" w:color="auto"/>
              <w:left w:val="single" w:sz="4" w:space="0" w:color="auto"/>
              <w:bottom w:val="single" w:sz="4" w:space="0" w:color="auto"/>
              <w:right w:val="single" w:sz="4" w:space="0" w:color="auto"/>
            </w:tcBorders>
            <w:vAlign w:val="center"/>
          </w:tcPr>
          <w:p w:rsidR="001D1D20" w:rsidRPr="00C53010" w:rsidRDefault="001D1D20" w:rsidP="001D1D2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
              </w:rPr>
            </w:pPr>
            <w:r w:rsidRPr="00C53010">
              <w:rPr>
                <w:rFonts w:asciiTheme="majorBidi" w:hAnsiTheme="majorBidi" w:cstheme="majorBidi"/>
                <w:sz w:val="20"/>
                <w:lang w:val="es-ES"/>
              </w:rPr>
              <w:t>Manual Marítimo</w:t>
            </w:r>
          </w:p>
        </w:tc>
        <w:tc>
          <w:tcPr>
            <w:tcW w:w="1241" w:type="dxa"/>
            <w:tcBorders>
              <w:top w:val="single" w:sz="4" w:space="0" w:color="auto"/>
              <w:left w:val="single" w:sz="4" w:space="0" w:color="auto"/>
              <w:bottom w:val="single" w:sz="4" w:space="0" w:color="auto"/>
              <w:right w:val="single" w:sz="4" w:space="0" w:color="auto"/>
            </w:tcBorders>
            <w:vAlign w:val="center"/>
          </w:tcPr>
          <w:p w:rsidR="001D1D20" w:rsidRPr="00C53010" w:rsidRDefault="001D1D20" w:rsidP="001D1D20">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sz w:val="22"/>
                <w:szCs w:val="22"/>
                <w:lang w:val="es-ES" w:eastAsia="zh-CN"/>
              </w:rPr>
            </w:pPr>
            <w:r w:rsidRPr="00C53010">
              <w:rPr>
                <w:rFonts w:eastAsia="SimSun"/>
                <w:sz w:val="22"/>
                <w:szCs w:val="22"/>
                <w:lang w:val="es-ES" w:eastAsia="zh-CN"/>
              </w:rPr>
              <w:t>-</w:t>
            </w:r>
          </w:p>
        </w:tc>
        <w:tc>
          <w:tcPr>
            <w:tcW w:w="1417" w:type="dxa"/>
            <w:tcBorders>
              <w:top w:val="single" w:sz="4" w:space="0" w:color="auto"/>
              <w:left w:val="single" w:sz="4" w:space="0" w:color="auto"/>
              <w:bottom w:val="single" w:sz="4" w:space="0" w:color="auto"/>
              <w:right w:val="single" w:sz="4" w:space="0" w:color="auto"/>
            </w:tcBorders>
            <w:vAlign w:val="center"/>
          </w:tcPr>
          <w:p w:rsidR="001D1D20" w:rsidRPr="00C53010" w:rsidRDefault="001D1D20" w:rsidP="001D1D20">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sz w:val="22"/>
                <w:szCs w:val="22"/>
                <w:lang w:val="es-ES" w:eastAsia="zh-CN"/>
              </w:rPr>
            </w:pPr>
            <w:r w:rsidRPr="00C53010">
              <w:rPr>
                <w:rFonts w:eastAsia="SimSun"/>
                <w:sz w:val="22"/>
                <w:szCs w:val="22"/>
                <w:lang w:val="es-ES" w:eastAsia="zh-CN"/>
              </w:rPr>
              <w:t>-</w:t>
            </w:r>
          </w:p>
        </w:tc>
        <w:tc>
          <w:tcPr>
            <w:tcW w:w="1418" w:type="dxa"/>
            <w:tcBorders>
              <w:top w:val="single" w:sz="4" w:space="0" w:color="auto"/>
              <w:left w:val="single" w:sz="4" w:space="0" w:color="auto"/>
              <w:bottom w:val="single" w:sz="4" w:space="0" w:color="auto"/>
              <w:right w:val="single" w:sz="4" w:space="0" w:color="auto"/>
            </w:tcBorders>
            <w:vAlign w:val="center"/>
          </w:tcPr>
          <w:p w:rsidR="001D1D20" w:rsidRPr="00C53010" w:rsidRDefault="00727858" w:rsidP="001D1D20">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sz w:val="22"/>
                <w:szCs w:val="22"/>
                <w:lang w:val="es-ES" w:eastAsia="zh-CN"/>
              </w:rPr>
            </w:pPr>
            <w:r w:rsidRPr="00C53010">
              <w:rPr>
                <w:rFonts w:eastAsia="SimSun"/>
                <w:sz w:val="22"/>
                <w:szCs w:val="22"/>
                <w:lang w:val="es-ES" w:eastAsia="zh-CN"/>
              </w:rPr>
              <w:t xml:space="preserve">Edición de </w:t>
            </w:r>
            <w:r w:rsidR="001D1D20" w:rsidRPr="00C53010">
              <w:rPr>
                <w:rFonts w:eastAsia="SimSun"/>
                <w:sz w:val="22"/>
                <w:szCs w:val="22"/>
                <w:lang w:val="es-ES" w:eastAsia="zh-CN"/>
              </w:rPr>
              <w:t>2016</w:t>
            </w:r>
            <w:r w:rsidR="001D1D20" w:rsidRPr="00C53010">
              <w:rPr>
                <w:rFonts w:eastAsia="SimSun"/>
                <w:sz w:val="22"/>
                <w:szCs w:val="22"/>
                <w:lang w:val="es-ES" w:eastAsia="zh-CN"/>
              </w:rPr>
              <w:br/>
              <w:t>(</w:t>
            </w:r>
            <w:r w:rsidRPr="00C53010">
              <w:rPr>
                <w:rFonts w:eastAsia="SimSun"/>
                <w:sz w:val="22"/>
                <w:szCs w:val="22"/>
                <w:lang w:val="es-ES" w:eastAsia="zh-CN"/>
              </w:rPr>
              <w:t>noviembre</w:t>
            </w:r>
            <w:r w:rsidR="001D1D20" w:rsidRPr="00C53010">
              <w:rPr>
                <w:rFonts w:eastAsia="SimSun"/>
                <w:sz w:val="22"/>
                <w:szCs w:val="22"/>
                <w:lang w:val="es-ES" w:eastAsia="zh-CN"/>
              </w:rPr>
              <w:t>)</w:t>
            </w:r>
          </w:p>
        </w:tc>
        <w:tc>
          <w:tcPr>
            <w:tcW w:w="1771" w:type="dxa"/>
            <w:tcBorders>
              <w:top w:val="single" w:sz="4" w:space="0" w:color="auto"/>
              <w:left w:val="single" w:sz="4" w:space="0" w:color="auto"/>
              <w:bottom w:val="single" w:sz="4" w:space="0" w:color="auto"/>
              <w:right w:val="single" w:sz="4" w:space="0" w:color="auto"/>
            </w:tcBorders>
            <w:vAlign w:val="center"/>
          </w:tcPr>
          <w:p w:rsidR="001D1D20" w:rsidRPr="00C53010" w:rsidRDefault="001D1D20" w:rsidP="001D1D20">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sz w:val="22"/>
                <w:szCs w:val="22"/>
                <w:lang w:val="es-ES" w:eastAsia="zh-CN"/>
              </w:rPr>
            </w:pPr>
            <w:r w:rsidRPr="00C53010">
              <w:rPr>
                <w:rFonts w:eastAsia="SimSun"/>
                <w:sz w:val="22"/>
                <w:szCs w:val="22"/>
                <w:lang w:val="es-ES" w:eastAsia="zh-CN"/>
              </w:rPr>
              <w:t>-</w:t>
            </w:r>
          </w:p>
        </w:tc>
      </w:tr>
    </w:tbl>
    <w:p w:rsidR="00FA7C73" w:rsidRPr="00C53010" w:rsidRDefault="00FA7C73" w:rsidP="001D1D20">
      <w:pPr>
        <w:pStyle w:val="Heading3"/>
        <w:rPr>
          <w:lang w:val="es-ES"/>
        </w:rPr>
      </w:pPr>
      <w:r w:rsidRPr="00C53010">
        <w:rPr>
          <w:lang w:val="es-ES"/>
        </w:rPr>
        <w:t>8.1.3</w:t>
      </w:r>
      <w:r w:rsidRPr="00C53010">
        <w:rPr>
          <w:lang w:val="es-ES"/>
        </w:rPr>
        <w:tab/>
      </w:r>
      <w:bookmarkEnd w:id="72"/>
      <w:bookmarkEnd w:id="73"/>
      <w:bookmarkEnd w:id="74"/>
      <w:bookmarkEnd w:id="75"/>
      <w:r w:rsidR="001D1D20" w:rsidRPr="00C53010">
        <w:rPr>
          <w:lang w:val="es-ES"/>
        </w:rPr>
        <w:t>Comisiones de Estudio y otras publicaciones</w:t>
      </w:r>
    </w:p>
    <w:p w:rsidR="00FA7C73" w:rsidRPr="00C53010" w:rsidRDefault="001D1D20" w:rsidP="001B0E79">
      <w:pPr>
        <w:rPr>
          <w:lang w:val="es-ES"/>
        </w:rPr>
      </w:pPr>
      <w:bookmarkStart w:id="76" w:name="_Toc424047599"/>
      <w:bookmarkStart w:id="77" w:name="_Toc446060781"/>
      <w:r w:rsidRPr="00C53010">
        <w:rPr>
          <w:lang w:val="es-ES"/>
        </w:rPr>
        <w:t>Desde la CMR-15</w:t>
      </w:r>
      <w:r w:rsidR="001B0E79">
        <w:rPr>
          <w:lang w:val="es-ES"/>
        </w:rPr>
        <w:t>,</w:t>
      </w:r>
      <w:r w:rsidRPr="00C53010">
        <w:rPr>
          <w:lang w:val="es-ES"/>
        </w:rPr>
        <w:t xml:space="preserve"> la preparación de las Comisiones de Estudio del UIT-R y otras publicaciones han seguido el patrón habitual</w:t>
      </w:r>
      <w:r w:rsidR="001B0E79">
        <w:rPr>
          <w:lang w:val="es-ES"/>
        </w:rPr>
        <w:t xml:space="preserve">, </w:t>
      </w:r>
      <w:r w:rsidRPr="00C53010">
        <w:rPr>
          <w:lang w:val="es-ES"/>
        </w:rPr>
        <w:t>contemplado en el plan Operacional</w:t>
      </w:r>
      <w:r w:rsidR="001B0E79">
        <w:rPr>
          <w:lang w:val="es-ES"/>
        </w:rPr>
        <w:t xml:space="preserve">, </w:t>
      </w:r>
      <w:r w:rsidRPr="00C53010">
        <w:rPr>
          <w:lang w:val="es-ES"/>
        </w:rPr>
        <w:t>en particular</w:t>
      </w:r>
      <w:r w:rsidR="00FA7C73" w:rsidRPr="00C53010">
        <w:rPr>
          <w:lang w:val="es-ES"/>
        </w:rPr>
        <w:t>:</w:t>
      </w:r>
    </w:p>
    <w:p w:rsidR="00FA7C73" w:rsidRPr="00C53010" w:rsidRDefault="00563D35" w:rsidP="00563D35">
      <w:pPr>
        <w:pStyle w:val="enumlev1"/>
        <w:rPr>
          <w:lang w:val="es-ES"/>
        </w:rPr>
      </w:pPr>
      <w:r>
        <w:rPr>
          <w:lang w:val="es-ES"/>
        </w:rPr>
        <w:t>–</w:t>
      </w:r>
      <w:r>
        <w:rPr>
          <w:lang w:val="es-ES"/>
        </w:rPr>
        <w:tab/>
      </w:r>
      <w:r w:rsidR="00727858" w:rsidRPr="00C53010">
        <w:rPr>
          <w:lang w:val="es-ES"/>
        </w:rPr>
        <w:t>Todas las Recomendaciones publicadas entre</w:t>
      </w:r>
      <w:r w:rsidR="00FA7C73" w:rsidRPr="00C53010">
        <w:rPr>
          <w:lang w:val="es-ES"/>
        </w:rPr>
        <w:t xml:space="preserve"> 2005 </w:t>
      </w:r>
      <w:r w:rsidR="00727858" w:rsidRPr="00C53010">
        <w:rPr>
          <w:lang w:val="es-ES"/>
        </w:rPr>
        <w:t xml:space="preserve">y </w:t>
      </w:r>
      <w:r w:rsidR="00FA7C73" w:rsidRPr="00C53010">
        <w:rPr>
          <w:lang w:val="es-ES"/>
        </w:rPr>
        <w:t>2015 (1</w:t>
      </w:r>
      <w:r w:rsidR="00727858" w:rsidRPr="00C53010">
        <w:rPr>
          <w:lang w:val="es-ES"/>
        </w:rPr>
        <w:t> </w:t>
      </w:r>
      <w:r w:rsidR="00FA7C73" w:rsidRPr="00C53010">
        <w:rPr>
          <w:lang w:val="es-ES"/>
        </w:rPr>
        <w:t xml:space="preserve">065) </w:t>
      </w:r>
      <w:r w:rsidR="00727858" w:rsidRPr="00C53010">
        <w:rPr>
          <w:lang w:val="es-ES"/>
        </w:rPr>
        <w:t xml:space="preserve">están ahora disponibles en los seis idiomas de la UIT </w:t>
      </w:r>
      <w:r w:rsidR="00FA7C73" w:rsidRPr="00C53010">
        <w:rPr>
          <w:lang w:val="es-ES"/>
        </w:rPr>
        <w:t>(A/C/E/F/R/S);</w:t>
      </w:r>
    </w:p>
    <w:p w:rsidR="00FA7C73" w:rsidRPr="00C53010" w:rsidRDefault="00563D35" w:rsidP="001B0E79">
      <w:pPr>
        <w:pStyle w:val="enumlev1"/>
        <w:rPr>
          <w:lang w:val="es-ES"/>
        </w:rPr>
      </w:pPr>
      <w:r>
        <w:rPr>
          <w:lang w:val="es-ES"/>
        </w:rPr>
        <w:t>–</w:t>
      </w:r>
      <w:r>
        <w:rPr>
          <w:lang w:val="es-ES"/>
        </w:rPr>
        <w:tab/>
      </w:r>
      <w:r w:rsidR="00727858" w:rsidRPr="00C53010">
        <w:rPr>
          <w:lang w:val="es-ES"/>
        </w:rPr>
        <w:t>Entre</w:t>
      </w:r>
      <w:r w:rsidR="00FA7C73" w:rsidRPr="00C53010">
        <w:rPr>
          <w:lang w:val="es-ES"/>
        </w:rPr>
        <w:t xml:space="preserve"> 2016 </w:t>
      </w:r>
      <w:r w:rsidR="00727858" w:rsidRPr="00C53010">
        <w:rPr>
          <w:lang w:val="es-ES"/>
        </w:rPr>
        <w:t>y 2017 se publicaron 100 Recomendaciones U</w:t>
      </w:r>
      <w:r w:rsidR="00FA7C73" w:rsidRPr="00C53010">
        <w:rPr>
          <w:lang w:val="es-ES"/>
        </w:rPr>
        <w:t xml:space="preserve">IT-R </w:t>
      </w:r>
      <w:r w:rsidR="00727858" w:rsidRPr="00C53010">
        <w:rPr>
          <w:lang w:val="es-ES"/>
        </w:rPr>
        <w:t xml:space="preserve">en el sitio web de la UIT en inglés </w:t>
      </w:r>
      <w:r w:rsidR="00FA7C73" w:rsidRPr="00C53010">
        <w:rPr>
          <w:lang w:val="es-ES"/>
        </w:rPr>
        <w:t>(E)</w:t>
      </w:r>
      <w:r w:rsidR="001B0E79">
        <w:rPr>
          <w:lang w:val="es-ES"/>
        </w:rPr>
        <w:t xml:space="preserve">, </w:t>
      </w:r>
      <w:r w:rsidR="00727858" w:rsidRPr="00C53010">
        <w:rPr>
          <w:lang w:val="es-ES"/>
        </w:rPr>
        <w:t>comprendidas nuevas y revisadas</w:t>
      </w:r>
      <w:r w:rsidR="00FA7C73" w:rsidRPr="00C53010">
        <w:rPr>
          <w:lang w:val="es-ES"/>
        </w:rPr>
        <w:t xml:space="preserve">. </w:t>
      </w:r>
      <w:r w:rsidR="00C633CC" w:rsidRPr="00C53010">
        <w:rPr>
          <w:lang w:val="es-ES"/>
        </w:rPr>
        <w:t>La traducción a los otros cinco idiomas está en curso.</w:t>
      </w:r>
    </w:p>
    <w:p w:rsidR="00FA7C73" w:rsidRPr="00C53010" w:rsidRDefault="00563D35" w:rsidP="00563D35">
      <w:pPr>
        <w:pStyle w:val="enumlev1"/>
        <w:rPr>
          <w:lang w:val="es-ES"/>
        </w:rPr>
      </w:pPr>
      <w:r>
        <w:rPr>
          <w:lang w:val="es-ES"/>
        </w:rPr>
        <w:t>–</w:t>
      </w:r>
      <w:r>
        <w:rPr>
          <w:lang w:val="es-ES"/>
        </w:rPr>
        <w:tab/>
      </w:r>
      <w:r w:rsidR="00C633CC" w:rsidRPr="00C53010">
        <w:rPr>
          <w:lang w:val="es-ES"/>
        </w:rPr>
        <w:t>Informes U</w:t>
      </w:r>
      <w:r w:rsidR="00FA7C73" w:rsidRPr="00C53010">
        <w:rPr>
          <w:lang w:val="es-ES"/>
        </w:rPr>
        <w:t xml:space="preserve">IT-R: </w:t>
      </w:r>
      <w:r w:rsidR="00C633CC" w:rsidRPr="00C53010">
        <w:rPr>
          <w:lang w:val="es-ES"/>
        </w:rPr>
        <w:t xml:space="preserve">se publicaron </w:t>
      </w:r>
      <w:r w:rsidR="00FA7C73" w:rsidRPr="00C53010">
        <w:rPr>
          <w:lang w:val="es-ES"/>
        </w:rPr>
        <w:t xml:space="preserve">72 </w:t>
      </w:r>
      <w:r w:rsidR="00C633CC" w:rsidRPr="00C53010">
        <w:rPr>
          <w:lang w:val="es-ES"/>
        </w:rPr>
        <w:t>en el sitio web de la U</w:t>
      </w:r>
      <w:r w:rsidR="00FA7C73" w:rsidRPr="00C53010">
        <w:rPr>
          <w:lang w:val="es-ES"/>
        </w:rPr>
        <w:t xml:space="preserve">IT (E) </w:t>
      </w:r>
      <w:r w:rsidR="00C633CC" w:rsidRPr="00C53010">
        <w:rPr>
          <w:lang w:val="es-ES"/>
        </w:rPr>
        <w:t xml:space="preserve">para este mismo periodo </w:t>
      </w:r>
      <w:r w:rsidR="00FA7C73" w:rsidRPr="00C53010">
        <w:rPr>
          <w:lang w:val="es-ES"/>
        </w:rPr>
        <w:t>2016-2017.</w:t>
      </w:r>
    </w:p>
    <w:p w:rsidR="00FA7C73" w:rsidRPr="00C53010" w:rsidRDefault="00563D35" w:rsidP="001B0E79">
      <w:pPr>
        <w:pStyle w:val="enumlev1"/>
        <w:rPr>
          <w:lang w:val="es-ES"/>
        </w:rPr>
      </w:pPr>
      <w:r>
        <w:rPr>
          <w:lang w:val="es-ES"/>
        </w:rPr>
        <w:t>–</w:t>
      </w:r>
      <w:r>
        <w:rPr>
          <w:lang w:val="es-ES"/>
        </w:rPr>
        <w:tab/>
      </w:r>
      <w:r w:rsidR="00C633CC" w:rsidRPr="00C53010">
        <w:rPr>
          <w:lang w:val="es-ES"/>
        </w:rPr>
        <w:t>Manuales U</w:t>
      </w:r>
      <w:r w:rsidR="00FA7C73" w:rsidRPr="00C53010">
        <w:rPr>
          <w:lang w:val="es-ES"/>
        </w:rPr>
        <w:t xml:space="preserve">IT-R (75 </w:t>
      </w:r>
      <w:r w:rsidR="00C633CC" w:rsidRPr="00C53010">
        <w:rPr>
          <w:lang w:val="es-ES"/>
        </w:rPr>
        <w:t>publicados</w:t>
      </w:r>
      <w:r w:rsidR="00FA7C73" w:rsidRPr="00C53010">
        <w:rPr>
          <w:lang w:val="es-ES"/>
        </w:rPr>
        <w:t xml:space="preserve">; </w:t>
      </w:r>
      <w:r w:rsidR="00C633CC" w:rsidRPr="00C53010">
        <w:rPr>
          <w:lang w:val="es-ES"/>
        </w:rPr>
        <w:t>en inglés solamente</w:t>
      </w:r>
      <w:r w:rsidR="001B0E79">
        <w:rPr>
          <w:lang w:val="es-ES"/>
        </w:rPr>
        <w:t xml:space="preserve">, </w:t>
      </w:r>
      <w:r w:rsidR="00C633CC" w:rsidRPr="00C53010">
        <w:rPr>
          <w:lang w:val="es-ES"/>
        </w:rPr>
        <w:t>salvo cuando se indica lo contrario</w:t>
      </w:r>
      <w:r w:rsidR="00D1010F">
        <w:rPr>
          <w:lang w:val="es-ES"/>
        </w:rPr>
        <w:t>)</w:t>
      </w:r>
      <w:r w:rsidR="00C633CC" w:rsidRPr="00C53010">
        <w:rPr>
          <w:lang w:val="es-ES"/>
        </w:rPr>
        <w:t>.</w:t>
      </w:r>
    </w:p>
    <w:p w:rsidR="00FA7C73" w:rsidRPr="00C53010" w:rsidRDefault="00FA7C73" w:rsidP="00C633CC">
      <w:pPr>
        <w:pStyle w:val="Heading3"/>
        <w:rPr>
          <w:lang w:val="es-ES"/>
        </w:rPr>
      </w:pPr>
      <w:r w:rsidRPr="00C53010">
        <w:rPr>
          <w:lang w:val="es-ES"/>
        </w:rPr>
        <w:t>8.1.4</w:t>
      </w:r>
      <w:r w:rsidRPr="00C53010">
        <w:rPr>
          <w:lang w:val="es-ES"/>
        </w:rPr>
        <w:tab/>
      </w:r>
      <w:r w:rsidR="00C633CC" w:rsidRPr="00C53010">
        <w:rPr>
          <w:lang w:val="es-ES"/>
        </w:rPr>
        <w:t>Descarga de publicaciones del U</w:t>
      </w:r>
      <w:r w:rsidRPr="00C53010">
        <w:rPr>
          <w:lang w:val="es-ES"/>
        </w:rPr>
        <w:t xml:space="preserve">IT-R </w:t>
      </w:r>
    </w:p>
    <w:p w:rsidR="00FA7C73" w:rsidRPr="00C53010" w:rsidRDefault="00FA7C73" w:rsidP="00C633CC">
      <w:pPr>
        <w:pStyle w:val="Heading4"/>
        <w:rPr>
          <w:lang w:val="es-ES"/>
        </w:rPr>
      </w:pPr>
      <w:r w:rsidRPr="00C53010">
        <w:rPr>
          <w:lang w:val="es-ES"/>
        </w:rPr>
        <w:t>8.1.4.1</w:t>
      </w:r>
      <w:r w:rsidRPr="00C53010">
        <w:rPr>
          <w:lang w:val="es-ES"/>
        </w:rPr>
        <w:tab/>
      </w:r>
      <w:r w:rsidR="00C633CC" w:rsidRPr="00C53010">
        <w:rPr>
          <w:lang w:val="es-ES"/>
        </w:rPr>
        <w:t>Reglamento de Radiocomunicaciones y Reglas de Procedimiento</w:t>
      </w:r>
    </w:p>
    <w:p w:rsidR="00C633CC" w:rsidRPr="00C53010" w:rsidRDefault="00C633CC" w:rsidP="001B0E79">
      <w:pPr>
        <w:rPr>
          <w:lang w:val="es-ES"/>
        </w:rPr>
      </w:pPr>
      <w:r w:rsidRPr="00C53010">
        <w:rPr>
          <w:lang w:val="es-ES"/>
        </w:rPr>
        <w:t>En relación con estos documentos reglamentarios</w:t>
      </w:r>
      <w:r w:rsidR="001B0E79">
        <w:rPr>
          <w:lang w:val="es-ES"/>
        </w:rPr>
        <w:t xml:space="preserve">, </w:t>
      </w:r>
      <w:r w:rsidRPr="00C53010">
        <w:rPr>
          <w:lang w:val="es-ES"/>
        </w:rPr>
        <w:t>en el Cuadro 8.1.4.1-1 se compara el número de ejemplares vendidos de la edición del RR de 2012 (publicado en diciembre de 2012) y de la versión de 2016 (publicado en diciembre de 2016). Como puede verse</w:t>
      </w:r>
      <w:r w:rsidR="001B0E79">
        <w:rPr>
          <w:lang w:val="es-ES"/>
        </w:rPr>
        <w:t xml:space="preserve">, </w:t>
      </w:r>
      <w:r w:rsidRPr="00C53010">
        <w:rPr>
          <w:lang w:val="es-ES"/>
        </w:rPr>
        <w:t>la política de acceso gratuito en línea no ha afectado al nivel de ventas. El gran número de descargas gratuitas (</w:t>
      </w:r>
      <w:r w:rsidR="003F392E" w:rsidRPr="00C53010">
        <w:rPr>
          <w:lang w:val="es-ES"/>
        </w:rPr>
        <w:t xml:space="preserve">comparado con </w:t>
      </w:r>
      <w:r w:rsidRPr="00C53010">
        <w:rPr>
          <w:lang w:val="es-ES"/>
        </w:rPr>
        <w:t>el número de ventas) muestra lo positivo de esta política. También hay que decir que las descargas se realizaron desde 182 países</w:t>
      </w:r>
      <w:r w:rsidR="001B0E79">
        <w:rPr>
          <w:lang w:val="es-ES"/>
        </w:rPr>
        <w:t>,</w:t>
      </w:r>
      <w:r w:rsidRPr="00C53010">
        <w:rPr>
          <w:lang w:val="es-ES"/>
        </w:rPr>
        <w:t xml:space="preserve"> lo que representa el 94% de los Miembros de la UIT.</w:t>
      </w:r>
    </w:p>
    <w:bookmarkEnd w:id="76"/>
    <w:bookmarkEnd w:id="77"/>
    <w:p w:rsidR="00FA7C73" w:rsidRPr="00C53010" w:rsidRDefault="00FA7C73" w:rsidP="001F3A94">
      <w:pPr>
        <w:pStyle w:val="TableNo"/>
        <w:spacing w:before="0"/>
        <w:rPr>
          <w:lang w:val="es-ES"/>
        </w:rPr>
      </w:pPr>
    </w:p>
    <w:p w:rsidR="00FA7C73" w:rsidRPr="00C53010" w:rsidRDefault="003F392E" w:rsidP="001F3A94">
      <w:pPr>
        <w:pStyle w:val="TableNo"/>
        <w:spacing w:before="0"/>
        <w:rPr>
          <w:lang w:val="es-ES"/>
        </w:rPr>
      </w:pPr>
      <w:r w:rsidRPr="00C53010">
        <w:rPr>
          <w:lang w:val="es-ES"/>
        </w:rPr>
        <w:t xml:space="preserve">CUADRO </w:t>
      </w:r>
      <w:r w:rsidR="00FA7C73" w:rsidRPr="00C53010">
        <w:rPr>
          <w:lang w:val="es-ES"/>
        </w:rPr>
        <w:t>8.1.4.1-1</w:t>
      </w:r>
    </w:p>
    <w:p w:rsidR="00FA7C73" w:rsidRPr="00C53010" w:rsidRDefault="003F392E" w:rsidP="003F392E">
      <w:pPr>
        <w:pStyle w:val="TabletitleBR"/>
        <w:rPr>
          <w:lang w:val="es-ES"/>
        </w:rPr>
      </w:pPr>
      <w:r w:rsidRPr="00C53010">
        <w:rPr>
          <w:lang w:val="es-ES"/>
        </w:rPr>
        <w:t>Comparación del número de ejemplares del RR y de las RdP</w:t>
      </w:r>
      <w:r w:rsidR="00FA7C73" w:rsidRPr="00C53010">
        <w:rPr>
          <w:lang w:val="es-ES"/>
        </w:rPr>
        <w:t xml:space="preserve"> (version</w:t>
      </w:r>
      <w:r w:rsidRPr="00C53010">
        <w:rPr>
          <w:lang w:val="es-ES"/>
        </w:rPr>
        <w:t>e</w:t>
      </w:r>
      <w:r w:rsidR="00FA7C73" w:rsidRPr="00C53010">
        <w:rPr>
          <w:lang w:val="es-ES"/>
        </w:rPr>
        <w:t xml:space="preserve">s 2016 </w:t>
      </w:r>
      <w:r w:rsidRPr="00C53010">
        <w:rPr>
          <w:lang w:val="es-ES"/>
        </w:rPr>
        <w:t xml:space="preserve">y </w:t>
      </w:r>
      <w:r w:rsidR="00FA7C73" w:rsidRPr="00C53010">
        <w:rPr>
          <w:lang w:val="es-ES"/>
        </w:rPr>
        <w:t xml:space="preserve">2012) </w:t>
      </w:r>
    </w:p>
    <w:tbl>
      <w:tblPr>
        <w:tblW w:w="8144" w:type="dxa"/>
        <w:jc w:val="center"/>
        <w:tblBorders>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12"/>
        <w:gridCol w:w="1583"/>
        <w:gridCol w:w="2049"/>
      </w:tblGrid>
      <w:tr w:rsidR="00FA7C73" w:rsidRPr="00C53010" w:rsidTr="003045E9">
        <w:trPr>
          <w:trHeight w:val="425"/>
          <w:jc w:val="center"/>
        </w:trPr>
        <w:tc>
          <w:tcPr>
            <w:tcW w:w="4512" w:type="dxa"/>
            <w:tcBorders>
              <w:bottom w:val="single" w:sz="8" w:space="0" w:color="auto"/>
            </w:tcBorders>
            <w:shd w:val="clear" w:color="auto" w:fill="auto"/>
            <w:vAlign w:val="center"/>
            <w:hideMark/>
          </w:tcPr>
          <w:p w:rsidR="00FA7C73" w:rsidRPr="00C53010" w:rsidRDefault="00FA7C73" w:rsidP="001F3A94">
            <w:pPr>
              <w:spacing w:before="0"/>
              <w:jc w:val="center"/>
              <w:rPr>
                <w:rFonts w:ascii="Times" w:hAnsi="Times" w:cs="Times"/>
                <w:color w:val="000000"/>
                <w:sz w:val="20"/>
                <w:lang w:val="es-ES"/>
              </w:rPr>
            </w:pPr>
          </w:p>
        </w:tc>
        <w:tc>
          <w:tcPr>
            <w:tcW w:w="1583" w:type="dxa"/>
            <w:tcBorders>
              <w:top w:val="single" w:sz="8" w:space="0" w:color="auto"/>
            </w:tcBorders>
            <w:shd w:val="clear" w:color="auto" w:fill="auto"/>
            <w:vAlign w:val="center"/>
            <w:hideMark/>
          </w:tcPr>
          <w:p w:rsidR="00FA7C73" w:rsidRPr="00C53010" w:rsidRDefault="00073562" w:rsidP="001F3A94">
            <w:pPr>
              <w:spacing w:before="0"/>
              <w:jc w:val="center"/>
              <w:rPr>
                <w:b/>
                <w:bCs/>
                <w:color w:val="000000"/>
                <w:sz w:val="20"/>
                <w:lang w:val="es-ES"/>
              </w:rPr>
            </w:pPr>
            <w:r w:rsidRPr="00C53010">
              <w:rPr>
                <w:b/>
                <w:bCs/>
                <w:color w:val="000000"/>
                <w:sz w:val="20"/>
                <w:lang w:val="es-ES"/>
              </w:rPr>
              <w:t>Ventas</w:t>
            </w:r>
          </w:p>
        </w:tc>
        <w:tc>
          <w:tcPr>
            <w:tcW w:w="2049" w:type="dxa"/>
            <w:tcBorders>
              <w:top w:val="single" w:sz="8" w:space="0" w:color="auto"/>
            </w:tcBorders>
            <w:shd w:val="clear" w:color="auto" w:fill="auto"/>
            <w:vAlign w:val="center"/>
            <w:hideMark/>
          </w:tcPr>
          <w:p w:rsidR="00FA7C73" w:rsidRPr="00C53010" w:rsidRDefault="003F392E" w:rsidP="00073562">
            <w:pPr>
              <w:spacing w:before="0"/>
              <w:jc w:val="center"/>
              <w:rPr>
                <w:b/>
                <w:bCs/>
                <w:color w:val="000000"/>
                <w:sz w:val="20"/>
                <w:lang w:val="es-ES"/>
              </w:rPr>
            </w:pPr>
            <w:r w:rsidRPr="00C53010">
              <w:rPr>
                <w:b/>
                <w:bCs/>
                <w:color w:val="000000"/>
                <w:sz w:val="20"/>
                <w:lang w:val="es-ES"/>
              </w:rPr>
              <w:t>Descargas gratuita</w:t>
            </w:r>
            <w:r w:rsidR="00073562" w:rsidRPr="00C53010">
              <w:rPr>
                <w:b/>
                <w:bCs/>
                <w:color w:val="000000"/>
                <w:sz w:val="20"/>
                <w:lang w:val="es-ES"/>
              </w:rPr>
              <w:t>s</w:t>
            </w:r>
          </w:p>
        </w:tc>
      </w:tr>
      <w:tr w:rsidR="00FA7C73" w:rsidRPr="00C53010" w:rsidTr="003045E9">
        <w:trPr>
          <w:trHeight w:val="315"/>
          <w:jc w:val="center"/>
        </w:trPr>
        <w:tc>
          <w:tcPr>
            <w:tcW w:w="4512" w:type="dxa"/>
            <w:tcBorders>
              <w:top w:val="single" w:sz="8" w:space="0" w:color="auto"/>
              <w:left w:val="single" w:sz="8" w:space="0" w:color="auto"/>
            </w:tcBorders>
            <w:shd w:val="clear" w:color="auto" w:fill="auto"/>
            <w:vAlign w:val="center"/>
            <w:hideMark/>
          </w:tcPr>
          <w:p w:rsidR="00FA7C73" w:rsidRPr="00C53010" w:rsidRDefault="00FA7C73" w:rsidP="003F392E">
            <w:pPr>
              <w:jc w:val="center"/>
              <w:rPr>
                <w:i/>
                <w:iCs/>
                <w:color w:val="000000"/>
                <w:sz w:val="20"/>
                <w:lang w:val="es-ES"/>
              </w:rPr>
            </w:pPr>
            <w:r w:rsidRPr="00C53010">
              <w:rPr>
                <w:i/>
                <w:iCs/>
                <w:color w:val="000000"/>
                <w:sz w:val="20"/>
                <w:lang w:val="es-ES"/>
              </w:rPr>
              <w:t xml:space="preserve">RR-12 (48 </w:t>
            </w:r>
            <w:r w:rsidR="003F392E" w:rsidRPr="00C53010">
              <w:rPr>
                <w:i/>
                <w:iCs/>
                <w:color w:val="000000"/>
                <w:sz w:val="20"/>
                <w:lang w:val="es-ES"/>
              </w:rPr>
              <w:t>meses</w:t>
            </w:r>
            <w:r w:rsidRPr="00C53010">
              <w:rPr>
                <w:i/>
                <w:iCs/>
                <w:color w:val="000000"/>
                <w:sz w:val="20"/>
                <w:lang w:val="es-ES"/>
              </w:rPr>
              <w:t>)</w:t>
            </w:r>
          </w:p>
        </w:tc>
        <w:tc>
          <w:tcPr>
            <w:tcW w:w="1583" w:type="dxa"/>
            <w:shd w:val="clear" w:color="auto" w:fill="auto"/>
            <w:vAlign w:val="center"/>
            <w:hideMark/>
          </w:tcPr>
          <w:p w:rsidR="00FA7C73" w:rsidRPr="00C53010" w:rsidRDefault="00076FB7" w:rsidP="001F3A94">
            <w:pPr>
              <w:jc w:val="center"/>
              <w:rPr>
                <w:color w:val="000000"/>
                <w:sz w:val="20"/>
                <w:lang w:val="es-ES"/>
              </w:rPr>
            </w:pPr>
            <w:r>
              <w:rPr>
                <w:color w:val="000000"/>
                <w:sz w:val="20"/>
                <w:lang w:val="es-ES"/>
              </w:rPr>
              <w:t>19 </w:t>
            </w:r>
            <w:r w:rsidR="00FA7C73" w:rsidRPr="00C53010">
              <w:rPr>
                <w:color w:val="000000"/>
                <w:sz w:val="20"/>
                <w:lang w:val="es-ES"/>
              </w:rPr>
              <w:t>593</w:t>
            </w:r>
          </w:p>
        </w:tc>
        <w:tc>
          <w:tcPr>
            <w:tcW w:w="2049" w:type="dxa"/>
            <w:shd w:val="clear" w:color="auto" w:fill="auto"/>
            <w:vAlign w:val="center"/>
            <w:hideMark/>
          </w:tcPr>
          <w:p w:rsidR="00FA7C73" w:rsidRPr="00C53010" w:rsidRDefault="00076FB7" w:rsidP="001F3A94">
            <w:pPr>
              <w:jc w:val="center"/>
              <w:rPr>
                <w:color w:val="000000"/>
                <w:sz w:val="20"/>
                <w:lang w:val="es-ES"/>
              </w:rPr>
            </w:pPr>
            <w:r>
              <w:rPr>
                <w:color w:val="000000"/>
                <w:sz w:val="20"/>
                <w:lang w:val="es-ES"/>
              </w:rPr>
              <w:t>38 </w:t>
            </w:r>
            <w:r w:rsidR="00FA7C73" w:rsidRPr="00C53010">
              <w:rPr>
                <w:color w:val="000000"/>
                <w:sz w:val="20"/>
                <w:lang w:val="es-ES"/>
              </w:rPr>
              <w:t>947</w:t>
            </w:r>
          </w:p>
        </w:tc>
      </w:tr>
      <w:tr w:rsidR="00FA7C73" w:rsidRPr="00C53010" w:rsidTr="003045E9">
        <w:trPr>
          <w:trHeight w:val="315"/>
          <w:jc w:val="center"/>
        </w:trPr>
        <w:tc>
          <w:tcPr>
            <w:tcW w:w="4512" w:type="dxa"/>
            <w:tcBorders>
              <w:top w:val="single" w:sz="8" w:space="0" w:color="auto"/>
              <w:left w:val="single" w:sz="8" w:space="0" w:color="auto"/>
            </w:tcBorders>
            <w:shd w:val="clear" w:color="auto" w:fill="auto"/>
            <w:vAlign w:val="center"/>
          </w:tcPr>
          <w:p w:rsidR="00FA7C73" w:rsidRPr="00C53010" w:rsidRDefault="00FA7C73" w:rsidP="003F392E">
            <w:pPr>
              <w:jc w:val="center"/>
              <w:rPr>
                <w:i/>
                <w:iCs/>
                <w:color w:val="000000"/>
                <w:sz w:val="20"/>
                <w:lang w:val="es-ES"/>
              </w:rPr>
            </w:pPr>
            <w:r w:rsidRPr="00C53010">
              <w:rPr>
                <w:i/>
                <w:iCs/>
                <w:color w:val="000000"/>
                <w:sz w:val="20"/>
                <w:lang w:val="es-ES"/>
              </w:rPr>
              <w:t>RR-16 (</w:t>
            </w:r>
            <w:r w:rsidR="003F392E" w:rsidRPr="00C53010">
              <w:rPr>
                <w:i/>
                <w:iCs/>
                <w:color w:val="000000"/>
                <w:sz w:val="20"/>
                <w:lang w:val="es-ES"/>
              </w:rPr>
              <w:t xml:space="preserve">desde diciembre de </w:t>
            </w:r>
            <w:r w:rsidRPr="00C53010">
              <w:rPr>
                <w:i/>
                <w:iCs/>
                <w:color w:val="000000"/>
                <w:sz w:val="20"/>
                <w:lang w:val="es-ES"/>
              </w:rPr>
              <w:t>2016)</w:t>
            </w:r>
          </w:p>
        </w:tc>
        <w:tc>
          <w:tcPr>
            <w:tcW w:w="1583" w:type="dxa"/>
            <w:shd w:val="clear" w:color="auto" w:fill="auto"/>
            <w:vAlign w:val="center"/>
          </w:tcPr>
          <w:p w:rsidR="00FA7C73" w:rsidRPr="00C53010" w:rsidRDefault="00076FB7" w:rsidP="001F3A94">
            <w:pPr>
              <w:jc w:val="center"/>
              <w:rPr>
                <w:color w:val="000000"/>
                <w:sz w:val="20"/>
                <w:lang w:val="es-ES"/>
              </w:rPr>
            </w:pPr>
            <w:r>
              <w:rPr>
                <w:color w:val="000000"/>
                <w:sz w:val="20"/>
                <w:lang w:val="es-ES"/>
              </w:rPr>
              <w:t>5 </w:t>
            </w:r>
            <w:r w:rsidR="00FA7C73" w:rsidRPr="00C53010">
              <w:rPr>
                <w:color w:val="000000"/>
                <w:sz w:val="20"/>
                <w:lang w:val="es-ES"/>
              </w:rPr>
              <w:t>044</w:t>
            </w:r>
          </w:p>
        </w:tc>
        <w:tc>
          <w:tcPr>
            <w:tcW w:w="2049" w:type="dxa"/>
            <w:shd w:val="clear" w:color="auto" w:fill="auto"/>
            <w:vAlign w:val="center"/>
          </w:tcPr>
          <w:p w:rsidR="00FA7C73" w:rsidRPr="00C53010" w:rsidRDefault="00076FB7" w:rsidP="001F3A94">
            <w:pPr>
              <w:jc w:val="center"/>
              <w:rPr>
                <w:color w:val="000000"/>
                <w:sz w:val="20"/>
                <w:lang w:val="es-ES"/>
              </w:rPr>
            </w:pPr>
            <w:r>
              <w:rPr>
                <w:color w:val="000000"/>
                <w:sz w:val="20"/>
                <w:lang w:val="es-ES"/>
              </w:rPr>
              <w:t>2 </w:t>
            </w:r>
            <w:r w:rsidR="00FA7C73" w:rsidRPr="00C53010">
              <w:rPr>
                <w:color w:val="000000"/>
                <w:sz w:val="20"/>
                <w:lang w:val="es-ES"/>
              </w:rPr>
              <w:t>374</w:t>
            </w:r>
          </w:p>
        </w:tc>
      </w:tr>
      <w:tr w:rsidR="00FA7C73" w:rsidRPr="00C53010" w:rsidTr="003045E9">
        <w:trPr>
          <w:trHeight w:val="315"/>
          <w:jc w:val="center"/>
        </w:trPr>
        <w:tc>
          <w:tcPr>
            <w:tcW w:w="4512" w:type="dxa"/>
            <w:tcBorders>
              <w:top w:val="single" w:sz="8" w:space="0" w:color="auto"/>
              <w:left w:val="single" w:sz="8" w:space="0" w:color="auto"/>
            </w:tcBorders>
            <w:shd w:val="clear" w:color="auto" w:fill="auto"/>
            <w:vAlign w:val="center"/>
            <w:hideMark/>
          </w:tcPr>
          <w:p w:rsidR="00FA7C73" w:rsidRPr="00C53010" w:rsidRDefault="00FA7C73" w:rsidP="003F392E">
            <w:pPr>
              <w:jc w:val="center"/>
              <w:rPr>
                <w:i/>
                <w:iCs/>
                <w:color w:val="000000"/>
                <w:sz w:val="20"/>
                <w:lang w:val="es-ES"/>
              </w:rPr>
            </w:pPr>
            <w:r w:rsidRPr="00C53010">
              <w:rPr>
                <w:i/>
                <w:iCs/>
                <w:color w:val="000000"/>
                <w:sz w:val="20"/>
                <w:lang w:val="es-ES"/>
              </w:rPr>
              <w:t>R</w:t>
            </w:r>
            <w:r w:rsidR="003F392E" w:rsidRPr="00C53010">
              <w:rPr>
                <w:i/>
                <w:iCs/>
                <w:color w:val="000000"/>
                <w:sz w:val="20"/>
                <w:lang w:val="es-ES"/>
              </w:rPr>
              <w:t>d</w:t>
            </w:r>
            <w:r w:rsidRPr="00C53010">
              <w:rPr>
                <w:i/>
                <w:iCs/>
                <w:color w:val="000000"/>
                <w:sz w:val="20"/>
                <w:lang w:val="es-ES"/>
              </w:rPr>
              <w:t xml:space="preserve">P 2012 </w:t>
            </w:r>
            <w:r w:rsidRPr="00C53010">
              <w:rPr>
                <w:b/>
                <w:bCs/>
                <w:i/>
                <w:iCs/>
                <w:color w:val="000000"/>
                <w:sz w:val="20"/>
                <w:lang w:val="es-ES"/>
              </w:rPr>
              <w:t>(</w:t>
            </w:r>
            <w:r w:rsidR="003F392E" w:rsidRPr="00C53010">
              <w:rPr>
                <w:i/>
                <w:iCs/>
                <w:color w:val="000000"/>
                <w:sz w:val="20"/>
                <w:lang w:val="es-ES"/>
              </w:rPr>
              <w:t xml:space="preserve">desde la decisión del Consejo en </w:t>
            </w:r>
            <w:r w:rsidRPr="00C53010">
              <w:rPr>
                <w:i/>
                <w:iCs/>
                <w:color w:val="000000"/>
                <w:sz w:val="20"/>
                <w:lang w:val="es-ES"/>
              </w:rPr>
              <w:t>2014)</w:t>
            </w:r>
          </w:p>
        </w:tc>
        <w:tc>
          <w:tcPr>
            <w:tcW w:w="1583" w:type="dxa"/>
            <w:shd w:val="clear" w:color="auto" w:fill="auto"/>
            <w:vAlign w:val="center"/>
            <w:hideMark/>
          </w:tcPr>
          <w:p w:rsidR="00FA7C73" w:rsidRPr="00C53010" w:rsidRDefault="00FA7C73" w:rsidP="001F3A94">
            <w:pPr>
              <w:jc w:val="center"/>
              <w:rPr>
                <w:color w:val="000000"/>
                <w:sz w:val="20"/>
                <w:lang w:val="es-ES"/>
              </w:rPr>
            </w:pPr>
            <w:r w:rsidRPr="00C53010">
              <w:rPr>
                <w:color w:val="000000"/>
                <w:sz w:val="20"/>
                <w:lang w:val="es-ES"/>
              </w:rPr>
              <w:t>25</w:t>
            </w:r>
          </w:p>
        </w:tc>
        <w:tc>
          <w:tcPr>
            <w:tcW w:w="2049" w:type="dxa"/>
            <w:shd w:val="clear" w:color="auto" w:fill="auto"/>
            <w:vAlign w:val="center"/>
            <w:hideMark/>
          </w:tcPr>
          <w:p w:rsidR="00FA7C73" w:rsidRPr="00C53010" w:rsidRDefault="00076FB7" w:rsidP="001F3A94">
            <w:pPr>
              <w:jc w:val="center"/>
              <w:rPr>
                <w:color w:val="000000"/>
                <w:sz w:val="20"/>
                <w:lang w:val="es-ES"/>
              </w:rPr>
            </w:pPr>
            <w:r>
              <w:rPr>
                <w:color w:val="000000"/>
                <w:sz w:val="20"/>
                <w:lang w:val="es-ES"/>
              </w:rPr>
              <w:t>2 </w:t>
            </w:r>
            <w:r w:rsidR="00FA7C73" w:rsidRPr="00C53010">
              <w:rPr>
                <w:color w:val="000000"/>
                <w:sz w:val="20"/>
                <w:lang w:val="es-ES"/>
              </w:rPr>
              <w:t>011</w:t>
            </w:r>
          </w:p>
        </w:tc>
      </w:tr>
    </w:tbl>
    <w:p w:rsidR="00FA7C73" w:rsidRPr="00C53010" w:rsidRDefault="00FA7C73" w:rsidP="003E116B">
      <w:pPr>
        <w:pStyle w:val="Heading4"/>
        <w:rPr>
          <w:lang w:val="es-ES"/>
        </w:rPr>
      </w:pPr>
      <w:r w:rsidRPr="00C53010">
        <w:rPr>
          <w:lang w:val="es-ES"/>
        </w:rPr>
        <w:t>8.1.4.2</w:t>
      </w:r>
      <w:r w:rsidRPr="00C53010">
        <w:rPr>
          <w:lang w:val="es-ES"/>
        </w:rPr>
        <w:tab/>
      </w:r>
      <w:r w:rsidR="003F392E" w:rsidRPr="00C53010">
        <w:rPr>
          <w:lang w:val="es-ES"/>
        </w:rPr>
        <w:t>Recomendaciones U</w:t>
      </w:r>
      <w:r w:rsidRPr="00C53010">
        <w:rPr>
          <w:lang w:val="es-ES"/>
        </w:rPr>
        <w:t xml:space="preserve">IT-R </w:t>
      </w:r>
    </w:p>
    <w:p w:rsidR="00FA7C73" w:rsidRPr="00C53010" w:rsidRDefault="003F392E" w:rsidP="001B0E79">
      <w:pPr>
        <w:rPr>
          <w:lang w:val="es-ES"/>
        </w:rPr>
      </w:pPr>
      <w:r w:rsidRPr="00C53010">
        <w:rPr>
          <w:lang w:val="es-ES"/>
        </w:rPr>
        <w:t>A consecuencia de la política de acceso gratuito en línea</w:t>
      </w:r>
      <w:r w:rsidR="001B0E79">
        <w:rPr>
          <w:lang w:val="es-ES"/>
        </w:rPr>
        <w:t xml:space="preserve">, </w:t>
      </w:r>
      <w:r w:rsidRPr="00C53010">
        <w:rPr>
          <w:lang w:val="es-ES"/>
        </w:rPr>
        <w:t>las Recomendaciones UIT-R se han difundido a escala mundial y se han convertido en una referencia universal</w:t>
      </w:r>
      <w:r w:rsidR="001B0E79">
        <w:rPr>
          <w:lang w:val="es-ES"/>
        </w:rPr>
        <w:t xml:space="preserve">, </w:t>
      </w:r>
      <w:r w:rsidRPr="00C53010">
        <w:rPr>
          <w:lang w:val="es-ES"/>
        </w:rPr>
        <w:t xml:space="preserve">alcanzando a todas las audiencias con independencia de su situación económica. En el periodo de 48 meses (desde enero de 2014 a diciembre de 2017) se han registrado más de </w:t>
      </w:r>
      <w:r w:rsidR="00076FB7">
        <w:rPr>
          <w:lang w:val="es-ES"/>
        </w:rPr>
        <w:t>cinco</w:t>
      </w:r>
      <w:r w:rsidRPr="00C53010">
        <w:rPr>
          <w:lang w:val="es-ES"/>
        </w:rPr>
        <w:t xml:space="preserve"> millones de descargas de Recomendaciones UIT-R desde el sitio web de la UIT. En el Cuadro 8.1.4.2-1 se resume su distribución por año y serie. Actualmente hay 1 165 Recomendaciones UIT-R en vigor</w:t>
      </w:r>
      <w:r w:rsidR="001B0E79">
        <w:rPr>
          <w:lang w:val="es-ES"/>
        </w:rPr>
        <w:t xml:space="preserve">, </w:t>
      </w:r>
      <w:r w:rsidRPr="00C53010">
        <w:rPr>
          <w:lang w:val="es-ES"/>
        </w:rPr>
        <w:t>por lo que la media de descargas es de más de mil por Recomendación</w:t>
      </w:r>
      <w:r w:rsidR="00FA7C73" w:rsidRPr="00C53010">
        <w:rPr>
          <w:lang w:val="es-ES"/>
        </w:rPr>
        <w:t>.</w:t>
      </w:r>
    </w:p>
    <w:p w:rsidR="00FA7C73" w:rsidRPr="00C53010" w:rsidRDefault="003F392E" w:rsidP="001F3A94">
      <w:pPr>
        <w:pStyle w:val="TableNo"/>
        <w:spacing w:before="200"/>
        <w:rPr>
          <w:lang w:val="es-ES"/>
        </w:rPr>
      </w:pPr>
      <w:r w:rsidRPr="00C53010">
        <w:rPr>
          <w:lang w:val="es-ES"/>
        </w:rPr>
        <w:lastRenderedPageBreak/>
        <w:t>cuadro</w:t>
      </w:r>
      <w:r w:rsidR="00FA7C73" w:rsidRPr="00C53010">
        <w:rPr>
          <w:lang w:val="es-ES"/>
        </w:rPr>
        <w:t xml:space="preserve"> 8.1.4.2-1</w:t>
      </w:r>
    </w:p>
    <w:p w:rsidR="00FA7C73" w:rsidRPr="00C53010" w:rsidRDefault="003F392E" w:rsidP="003F392E">
      <w:pPr>
        <w:pStyle w:val="TabletitleBR"/>
        <w:rPr>
          <w:lang w:val="es-ES"/>
        </w:rPr>
      </w:pPr>
      <w:r w:rsidRPr="00C53010">
        <w:rPr>
          <w:lang w:val="es-ES"/>
        </w:rPr>
        <w:t>Distribución de Recomendaciones U</w:t>
      </w:r>
      <w:r w:rsidR="00FA7C73" w:rsidRPr="00C53010">
        <w:rPr>
          <w:lang w:val="es-ES"/>
        </w:rPr>
        <w:t xml:space="preserve">IT-R </w:t>
      </w:r>
    </w:p>
    <w:tbl>
      <w:tblPr>
        <w:tblW w:w="7954" w:type="dxa"/>
        <w:tblInd w:w="699" w:type="dxa"/>
        <w:tblCellMar>
          <w:left w:w="0" w:type="dxa"/>
          <w:right w:w="0" w:type="dxa"/>
        </w:tblCellMar>
        <w:tblLook w:val="04A0" w:firstRow="1" w:lastRow="0" w:firstColumn="1" w:lastColumn="0" w:noHBand="0" w:noVBand="1"/>
      </w:tblPr>
      <w:tblGrid>
        <w:gridCol w:w="1070"/>
        <w:gridCol w:w="1060"/>
        <w:gridCol w:w="1176"/>
        <w:gridCol w:w="1176"/>
        <w:gridCol w:w="1176"/>
        <w:gridCol w:w="1180"/>
        <w:gridCol w:w="1176"/>
      </w:tblGrid>
      <w:tr w:rsidR="00FA7C73" w:rsidRPr="00C53010" w:rsidTr="003045E9">
        <w:trPr>
          <w:trHeight w:val="330"/>
        </w:trPr>
        <w:tc>
          <w:tcPr>
            <w:tcW w:w="1070" w:type="dxa"/>
            <w:tcBorders>
              <w:top w:val="single" w:sz="8"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073562">
            <w:pPr>
              <w:rPr>
                <w:b/>
                <w:bCs/>
                <w:color w:val="000000"/>
                <w:szCs w:val="24"/>
                <w:lang w:val="es-ES"/>
              </w:rPr>
            </w:pPr>
            <w:r w:rsidRPr="00C53010">
              <w:rPr>
                <w:b/>
                <w:bCs/>
                <w:color w:val="000000"/>
                <w:szCs w:val="24"/>
                <w:lang w:val="es-ES"/>
              </w:rPr>
              <w:t>SERIE</w:t>
            </w:r>
          </w:p>
        </w:tc>
        <w:tc>
          <w:tcPr>
            <w:tcW w:w="1060"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2014</w:t>
            </w:r>
          </w:p>
        </w:tc>
        <w:tc>
          <w:tcPr>
            <w:tcW w:w="1176"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2015</w:t>
            </w:r>
          </w:p>
        </w:tc>
        <w:tc>
          <w:tcPr>
            <w:tcW w:w="1176" w:type="dxa"/>
            <w:tcBorders>
              <w:top w:val="single" w:sz="8"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2016</w:t>
            </w:r>
          </w:p>
        </w:tc>
        <w:tc>
          <w:tcPr>
            <w:tcW w:w="1176" w:type="dxa"/>
            <w:tcBorders>
              <w:top w:val="single" w:sz="8"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2017</w:t>
            </w:r>
          </w:p>
        </w:tc>
        <w:tc>
          <w:tcPr>
            <w:tcW w:w="1180"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Total</w:t>
            </w:r>
          </w:p>
        </w:tc>
        <w:tc>
          <w:tcPr>
            <w:tcW w:w="1116" w:type="dxa"/>
            <w:tcBorders>
              <w:top w:val="single" w:sz="8"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w:t>
            </w:r>
          </w:p>
        </w:tc>
      </w:tr>
      <w:tr w:rsidR="00FA7C73" w:rsidRPr="00C53010" w:rsidTr="003045E9">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P</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162</w:t>
            </w:r>
            <w:r w:rsidR="00454C57">
              <w:rPr>
                <w:color w:val="000000"/>
                <w:szCs w:val="24"/>
                <w:lang w:val="es-ES"/>
              </w:rPr>
              <w:t> </w:t>
            </w:r>
            <w:r w:rsidRPr="00C53010">
              <w:rPr>
                <w:color w:val="000000"/>
                <w:szCs w:val="24"/>
                <w:lang w:val="es-ES"/>
              </w:rPr>
              <w:t>115</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187</w:t>
            </w:r>
            <w:r w:rsidR="00454C57">
              <w:rPr>
                <w:color w:val="000000"/>
                <w:szCs w:val="24"/>
                <w:lang w:val="es-ES"/>
              </w:rPr>
              <w:t> </w:t>
            </w:r>
            <w:r w:rsidRPr="00C53010">
              <w:rPr>
                <w:color w:val="000000"/>
                <w:szCs w:val="24"/>
                <w:lang w:val="es-ES"/>
              </w:rPr>
              <w:t>575</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364</w:t>
            </w:r>
            <w:r w:rsidR="00454C57">
              <w:rPr>
                <w:color w:val="000000"/>
                <w:szCs w:val="24"/>
                <w:lang w:val="es-ES"/>
              </w:rPr>
              <w:t> </w:t>
            </w:r>
            <w:r w:rsidRPr="00C53010">
              <w:rPr>
                <w:color w:val="000000"/>
                <w:szCs w:val="24"/>
                <w:lang w:val="es-ES"/>
              </w:rPr>
              <w:t>869</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316</w:t>
            </w:r>
            <w:r w:rsidR="00454C57">
              <w:rPr>
                <w:color w:val="000000"/>
                <w:szCs w:val="24"/>
                <w:lang w:val="es-ES"/>
              </w:rPr>
              <w:t> </w:t>
            </w:r>
            <w:r w:rsidRPr="00C53010">
              <w:rPr>
                <w:color w:val="000000"/>
                <w:szCs w:val="24"/>
                <w:lang w:val="es-ES"/>
              </w:rPr>
              <w:t>019</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1</w:t>
            </w:r>
            <w:r w:rsidR="00454C57">
              <w:rPr>
                <w:b/>
                <w:bCs/>
                <w:color w:val="000000"/>
                <w:szCs w:val="24"/>
                <w:lang w:val="es-ES"/>
              </w:rPr>
              <w:t> </w:t>
            </w:r>
            <w:r w:rsidRPr="00C53010">
              <w:rPr>
                <w:b/>
                <w:bCs/>
                <w:color w:val="000000"/>
                <w:szCs w:val="24"/>
                <w:lang w:val="es-ES"/>
              </w:rPr>
              <w:t>030</w:t>
            </w:r>
            <w:r w:rsidR="00454C57">
              <w:rPr>
                <w:b/>
                <w:bCs/>
                <w:color w:val="000000"/>
                <w:szCs w:val="24"/>
                <w:lang w:val="es-ES"/>
              </w:rPr>
              <w:t> </w:t>
            </w:r>
            <w:r w:rsidRPr="00C53010">
              <w:rPr>
                <w:b/>
                <w:bCs/>
                <w:color w:val="000000"/>
                <w:szCs w:val="24"/>
                <w:lang w:val="es-ES"/>
              </w:rPr>
              <w:t>578</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20</w:t>
            </w:r>
            <w:r w:rsidR="000411C3">
              <w:rPr>
                <w:b/>
                <w:bCs/>
                <w:color w:val="000000"/>
                <w:szCs w:val="24"/>
                <w:lang w:val="es-ES"/>
              </w:rPr>
              <w:t> ,</w:t>
            </w:r>
            <w:r w:rsidRPr="00C53010">
              <w:rPr>
                <w:b/>
                <w:bCs/>
                <w:color w:val="000000"/>
                <w:szCs w:val="24"/>
                <w:lang w:val="es-ES"/>
              </w:rPr>
              <w:t>43%</w:t>
            </w:r>
          </w:p>
        </w:tc>
      </w:tr>
      <w:tr w:rsidR="00FA7C73" w:rsidRPr="00C53010" w:rsidTr="003045E9">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BT</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128</w:t>
            </w:r>
            <w:r w:rsidR="00454C57">
              <w:rPr>
                <w:color w:val="000000"/>
                <w:szCs w:val="24"/>
                <w:lang w:val="es-ES"/>
              </w:rPr>
              <w:t> </w:t>
            </w:r>
            <w:r w:rsidRPr="00C53010">
              <w:rPr>
                <w:color w:val="000000"/>
                <w:szCs w:val="24"/>
                <w:lang w:val="es-ES"/>
              </w:rPr>
              <w:t>764</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155</w:t>
            </w:r>
            <w:r w:rsidR="00454C57">
              <w:rPr>
                <w:color w:val="000000"/>
                <w:szCs w:val="24"/>
                <w:lang w:val="es-ES"/>
              </w:rPr>
              <w:t> </w:t>
            </w:r>
            <w:r w:rsidRPr="00C53010">
              <w:rPr>
                <w:color w:val="000000"/>
                <w:szCs w:val="24"/>
                <w:lang w:val="es-ES"/>
              </w:rPr>
              <w:t>065</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235</w:t>
            </w:r>
            <w:r w:rsidR="00454C57">
              <w:rPr>
                <w:color w:val="000000"/>
                <w:szCs w:val="24"/>
                <w:lang w:val="es-ES"/>
              </w:rPr>
              <w:t> </w:t>
            </w:r>
            <w:r w:rsidRPr="00C53010">
              <w:rPr>
                <w:color w:val="000000"/>
                <w:szCs w:val="24"/>
                <w:lang w:val="es-ES"/>
              </w:rPr>
              <w:t>758</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208</w:t>
            </w:r>
            <w:r w:rsidR="00454C57">
              <w:rPr>
                <w:color w:val="000000"/>
                <w:szCs w:val="24"/>
                <w:lang w:val="es-ES"/>
              </w:rPr>
              <w:t> </w:t>
            </w:r>
            <w:r w:rsidRPr="00C53010">
              <w:rPr>
                <w:color w:val="000000"/>
                <w:szCs w:val="24"/>
                <w:lang w:val="es-ES"/>
              </w:rPr>
              <w:t>528</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728</w:t>
            </w:r>
            <w:r w:rsidR="00454C57">
              <w:rPr>
                <w:b/>
                <w:bCs/>
                <w:color w:val="000000"/>
                <w:szCs w:val="24"/>
                <w:lang w:val="es-ES"/>
              </w:rPr>
              <w:t> </w:t>
            </w:r>
            <w:r w:rsidRPr="00C53010">
              <w:rPr>
                <w:b/>
                <w:bCs/>
                <w:color w:val="000000"/>
                <w:szCs w:val="24"/>
                <w:lang w:val="es-ES"/>
              </w:rPr>
              <w:t>115</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14</w:t>
            </w:r>
            <w:r w:rsidR="000411C3">
              <w:rPr>
                <w:b/>
                <w:bCs/>
                <w:color w:val="000000"/>
                <w:szCs w:val="24"/>
                <w:lang w:val="es-ES"/>
              </w:rPr>
              <w:t> ,</w:t>
            </w:r>
            <w:r w:rsidRPr="00C53010">
              <w:rPr>
                <w:b/>
                <w:bCs/>
                <w:color w:val="000000"/>
                <w:szCs w:val="24"/>
                <w:lang w:val="es-ES"/>
              </w:rPr>
              <w:t>43%</w:t>
            </w:r>
          </w:p>
        </w:tc>
      </w:tr>
      <w:tr w:rsidR="00FA7C73" w:rsidRPr="00C53010" w:rsidTr="003045E9">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M</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128</w:t>
            </w:r>
            <w:r w:rsidR="00454C57">
              <w:rPr>
                <w:color w:val="000000"/>
                <w:szCs w:val="24"/>
                <w:lang w:val="es-ES"/>
              </w:rPr>
              <w:t> </w:t>
            </w:r>
            <w:r w:rsidRPr="00C53010">
              <w:rPr>
                <w:color w:val="000000"/>
                <w:szCs w:val="24"/>
                <w:lang w:val="es-ES"/>
              </w:rPr>
              <w:t>540</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178</w:t>
            </w:r>
            <w:r w:rsidR="00454C57">
              <w:rPr>
                <w:color w:val="000000"/>
                <w:szCs w:val="24"/>
                <w:lang w:val="es-ES"/>
              </w:rPr>
              <w:t> </w:t>
            </w:r>
            <w:r w:rsidRPr="00C53010">
              <w:rPr>
                <w:color w:val="000000"/>
                <w:szCs w:val="24"/>
                <w:lang w:val="es-ES"/>
              </w:rPr>
              <w:t>190</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301</w:t>
            </w:r>
            <w:r w:rsidR="00454C57">
              <w:rPr>
                <w:color w:val="000000"/>
                <w:szCs w:val="24"/>
                <w:lang w:val="es-ES"/>
              </w:rPr>
              <w:t> </w:t>
            </w:r>
            <w:r w:rsidRPr="00C53010">
              <w:rPr>
                <w:color w:val="000000"/>
                <w:szCs w:val="24"/>
                <w:lang w:val="es-ES"/>
              </w:rPr>
              <w:t>869</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269</w:t>
            </w:r>
            <w:r w:rsidR="00454C57">
              <w:rPr>
                <w:color w:val="000000"/>
                <w:szCs w:val="24"/>
                <w:lang w:val="es-ES"/>
              </w:rPr>
              <w:t> </w:t>
            </w:r>
            <w:r w:rsidRPr="00C53010">
              <w:rPr>
                <w:color w:val="000000"/>
                <w:szCs w:val="24"/>
                <w:lang w:val="es-ES"/>
              </w:rPr>
              <w:t>185</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877</w:t>
            </w:r>
            <w:r w:rsidR="00454C57">
              <w:rPr>
                <w:b/>
                <w:bCs/>
                <w:color w:val="000000"/>
                <w:szCs w:val="24"/>
                <w:lang w:val="es-ES"/>
              </w:rPr>
              <w:t> </w:t>
            </w:r>
            <w:r w:rsidRPr="00C53010">
              <w:rPr>
                <w:b/>
                <w:bCs/>
                <w:color w:val="000000"/>
                <w:szCs w:val="24"/>
                <w:lang w:val="es-ES"/>
              </w:rPr>
              <w:t>784</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17</w:t>
            </w:r>
            <w:r w:rsidR="000411C3">
              <w:rPr>
                <w:b/>
                <w:bCs/>
                <w:color w:val="000000"/>
                <w:szCs w:val="24"/>
                <w:lang w:val="es-ES"/>
              </w:rPr>
              <w:t> ,</w:t>
            </w:r>
            <w:r w:rsidRPr="00C53010">
              <w:rPr>
                <w:b/>
                <w:bCs/>
                <w:color w:val="000000"/>
                <w:szCs w:val="24"/>
                <w:lang w:val="es-ES"/>
              </w:rPr>
              <w:t>40%</w:t>
            </w:r>
          </w:p>
        </w:tc>
      </w:tr>
      <w:tr w:rsidR="00FA7C73" w:rsidRPr="00C53010" w:rsidTr="003045E9">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SM</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83</w:t>
            </w:r>
            <w:r w:rsidR="00454C57">
              <w:rPr>
                <w:color w:val="000000"/>
                <w:szCs w:val="24"/>
                <w:lang w:val="es-ES"/>
              </w:rPr>
              <w:t> </w:t>
            </w:r>
            <w:r w:rsidRPr="00C53010">
              <w:rPr>
                <w:color w:val="000000"/>
                <w:szCs w:val="24"/>
                <w:lang w:val="es-ES"/>
              </w:rPr>
              <w:t>165</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102</w:t>
            </w:r>
            <w:r w:rsidR="00454C57">
              <w:rPr>
                <w:color w:val="000000"/>
                <w:szCs w:val="24"/>
                <w:lang w:val="es-ES"/>
              </w:rPr>
              <w:t> </w:t>
            </w:r>
            <w:r w:rsidRPr="00C53010">
              <w:rPr>
                <w:color w:val="000000"/>
                <w:szCs w:val="24"/>
                <w:lang w:val="es-ES"/>
              </w:rPr>
              <w:t>711</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187</w:t>
            </w:r>
            <w:r w:rsidR="00454C57">
              <w:rPr>
                <w:color w:val="000000"/>
                <w:szCs w:val="24"/>
                <w:lang w:val="es-ES"/>
              </w:rPr>
              <w:t> </w:t>
            </w:r>
            <w:r w:rsidRPr="00C53010">
              <w:rPr>
                <w:color w:val="000000"/>
                <w:szCs w:val="24"/>
                <w:lang w:val="es-ES"/>
              </w:rPr>
              <w:t>123</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152</w:t>
            </w:r>
            <w:r w:rsidR="00454C57">
              <w:rPr>
                <w:color w:val="000000"/>
                <w:szCs w:val="24"/>
                <w:lang w:val="es-ES"/>
              </w:rPr>
              <w:t> </w:t>
            </w:r>
            <w:r w:rsidRPr="00C53010">
              <w:rPr>
                <w:color w:val="000000"/>
                <w:szCs w:val="24"/>
                <w:lang w:val="es-ES"/>
              </w:rPr>
              <w:t>305</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525</w:t>
            </w:r>
            <w:r w:rsidR="00454C57">
              <w:rPr>
                <w:b/>
                <w:bCs/>
                <w:color w:val="000000"/>
                <w:szCs w:val="24"/>
                <w:lang w:val="es-ES"/>
              </w:rPr>
              <w:t> </w:t>
            </w:r>
            <w:r w:rsidRPr="00C53010">
              <w:rPr>
                <w:b/>
                <w:bCs/>
                <w:color w:val="000000"/>
                <w:szCs w:val="24"/>
                <w:lang w:val="es-ES"/>
              </w:rPr>
              <w:t>304</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10</w:t>
            </w:r>
            <w:r w:rsidR="000411C3">
              <w:rPr>
                <w:b/>
                <w:bCs/>
                <w:color w:val="000000"/>
                <w:szCs w:val="24"/>
                <w:lang w:val="es-ES"/>
              </w:rPr>
              <w:t> ,</w:t>
            </w:r>
            <w:r w:rsidRPr="00C53010">
              <w:rPr>
                <w:b/>
                <w:bCs/>
                <w:color w:val="000000"/>
                <w:szCs w:val="24"/>
                <w:lang w:val="es-ES"/>
              </w:rPr>
              <w:t>41%</w:t>
            </w:r>
          </w:p>
        </w:tc>
      </w:tr>
      <w:tr w:rsidR="00FA7C73" w:rsidRPr="00C53010" w:rsidTr="003045E9">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BS</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69</w:t>
            </w:r>
            <w:r w:rsidR="00454C57">
              <w:rPr>
                <w:color w:val="000000"/>
                <w:szCs w:val="24"/>
                <w:lang w:val="es-ES"/>
              </w:rPr>
              <w:t> </w:t>
            </w:r>
            <w:r w:rsidRPr="00C53010">
              <w:rPr>
                <w:color w:val="000000"/>
                <w:szCs w:val="24"/>
                <w:lang w:val="es-ES"/>
              </w:rPr>
              <w:t>700</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77</w:t>
            </w:r>
            <w:r w:rsidR="00454C57">
              <w:rPr>
                <w:color w:val="000000"/>
                <w:szCs w:val="24"/>
                <w:lang w:val="es-ES"/>
              </w:rPr>
              <w:t> </w:t>
            </w:r>
            <w:r w:rsidRPr="00C53010">
              <w:rPr>
                <w:color w:val="000000"/>
                <w:szCs w:val="24"/>
                <w:lang w:val="es-ES"/>
              </w:rPr>
              <w:t>553</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135</w:t>
            </w:r>
            <w:r w:rsidR="00454C57">
              <w:rPr>
                <w:color w:val="000000"/>
                <w:szCs w:val="24"/>
                <w:lang w:val="es-ES"/>
              </w:rPr>
              <w:t> </w:t>
            </w:r>
            <w:r w:rsidRPr="00C53010">
              <w:rPr>
                <w:color w:val="000000"/>
                <w:szCs w:val="24"/>
                <w:lang w:val="es-ES"/>
              </w:rPr>
              <w:t>300</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131</w:t>
            </w:r>
            <w:r w:rsidR="00454C57">
              <w:rPr>
                <w:color w:val="000000"/>
                <w:szCs w:val="24"/>
                <w:lang w:val="es-ES"/>
              </w:rPr>
              <w:t> </w:t>
            </w:r>
            <w:r w:rsidRPr="00C53010">
              <w:rPr>
                <w:color w:val="000000"/>
                <w:szCs w:val="24"/>
                <w:lang w:val="es-ES"/>
              </w:rPr>
              <w:t>647</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414</w:t>
            </w:r>
            <w:r w:rsidR="00454C57">
              <w:rPr>
                <w:b/>
                <w:bCs/>
                <w:color w:val="000000"/>
                <w:szCs w:val="24"/>
                <w:lang w:val="es-ES"/>
              </w:rPr>
              <w:t> </w:t>
            </w:r>
            <w:r w:rsidRPr="00C53010">
              <w:rPr>
                <w:b/>
                <w:bCs/>
                <w:color w:val="000000"/>
                <w:szCs w:val="24"/>
                <w:lang w:val="es-ES"/>
              </w:rPr>
              <w:t>200</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8</w:t>
            </w:r>
            <w:r w:rsidR="000411C3">
              <w:rPr>
                <w:b/>
                <w:bCs/>
                <w:color w:val="000000"/>
                <w:szCs w:val="24"/>
                <w:lang w:val="es-ES"/>
              </w:rPr>
              <w:t> ,</w:t>
            </w:r>
            <w:r w:rsidRPr="00C53010">
              <w:rPr>
                <w:b/>
                <w:bCs/>
                <w:color w:val="000000"/>
                <w:szCs w:val="24"/>
                <w:lang w:val="es-ES"/>
              </w:rPr>
              <w:t>21%</w:t>
            </w:r>
          </w:p>
        </w:tc>
      </w:tr>
      <w:tr w:rsidR="00FA7C73" w:rsidRPr="00C53010" w:rsidTr="003045E9">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F</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95</w:t>
            </w:r>
            <w:r w:rsidR="00454C57">
              <w:rPr>
                <w:color w:val="000000"/>
                <w:szCs w:val="24"/>
                <w:lang w:val="es-ES"/>
              </w:rPr>
              <w:t> </w:t>
            </w:r>
            <w:r w:rsidRPr="00C53010">
              <w:rPr>
                <w:color w:val="000000"/>
                <w:szCs w:val="24"/>
                <w:lang w:val="es-ES"/>
              </w:rPr>
              <w:t>712</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109</w:t>
            </w:r>
            <w:r w:rsidR="00454C57">
              <w:rPr>
                <w:color w:val="000000"/>
                <w:szCs w:val="24"/>
                <w:lang w:val="es-ES"/>
              </w:rPr>
              <w:t> </w:t>
            </w:r>
            <w:r w:rsidRPr="00C53010">
              <w:rPr>
                <w:color w:val="000000"/>
                <w:szCs w:val="24"/>
                <w:lang w:val="es-ES"/>
              </w:rPr>
              <w:t>187</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187</w:t>
            </w:r>
            <w:r w:rsidR="00454C57">
              <w:rPr>
                <w:color w:val="000000"/>
                <w:szCs w:val="24"/>
                <w:lang w:val="es-ES"/>
              </w:rPr>
              <w:t> </w:t>
            </w:r>
            <w:r w:rsidRPr="00C53010">
              <w:rPr>
                <w:color w:val="000000"/>
                <w:szCs w:val="24"/>
                <w:lang w:val="es-ES"/>
              </w:rPr>
              <w:t>344</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147</w:t>
            </w:r>
            <w:r w:rsidR="00454C57">
              <w:rPr>
                <w:color w:val="000000"/>
                <w:szCs w:val="24"/>
                <w:lang w:val="es-ES"/>
              </w:rPr>
              <w:t> </w:t>
            </w:r>
            <w:r w:rsidRPr="00C53010">
              <w:rPr>
                <w:color w:val="000000"/>
                <w:szCs w:val="24"/>
                <w:lang w:val="es-ES"/>
              </w:rPr>
              <w:t>502</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539</w:t>
            </w:r>
            <w:r w:rsidR="00454C57">
              <w:rPr>
                <w:b/>
                <w:bCs/>
                <w:color w:val="000000"/>
                <w:szCs w:val="24"/>
                <w:lang w:val="es-ES"/>
              </w:rPr>
              <w:t> </w:t>
            </w:r>
            <w:r w:rsidRPr="00C53010">
              <w:rPr>
                <w:b/>
                <w:bCs/>
                <w:color w:val="000000"/>
                <w:szCs w:val="24"/>
                <w:lang w:val="es-ES"/>
              </w:rPr>
              <w:t>745</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10</w:t>
            </w:r>
            <w:r w:rsidR="000411C3">
              <w:rPr>
                <w:b/>
                <w:bCs/>
                <w:color w:val="000000"/>
                <w:szCs w:val="24"/>
                <w:lang w:val="es-ES"/>
              </w:rPr>
              <w:t> ,</w:t>
            </w:r>
            <w:r w:rsidRPr="00C53010">
              <w:rPr>
                <w:b/>
                <w:bCs/>
                <w:color w:val="000000"/>
                <w:szCs w:val="24"/>
                <w:lang w:val="es-ES"/>
              </w:rPr>
              <w:t>70%</w:t>
            </w:r>
          </w:p>
        </w:tc>
      </w:tr>
      <w:tr w:rsidR="00FA7C73" w:rsidRPr="00C53010" w:rsidTr="003045E9">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S</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55</w:t>
            </w:r>
            <w:r w:rsidR="00454C57">
              <w:rPr>
                <w:color w:val="000000"/>
                <w:szCs w:val="24"/>
                <w:lang w:val="es-ES"/>
              </w:rPr>
              <w:t> </w:t>
            </w:r>
            <w:r w:rsidRPr="00C53010">
              <w:rPr>
                <w:color w:val="000000"/>
                <w:szCs w:val="24"/>
                <w:lang w:val="es-ES"/>
              </w:rPr>
              <w:t>473</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63</w:t>
            </w:r>
            <w:r w:rsidR="00454C57">
              <w:rPr>
                <w:color w:val="000000"/>
                <w:szCs w:val="24"/>
                <w:lang w:val="es-ES"/>
              </w:rPr>
              <w:t> </w:t>
            </w:r>
            <w:r w:rsidRPr="00C53010">
              <w:rPr>
                <w:color w:val="000000"/>
                <w:szCs w:val="24"/>
                <w:lang w:val="es-ES"/>
              </w:rPr>
              <w:t>020</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123</w:t>
            </w:r>
            <w:r w:rsidR="00454C57">
              <w:rPr>
                <w:color w:val="000000"/>
                <w:szCs w:val="24"/>
                <w:lang w:val="es-ES"/>
              </w:rPr>
              <w:t> </w:t>
            </w:r>
            <w:r w:rsidRPr="00C53010">
              <w:rPr>
                <w:color w:val="000000"/>
                <w:szCs w:val="24"/>
                <w:lang w:val="es-ES"/>
              </w:rPr>
              <w:t>412</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103</w:t>
            </w:r>
            <w:r w:rsidR="00454C57">
              <w:rPr>
                <w:color w:val="000000"/>
                <w:szCs w:val="24"/>
                <w:lang w:val="es-ES"/>
              </w:rPr>
              <w:t> </w:t>
            </w:r>
            <w:r w:rsidRPr="00C53010">
              <w:rPr>
                <w:color w:val="000000"/>
                <w:szCs w:val="24"/>
                <w:lang w:val="es-ES"/>
              </w:rPr>
              <w:t>445</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345</w:t>
            </w:r>
            <w:r w:rsidR="00454C57">
              <w:rPr>
                <w:b/>
                <w:bCs/>
                <w:color w:val="000000"/>
                <w:szCs w:val="24"/>
                <w:lang w:val="es-ES"/>
              </w:rPr>
              <w:t> </w:t>
            </w:r>
            <w:r w:rsidRPr="00C53010">
              <w:rPr>
                <w:b/>
                <w:bCs/>
                <w:color w:val="000000"/>
                <w:szCs w:val="24"/>
                <w:lang w:val="es-ES"/>
              </w:rPr>
              <w:t>350</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6</w:t>
            </w:r>
            <w:r w:rsidR="000411C3">
              <w:rPr>
                <w:b/>
                <w:bCs/>
                <w:color w:val="000000"/>
                <w:szCs w:val="24"/>
                <w:lang w:val="es-ES"/>
              </w:rPr>
              <w:t> ,</w:t>
            </w:r>
            <w:r w:rsidRPr="00C53010">
              <w:rPr>
                <w:b/>
                <w:bCs/>
                <w:color w:val="000000"/>
                <w:szCs w:val="24"/>
                <w:lang w:val="es-ES"/>
              </w:rPr>
              <w:t>85%</w:t>
            </w:r>
          </w:p>
        </w:tc>
      </w:tr>
      <w:tr w:rsidR="00FA7C73" w:rsidRPr="00C53010" w:rsidTr="003045E9">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BO</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14</w:t>
            </w:r>
            <w:r w:rsidR="00454C57">
              <w:rPr>
                <w:color w:val="000000"/>
                <w:szCs w:val="24"/>
                <w:lang w:val="es-ES"/>
              </w:rPr>
              <w:t> </w:t>
            </w:r>
            <w:r w:rsidRPr="00C53010">
              <w:rPr>
                <w:color w:val="000000"/>
                <w:szCs w:val="24"/>
                <w:lang w:val="es-ES"/>
              </w:rPr>
              <w:t>664</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18</w:t>
            </w:r>
            <w:r w:rsidR="00454C57">
              <w:rPr>
                <w:color w:val="000000"/>
                <w:szCs w:val="24"/>
                <w:lang w:val="es-ES"/>
              </w:rPr>
              <w:t> </w:t>
            </w:r>
            <w:r w:rsidRPr="00C53010">
              <w:rPr>
                <w:color w:val="000000"/>
                <w:szCs w:val="24"/>
                <w:lang w:val="es-ES"/>
              </w:rPr>
              <w:t>651</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32</w:t>
            </w:r>
            <w:r w:rsidR="00454C57">
              <w:rPr>
                <w:color w:val="000000"/>
                <w:szCs w:val="24"/>
                <w:lang w:val="es-ES"/>
              </w:rPr>
              <w:t> </w:t>
            </w:r>
            <w:r w:rsidRPr="00C53010">
              <w:rPr>
                <w:color w:val="000000"/>
                <w:szCs w:val="24"/>
                <w:lang w:val="es-ES"/>
              </w:rPr>
              <w:t>637</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28</w:t>
            </w:r>
            <w:r w:rsidR="00454C57">
              <w:rPr>
                <w:color w:val="000000"/>
                <w:szCs w:val="24"/>
                <w:lang w:val="es-ES"/>
              </w:rPr>
              <w:t> </w:t>
            </w:r>
            <w:r w:rsidRPr="00C53010">
              <w:rPr>
                <w:color w:val="000000"/>
                <w:szCs w:val="24"/>
                <w:lang w:val="es-ES"/>
              </w:rPr>
              <w:t>578</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94</w:t>
            </w:r>
            <w:r w:rsidR="00454C57">
              <w:rPr>
                <w:b/>
                <w:bCs/>
                <w:color w:val="000000"/>
                <w:szCs w:val="24"/>
                <w:lang w:val="es-ES"/>
              </w:rPr>
              <w:t> </w:t>
            </w:r>
            <w:r w:rsidRPr="00C53010">
              <w:rPr>
                <w:b/>
                <w:bCs/>
                <w:color w:val="000000"/>
                <w:szCs w:val="24"/>
                <w:lang w:val="es-ES"/>
              </w:rPr>
              <w:t>530</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1</w:t>
            </w:r>
            <w:r w:rsidR="000411C3">
              <w:rPr>
                <w:b/>
                <w:bCs/>
                <w:color w:val="000000"/>
                <w:szCs w:val="24"/>
                <w:lang w:val="es-ES"/>
              </w:rPr>
              <w:t> ,</w:t>
            </w:r>
            <w:r w:rsidRPr="00C53010">
              <w:rPr>
                <w:b/>
                <w:bCs/>
                <w:color w:val="000000"/>
                <w:szCs w:val="24"/>
                <w:lang w:val="es-ES"/>
              </w:rPr>
              <w:t>87%</w:t>
            </w:r>
          </w:p>
        </w:tc>
      </w:tr>
      <w:tr w:rsidR="00FA7C73" w:rsidRPr="00C53010" w:rsidTr="003045E9">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SA</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20</w:t>
            </w:r>
            <w:r w:rsidR="00454C57">
              <w:rPr>
                <w:color w:val="000000"/>
                <w:szCs w:val="24"/>
                <w:lang w:val="es-ES"/>
              </w:rPr>
              <w:t> </w:t>
            </w:r>
            <w:r w:rsidRPr="00C53010">
              <w:rPr>
                <w:color w:val="000000"/>
                <w:szCs w:val="24"/>
                <w:lang w:val="es-ES"/>
              </w:rPr>
              <w:t>101</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25</w:t>
            </w:r>
            <w:r w:rsidR="00454C57">
              <w:rPr>
                <w:color w:val="000000"/>
                <w:szCs w:val="24"/>
                <w:lang w:val="es-ES"/>
              </w:rPr>
              <w:t> </w:t>
            </w:r>
            <w:r w:rsidRPr="00C53010">
              <w:rPr>
                <w:color w:val="000000"/>
                <w:szCs w:val="24"/>
                <w:lang w:val="es-ES"/>
              </w:rPr>
              <w:t>278</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36</w:t>
            </w:r>
            <w:r w:rsidR="00454C57">
              <w:rPr>
                <w:color w:val="000000"/>
                <w:szCs w:val="24"/>
                <w:lang w:val="es-ES"/>
              </w:rPr>
              <w:t> </w:t>
            </w:r>
            <w:r w:rsidRPr="00C53010">
              <w:rPr>
                <w:color w:val="000000"/>
                <w:szCs w:val="24"/>
                <w:lang w:val="es-ES"/>
              </w:rPr>
              <w:t>547</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32</w:t>
            </w:r>
            <w:r w:rsidR="00454C57">
              <w:rPr>
                <w:color w:val="000000"/>
                <w:szCs w:val="24"/>
                <w:lang w:val="es-ES"/>
              </w:rPr>
              <w:t> </w:t>
            </w:r>
            <w:r w:rsidRPr="00C53010">
              <w:rPr>
                <w:color w:val="000000"/>
                <w:szCs w:val="24"/>
                <w:lang w:val="es-ES"/>
              </w:rPr>
              <w:t>071</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113</w:t>
            </w:r>
            <w:r w:rsidR="00454C57">
              <w:rPr>
                <w:b/>
                <w:bCs/>
                <w:color w:val="000000"/>
                <w:szCs w:val="24"/>
                <w:lang w:val="es-ES"/>
              </w:rPr>
              <w:t> </w:t>
            </w:r>
            <w:r w:rsidRPr="00C53010">
              <w:rPr>
                <w:b/>
                <w:bCs/>
                <w:color w:val="000000"/>
                <w:szCs w:val="24"/>
                <w:lang w:val="es-ES"/>
              </w:rPr>
              <w:t>997</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2</w:t>
            </w:r>
            <w:r w:rsidR="000411C3">
              <w:rPr>
                <w:b/>
                <w:bCs/>
                <w:color w:val="000000"/>
                <w:szCs w:val="24"/>
                <w:lang w:val="es-ES"/>
              </w:rPr>
              <w:t> ,</w:t>
            </w:r>
            <w:r w:rsidRPr="00C53010">
              <w:rPr>
                <w:b/>
                <w:bCs/>
                <w:color w:val="000000"/>
                <w:szCs w:val="24"/>
                <w:lang w:val="es-ES"/>
              </w:rPr>
              <w:t>26%</w:t>
            </w:r>
          </w:p>
        </w:tc>
      </w:tr>
      <w:tr w:rsidR="00FA7C73" w:rsidRPr="00C53010" w:rsidTr="003045E9">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RS</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9</w:t>
            </w:r>
            <w:r w:rsidR="00454C57">
              <w:rPr>
                <w:color w:val="000000"/>
                <w:szCs w:val="24"/>
                <w:lang w:val="es-ES"/>
              </w:rPr>
              <w:t> </w:t>
            </w:r>
            <w:r w:rsidRPr="00C53010">
              <w:rPr>
                <w:color w:val="000000"/>
                <w:szCs w:val="24"/>
                <w:lang w:val="es-ES"/>
              </w:rPr>
              <w:t>319</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16</w:t>
            </w:r>
            <w:r w:rsidR="00454C57">
              <w:rPr>
                <w:color w:val="000000"/>
                <w:szCs w:val="24"/>
                <w:lang w:val="es-ES"/>
              </w:rPr>
              <w:t> </w:t>
            </w:r>
            <w:r w:rsidRPr="00C53010">
              <w:rPr>
                <w:color w:val="000000"/>
                <w:szCs w:val="24"/>
                <w:lang w:val="es-ES"/>
              </w:rPr>
              <w:t>055</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20</w:t>
            </w:r>
            <w:r w:rsidR="00454C57">
              <w:rPr>
                <w:color w:val="000000"/>
                <w:szCs w:val="24"/>
                <w:lang w:val="es-ES"/>
              </w:rPr>
              <w:t> </w:t>
            </w:r>
            <w:r w:rsidRPr="00C53010">
              <w:rPr>
                <w:color w:val="000000"/>
                <w:szCs w:val="24"/>
                <w:lang w:val="es-ES"/>
              </w:rPr>
              <w:t>044</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18</w:t>
            </w:r>
            <w:r w:rsidR="00454C57">
              <w:rPr>
                <w:color w:val="000000"/>
                <w:szCs w:val="24"/>
                <w:lang w:val="es-ES"/>
              </w:rPr>
              <w:t> </w:t>
            </w:r>
            <w:r w:rsidRPr="00C53010">
              <w:rPr>
                <w:color w:val="000000"/>
                <w:szCs w:val="24"/>
                <w:lang w:val="es-ES"/>
              </w:rPr>
              <w:t>827</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64</w:t>
            </w:r>
            <w:r w:rsidR="00454C57">
              <w:rPr>
                <w:b/>
                <w:bCs/>
                <w:color w:val="000000"/>
                <w:szCs w:val="24"/>
                <w:lang w:val="es-ES"/>
              </w:rPr>
              <w:t> </w:t>
            </w:r>
            <w:r w:rsidRPr="00C53010">
              <w:rPr>
                <w:b/>
                <w:bCs/>
                <w:color w:val="000000"/>
                <w:szCs w:val="24"/>
                <w:lang w:val="es-ES"/>
              </w:rPr>
              <w:t>245</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1</w:t>
            </w:r>
            <w:r w:rsidR="000411C3">
              <w:rPr>
                <w:b/>
                <w:bCs/>
                <w:color w:val="000000"/>
                <w:szCs w:val="24"/>
                <w:lang w:val="es-ES"/>
              </w:rPr>
              <w:t> ,</w:t>
            </w:r>
            <w:r w:rsidRPr="00C53010">
              <w:rPr>
                <w:b/>
                <w:bCs/>
                <w:color w:val="000000"/>
                <w:szCs w:val="24"/>
                <w:lang w:val="es-ES"/>
              </w:rPr>
              <w:t>27%</w:t>
            </w:r>
          </w:p>
        </w:tc>
      </w:tr>
      <w:tr w:rsidR="00FA7C73" w:rsidRPr="00C53010" w:rsidTr="003045E9">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V</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19</w:t>
            </w:r>
            <w:r w:rsidR="00454C57">
              <w:rPr>
                <w:color w:val="000000"/>
                <w:szCs w:val="24"/>
                <w:lang w:val="es-ES"/>
              </w:rPr>
              <w:t> </w:t>
            </w:r>
            <w:r w:rsidRPr="00C53010">
              <w:rPr>
                <w:color w:val="000000"/>
                <w:szCs w:val="24"/>
                <w:lang w:val="es-ES"/>
              </w:rPr>
              <w:t>115</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15</w:t>
            </w:r>
            <w:r w:rsidR="00454C57">
              <w:rPr>
                <w:color w:val="000000"/>
                <w:szCs w:val="24"/>
                <w:lang w:val="es-ES"/>
              </w:rPr>
              <w:t> </w:t>
            </w:r>
            <w:r w:rsidRPr="00C53010">
              <w:rPr>
                <w:color w:val="000000"/>
                <w:szCs w:val="24"/>
                <w:lang w:val="es-ES"/>
              </w:rPr>
              <w:t>135</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22</w:t>
            </w:r>
            <w:r w:rsidR="00454C57">
              <w:rPr>
                <w:color w:val="000000"/>
                <w:szCs w:val="24"/>
                <w:lang w:val="es-ES"/>
              </w:rPr>
              <w:t> </w:t>
            </w:r>
            <w:r w:rsidRPr="00C53010">
              <w:rPr>
                <w:color w:val="000000"/>
                <w:szCs w:val="24"/>
                <w:lang w:val="es-ES"/>
              </w:rPr>
              <w:t>757</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25</w:t>
            </w:r>
            <w:r w:rsidR="00454C57">
              <w:rPr>
                <w:color w:val="000000"/>
                <w:szCs w:val="24"/>
                <w:lang w:val="es-ES"/>
              </w:rPr>
              <w:t> </w:t>
            </w:r>
            <w:r w:rsidRPr="00C53010">
              <w:rPr>
                <w:color w:val="000000"/>
                <w:szCs w:val="24"/>
                <w:lang w:val="es-ES"/>
              </w:rPr>
              <w:t>168</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82</w:t>
            </w:r>
            <w:r w:rsidR="00454C57">
              <w:rPr>
                <w:b/>
                <w:bCs/>
                <w:color w:val="000000"/>
                <w:szCs w:val="24"/>
                <w:lang w:val="es-ES"/>
              </w:rPr>
              <w:t> </w:t>
            </w:r>
            <w:r w:rsidRPr="00C53010">
              <w:rPr>
                <w:b/>
                <w:bCs/>
                <w:color w:val="000000"/>
                <w:szCs w:val="24"/>
                <w:lang w:val="es-ES"/>
              </w:rPr>
              <w:t>175</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1</w:t>
            </w:r>
            <w:r w:rsidR="000411C3">
              <w:rPr>
                <w:b/>
                <w:bCs/>
                <w:color w:val="000000"/>
                <w:szCs w:val="24"/>
                <w:lang w:val="es-ES"/>
              </w:rPr>
              <w:t> ,</w:t>
            </w:r>
            <w:r w:rsidRPr="00C53010">
              <w:rPr>
                <w:b/>
                <w:bCs/>
                <w:color w:val="000000"/>
                <w:szCs w:val="24"/>
                <w:lang w:val="es-ES"/>
              </w:rPr>
              <w:t>63%</w:t>
            </w:r>
          </w:p>
        </w:tc>
      </w:tr>
      <w:tr w:rsidR="00FA7C73" w:rsidRPr="00C53010" w:rsidTr="003045E9">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TF</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11</w:t>
            </w:r>
            <w:r w:rsidR="00454C57">
              <w:rPr>
                <w:color w:val="000000"/>
                <w:szCs w:val="24"/>
                <w:lang w:val="es-ES"/>
              </w:rPr>
              <w:t> </w:t>
            </w:r>
            <w:r w:rsidRPr="00C53010">
              <w:rPr>
                <w:color w:val="000000"/>
                <w:szCs w:val="24"/>
                <w:lang w:val="es-ES"/>
              </w:rPr>
              <w:t>155</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16</w:t>
            </w:r>
            <w:r w:rsidR="00454C57">
              <w:rPr>
                <w:color w:val="000000"/>
                <w:szCs w:val="24"/>
                <w:lang w:val="es-ES"/>
              </w:rPr>
              <w:t> </w:t>
            </w:r>
            <w:r w:rsidRPr="00C53010">
              <w:rPr>
                <w:color w:val="000000"/>
                <w:szCs w:val="24"/>
                <w:lang w:val="es-ES"/>
              </w:rPr>
              <w:t>662</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20</w:t>
            </w:r>
            <w:r w:rsidR="00454C57">
              <w:rPr>
                <w:color w:val="000000"/>
                <w:szCs w:val="24"/>
                <w:lang w:val="es-ES"/>
              </w:rPr>
              <w:t> </w:t>
            </w:r>
            <w:r w:rsidRPr="00C53010">
              <w:rPr>
                <w:color w:val="000000"/>
                <w:szCs w:val="24"/>
                <w:lang w:val="es-ES"/>
              </w:rPr>
              <w:t>511</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15</w:t>
            </w:r>
            <w:r w:rsidR="00454C57">
              <w:rPr>
                <w:color w:val="000000"/>
                <w:szCs w:val="24"/>
                <w:lang w:val="es-ES"/>
              </w:rPr>
              <w:t> </w:t>
            </w:r>
            <w:r w:rsidRPr="00C53010">
              <w:rPr>
                <w:color w:val="000000"/>
                <w:szCs w:val="24"/>
                <w:lang w:val="es-ES"/>
              </w:rPr>
              <w:t>181</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63</w:t>
            </w:r>
            <w:r w:rsidR="00454C57">
              <w:rPr>
                <w:b/>
                <w:bCs/>
                <w:color w:val="000000"/>
                <w:szCs w:val="24"/>
                <w:lang w:val="es-ES"/>
              </w:rPr>
              <w:t> </w:t>
            </w:r>
            <w:r w:rsidRPr="00C53010">
              <w:rPr>
                <w:b/>
                <w:bCs/>
                <w:color w:val="000000"/>
                <w:szCs w:val="24"/>
                <w:lang w:val="es-ES"/>
              </w:rPr>
              <w:t>509</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1</w:t>
            </w:r>
            <w:r w:rsidR="000411C3">
              <w:rPr>
                <w:b/>
                <w:bCs/>
                <w:color w:val="000000"/>
                <w:szCs w:val="24"/>
                <w:lang w:val="es-ES"/>
              </w:rPr>
              <w:t> ,</w:t>
            </w:r>
            <w:r w:rsidRPr="00C53010">
              <w:rPr>
                <w:b/>
                <w:bCs/>
                <w:color w:val="000000"/>
                <w:szCs w:val="24"/>
                <w:lang w:val="es-ES"/>
              </w:rPr>
              <w:t>26%</w:t>
            </w:r>
          </w:p>
        </w:tc>
      </w:tr>
      <w:tr w:rsidR="00FA7C73" w:rsidRPr="00C53010" w:rsidTr="003045E9">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SF</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8</w:t>
            </w:r>
            <w:r w:rsidR="00454C57">
              <w:rPr>
                <w:color w:val="000000"/>
                <w:szCs w:val="24"/>
                <w:lang w:val="es-ES"/>
              </w:rPr>
              <w:t> </w:t>
            </w:r>
            <w:r w:rsidRPr="00C53010">
              <w:rPr>
                <w:color w:val="000000"/>
                <w:szCs w:val="24"/>
                <w:lang w:val="es-ES"/>
              </w:rPr>
              <w:t>762</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13</w:t>
            </w:r>
            <w:r w:rsidR="00454C57">
              <w:rPr>
                <w:color w:val="000000"/>
                <w:szCs w:val="24"/>
                <w:lang w:val="es-ES"/>
              </w:rPr>
              <w:t> </w:t>
            </w:r>
            <w:r w:rsidRPr="00C53010">
              <w:rPr>
                <w:color w:val="000000"/>
                <w:szCs w:val="24"/>
                <w:lang w:val="es-ES"/>
              </w:rPr>
              <w:t>704</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22</w:t>
            </w:r>
            <w:r w:rsidR="00454C57">
              <w:rPr>
                <w:color w:val="000000"/>
                <w:szCs w:val="24"/>
                <w:lang w:val="es-ES"/>
              </w:rPr>
              <w:t> </w:t>
            </w:r>
            <w:r w:rsidRPr="00C53010">
              <w:rPr>
                <w:color w:val="000000"/>
                <w:szCs w:val="24"/>
                <w:lang w:val="es-ES"/>
              </w:rPr>
              <w:t>779</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18</w:t>
            </w:r>
            <w:r w:rsidR="00454C57">
              <w:rPr>
                <w:color w:val="000000"/>
                <w:szCs w:val="24"/>
                <w:lang w:val="es-ES"/>
              </w:rPr>
              <w:t> </w:t>
            </w:r>
            <w:r w:rsidRPr="00C53010">
              <w:rPr>
                <w:color w:val="000000"/>
                <w:szCs w:val="24"/>
                <w:lang w:val="es-ES"/>
              </w:rPr>
              <w:t>354</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63</w:t>
            </w:r>
            <w:r w:rsidR="00454C57">
              <w:rPr>
                <w:b/>
                <w:bCs/>
                <w:color w:val="000000"/>
                <w:szCs w:val="24"/>
                <w:lang w:val="es-ES"/>
              </w:rPr>
              <w:t> </w:t>
            </w:r>
            <w:r w:rsidRPr="00C53010">
              <w:rPr>
                <w:b/>
                <w:bCs/>
                <w:color w:val="000000"/>
                <w:szCs w:val="24"/>
                <w:lang w:val="es-ES"/>
              </w:rPr>
              <w:t>599</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1</w:t>
            </w:r>
            <w:r w:rsidR="000411C3">
              <w:rPr>
                <w:b/>
                <w:bCs/>
                <w:color w:val="000000"/>
                <w:szCs w:val="24"/>
                <w:lang w:val="es-ES"/>
              </w:rPr>
              <w:t> ,</w:t>
            </w:r>
            <w:r w:rsidRPr="00C53010">
              <w:rPr>
                <w:b/>
                <w:bCs/>
                <w:color w:val="000000"/>
                <w:szCs w:val="24"/>
                <w:lang w:val="es-ES"/>
              </w:rPr>
              <w:t>26%</w:t>
            </w:r>
          </w:p>
        </w:tc>
      </w:tr>
      <w:tr w:rsidR="00FA7C73" w:rsidRPr="00C53010" w:rsidTr="003045E9">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BR</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8</w:t>
            </w:r>
            <w:r w:rsidR="00454C57">
              <w:rPr>
                <w:color w:val="000000"/>
                <w:szCs w:val="24"/>
                <w:lang w:val="es-ES"/>
              </w:rPr>
              <w:t> </w:t>
            </w:r>
            <w:r w:rsidRPr="00C53010">
              <w:rPr>
                <w:color w:val="000000"/>
                <w:szCs w:val="24"/>
                <w:lang w:val="es-ES"/>
              </w:rPr>
              <w:t>502</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11</w:t>
            </w:r>
            <w:r w:rsidR="00454C57">
              <w:rPr>
                <w:color w:val="000000"/>
                <w:szCs w:val="24"/>
                <w:lang w:val="es-ES"/>
              </w:rPr>
              <w:t> </w:t>
            </w:r>
            <w:r w:rsidRPr="00C53010">
              <w:rPr>
                <w:color w:val="000000"/>
                <w:szCs w:val="24"/>
                <w:lang w:val="es-ES"/>
              </w:rPr>
              <w:t>240</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15</w:t>
            </w:r>
            <w:r w:rsidR="00454C57">
              <w:rPr>
                <w:color w:val="000000"/>
                <w:szCs w:val="24"/>
                <w:lang w:val="es-ES"/>
              </w:rPr>
              <w:t> </w:t>
            </w:r>
            <w:r w:rsidRPr="00C53010">
              <w:rPr>
                <w:color w:val="000000"/>
                <w:szCs w:val="24"/>
                <w:lang w:val="es-ES"/>
              </w:rPr>
              <w:t>632</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16</w:t>
            </w:r>
            <w:r w:rsidR="00454C57">
              <w:rPr>
                <w:color w:val="000000"/>
                <w:szCs w:val="24"/>
                <w:lang w:val="es-ES"/>
              </w:rPr>
              <w:t> </w:t>
            </w:r>
            <w:r w:rsidRPr="00C53010">
              <w:rPr>
                <w:color w:val="000000"/>
                <w:szCs w:val="24"/>
                <w:lang w:val="es-ES"/>
              </w:rPr>
              <w:t>844</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52</w:t>
            </w:r>
            <w:r w:rsidR="00454C57">
              <w:rPr>
                <w:b/>
                <w:bCs/>
                <w:color w:val="000000"/>
                <w:szCs w:val="24"/>
                <w:lang w:val="es-ES"/>
              </w:rPr>
              <w:t> </w:t>
            </w:r>
            <w:r w:rsidRPr="00C53010">
              <w:rPr>
                <w:b/>
                <w:bCs/>
                <w:color w:val="000000"/>
                <w:szCs w:val="24"/>
                <w:lang w:val="es-ES"/>
              </w:rPr>
              <w:t>218</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1</w:t>
            </w:r>
            <w:r w:rsidR="000411C3">
              <w:rPr>
                <w:b/>
                <w:bCs/>
                <w:color w:val="000000"/>
                <w:szCs w:val="24"/>
                <w:lang w:val="es-ES"/>
              </w:rPr>
              <w:t> ,</w:t>
            </w:r>
            <w:r w:rsidRPr="00C53010">
              <w:rPr>
                <w:b/>
                <w:bCs/>
                <w:color w:val="000000"/>
                <w:szCs w:val="24"/>
                <w:lang w:val="es-ES"/>
              </w:rPr>
              <w:t>04%</w:t>
            </w:r>
          </w:p>
        </w:tc>
      </w:tr>
      <w:tr w:rsidR="00FA7C73" w:rsidRPr="00C53010" w:rsidTr="003045E9">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RA</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5</w:t>
            </w:r>
            <w:r w:rsidR="00454C57">
              <w:rPr>
                <w:color w:val="000000"/>
                <w:szCs w:val="24"/>
                <w:lang w:val="es-ES"/>
              </w:rPr>
              <w:t> </w:t>
            </w:r>
            <w:r w:rsidRPr="00C53010">
              <w:rPr>
                <w:color w:val="000000"/>
                <w:szCs w:val="24"/>
                <w:lang w:val="es-ES"/>
              </w:rPr>
              <w:t>221</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7</w:t>
            </w:r>
            <w:r w:rsidR="00454C57">
              <w:rPr>
                <w:color w:val="000000"/>
                <w:szCs w:val="24"/>
                <w:lang w:val="es-ES"/>
              </w:rPr>
              <w:t> </w:t>
            </w:r>
            <w:r w:rsidRPr="00C53010">
              <w:rPr>
                <w:color w:val="000000"/>
                <w:szCs w:val="24"/>
                <w:lang w:val="es-ES"/>
              </w:rPr>
              <w:t>744</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12</w:t>
            </w:r>
            <w:r w:rsidR="00454C57">
              <w:rPr>
                <w:color w:val="000000"/>
                <w:szCs w:val="24"/>
                <w:lang w:val="es-ES"/>
              </w:rPr>
              <w:t> </w:t>
            </w:r>
            <w:r w:rsidRPr="00C53010">
              <w:rPr>
                <w:color w:val="000000"/>
                <w:szCs w:val="24"/>
                <w:lang w:val="es-ES"/>
              </w:rPr>
              <w:t>514</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9</w:t>
            </w:r>
            <w:r w:rsidR="00454C57">
              <w:rPr>
                <w:color w:val="000000"/>
                <w:szCs w:val="24"/>
                <w:lang w:val="es-ES"/>
              </w:rPr>
              <w:t> </w:t>
            </w:r>
            <w:r w:rsidRPr="00C53010">
              <w:rPr>
                <w:color w:val="000000"/>
                <w:szCs w:val="24"/>
                <w:lang w:val="es-ES"/>
              </w:rPr>
              <w:t>589</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35</w:t>
            </w:r>
            <w:r w:rsidR="00454C57">
              <w:rPr>
                <w:b/>
                <w:bCs/>
                <w:color w:val="000000"/>
                <w:szCs w:val="24"/>
                <w:lang w:val="es-ES"/>
              </w:rPr>
              <w:t> </w:t>
            </w:r>
            <w:r w:rsidRPr="00C53010">
              <w:rPr>
                <w:b/>
                <w:bCs/>
                <w:color w:val="000000"/>
                <w:szCs w:val="24"/>
                <w:lang w:val="es-ES"/>
              </w:rPr>
              <w:t>068</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0</w:t>
            </w:r>
            <w:r w:rsidR="000411C3">
              <w:rPr>
                <w:b/>
                <w:bCs/>
                <w:color w:val="000000"/>
                <w:szCs w:val="24"/>
                <w:lang w:val="es-ES"/>
              </w:rPr>
              <w:t> ,</w:t>
            </w:r>
            <w:r w:rsidRPr="00C53010">
              <w:rPr>
                <w:b/>
                <w:bCs/>
                <w:color w:val="000000"/>
                <w:szCs w:val="24"/>
                <w:lang w:val="es-ES"/>
              </w:rPr>
              <w:t>70%</w:t>
            </w:r>
          </w:p>
        </w:tc>
      </w:tr>
      <w:tr w:rsidR="00FA7C73" w:rsidRPr="00C53010" w:rsidTr="003045E9">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SNG</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2</w:t>
            </w:r>
            <w:r w:rsidR="00454C57">
              <w:rPr>
                <w:color w:val="000000"/>
                <w:szCs w:val="24"/>
                <w:lang w:val="es-ES"/>
              </w:rPr>
              <w:t> </w:t>
            </w:r>
            <w:r w:rsidRPr="00C53010">
              <w:rPr>
                <w:color w:val="000000"/>
                <w:szCs w:val="24"/>
                <w:lang w:val="es-ES"/>
              </w:rPr>
              <w:t>517</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3</w:t>
            </w:r>
            <w:r w:rsidR="00454C57">
              <w:rPr>
                <w:color w:val="000000"/>
                <w:szCs w:val="24"/>
                <w:lang w:val="es-ES"/>
              </w:rPr>
              <w:t> </w:t>
            </w:r>
            <w:r w:rsidRPr="00C53010">
              <w:rPr>
                <w:color w:val="000000"/>
                <w:szCs w:val="24"/>
                <w:lang w:val="es-ES"/>
              </w:rPr>
              <w:t>464</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4</w:t>
            </w:r>
            <w:r w:rsidR="00454C57">
              <w:rPr>
                <w:color w:val="000000"/>
                <w:szCs w:val="24"/>
                <w:lang w:val="es-ES"/>
              </w:rPr>
              <w:t> </w:t>
            </w:r>
            <w:r w:rsidRPr="00C53010">
              <w:rPr>
                <w:color w:val="000000"/>
                <w:szCs w:val="24"/>
                <w:lang w:val="es-ES"/>
              </w:rPr>
              <w:t>809</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3</w:t>
            </w:r>
            <w:r w:rsidR="00454C57">
              <w:rPr>
                <w:color w:val="000000"/>
                <w:szCs w:val="24"/>
                <w:lang w:val="es-ES"/>
              </w:rPr>
              <w:t> </w:t>
            </w:r>
            <w:r w:rsidRPr="00C53010">
              <w:rPr>
                <w:color w:val="000000"/>
                <w:szCs w:val="24"/>
                <w:lang w:val="es-ES"/>
              </w:rPr>
              <w:t>221</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14</w:t>
            </w:r>
            <w:r w:rsidR="00454C57">
              <w:rPr>
                <w:b/>
                <w:bCs/>
                <w:color w:val="000000"/>
                <w:szCs w:val="24"/>
                <w:lang w:val="es-ES"/>
              </w:rPr>
              <w:t> </w:t>
            </w:r>
            <w:r w:rsidRPr="00C53010">
              <w:rPr>
                <w:b/>
                <w:bCs/>
                <w:color w:val="000000"/>
                <w:szCs w:val="24"/>
                <w:lang w:val="es-ES"/>
              </w:rPr>
              <w:t>011</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0</w:t>
            </w:r>
            <w:r w:rsidR="000411C3">
              <w:rPr>
                <w:b/>
                <w:bCs/>
                <w:color w:val="000000"/>
                <w:szCs w:val="24"/>
                <w:lang w:val="es-ES"/>
              </w:rPr>
              <w:t> ,</w:t>
            </w:r>
            <w:r w:rsidRPr="00C53010">
              <w:rPr>
                <w:b/>
                <w:bCs/>
                <w:color w:val="000000"/>
                <w:szCs w:val="24"/>
                <w:lang w:val="es-ES"/>
              </w:rPr>
              <w:t>28%</w:t>
            </w:r>
          </w:p>
        </w:tc>
      </w:tr>
      <w:tr w:rsidR="00FA7C73" w:rsidRPr="00C53010" w:rsidTr="003045E9">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TOTAL</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822</w:t>
            </w:r>
            <w:r w:rsidR="00454C57">
              <w:rPr>
                <w:b/>
                <w:bCs/>
                <w:color w:val="000000"/>
                <w:szCs w:val="24"/>
                <w:lang w:val="es-ES"/>
              </w:rPr>
              <w:t> </w:t>
            </w:r>
            <w:r w:rsidRPr="00C53010">
              <w:rPr>
                <w:b/>
                <w:bCs/>
                <w:color w:val="000000"/>
                <w:szCs w:val="24"/>
                <w:lang w:val="es-ES"/>
              </w:rPr>
              <w:t>825</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1</w:t>
            </w:r>
            <w:r w:rsidR="00454C57">
              <w:rPr>
                <w:b/>
                <w:bCs/>
                <w:color w:val="000000"/>
                <w:szCs w:val="24"/>
                <w:lang w:val="es-ES"/>
              </w:rPr>
              <w:t> </w:t>
            </w:r>
            <w:r w:rsidRPr="00C53010">
              <w:rPr>
                <w:b/>
                <w:bCs/>
                <w:color w:val="000000"/>
                <w:szCs w:val="24"/>
                <w:lang w:val="es-ES"/>
              </w:rPr>
              <w:t>001</w:t>
            </w:r>
            <w:r w:rsidR="00454C57">
              <w:rPr>
                <w:b/>
                <w:bCs/>
                <w:color w:val="000000"/>
                <w:szCs w:val="24"/>
                <w:lang w:val="es-ES"/>
              </w:rPr>
              <w:t> </w:t>
            </w:r>
            <w:r w:rsidRPr="00C53010">
              <w:rPr>
                <w:b/>
                <w:bCs/>
                <w:color w:val="000000"/>
                <w:szCs w:val="24"/>
                <w:lang w:val="es-ES"/>
              </w:rPr>
              <w:t>234</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1</w:t>
            </w:r>
            <w:r w:rsidR="00454C57">
              <w:rPr>
                <w:b/>
                <w:bCs/>
                <w:color w:val="000000"/>
                <w:szCs w:val="24"/>
                <w:lang w:val="es-ES"/>
              </w:rPr>
              <w:t> </w:t>
            </w:r>
            <w:r w:rsidRPr="00C53010">
              <w:rPr>
                <w:b/>
                <w:bCs/>
                <w:color w:val="000000"/>
                <w:szCs w:val="24"/>
                <w:lang w:val="es-ES"/>
              </w:rPr>
              <w:t>723</w:t>
            </w:r>
            <w:r w:rsidR="00454C57">
              <w:rPr>
                <w:b/>
                <w:bCs/>
                <w:color w:val="000000"/>
                <w:szCs w:val="24"/>
                <w:lang w:val="es-ES"/>
              </w:rPr>
              <w:t> </w:t>
            </w:r>
            <w:r w:rsidRPr="00C53010">
              <w:rPr>
                <w:b/>
                <w:bCs/>
                <w:color w:val="000000"/>
                <w:szCs w:val="24"/>
                <w:lang w:val="es-ES"/>
              </w:rPr>
              <w:t>905</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1</w:t>
            </w:r>
            <w:r w:rsidR="00454C57">
              <w:rPr>
                <w:b/>
                <w:bCs/>
                <w:color w:val="000000"/>
                <w:szCs w:val="24"/>
                <w:lang w:val="es-ES"/>
              </w:rPr>
              <w:t> </w:t>
            </w:r>
            <w:r w:rsidRPr="00C53010">
              <w:rPr>
                <w:b/>
                <w:bCs/>
                <w:color w:val="000000"/>
                <w:szCs w:val="24"/>
                <w:lang w:val="es-ES"/>
              </w:rPr>
              <w:t>496</w:t>
            </w:r>
            <w:r w:rsidR="00454C57">
              <w:rPr>
                <w:b/>
                <w:bCs/>
                <w:color w:val="000000"/>
                <w:szCs w:val="24"/>
                <w:lang w:val="es-ES"/>
              </w:rPr>
              <w:t> </w:t>
            </w:r>
            <w:r w:rsidRPr="00C53010">
              <w:rPr>
                <w:b/>
                <w:bCs/>
                <w:color w:val="000000"/>
                <w:szCs w:val="24"/>
                <w:lang w:val="es-ES"/>
              </w:rPr>
              <w:t>464</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5</w:t>
            </w:r>
            <w:r w:rsidR="00454C57">
              <w:rPr>
                <w:b/>
                <w:bCs/>
                <w:color w:val="000000"/>
                <w:szCs w:val="24"/>
                <w:lang w:val="es-ES"/>
              </w:rPr>
              <w:t> </w:t>
            </w:r>
            <w:r w:rsidRPr="00C53010">
              <w:rPr>
                <w:b/>
                <w:bCs/>
                <w:color w:val="000000"/>
                <w:szCs w:val="24"/>
                <w:lang w:val="es-ES"/>
              </w:rPr>
              <w:t>044</w:t>
            </w:r>
            <w:r w:rsidR="00454C57">
              <w:rPr>
                <w:b/>
                <w:bCs/>
                <w:color w:val="000000"/>
                <w:szCs w:val="24"/>
                <w:lang w:val="es-ES"/>
              </w:rPr>
              <w:t> </w:t>
            </w:r>
            <w:r w:rsidRPr="00C53010">
              <w:rPr>
                <w:b/>
                <w:bCs/>
                <w:color w:val="000000"/>
                <w:szCs w:val="24"/>
                <w:lang w:val="es-ES"/>
              </w:rPr>
              <w:t>428</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100</w:t>
            </w:r>
            <w:r w:rsidR="000411C3">
              <w:rPr>
                <w:b/>
                <w:bCs/>
                <w:color w:val="000000"/>
                <w:szCs w:val="24"/>
                <w:lang w:val="es-ES"/>
              </w:rPr>
              <w:t> ,</w:t>
            </w:r>
            <w:r w:rsidRPr="00C53010">
              <w:rPr>
                <w:b/>
                <w:bCs/>
                <w:color w:val="000000"/>
                <w:szCs w:val="24"/>
                <w:lang w:val="es-ES"/>
              </w:rPr>
              <w:t>00%</w:t>
            </w:r>
          </w:p>
        </w:tc>
      </w:tr>
      <w:tr w:rsidR="00FA7C73" w:rsidRPr="00C53010" w:rsidTr="003045E9">
        <w:trPr>
          <w:trHeight w:val="330"/>
        </w:trPr>
        <w:tc>
          <w:tcPr>
            <w:tcW w:w="1070" w:type="dxa"/>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vAlign w:val="center"/>
            <w:hideMark/>
          </w:tcPr>
          <w:p w:rsidR="00FA7C73" w:rsidRPr="00C53010" w:rsidRDefault="00FA7C73" w:rsidP="001F3A94">
            <w:pPr>
              <w:rPr>
                <w:b/>
                <w:bCs/>
                <w:color w:val="000000"/>
                <w:szCs w:val="24"/>
                <w:lang w:val="es-ES"/>
              </w:rPr>
            </w:pPr>
            <w:r w:rsidRPr="00C53010">
              <w:rPr>
                <w:b/>
                <w:bCs/>
                <w:color w:val="000000"/>
                <w:szCs w:val="24"/>
                <w:lang w:val="es-ES"/>
              </w:rPr>
              <w:t> </w:t>
            </w:r>
          </w:p>
        </w:tc>
        <w:tc>
          <w:tcPr>
            <w:tcW w:w="1060" w:type="dxa"/>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FA7C73" w:rsidRPr="00C53010" w:rsidRDefault="000411C3" w:rsidP="001F3A94">
            <w:pPr>
              <w:rPr>
                <w:b/>
                <w:bCs/>
                <w:color w:val="000000"/>
                <w:szCs w:val="24"/>
                <w:lang w:val="es-ES"/>
              </w:rPr>
            </w:pPr>
            <w:r>
              <w:rPr>
                <w:b/>
                <w:bCs/>
                <w:color w:val="000000"/>
                <w:szCs w:val="24"/>
                <w:lang w:val="es-ES"/>
              </w:rPr>
              <w:t>16,</w:t>
            </w:r>
            <w:r w:rsidR="00FA7C73" w:rsidRPr="00C53010">
              <w:rPr>
                <w:b/>
                <w:bCs/>
                <w:color w:val="000000"/>
                <w:szCs w:val="24"/>
                <w:lang w:val="es-ES"/>
              </w:rPr>
              <w:t>31%</w:t>
            </w:r>
          </w:p>
        </w:tc>
        <w:tc>
          <w:tcPr>
            <w:tcW w:w="1176" w:type="dxa"/>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FA7C73" w:rsidRPr="00C53010" w:rsidRDefault="000411C3" w:rsidP="001F3A94">
            <w:pPr>
              <w:rPr>
                <w:b/>
                <w:bCs/>
                <w:color w:val="000000"/>
                <w:szCs w:val="24"/>
                <w:lang w:val="es-ES"/>
              </w:rPr>
            </w:pPr>
            <w:r>
              <w:rPr>
                <w:b/>
                <w:bCs/>
                <w:color w:val="000000"/>
                <w:szCs w:val="24"/>
                <w:lang w:val="es-ES"/>
              </w:rPr>
              <w:t>19,</w:t>
            </w:r>
            <w:r w:rsidR="00FA7C73" w:rsidRPr="00C53010">
              <w:rPr>
                <w:b/>
                <w:bCs/>
                <w:color w:val="000000"/>
                <w:szCs w:val="24"/>
                <w:lang w:val="es-ES"/>
              </w:rPr>
              <w:t>85%</w:t>
            </w:r>
          </w:p>
        </w:tc>
        <w:tc>
          <w:tcPr>
            <w:tcW w:w="1176" w:type="dxa"/>
            <w:tcBorders>
              <w:top w:val="single" w:sz="6" w:space="0" w:color="auto"/>
              <w:left w:val="single" w:sz="6" w:space="0" w:color="auto"/>
              <w:bottom w:val="single" w:sz="8" w:space="0" w:color="auto"/>
              <w:right w:val="single" w:sz="6" w:space="0" w:color="auto"/>
            </w:tcBorders>
            <w:tcMar>
              <w:top w:w="0" w:type="dxa"/>
              <w:left w:w="108" w:type="dxa"/>
              <w:bottom w:w="0" w:type="dxa"/>
              <w:right w:w="108" w:type="dxa"/>
            </w:tcMar>
            <w:vAlign w:val="center"/>
            <w:hideMark/>
          </w:tcPr>
          <w:p w:rsidR="00FA7C73" w:rsidRPr="00C53010" w:rsidRDefault="000411C3" w:rsidP="001F3A94">
            <w:pPr>
              <w:rPr>
                <w:b/>
                <w:bCs/>
                <w:color w:val="000000"/>
                <w:szCs w:val="24"/>
                <w:lang w:val="es-ES"/>
              </w:rPr>
            </w:pPr>
            <w:r>
              <w:rPr>
                <w:b/>
                <w:bCs/>
                <w:color w:val="000000"/>
                <w:szCs w:val="24"/>
                <w:lang w:val="es-ES"/>
              </w:rPr>
              <w:t>34,</w:t>
            </w:r>
            <w:r w:rsidR="00FA7C73" w:rsidRPr="00C53010">
              <w:rPr>
                <w:b/>
                <w:bCs/>
                <w:color w:val="000000"/>
                <w:szCs w:val="24"/>
                <w:lang w:val="es-ES"/>
              </w:rPr>
              <w:t>17%</w:t>
            </w:r>
          </w:p>
        </w:tc>
        <w:tc>
          <w:tcPr>
            <w:tcW w:w="1176" w:type="dxa"/>
            <w:tcBorders>
              <w:top w:val="single" w:sz="6" w:space="0" w:color="auto"/>
              <w:left w:val="single" w:sz="6" w:space="0" w:color="auto"/>
              <w:bottom w:val="single" w:sz="8" w:space="0" w:color="auto"/>
              <w:right w:val="single" w:sz="6" w:space="0" w:color="auto"/>
            </w:tcBorders>
            <w:tcMar>
              <w:top w:w="0" w:type="dxa"/>
              <w:left w:w="108" w:type="dxa"/>
              <w:bottom w:w="0" w:type="dxa"/>
              <w:right w:w="108" w:type="dxa"/>
            </w:tcMar>
            <w:vAlign w:val="center"/>
            <w:hideMark/>
          </w:tcPr>
          <w:p w:rsidR="00FA7C73" w:rsidRPr="00C53010" w:rsidRDefault="000411C3" w:rsidP="001F3A94">
            <w:pPr>
              <w:rPr>
                <w:b/>
                <w:bCs/>
                <w:color w:val="000000"/>
                <w:szCs w:val="24"/>
                <w:lang w:val="es-ES"/>
              </w:rPr>
            </w:pPr>
            <w:r>
              <w:rPr>
                <w:b/>
                <w:bCs/>
                <w:color w:val="000000"/>
                <w:szCs w:val="24"/>
                <w:lang w:val="es-ES"/>
              </w:rPr>
              <w:t>29,</w:t>
            </w:r>
            <w:r w:rsidR="00FA7C73" w:rsidRPr="00C53010">
              <w:rPr>
                <w:b/>
                <w:bCs/>
                <w:color w:val="000000"/>
                <w:szCs w:val="24"/>
                <w:lang w:val="es-ES"/>
              </w:rPr>
              <w:t>67%</w:t>
            </w:r>
          </w:p>
        </w:tc>
        <w:tc>
          <w:tcPr>
            <w:tcW w:w="1180" w:type="dxa"/>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FA7C73" w:rsidRPr="00C53010" w:rsidRDefault="000411C3" w:rsidP="001F3A94">
            <w:pPr>
              <w:rPr>
                <w:b/>
                <w:bCs/>
                <w:color w:val="000000"/>
                <w:szCs w:val="24"/>
                <w:lang w:val="es-ES"/>
              </w:rPr>
            </w:pPr>
            <w:r>
              <w:rPr>
                <w:b/>
                <w:bCs/>
                <w:color w:val="000000"/>
                <w:szCs w:val="24"/>
                <w:lang w:val="es-ES"/>
              </w:rPr>
              <w:t>100,</w:t>
            </w:r>
            <w:r w:rsidR="00FA7C73" w:rsidRPr="00C53010">
              <w:rPr>
                <w:b/>
                <w:bCs/>
                <w:color w:val="000000"/>
                <w:szCs w:val="24"/>
                <w:lang w:val="es-ES"/>
              </w:rPr>
              <w:t>00%</w:t>
            </w:r>
          </w:p>
        </w:tc>
        <w:tc>
          <w:tcPr>
            <w:tcW w:w="1116" w:type="dxa"/>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 </w:t>
            </w:r>
          </w:p>
        </w:tc>
      </w:tr>
    </w:tbl>
    <w:p w:rsidR="00FA7C73" w:rsidRPr="00C53010" w:rsidRDefault="00FA7C73" w:rsidP="003F392E">
      <w:pPr>
        <w:pStyle w:val="Heading4"/>
        <w:rPr>
          <w:lang w:val="es-ES"/>
        </w:rPr>
      </w:pPr>
      <w:r w:rsidRPr="00C53010">
        <w:rPr>
          <w:lang w:val="es-ES"/>
        </w:rPr>
        <w:t>8.1.4.3</w:t>
      </w:r>
      <w:r w:rsidRPr="00C53010">
        <w:rPr>
          <w:lang w:val="es-ES"/>
        </w:rPr>
        <w:tab/>
      </w:r>
      <w:r w:rsidR="003F392E" w:rsidRPr="00C53010">
        <w:rPr>
          <w:lang w:val="es-ES"/>
        </w:rPr>
        <w:t>Informes U</w:t>
      </w:r>
      <w:r w:rsidRPr="00C53010">
        <w:rPr>
          <w:lang w:val="es-ES"/>
        </w:rPr>
        <w:t xml:space="preserve">IT-R </w:t>
      </w:r>
    </w:p>
    <w:p w:rsidR="00FA7C73" w:rsidRPr="00C53010" w:rsidRDefault="003F392E" w:rsidP="001B0E79">
      <w:pPr>
        <w:rPr>
          <w:lang w:val="es-ES"/>
        </w:rPr>
      </w:pPr>
      <w:r w:rsidRPr="00C53010">
        <w:rPr>
          <w:lang w:val="es-ES"/>
        </w:rPr>
        <w:t>Al igual que en el caso de las Recomendaciones UIT-R</w:t>
      </w:r>
      <w:r w:rsidR="001B0E79">
        <w:rPr>
          <w:lang w:val="es-ES"/>
        </w:rPr>
        <w:t xml:space="preserve">, </w:t>
      </w:r>
      <w:r w:rsidRPr="00C53010">
        <w:rPr>
          <w:lang w:val="es-ES"/>
        </w:rPr>
        <w:t>los Informes UIT-R se han difundido a escala mundial y se han convertido en referencia universal</w:t>
      </w:r>
      <w:r w:rsidR="001B0E79">
        <w:rPr>
          <w:lang w:val="es-ES"/>
        </w:rPr>
        <w:t xml:space="preserve">, </w:t>
      </w:r>
      <w:r w:rsidRPr="00C53010">
        <w:rPr>
          <w:lang w:val="es-ES"/>
        </w:rPr>
        <w:t>alcanzando a todas las audiencias con independencia de su situación económica. En el periodo de 48 meses (desde enero de 2014 a diciembre de 2017) se han registrado más de 1 millón de descargas de Informes UIT-R desde el sitio web de la UIT. En el Cuadro 8.1.4.3-1 se resume su distribución por año y serie. En la actualidad hay 533 Informes UIT-R en vigor</w:t>
      </w:r>
      <w:r w:rsidR="001B0E79">
        <w:rPr>
          <w:lang w:val="es-ES"/>
        </w:rPr>
        <w:t xml:space="preserve">, </w:t>
      </w:r>
      <w:r w:rsidRPr="00C53010">
        <w:rPr>
          <w:lang w:val="es-ES"/>
        </w:rPr>
        <w:t>por lo que la media anual de descargas es de casi 500 por informe.</w:t>
      </w:r>
    </w:p>
    <w:p w:rsidR="00FA7C73" w:rsidRPr="00C53010" w:rsidRDefault="00073562" w:rsidP="001F3A94">
      <w:pPr>
        <w:pStyle w:val="TableNo"/>
        <w:rPr>
          <w:lang w:val="es-ES"/>
        </w:rPr>
      </w:pPr>
      <w:r w:rsidRPr="00C53010">
        <w:rPr>
          <w:lang w:val="es-ES"/>
        </w:rPr>
        <w:t xml:space="preserve">CUADRO </w:t>
      </w:r>
      <w:r w:rsidR="00FA7C73" w:rsidRPr="00C53010">
        <w:rPr>
          <w:lang w:val="es-ES"/>
        </w:rPr>
        <w:t>8.1.4.3-1</w:t>
      </w:r>
    </w:p>
    <w:p w:rsidR="00FA7C73" w:rsidRPr="00C53010" w:rsidRDefault="00073562" w:rsidP="00073562">
      <w:pPr>
        <w:pStyle w:val="TabletitleBR"/>
        <w:rPr>
          <w:lang w:val="es-ES"/>
        </w:rPr>
      </w:pPr>
      <w:r w:rsidRPr="00C53010">
        <w:rPr>
          <w:lang w:val="es-ES"/>
        </w:rPr>
        <w:t>Distribución de Informes U</w:t>
      </w:r>
      <w:r w:rsidR="00FA7C73" w:rsidRPr="00C53010">
        <w:rPr>
          <w:lang w:val="es-ES"/>
        </w:rPr>
        <w:t xml:space="preserve">IT-R </w:t>
      </w:r>
    </w:p>
    <w:tbl>
      <w:tblPr>
        <w:tblW w:w="7696" w:type="dxa"/>
        <w:tblInd w:w="841" w:type="dxa"/>
        <w:tblCellMar>
          <w:left w:w="0" w:type="dxa"/>
          <w:right w:w="0" w:type="dxa"/>
        </w:tblCellMar>
        <w:tblLook w:val="04A0" w:firstRow="1" w:lastRow="0" w:firstColumn="1" w:lastColumn="0" w:noHBand="0" w:noVBand="1"/>
      </w:tblPr>
      <w:tblGrid>
        <w:gridCol w:w="1228"/>
        <w:gridCol w:w="1060"/>
        <w:gridCol w:w="1060"/>
        <w:gridCol w:w="1060"/>
        <w:gridCol w:w="996"/>
        <w:gridCol w:w="1176"/>
        <w:gridCol w:w="1176"/>
      </w:tblGrid>
      <w:tr w:rsidR="00FA7C73" w:rsidRPr="00C53010" w:rsidTr="00073562">
        <w:trPr>
          <w:trHeight w:val="330"/>
        </w:trPr>
        <w:tc>
          <w:tcPr>
            <w:tcW w:w="122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073562">
            <w:pPr>
              <w:jc w:val="center"/>
              <w:rPr>
                <w:b/>
                <w:bCs/>
                <w:color w:val="000000"/>
                <w:szCs w:val="24"/>
                <w:lang w:val="es-ES"/>
              </w:rPr>
            </w:pPr>
            <w:r w:rsidRPr="00C53010">
              <w:rPr>
                <w:b/>
                <w:bCs/>
                <w:color w:val="000000"/>
                <w:szCs w:val="24"/>
                <w:lang w:val="es-ES"/>
              </w:rPr>
              <w:t>SERIE</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2014</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2015</w:t>
            </w:r>
          </w:p>
        </w:tc>
        <w:tc>
          <w:tcPr>
            <w:tcW w:w="1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2016</w:t>
            </w:r>
          </w:p>
        </w:tc>
        <w:tc>
          <w:tcPr>
            <w:tcW w:w="9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2017</w:t>
            </w:r>
          </w:p>
        </w:tc>
        <w:tc>
          <w:tcPr>
            <w:tcW w:w="11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TOTAL</w:t>
            </w:r>
          </w:p>
        </w:tc>
        <w:tc>
          <w:tcPr>
            <w:tcW w:w="11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w:t>
            </w:r>
          </w:p>
        </w:tc>
      </w:tr>
      <w:tr w:rsidR="00FA7C73" w:rsidRPr="00C53010" w:rsidTr="00073562">
        <w:trPr>
          <w:trHeight w:val="330"/>
        </w:trPr>
        <w:tc>
          <w:tcPr>
            <w:tcW w:w="12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M</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56</w:t>
            </w:r>
            <w:r w:rsidR="00454C57">
              <w:rPr>
                <w:color w:val="000000"/>
                <w:szCs w:val="24"/>
                <w:lang w:val="es-ES"/>
              </w:rPr>
              <w:t> </w:t>
            </w:r>
            <w:r w:rsidRPr="00C53010">
              <w:rPr>
                <w:color w:val="000000"/>
                <w:szCs w:val="24"/>
                <w:lang w:val="es-ES"/>
              </w:rPr>
              <w:t>556</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87</w:t>
            </w:r>
            <w:r w:rsidR="00454C57">
              <w:rPr>
                <w:color w:val="000000"/>
                <w:szCs w:val="24"/>
                <w:lang w:val="es-ES"/>
              </w:rPr>
              <w:t> </w:t>
            </w:r>
            <w:r w:rsidRPr="00C53010">
              <w:rPr>
                <w:color w:val="000000"/>
                <w:szCs w:val="24"/>
                <w:lang w:val="es-ES"/>
              </w:rPr>
              <w:t>523</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112</w:t>
            </w:r>
            <w:r w:rsidR="00454C57">
              <w:rPr>
                <w:color w:val="000000"/>
                <w:szCs w:val="24"/>
                <w:lang w:val="es-ES"/>
              </w:rPr>
              <w:t> </w:t>
            </w:r>
            <w:r w:rsidRPr="00C53010">
              <w:rPr>
                <w:color w:val="000000"/>
                <w:szCs w:val="24"/>
                <w:lang w:val="es-ES"/>
              </w:rPr>
              <w:t>794</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76</w:t>
            </w:r>
            <w:r w:rsidR="00454C57">
              <w:rPr>
                <w:color w:val="000000"/>
                <w:szCs w:val="24"/>
                <w:lang w:val="es-ES"/>
              </w:rPr>
              <w:t> </w:t>
            </w:r>
            <w:r w:rsidRPr="00C53010">
              <w:rPr>
                <w:color w:val="000000"/>
                <w:szCs w:val="24"/>
                <w:lang w:val="es-ES"/>
              </w:rPr>
              <w:t>531</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333</w:t>
            </w:r>
            <w:r w:rsidR="00454C57">
              <w:rPr>
                <w:b/>
                <w:bCs/>
                <w:color w:val="000000"/>
                <w:szCs w:val="24"/>
                <w:lang w:val="es-ES"/>
              </w:rPr>
              <w:t> </w:t>
            </w:r>
            <w:r w:rsidRPr="00C53010">
              <w:rPr>
                <w:b/>
                <w:bCs/>
                <w:color w:val="000000"/>
                <w:szCs w:val="24"/>
                <w:lang w:val="es-ES"/>
              </w:rPr>
              <w:t>404</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32</w:t>
            </w:r>
            <w:r w:rsidR="000411C3">
              <w:rPr>
                <w:b/>
                <w:bCs/>
                <w:color w:val="000000"/>
                <w:szCs w:val="24"/>
                <w:lang w:val="es-ES"/>
              </w:rPr>
              <w:t> ,</w:t>
            </w:r>
            <w:r w:rsidRPr="00C53010">
              <w:rPr>
                <w:b/>
                <w:bCs/>
                <w:color w:val="000000"/>
                <w:szCs w:val="24"/>
                <w:lang w:val="es-ES"/>
              </w:rPr>
              <w:t>47%</w:t>
            </w:r>
          </w:p>
        </w:tc>
      </w:tr>
      <w:tr w:rsidR="00FA7C73" w:rsidRPr="00C53010" w:rsidTr="00073562">
        <w:trPr>
          <w:trHeight w:val="330"/>
        </w:trPr>
        <w:tc>
          <w:tcPr>
            <w:tcW w:w="12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BT</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28</w:t>
            </w:r>
            <w:r w:rsidR="00454C57">
              <w:rPr>
                <w:color w:val="000000"/>
                <w:szCs w:val="24"/>
                <w:lang w:val="es-ES"/>
              </w:rPr>
              <w:t> </w:t>
            </w:r>
            <w:r w:rsidRPr="00C53010">
              <w:rPr>
                <w:color w:val="000000"/>
                <w:szCs w:val="24"/>
                <w:lang w:val="es-ES"/>
              </w:rPr>
              <w:t>263</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51</w:t>
            </w:r>
            <w:r w:rsidR="00454C57">
              <w:rPr>
                <w:color w:val="000000"/>
                <w:szCs w:val="24"/>
                <w:lang w:val="es-ES"/>
              </w:rPr>
              <w:t> </w:t>
            </w:r>
            <w:r w:rsidRPr="00C53010">
              <w:rPr>
                <w:color w:val="000000"/>
                <w:szCs w:val="24"/>
                <w:lang w:val="es-ES"/>
              </w:rPr>
              <w:t>911</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57</w:t>
            </w:r>
            <w:r w:rsidR="00454C57">
              <w:rPr>
                <w:color w:val="000000"/>
                <w:szCs w:val="24"/>
                <w:lang w:val="es-ES"/>
              </w:rPr>
              <w:t> </w:t>
            </w:r>
            <w:r w:rsidRPr="00C53010">
              <w:rPr>
                <w:color w:val="000000"/>
                <w:szCs w:val="24"/>
                <w:lang w:val="es-ES"/>
              </w:rPr>
              <w:t>135</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44</w:t>
            </w:r>
            <w:r w:rsidR="00454C57">
              <w:rPr>
                <w:color w:val="000000"/>
                <w:szCs w:val="24"/>
                <w:lang w:val="es-ES"/>
              </w:rPr>
              <w:t> </w:t>
            </w:r>
            <w:r w:rsidRPr="00C53010">
              <w:rPr>
                <w:color w:val="000000"/>
                <w:szCs w:val="24"/>
                <w:lang w:val="es-ES"/>
              </w:rPr>
              <w:t>340</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181</w:t>
            </w:r>
            <w:r w:rsidR="00454C57">
              <w:rPr>
                <w:b/>
                <w:bCs/>
                <w:color w:val="000000"/>
                <w:szCs w:val="24"/>
                <w:lang w:val="es-ES"/>
              </w:rPr>
              <w:t> </w:t>
            </w:r>
            <w:r w:rsidRPr="00C53010">
              <w:rPr>
                <w:b/>
                <w:bCs/>
                <w:color w:val="000000"/>
                <w:szCs w:val="24"/>
                <w:lang w:val="es-ES"/>
              </w:rPr>
              <w:t>649</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17</w:t>
            </w:r>
            <w:r w:rsidR="000411C3">
              <w:rPr>
                <w:b/>
                <w:bCs/>
                <w:color w:val="000000"/>
                <w:szCs w:val="24"/>
                <w:lang w:val="es-ES"/>
              </w:rPr>
              <w:t> ,</w:t>
            </w:r>
            <w:r w:rsidRPr="00C53010">
              <w:rPr>
                <w:b/>
                <w:bCs/>
                <w:color w:val="000000"/>
                <w:szCs w:val="24"/>
                <w:lang w:val="es-ES"/>
              </w:rPr>
              <w:t>69%</w:t>
            </w:r>
          </w:p>
        </w:tc>
      </w:tr>
      <w:tr w:rsidR="00FA7C73" w:rsidRPr="00C53010" w:rsidTr="00073562">
        <w:trPr>
          <w:trHeight w:val="330"/>
        </w:trPr>
        <w:tc>
          <w:tcPr>
            <w:tcW w:w="12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lastRenderedPageBreak/>
              <w:t>SM</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36</w:t>
            </w:r>
            <w:r w:rsidR="00454C57">
              <w:rPr>
                <w:color w:val="000000"/>
                <w:szCs w:val="24"/>
                <w:lang w:val="es-ES"/>
              </w:rPr>
              <w:t> </w:t>
            </w:r>
            <w:r w:rsidRPr="00C53010">
              <w:rPr>
                <w:color w:val="000000"/>
                <w:szCs w:val="24"/>
                <w:lang w:val="es-ES"/>
              </w:rPr>
              <w:t>134</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57</w:t>
            </w:r>
            <w:r w:rsidR="00454C57">
              <w:rPr>
                <w:color w:val="000000"/>
                <w:szCs w:val="24"/>
                <w:lang w:val="es-ES"/>
              </w:rPr>
              <w:t> </w:t>
            </w:r>
            <w:r w:rsidRPr="00C53010">
              <w:rPr>
                <w:color w:val="000000"/>
                <w:szCs w:val="24"/>
                <w:lang w:val="es-ES"/>
              </w:rPr>
              <w:t>537</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79</w:t>
            </w:r>
            <w:r w:rsidR="00454C57">
              <w:rPr>
                <w:color w:val="000000"/>
                <w:szCs w:val="24"/>
                <w:lang w:val="es-ES"/>
              </w:rPr>
              <w:t> </w:t>
            </w:r>
            <w:r w:rsidRPr="00C53010">
              <w:rPr>
                <w:color w:val="000000"/>
                <w:szCs w:val="24"/>
                <w:lang w:val="es-ES"/>
              </w:rPr>
              <w:t>217</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53</w:t>
            </w:r>
            <w:r w:rsidR="00454C57">
              <w:rPr>
                <w:color w:val="000000"/>
                <w:szCs w:val="24"/>
                <w:lang w:val="es-ES"/>
              </w:rPr>
              <w:t> </w:t>
            </w:r>
            <w:r w:rsidRPr="00C53010">
              <w:rPr>
                <w:color w:val="000000"/>
                <w:szCs w:val="24"/>
                <w:lang w:val="es-ES"/>
              </w:rPr>
              <w:t>616</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226</w:t>
            </w:r>
            <w:r w:rsidR="00454C57">
              <w:rPr>
                <w:b/>
                <w:bCs/>
                <w:color w:val="000000"/>
                <w:szCs w:val="24"/>
                <w:lang w:val="es-ES"/>
              </w:rPr>
              <w:t> </w:t>
            </w:r>
            <w:r w:rsidRPr="00C53010">
              <w:rPr>
                <w:b/>
                <w:bCs/>
                <w:color w:val="000000"/>
                <w:szCs w:val="24"/>
                <w:lang w:val="es-ES"/>
              </w:rPr>
              <w:t>504</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22</w:t>
            </w:r>
            <w:r w:rsidR="000411C3">
              <w:rPr>
                <w:b/>
                <w:bCs/>
                <w:color w:val="000000"/>
                <w:szCs w:val="24"/>
                <w:lang w:val="es-ES"/>
              </w:rPr>
              <w:t> ,</w:t>
            </w:r>
            <w:r w:rsidRPr="00C53010">
              <w:rPr>
                <w:b/>
                <w:bCs/>
                <w:color w:val="000000"/>
                <w:szCs w:val="24"/>
                <w:lang w:val="es-ES"/>
              </w:rPr>
              <w:t>06%</w:t>
            </w:r>
          </w:p>
        </w:tc>
      </w:tr>
      <w:tr w:rsidR="00FA7C73" w:rsidRPr="00C53010" w:rsidTr="00073562">
        <w:trPr>
          <w:trHeight w:val="330"/>
        </w:trPr>
        <w:tc>
          <w:tcPr>
            <w:tcW w:w="12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BS</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12</w:t>
            </w:r>
            <w:r w:rsidR="00454C57">
              <w:rPr>
                <w:color w:val="000000"/>
                <w:szCs w:val="24"/>
                <w:lang w:val="es-ES"/>
              </w:rPr>
              <w:t> </w:t>
            </w:r>
            <w:r w:rsidRPr="00C53010">
              <w:rPr>
                <w:color w:val="000000"/>
                <w:szCs w:val="24"/>
                <w:lang w:val="es-ES"/>
              </w:rPr>
              <w:t>414</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18</w:t>
            </w:r>
            <w:r w:rsidR="00454C57">
              <w:rPr>
                <w:color w:val="000000"/>
                <w:szCs w:val="24"/>
                <w:lang w:val="es-ES"/>
              </w:rPr>
              <w:t> </w:t>
            </w:r>
            <w:r w:rsidRPr="00C53010">
              <w:rPr>
                <w:color w:val="000000"/>
                <w:szCs w:val="24"/>
                <w:lang w:val="es-ES"/>
              </w:rPr>
              <w:t>803</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25</w:t>
            </w:r>
            <w:r w:rsidR="00454C57">
              <w:rPr>
                <w:color w:val="000000"/>
                <w:szCs w:val="24"/>
                <w:lang w:val="es-ES"/>
              </w:rPr>
              <w:t> </w:t>
            </w:r>
            <w:r w:rsidRPr="00C53010">
              <w:rPr>
                <w:color w:val="000000"/>
                <w:szCs w:val="24"/>
                <w:lang w:val="es-ES"/>
              </w:rPr>
              <w:t>988</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24</w:t>
            </w:r>
            <w:r w:rsidR="00454C57">
              <w:rPr>
                <w:color w:val="000000"/>
                <w:szCs w:val="24"/>
                <w:lang w:val="es-ES"/>
              </w:rPr>
              <w:t> </w:t>
            </w:r>
            <w:r w:rsidRPr="00C53010">
              <w:rPr>
                <w:color w:val="000000"/>
                <w:szCs w:val="24"/>
                <w:lang w:val="es-ES"/>
              </w:rPr>
              <w:t>015</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81</w:t>
            </w:r>
            <w:r w:rsidR="00454C57">
              <w:rPr>
                <w:b/>
                <w:bCs/>
                <w:color w:val="000000"/>
                <w:szCs w:val="24"/>
                <w:lang w:val="es-ES"/>
              </w:rPr>
              <w:t> </w:t>
            </w:r>
            <w:r w:rsidRPr="00C53010">
              <w:rPr>
                <w:b/>
                <w:bCs/>
                <w:color w:val="000000"/>
                <w:szCs w:val="24"/>
                <w:lang w:val="es-ES"/>
              </w:rPr>
              <w:t>220</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7</w:t>
            </w:r>
            <w:r w:rsidR="000411C3">
              <w:rPr>
                <w:b/>
                <w:bCs/>
                <w:color w:val="000000"/>
                <w:szCs w:val="24"/>
                <w:lang w:val="es-ES"/>
              </w:rPr>
              <w:t> ,</w:t>
            </w:r>
            <w:r w:rsidRPr="00C53010">
              <w:rPr>
                <w:b/>
                <w:bCs/>
                <w:color w:val="000000"/>
                <w:szCs w:val="24"/>
                <w:lang w:val="es-ES"/>
              </w:rPr>
              <w:t>91%</w:t>
            </w:r>
          </w:p>
        </w:tc>
      </w:tr>
      <w:tr w:rsidR="00FA7C73" w:rsidRPr="00C53010" w:rsidTr="00073562">
        <w:trPr>
          <w:trHeight w:val="330"/>
        </w:trPr>
        <w:tc>
          <w:tcPr>
            <w:tcW w:w="12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BO</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6</w:t>
            </w:r>
            <w:r w:rsidR="00454C57">
              <w:rPr>
                <w:color w:val="000000"/>
                <w:szCs w:val="24"/>
                <w:lang w:val="es-ES"/>
              </w:rPr>
              <w:t> </w:t>
            </w:r>
            <w:r w:rsidRPr="00C53010">
              <w:rPr>
                <w:color w:val="000000"/>
                <w:szCs w:val="24"/>
                <w:lang w:val="es-ES"/>
              </w:rPr>
              <w:t>849</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12</w:t>
            </w:r>
            <w:r w:rsidR="00454C57">
              <w:rPr>
                <w:color w:val="000000"/>
                <w:szCs w:val="24"/>
                <w:lang w:val="es-ES"/>
              </w:rPr>
              <w:t> </w:t>
            </w:r>
            <w:r w:rsidRPr="00C53010">
              <w:rPr>
                <w:color w:val="000000"/>
                <w:szCs w:val="24"/>
                <w:lang w:val="es-ES"/>
              </w:rPr>
              <w:t>567</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15</w:t>
            </w:r>
            <w:r w:rsidR="00454C57">
              <w:rPr>
                <w:color w:val="000000"/>
                <w:szCs w:val="24"/>
                <w:lang w:val="es-ES"/>
              </w:rPr>
              <w:t> </w:t>
            </w:r>
            <w:r w:rsidRPr="00C53010">
              <w:rPr>
                <w:color w:val="000000"/>
                <w:szCs w:val="24"/>
                <w:lang w:val="es-ES"/>
              </w:rPr>
              <w:t>321</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10</w:t>
            </w:r>
            <w:r w:rsidR="00454C57">
              <w:rPr>
                <w:color w:val="000000"/>
                <w:szCs w:val="24"/>
                <w:lang w:val="es-ES"/>
              </w:rPr>
              <w:t> </w:t>
            </w:r>
            <w:r w:rsidRPr="00C53010">
              <w:rPr>
                <w:color w:val="000000"/>
                <w:szCs w:val="24"/>
                <w:lang w:val="es-ES"/>
              </w:rPr>
              <w:t>541</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45</w:t>
            </w:r>
            <w:r w:rsidR="00454C57">
              <w:rPr>
                <w:b/>
                <w:bCs/>
                <w:color w:val="000000"/>
                <w:szCs w:val="24"/>
                <w:lang w:val="es-ES"/>
              </w:rPr>
              <w:t> </w:t>
            </w:r>
            <w:r w:rsidRPr="00C53010">
              <w:rPr>
                <w:b/>
                <w:bCs/>
                <w:color w:val="000000"/>
                <w:szCs w:val="24"/>
                <w:lang w:val="es-ES"/>
              </w:rPr>
              <w:t>278</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4</w:t>
            </w:r>
            <w:r w:rsidR="000411C3">
              <w:rPr>
                <w:b/>
                <w:bCs/>
                <w:color w:val="000000"/>
                <w:szCs w:val="24"/>
                <w:lang w:val="es-ES"/>
              </w:rPr>
              <w:t> ,</w:t>
            </w:r>
            <w:r w:rsidRPr="00C53010">
              <w:rPr>
                <w:b/>
                <w:bCs/>
                <w:color w:val="000000"/>
                <w:szCs w:val="24"/>
                <w:lang w:val="es-ES"/>
              </w:rPr>
              <w:t>41%</w:t>
            </w:r>
          </w:p>
        </w:tc>
      </w:tr>
      <w:tr w:rsidR="00FA7C73" w:rsidRPr="00C53010" w:rsidTr="00073562">
        <w:trPr>
          <w:trHeight w:val="330"/>
        </w:trPr>
        <w:tc>
          <w:tcPr>
            <w:tcW w:w="12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P</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7</w:t>
            </w:r>
            <w:r w:rsidR="00454C57">
              <w:rPr>
                <w:color w:val="000000"/>
                <w:szCs w:val="24"/>
                <w:lang w:val="es-ES"/>
              </w:rPr>
              <w:t> </w:t>
            </w:r>
            <w:r w:rsidRPr="00C53010">
              <w:rPr>
                <w:color w:val="000000"/>
                <w:szCs w:val="24"/>
                <w:lang w:val="es-ES"/>
              </w:rPr>
              <w:t>254</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12</w:t>
            </w:r>
            <w:r w:rsidR="00454C57">
              <w:rPr>
                <w:color w:val="000000"/>
                <w:szCs w:val="24"/>
                <w:lang w:val="es-ES"/>
              </w:rPr>
              <w:t> </w:t>
            </w:r>
            <w:r w:rsidRPr="00C53010">
              <w:rPr>
                <w:color w:val="000000"/>
                <w:szCs w:val="24"/>
                <w:lang w:val="es-ES"/>
              </w:rPr>
              <w:t>828</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16</w:t>
            </w:r>
            <w:r w:rsidR="00454C57">
              <w:rPr>
                <w:color w:val="000000"/>
                <w:szCs w:val="24"/>
                <w:lang w:val="es-ES"/>
              </w:rPr>
              <w:t> </w:t>
            </w:r>
            <w:r w:rsidRPr="00C53010">
              <w:rPr>
                <w:color w:val="000000"/>
                <w:szCs w:val="24"/>
                <w:lang w:val="es-ES"/>
              </w:rPr>
              <w:t>268</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12</w:t>
            </w:r>
            <w:r w:rsidR="00454C57">
              <w:rPr>
                <w:color w:val="000000"/>
                <w:szCs w:val="24"/>
                <w:lang w:val="es-ES"/>
              </w:rPr>
              <w:t> </w:t>
            </w:r>
            <w:r w:rsidRPr="00C53010">
              <w:rPr>
                <w:color w:val="000000"/>
                <w:szCs w:val="24"/>
                <w:lang w:val="es-ES"/>
              </w:rPr>
              <w:t>572</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48</w:t>
            </w:r>
            <w:r w:rsidR="00454C57">
              <w:rPr>
                <w:b/>
                <w:bCs/>
                <w:color w:val="000000"/>
                <w:szCs w:val="24"/>
                <w:lang w:val="es-ES"/>
              </w:rPr>
              <w:t> </w:t>
            </w:r>
            <w:r w:rsidRPr="00C53010">
              <w:rPr>
                <w:b/>
                <w:bCs/>
                <w:color w:val="000000"/>
                <w:szCs w:val="24"/>
                <w:lang w:val="es-ES"/>
              </w:rPr>
              <w:t>922</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4</w:t>
            </w:r>
            <w:r w:rsidR="000411C3">
              <w:rPr>
                <w:b/>
                <w:bCs/>
                <w:color w:val="000000"/>
                <w:szCs w:val="24"/>
                <w:lang w:val="es-ES"/>
              </w:rPr>
              <w:t> ,</w:t>
            </w:r>
            <w:r w:rsidRPr="00C53010">
              <w:rPr>
                <w:b/>
                <w:bCs/>
                <w:color w:val="000000"/>
                <w:szCs w:val="24"/>
                <w:lang w:val="es-ES"/>
              </w:rPr>
              <w:t>76%</w:t>
            </w:r>
          </w:p>
        </w:tc>
      </w:tr>
      <w:tr w:rsidR="00FA7C73" w:rsidRPr="00C53010" w:rsidTr="00073562">
        <w:trPr>
          <w:trHeight w:val="330"/>
        </w:trPr>
        <w:tc>
          <w:tcPr>
            <w:tcW w:w="12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S</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2</w:t>
            </w:r>
            <w:r w:rsidR="00454C57">
              <w:rPr>
                <w:color w:val="000000"/>
                <w:szCs w:val="24"/>
                <w:lang w:val="es-ES"/>
              </w:rPr>
              <w:t> </w:t>
            </w:r>
            <w:r w:rsidRPr="00C53010">
              <w:rPr>
                <w:color w:val="000000"/>
                <w:szCs w:val="24"/>
                <w:lang w:val="es-ES"/>
              </w:rPr>
              <w:t>633</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6</w:t>
            </w:r>
            <w:r w:rsidR="00454C57">
              <w:rPr>
                <w:color w:val="000000"/>
                <w:szCs w:val="24"/>
                <w:lang w:val="es-ES"/>
              </w:rPr>
              <w:t> </w:t>
            </w:r>
            <w:r w:rsidRPr="00C53010">
              <w:rPr>
                <w:color w:val="000000"/>
                <w:szCs w:val="24"/>
                <w:lang w:val="es-ES"/>
              </w:rPr>
              <w:t>701</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8</w:t>
            </w:r>
            <w:r w:rsidR="00454C57">
              <w:rPr>
                <w:color w:val="000000"/>
                <w:szCs w:val="24"/>
                <w:lang w:val="es-ES"/>
              </w:rPr>
              <w:t> </w:t>
            </w:r>
            <w:r w:rsidRPr="00C53010">
              <w:rPr>
                <w:color w:val="000000"/>
                <w:szCs w:val="24"/>
                <w:lang w:val="es-ES"/>
              </w:rPr>
              <w:t>330</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6</w:t>
            </w:r>
            <w:r w:rsidR="00454C57">
              <w:rPr>
                <w:color w:val="000000"/>
                <w:szCs w:val="24"/>
                <w:lang w:val="es-ES"/>
              </w:rPr>
              <w:t> </w:t>
            </w:r>
            <w:r w:rsidRPr="00C53010">
              <w:rPr>
                <w:color w:val="000000"/>
                <w:szCs w:val="24"/>
                <w:lang w:val="es-ES"/>
              </w:rPr>
              <w:t>152</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23</w:t>
            </w:r>
            <w:r w:rsidR="00454C57">
              <w:rPr>
                <w:b/>
                <w:bCs/>
                <w:color w:val="000000"/>
                <w:szCs w:val="24"/>
                <w:lang w:val="es-ES"/>
              </w:rPr>
              <w:t> </w:t>
            </w:r>
            <w:r w:rsidRPr="00C53010">
              <w:rPr>
                <w:b/>
                <w:bCs/>
                <w:color w:val="000000"/>
                <w:szCs w:val="24"/>
                <w:lang w:val="es-ES"/>
              </w:rPr>
              <w:t>816</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2</w:t>
            </w:r>
            <w:r w:rsidR="000411C3">
              <w:rPr>
                <w:b/>
                <w:bCs/>
                <w:color w:val="000000"/>
                <w:szCs w:val="24"/>
                <w:lang w:val="es-ES"/>
              </w:rPr>
              <w:t> ,</w:t>
            </w:r>
            <w:r w:rsidRPr="00C53010">
              <w:rPr>
                <w:b/>
                <w:bCs/>
                <w:color w:val="000000"/>
                <w:szCs w:val="24"/>
                <w:lang w:val="es-ES"/>
              </w:rPr>
              <w:t>32%</w:t>
            </w:r>
          </w:p>
        </w:tc>
      </w:tr>
      <w:tr w:rsidR="00FA7C73" w:rsidRPr="00C53010" w:rsidTr="00073562">
        <w:trPr>
          <w:trHeight w:val="330"/>
        </w:trPr>
        <w:tc>
          <w:tcPr>
            <w:tcW w:w="12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F</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5</w:t>
            </w:r>
            <w:r w:rsidR="00454C57">
              <w:rPr>
                <w:color w:val="000000"/>
                <w:szCs w:val="24"/>
                <w:lang w:val="es-ES"/>
              </w:rPr>
              <w:t> </w:t>
            </w:r>
            <w:r w:rsidRPr="00C53010">
              <w:rPr>
                <w:color w:val="000000"/>
                <w:szCs w:val="24"/>
                <w:lang w:val="es-ES"/>
              </w:rPr>
              <w:t>118</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11</w:t>
            </w:r>
            <w:r w:rsidR="00454C57">
              <w:rPr>
                <w:color w:val="000000"/>
                <w:szCs w:val="24"/>
                <w:lang w:val="es-ES"/>
              </w:rPr>
              <w:t> </w:t>
            </w:r>
            <w:r w:rsidRPr="00C53010">
              <w:rPr>
                <w:color w:val="000000"/>
                <w:szCs w:val="24"/>
                <w:lang w:val="es-ES"/>
              </w:rPr>
              <w:t>097</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15</w:t>
            </w:r>
            <w:r w:rsidR="00454C57">
              <w:rPr>
                <w:color w:val="000000"/>
                <w:szCs w:val="24"/>
                <w:lang w:val="es-ES"/>
              </w:rPr>
              <w:t> </w:t>
            </w:r>
            <w:r w:rsidRPr="00C53010">
              <w:rPr>
                <w:color w:val="000000"/>
                <w:szCs w:val="24"/>
                <w:lang w:val="es-ES"/>
              </w:rPr>
              <w:t>330</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10</w:t>
            </w:r>
            <w:r w:rsidR="00454C57">
              <w:rPr>
                <w:color w:val="000000"/>
                <w:szCs w:val="24"/>
                <w:lang w:val="es-ES"/>
              </w:rPr>
              <w:t> </w:t>
            </w:r>
            <w:r w:rsidRPr="00C53010">
              <w:rPr>
                <w:color w:val="000000"/>
                <w:szCs w:val="24"/>
                <w:lang w:val="es-ES"/>
              </w:rPr>
              <w:t>142</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41</w:t>
            </w:r>
            <w:r w:rsidR="00454C57">
              <w:rPr>
                <w:b/>
                <w:bCs/>
                <w:color w:val="000000"/>
                <w:szCs w:val="24"/>
                <w:lang w:val="es-ES"/>
              </w:rPr>
              <w:t> </w:t>
            </w:r>
            <w:r w:rsidRPr="00C53010">
              <w:rPr>
                <w:b/>
                <w:bCs/>
                <w:color w:val="000000"/>
                <w:szCs w:val="24"/>
                <w:lang w:val="es-ES"/>
              </w:rPr>
              <w:t>687</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4</w:t>
            </w:r>
            <w:r w:rsidR="000411C3">
              <w:rPr>
                <w:b/>
                <w:bCs/>
                <w:color w:val="000000"/>
                <w:szCs w:val="24"/>
                <w:lang w:val="es-ES"/>
              </w:rPr>
              <w:t> ,</w:t>
            </w:r>
            <w:r w:rsidRPr="00C53010">
              <w:rPr>
                <w:b/>
                <w:bCs/>
                <w:color w:val="000000"/>
                <w:szCs w:val="24"/>
                <w:lang w:val="es-ES"/>
              </w:rPr>
              <w:t>06%</w:t>
            </w:r>
          </w:p>
        </w:tc>
      </w:tr>
      <w:tr w:rsidR="00FA7C73" w:rsidRPr="00C53010" w:rsidTr="00073562">
        <w:trPr>
          <w:trHeight w:val="330"/>
        </w:trPr>
        <w:tc>
          <w:tcPr>
            <w:tcW w:w="12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RS</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2</w:t>
            </w:r>
            <w:r w:rsidR="00454C57">
              <w:rPr>
                <w:color w:val="000000"/>
                <w:szCs w:val="24"/>
                <w:lang w:val="es-ES"/>
              </w:rPr>
              <w:t> </w:t>
            </w:r>
            <w:r w:rsidRPr="00C53010">
              <w:rPr>
                <w:color w:val="000000"/>
                <w:szCs w:val="24"/>
                <w:lang w:val="es-ES"/>
              </w:rPr>
              <w:t>162</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4</w:t>
            </w:r>
            <w:r w:rsidR="00454C57">
              <w:rPr>
                <w:color w:val="000000"/>
                <w:szCs w:val="24"/>
                <w:lang w:val="es-ES"/>
              </w:rPr>
              <w:t> </w:t>
            </w:r>
            <w:r w:rsidRPr="00C53010">
              <w:rPr>
                <w:color w:val="000000"/>
                <w:szCs w:val="24"/>
                <w:lang w:val="es-ES"/>
              </w:rPr>
              <w:t>274</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4</w:t>
            </w:r>
            <w:r w:rsidR="00454C57">
              <w:rPr>
                <w:color w:val="000000"/>
                <w:szCs w:val="24"/>
                <w:lang w:val="es-ES"/>
              </w:rPr>
              <w:t> </w:t>
            </w:r>
            <w:r w:rsidRPr="00C53010">
              <w:rPr>
                <w:color w:val="000000"/>
                <w:szCs w:val="24"/>
                <w:lang w:val="es-ES"/>
              </w:rPr>
              <w:t>148</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3</w:t>
            </w:r>
            <w:r w:rsidR="00454C57">
              <w:rPr>
                <w:color w:val="000000"/>
                <w:szCs w:val="24"/>
                <w:lang w:val="es-ES"/>
              </w:rPr>
              <w:t> </w:t>
            </w:r>
            <w:r w:rsidRPr="00C53010">
              <w:rPr>
                <w:color w:val="000000"/>
                <w:szCs w:val="24"/>
                <w:lang w:val="es-ES"/>
              </w:rPr>
              <w:t>292</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13</w:t>
            </w:r>
            <w:r w:rsidR="00454C57">
              <w:rPr>
                <w:b/>
                <w:bCs/>
                <w:color w:val="000000"/>
                <w:szCs w:val="24"/>
                <w:lang w:val="es-ES"/>
              </w:rPr>
              <w:t> </w:t>
            </w:r>
            <w:r w:rsidRPr="00C53010">
              <w:rPr>
                <w:b/>
                <w:bCs/>
                <w:color w:val="000000"/>
                <w:szCs w:val="24"/>
                <w:lang w:val="es-ES"/>
              </w:rPr>
              <w:t>876</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1</w:t>
            </w:r>
            <w:r w:rsidR="000411C3">
              <w:rPr>
                <w:b/>
                <w:bCs/>
                <w:color w:val="000000"/>
                <w:szCs w:val="24"/>
                <w:lang w:val="es-ES"/>
              </w:rPr>
              <w:t> ,</w:t>
            </w:r>
            <w:r w:rsidRPr="00C53010">
              <w:rPr>
                <w:b/>
                <w:bCs/>
                <w:color w:val="000000"/>
                <w:szCs w:val="24"/>
                <w:lang w:val="es-ES"/>
              </w:rPr>
              <w:t>35%</w:t>
            </w:r>
          </w:p>
        </w:tc>
      </w:tr>
      <w:tr w:rsidR="00FA7C73" w:rsidRPr="00C53010" w:rsidTr="00073562">
        <w:trPr>
          <w:trHeight w:val="330"/>
        </w:trPr>
        <w:tc>
          <w:tcPr>
            <w:tcW w:w="12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RA</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2</w:t>
            </w:r>
            <w:r w:rsidR="00454C57">
              <w:rPr>
                <w:color w:val="000000"/>
                <w:szCs w:val="24"/>
                <w:lang w:val="es-ES"/>
              </w:rPr>
              <w:t> </w:t>
            </w:r>
            <w:r w:rsidRPr="00C53010">
              <w:rPr>
                <w:color w:val="000000"/>
                <w:szCs w:val="24"/>
                <w:lang w:val="es-ES"/>
              </w:rPr>
              <w:t>008</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3</w:t>
            </w:r>
            <w:r w:rsidR="00454C57">
              <w:rPr>
                <w:color w:val="000000"/>
                <w:szCs w:val="24"/>
                <w:lang w:val="es-ES"/>
              </w:rPr>
              <w:t> </w:t>
            </w:r>
            <w:r w:rsidRPr="00C53010">
              <w:rPr>
                <w:color w:val="000000"/>
                <w:szCs w:val="24"/>
                <w:lang w:val="es-ES"/>
              </w:rPr>
              <w:t>196</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4</w:t>
            </w:r>
            <w:r w:rsidR="00454C57">
              <w:rPr>
                <w:color w:val="000000"/>
                <w:szCs w:val="24"/>
                <w:lang w:val="es-ES"/>
              </w:rPr>
              <w:t> </w:t>
            </w:r>
            <w:r w:rsidRPr="00C53010">
              <w:rPr>
                <w:color w:val="000000"/>
                <w:szCs w:val="24"/>
                <w:lang w:val="es-ES"/>
              </w:rPr>
              <w:t>316</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3</w:t>
            </w:r>
            <w:r w:rsidR="00454C57">
              <w:rPr>
                <w:color w:val="000000"/>
                <w:szCs w:val="24"/>
                <w:lang w:val="es-ES"/>
              </w:rPr>
              <w:t> </w:t>
            </w:r>
            <w:r w:rsidRPr="00C53010">
              <w:rPr>
                <w:color w:val="000000"/>
                <w:szCs w:val="24"/>
                <w:lang w:val="es-ES"/>
              </w:rPr>
              <w:t>106</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12</w:t>
            </w:r>
            <w:r w:rsidR="00454C57">
              <w:rPr>
                <w:b/>
                <w:bCs/>
                <w:color w:val="000000"/>
                <w:szCs w:val="24"/>
                <w:lang w:val="es-ES"/>
              </w:rPr>
              <w:t> </w:t>
            </w:r>
            <w:r w:rsidRPr="00C53010">
              <w:rPr>
                <w:b/>
                <w:bCs/>
                <w:color w:val="000000"/>
                <w:szCs w:val="24"/>
                <w:lang w:val="es-ES"/>
              </w:rPr>
              <w:t>626</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1</w:t>
            </w:r>
            <w:r w:rsidR="000411C3">
              <w:rPr>
                <w:b/>
                <w:bCs/>
                <w:color w:val="000000"/>
                <w:szCs w:val="24"/>
                <w:lang w:val="es-ES"/>
              </w:rPr>
              <w:t> ,</w:t>
            </w:r>
            <w:r w:rsidRPr="00C53010">
              <w:rPr>
                <w:b/>
                <w:bCs/>
                <w:color w:val="000000"/>
                <w:szCs w:val="24"/>
                <w:lang w:val="es-ES"/>
              </w:rPr>
              <w:t>23%</w:t>
            </w:r>
          </w:p>
        </w:tc>
      </w:tr>
      <w:tr w:rsidR="00FA7C73" w:rsidRPr="00C53010" w:rsidTr="00073562">
        <w:trPr>
          <w:trHeight w:val="330"/>
        </w:trPr>
        <w:tc>
          <w:tcPr>
            <w:tcW w:w="12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SA</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1</w:t>
            </w:r>
            <w:r w:rsidR="00454C57">
              <w:rPr>
                <w:color w:val="000000"/>
                <w:szCs w:val="24"/>
                <w:lang w:val="es-ES"/>
              </w:rPr>
              <w:t> </w:t>
            </w:r>
            <w:r w:rsidRPr="00C53010">
              <w:rPr>
                <w:color w:val="000000"/>
                <w:szCs w:val="24"/>
                <w:lang w:val="es-ES"/>
              </w:rPr>
              <w:t>877</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4</w:t>
            </w:r>
            <w:r w:rsidR="00454C57">
              <w:rPr>
                <w:color w:val="000000"/>
                <w:szCs w:val="24"/>
                <w:lang w:val="es-ES"/>
              </w:rPr>
              <w:t> </w:t>
            </w:r>
            <w:r w:rsidRPr="00C53010">
              <w:rPr>
                <w:color w:val="000000"/>
                <w:szCs w:val="24"/>
                <w:lang w:val="es-ES"/>
              </w:rPr>
              <w:t>557</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5</w:t>
            </w:r>
            <w:r w:rsidR="00454C57">
              <w:rPr>
                <w:color w:val="000000"/>
                <w:szCs w:val="24"/>
                <w:lang w:val="es-ES"/>
              </w:rPr>
              <w:t> </w:t>
            </w:r>
            <w:r w:rsidRPr="00C53010">
              <w:rPr>
                <w:color w:val="000000"/>
                <w:szCs w:val="24"/>
                <w:lang w:val="es-ES"/>
              </w:rPr>
              <w:t>886</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3</w:t>
            </w:r>
            <w:r w:rsidR="00454C57">
              <w:rPr>
                <w:color w:val="000000"/>
                <w:szCs w:val="24"/>
                <w:lang w:val="es-ES"/>
              </w:rPr>
              <w:t> </w:t>
            </w:r>
            <w:r w:rsidRPr="00C53010">
              <w:rPr>
                <w:color w:val="000000"/>
                <w:szCs w:val="24"/>
                <w:lang w:val="es-ES"/>
              </w:rPr>
              <w:t>764</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16</w:t>
            </w:r>
            <w:r w:rsidR="00454C57">
              <w:rPr>
                <w:b/>
                <w:bCs/>
                <w:color w:val="000000"/>
                <w:szCs w:val="24"/>
                <w:lang w:val="es-ES"/>
              </w:rPr>
              <w:t> </w:t>
            </w:r>
            <w:r w:rsidRPr="00C53010">
              <w:rPr>
                <w:b/>
                <w:bCs/>
                <w:color w:val="000000"/>
                <w:szCs w:val="24"/>
                <w:lang w:val="es-ES"/>
              </w:rPr>
              <w:t>084</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1</w:t>
            </w:r>
            <w:r w:rsidR="000411C3">
              <w:rPr>
                <w:b/>
                <w:bCs/>
                <w:color w:val="000000"/>
                <w:szCs w:val="24"/>
                <w:lang w:val="es-ES"/>
              </w:rPr>
              <w:t> ,</w:t>
            </w:r>
            <w:r w:rsidRPr="00C53010">
              <w:rPr>
                <w:b/>
                <w:bCs/>
                <w:color w:val="000000"/>
                <w:szCs w:val="24"/>
                <w:lang w:val="es-ES"/>
              </w:rPr>
              <w:t>57%</w:t>
            </w:r>
          </w:p>
        </w:tc>
      </w:tr>
      <w:tr w:rsidR="00FA7C73" w:rsidRPr="00C53010" w:rsidTr="00073562">
        <w:trPr>
          <w:trHeight w:val="330"/>
        </w:trPr>
        <w:tc>
          <w:tcPr>
            <w:tcW w:w="12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SF</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281</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545</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506</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303</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1</w:t>
            </w:r>
            <w:r w:rsidR="00454C57">
              <w:rPr>
                <w:b/>
                <w:bCs/>
                <w:color w:val="000000"/>
                <w:szCs w:val="24"/>
                <w:lang w:val="es-ES"/>
              </w:rPr>
              <w:t> </w:t>
            </w:r>
            <w:r w:rsidRPr="00C53010">
              <w:rPr>
                <w:b/>
                <w:bCs/>
                <w:color w:val="000000"/>
                <w:szCs w:val="24"/>
                <w:lang w:val="es-ES"/>
              </w:rPr>
              <w:t>635</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0</w:t>
            </w:r>
            <w:r w:rsidR="000411C3">
              <w:rPr>
                <w:b/>
                <w:bCs/>
                <w:color w:val="000000"/>
                <w:szCs w:val="24"/>
                <w:lang w:val="es-ES"/>
              </w:rPr>
              <w:t> ,</w:t>
            </w:r>
            <w:r w:rsidRPr="00C53010">
              <w:rPr>
                <w:b/>
                <w:bCs/>
                <w:color w:val="000000"/>
                <w:szCs w:val="24"/>
                <w:lang w:val="es-ES"/>
              </w:rPr>
              <w:t>16%</w:t>
            </w:r>
          </w:p>
        </w:tc>
      </w:tr>
      <w:tr w:rsidR="00FA7C73" w:rsidRPr="00C53010" w:rsidTr="00073562">
        <w:trPr>
          <w:trHeight w:val="330"/>
        </w:trPr>
        <w:tc>
          <w:tcPr>
            <w:tcW w:w="12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BR</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47</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65</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66</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color w:val="000000"/>
                <w:szCs w:val="24"/>
                <w:lang w:val="es-ES"/>
              </w:rPr>
            </w:pPr>
            <w:r w:rsidRPr="00C53010">
              <w:rPr>
                <w:color w:val="000000"/>
                <w:szCs w:val="24"/>
                <w:lang w:val="es-ES"/>
              </w:rPr>
              <w:t>65</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243</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0</w:t>
            </w:r>
            <w:r w:rsidR="000411C3">
              <w:rPr>
                <w:b/>
                <w:bCs/>
                <w:color w:val="000000"/>
                <w:szCs w:val="24"/>
                <w:lang w:val="es-ES"/>
              </w:rPr>
              <w:t> ,</w:t>
            </w:r>
            <w:r w:rsidRPr="00C53010">
              <w:rPr>
                <w:b/>
                <w:bCs/>
                <w:color w:val="000000"/>
                <w:szCs w:val="24"/>
                <w:lang w:val="es-ES"/>
              </w:rPr>
              <w:t>02%</w:t>
            </w:r>
          </w:p>
        </w:tc>
      </w:tr>
      <w:tr w:rsidR="00FA7C73" w:rsidRPr="00C53010" w:rsidTr="00073562">
        <w:trPr>
          <w:trHeight w:val="330"/>
        </w:trPr>
        <w:tc>
          <w:tcPr>
            <w:tcW w:w="12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TOTAL</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161</w:t>
            </w:r>
            <w:r w:rsidR="00454C57">
              <w:rPr>
                <w:b/>
                <w:bCs/>
                <w:color w:val="000000"/>
                <w:szCs w:val="24"/>
                <w:lang w:val="es-ES"/>
              </w:rPr>
              <w:t> </w:t>
            </w:r>
            <w:r w:rsidRPr="00C53010">
              <w:rPr>
                <w:b/>
                <w:bCs/>
                <w:color w:val="000000"/>
                <w:szCs w:val="24"/>
                <w:lang w:val="es-ES"/>
              </w:rPr>
              <w:t>596</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271</w:t>
            </w:r>
            <w:r w:rsidR="00454C57">
              <w:rPr>
                <w:b/>
                <w:bCs/>
                <w:color w:val="000000"/>
                <w:szCs w:val="24"/>
                <w:lang w:val="es-ES"/>
              </w:rPr>
              <w:t> </w:t>
            </w:r>
            <w:r w:rsidRPr="00C53010">
              <w:rPr>
                <w:b/>
                <w:bCs/>
                <w:color w:val="000000"/>
                <w:szCs w:val="24"/>
                <w:lang w:val="es-ES"/>
              </w:rPr>
              <w:t>604</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345</w:t>
            </w:r>
            <w:r w:rsidR="00454C57">
              <w:rPr>
                <w:b/>
                <w:bCs/>
                <w:color w:val="000000"/>
                <w:szCs w:val="24"/>
                <w:lang w:val="es-ES"/>
              </w:rPr>
              <w:t> </w:t>
            </w:r>
            <w:r w:rsidRPr="00C53010">
              <w:rPr>
                <w:b/>
                <w:bCs/>
                <w:color w:val="000000"/>
                <w:szCs w:val="24"/>
                <w:lang w:val="es-ES"/>
              </w:rPr>
              <w:t>305</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248</w:t>
            </w:r>
            <w:r w:rsidR="00454C57">
              <w:rPr>
                <w:b/>
                <w:bCs/>
                <w:color w:val="000000"/>
                <w:szCs w:val="24"/>
                <w:lang w:val="es-ES"/>
              </w:rPr>
              <w:t> </w:t>
            </w:r>
            <w:r w:rsidRPr="00C53010">
              <w:rPr>
                <w:b/>
                <w:bCs/>
                <w:color w:val="000000"/>
                <w:szCs w:val="24"/>
                <w:lang w:val="es-ES"/>
              </w:rPr>
              <w:t>439</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1</w:t>
            </w:r>
            <w:r w:rsidR="00454C57">
              <w:rPr>
                <w:b/>
                <w:bCs/>
                <w:color w:val="000000"/>
                <w:szCs w:val="24"/>
                <w:lang w:val="es-ES"/>
              </w:rPr>
              <w:t> </w:t>
            </w:r>
            <w:r w:rsidRPr="00C53010">
              <w:rPr>
                <w:b/>
                <w:bCs/>
                <w:color w:val="000000"/>
                <w:szCs w:val="24"/>
                <w:lang w:val="es-ES"/>
              </w:rPr>
              <w:t>026</w:t>
            </w:r>
            <w:r w:rsidR="00454C57">
              <w:rPr>
                <w:b/>
                <w:bCs/>
                <w:color w:val="000000"/>
                <w:szCs w:val="24"/>
                <w:lang w:val="es-ES"/>
              </w:rPr>
              <w:t> </w:t>
            </w:r>
            <w:r w:rsidRPr="00C53010">
              <w:rPr>
                <w:b/>
                <w:bCs/>
                <w:color w:val="000000"/>
                <w:szCs w:val="24"/>
                <w:lang w:val="es-ES"/>
              </w:rPr>
              <w:t>944</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right"/>
              <w:rPr>
                <w:b/>
                <w:bCs/>
                <w:color w:val="000000"/>
                <w:szCs w:val="24"/>
                <w:lang w:val="es-ES"/>
              </w:rPr>
            </w:pPr>
            <w:r w:rsidRPr="00C53010">
              <w:rPr>
                <w:b/>
                <w:bCs/>
                <w:color w:val="000000"/>
                <w:szCs w:val="24"/>
                <w:lang w:val="es-ES"/>
              </w:rPr>
              <w:t>100</w:t>
            </w:r>
            <w:r w:rsidR="000411C3">
              <w:rPr>
                <w:b/>
                <w:bCs/>
                <w:color w:val="000000"/>
                <w:szCs w:val="24"/>
                <w:lang w:val="es-ES"/>
              </w:rPr>
              <w:t> ,</w:t>
            </w:r>
            <w:r w:rsidRPr="00C53010">
              <w:rPr>
                <w:b/>
                <w:bCs/>
                <w:color w:val="000000"/>
                <w:szCs w:val="24"/>
                <w:lang w:val="es-ES"/>
              </w:rPr>
              <w:t>00%</w:t>
            </w:r>
          </w:p>
        </w:tc>
      </w:tr>
      <w:tr w:rsidR="00FA7C73" w:rsidRPr="00C53010" w:rsidTr="00073562">
        <w:trPr>
          <w:trHeight w:val="330"/>
        </w:trPr>
        <w:tc>
          <w:tcPr>
            <w:tcW w:w="12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073562" w:rsidP="001F3A94">
            <w:pPr>
              <w:jc w:val="center"/>
              <w:rPr>
                <w:b/>
                <w:bCs/>
                <w:color w:val="000000"/>
                <w:szCs w:val="24"/>
                <w:lang w:val="es-ES"/>
              </w:rPr>
            </w:pPr>
            <w:r w:rsidRPr="00C53010">
              <w:rPr>
                <w:b/>
                <w:bCs/>
                <w:color w:val="000000"/>
                <w:szCs w:val="24"/>
                <w:lang w:val="es-ES"/>
              </w:rPr>
              <w:t>anual</w:t>
            </w:r>
            <w:r w:rsidR="00FA7C73" w:rsidRPr="00C53010">
              <w:rPr>
                <w:b/>
                <w:bCs/>
                <w:color w:val="000000"/>
                <w:szCs w:val="24"/>
                <w:lang w:val="es-ES"/>
              </w:rPr>
              <w:t xml:space="preserve">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16%</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26%</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34%</w:t>
            </w:r>
          </w:p>
        </w:tc>
        <w:tc>
          <w:tcPr>
            <w:tcW w:w="9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24%</w:t>
            </w:r>
          </w:p>
        </w:tc>
        <w:tc>
          <w:tcPr>
            <w:tcW w:w="11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jc w:val="center"/>
              <w:rPr>
                <w:b/>
                <w:bCs/>
                <w:color w:val="000000"/>
                <w:szCs w:val="24"/>
                <w:lang w:val="es-ES"/>
              </w:rPr>
            </w:pPr>
            <w:r w:rsidRPr="00C53010">
              <w:rPr>
                <w:b/>
                <w:bCs/>
                <w:color w:val="000000"/>
                <w:szCs w:val="24"/>
                <w:lang w:val="es-ES"/>
              </w:rPr>
              <w:t>100%</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7C73" w:rsidRPr="00C53010" w:rsidRDefault="00FA7C73" w:rsidP="001F3A94">
            <w:pPr>
              <w:rPr>
                <w:color w:val="000000"/>
                <w:szCs w:val="24"/>
                <w:lang w:val="es-ES"/>
              </w:rPr>
            </w:pPr>
            <w:r w:rsidRPr="00C53010">
              <w:rPr>
                <w:color w:val="000000"/>
                <w:szCs w:val="24"/>
                <w:lang w:val="es-ES"/>
              </w:rPr>
              <w:t> </w:t>
            </w:r>
          </w:p>
        </w:tc>
      </w:tr>
    </w:tbl>
    <w:p w:rsidR="00FA7C73" w:rsidRPr="00C53010" w:rsidRDefault="00FA7C73" w:rsidP="00073562">
      <w:pPr>
        <w:pStyle w:val="Heading4"/>
        <w:rPr>
          <w:lang w:val="es-ES"/>
        </w:rPr>
      </w:pPr>
      <w:r w:rsidRPr="00C53010">
        <w:rPr>
          <w:lang w:val="es-ES"/>
        </w:rPr>
        <w:t>8.1.4.4</w:t>
      </w:r>
      <w:r w:rsidRPr="00C53010">
        <w:rPr>
          <w:lang w:val="es-ES"/>
        </w:rPr>
        <w:tab/>
      </w:r>
      <w:r w:rsidR="00073562" w:rsidRPr="00C53010">
        <w:rPr>
          <w:lang w:val="es-ES"/>
        </w:rPr>
        <w:t>Manuales U</w:t>
      </w:r>
      <w:r w:rsidRPr="00C53010">
        <w:rPr>
          <w:lang w:val="es-ES"/>
        </w:rPr>
        <w:t xml:space="preserve">IT-R </w:t>
      </w:r>
    </w:p>
    <w:p w:rsidR="00FA7C73" w:rsidRPr="00C53010" w:rsidRDefault="00073562" w:rsidP="00563D35">
      <w:pPr>
        <w:rPr>
          <w:lang w:val="es-ES"/>
        </w:rPr>
      </w:pPr>
      <w:bookmarkStart w:id="78" w:name="_Toc424047600"/>
      <w:bookmarkStart w:id="79" w:name="_Toc446060782"/>
      <w:r w:rsidRPr="00C53010">
        <w:rPr>
          <w:lang w:val="es-ES"/>
        </w:rPr>
        <w:t>En el Cuadro</w:t>
      </w:r>
      <w:r w:rsidR="00FA7C73" w:rsidRPr="00C53010">
        <w:rPr>
          <w:lang w:val="es-ES"/>
        </w:rPr>
        <w:t xml:space="preserve"> 8.1.4.4-1 </w:t>
      </w:r>
      <w:r w:rsidRPr="00C53010">
        <w:rPr>
          <w:lang w:val="es-ES"/>
        </w:rPr>
        <w:t>se indica el número de descargas de Manuales U</w:t>
      </w:r>
      <w:r w:rsidR="00FA7C73" w:rsidRPr="00C53010">
        <w:rPr>
          <w:lang w:val="es-ES"/>
        </w:rPr>
        <w:t xml:space="preserve">IT-R </w:t>
      </w:r>
      <w:r w:rsidRPr="00C53010">
        <w:rPr>
          <w:lang w:val="es-ES"/>
        </w:rPr>
        <w:t xml:space="preserve">desde la decisión del Consejo en </w:t>
      </w:r>
      <w:r w:rsidR="00FA7C73" w:rsidRPr="00C53010">
        <w:rPr>
          <w:lang w:val="es-ES"/>
        </w:rPr>
        <w:t xml:space="preserve">2013. </w:t>
      </w:r>
      <w:r w:rsidRPr="00C53010">
        <w:rPr>
          <w:lang w:val="es-ES"/>
        </w:rPr>
        <w:t>Conforme a la decisión del Director de la BR</w:t>
      </w:r>
      <w:r w:rsidR="001B0E79">
        <w:rPr>
          <w:lang w:val="es-ES"/>
        </w:rPr>
        <w:t xml:space="preserve">, </w:t>
      </w:r>
      <w:r w:rsidRPr="00C53010">
        <w:rPr>
          <w:lang w:val="es-ES"/>
        </w:rPr>
        <w:t xml:space="preserve">adoptada en enero de </w:t>
      </w:r>
      <w:r w:rsidR="00FA7C73" w:rsidRPr="00C53010">
        <w:rPr>
          <w:lang w:val="es-ES"/>
        </w:rPr>
        <w:t>2017</w:t>
      </w:r>
      <w:r w:rsidR="001B0E79">
        <w:rPr>
          <w:lang w:val="es-ES"/>
        </w:rPr>
        <w:t xml:space="preserve">, </w:t>
      </w:r>
      <w:r w:rsidRPr="00C53010">
        <w:rPr>
          <w:lang w:val="es-ES"/>
        </w:rPr>
        <w:t>de ampliar el acceso gratuito a todos los Manuales U</w:t>
      </w:r>
      <w:r w:rsidR="00FA7C73" w:rsidRPr="00C53010">
        <w:rPr>
          <w:lang w:val="es-ES"/>
        </w:rPr>
        <w:t>IT-R</w:t>
      </w:r>
      <w:r w:rsidR="001B0E79">
        <w:rPr>
          <w:lang w:val="es-ES"/>
        </w:rPr>
        <w:t xml:space="preserve">, </w:t>
      </w:r>
      <w:r w:rsidRPr="00C53010">
        <w:rPr>
          <w:lang w:val="es-ES"/>
        </w:rPr>
        <w:t xml:space="preserve">se han registrado más de </w:t>
      </w:r>
      <w:r w:rsidR="00FA7C73" w:rsidRPr="00C53010">
        <w:rPr>
          <w:lang w:val="es-ES"/>
        </w:rPr>
        <w:t>2</w:t>
      </w:r>
      <w:r w:rsidRPr="00C53010">
        <w:rPr>
          <w:lang w:val="es-ES"/>
        </w:rPr>
        <w:t> </w:t>
      </w:r>
      <w:r w:rsidR="00FA7C73" w:rsidRPr="00C53010">
        <w:rPr>
          <w:lang w:val="es-ES"/>
        </w:rPr>
        <w:t xml:space="preserve">000 </w:t>
      </w:r>
      <w:r w:rsidRPr="00C53010">
        <w:rPr>
          <w:lang w:val="es-ES"/>
        </w:rPr>
        <w:t>descargas en ese mismo año</w:t>
      </w:r>
      <w:r w:rsidR="00FA7C73" w:rsidRPr="00C53010">
        <w:rPr>
          <w:lang w:val="es-ES"/>
        </w:rPr>
        <w:t xml:space="preserve">. </w:t>
      </w:r>
      <w:r w:rsidRPr="00C53010">
        <w:rPr>
          <w:lang w:val="es-ES"/>
        </w:rPr>
        <w:t>Además</w:t>
      </w:r>
      <w:r w:rsidR="001B0E79">
        <w:rPr>
          <w:lang w:val="es-ES"/>
        </w:rPr>
        <w:t xml:space="preserve">, </w:t>
      </w:r>
      <w:r w:rsidRPr="00C53010">
        <w:rPr>
          <w:lang w:val="es-ES"/>
        </w:rPr>
        <w:t xml:space="preserve">se descargaron desde </w:t>
      </w:r>
      <w:r w:rsidR="00FA7C73" w:rsidRPr="00C53010">
        <w:rPr>
          <w:lang w:val="es-ES"/>
        </w:rPr>
        <w:t xml:space="preserve">193 </w:t>
      </w:r>
      <w:r w:rsidRPr="00C53010">
        <w:rPr>
          <w:lang w:val="es-ES"/>
        </w:rPr>
        <w:t>países de la U</w:t>
      </w:r>
      <w:r w:rsidR="00FA7C73" w:rsidRPr="00C53010">
        <w:rPr>
          <w:lang w:val="es-ES"/>
        </w:rPr>
        <w:t>IT.</w:t>
      </w:r>
    </w:p>
    <w:p w:rsidR="00FA7C73" w:rsidRPr="00C53010" w:rsidRDefault="00073562" w:rsidP="001F3A94">
      <w:pPr>
        <w:pStyle w:val="TableNo"/>
        <w:rPr>
          <w:lang w:val="es-ES"/>
        </w:rPr>
      </w:pPr>
      <w:r w:rsidRPr="00C53010">
        <w:rPr>
          <w:lang w:val="es-ES"/>
        </w:rPr>
        <w:t>CUADRO</w:t>
      </w:r>
      <w:r w:rsidR="00FA7C73" w:rsidRPr="00C53010">
        <w:rPr>
          <w:lang w:val="es-ES"/>
        </w:rPr>
        <w:t xml:space="preserve"> 8.1.4.4-1</w:t>
      </w:r>
    </w:p>
    <w:p w:rsidR="00FA7C73" w:rsidRPr="00C53010" w:rsidRDefault="003E116B" w:rsidP="00073562">
      <w:pPr>
        <w:pStyle w:val="TabletitleBR"/>
        <w:rPr>
          <w:lang w:val="es-ES"/>
        </w:rPr>
      </w:pPr>
      <w:r w:rsidRPr="00C53010">
        <w:rPr>
          <w:lang w:val="es-ES"/>
        </w:rPr>
        <w:t>Distribución</w:t>
      </w:r>
      <w:r w:rsidR="00073562" w:rsidRPr="00C53010">
        <w:rPr>
          <w:lang w:val="es-ES"/>
        </w:rPr>
        <w:t xml:space="preserve"> de Manuales U</w:t>
      </w:r>
      <w:r w:rsidR="00FA7C73" w:rsidRPr="00C53010">
        <w:rPr>
          <w:lang w:val="es-ES"/>
        </w:rPr>
        <w:t>IT-R 2014-2017</w:t>
      </w:r>
    </w:p>
    <w:tbl>
      <w:tblPr>
        <w:tblW w:w="8079" w:type="dxa"/>
        <w:tblInd w:w="983" w:type="dxa"/>
        <w:tblCellMar>
          <w:left w:w="0" w:type="dxa"/>
          <w:right w:w="0" w:type="dxa"/>
        </w:tblCellMar>
        <w:tblLook w:val="04A0" w:firstRow="1" w:lastRow="0" w:firstColumn="1" w:lastColumn="0" w:noHBand="0" w:noVBand="1"/>
      </w:tblPr>
      <w:tblGrid>
        <w:gridCol w:w="3253"/>
        <w:gridCol w:w="1283"/>
        <w:gridCol w:w="992"/>
        <w:gridCol w:w="1276"/>
        <w:gridCol w:w="1275"/>
      </w:tblGrid>
      <w:tr w:rsidR="001F3A94" w:rsidRPr="00C53010" w:rsidTr="001F3A94">
        <w:trPr>
          <w:trHeight w:val="325"/>
        </w:trPr>
        <w:tc>
          <w:tcPr>
            <w:tcW w:w="3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3A94" w:rsidRPr="00C53010" w:rsidRDefault="001F3A94" w:rsidP="001F3A94">
            <w:pPr>
              <w:spacing w:after="120"/>
              <w:jc w:val="center"/>
              <w:rPr>
                <w:b/>
                <w:bCs/>
                <w:lang w:val="es-ES"/>
              </w:rPr>
            </w:pPr>
          </w:p>
        </w:tc>
        <w:tc>
          <w:tcPr>
            <w:tcW w:w="2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F3A94" w:rsidRPr="00C53010" w:rsidRDefault="00073562" w:rsidP="001F3A94">
            <w:pPr>
              <w:spacing w:after="120"/>
              <w:jc w:val="center"/>
              <w:rPr>
                <w:b/>
                <w:bCs/>
                <w:lang w:val="es-ES"/>
              </w:rPr>
            </w:pPr>
            <w:r w:rsidRPr="00C53010">
              <w:rPr>
                <w:b/>
                <w:bCs/>
                <w:lang w:val="es-ES"/>
              </w:rPr>
              <w:t>Ventas</w:t>
            </w:r>
          </w:p>
        </w:tc>
        <w:tc>
          <w:tcPr>
            <w:tcW w:w="2551" w:type="dxa"/>
            <w:gridSpan w:val="2"/>
            <w:tcBorders>
              <w:top w:val="single" w:sz="8" w:space="0" w:color="auto"/>
              <w:left w:val="nil"/>
              <w:bottom w:val="single" w:sz="8" w:space="0" w:color="auto"/>
              <w:right w:val="single" w:sz="8" w:space="0" w:color="auto"/>
            </w:tcBorders>
            <w:vAlign w:val="center"/>
            <w:hideMark/>
          </w:tcPr>
          <w:p w:rsidR="001F3A94" w:rsidRPr="00C53010" w:rsidRDefault="00073562" w:rsidP="001F3A94">
            <w:pPr>
              <w:spacing w:after="120"/>
              <w:jc w:val="center"/>
              <w:rPr>
                <w:b/>
                <w:bCs/>
                <w:lang w:val="es-ES"/>
              </w:rPr>
            </w:pPr>
            <w:r w:rsidRPr="00C53010">
              <w:rPr>
                <w:b/>
                <w:bCs/>
                <w:lang w:val="es-ES"/>
              </w:rPr>
              <w:t>Descargas gratuitas</w:t>
            </w:r>
          </w:p>
        </w:tc>
      </w:tr>
      <w:tr w:rsidR="00FA7C73" w:rsidRPr="00C53010" w:rsidTr="003045E9">
        <w:trPr>
          <w:trHeight w:val="387"/>
        </w:trPr>
        <w:tc>
          <w:tcPr>
            <w:tcW w:w="3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7C73" w:rsidRPr="00C53010" w:rsidRDefault="00073562" w:rsidP="001F3A94">
            <w:pPr>
              <w:spacing w:after="120"/>
              <w:jc w:val="center"/>
              <w:rPr>
                <w:b/>
                <w:bCs/>
                <w:lang w:val="es-ES"/>
              </w:rPr>
            </w:pPr>
            <w:r w:rsidRPr="00C53010">
              <w:rPr>
                <w:b/>
                <w:bCs/>
                <w:lang w:val="es-ES"/>
              </w:rPr>
              <w:t>Manual</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spacing w:after="120"/>
              <w:jc w:val="center"/>
              <w:rPr>
                <w:b/>
                <w:bCs/>
                <w:lang w:val="es-ES"/>
              </w:rPr>
            </w:pPr>
            <w:r w:rsidRPr="00C53010">
              <w:rPr>
                <w:b/>
                <w:bCs/>
                <w:lang w:val="es-ES"/>
              </w:rPr>
              <w:t>2014-2016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7C73" w:rsidRPr="00C53010" w:rsidRDefault="00FA7C73" w:rsidP="001F3A94">
            <w:pPr>
              <w:spacing w:after="120"/>
              <w:jc w:val="center"/>
              <w:rPr>
                <w:b/>
                <w:bCs/>
                <w:lang w:val="es-ES"/>
              </w:rPr>
            </w:pPr>
            <w:r w:rsidRPr="00C53010">
              <w:rPr>
                <w:b/>
                <w:bCs/>
                <w:lang w:val="es-ES"/>
              </w:rPr>
              <w:t>2017</w:t>
            </w:r>
          </w:p>
        </w:tc>
        <w:tc>
          <w:tcPr>
            <w:tcW w:w="1276" w:type="dxa"/>
            <w:tcBorders>
              <w:top w:val="nil"/>
              <w:left w:val="nil"/>
              <w:bottom w:val="single" w:sz="8" w:space="0" w:color="auto"/>
              <w:right w:val="single" w:sz="8" w:space="0" w:color="auto"/>
            </w:tcBorders>
            <w:vAlign w:val="center"/>
            <w:hideMark/>
          </w:tcPr>
          <w:p w:rsidR="00FA7C73" w:rsidRPr="00C53010" w:rsidRDefault="00FA7C73" w:rsidP="001F3A94">
            <w:pPr>
              <w:spacing w:after="120"/>
              <w:jc w:val="center"/>
              <w:rPr>
                <w:b/>
                <w:bCs/>
                <w:lang w:val="es-ES"/>
              </w:rPr>
            </w:pPr>
            <w:r w:rsidRPr="00C53010">
              <w:rPr>
                <w:b/>
                <w:bCs/>
                <w:lang w:val="es-ES"/>
              </w:rPr>
              <w:t>2014-2016</w:t>
            </w:r>
          </w:p>
        </w:tc>
        <w:tc>
          <w:tcPr>
            <w:tcW w:w="1275" w:type="dxa"/>
            <w:tcBorders>
              <w:top w:val="nil"/>
              <w:left w:val="nil"/>
              <w:bottom w:val="single" w:sz="8" w:space="0" w:color="auto"/>
              <w:right w:val="single" w:sz="8" w:space="0" w:color="auto"/>
            </w:tcBorders>
            <w:hideMark/>
          </w:tcPr>
          <w:p w:rsidR="00FA7C73" w:rsidRPr="00C53010" w:rsidRDefault="00FA7C73" w:rsidP="001F3A94">
            <w:pPr>
              <w:spacing w:after="120"/>
              <w:jc w:val="center"/>
              <w:rPr>
                <w:b/>
                <w:bCs/>
                <w:lang w:val="es-ES"/>
              </w:rPr>
            </w:pPr>
            <w:r w:rsidRPr="00C53010">
              <w:rPr>
                <w:b/>
                <w:bCs/>
                <w:lang w:val="es-ES"/>
              </w:rPr>
              <w:t xml:space="preserve">2017 </w:t>
            </w:r>
          </w:p>
        </w:tc>
      </w:tr>
      <w:tr w:rsidR="00FA7C73" w:rsidRPr="00C53010" w:rsidTr="003045E9">
        <w:trPr>
          <w:trHeight w:val="227"/>
        </w:trPr>
        <w:tc>
          <w:tcPr>
            <w:tcW w:w="3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C73" w:rsidRPr="00C53010" w:rsidRDefault="00073562" w:rsidP="00073562">
            <w:pPr>
              <w:spacing w:after="120"/>
              <w:rPr>
                <w:lang w:val="es-ES"/>
              </w:rPr>
            </w:pPr>
            <w:r w:rsidRPr="00C53010">
              <w:rPr>
                <w:lang w:val="es-ES"/>
              </w:rPr>
              <w:t>Serie de gestión del espectro</w:t>
            </w:r>
          </w:p>
        </w:tc>
        <w:tc>
          <w:tcPr>
            <w:tcW w:w="1283" w:type="dxa"/>
            <w:tcBorders>
              <w:top w:val="nil"/>
              <w:left w:val="nil"/>
              <w:bottom w:val="single" w:sz="8" w:space="0" w:color="auto"/>
              <w:right w:val="single" w:sz="8" w:space="0" w:color="auto"/>
            </w:tcBorders>
            <w:tcMar>
              <w:top w:w="0" w:type="dxa"/>
              <w:left w:w="108" w:type="dxa"/>
              <w:bottom w:w="0" w:type="dxa"/>
              <w:right w:w="108" w:type="dxa"/>
            </w:tcMar>
            <w:hideMark/>
          </w:tcPr>
          <w:p w:rsidR="00FA7C73" w:rsidRPr="00C53010" w:rsidRDefault="00FA7C73" w:rsidP="001F3A94">
            <w:pPr>
              <w:spacing w:after="120"/>
              <w:jc w:val="center"/>
              <w:rPr>
                <w:lang w:val="es-ES"/>
              </w:rPr>
            </w:pPr>
            <w:r w:rsidRPr="00C53010">
              <w:rPr>
                <w:lang w:val="es-ES"/>
              </w:rPr>
              <w:t>96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A7C73" w:rsidRPr="00C53010" w:rsidRDefault="00FA7C73" w:rsidP="001F3A94">
            <w:pPr>
              <w:spacing w:after="120"/>
              <w:jc w:val="center"/>
              <w:rPr>
                <w:lang w:val="es-ES"/>
              </w:rPr>
            </w:pPr>
            <w:r w:rsidRPr="00C53010">
              <w:rPr>
                <w:lang w:val="es-ES"/>
              </w:rPr>
              <w:t>31</w:t>
            </w:r>
          </w:p>
        </w:tc>
        <w:tc>
          <w:tcPr>
            <w:tcW w:w="1276" w:type="dxa"/>
            <w:tcBorders>
              <w:top w:val="nil"/>
              <w:left w:val="nil"/>
              <w:bottom w:val="single" w:sz="8" w:space="0" w:color="auto"/>
              <w:right w:val="single" w:sz="8" w:space="0" w:color="auto"/>
            </w:tcBorders>
            <w:hideMark/>
          </w:tcPr>
          <w:p w:rsidR="00FA7C73" w:rsidRPr="00C53010" w:rsidRDefault="00FA7C73" w:rsidP="001F3A94">
            <w:pPr>
              <w:spacing w:after="120"/>
              <w:jc w:val="center"/>
              <w:rPr>
                <w:color w:val="000000"/>
                <w:lang w:val="es-ES"/>
              </w:rPr>
            </w:pPr>
            <w:r w:rsidRPr="00C53010">
              <w:rPr>
                <w:lang w:val="es-ES"/>
              </w:rPr>
              <w:t>4</w:t>
            </w:r>
            <w:r w:rsidR="00454C57">
              <w:rPr>
                <w:lang w:val="es-ES"/>
              </w:rPr>
              <w:t> </w:t>
            </w:r>
            <w:r w:rsidRPr="00C53010">
              <w:rPr>
                <w:lang w:val="es-ES"/>
              </w:rPr>
              <w:t>750</w:t>
            </w:r>
          </w:p>
        </w:tc>
        <w:tc>
          <w:tcPr>
            <w:tcW w:w="1275" w:type="dxa"/>
            <w:tcBorders>
              <w:top w:val="nil"/>
              <w:left w:val="nil"/>
              <w:bottom w:val="single" w:sz="8" w:space="0" w:color="auto"/>
              <w:right w:val="single" w:sz="8" w:space="0" w:color="auto"/>
            </w:tcBorders>
            <w:hideMark/>
          </w:tcPr>
          <w:p w:rsidR="00FA7C73" w:rsidRPr="00C53010" w:rsidRDefault="00FA7C73" w:rsidP="001F3A94">
            <w:pPr>
              <w:spacing w:after="120"/>
              <w:jc w:val="center"/>
              <w:rPr>
                <w:color w:val="000000"/>
                <w:lang w:val="es-ES"/>
              </w:rPr>
            </w:pPr>
            <w:r w:rsidRPr="00C53010">
              <w:rPr>
                <w:lang w:val="es-ES"/>
              </w:rPr>
              <w:t>1</w:t>
            </w:r>
            <w:r w:rsidR="00454C57">
              <w:rPr>
                <w:lang w:val="es-ES"/>
              </w:rPr>
              <w:t> </w:t>
            </w:r>
            <w:r w:rsidRPr="00C53010">
              <w:rPr>
                <w:lang w:val="es-ES"/>
              </w:rPr>
              <w:t>162</w:t>
            </w:r>
          </w:p>
        </w:tc>
      </w:tr>
      <w:tr w:rsidR="00FA7C73" w:rsidRPr="00C53010" w:rsidTr="003045E9">
        <w:trPr>
          <w:trHeight w:val="448"/>
        </w:trPr>
        <w:tc>
          <w:tcPr>
            <w:tcW w:w="3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C73" w:rsidRPr="00C53010" w:rsidRDefault="00073562" w:rsidP="001F3A94">
            <w:pPr>
              <w:spacing w:after="120"/>
              <w:rPr>
                <w:lang w:val="es-ES"/>
              </w:rPr>
            </w:pPr>
            <w:r w:rsidRPr="00C53010">
              <w:rPr>
                <w:lang w:val="es-ES"/>
              </w:rPr>
              <w:t>Otro manuales</w:t>
            </w:r>
          </w:p>
        </w:tc>
        <w:tc>
          <w:tcPr>
            <w:tcW w:w="1283" w:type="dxa"/>
            <w:tcBorders>
              <w:top w:val="nil"/>
              <w:left w:val="nil"/>
              <w:bottom w:val="single" w:sz="8" w:space="0" w:color="auto"/>
              <w:right w:val="single" w:sz="8" w:space="0" w:color="auto"/>
            </w:tcBorders>
            <w:tcMar>
              <w:top w:w="0" w:type="dxa"/>
              <w:left w:w="108" w:type="dxa"/>
              <w:bottom w:w="0" w:type="dxa"/>
              <w:right w:w="108" w:type="dxa"/>
            </w:tcMar>
            <w:hideMark/>
          </w:tcPr>
          <w:p w:rsidR="00FA7C73" w:rsidRPr="00C53010" w:rsidRDefault="00FA7C73" w:rsidP="001F3A94">
            <w:pPr>
              <w:spacing w:after="120"/>
              <w:jc w:val="center"/>
              <w:rPr>
                <w:lang w:val="es-ES"/>
              </w:rPr>
            </w:pPr>
            <w:r w:rsidRPr="00C53010">
              <w:rPr>
                <w:lang w:val="es-ES"/>
              </w:rPr>
              <w:t>503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A7C73" w:rsidRPr="00C53010" w:rsidRDefault="00FA7C73" w:rsidP="001F3A94">
            <w:pPr>
              <w:spacing w:after="120"/>
              <w:jc w:val="center"/>
              <w:rPr>
                <w:lang w:val="es-ES"/>
              </w:rPr>
            </w:pPr>
            <w:r w:rsidRPr="00C53010">
              <w:rPr>
                <w:lang w:val="es-ES"/>
              </w:rPr>
              <w:t>80</w:t>
            </w:r>
          </w:p>
        </w:tc>
        <w:tc>
          <w:tcPr>
            <w:tcW w:w="1276" w:type="dxa"/>
            <w:tcBorders>
              <w:top w:val="nil"/>
              <w:left w:val="nil"/>
              <w:bottom w:val="single" w:sz="8" w:space="0" w:color="auto"/>
              <w:right w:val="single" w:sz="8" w:space="0" w:color="auto"/>
            </w:tcBorders>
            <w:hideMark/>
          </w:tcPr>
          <w:p w:rsidR="00FA7C73" w:rsidRPr="00C53010" w:rsidRDefault="00FA7C73" w:rsidP="001F3A94">
            <w:pPr>
              <w:spacing w:after="120"/>
              <w:jc w:val="center"/>
              <w:rPr>
                <w:color w:val="000000"/>
                <w:lang w:val="es-ES"/>
              </w:rPr>
            </w:pPr>
            <w:r w:rsidRPr="00C53010">
              <w:rPr>
                <w:lang w:val="es-ES"/>
              </w:rPr>
              <w:t>-</w:t>
            </w:r>
          </w:p>
        </w:tc>
        <w:tc>
          <w:tcPr>
            <w:tcW w:w="1275" w:type="dxa"/>
            <w:tcBorders>
              <w:top w:val="nil"/>
              <w:left w:val="nil"/>
              <w:bottom w:val="single" w:sz="8" w:space="0" w:color="auto"/>
              <w:right w:val="single" w:sz="8" w:space="0" w:color="auto"/>
            </w:tcBorders>
            <w:hideMark/>
          </w:tcPr>
          <w:p w:rsidR="00FA7C73" w:rsidRPr="00C53010" w:rsidRDefault="00FA7C73" w:rsidP="001F3A94">
            <w:pPr>
              <w:spacing w:after="120"/>
              <w:jc w:val="center"/>
              <w:rPr>
                <w:color w:val="000000"/>
                <w:lang w:val="es-ES"/>
              </w:rPr>
            </w:pPr>
            <w:r w:rsidRPr="00C53010">
              <w:rPr>
                <w:lang w:val="es-ES"/>
              </w:rPr>
              <w:t>2</w:t>
            </w:r>
            <w:r w:rsidR="00454C57">
              <w:rPr>
                <w:lang w:val="es-ES"/>
              </w:rPr>
              <w:t> </w:t>
            </w:r>
            <w:r w:rsidRPr="00C53010">
              <w:rPr>
                <w:lang w:val="es-ES"/>
              </w:rPr>
              <w:t>084</w:t>
            </w:r>
          </w:p>
        </w:tc>
      </w:tr>
      <w:tr w:rsidR="00FA7C73" w:rsidRPr="00C53010" w:rsidTr="003045E9">
        <w:trPr>
          <w:trHeight w:val="342"/>
        </w:trPr>
        <w:tc>
          <w:tcPr>
            <w:tcW w:w="3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C73" w:rsidRPr="00C53010" w:rsidRDefault="00FA7C73" w:rsidP="001F3A94">
            <w:pPr>
              <w:spacing w:after="120"/>
              <w:rPr>
                <w:b/>
                <w:bCs/>
                <w:lang w:val="es-ES"/>
              </w:rPr>
            </w:pPr>
            <w:r w:rsidRPr="00C53010">
              <w:rPr>
                <w:b/>
                <w:bCs/>
                <w:lang w:val="es-ES"/>
              </w:rPr>
              <w:t>Total</w:t>
            </w:r>
          </w:p>
        </w:tc>
        <w:tc>
          <w:tcPr>
            <w:tcW w:w="1283" w:type="dxa"/>
            <w:tcBorders>
              <w:top w:val="nil"/>
              <w:left w:val="nil"/>
              <w:bottom w:val="single" w:sz="8" w:space="0" w:color="auto"/>
              <w:right w:val="single" w:sz="8" w:space="0" w:color="auto"/>
            </w:tcBorders>
            <w:tcMar>
              <w:top w:w="0" w:type="dxa"/>
              <w:left w:w="108" w:type="dxa"/>
              <w:bottom w:w="0" w:type="dxa"/>
              <w:right w:w="108" w:type="dxa"/>
            </w:tcMar>
            <w:hideMark/>
          </w:tcPr>
          <w:p w:rsidR="00FA7C73" w:rsidRPr="00C53010" w:rsidRDefault="00FA7C73" w:rsidP="001F3A94">
            <w:pPr>
              <w:spacing w:after="120"/>
              <w:jc w:val="center"/>
              <w:rPr>
                <w:b/>
                <w:bCs/>
                <w:lang w:val="es-ES"/>
              </w:rPr>
            </w:pPr>
            <w:r w:rsidRPr="00C53010">
              <w:rPr>
                <w:b/>
                <w:bCs/>
                <w:lang w:val="es-ES"/>
              </w:rPr>
              <w:t>96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A7C73" w:rsidRPr="00C53010" w:rsidRDefault="00FA7C73" w:rsidP="001F3A94">
            <w:pPr>
              <w:spacing w:after="120"/>
              <w:jc w:val="center"/>
              <w:rPr>
                <w:b/>
                <w:bCs/>
                <w:lang w:val="es-ES"/>
              </w:rPr>
            </w:pPr>
            <w:r w:rsidRPr="00C53010">
              <w:rPr>
                <w:b/>
                <w:bCs/>
                <w:lang w:val="es-ES"/>
              </w:rPr>
              <w:t>31</w:t>
            </w:r>
          </w:p>
        </w:tc>
        <w:tc>
          <w:tcPr>
            <w:tcW w:w="1276" w:type="dxa"/>
            <w:tcBorders>
              <w:top w:val="nil"/>
              <w:left w:val="nil"/>
              <w:bottom w:val="single" w:sz="8" w:space="0" w:color="auto"/>
              <w:right w:val="single" w:sz="8" w:space="0" w:color="auto"/>
            </w:tcBorders>
            <w:hideMark/>
          </w:tcPr>
          <w:p w:rsidR="00FA7C73" w:rsidRPr="00C53010" w:rsidRDefault="00FA7C73" w:rsidP="001F3A94">
            <w:pPr>
              <w:spacing w:after="120"/>
              <w:jc w:val="center"/>
              <w:rPr>
                <w:b/>
                <w:bCs/>
                <w:color w:val="000000"/>
                <w:lang w:val="es-ES"/>
              </w:rPr>
            </w:pPr>
            <w:r w:rsidRPr="00C53010">
              <w:rPr>
                <w:b/>
                <w:bCs/>
                <w:lang w:val="es-ES"/>
              </w:rPr>
              <w:t>4</w:t>
            </w:r>
            <w:r w:rsidR="00454C57">
              <w:rPr>
                <w:b/>
                <w:bCs/>
                <w:lang w:val="es-ES"/>
              </w:rPr>
              <w:t> </w:t>
            </w:r>
            <w:r w:rsidRPr="00C53010">
              <w:rPr>
                <w:b/>
                <w:bCs/>
                <w:lang w:val="es-ES"/>
              </w:rPr>
              <w:t>750</w:t>
            </w:r>
          </w:p>
        </w:tc>
        <w:tc>
          <w:tcPr>
            <w:tcW w:w="1275" w:type="dxa"/>
            <w:tcBorders>
              <w:top w:val="nil"/>
              <w:left w:val="nil"/>
              <w:bottom w:val="single" w:sz="8" w:space="0" w:color="auto"/>
              <w:right w:val="single" w:sz="8" w:space="0" w:color="auto"/>
            </w:tcBorders>
            <w:hideMark/>
          </w:tcPr>
          <w:p w:rsidR="00FA7C73" w:rsidRPr="00C53010" w:rsidRDefault="00FA7C73" w:rsidP="001F3A94">
            <w:pPr>
              <w:spacing w:after="120"/>
              <w:jc w:val="center"/>
              <w:rPr>
                <w:b/>
                <w:bCs/>
                <w:color w:val="000000"/>
                <w:lang w:val="es-ES"/>
              </w:rPr>
            </w:pPr>
            <w:r w:rsidRPr="00C53010">
              <w:rPr>
                <w:b/>
                <w:bCs/>
                <w:lang w:val="es-ES"/>
              </w:rPr>
              <w:t>3</w:t>
            </w:r>
            <w:r w:rsidR="00454C57">
              <w:rPr>
                <w:b/>
                <w:bCs/>
                <w:lang w:val="es-ES"/>
              </w:rPr>
              <w:t> </w:t>
            </w:r>
            <w:r w:rsidRPr="00C53010">
              <w:rPr>
                <w:b/>
                <w:bCs/>
                <w:lang w:val="es-ES"/>
              </w:rPr>
              <w:t>246</w:t>
            </w:r>
          </w:p>
        </w:tc>
      </w:tr>
    </w:tbl>
    <w:p w:rsidR="00FA7C73" w:rsidRPr="00C53010" w:rsidRDefault="00FA7C73" w:rsidP="00073562">
      <w:pPr>
        <w:pStyle w:val="Heading3"/>
        <w:rPr>
          <w:lang w:val="es-ES"/>
        </w:rPr>
      </w:pPr>
      <w:r w:rsidRPr="00C53010">
        <w:rPr>
          <w:lang w:val="es-ES"/>
        </w:rPr>
        <w:t>8.1.5</w:t>
      </w:r>
      <w:r w:rsidRPr="00C53010">
        <w:rPr>
          <w:lang w:val="es-ES"/>
        </w:rPr>
        <w:tab/>
      </w:r>
      <w:r w:rsidR="00073562" w:rsidRPr="00C53010">
        <w:rPr>
          <w:lang w:val="es-ES"/>
        </w:rPr>
        <w:t xml:space="preserve">Herramientas de análisis y utilización del Reglamento de </w:t>
      </w:r>
      <w:r w:rsidR="003E116B" w:rsidRPr="00C53010">
        <w:rPr>
          <w:lang w:val="es-ES"/>
        </w:rPr>
        <w:t>Radiocomunicaciones</w:t>
      </w:r>
      <w:r w:rsidR="00073562" w:rsidRPr="00C53010">
        <w:rPr>
          <w:lang w:val="es-ES"/>
        </w:rPr>
        <w:t xml:space="preserve"> de la U</w:t>
      </w:r>
      <w:r w:rsidRPr="00C53010">
        <w:rPr>
          <w:lang w:val="es-ES"/>
        </w:rPr>
        <w:t>IT</w:t>
      </w:r>
      <w:bookmarkEnd w:id="78"/>
      <w:bookmarkEnd w:id="79"/>
    </w:p>
    <w:p w:rsidR="00FA7C73" w:rsidRPr="00C53010" w:rsidRDefault="00073562" w:rsidP="00563D35">
      <w:pPr>
        <w:rPr>
          <w:lang w:val="es-ES"/>
        </w:rPr>
      </w:pPr>
      <w:r w:rsidRPr="00C53010">
        <w:rPr>
          <w:lang w:val="es-ES"/>
        </w:rPr>
        <w:t>La Oficina ha finalizado el desarrollo de herramientas informáticas para facilitar la utilización y análisis del Reglamento de Radiocomunicaciones</w:t>
      </w:r>
      <w:r w:rsidR="00FA7C73" w:rsidRPr="00C53010">
        <w:rPr>
          <w:lang w:val="es-ES"/>
        </w:rPr>
        <w:t>:</w:t>
      </w:r>
    </w:p>
    <w:p w:rsidR="00FA7C73" w:rsidRPr="00563D35" w:rsidRDefault="00FA7C73" w:rsidP="00563D35">
      <w:pPr>
        <w:pStyle w:val="enumlev1"/>
      </w:pPr>
      <w:r w:rsidRPr="00C53010">
        <w:rPr>
          <w:lang w:val="es-ES"/>
        </w:rPr>
        <w:t>a)</w:t>
      </w:r>
      <w:r w:rsidRPr="00C53010">
        <w:rPr>
          <w:lang w:val="es-ES"/>
        </w:rPr>
        <w:tab/>
      </w:r>
      <w:r w:rsidR="00073562" w:rsidRPr="00C53010">
        <w:rPr>
          <w:lang w:val="es-ES"/>
        </w:rPr>
        <w:t xml:space="preserve">La </w:t>
      </w:r>
      <w:r w:rsidR="00073562" w:rsidRPr="00563D35">
        <w:t xml:space="preserve">herramienta de utilización del Reglamento de Radiocomunicaciones se publicó el segundo trimestre de </w:t>
      </w:r>
      <w:r w:rsidRPr="00563D35">
        <w:t xml:space="preserve">2017 (RR Tool-16 v.1.0) </w:t>
      </w:r>
      <w:r w:rsidR="00073562" w:rsidRPr="00563D35">
        <w:t xml:space="preserve">para la nueva versión del </w:t>
      </w:r>
      <w:r w:rsidRPr="00563D35">
        <w:t xml:space="preserve">RR. </w:t>
      </w:r>
      <w:r w:rsidR="003E116B" w:rsidRPr="00563D35">
        <w:t>Se ofrece una actualización gratuita a quienes hayan adquirido la versión anterior</w:t>
      </w:r>
      <w:r w:rsidRPr="00563D35">
        <w:t xml:space="preserve"> (RR Tool-12). </w:t>
      </w:r>
      <w:r w:rsidR="00BE2E1F" w:rsidRPr="00563D35">
        <w:t xml:space="preserve">Esta nueva versión está disponible en inglés para </w:t>
      </w:r>
      <w:r w:rsidRPr="00563D35">
        <w:t>Windows</w:t>
      </w:r>
      <w:r w:rsidR="001B0E79">
        <w:t xml:space="preserve">, </w:t>
      </w:r>
      <w:r w:rsidRPr="00563D35">
        <w:t xml:space="preserve">macOS </w:t>
      </w:r>
      <w:r w:rsidR="00BE2E1F" w:rsidRPr="00563D35">
        <w:t xml:space="preserve">y </w:t>
      </w:r>
      <w:r w:rsidRPr="00563D35">
        <w:t xml:space="preserve">Linux. </w:t>
      </w:r>
      <w:r w:rsidR="00BE2E1F" w:rsidRPr="00563D35">
        <w:t>Se está trabajando en la próxima versión</w:t>
      </w:r>
      <w:r w:rsidRPr="00563D35">
        <w:t xml:space="preserve"> (RR Tool-16 v.1.1)</w:t>
      </w:r>
      <w:r w:rsidR="001B0E79">
        <w:t xml:space="preserve">, </w:t>
      </w:r>
      <w:r w:rsidR="00BE2E1F" w:rsidRPr="00563D35">
        <w:t xml:space="preserve">basada en las nuevas Reglas de Procedimiento </w:t>
      </w:r>
      <w:r w:rsidRPr="00563D35">
        <w:lastRenderedPageBreak/>
        <w:t>(RoP-17 v.1)</w:t>
      </w:r>
      <w:r w:rsidR="001B0E79">
        <w:t xml:space="preserve">, </w:t>
      </w:r>
      <w:r w:rsidR="00BE2E1F" w:rsidRPr="00563D35">
        <w:t xml:space="preserve">que se prevé publicar el segundo trimestre de </w:t>
      </w:r>
      <w:r w:rsidRPr="00563D35">
        <w:t xml:space="preserve">2018. </w:t>
      </w:r>
      <w:r w:rsidR="00BE2E1F" w:rsidRPr="00563D35">
        <w:t xml:space="preserve">Esta actualización se ofrecerá gratuitamente a los que hayan adquirido las otras dos versiones </w:t>
      </w:r>
      <w:r w:rsidRPr="00563D35">
        <w:t xml:space="preserve">(RR Tool-12 </w:t>
      </w:r>
      <w:r w:rsidR="00BE2E1F" w:rsidRPr="00563D35">
        <w:t xml:space="preserve">y </w:t>
      </w:r>
      <w:r w:rsidRPr="00563D35">
        <w:t xml:space="preserve">RR Tool-16 v.1.0). </w:t>
      </w:r>
      <w:r w:rsidR="00BE2E1F" w:rsidRPr="00563D35">
        <w:t>Además</w:t>
      </w:r>
      <w:r w:rsidR="001B0E79">
        <w:t xml:space="preserve">, </w:t>
      </w:r>
      <w:r w:rsidR="00BE2E1F" w:rsidRPr="00563D35">
        <w:t xml:space="preserve">se publicarán actualizaciones gratuitas para ir incorporando las últimas </w:t>
      </w:r>
      <w:r w:rsidRPr="00563D35">
        <w:t>R</w:t>
      </w:r>
      <w:r w:rsidR="00BE2E1F" w:rsidRPr="00563D35">
        <w:t>d</w:t>
      </w:r>
      <w:r w:rsidRPr="00563D35">
        <w:t>P</w:t>
      </w:r>
      <w:r w:rsidR="00BE2E1F" w:rsidRPr="00563D35">
        <w:t xml:space="preserve"> disponibles cada año hasta </w:t>
      </w:r>
      <w:r w:rsidRPr="00563D35">
        <w:t>2020</w:t>
      </w:r>
      <w:r w:rsidR="001B0E79">
        <w:t xml:space="preserve">, </w:t>
      </w:r>
      <w:r w:rsidR="00BE2E1F" w:rsidRPr="00563D35">
        <w:t xml:space="preserve">cuando se publique la nueva versión del </w:t>
      </w:r>
      <w:r w:rsidRPr="00563D35">
        <w:t>RR</w:t>
      </w:r>
      <w:r w:rsidR="001B0E79">
        <w:t xml:space="preserve">, </w:t>
      </w:r>
      <w:r w:rsidR="00BE2E1F" w:rsidRPr="00563D35">
        <w:t>con arreglo a las decisiones de la CMR</w:t>
      </w:r>
      <w:r w:rsidR="00BE2E1F" w:rsidRPr="00563D35">
        <w:noBreakHyphen/>
      </w:r>
      <w:r w:rsidRPr="00563D35">
        <w:t>19.</w:t>
      </w:r>
    </w:p>
    <w:p w:rsidR="00FA7C73" w:rsidRPr="00C53010" w:rsidRDefault="00FA7C73" w:rsidP="00563D35">
      <w:pPr>
        <w:pStyle w:val="enumlev1"/>
        <w:rPr>
          <w:lang w:val="es-ES"/>
        </w:rPr>
      </w:pPr>
      <w:r w:rsidRPr="00563D35">
        <w:t>b)</w:t>
      </w:r>
      <w:r w:rsidRPr="00563D35">
        <w:tab/>
      </w:r>
      <w:r w:rsidR="00BE2E1F" w:rsidRPr="00563D35">
        <w:t>Herramienta informática para la búsqueda y el análisis detallado en el Cuadro de atribución de bandas de frecuencias del Artículo 5 del Reglamento de Radiocomunicaciones</w:t>
      </w:r>
      <w:r w:rsidR="001B0E79">
        <w:t xml:space="preserve">, </w:t>
      </w:r>
      <w:r w:rsidR="00BE2E1F" w:rsidRPr="00563D35">
        <w:t>que permita el filtrado y la reconfiguración en función de la gama de frecuencias</w:t>
      </w:r>
      <w:r w:rsidR="001B0E79">
        <w:t xml:space="preserve">, </w:t>
      </w:r>
      <w:r w:rsidR="00BE2E1F" w:rsidRPr="00563D35">
        <w:t>el servicio</w:t>
      </w:r>
      <w:r w:rsidR="001B0E79">
        <w:t xml:space="preserve">, </w:t>
      </w:r>
      <w:r w:rsidR="00BE2E1F" w:rsidRPr="00563D35">
        <w:t>la categoría</w:t>
      </w:r>
      <w:r w:rsidR="00BE2E1F" w:rsidRPr="00C53010">
        <w:rPr>
          <w:lang w:val="es-ES"/>
        </w:rPr>
        <w:t xml:space="preserve"> de servicio</w:t>
      </w:r>
      <w:r w:rsidR="001B0E79">
        <w:rPr>
          <w:lang w:val="es-ES"/>
        </w:rPr>
        <w:t xml:space="preserve">, </w:t>
      </w:r>
      <w:r w:rsidR="00BE2E1F" w:rsidRPr="00C53010">
        <w:rPr>
          <w:lang w:val="es-ES"/>
        </w:rPr>
        <w:t>un número</w:t>
      </w:r>
      <w:r w:rsidR="001B0E79">
        <w:rPr>
          <w:lang w:val="es-ES"/>
        </w:rPr>
        <w:t xml:space="preserve">, </w:t>
      </w:r>
      <w:r w:rsidR="00BE2E1F" w:rsidRPr="00C53010">
        <w:rPr>
          <w:lang w:val="es-ES"/>
        </w:rPr>
        <w:t>un país</w:t>
      </w:r>
      <w:r w:rsidR="001B0E79">
        <w:rPr>
          <w:lang w:val="es-ES"/>
        </w:rPr>
        <w:t xml:space="preserve">, </w:t>
      </w:r>
      <w:r w:rsidR="00BE2E1F" w:rsidRPr="00C53010">
        <w:rPr>
          <w:lang w:val="es-ES"/>
        </w:rPr>
        <w:t xml:space="preserve">etc. Esta herramienta se basa en la edición de 2016 del </w:t>
      </w:r>
      <w:r w:rsidRPr="00C53010">
        <w:rPr>
          <w:lang w:val="es-ES"/>
        </w:rPr>
        <w:t xml:space="preserve">RR </w:t>
      </w:r>
      <w:r w:rsidR="00BE2E1F" w:rsidRPr="00C53010">
        <w:rPr>
          <w:lang w:val="es-ES"/>
        </w:rPr>
        <w:t xml:space="preserve">y las </w:t>
      </w:r>
      <w:r w:rsidRPr="00C53010">
        <w:rPr>
          <w:lang w:val="es-ES"/>
        </w:rPr>
        <w:t>R</w:t>
      </w:r>
      <w:r w:rsidR="00BE2E1F" w:rsidRPr="00C53010">
        <w:rPr>
          <w:lang w:val="es-ES"/>
        </w:rPr>
        <w:t>d</w:t>
      </w:r>
      <w:r w:rsidRPr="00C53010">
        <w:rPr>
          <w:lang w:val="es-ES"/>
        </w:rPr>
        <w:t xml:space="preserve">P-17 v.1. </w:t>
      </w:r>
      <w:r w:rsidR="00BE2E1F" w:rsidRPr="00C53010">
        <w:rPr>
          <w:lang w:val="es-ES"/>
        </w:rPr>
        <w:t xml:space="preserve">Participaron en la prueba de la versión </w:t>
      </w:r>
      <w:r w:rsidRPr="00C53010">
        <w:rPr>
          <w:lang w:val="es-ES"/>
        </w:rPr>
        <w:t xml:space="preserve">beta 50 </w:t>
      </w:r>
      <w:r w:rsidR="00BE2E1F" w:rsidRPr="00C53010">
        <w:rPr>
          <w:lang w:val="es-ES"/>
        </w:rPr>
        <w:t>voluntarios de 15 países</w:t>
      </w:r>
      <w:r w:rsidR="001B0E79">
        <w:rPr>
          <w:lang w:val="es-ES"/>
        </w:rPr>
        <w:t xml:space="preserve">, </w:t>
      </w:r>
      <w:r w:rsidR="00BE2E1F" w:rsidRPr="00C53010">
        <w:rPr>
          <w:lang w:val="es-ES"/>
        </w:rPr>
        <w:t xml:space="preserve">prueba que concluyó en noviembre de </w:t>
      </w:r>
      <w:r w:rsidRPr="00C53010">
        <w:rPr>
          <w:lang w:val="es-ES"/>
        </w:rPr>
        <w:t xml:space="preserve">2017. </w:t>
      </w:r>
      <w:r w:rsidR="00BE2E1F" w:rsidRPr="00C53010">
        <w:rPr>
          <w:lang w:val="es-ES"/>
        </w:rPr>
        <w:t>La herram</w:t>
      </w:r>
      <w:r w:rsidR="003E116B">
        <w:rPr>
          <w:lang w:val="es-ES"/>
        </w:rPr>
        <w:t>i</w:t>
      </w:r>
      <w:r w:rsidR="00BE2E1F" w:rsidRPr="00C53010">
        <w:rPr>
          <w:lang w:val="es-ES"/>
        </w:rPr>
        <w:t xml:space="preserve">enta está disponible en el sitio web de publicaciones de la UIT y se proporciona gratuitamente a los abonados </w:t>
      </w:r>
      <w:r w:rsidR="003E116B" w:rsidRPr="00C53010">
        <w:rPr>
          <w:lang w:val="es-ES"/>
        </w:rPr>
        <w:t>actualizaciones</w:t>
      </w:r>
      <w:r w:rsidR="00BE2E1F" w:rsidRPr="00C53010">
        <w:rPr>
          <w:lang w:val="es-ES"/>
        </w:rPr>
        <w:t xml:space="preserve"> del software y de los datos</w:t>
      </w:r>
      <w:r w:rsidRPr="00C53010">
        <w:rPr>
          <w:lang w:val="es-ES"/>
        </w:rPr>
        <w:t xml:space="preserve">. </w:t>
      </w:r>
    </w:p>
    <w:p w:rsidR="00FA7C73" w:rsidRPr="00C53010" w:rsidRDefault="00FA7C73" w:rsidP="00BE2E1F">
      <w:pPr>
        <w:pStyle w:val="Heading2"/>
        <w:rPr>
          <w:lang w:val="es-ES"/>
        </w:rPr>
      </w:pPr>
      <w:bookmarkStart w:id="80" w:name="_Toc424047601"/>
      <w:bookmarkStart w:id="81" w:name="_Toc446060783"/>
      <w:r w:rsidRPr="00C53010">
        <w:rPr>
          <w:lang w:val="es-ES"/>
        </w:rPr>
        <w:t>8.2</w:t>
      </w:r>
      <w:r w:rsidRPr="00C53010">
        <w:rPr>
          <w:lang w:val="es-ES"/>
        </w:rPr>
        <w:tab/>
        <w:t>Seminar</w:t>
      </w:r>
      <w:r w:rsidR="00BE2E1F" w:rsidRPr="00C53010">
        <w:rPr>
          <w:lang w:val="es-ES"/>
        </w:rPr>
        <w:t>ios</w:t>
      </w:r>
      <w:r w:rsidRPr="00C53010">
        <w:rPr>
          <w:lang w:val="es-ES"/>
        </w:rPr>
        <w:t xml:space="preserve"> </w:t>
      </w:r>
      <w:bookmarkEnd w:id="80"/>
      <w:bookmarkEnd w:id="81"/>
      <w:r w:rsidR="00BE2E1F" w:rsidRPr="00C53010">
        <w:rPr>
          <w:lang w:val="es-ES"/>
        </w:rPr>
        <w:t>y talleres</w:t>
      </w:r>
    </w:p>
    <w:p w:rsidR="00FA7C73" w:rsidRPr="00C53010" w:rsidRDefault="00BE2E1F" w:rsidP="00563D35">
      <w:pPr>
        <w:rPr>
          <w:lang w:val="es-ES"/>
        </w:rPr>
      </w:pPr>
      <w:r w:rsidRPr="00C53010">
        <w:rPr>
          <w:lang w:val="es-ES"/>
        </w:rPr>
        <w:t>Tras la CMR-15</w:t>
      </w:r>
      <w:r w:rsidR="001B0E79">
        <w:rPr>
          <w:lang w:val="es-ES"/>
        </w:rPr>
        <w:t xml:space="preserve">, </w:t>
      </w:r>
      <w:r w:rsidRPr="00C53010">
        <w:rPr>
          <w:lang w:val="es-ES"/>
        </w:rPr>
        <w:t>la BR comenzó (en enero de 2016) un nuevo ciclo de Seminarios Mundiales y Regionales de Radiocomunicaciones entre dos CMR</w:t>
      </w:r>
      <w:r w:rsidR="001B0E79">
        <w:rPr>
          <w:lang w:val="es-ES"/>
        </w:rPr>
        <w:t xml:space="preserve">, </w:t>
      </w:r>
      <w:r w:rsidRPr="00C53010">
        <w:rPr>
          <w:lang w:val="es-ES"/>
        </w:rPr>
        <w:t>destinados a divulgar en todo el mundo la revisión del Reglamento de Radiocomunicaciones efectuada en la CMR-15 y de las correspondientes Reglas de Procedimiento</w:t>
      </w:r>
      <w:r w:rsidR="00FA7C73" w:rsidRPr="00C53010">
        <w:rPr>
          <w:lang w:val="es-ES"/>
        </w:rPr>
        <w:t xml:space="preserve">. </w:t>
      </w:r>
    </w:p>
    <w:p w:rsidR="00FA7C73" w:rsidRPr="00C53010" w:rsidRDefault="00FA7C73" w:rsidP="00BE2E1F">
      <w:pPr>
        <w:pStyle w:val="Heading3"/>
        <w:rPr>
          <w:lang w:val="es-ES"/>
        </w:rPr>
      </w:pPr>
      <w:bookmarkStart w:id="82" w:name="_Toc424047602"/>
      <w:bookmarkStart w:id="83" w:name="_Toc446060784"/>
      <w:r w:rsidRPr="00C53010">
        <w:rPr>
          <w:lang w:val="es-ES"/>
        </w:rPr>
        <w:t>8.2.1</w:t>
      </w:r>
      <w:r w:rsidRPr="00C53010">
        <w:rPr>
          <w:lang w:val="es-ES"/>
        </w:rPr>
        <w:tab/>
      </w:r>
      <w:bookmarkEnd w:id="82"/>
      <w:bookmarkEnd w:id="83"/>
      <w:r w:rsidR="00BE2E1F" w:rsidRPr="00C53010">
        <w:rPr>
          <w:lang w:val="es-ES"/>
        </w:rPr>
        <w:t xml:space="preserve">Seminarios Mundiales y Regionales de Radiocomunicaciones </w:t>
      </w:r>
    </w:p>
    <w:p w:rsidR="00FA7C73" w:rsidRPr="00C53010" w:rsidRDefault="006B2221" w:rsidP="00563D35">
      <w:pPr>
        <w:rPr>
          <w:lang w:val="es-ES"/>
        </w:rPr>
      </w:pPr>
      <w:r w:rsidRPr="00C53010">
        <w:rPr>
          <w:lang w:val="es-ES"/>
        </w:rPr>
        <w:t xml:space="preserve">No se celebró ningún SMR en </w:t>
      </w:r>
      <w:r w:rsidR="00FA7C73" w:rsidRPr="00C53010">
        <w:rPr>
          <w:lang w:val="es-ES"/>
        </w:rPr>
        <w:t xml:space="preserve">2017. </w:t>
      </w:r>
      <w:r w:rsidRPr="00C53010">
        <w:rPr>
          <w:lang w:val="es-ES"/>
        </w:rPr>
        <w:t>El próximo SMR tendrá lugar en Ginebra el cuarto trimestre de </w:t>
      </w:r>
      <w:r w:rsidR="00FA7C73" w:rsidRPr="00C53010">
        <w:rPr>
          <w:lang w:val="es-ES"/>
        </w:rPr>
        <w:t>2018.</w:t>
      </w:r>
    </w:p>
    <w:p w:rsidR="006B2221" w:rsidRPr="00C53010" w:rsidRDefault="006B2221" w:rsidP="006B2221">
      <w:pPr>
        <w:rPr>
          <w:lang w:val="es-ES"/>
        </w:rPr>
      </w:pPr>
      <w:r w:rsidRPr="00C53010">
        <w:rPr>
          <w:lang w:val="es-ES"/>
        </w:rPr>
        <w:t>Como complemento de los Seminarios Mundiales de Radiocomunicaciones de carácter bienal</w:t>
      </w:r>
      <w:r w:rsidR="001B0E79">
        <w:rPr>
          <w:lang w:val="es-ES"/>
        </w:rPr>
        <w:t xml:space="preserve">, </w:t>
      </w:r>
      <w:r w:rsidRPr="00C53010">
        <w:rPr>
          <w:lang w:val="es-ES"/>
        </w:rPr>
        <w:t>la Oficina siguió aplicando la estrategia de divulgación regional mediante la organización de ciclos anuales de Seminarios Regionales de Radiocomunicaciones (SRR) celebrados en distintas regiones del mundo</w:t>
      </w:r>
      <w:r w:rsidR="001B0E79">
        <w:rPr>
          <w:lang w:val="es-ES"/>
        </w:rPr>
        <w:t xml:space="preserve">, </w:t>
      </w:r>
      <w:r w:rsidRPr="00C53010">
        <w:rPr>
          <w:lang w:val="es-ES"/>
        </w:rPr>
        <w:t>e impulsar así la creación de capacidad sobre la utilización del espectro radioeléctrico y las órbitas de los satélites y</w:t>
      </w:r>
      <w:r w:rsidR="001B0E79">
        <w:rPr>
          <w:lang w:val="es-ES"/>
        </w:rPr>
        <w:t xml:space="preserve">, </w:t>
      </w:r>
      <w:r w:rsidRPr="00C53010">
        <w:rPr>
          <w:lang w:val="es-ES"/>
        </w:rPr>
        <w:t>en particular</w:t>
      </w:r>
      <w:r w:rsidR="001B0E79">
        <w:rPr>
          <w:lang w:val="es-ES"/>
        </w:rPr>
        <w:t xml:space="preserve">, </w:t>
      </w:r>
      <w:r w:rsidRPr="00C53010">
        <w:rPr>
          <w:lang w:val="es-ES"/>
        </w:rPr>
        <w:t>la aplicación de las disposiciones del Reglamento de Radiocomunicaciones de la UIT.</w:t>
      </w:r>
    </w:p>
    <w:p w:rsidR="006B2221" w:rsidRPr="00C53010" w:rsidRDefault="006B2221" w:rsidP="0044441E">
      <w:pPr>
        <w:rPr>
          <w:lang w:val="es-ES"/>
        </w:rPr>
      </w:pPr>
      <w:r w:rsidRPr="00C53010">
        <w:rPr>
          <w:lang w:val="es-ES"/>
        </w:rPr>
        <w:t xml:space="preserve">Los SRR incluyen dos días de sesiones teóricas y uno o dos días de talleres sobre servicios terrenales y espaciales. </w:t>
      </w:r>
      <w:r w:rsidR="0044441E" w:rsidRPr="00C53010">
        <w:rPr>
          <w:lang w:val="es-ES"/>
        </w:rPr>
        <w:t>S</w:t>
      </w:r>
      <w:r w:rsidRPr="00C53010">
        <w:rPr>
          <w:lang w:val="es-ES"/>
        </w:rPr>
        <w:t>e complementan con un foro de uno o dos días dedicado a asuntos sobre el espectro que sean de especial interés para la región.</w:t>
      </w:r>
    </w:p>
    <w:p w:rsidR="006B2221" w:rsidRPr="00C53010" w:rsidRDefault="006B2221" w:rsidP="0044441E">
      <w:pPr>
        <w:rPr>
          <w:lang w:val="es-ES"/>
        </w:rPr>
      </w:pPr>
      <w:r w:rsidRPr="00C53010">
        <w:rPr>
          <w:lang w:val="es-ES"/>
        </w:rPr>
        <w:t xml:space="preserve">En el Cuadro 8.2.2-1 se resumen los SRR celebrados desde el último periodo cuadrienal. </w:t>
      </w:r>
      <w:r w:rsidR="0044441E" w:rsidRPr="00C53010">
        <w:rPr>
          <w:lang w:val="es-ES"/>
        </w:rPr>
        <w:t>La organización de estos seminarios estuvo a cargo de</w:t>
      </w:r>
      <w:r w:rsidRPr="00C53010">
        <w:rPr>
          <w:lang w:val="es-ES"/>
        </w:rPr>
        <w:t xml:space="preserve"> gobierno</w:t>
      </w:r>
      <w:r w:rsidR="0044441E" w:rsidRPr="00C53010">
        <w:rPr>
          <w:lang w:val="es-ES"/>
        </w:rPr>
        <w:t>s</w:t>
      </w:r>
      <w:r w:rsidR="001B0E79">
        <w:rPr>
          <w:lang w:val="es-ES"/>
        </w:rPr>
        <w:t xml:space="preserve">, </w:t>
      </w:r>
      <w:r w:rsidRPr="00C53010">
        <w:rPr>
          <w:lang w:val="es-ES"/>
        </w:rPr>
        <w:t>regulador</w:t>
      </w:r>
      <w:r w:rsidR="0044441E" w:rsidRPr="00C53010">
        <w:rPr>
          <w:lang w:val="es-ES"/>
        </w:rPr>
        <w:t>es</w:t>
      </w:r>
      <w:r w:rsidRPr="00C53010">
        <w:rPr>
          <w:lang w:val="es-ES"/>
        </w:rPr>
        <w:t xml:space="preserve"> o autoridad</w:t>
      </w:r>
      <w:r w:rsidR="0044441E" w:rsidRPr="00C53010">
        <w:rPr>
          <w:lang w:val="es-ES"/>
        </w:rPr>
        <w:t>es</w:t>
      </w:r>
      <w:r w:rsidRPr="00C53010">
        <w:rPr>
          <w:lang w:val="es-ES"/>
        </w:rPr>
        <w:t xml:space="preserve"> de gestión del espectro de</w:t>
      </w:r>
      <w:r w:rsidR="0044441E" w:rsidRPr="00C53010">
        <w:rPr>
          <w:lang w:val="es-ES"/>
        </w:rPr>
        <w:t xml:space="preserve"> </w:t>
      </w:r>
      <w:r w:rsidRPr="00C53010">
        <w:rPr>
          <w:lang w:val="es-ES"/>
        </w:rPr>
        <w:t>l</w:t>
      </w:r>
      <w:r w:rsidR="0044441E" w:rsidRPr="00C53010">
        <w:rPr>
          <w:lang w:val="es-ES"/>
        </w:rPr>
        <w:t>os</w:t>
      </w:r>
      <w:r w:rsidRPr="00C53010">
        <w:rPr>
          <w:lang w:val="es-ES"/>
        </w:rPr>
        <w:t xml:space="preserve"> país</w:t>
      </w:r>
      <w:r w:rsidR="0044441E" w:rsidRPr="00C53010">
        <w:rPr>
          <w:lang w:val="es-ES"/>
        </w:rPr>
        <w:t>es anfitriones</w:t>
      </w:r>
      <w:r w:rsidRPr="00C53010">
        <w:rPr>
          <w:lang w:val="es-ES"/>
        </w:rPr>
        <w:t xml:space="preserve"> acogieron</w:t>
      </w:r>
      <w:r w:rsidR="001B0E79">
        <w:rPr>
          <w:lang w:val="es-ES"/>
        </w:rPr>
        <w:t xml:space="preserve">, </w:t>
      </w:r>
      <w:r w:rsidRPr="00C53010">
        <w:rPr>
          <w:lang w:val="es-ES"/>
        </w:rPr>
        <w:t xml:space="preserve">en colaboración con las organizaciones regionales pertinentes y las Oficinas Regionales/Zonales de la UIT. Los SRR se realizan sin hacer uso del papel. Puede consultarse más información al respecto en el sitio web de la UIT: </w:t>
      </w:r>
      <w:hyperlink r:id="rId31" w:history="1">
        <w:r w:rsidRPr="00C53010">
          <w:rPr>
            <w:color w:val="0000FF"/>
            <w:szCs w:val="24"/>
            <w:u w:val="single"/>
            <w:lang w:val="es-ES"/>
          </w:rPr>
          <w:t>http://www.itu.int/IT</w:t>
        </w:r>
        <w:r w:rsidRPr="00C53010">
          <w:rPr>
            <w:color w:val="0000FF"/>
            <w:szCs w:val="24"/>
            <w:u w:val="single"/>
            <w:lang w:val="es-ES"/>
          </w:rPr>
          <w:t>U</w:t>
        </w:r>
        <w:r w:rsidRPr="00C53010">
          <w:rPr>
            <w:color w:val="0000FF"/>
            <w:szCs w:val="24"/>
            <w:u w:val="single"/>
            <w:lang w:val="es-ES"/>
          </w:rPr>
          <w:t>-R/go/seminars</w:t>
        </w:r>
      </w:hyperlink>
      <w:r w:rsidRPr="00C53010">
        <w:rPr>
          <w:lang w:val="es-ES"/>
        </w:rPr>
        <w:t xml:space="preserve">. La BR concedió más de </w:t>
      </w:r>
      <w:r w:rsidR="0044441E" w:rsidRPr="00C53010">
        <w:rPr>
          <w:lang w:val="es-ES"/>
        </w:rPr>
        <w:t>1</w:t>
      </w:r>
      <w:r w:rsidRPr="00C53010">
        <w:rPr>
          <w:lang w:val="es-ES"/>
        </w:rPr>
        <w:t>0</w:t>
      </w:r>
      <w:r w:rsidR="0044441E" w:rsidRPr="00C53010">
        <w:rPr>
          <w:lang w:val="es-ES"/>
        </w:rPr>
        <w:t>5</w:t>
      </w:r>
      <w:r w:rsidRPr="00C53010">
        <w:rPr>
          <w:lang w:val="es-ES"/>
        </w:rPr>
        <w:t xml:space="preserve"> becas parci</w:t>
      </w:r>
      <w:r w:rsidR="0044441E" w:rsidRPr="00C53010">
        <w:rPr>
          <w:lang w:val="es-ES"/>
        </w:rPr>
        <w:t>ales para la asistencia al SRR y 30 completas para los SMR (</w:t>
      </w:r>
      <w:r w:rsidRPr="00C53010">
        <w:rPr>
          <w:lang w:val="es-ES"/>
        </w:rPr>
        <w:t>una por administración de los países elegibles).</w:t>
      </w:r>
    </w:p>
    <w:p w:rsidR="006B2221" w:rsidRPr="00C53010" w:rsidRDefault="006B2221" w:rsidP="006B2221">
      <w:pPr>
        <w:rPr>
          <w:lang w:val="es-ES"/>
        </w:rPr>
      </w:pPr>
      <w:r w:rsidRPr="00C53010">
        <w:rPr>
          <w:lang w:val="es-ES"/>
        </w:rPr>
        <w:t>El análisis de la participación en los SMR y los SRR muestra que estos dos tipos de seminarios se complementan mutuamente:</w:t>
      </w:r>
    </w:p>
    <w:p w:rsidR="006B2221" w:rsidRPr="00C53010" w:rsidRDefault="006B2221" w:rsidP="00563D35">
      <w:pPr>
        <w:pStyle w:val="enumlev1"/>
        <w:rPr>
          <w:lang w:val="es-ES"/>
        </w:rPr>
      </w:pPr>
      <w:r w:rsidRPr="00C53010">
        <w:rPr>
          <w:b/>
          <w:bCs/>
          <w:lang w:val="es-ES"/>
        </w:rPr>
        <w:t>–</w:t>
      </w:r>
      <w:r w:rsidRPr="00C53010">
        <w:rPr>
          <w:b/>
          <w:bCs/>
          <w:lang w:val="es-ES"/>
        </w:rPr>
        <w:tab/>
        <w:t>En dos SMR</w:t>
      </w:r>
      <w:r w:rsidRPr="00C53010">
        <w:rPr>
          <w:lang w:val="es-ES"/>
        </w:rPr>
        <w:t xml:space="preserve">: 810 </w:t>
      </w:r>
      <w:r w:rsidRPr="00563D35">
        <w:t>participantes</w:t>
      </w:r>
      <w:r w:rsidRPr="00C53010">
        <w:rPr>
          <w:lang w:val="es-ES"/>
        </w:rPr>
        <w:t xml:space="preserve"> de 130 países.</w:t>
      </w:r>
    </w:p>
    <w:p w:rsidR="00FA7C73" w:rsidRPr="00C53010" w:rsidRDefault="006B2221" w:rsidP="00563D35">
      <w:pPr>
        <w:pStyle w:val="enumlev1"/>
        <w:rPr>
          <w:szCs w:val="24"/>
          <w:lang w:val="es-ES"/>
        </w:rPr>
      </w:pPr>
      <w:r w:rsidRPr="00C53010">
        <w:rPr>
          <w:b/>
          <w:bCs/>
          <w:lang w:val="es-ES"/>
        </w:rPr>
        <w:t>–</w:t>
      </w:r>
      <w:r w:rsidRPr="00C53010">
        <w:rPr>
          <w:b/>
          <w:bCs/>
          <w:lang w:val="es-ES"/>
        </w:rPr>
        <w:tab/>
        <w:t xml:space="preserve">En </w:t>
      </w:r>
      <w:r w:rsidR="0044441E" w:rsidRPr="00C53010">
        <w:rPr>
          <w:b/>
          <w:bCs/>
          <w:lang w:val="es-ES"/>
        </w:rPr>
        <w:t xml:space="preserve">12 </w:t>
      </w:r>
      <w:r w:rsidRPr="00C53010">
        <w:rPr>
          <w:b/>
          <w:bCs/>
          <w:lang w:val="es-ES"/>
        </w:rPr>
        <w:t>SRR</w:t>
      </w:r>
      <w:r w:rsidRPr="00C53010">
        <w:rPr>
          <w:lang w:val="es-ES"/>
        </w:rPr>
        <w:t xml:space="preserve">: </w:t>
      </w:r>
      <w:r w:rsidR="0044441E" w:rsidRPr="00563D35">
        <w:t>10</w:t>
      </w:r>
      <w:r w:rsidRPr="00563D35">
        <w:t>93</w:t>
      </w:r>
      <w:r w:rsidRPr="00C53010">
        <w:rPr>
          <w:lang w:val="es-ES"/>
        </w:rPr>
        <w:t xml:space="preserve"> participantes </w:t>
      </w:r>
    </w:p>
    <w:p w:rsidR="00FA7C73" w:rsidRPr="00C53010" w:rsidRDefault="0044441E" w:rsidP="0044441E">
      <w:pPr>
        <w:rPr>
          <w:szCs w:val="24"/>
          <w:lang w:val="es-ES"/>
        </w:rPr>
        <w:sectPr w:rsidR="00FA7C73" w:rsidRPr="00C53010" w:rsidSect="003045E9">
          <w:headerReference w:type="default" r:id="rId32"/>
          <w:footerReference w:type="default" r:id="rId33"/>
          <w:headerReference w:type="first" r:id="rId34"/>
          <w:pgSz w:w="11907" w:h="16834"/>
          <w:pgMar w:top="1418" w:right="1134" w:bottom="1418" w:left="1134" w:header="720" w:footer="720" w:gutter="0"/>
          <w:paperSrc w:first="15" w:other="15"/>
          <w:cols w:space="720"/>
          <w:titlePg/>
          <w:docGrid w:linePitch="326"/>
        </w:sectPr>
      </w:pPr>
      <w:r w:rsidRPr="00C53010">
        <w:rPr>
          <w:szCs w:val="24"/>
          <w:lang w:val="es-ES"/>
        </w:rPr>
        <w:t>Se han previsto tres S</w:t>
      </w:r>
      <w:r w:rsidR="00FA7C73" w:rsidRPr="00C53010">
        <w:rPr>
          <w:szCs w:val="24"/>
          <w:lang w:val="es-ES"/>
        </w:rPr>
        <w:t xml:space="preserve">RR </w:t>
      </w:r>
      <w:r w:rsidRPr="00C53010">
        <w:rPr>
          <w:szCs w:val="24"/>
          <w:lang w:val="es-ES"/>
        </w:rPr>
        <w:t xml:space="preserve">en </w:t>
      </w:r>
      <w:r w:rsidR="00FA7C73" w:rsidRPr="00C53010">
        <w:rPr>
          <w:szCs w:val="24"/>
          <w:lang w:val="es-ES"/>
        </w:rPr>
        <w:t>2018.</w:t>
      </w:r>
    </w:p>
    <w:p w:rsidR="00FA7C73" w:rsidRPr="00C53010" w:rsidRDefault="0044441E" w:rsidP="001F3A94">
      <w:pPr>
        <w:pStyle w:val="TableNo"/>
        <w:rPr>
          <w:lang w:val="es-ES"/>
        </w:rPr>
      </w:pPr>
      <w:r w:rsidRPr="00C53010">
        <w:rPr>
          <w:lang w:val="es-ES"/>
        </w:rPr>
        <w:lastRenderedPageBreak/>
        <w:t>Cuadro</w:t>
      </w:r>
      <w:r w:rsidR="00FA7C73" w:rsidRPr="00C53010">
        <w:rPr>
          <w:lang w:val="es-ES"/>
        </w:rPr>
        <w:t xml:space="preserve"> 8.2.2-1</w:t>
      </w:r>
    </w:p>
    <w:p w:rsidR="00FA7C73" w:rsidRPr="00C53010" w:rsidRDefault="0044441E" w:rsidP="0044441E">
      <w:pPr>
        <w:pStyle w:val="TabletitleBR"/>
        <w:rPr>
          <w:lang w:val="es-ES"/>
        </w:rPr>
      </w:pPr>
      <w:r w:rsidRPr="00C53010">
        <w:rPr>
          <w:lang w:val="es-ES"/>
        </w:rPr>
        <w:t>Seminarios Regionales de Radiocomunicaciones U</w:t>
      </w:r>
      <w:r w:rsidR="00FA7C73" w:rsidRPr="00C53010">
        <w:rPr>
          <w:lang w:val="es-ES"/>
        </w:rPr>
        <w:t>IT (2014-2017)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1989"/>
        <w:gridCol w:w="1175"/>
        <w:gridCol w:w="2312"/>
        <w:gridCol w:w="1706"/>
        <w:gridCol w:w="1841"/>
        <w:gridCol w:w="1275"/>
        <w:gridCol w:w="1560"/>
      </w:tblGrid>
      <w:tr w:rsidR="00FA7C73" w:rsidRPr="00C53010" w:rsidTr="00FF7F98">
        <w:trPr>
          <w:tblHeader/>
          <w:jc w:val="center"/>
        </w:trPr>
        <w:tc>
          <w:tcPr>
            <w:tcW w:w="2174" w:type="dxa"/>
            <w:vAlign w:val="center"/>
          </w:tcPr>
          <w:p w:rsidR="00FA7C73" w:rsidRPr="00C53010" w:rsidRDefault="00FA7C73" w:rsidP="001F3A94">
            <w:pPr>
              <w:rPr>
                <w:rFonts w:asciiTheme="majorBidi" w:hAnsiTheme="majorBidi" w:cstheme="majorBidi"/>
                <w:b/>
                <w:bCs/>
                <w:sz w:val="18"/>
                <w:szCs w:val="18"/>
                <w:lang w:val="es-ES"/>
              </w:rPr>
            </w:pPr>
            <w:r w:rsidRPr="00C53010">
              <w:rPr>
                <w:rFonts w:asciiTheme="majorBidi" w:hAnsiTheme="majorBidi" w:cstheme="majorBidi"/>
                <w:b/>
                <w:bCs/>
                <w:sz w:val="18"/>
                <w:szCs w:val="18"/>
                <w:lang w:val="es-ES"/>
              </w:rPr>
              <w:t>Date</w:t>
            </w:r>
          </w:p>
        </w:tc>
        <w:tc>
          <w:tcPr>
            <w:tcW w:w="1989" w:type="dxa"/>
            <w:vAlign w:val="center"/>
          </w:tcPr>
          <w:p w:rsidR="00FA7C73" w:rsidRPr="00C53010" w:rsidRDefault="00FA7C73" w:rsidP="001F3A94">
            <w:pPr>
              <w:rPr>
                <w:rFonts w:asciiTheme="majorBidi" w:hAnsiTheme="majorBidi" w:cstheme="majorBidi"/>
                <w:b/>
                <w:bCs/>
                <w:sz w:val="18"/>
                <w:szCs w:val="18"/>
                <w:lang w:val="es-ES"/>
              </w:rPr>
            </w:pPr>
            <w:r w:rsidRPr="00C53010">
              <w:rPr>
                <w:rFonts w:asciiTheme="majorBidi" w:hAnsiTheme="majorBidi" w:cstheme="majorBidi"/>
                <w:b/>
                <w:bCs/>
                <w:sz w:val="18"/>
                <w:szCs w:val="18"/>
                <w:lang w:val="es-ES"/>
              </w:rPr>
              <w:t>RRS</w:t>
            </w:r>
          </w:p>
        </w:tc>
        <w:tc>
          <w:tcPr>
            <w:tcW w:w="1175" w:type="dxa"/>
            <w:vAlign w:val="center"/>
          </w:tcPr>
          <w:p w:rsidR="00FA7C73" w:rsidRPr="00C53010" w:rsidRDefault="00FA7C73" w:rsidP="001F3A94">
            <w:pPr>
              <w:rPr>
                <w:rFonts w:asciiTheme="majorBidi" w:hAnsiTheme="majorBidi" w:cstheme="majorBidi"/>
                <w:b/>
                <w:bCs/>
                <w:sz w:val="18"/>
                <w:szCs w:val="18"/>
                <w:lang w:val="es-ES"/>
              </w:rPr>
            </w:pPr>
            <w:r w:rsidRPr="00C53010">
              <w:rPr>
                <w:rFonts w:asciiTheme="majorBidi" w:hAnsiTheme="majorBidi" w:cstheme="majorBidi"/>
                <w:b/>
                <w:bCs/>
                <w:sz w:val="18"/>
                <w:szCs w:val="18"/>
                <w:lang w:val="es-ES"/>
              </w:rPr>
              <w:t>Place</w:t>
            </w:r>
          </w:p>
        </w:tc>
        <w:tc>
          <w:tcPr>
            <w:tcW w:w="2312" w:type="dxa"/>
            <w:vAlign w:val="center"/>
          </w:tcPr>
          <w:p w:rsidR="00FA7C73" w:rsidRPr="00C53010" w:rsidRDefault="00FA7C73" w:rsidP="001F3A94">
            <w:pPr>
              <w:rPr>
                <w:rFonts w:asciiTheme="majorBidi" w:hAnsiTheme="majorBidi" w:cstheme="majorBidi"/>
                <w:b/>
                <w:bCs/>
                <w:sz w:val="18"/>
                <w:szCs w:val="18"/>
                <w:lang w:val="es-ES"/>
              </w:rPr>
            </w:pPr>
            <w:r w:rsidRPr="00C53010">
              <w:rPr>
                <w:rFonts w:asciiTheme="majorBidi" w:hAnsiTheme="majorBidi" w:cstheme="majorBidi"/>
                <w:b/>
                <w:bCs/>
                <w:sz w:val="18"/>
                <w:szCs w:val="18"/>
                <w:lang w:val="es-ES"/>
              </w:rPr>
              <w:t>Host</w:t>
            </w:r>
          </w:p>
        </w:tc>
        <w:tc>
          <w:tcPr>
            <w:tcW w:w="1706" w:type="dxa"/>
            <w:vAlign w:val="center"/>
          </w:tcPr>
          <w:p w:rsidR="00FA7C73" w:rsidRPr="00C53010" w:rsidRDefault="00C53010" w:rsidP="001F3A94">
            <w:pPr>
              <w:rPr>
                <w:rFonts w:asciiTheme="majorBidi" w:hAnsiTheme="majorBidi" w:cstheme="majorBidi"/>
                <w:b/>
                <w:bCs/>
                <w:sz w:val="18"/>
                <w:szCs w:val="18"/>
                <w:lang w:val="es-ES"/>
              </w:rPr>
            </w:pPr>
            <w:r w:rsidRPr="00C53010">
              <w:rPr>
                <w:rFonts w:asciiTheme="majorBidi" w:hAnsiTheme="majorBidi" w:cstheme="majorBidi"/>
                <w:b/>
                <w:bCs/>
                <w:sz w:val="18"/>
                <w:szCs w:val="18"/>
                <w:lang w:val="es-ES"/>
              </w:rPr>
              <w:t>Cooperación</w:t>
            </w:r>
          </w:p>
        </w:tc>
        <w:tc>
          <w:tcPr>
            <w:tcW w:w="1841" w:type="dxa"/>
            <w:vAlign w:val="center"/>
          </w:tcPr>
          <w:p w:rsidR="00FA7C73" w:rsidRPr="00C53010" w:rsidRDefault="00C53010" w:rsidP="001F3A94">
            <w:pPr>
              <w:rPr>
                <w:rFonts w:asciiTheme="majorBidi" w:hAnsiTheme="majorBidi" w:cstheme="majorBidi"/>
                <w:b/>
                <w:bCs/>
                <w:sz w:val="18"/>
                <w:szCs w:val="18"/>
                <w:lang w:val="es-ES"/>
              </w:rPr>
            </w:pPr>
            <w:r>
              <w:rPr>
                <w:rFonts w:asciiTheme="majorBidi" w:hAnsiTheme="majorBidi" w:cstheme="majorBidi"/>
                <w:b/>
                <w:bCs/>
                <w:sz w:val="18"/>
                <w:szCs w:val="18"/>
                <w:lang w:val="es-ES"/>
              </w:rPr>
              <w:t>Temas del Foro</w:t>
            </w:r>
          </w:p>
        </w:tc>
        <w:tc>
          <w:tcPr>
            <w:tcW w:w="1275" w:type="dxa"/>
            <w:vAlign w:val="center"/>
          </w:tcPr>
          <w:p w:rsidR="00FA7C73" w:rsidRPr="00C53010" w:rsidRDefault="008E50FD" w:rsidP="001F3A94">
            <w:pPr>
              <w:rPr>
                <w:rFonts w:asciiTheme="majorBidi" w:hAnsiTheme="majorBidi" w:cstheme="majorBidi"/>
                <w:b/>
                <w:bCs/>
                <w:sz w:val="18"/>
                <w:szCs w:val="18"/>
                <w:lang w:val="es-ES"/>
              </w:rPr>
            </w:pPr>
            <w:r>
              <w:rPr>
                <w:rFonts w:asciiTheme="majorBidi" w:hAnsiTheme="majorBidi" w:cstheme="majorBidi"/>
                <w:b/>
                <w:bCs/>
                <w:sz w:val="18"/>
                <w:szCs w:val="18"/>
                <w:lang w:val="es-ES"/>
              </w:rPr>
              <w:t>Idiomas</w:t>
            </w:r>
          </w:p>
        </w:tc>
        <w:tc>
          <w:tcPr>
            <w:tcW w:w="1560" w:type="dxa"/>
            <w:vAlign w:val="center"/>
          </w:tcPr>
          <w:p w:rsidR="00FA7C73" w:rsidRPr="00C53010" w:rsidRDefault="00FA7C73" w:rsidP="001F3A94">
            <w:pPr>
              <w:rPr>
                <w:rFonts w:asciiTheme="majorBidi" w:hAnsiTheme="majorBidi" w:cstheme="majorBidi"/>
                <w:b/>
                <w:bCs/>
                <w:sz w:val="18"/>
                <w:szCs w:val="18"/>
                <w:lang w:val="es-ES"/>
              </w:rPr>
            </w:pPr>
            <w:r w:rsidRPr="00C53010">
              <w:rPr>
                <w:rFonts w:asciiTheme="majorBidi" w:hAnsiTheme="majorBidi" w:cstheme="majorBidi"/>
                <w:b/>
                <w:bCs/>
                <w:sz w:val="18"/>
                <w:szCs w:val="18"/>
                <w:lang w:val="es-ES"/>
              </w:rPr>
              <w:t>Participant</w:t>
            </w:r>
            <w:r w:rsidR="008E50FD">
              <w:rPr>
                <w:rFonts w:asciiTheme="majorBidi" w:hAnsiTheme="majorBidi" w:cstheme="majorBidi"/>
                <w:b/>
                <w:bCs/>
                <w:sz w:val="18"/>
                <w:szCs w:val="18"/>
                <w:lang w:val="es-ES"/>
              </w:rPr>
              <w:t>es/</w:t>
            </w:r>
            <w:r w:rsidR="008E50FD">
              <w:rPr>
                <w:rFonts w:asciiTheme="majorBidi" w:hAnsiTheme="majorBidi" w:cstheme="majorBidi"/>
                <w:b/>
                <w:bCs/>
                <w:sz w:val="18"/>
                <w:szCs w:val="18"/>
                <w:lang w:val="es-ES"/>
              </w:rPr>
              <w:br/>
              <w:t>administrac</w:t>
            </w:r>
            <w:r w:rsidRPr="00C53010">
              <w:rPr>
                <w:rFonts w:asciiTheme="majorBidi" w:hAnsiTheme="majorBidi" w:cstheme="majorBidi"/>
                <w:b/>
                <w:bCs/>
                <w:sz w:val="18"/>
                <w:szCs w:val="18"/>
                <w:lang w:val="es-ES"/>
              </w:rPr>
              <w:t>ion</w:t>
            </w:r>
            <w:r w:rsidR="008E50FD">
              <w:rPr>
                <w:rFonts w:asciiTheme="majorBidi" w:hAnsiTheme="majorBidi" w:cstheme="majorBidi"/>
                <w:b/>
                <w:bCs/>
                <w:sz w:val="18"/>
                <w:szCs w:val="18"/>
                <w:lang w:val="es-ES"/>
              </w:rPr>
              <w:t>e</w:t>
            </w:r>
            <w:r w:rsidRPr="00C53010">
              <w:rPr>
                <w:rFonts w:asciiTheme="majorBidi" w:hAnsiTheme="majorBidi" w:cstheme="majorBidi"/>
                <w:b/>
                <w:bCs/>
                <w:sz w:val="18"/>
                <w:szCs w:val="18"/>
                <w:lang w:val="es-ES"/>
              </w:rPr>
              <w:t>s</w:t>
            </w:r>
          </w:p>
        </w:tc>
      </w:tr>
      <w:tr w:rsidR="00FA7C73" w:rsidRPr="00C53010" w:rsidTr="00FF7F98">
        <w:trPr>
          <w:jc w:val="center"/>
        </w:trPr>
        <w:tc>
          <w:tcPr>
            <w:tcW w:w="14032" w:type="dxa"/>
            <w:gridSpan w:val="8"/>
            <w:vAlign w:val="center"/>
          </w:tcPr>
          <w:p w:rsidR="00FA7C73" w:rsidRPr="00C53010" w:rsidRDefault="00FA7C73" w:rsidP="001F3A94">
            <w:pPr>
              <w:rPr>
                <w:rFonts w:asciiTheme="majorBidi" w:hAnsiTheme="majorBidi" w:cstheme="majorBidi"/>
                <w:b/>
                <w:bCs/>
                <w:sz w:val="18"/>
                <w:szCs w:val="18"/>
                <w:lang w:val="es-ES"/>
              </w:rPr>
            </w:pPr>
            <w:r w:rsidRPr="00C53010">
              <w:rPr>
                <w:rFonts w:asciiTheme="majorBidi" w:hAnsiTheme="majorBidi" w:cstheme="majorBidi"/>
                <w:b/>
                <w:bCs/>
                <w:sz w:val="18"/>
                <w:szCs w:val="18"/>
                <w:lang w:val="es-ES"/>
              </w:rPr>
              <w:t>2014</w:t>
            </w:r>
          </w:p>
        </w:tc>
      </w:tr>
      <w:tr w:rsidR="0044441E" w:rsidRPr="00C53010" w:rsidTr="00FF7F98">
        <w:trPr>
          <w:jc w:val="center"/>
        </w:trPr>
        <w:tc>
          <w:tcPr>
            <w:tcW w:w="2174"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val="es-ES"/>
              </w:rPr>
            </w:pPr>
            <w:r w:rsidRPr="00C53010">
              <w:rPr>
                <w:sz w:val="18"/>
                <w:szCs w:val="18"/>
                <w:lang w:val="es-ES"/>
              </w:rPr>
              <w:t>26-30 de mayo de 2014</w:t>
            </w:r>
          </w:p>
        </w:tc>
        <w:tc>
          <w:tcPr>
            <w:tcW w:w="1989"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 w:val="18"/>
                <w:szCs w:val="18"/>
                <w:lang w:val="es-ES"/>
              </w:rPr>
            </w:pPr>
            <w:r w:rsidRPr="00C53010">
              <w:rPr>
                <w:b/>
                <w:sz w:val="18"/>
                <w:szCs w:val="18"/>
                <w:lang w:val="es-ES"/>
              </w:rPr>
              <w:t>SRR-14-Asia</w:t>
            </w:r>
          </w:p>
        </w:tc>
        <w:tc>
          <w:tcPr>
            <w:tcW w:w="1175" w:type="dxa"/>
            <w:vAlign w:val="center"/>
          </w:tcPr>
          <w:p w:rsidR="0044441E" w:rsidRPr="00C53010" w:rsidRDefault="0044441E" w:rsidP="001B0E7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val="es-ES"/>
              </w:rPr>
            </w:pPr>
            <w:r w:rsidRPr="00C53010">
              <w:rPr>
                <w:sz w:val="18"/>
                <w:szCs w:val="18"/>
                <w:lang w:val="es-ES"/>
              </w:rPr>
              <w:t>Hanoi</w:t>
            </w:r>
            <w:r w:rsidR="001B0E79">
              <w:rPr>
                <w:sz w:val="18"/>
                <w:szCs w:val="18"/>
                <w:lang w:val="es-ES"/>
              </w:rPr>
              <w:t xml:space="preserve">, </w:t>
            </w:r>
            <w:r w:rsidRPr="00C53010">
              <w:rPr>
                <w:sz w:val="18"/>
                <w:szCs w:val="18"/>
                <w:lang w:val="es-ES"/>
              </w:rPr>
              <w:t>Viet Nam</w:t>
            </w:r>
          </w:p>
        </w:tc>
        <w:tc>
          <w:tcPr>
            <w:tcW w:w="2312"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val="es-ES"/>
              </w:rPr>
            </w:pPr>
            <w:r w:rsidRPr="00C53010">
              <w:rPr>
                <w:sz w:val="18"/>
                <w:szCs w:val="18"/>
                <w:lang w:val="es-ES"/>
              </w:rPr>
              <w:t>MIC Viet Nam</w:t>
            </w:r>
          </w:p>
        </w:tc>
        <w:tc>
          <w:tcPr>
            <w:tcW w:w="1706"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val="es-ES"/>
              </w:rPr>
            </w:pPr>
            <w:r w:rsidRPr="00C53010">
              <w:rPr>
                <w:sz w:val="18"/>
                <w:szCs w:val="18"/>
                <w:lang w:val="es-ES"/>
              </w:rPr>
              <w:t>APT</w:t>
            </w:r>
            <w:r w:rsidR="001B0E79">
              <w:rPr>
                <w:sz w:val="18"/>
                <w:szCs w:val="18"/>
                <w:lang w:val="es-ES"/>
              </w:rPr>
              <w:t xml:space="preserve">, </w:t>
            </w:r>
            <w:r w:rsidRPr="00C53010">
              <w:rPr>
                <w:sz w:val="18"/>
                <w:szCs w:val="18"/>
                <w:lang w:val="es-ES"/>
              </w:rPr>
              <w:t>Oficina de la UIT para Asia-Pacífico</w:t>
            </w:r>
          </w:p>
        </w:tc>
        <w:tc>
          <w:tcPr>
            <w:tcW w:w="1841"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val="es-ES"/>
              </w:rPr>
            </w:pPr>
            <w:r w:rsidRPr="00C53010">
              <w:rPr>
                <w:sz w:val="18"/>
                <w:szCs w:val="18"/>
                <w:lang w:val="es-ES"/>
              </w:rPr>
              <w:t xml:space="preserve">Nuevos asuntos sobre la Gestión del espectro </w:t>
            </w:r>
          </w:p>
        </w:tc>
        <w:tc>
          <w:tcPr>
            <w:tcW w:w="1275"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s-ES"/>
              </w:rPr>
            </w:pPr>
            <w:r w:rsidRPr="00C53010">
              <w:rPr>
                <w:b/>
                <w:sz w:val="18"/>
                <w:szCs w:val="18"/>
                <w:lang w:val="es-ES"/>
              </w:rPr>
              <w:t>E</w:t>
            </w:r>
          </w:p>
        </w:tc>
        <w:tc>
          <w:tcPr>
            <w:tcW w:w="1560"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s-ES"/>
              </w:rPr>
            </w:pPr>
            <w:r w:rsidRPr="00C53010">
              <w:rPr>
                <w:b/>
                <w:sz w:val="18"/>
                <w:szCs w:val="18"/>
                <w:lang w:val="es-ES"/>
              </w:rPr>
              <w:t>94/15</w:t>
            </w:r>
          </w:p>
        </w:tc>
      </w:tr>
      <w:tr w:rsidR="0044441E" w:rsidRPr="00C53010" w:rsidTr="00FF7F98">
        <w:trPr>
          <w:jc w:val="center"/>
        </w:trPr>
        <w:tc>
          <w:tcPr>
            <w:tcW w:w="2174"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val="es-ES"/>
              </w:rPr>
            </w:pPr>
            <w:r w:rsidRPr="00C53010">
              <w:rPr>
                <w:sz w:val="18"/>
                <w:szCs w:val="18"/>
                <w:lang w:val="es-ES"/>
              </w:rPr>
              <w:t>14-18 de julio de 2014</w:t>
            </w:r>
          </w:p>
        </w:tc>
        <w:tc>
          <w:tcPr>
            <w:tcW w:w="1989"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 w:val="18"/>
                <w:szCs w:val="18"/>
                <w:lang w:val="es-ES"/>
              </w:rPr>
            </w:pPr>
            <w:r w:rsidRPr="00C53010">
              <w:rPr>
                <w:b/>
                <w:sz w:val="18"/>
                <w:szCs w:val="18"/>
                <w:lang w:val="es-ES"/>
              </w:rPr>
              <w:t>SRR-14-Américas</w:t>
            </w:r>
          </w:p>
        </w:tc>
        <w:tc>
          <w:tcPr>
            <w:tcW w:w="1175" w:type="dxa"/>
            <w:vAlign w:val="center"/>
          </w:tcPr>
          <w:p w:rsidR="0044441E" w:rsidRPr="00C53010" w:rsidRDefault="0044441E" w:rsidP="00C5301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val="es-ES"/>
              </w:rPr>
            </w:pPr>
            <w:r w:rsidRPr="00C53010">
              <w:rPr>
                <w:sz w:val="18"/>
                <w:szCs w:val="18"/>
                <w:lang w:val="es-ES"/>
              </w:rPr>
              <w:t>Isla de T</w:t>
            </w:r>
            <w:r w:rsidR="00C53010">
              <w:rPr>
                <w:sz w:val="18"/>
                <w:szCs w:val="18"/>
                <w:lang w:val="es-ES"/>
              </w:rPr>
              <w:t>o</w:t>
            </w:r>
            <w:r w:rsidRPr="00C53010">
              <w:rPr>
                <w:sz w:val="18"/>
                <w:szCs w:val="18"/>
                <w:lang w:val="es-ES"/>
              </w:rPr>
              <w:t>bago</w:t>
            </w:r>
            <w:r w:rsidR="001B0E79">
              <w:rPr>
                <w:sz w:val="18"/>
                <w:szCs w:val="18"/>
                <w:lang w:val="es-ES"/>
              </w:rPr>
              <w:t xml:space="preserve">, </w:t>
            </w:r>
            <w:r w:rsidRPr="00C53010">
              <w:rPr>
                <w:sz w:val="18"/>
                <w:szCs w:val="18"/>
                <w:lang w:val="es-ES"/>
              </w:rPr>
              <w:t>Trinidad y T</w:t>
            </w:r>
            <w:r w:rsidR="00C53010">
              <w:rPr>
                <w:sz w:val="18"/>
                <w:szCs w:val="18"/>
                <w:lang w:val="es-ES"/>
              </w:rPr>
              <w:t>o</w:t>
            </w:r>
            <w:r w:rsidRPr="00C53010">
              <w:rPr>
                <w:sz w:val="18"/>
                <w:szCs w:val="18"/>
                <w:lang w:val="es-ES"/>
              </w:rPr>
              <w:t>bago</w:t>
            </w:r>
          </w:p>
        </w:tc>
        <w:tc>
          <w:tcPr>
            <w:tcW w:w="2312"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val="es-ES"/>
              </w:rPr>
            </w:pPr>
            <w:r w:rsidRPr="00C53010">
              <w:rPr>
                <w:sz w:val="18"/>
                <w:szCs w:val="18"/>
                <w:lang w:val="es-ES"/>
              </w:rPr>
              <w:t>Autoridad de Telecomunicaciones de Trinidad y Tabago</w:t>
            </w:r>
          </w:p>
        </w:tc>
        <w:tc>
          <w:tcPr>
            <w:tcW w:w="1706"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val="es-ES"/>
              </w:rPr>
            </w:pPr>
            <w:r w:rsidRPr="00C53010">
              <w:rPr>
                <w:sz w:val="18"/>
                <w:szCs w:val="18"/>
                <w:lang w:val="es-ES"/>
              </w:rPr>
              <w:t>CTU</w:t>
            </w:r>
            <w:r w:rsidR="001B0E79">
              <w:rPr>
                <w:sz w:val="18"/>
                <w:szCs w:val="18"/>
                <w:lang w:val="es-ES"/>
              </w:rPr>
              <w:t xml:space="preserve">, </w:t>
            </w:r>
            <w:r w:rsidRPr="00C53010">
              <w:rPr>
                <w:sz w:val="18"/>
                <w:szCs w:val="18"/>
                <w:lang w:val="es-ES"/>
              </w:rPr>
              <w:t>Oficina de la UIT para la Américas</w:t>
            </w:r>
          </w:p>
        </w:tc>
        <w:tc>
          <w:tcPr>
            <w:tcW w:w="1841"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lang w:val="es-ES"/>
              </w:rPr>
            </w:pPr>
            <w:r w:rsidRPr="00C53010">
              <w:rPr>
                <w:sz w:val="18"/>
                <w:szCs w:val="18"/>
                <w:lang w:val="es-ES"/>
              </w:rPr>
              <w:t>Orden del día de la CMR-15. Asuntos regionales</w:t>
            </w:r>
          </w:p>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val="es-ES"/>
              </w:rPr>
            </w:pPr>
            <w:r w:rsidRPr="00C53010">
              <w:rPr>
                <w:sz w:val="18"/>
                <w:szCs w:val="18"/>
                <w:lang w:val="es-ES"/>
              </w:rPr>
              <w:t xml:space="preserve">Inscripciones en la banda C </w:t>
            </w:r>
          </w:p>
        </w:tc>
        <w:tc>
          <w:tcPr>
            <w:tcW w:w="1275"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s-ES"/>
              </w:rPr>
            </w:pPr>
            <w:r w:rsidRPr="00C53010">
              <w:rPr>
                <w:b/>
                <w:sz w:val="18"/>
                <w:szCs w:val="18"/>
                <w:lang w:val="es-ES"/>
              </w:rPr>
              <w:t>E</w:t>
            </w:r>
          </w:p>
        </w:tc>
        <w:tc>
          <w:tcPr>
            <w:tcW w:w="1560"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s-ES"/>
              </w:rPr>
            </w:pPr>
            <w:r w:rsidRPr="00C53010">
              <w:rPr>
                <w:b/>
                <w:sz w:val="18"/>
                <w:szCs w:val="18"/>
                <w:lang w:val="es-ES"/>
              </w:rPr>
              <w:t>46/19</w:t>
            </w:r>
          </w:p>
        </w:tc>
      </w:tr>
      <w:tr w:rsidR="00FA7C73" w:rsidRPr="00C53010" w:rsidTr="00FF7F98">
        <w:trPr>
          <w:jc w:val="center"/>
        </w:trPr>
        <w:tc>
          <w:tcPr>
            <w:tcW w:w="14032" w:type="dxa"/>
            <w:gridSpan w:val="8"/>
            <w:vAlign w:val="center"/>
          </w:tcPr>
          <w:p w:rsidR="00FA7C73" w:rsidRPr="00C53010" w:rsidRDefault="00FA7C73" w:rsidP="001F3A94">
            <w:pPr>
              <w:rPr>
                <w:rFonts w:asciiTheme="majorBidi" w:hAnsiTheme="majorBidi" w:cstheme="majorBidi"/>
                <w:b/>
                <w:bCs/>
                <w:sz w:val="18"/>
                <w:szCs w:val="18"/>
                <w:lang w:val="es-ES"/>
              </w:rPr>
            </w:pPr>
            <w:r w:rsidRPr="00C53010">
              <w:rPr>
                <w:rFonts w:asciiTheme="majorBidi" w:hAnsiTheme="majorBidi" w:cstheme="majorBidi"/>
                <w:b/>
                <w:bCs/>
                <w:sz w:val="18"/>
                <w:szCs w:val="18"/>
                <w:lang w:val="es-ES"/>
              </w:rPr>
              <w:t>2015</w:t>
            </w:r>
          </w:p>
        </w:tc>
      </w:tr>
      <w:tr w:rsidR="0044441E" w:rsidRPr="00C53010" w:rsidTr="00FF7F98">
        <w:trPr>
          <w:jc w:val="center"/>
        </w:trPr>
        <w:tc>
          <w:tcPr>
            <w:tcW w:w="2174"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val="es-ES"/>
              </w:rPr>
            </w:pPr>
            <w:r w:rsidRPr="00C53010">
              <w:rPr>
                <w:sz w:val="18"/>
                <w:szCs w:val="18"/>
                <w:lang w:val="es-ES"/>
              </w:rPr>
              <w:t>2-6 de marzo de 2015</w:t>
            </w:r>
          </w:p>
        </w:tc>
        <w:tc>
          <w:tcPr>
            <w:tcW w:w="1989"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 w:val="18"/>
                <w:szCs w:val="18"/>
                <w:lang w:val="es-ES"/>
              </w:rPr>
            </w:pPr>
            <w:r w:rsidRPr="00C53010">
              <w:rPr>
                <w:b/>
                <w:sz w:val="18"/>
                <w:szCs w:val="18"/>
                <w:lang w:val="es-ES"/>
              </w:rPr>
              <w:t>SRR-15-Europa Oriental y la CEI</w:t>
            </w:r>
          </w:p>
        </w:tc>
        <w:tc>
          <w:tcPr>
            <w:tcW w:w="1175" w:type="dxa"/>
            <w:vAlign w:val="center"/>
          </w:tcPr>
          <w:p w:rsidR="0044441E" w:rsidRPr="00C53010" w:rsidRDefault="0044441E" w:rsidP="00C5301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val="es-ES"/>
              </w:rPr>
            </w:pPr>
            <w:r w:rsidRPr="00C53010">
              <w:rPr>
                <w:sz w:val="18"/>
                <w:szCs w:val="18"/>
                <w:lang w:val="es-ES"/>
              </w:rPr>
              <w:t>Bishkek</w:t>
            </w:r>
            <w:r w:rsidR="001B0E79">
              <w:rPr>
                <w:sz w:val="18"/>
                <w:szCs w:val="18"/>
                <w:lang w:val="es-ES"/>
              </w:rPr>
              <w:t xml:space="preserve">, </w:t>
            </w:r>
            <w:r w:rsidRPr="00C53010">
              <w:rPr>
                <w:sz w:val="18"/>
                <w:szCs w:val="18"/>
                <w:lang w:val="es-ES"/>
              </w:rPr>
              <w:t>Kirguistán</w:t>
            </w:r>
          </w:p>
        </w:tc>
        <w:tc>
          <w:tcPr>
            <w:tcW w:w="2312"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val="es-ES"/>
              </w:rPr>
            </w:pPr>
            <w:r w:rsidRPr="00C53010">
              <w:rPr>
                <w:sz w:val="18"/>
                <w:szCs w:val="18"/>
                <w:lang w:val="es-ES"/>
              </w:rPr>
              <w:t>Agencia Estatal de Comunicaciones – Kirguistán</w:t>
            </w:r>
          </w:p>
        </w:tc>
        <w:tc>
          <w:tcPr>
            <w:tcW w:w="1706"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lang w:val="es-ES"/>
              </w:rPr>
            </w:pPr>
            <w:r w:rsidRPr="00C53010">
              <w:rPr>
                <w:sz w:val="18"/>
                <w:szCs w:val="18"/>
                <w:lang w:val="es-ES"/>
              </w:rPr>
              <w:t>RCC</w:t>
            </w:r>
            <w:r w:rsidR="001B0E79">
              <w:rPr>
                <w:sz w:val="18"/>
                <w:szCs w:val="18"/>
                <w:lang w:val="es-ES"/>
              </w:rPr>
              <w:t xml:space="preserve">, </w:t>
            </w:r>
            <w:r w:rsidRPr="00C53010">
              <w:rPr>
                <w:sz w:val="18"/>
                <w:szCs w:val="18"/>
                <w:lang w:val="es-ES"/>
              </w:rPr>
              <w:t>Oficinas de la UIT para Europa Oriental y la CEI</w:t>
            </w:r>
          </w:p>
        </w:tc>
        <w:tc>
          <w:tcPr>
            <w:tcW w:w="1841"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val="es-ES"/>
              </w:rPr>
            </w:pPr>
            <w:r w:rsidRPr="00C53010">
              <w:rPr>
                <w:sz w:val="18"/>
                <w:szCs w:val="18"/>
                <w:lang w:val="es-ES"/>
              </w:rPr>
              <w:t>Preparación regional de la CMR-15</w:t>
            </w:r>
          </w:p>
        </w:tc>
        <w:tc>
          <w:tcPr>
            <w:tcW w:w="1275"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s-ES"/>
              </w:rPr>
            </w:pPr>
            <w:r w:rsidRPr="00C53010">
              <w:rPr>
                <w:b/>
                <w:sz w:val="18"/>
                <w:szCs w:val="18"/>
                <w:lang w:val="es-ES"/>
              </w:rPr>
              <w:t>R</w:t>
            </w:r>
          </w:p>
        </w:tc>
        <w:tc>
          <w:tcPr>
            <w:tcW w:w="1560"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s-ES"/>
              </w:rPr>
            </w:pPr>
            <w:r w:rsidRPr="00C53010">
              <w:rPr>
                <w:b/>
                <w:sz w:val="18"/>
                <w:szCs w:val="18"/>
                <w:lang w:val="es-ES"/>
              </w:rPr>
              <w:t>56/8</w:t>
            </w:r>
          </w:p>
        </w:tc>
      </w:tr>
      <w:tr w:rsidR="0044441E" w:rsidRPr="00C53010" w:rsidTr="00FF7F98">
        <w:trPr>
          <w:jc w:val="center"/>
        </w:trPr>
        <w:tc>
          <w:tcPr>
            <w:tcW w:w="2174"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val="es-ES"/>
              </w:rPr>
            </w:pPr>
            <w:r w:rsidRPr="00C53010">
              <w:rPr>
                <w:sz w:val="18"/>
                <w:szCs w:val="18"/>
                <w:lang w:val="es-ES"/>
              </w:rPr>
              <w:t>20-24 de abril de 2015</w:t>
            </w:r>
          </w:p>
        </w:tc>
        <w:tc>
          <w:tcPr>
            <w:tcW w:w="1989"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 w:val="18"/>
                <w:szCs w:val="18"/>
                <w:lang w:val="es-ES"/>
              </w:rPr>
            </w:pPr>
            <w:r w:rsidRPr="00C53010">
              <w:rPr>
                <w:b/>
                <w:sz w:val="18"/>
                <w:szCs w:val="18"/>
                <w:lang w:val="es-ES"/>
              </w:rPr>
              <w:t>SRR-15-África</w:t>
            </w:r>
          </w:p>
        </w:tc>
        <w:tc>
          <w:tcPr>
            <w:tcW w:w="1175"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val="es-ES"/>
              </w:rPr>
            </w:pPr>
            <w:r w:rsidRPr="00C53010">
              <w:rPr>
                <w:sz w:val="18"/>
                <w:szCs w:val="18"/>
                <w:lang w:val="es-ES"/>
              </w:rPr>
              <w:t>Niamey</w:t>
            </w:r>
            <w:r w:rsidR="001B0E79">
              <w:rPr>
                <w:sz w:val="18"/>
                <w:szCs w:val="18"/>
                <w:lang w:val="es-ES"/>
              </w:rPr>
              <w:t xml:space="preserve">, </w:t>
            </w:r>
            <w:r w:rsidRPr="00C53010">
              <w:rPr>
                <w:sz w:val="18"/>
                <w:szCs w:val="18"/>
                <w:lang w:val="es-ES"/>
              </w:rPr>
              <w:t>Níger</w:t>
            </w:r>
          </w:p>
        </w:tc>
        <w:tc>
          <w:tcPr>
            <w:tcW w:w="2312"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val="es-ES"/>
              </w:rPr>
            </w:pPr>
            <w:r w:rsidRPr="00C53010">
              <w:rPr>
                <w:iCs/>
                <w:sz w:val="18"/>
                <w:szCs w:val="18"/>
                <w:lang w:val="es-ES"/>
              </w:rPr>
              <w:t>Autoridad de Regulación de las Telecomunicaciones y Correos</w:t>
            </w:r>
            <w:r w:rsidR="001B0E79">
              <w:rPr>
                <w:sz w:val="18"/>
                <w:szCs w:val="18"/>
                <w:lang w:val="es-ES"/>
              </w:rPr>
              <w:t xml:space="preserve">, </w:t>
            </w:r>
            <w:r w:rsidRPr="00C53010">
              <w:rPr>
                <w:sz w:val="18"/>
                <w:szCs w:val="18"/>
                <w:lang w:val="es-ES"/>
              </w:rPr>
              <w:t>ARTP</w:t>
            </w:r>
            <w:r w:rsidR="001B0E79">
              <w:rPr>
                <w:sz w:val="18"/>
                <w:szCs w:val="18"/>
                <w:lang w:val="es-ES"/>
              </w:rPr>
              <w:t xml:space="preserve">, </w:t>
            </w:r>
            <w:r w:rsidRPr="00C53010">
              <w:rPr>
                <w:sz w:val="18"/>
                <w:szCs w:val="18"/>
                <w:lang w:val="es-ES"/>
              </w:rPr>
              <w:t>Níger</w:t>
            </w:r>
          </w:p>
        </w:tc>
        <w:tc>
          <w:tcPr>
            <w:tcW w:w="1706"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val="es-ES"/>
              </w:rPr>
            </w:pPr>
            <w:r w:rsidRPr="00C53010">
              <w:rPr>
                <w:bCs/>
                <w:sz w:val="18"/>
                <w:szCs w:val="18"/>
                <w:lang w:val="es-ES"/>
              </w:rPr>
              <w:t>ATU</w:t>
            </w:r>
            <w:r w:rsidR="001B0E79">
              <w:rPr>
                <w:bCs/>
                <w:sz w:val="18"/>
                <w:szCs w:val="18"/>
                <w:lang w:val="es-ES"/>
              </w:rPr>
              <w:t xml:space="preserve">, </w:t>
            </w:r>
            <w:r w:rsidRPr="00C53010">
              <w:rPr>
                <w:bCs/>
                <w:sz w:val="18"/>
                <w:szCs w:val="18"/>
                <w:lang w:val="es-ES"/>
              </w:rPr>
              <w:t>Oficinas de la UIT en África</w:t>
            </w:r>
          </w:p>
        </w:tc>
        <w:tc>
          <w:tcPr>
            <w:tcW w:w="1841"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lang w:val="es-ES"/>
              </w:rPr>
            </w:pPr>
            <w:r w:rsidRPr="00C53010">
              <w:rPr>
                <w:sz w:val="18"/>
                <w:szCs w:val="18"/>
                <w:lang w:val="es-ES"/>
              </w:rPr>
              <w:t>Nuevos conceptos en la utilización del espectro y la comprobación técnica. Preparación para la gestión futura del espectro en la región</w:t>
            </w:r>
          </w:p>
        </w:tc>
        <w:tc>
          <w:tcPr>
            <w:tcW w:w="1275"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s-ES"/>
              </w:rPr>
            </w:pPr>
            <w:r w:rsidRPr="00C53010">
              <w:rPr>
                <w:b/>
                <w:sz w:val="18"/>
                <w:szCs w:val="18"/>
                <w:lang w:val="es-ES"/>
              </w:rPr>
              <w:t>F</w:t>
            </w:r>
            <w:r w:rsidR="001B0E79">
              <w:rPr>
                <w:b/>
                <w:sz w:val="18"/>
                <w:szCs w:val="18"/>
                <w:lang w:val="es-ES"/>
              </w:rPr>
              <w:t xml:space="preserve">, </w:t>
            </w:r>
            <w:r w:rsidRPr="00C53010">
              <w:rPr>
                <w:b/>
                <w:sz w:val="18"/>
                <w:szCs w:val="18"/>
                <w:lang w:val="es-ES"/>
              </w:rPr>
              <w:t>E</w:t>
            </w:r>
          </w:p>
        </w:tc>
        <w:tc>
          <w:tcPr>
            <w:tcW w:w="1560"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s-ES"/>
              </w:rPr>
            </w:pPr>
            <w:r w:rsidRPr="00C53010">
              <w:rPr>
                <w:b/>
                <w:sz w:val="18"/>
                <w:szCs w:val="18"/>
                <w:lang w:val="es-ES"/>
              </w:rPr>
              <w:t>100/36</w:t>
            </w:r>
          </w:p>
        </w:tc>
      </w:tr>
      <w:tr w:rsidR="0044441E" w:rsidRPr="00C53010" w:rsidTr="00FF7F98">
        <w:trPr>
          <w:jc w:val="center"/>
        </w:trPr>
        <w:tc>
          <w:tcPr>
            <w:tcW w:w="2174"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val="es-ES"/>
              </w:rPr>
            </w:pPr>
            <w:r w:rsidRPr="00C53010">
              <w:rPr>
                <w:sz w:val="18"/>
                <w:szCs w:val="18"/>
                <w:lang w:val="es-ES"/>
              </w:rPr>
              <w:t>25-30 de mayo de 2015</w:t>
            </w:r>
          </w:p>
        </w:tc>
        <w:tc>
          <w:tcPr>
            <w:tcW w:w="1989"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 w:val="18"/>
                <w:szCs w:val="18"/>
                <w:lang w:val="es-ES"/>
              </w:rPr>
            </w:pPr>
            <w:r w:rsidRPr="00C53010">
              <w:rPr>
                <w:b/>
                <w:sz w:val="18"/>
                <w:szCs w:val="18"/>
                <w:lang w:val="es-ES"/>
              </w:rPr>
              <w:t>SRR-15-Asia-Pacífico</w:t>
            </w:r>
          </w:p>
        </w:tc>
        <w:tc>
          <w:tcPr>
            <w:tcW w:w="1175"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val="es-ES"/>
              </w:rPr>
            </w:pPr>
            <w:r w:rsidRPr="00C53010">
              <w:rPr>
                <w:sz w:val="18"/>
                <w:szCs w:val="18"/>
                <w:lang w:val="es-ES"/>
              </w:rPr>
              <w:t>Manila</w:t>
            </w:r>
            <w:r w:rsidR="001B0E79">
              <w:rPr>
                <w:sz w:val="18"/>
                <w:szCs w:val="18"/>
                <w:lang w:val="es-ES"/>
              </w:rPr>
              <w:t>,</w:t>
            </w:r>
            <w:r w:rsidRPr="00C53010">
              <w:rPr>
                <w:sz w:val="18"/>
                <w:szCs w:val="18"/>
                <w:lang w:val="es-ES"/>
              </w:rPr>
              <w:t xml:space="preserve"> Filipinas</w:t>
            </w:r>
          </w:p>
        </w:tc>
        <w:tc>
          <w:tcPr>
            <w:tcW w:w="2312"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val="es-ES"/>
              </w:rPr>
            </w:pPr>
            <w:r w:rsidRPr="00C53010">
              <w:rPr>
                <w:sz w:val="18"/>
                <w:szCs w:val="18"/>
                <w:lang w:val="es-ES"/>
              </w:rPr>
              <w:t>Oficina de Tecnologías de la Información y las Comunicaciones</w:t>
            </w:r>
            <w:r w:rsidR="001B0E79">
              <w:rPr>
                <w:sz w:val="18"/>
                <w:szCs w:val="18"/>
                <w:lang w:val="es-ES"/>
              </w:rPr>
              <w:t xml:space="preserve">, </w:t>
            </w:r>
            <w:r w:rsidRPr="00C53010">
              <w:rPr>
                <w:sz w:val="18"/>
                <w:szCs w:val="18"/>
                <w:lang w:val="es-ES"/>
              </w:rPr>
              <w:t>Departamento de Ciencia y Tecnología (ICTO</w:t>
            </w:r>
            <w:r w:rsidRPr="00C53010">
              <w:rPr>
                <w:sz w:val="18"/>
                <w:szCs w:val="18"/>
                <w:lang w:val="es-ES"/>
              </w:rPr>
              <w:noBreakHyphen/>
              <w:t>DOST)</w:t>
            </w:r>
            <w:r w:rsidR="001B0E79">
              <w:rPr>
                <w:sz w:val="18"/>
                <w:szCs w:val="18"/>
                <w:lang w:val="es-ES"/>
              </w:rPr>
              <w:t xml:space="preserve">, </w:t>
            </w:r>
            <w:r w:rsidRPr="00C53010">
              <w:rPr>
                <w:sz w:val="18"/>
                <w:szCs w:val="18"/>
                <w:lang w:val="es-ES"/>
              </w:rPr>
              <w:t>Filipinas</w:t>
            </w:r>
          </w:p>
        </w:tc>
        <w:tc>
          <w:tcPr>
            <w:tcW w:w="1706"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lang w:val="es-ES"/>
              </w:rPr>
            </w:pPr>
            <w:r w:rsidRPr="00C53010">
              <w:rPr>
                <w:sz w:val="18"/>
                <w:szCs w:val="18"/>
                <w:lang w:val="es-ES"/>
              </w:rPr>
              <w:t>APT</w:t>
            </w:r>
            <w:r w:rsidR="001B0E79">
              <w:rPr>
                <w:sz w:val="18"/>
                <w:szCs w:val="18"/>
                <w:lang w:val="es-ES"/>
              </w:rPr>
              <w:t xml:space="preserve">, </w:t>
            </w:r>
            <w:r w:rsidRPr="00C53010">
              <w:rPr>
                <w:sz w:val="18"/>
                <w:szCs w:val="18"/>
                <w:lang w:val="es-ES"/>
              </w:rPr>
              <w:t>Dept. de Comunicaciones</w:t>
            </w:r>
            <w:r w:rsidR="001B0E79">
              <w:rPr>
                <w:sz w:val="18"/>
                <w:szCs w:val="18"/>
                <w:lang w:val="es-ES"/>
              </w:rPr>
              <w:t xml:space="preserve">, </w:t>
            </w:r>
            <w:r w:rsidRPr="00C53010">
              <w:rPr>
                <w:sz w:val="18"/>
                <w:szCs w:val="18"/>
                <w:lang w:val="es-ES"/>
              </w:rPr>
              <w:t>Gobierno de Australia</w:t>
            </w:r>
            <w:r w:rsidR="001B0E79">
              <w:rPr>
                <w:sz w:val="18"/>
                <w:szCs w:val="18"/>
                <w:lang w:val="es-ES"/>
              </w:rPr>
              <w:t xml:space="preserve">, </w:t>
            </w:r>
            <w:r w:rsidRPr="00C53010">
              <w:rPr>
                <w:sz w:val="18"/>
                <w:szCs w:val="18"/>
                <w:lang w:val="es-ES"/>
              </w:rPr>
              <w:t xml:space="preserve">Oficinas de la UIT para Asia y Pacífico </w:t>
            </w:r>
          </w:p>
        </w:tc>
        <w:tc>
          <w:tcPr>
            <w:tcW w:w="1841"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val="es-ES"/>
              </w:rPr>
            </w:pPr>
            <w:r w:rsidRPr="00C53010">
              <w:rPr>
                <w:sz w:val="18"/>
                <w:szCs w:val="18"/>
                <w:lang w:val="es-ES"/>
              </w:rPr>
              <w:t xml:space="preserve">Servicios espaciales planificados: situación actual y desafíos </w:t>
            </w:r>
          </w:p>
        </w:tc>
        <w:tc>
          <w:tcPr>
            <w:tcW w:w="1275"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s-ES"/>
              </w:rPr>
            </w:pPr>
            <w:r w:rsidRPr="00C53010">
              <w:rPr>
                <w:b/>
                <w:sz w:val="18"/>
                <w:szCs w:val="18"/>
                <w:lang w:val="es-ES"/>
              </w:rPr>
              <w:t>E</w:t>
            </w:r>
          </w:p>
        </w:tc>
        <w:tc>
          <w:tcPr>
            <w:tcW w:w="1560"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s-ES"/>
              </w:rPr>
            </w:pPr>
            <w:r w:rsidRPr="00C53010">
              <w:rPr>
                <w:b/>
                <w:sz w:val="18"/>
                <w:szCs w:val="18"/>
                <w:lang w:val="es-ES"/>
              </w:rPr>
              <w:t>70/20</w:t>
            </w:r>
          </w:p>
        </w:tc>
      </w:tr>
      <w:tr w:rsidR="0044441E" w:rsidRPr="00C53010" w:rsidTr="00FF7F98">
        <w:trPr>
          <w:jc w:val="center"/>
        </w:trPr>
        <w:tc>
          <w:tcPr>
            <w:tcW w:w="2174"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val="es-ES"/>
              </w:rPr>
            </w:pPr>
            <w:r w:rsidRPr="00C53010">
              <w:rPr>
                <w:sz w:val="18"/>
                <w:szCs w:val="18"/>
                <w:lang w:val="es-ES"/>
              </w:rPr>
              <w:t>27-31 de julio de 2015</w:t>
            </w:r>
          </w:p>
        </w:tc>
        <w:tc>
          <w:tcPr>
            <w:tcW w:w="1989"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 w:val="18"/>
                <w:szCs w:val="18"/>
                <w:lang w:val="es-ES"/>
              </w:rPr>
            </w:pPr>
            <w:r w:rsidRPr="00C53010">
              <w:rPr>
                <w:b/>
                <w:sz w:val="18"/>
                <w:szCs w:val="18"/>
                <w:lang w:val="es-ES"/>
              </w:rPr>
              <w:t>SRR-15-Américas</w:t>
            </w:r>
          </w:p>
        </w:tc>
        <w:tc>
          <w:tcPr>
            <w:tcW w:w="1175"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val="es-ES"/>
              </w:rPr>
            </w:pPr>
            <w:r w:rsidRPr="00C53010">
              <w:rPr>
                <w:sz w:val="18"/>
                <w:szCs w:val="18"/>
                <w:lang w:val="es-ES"/>
              </w:rPr>
              <w:t>San Salvador</w:t>
            </w:r>
            <w:r w:rsidR="001B0E79">
              <w:rPr>
                <w:sz w:val="18"/>
                <w:szCs w:val="18"/>
                <w:lang w:val="es-ES"/>
              </w:rPr>
              <w:t xml:space="preserve">, </w:t>
            </w:r>
            <w:r w:rsidRPr="00C53010">
              <w:rPr>
                <w:sz w:val="18"/>
                <w:szCs w:val="18"/>
                <w:lang w:val="es-ES"/>
              </w:rPr>
              <w:t>El Salvador</w:t>
            </w:r>
          </w:p>
        </w:tc>
        <w:tc>
          <w:tcPr>
            <w:tcW w:w="2312"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val="es-ES"/>
              </w:rPr>
            </w:pPr>
            <w:r w:rsidRPr="00C53010">
              <w:rPr>
                <w:sz w:val="18"/>
                <w:szCs w:val="18"/>
                <w:lang w:val="es-ES"/>
              </w:rPr>
              <w:t>Superintendencia General de Electricidad y Telecomunicaciones de El Salvador (SIGET)</w:t>
            </w:r>
          </w:p>
        </w:tc>
        <w:tc>
          <w:tcPr>
            <w:tcW w:w="1706"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val="es-ES"/>
              </w:rPr>
            </w:pPr>
            <w:r w:rsidRPr="00C53010">
              <w:rPr>
                <w:sz w:val="18"/>
                <w:szCs w:val="18"/>
                <w:lang w:val="es-ES"/>
              </w:rPr>
              <w:t>COMTELCA Oficina de área de la UIT para América Central</w:t>
            </w:r>
          </w:p>
        </w:tc>
        <w:tc>
          <w:tcPr>
            <w:tcW w:w="1841"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lang w:val="es-ES"/>
              </w:rPr>
            </w:pPr>
            <w:r w:rsidRPr="00C53010">
              <w:rPr>
                <w:sz w:val="18"/>
                <w:szCs w:val="18"/>
                <w:lang w:val="es-ES"/>
              </w:rPr>
              <w:t>CMR-15: Desafíos y oportunidades para la región</w:t>
            </w:r>
          </w:p>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lang w:val="es-ES"/>
              </w:rPr>
            </w:pPr>
            <w:r w:rsidRPr="00C53010">
              <w:rPr>
                <w:sz w:val="18"/>
                <w:szCs w:val="18"/>
                <w:lang w:val="es-ES"/>
              </w:rPr>
              <w:t>Registro de la banda C</w:t>
            </w:r>
          </w:p>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val="es-ES"/>
              </w:rPr>
            </w:pPr>
            <w:r w:rsidRPr="00C53010">
              <w:rPr>
                <w:sz w:val="18"/>
                <w:szCs w:val="18"/>
                <w:lang w:val="es-ES"/>
              </w:rPr>
              <w:lastRenderedPageBreak/>
              <w:t>Regulación de dispositivos sin licencia</w:t>
            </w:r>
          </w:p>
        </w:tc>
        <w:tc>
          <w:tcPr>
            <w:tcW w:w="1275"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s-ES"/>
              </w:rPr>
            </w:pPr>
            <w:r w:rsidRPr="00C53010">
              <w:rPr>
                <w:b/>
                <w:sz w:val="18"/>
                <w:szCs w:val="18"/>
                <w:lang w:val="es-ES"/>
              </w:rPr>
              <w:lastRenderedPageBreak/>
              <w:t>S</w:t>
            </w:r>
          </w:p>
        </w:tc>
        <w:tc>
          <w:tcPr>
            <w:tcW w:w="1560"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s-ES"/>
              </w:rPr>
            </w:pPr>
            <w:r w:rsidRPr="00C53010">
              <w:rPr>
                <w:b/>
                <w:sz w:val="18"/>
                <w:szCs w:val="18"/>
                <w:lang w:val="es-ES"/>
              </w:rPr>
              <w:t>70/16</w:t>
            </w:r>
          </w:p>
        </w:tc>
      </w:tr>
      <w:tr w:rsidR="00FA7C73" w:rsidRPr="00C53010" w:rsidTr="00FF7F98">
        <w:trPr>
          <w:jc w:val="center"/>
        </w:trPr>
        <w:tc>
          <w:tcPr>
            <w:tcW w:w="14032" w:type="dxa"/>
            <w:gridSpan w:val="8"/>
            <w:vAlign w:val="center"/>
          </w:tcPr>
          <w:p w:rsidR="00FA7C73" w:rsidRPr="00C53010" w:rsidRDefault="00FA7C73" w:rsidP="001F3A94">
            <w:pPr>
              <w:rPr>
                <w:rFonts w:asciiTheme="majorBidi" w:hAnsiTheme="majorBidi" w:cstheme="majorBidi"/>
                <w:b/>
                <w:bCs/>
                <w:sz w:val="18"/>
                <w:szCs w:val="18"/>
                <w:lang w:val="es-ES"/>
              </w:rPr>
            </w:pPr>
            <w:r w:rsidRPr="00C53010">
              <w:rPr>
                <w:rFonts w:asciiTheme="majorBidi" w:hAnsiTheme="majorBidi" w:cstheme="majorBidi"/>
                <w:b/>
                <w:bCs/>
                <w:sz w:val="18"/>
                <w:szCs w:val="18"/>
                <w:lang w:val="es-ES"/>
              </w:rPr>
              <w:t>2016</w:t>
            </w:r>
          </w:p>
        </w:tc>
      </w:tr>
      <w:tr w:rsidR="0044441E" w:rsidRPr="00C53010" w:rsidTr="00FF7F98">
        <w:trPr>
          <w:jc w:val="center"/>
        </w:trPr>
        <w:tc>
          <w:tcPr>
            <w:tcW w:w="2174"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lang w:val="es-ES"/>
              </w:rPr>
            </w:pPr>
            <w:r w:rsidRPr="00C53010">
              <w:rPr>
                <w:sz w:val="18"/>
                <w:szCs w:val="18"/>
                <w:lang w:val="es-ES"/>
              </w:rPr>
              <w:t>18-22 de julio de 2016</w:t>
            </w:r>
          </w:p>
        </w:tc>
        <w:tc>
          <w:tcPr>
            <w:tcW w:w="1989"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 w:val="18"/>
                <w:szCs w:val="18"/>
                <w:lang w:val="es-ES"/>
              </w:rPr>
            </w:pPr>
            <w:r w:rsidRPr="00C53010">
              <w:rPr>
                <w:b/>
                <w:sz w:val="18"/>
                <w:szCs w:val="18"/>
                <w:lang w:val="es-ES"/>
              </w:rPr>
              <w:t>SRR-16 Américas</w:t>
            </w:r>
          </w:p>
        </w:tc>
        <w:tc>
          <w:tcPr>
            <w:tcW w:w="1175" w:type="dxa"/>
            <w:vAlign w:val="center"/>
          </w:tcPr>
          <w:p w:rsidR="0044441E" w:rsidRPr="00C53010" w:rsidRDefault="0044441E" w:rsidP="00C5301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lang w:val="es-ES"/>
              </w:rPr>
            </w:pPr>
            <w:r w:rsidRPr="00C53010">
              <w:rPr>
                <w:sz w:val="18"/>
                <w:szCs w:val="18"/>
                <w:lang w:val="es-ES"/>
              </w:rPr>
              <w:t>Puerto España</w:t>
            </w:r>
            <w:r w:rsidR="001B0E79">
              <w:rPr>
                <w:sz w:val="18"/>
                <w:szCs w:val="18"/>
                <w:lang w:val="es-ES"/>
              </w:rPr>
              <w:t xml:space="preserve">, </w:t>
            </w:r>
            <w:r w:rsidRPr="00C53010">
              <w:rPr>
                <w:sz w:val="18"/>
                <w:szCs w:val="18"/>
                <w:lang w:val="es-ES"/>
              </w:rPr>
              <w:t>Trinidad y T</w:t>
            </w:r>
            <w:r w:rsidR="00C53010">
              <w:rPr>
                <w:sz w:val="18"/>
                <w:szCs w:val="18"/>
                <w:lang w:val="es-ES"/>
              </w:rPr>
              <w:t>o</w:t>
            </w:r>
            <w:r w:rsidRPr="00C53010">
              <w:rPr>
                <w:sz w:val="18"/>
                <w:szCs w:val="18"/>
                <w:lang w:val="es-ES"/>
              </w:rPr>
              <w:t>bago</w:t>
            </w:r>
          </w:p>
        </w:tc>
        <w:tc>
          <w:tcPr>
            <w:tcW w:w="2312"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lang w:val="es-ES"/>
              </w:rPr>
            </w:pPr>
            <w:r w:rsidRPr="00C53010">
              <w:rPr>
                <w:sz w:val="18"/>
                <w:szCs w:val="18"/>
                <w:lang w:val="es-ES"/>
              </w:rPr>
              <w:t>Unión de Telecomunicaciones del Caribe (CTU)</w:t>
            </w:r>
          </w:p>
        </w:tc>
        <w:tc>
          <w:tcPr>
            <w:tcW w:w="1706"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lang w:val="es-ES"/>
              </w:rPr>
            </w:pPr>
            <w:r w:rsidRPr="00C53010">
              <w:rPr>
                <w:sz w:val="18"/>
                <w:szCs w:val="18"/>
                <w:lang w:val="es-ES"/>
              </w:rPr>
              <w:t>Oficina de la UIT de las Américas</w:t>
            </w:r>
          </w:p>
        </w:tc>
        <w:tc>
          <w:tcPr>
            <w:tcW w:w="1841"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lang w:val="es-ES"/>
              </w:rPr>
            </w:pPr>
            <w:r w:rsidRPr="00C53010">
              <w:rPr>
                <w:sz w:val="18"/>
                <w:szCs w:val="18"/>
                <w:lang w:val="es-ES"/>
              </w:rPr>
              <w:t>Resultados de la CMR</w:t>
            </w:r>
            <w:r w:rsidRPr="00C53010">
              <w:rPr>
                <w:sz w:val="18"/>
                <w:szCs w:val="18"/>
                <w:lang w:val="es-ES"/>
              </w:rPr>
              <w:noBreakHyphen/>
              <w:t>15 y orden del día de la CMR-19: retos y oportunidades regionales de armonización del espectro</w:t>
            </w:r>
          </w:p>
        </w:tc>
        <w:tc>
          <w:tcPr>
            <w:tcW w:w="1275"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s-ES"/>
              </w:rPr>
            </w:pPr>
            <w:r w:rsidRPr="00C53010">
              <w:rPr>
                <w:b/>
                <w:sz w:val="18"/>
                <w:szCs w:val="18"/>
                <w:lang w:val="es-ES"/>
              </w:rPr>
              <w:t>E</w:t>
            </w:r>
          </w:p>
        </w:tc>
        <w:tc>
          <w:tcPr>
            <w:tcW w:w="1560"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s-ES"/>
              </w:rPr>
            </w:pPr>
            <w:r w:rsidRPr="00C53010">
              <w:rPr>
                <w:b/>
                <w:sz w:val="18"/>
                <w:szCs w:val="18"/>
                <w:lang w:val="es-ES"/>
              </w:rPr>
              <w:t>31/14</w:t>
            </w:r>
          </w:p>
        </w:tc>
      </w:tr>
      <w:tr w:rsidR="0044441E" w:rsidRPr="00C53010" w:rsidTr="00FF7F98">
        <w:trPr>
          <w:jc w:val="center"/>
        </w:trPr>
        <w:tc>
          <w:tcPr>
            <w:tcW w:w="2174"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lang w:val="es-ES"/>
              </w:rPr>
            </w:pPr>
            <w:r w:rsidRPr="00C53010">
              <w:rPr>
                <w:sz w:val="18"/>
                <w:szCs w:val="18"/>
                <w:lang w:val="es-ES"/>
              </w:rPr>
              <w:t>19-23 de septiembre de 2016</w:t>
            </w:r>
          </w:p>
        </w:tc>
        <w:tc>
          <w:tcPr>
            <w:tcW w:w="1989"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 w:val="18"/>
                <w:szCs w:val="18"/>
                <w:lang w:val="es-ES"/>
              </w:rPr>
            </w:pPr>
            <w:r w:rsidRPr="00C53010">
              <w:rPr>
                <w:b/>
                <w:sz w:val="18"/>
                <w:szCs w:val="18"/>
                <w:lang w:val="es-ES"/>
              </w:rPr>
              <w:t>SRR-16 Asia-Pacífico</w:t>
            </w:r>
          </w:p>
        </w:tc>
        <w:tc>
          <w:tcPr>
            <w:tcW w:w="1175"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lang w:val="es-ES"/>
              </w:rPr>
            </w:pPr>
            <w:r w:rsidRPr="00C53010">
              <w:rPr>
                <w:sz w:val="18"/>
                <w:szCs w:val="18"/>
                <w:lang w:val="es-ES"/>
              </w:rPr>
              <w:t>Apia</w:t>
            </w:r>
            <w:r w:rsidR="001B0E79">
              <w:rPr>
                <w:sz w:val="18"/>
                <w:szCs w:val="18"/>
                <w:lang w:val="es-ES"/>
              </w:rPr>
              <w:t xml:space="preserve">, </w:t>
            </w:r>
            <w:r w:rsidRPr="00C53010">
              <w:rPr>
                <w:sz w:val="18"/>
                <w:szCs w:val="18"/>
                <w:lang w:val="es-ES"/>
              </w:rPr>
              <w:t xml:space="preserve">Samoa </w:t>
            </w:r>
          </w:p>
        </w:tc>
        <w:tc>
          <w:tcPr>
            <w:tcW w:w="2312"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lang w:val="es-ES"/>
              </w:rPr>
            </w:pPr>
            <w:r w:rsidRPr="00C53010">
              <w:rPr>
                <w:sz w:val="18"/>
                <w:szCs w:val="18"/>
                <w:lang w:val="es-ES"/>
              </w:rPr>
              <w:t>Ministerio de TIC de Samoa</w:t>
            </w:r>
          </w:p>
        </w:tc>
        <w:tc>
          <w:tcPr>
            <w:tcW w:w="1706"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lang w:val="es-ES"/>
              </w:rPr>
            </w:pPr>
            <w:r w:rsidRPr="00C53010">
              <w:rPr>
                <w:sz w:val="18"/>
                <w:szCs w:val="18"/>
                <w:lang w:val="es-ES"/>
              </w:rPr>
              <w:t>Oficina de la UIT de Asia y el Pacífico</w:t>
            </w:r>
          </w:p>
        </w:tc>
        <w:tc>
          <w:tcPr>
            <w:tcW w:w="1841"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lang w:val="es-ES"/>
              </w:rPr>
            </w:pPr>
            <w:r w:rsidRPr="00C53010">
              <w:rPr>
                <w:sz w:val="18"/>
                <w:szCs w:val="18"/>
                <w:lang w:val="es-ES"/>
              </w:rPr>
              <w:t>Reducción de la brecha digital en la región: función de las tecnologías de radiocomunicaciones</w:t>
            </w:r>
          </w:p>
        </w:tc>
        <w:tc>
          <w:tcPr>
            <w:tcW w:w="1275"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s-ES"/>
              </w:rPr>
            </w:pPr>
            <w:r w:rsidRPr="00C53010">
              <w:rPr>
                <w:b/>
                <w:sz w:val="18"/>
                <w:szCs w:val="18"/>
                <w:lang w:val="es-ES"/>
              </w:rPr>
              <w:t>E</w:t>
            </w:r>
          </w:p>
        </w:tc>
        <w:tc>
          <w:tcPr>
            <w:tcW w:w="1560" w:type="dxa"/>
            <w:vAlign w:val="center"/>
          </w:tcPr>
          <w:p w:rsidR="0044441E" w:rsidRPr="00C53010" w:rsidRDefault="0044441E" w:rsidP="004444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s-ES"/>
              </w:rPr>
            </w:pPr>
            <w:r w:rsidRPr="00C53010">
              <w:rPr>
                <w:b/>
                <w:sz w:val="18"/>
                <w:szCs w:val="18"/>
                <w:lang w:val="es-ES"/>
              </w:rPr>
              <w:t>78/15</w:t>
            </w:r>
          </w:p>
        </w:tc>
      </w:tr>
      <w:tr w:rsidR="00FA7C73" w:rsidRPr="00C53010" w:rsidTr="00FF7F98">
        <w:trPr>
          <w:jc w:val="center"/>
        </w:trPr>
        <w:tc>
          <w:tcPr>
            <w:tcW w:w="14032" w:type="dxa"/>
            <w:gridSpan w:val="8"/>
            <w:vAlign w:val="center"/>
          </w:tcPr>
          <w:p w:rsidR="00FA7C73" w:rsidRPr="00C53010" w:rsidRDefault="00FA7C73" w:rsidP="001F3A94">
            <w:pPr>
              <w:rPr>
                <w:rFonts w:asciiTheme="majorBidi" w:hAnsiTheme="majorBidi" w:cstheme="majorBidi"/>
                <w:b/>
                <w:bCs/>
                <w:sz w:val="18"/>
                <w:szCs w:val="18"/>
                <w:lang w:val="es-ES"/>
              </w:rPr>
            </w:pPr>
            <w:r w:rsidRPr="00C53010">
              <w:rPr>
                <w:rFonts w:asciiTheme="majorBidi" w:hAnsiTheme="majorBidi" w:cstheme="majorBidi"/>
                <w:b/>
                <w:bCs/>
                <w:sz w:val="18"/>
                <w:szCs w:val="18"/>
                <w:lang w:val="es-ES"/>
              </w:rPr>
              <w:t>2017</w:t>
            </w:r>
          </w:p>
        </w:tc>
      </w:tr>
      <w:tr w:rsidR="00FA7C73" w:rsidRPr="00C53010" w:rsidTr="00FF7F98">
        <w:trPr>
          <w:jc w:val="center"/>
        </w:trPr>
        <w:tc>
          <w:tcPr>
            <w:tcW w:w="2174" w:type="dxa"/>
            <w:vAlign w:val="center"/>
          </w:tcPr>
          <w:p w:rsidR="00FA7C73" w:rsidRPr="00C53010" w:rsidRDefault="00FA7C73" w:rsidP="001F3A94">
            <w:pPr>
              <w:rPr>
                <w:rFonts w:asciiTheme="majorBidi" w:hAnsiTheme="majorBidi" w:cstheme="majorBidi"/>
                <w:sz w:val="18"/>
                <w:szCs w:val="18"/>
                <w:lang w:val="es-ES"/>
              </w:rPr>
            </w:pPr>
          </w:p>
        </w:tc>
        <w:tc>
          <w:tcPr>
            <w:tcW w:w="1989" w:type="dxa"/>
            <w:vAlign w:val="center"/>
          </w:tcPr>
          <w:p w:rsidR="00FA7C73" w:rsidRPr="00C53010" w:rsidRDefault="0044441E" w:rsidP="0044441E">
            <w:pPr>
              <w:rPr>
                <w:rFonts w:asciiTheme="majorBidi" w:hAnsiTheme="majorBidi" w:cstheme="majorBidi"/>
                <w:b/>
                <w:bCs/>
                <w:sz w:val="18"/>
                <w:szCs w:val="18"/>
                <w:lang w:val="es-ES"/>
              </w:rPr>
            </w:pPr>
            <w:r w:rsidRPr="00C53010">
              <w:rPr>
                <w:rFonts w:asciiTheme="majorBidi" w:hAnsiTheme="majorBidi" w:cstheme="majorBidi"/>
                <w:b/>
                <w:bCs/>
                <w:sz w:val="18"/>
                <w:szCs w:val="18"/>
                <w:lang w:val="es-ES"/>
              </w:rPr>
              <w:t>SRR</w:t>
            </w:r>
            <w:r w:rsidR="00FA7C73" w:rsidRPr="00C53010">
              <w:rPr>
                <w:rFonts w:asciiTheme="majorBidi" w:hAnsiTheme="majorBidi" w:cstheme="majorBidi"/>
                <w:b/>
                <w:bCs/>
                <w:sz w:val="18"/>
                <w:szCs w:val="18"/>
                <w:lang w:val="es-ES"/>
              </w:rPr>
              <w:t xml:space="preserve">-17 </w:t>
            </w:r>
            <w:r w:rsidRPr="00C53010">
              <w:rPr>
                <w:rFonts w:asciiTheme="majorBidi" w:hAnsiTheme="majorBidi" w:cstheme="majorBidi"/>
                <w:b/>
                <w:bCs/>
                <w:sz w:val="18"/>
                <w:szCs w:val="18"/>
                <w:lang w:val="es-ES"/>
              </w:rPr>
              <w:t>Á</w:t>
            </w:r>
            <w:r w:rsidR="00FA7C73" w:rsidRPr="00C53010">
              <w:rPr>
                <w:rFonts w:asciiTheme="majorBidi" w:hAnsiTheme="majorBidi" w:cstheme="majorBidi"/>
                <w:b/>
                <w:bCs/>
                <w:sz w:val="18"/>
                <w:szCs w:val="18"/>
                <w:lang w:val="es-ES"/>
              </w:rPr>
              <w:t>frica</w:t>
            </w:r>
          </w:p>
        </w:tc>
        <w:tc>
          <w:tcPr>
            <w:tcW w:w="1175" w:type="dxa"/>
            <w:vAlign w:val="center"/>
          </w:tcPr>
          <w:p w:rsidR="00FA7C73" w:rsidRPr="00C53010" w:rsidRDefault="00FA7C73" w:rsidP="001F3A94">
            <w:pPr>
              <w:rPr>
                <w:rFonts w:asciiTheme="majorBidi" w:hAnsiTheme="majorBidi" w:cstheme="majorBidi"/>
                <w:bCs/>
                <w:sz w:val="18"/>
                <w:szCs w:val="18"/>
                <w:lang w:val="es-ES"/>
              </w:rPr>
            </w:pPr>
            <w:r w:rsidRPr="00C53010">
              <w:rPr>
                <w:rFonts w:asciiTheme="majorBidi" w:hAnsiTheme="majorBidi" w:cstheme="majorBidi"/>
                <w:bCs/>
                <w:sz w:val="18"/>
                <w:szCs w:val="18"/>
                <w:lang w:val="es-ES"/>
              </w:rPr>
              <w:t>Senegal</w:t>
            </w:r>
          </w:p>
        </w:tc>
        <w:tc>
          <w:tcPr>
            <w:tcW w:w="2312" w:type="dxa"/>
            <w:vAlign w:val="center"/>
          </w:tcPr>
          <w:p w:rsidR="00FA7C73" w:rsidRPr="00AB3809" w:rsidRDefault="008E50FD" w:rsidP="00FF7F98">
            <w:pPr>
              <w:rPr>
                <w:rFonts w:asciiTheme="majorBidi" w:hAnsiTheme="majorBidi" w:cstheme="majorBidi"/>
                <w:sz w:val="18"/>
                <w:szCs w:val="18"/>
                <w:lang w:val="fr-CH"/>
              </w:rPr>
            </w:pPr>
            <w:r>
              <w:rPr>
                <w:rFonts w:asciiTheme="majorBidi" w:hAnsiTheme="majorBidi" w:cstheme="majorBidi"/>
                <w:sz w:val="18"/>
                <w:szCs w:val="18"/>
                <w:lang w:val="fr-CH"/>
              </w:rPr>
              <w:t>Ministè</w:t>
            </w:r>
            <w:r w:rsidR="00FA7C73" w:rsidRPr="00AB3809">
              <w:rPr>
                <w:rFonts w:asciiTheme="majorBidi" w:hAnsiTheme="majorBidi" w:cstheme="majorBidi"/>
                <w:sz w:val="18"/>
                <w:szCs w:val="18"/>
                <w:lang w:val="fr-CH"/>
              </w:rPr>
              <w:t xml:space="preserve">re des Postes et Telecommunications (MPT) </w:t>
            </w:r>
            <w:r w:rsidR="00FF7F98">
              <w:rPr>
                <w:rFonts w:asciiTheme="majorBidi" w:hAnsiTheme="majorBidi" w:cstheme="majorBidi"/>
                <w:sz w:val="18"/>
                <w:szCs w:val="18"/>
                <w:lang w:val="fr-CH"/>
              </w:rPr>
              <w:t>y</w:t>
            </w:r>
            <w:r w:rsidR="00FA7C73" w:rsidRPr="00AB3809">
              <w:rPr>
                <w:rFonts w:asciiTheme="majorBidi" w:hAnsiTheme="majorBidi" w:cstheme="majorBidi"/>
                <w:sz w:val="18"/>
                <w:szCs w:val="18"/>
                <w:lang w:val="fr-CH"/>
              </w:rPr>
              <w:t xml:space="preserve"> Autorité de Régulation des Télécommunications et de la Poste (ARTP)</w:t>
            </w:r>
          </w:p>
        </w:tc>
        <w:tc>
          <w:tcPr>
            <w:tcW w:w="1706" w:type="dxa"/>
            <w:vAlign w:val="center"/>
          </w:tcPr>
          <w:p w:rsidR="00FA7C73" w:rsidRPr="00C53010" w:rsidRDefault="00B450A6" w:rsidP="00B450A6">
            <w:pPr>
              <w:rPr>
                <w:rFonts w:asciiTheme="majorBidi" w:hAnsiTheme="majorBidi" w:cstheme="majorBidi"/>
                <w:sz w:val="18"/>
                <w:szCs w:val="18"/>
                <w:lang w:val="es-ES"/>
              </w:rPr>
            </w:pPr>
            <w:r w:rsidRPr="00C53010">
              <w:rPr>
                <w:rFonts w:asciiTheme="majorBidi" w:hAnsiTheme="majorBidi" w:cstheme="majorBidi"/>
                <w:sz w:val="18"/>
                <w:szCs w:val="18"/>
                <w:lang w:val="es-ES"/>
              </w:rPr>
              <w:t>Unión Africana de Telecomunicaciones</w:t>
            </w:r>
            <w:r w:rsidR="00FA7C73" w:rsidRPr="00C53010">
              <w:rPr>
                <w:rFonts w:asciiTheme="majorBidi" w:hAnsiTheme="majorBidi" w:cstheme="majorBidi"/>
                <w:sz w:val="18"/>
                <w:szCs w:val="18"/>
                <w:lang w:val="es-ES"/>
              </w:rPr>
              <w:t xml:space="preserve"> (ATU).</w:t>
            </w:r>
          </w:p>
        </w:tc>
        <w:tc>
          <w:tcPr>
            <w:tcW w:w="1841" w:type="dxa"/>
            <w:vAlign w:val="center"/>
          </w:tcPr>
          <w:p w:rsidR="00FA7C73" w:rsidRPr="00C53010" w:rsidRDefault="00B450A6" w:rsidP="00B450A6">
            <w:pPr>
              <w:rPr>
                <w:rFonts w:asciiTheme="majorBidi" w:hAnsiTheme="majorBidi" w:cstheme="majorBidi"/>
                <w:sz w:val="18"/>
                <w:szCs w:val="18"/>
                <w:lang w:val="es-ES"/>
              </w:rPr>
            </w:pPr>
            <w:r w:rsidRPr="00C53010">
              <w:rPr>
                <w:rFonts w:asciiTheme="majorBidi" w:hAnsiTheme="majorBidi" w:cstheme="majorBidi"/>
                <w:sz w:val="18"/>
                <w:szCs w:val="18"/>
                <w:lang w:val="es-ES"/>
              </w:rPr>
              <w:t>Orden del día de la CMR</w:t>
            </w:r>
            <w:r w:rsidR="00FA7C73" w:rsidRPr="00C53010">
              <w:rPr>
                <w:rFonts w:asciiTheme="majorBidi" w:hAnsiTheme="majorBidi" w:cstheme="majorBidi"/>
                <w:sz w:val="18"/>
                <w:szCs w:val="18"/>
                <w:lang w:val="es-ES"/>
              </w:rPr>
              <w:t xml:space="preserve">-19: </w:t>
            </w:r>
            <w:r w:rsidRPr="00C53010">
              <w:rPr>
                <w:rFonts w:asciiTheme="majorBidi" w:hAnsiTheme="majorBidi" w:cstheme="majorBidi"/>
                <w:sz w:val="18"/>
                <w:szCs w:val="18"/>
                <w:lang w:val="es-ES"/>
              </w:rPr>
              <w:t>retos y oportunidades para África</w:t>
            </w:r>
          </w:p>
        </w:tc>
        <w:tc>
          <w:tcPr>
            <w:tcW w:w="1275" w:type="dxa"/>
            <w:vAlign w:val="center"/>
          </w:tcPr>
          <w:p w:rsidR="00FA7C73" w:rsidRPr="00C53010" w:rsidRDefault="00FA7C73" w:rsidP="001F3A94">
            <w:pPr>
              <w:rPr>
                <w:rFonts w:asciiTheme="majorBidi" w:hAnsiTheme="majorBidi" w:cstheme="majorBidi"/>
                <w:sz w:val="18"/>
                <w:szCs w:val="18"/>
                <w:lang w:val="es-ES"/>
              </w:rPr>
            </w:pPr>
            <w:r w:rsidRPr="00C53010">
              <w:rPr>
                <w:rFonts w:asciiTheme="majorBidi" w:hAnsiTheme="majorBidi" w:cstheme="majorBidi"/>
                <w:sz w:val="18"/>
                <w:szCs w:val="18"/>
                <w:lang w:val="es-ES"/>
              </w:rPr>
              <w:t>E/F</w:t>
            </w:r>
          </w:p>
        </w:tc>
        <w:tc>
          <w:tcPr>
            <w:tcW w:w="1560" w:type="dxa"/>
            <w:vAlign w:val="center"/>
          </w:tcPr>
          <w:p w:rsidR="00FA7C73" w:rsidRPr="00C53010" w:rsidRDefault="00FA7C73" w:rsidP="001F3A94">
            <w:pPr>
              <w:rPr>
                <w:rFonts w:asciiTheme="majorBidi" w:hAnsiTheme="majorBidi" w:cstheme="majorBidi"/>
                <w:sz w:val="18"/>
                <w:szCs w:val="18"/>
                <w:lang w:val="es-ES"/>
              </w:rPr>
            </w:pPr>
            <w:r w:rsidRPr="00C53010">
              <w:rPr>
                <w:rFonts w:asciiTheme="majorBidi" w:hAnsiTheme="majorBidi" w:cstheme="majorBidi"/>
                <w:sz w:val="18"/>
                <w:szCs w:val="18"/>
                <w:lang w:val="es-ES"/>
              </w:rPr>
              <w:t>185/35</w:t>
            </w:r>
          </w:p>
        </w:tc>
      </w:tr>
      <w:tr w:rsidR="00FA7C73" w:rsidRPr="00C53010" w:rsidTr="00FF7F98">
        <w:trPr>
          <w:jc w:val="center"/>
        </w:trPr>
        <w:tc>
          <w:tcPr>
            <w:tcW w:w="2174" w:type="dxa"/>
            <w:vAlign w:val="center"/>
          </w:tcPr>
          <w:p w:rsidR="00FA7C73" w:rsidRPr="00C53010" w:rsidRDefault="00FA7C73" w:rsidP="001F3A94">
            <w:pPr>
              <w:rPr>
                <w:rFonts w:asciiTheme="majorBidi" w:hAnsiTheme="majorBidi" w:cstheme="majorBidi"/>
                <w:sz w:val="18"/>
                <w:szCs w:val="18"/>
                <w:lang w:val="es-ES"/>
              </w:rPr>
            </w:pPr>
          </w:p>
        </w:tc>
        <w:tc>
          <w:tcPr>
            <w:tcW w:w="1989" w:type="dxa"/>
            <w:vAlign w:val="center"/>
          </w:tcPr>
          <w:p w:rsidR="00FA7C73" w:rsidRPr="00C53010" w:rsidRDefault="0044441E" w:rsidP="0044441E">
            <w:pPr>
              <w:rPr>
                <w:rFonts w:asciiTheme="majorBidi" w:hAnsiTheme="majorBidi" w:cstheme="majorBidi"/>
                <w:b/>
                <w:bCs/>
                <w:sz w:val="18"/>
                <w:szCs w:val="18"/>
                <w:lang w:val="es-ES"/>
              </w:rPr>
            </w:pPr>
            <w:r w:rsidRPr="00C53010">
              <w:rPr>
                <w:rFonts w:asciiTheme="majorBidi" w:hAnsiTheme="majorBidi" w:cstheme="majorBidi"/>
                <w:b/>
                <w:bCs/>
                <w:sz w:val="18"/>
                <w:szCs w:val="18"/>
                <w:lang w:val="es-ES"/>
              </w:rPr>
              <w:t>S</w:t>
            </w:r>
            <w:r w:rsidR="00FA7C73" w:rsidRPr="00C53010">
              <w:rPr>
                <w:rFonts w:asciiTheme="majorBidi" w:hAnsiTheme="majorBidi" w:cstheme="majorBidi"/>
                <w:b/>
                <w:bCs/>
                <w:sz w:val="18"/>
                <w:szCs w:val="18"/>
                <w:lang w:val="es-ES"/>
              </w:rPr>
              <w:t>RR-17 Am</w:t>
            </w:r>
            <w:r w:rsidRPr="00C53010">
              <w:rPr>
                <w:rFonts w:asciiTheme="majorBidi" w:hAnsiTheme="majorBidi" w:cstheme="majorBidi"/>
                <w:b/>
                <w:bCs/>
                <w:sz w:val="18"/>
                <w:szCs w:val="18"/>
                <w:lang w:val="es-ES"/>
              </w:rPr>
              <w:t>é</w:t>
            </w:r>
            <w:r w:rsidR="00FA7C73" w:rsidRPr="00C53010">
              <w:rPr>
                <w:rFonts w:asciiTheme="majorBidi" w:hAnsiTheme="majorBidi" w:cstheme="majorBidi"/>
                <w:b/>
                <w:bCs/>
                <w:sz w:val="18"/>
                <w:szCs w:val="18"/>
                <w:lang w:val="es-ES"/>
              </w:rPr>
              <w:t>ricas</w:t>
            </w:r>
          </w:p>
        </w:tc>
        <w:tc>
          <w:tcPr>
            <w:tcW w:w="1175" w:type="dxa"/>
            <w:vAlign w:val="center"/>
          </w:tcPr>
          <w:p w:rsidR="00FA7C73" w:rsidRPr="00C53010" w:rsidRDefault="00C53010" w:rsidP="001F3A94">
            <w:pPr>
              <w:rPr>
                <w:rFonts w:asciiTheme="majorBidi" w:hAnsiTheme="majorBidi" w:cstheme="majorBidi"/>
                <w:bCs/>
                <w:sz w:val="18"/>
                <w:szCs w:val="18"/>
                <w:lang w:val="es-ES"/>
              </w:rPr>
            </w:pPr>
            <w:r w:rsidRPr="00C53010">
              <w:rPr>
                <w:rFonts w:asciiTheme="majorBidi" w:hAnsiTheme="majorBidi" w:cstheme="majorBidi"/>
                <w:bCs/>
                <w:sz w:val="18"/>
                <w:szCs w:val="18"/>
                <w:lang w:val="es-ES"/>
              </w:rPr>
              <w:t>Perú</w:t>
            </w:r>
          </w:p>
        </w:tc>
        <w:tc>
          <w:tcPr>
            <w:tcW w:w="2312" w:type="dxa"/>
            <w:vAlign w:val="center"/>
          </w:tcPr>
          <w:p w:rsidR="00FA7C73" w:rsidRPr="00C53010" w:rsidRDefault="00FA7C73" w:rsidP="001F3A94">
            <w:pPr>
              <w:rPr>
                <w:rFonts w:asciiTheme="majorBidi" w:hAnsiTheme="majorBidi" w:cstheme="majorBidi"/>
                <w:sz w:val="18"/>
                <w:szCs w:val="18"/>
                <w:lang w:val="es-ES"/>
              </w:rPr>
            </w:pPr>
            <w:r w:rsidRPr="00C53010">
              <w:rPr>
                <w:rFonts w:asciiTheme="majorBidi" w:hAnsiTheme="majorBidi" w:cstheme="majorBidi"/>
                <w:sz w:val="18"/>
                <w:szCs w:val="18"/>
                <w:lang w:val="es-ES"/>
              </w:rPr>
              <w:t>Ministerio de Transportes y Comunicaciones (MTC)</w:t>
            </w:r>
          </w:p>
        </w:tc>
        <w:tc>
          <w:tcPr>
            <w:tcW w:w="1706" w:type="dxa"/>
            <w:vAlign w:val="center"/>
          </w:tcPr>
          <w:p w:rsidR="00FA7C73" w:rsidRPr="00C53010" w:rsidRDefault="00B450A6" w:rsidP="001F3A94">
            <w:pPr>
              <w:rPr>
                <w:rFonts w:asciiTheme="majorBidi" w:hAnsiTheme="majorBidi" w:cstheme="majorBidi"/>
                <w:sz w:val="18"/>
                <w:szCs w:val="18"/>
                <w:lang w:val="es-ES"/>
              </w:rPr>
            </w:pPr>
            <w:r w:rsidRPr="00C53010">
              <w:rPr>
                <w:rFonts w:asciiTheme="majorBidi" w:hAnsiTheme="majorBidi" w:cstheme="majorBidi"/>
                <w:sz w:val="18"/>
                <w:szCs w:val="18"/>
                <w:lang w:val="es-ES"/>
              </w:rPr>
              <w:t>Comisión Interamericana de Telecomunicaciones</w:t>
            </w:r>
            <w:r w:rsidR="00FA7C73" w:rsidRPr="00C53010">
              <w:rPr>
                <w:rFonts w:asciiTheme="majorBidi" w:hAnsiTheme="majorBidi" w:cstheme="majorBidi"/>
                <w:sz w:val="18"/>
                <w:szCs w:val="18"/>
                <w:lang w:val="es-ES"/>
              </w:rPr>
              <w:t xml:space="preserve"> (CITEL)</w:t>
            </w:r>
          </w:p>
        </w:tc>
        <w:tc>
          <w:tcPr>
            <w:tcW w:w="1841" w:type="dxa"/>
            <w:vAlign w:val="center"/>
          </w:tcPr>
          <w:p w:rsidR="00FA7C73" w:rsidRPr="00C53010" w:rsidRDefault="00B450A6" w:rsidP="00B450A6">
            <w:pPr>
              <w:rPr>
                <w:rFonts w:asciiTheme="majorBidi" w:hAnsiTheme="majorBidi" w:cstheme="majorBidi"/>
                <w:sz w:val="18"/>
                <w:szCs w:val="18"/>
                <w:lang w:val="es-ES"/>
              </w:rPr>
            </w:pPr>
            <w:r w:rsidRPr="00C53010">
              <w:rPr>
                <w:rFonts w:asciiTheme="majorBidi" w:hAnsiTheme="majorBidi" w:cstheme="majorBidi"/>
                <w:sz w:val="18"/>
                <w:szCs w:val="18"/>
                <w:lang w:val="es-ES"/>
              </w:rPr>
              <w:t>Transición a</w:t>
            </w:r>
            <w:r w:rsidR="00FA7C73" w:rsidRPr="00C53010">
              <w:rPr>
                <w:rFonts w:asciiTheme="majorBidi" w:hAnsiTheme="majorBidi" w:cstheme="majorBidi"/>
                <w:sz w:val="18"/>
                <w:szCs w:val="18"/>
                <w:lang w:val="es-ES"/>
              </w:rPr>
              <w:t xml:space="preserve"> 5G: Present</w:t>
            </w:r>
            <w:r w:rsidRPr="00C53010">
              <w:rPr>
                <w:rFonts w:asciiTheme="majorBidi" w:hAnsiTheme="majorBidi" w:cstheme="majorBidi"/>
                <w:sz w:val="18"/>
                <w:szCs w:val="18"/>
                <w:lang w:val="es-ES"/>
              </w:rPr>
              <w:t>e</w:t>
            </w:r>
            <w:r w:rsidR="00FA7C73" w:rsidRPr="00C53010">
              <w:rPr>
                <w:rFonts w:asciiTheme="majorBidi" w:hAnsiTheme="majorBidi" w:cstheme="majorBidi"/>
                <w:sz w:val="18"/>
                <w:szCs w:val="18"/>
                <w:lang w:val="es-ES"/>
              </w:rPr>
              <w:t xml:space="preserve"> </w:t>
            </w:r>
            <w:r w:rsidRPr="00C53010">
              <w:rPr>
                <w:rFonts w:asciiTheme="majorBidi" w:hAnsiTheme="majorBidi" w:cstheme="majorBidi"/>
                <w:sz w:val="18"/>
                <w:szCs w:val="18"/>
                <w:lang w:val="es-ES"/>
              </w:rPr>
              <w:t>y futuro en América Latina</w:t>
            </w:r>
          </w:p>
        </w:tc>
        <w:tc>
          <w:tcPr>
            <w:tcW w:w="1275" w:type="dxa"/>
            <w:vAlign w:val="center"/>
          </w:tcPr>
          <w:p w:rsidR="00FA7C73" w:rsidRPr="00C53010" w:rsidRDefault="00FA7C73" w:rsidP="001F3A94">
            <w:pPr>
              <w:rPr>
                <w:rFonts w:asciiTheme="majorBidi" w:hAnsiTheme="majorBidi" w:cstheme="majorBidi"/>
                <w:sz w:val="18"/>
                <w:szCs w:val="18"/>
                <w:lang w:val="es-ES"/>
              </w:rPr>
            </w:pPr>
            <w:r w:rsidRPr="00C53010">
              <w:rPr>
                <w:rFonts w:asciiTheme="majorBidi" w:hAnsiTheme="majorBidi" w:cstheme="majorBidi"/>
                <w:sz w:val="18"/>
                <w:szCs w:val="18"/>
                <w:lang w:val="es-ES"/>
              </w:rPr>
              <w:t>S</w:t>
            </w:r>
          </w:p>
        </w:tc>
        <w:tc>
          <w:tcPr>
            <w:tcW w:w="1560" w:type="dxa"/>
            <w:vAlign w:val="center"/>
          </w:tcPr>
          <w:p w:rsidR="00FA7C73" w:rsidRPr="00C53010" w:rsidRDefault="00FA7C73" w:rsidP="001F3A94">
            <w:pPr>
              <w:rPr>
                <w:rFonts w:asciiTheme="majorBidi" w:hAnsiTheme="majorBidi" w:cstheme="majorBidi"/>
                <w:sz w:val="18"/>
                <w:szCs w:val="18"/>
                <w:lang w:val="es-ES"/>
              </w:rPr>
            </w:pPr>
            <w:r w:rsidRPr="00C53010">
              <w:rPr>
                <w:rFonts w:asciiTheme="majorBidi" w:hAnsiTheme="majorBidi" w:cstheme="majorBidi"/>
                <w:sz w:val="18"/>
                <w:szCs w:val="18"/>
                <w:lang w:val="es-ES"/>
              </w:rPr>
              <w:t>70/12</w:t>
            </w:r>
          </w:p>
        </w:tc>
      </w:tr>
      <w:tr w:rsidR="00FA7C73" w:rsidRPr="00C53010" w:rsidTr="00FF7F98">
        <w:trPr>
          <w:jc w:val="center"/>
        </w:trPr>
        <w:tc>
          <w:tcPr>
            <w:tcW w:w="2174" w:type="dxa"/>
            <w:vAlign w:val="center"/>
          </w:tcPr>
          <w:p w:rsidR="00FA7C73" w:rsidRPr="00C53010" w:rsidRDefault="00FA7C73" w:rsidP="001F3A94">
            <w:pPr>
              <w:rPr>
                <w:rFonts w:asciiTheme="majorBidi" w:hAnsiTheme="majorBidi" w:cstheme="majorBidi"/>
                <w:sz w:val="18"/>
                <w:szCs w:val="18"/>
                <w:lang w:val="es-ES"/>
              </w:rPr>
            </w:pPr>
          </w:p>
        </w:tc>
        <w:tc>
          <w:tcPr>
            <w:tcW w:w="1989" w:type="dxa"/>
            <w:vAlign w:val="center"/>
          </w:tcPr>
          <w:p w:rsidR="00FA7C73" w:rsidRPr="00C53010" w:rsidRDefault="0044441E" w:rsidP="0044441E">
            <w:pPr>
              <w:rPr>
                <w:rFonts w:asciiTheme="majorBidi" w:hAnsiTheme="majorBidi" w:cstheme="majorBidi"/>
                <w:b/>
                <w:bCs/>
                <w:sz w:val="18"/>
                <w:szCs w:val="18"/>
                <w:lang w:val="es-ES"/>
              </w:rPr>
            </w:pPr>
            <w:r w:rsidRPr="00C53010">
              <w:rPr>
                <w:rFonts w:asciiTheme="majorBidi" w:hAnsiTheme="majorBidi" w:cstheme="majorBidi"/>
                <w:b/>
                <w:bCs/>
                <w:sz w:val="18"/>
                <w:szCs w:val="18"/>
                <w:lang w:val="es-ES"/>
              </w:rPr>
              <w:t>S</w:t>
            </w:r>
            <w:r w:rsidR="00FA7C73" w:rsidRPr="00C53010">
              <w:rPr>
                <w:rFonts w:asciiTheme="majorBidi" w:hAnsiTheme="majorBidi" w:cstheme="majorBidi"/>
                <w:b/>
                <w:bCs/>
                <w:sz w:val="18"/>
                <w:szCs w:val="18"/>
                <w:lang w:val="es-ES"/>
              </w:rPr>
              <w:t>RR-17 Asia-Pac</w:t>
            </w:r>
            <w:r w:rsidRPr="00C53010">
              <w:rPr>
                <w:rFonts w:asciiTheme="majorBidi" w:hAnsiTheme="majorBidi" w:cstheme="majorBidi"/>
                <w:b/>
                <w:bCs/>
                <w:sz w:val="18"/>
                <w:szCs w:val="18"/>
                <w:lang w:val="es-ES"/>
              </w:rPr>
              <w:t>í</w:t>
            </w:r>
            <w:r w:rsidR="00FA7C73" w:rsidRPr="00C53010">
              <w:rPr>
                <w:rFonts w:asciiTheme="majorBidi" w:hAnsiTheme="majorBidi" w:cstheme="majorBidi"/>
                <w:b/>
                <w:bCs/>
                <w:sz w:val="18"/>
                <w:szCs w:val="18"/>
                <w:lang w:val="es-ES"/>
              </w:rPr>
              <w:t>fic</w:t>
            </w:r>
            <w:r w:rsidRPr="00C53010">
              <w:rPr>
                <w:rFonts w:asciiTheme="majorBidi" w:hAnsiTheme="majorBidi" w:cstheme="majorBidi"/>
                <w:b/>
                <w:bCs/>
                <w:sz w:val="18"/>
                <w:szCs w:val="18"/>
                <w:lang w:val="es-ES"/>
              </w:rPr>
              <w:t>o</w:t>
            </w:r>
          </w:p>
        </w:tc>
        <w:tc>
          <w:tcPr>
            <w:tcW w:w="1175" w:type="dxa"/>
            <w:vAlign w:val="center"/>
          </w:tcPr>
          <w:p w:rsidR="00FA7C73" w:rsidRPr="00C53010" w:rsidRDefault="00FA7C73" w:rsidP="00C53010">
            <w:pPr>
              <w:rPr>
                <w:rFonts w:asciiTheme="majorBidi" w:hAnsiTheme="majorBidi" w:cstheme="majorBidi"/>
                <w:bCs/>
                <w:sz w:val="18"/>
                <w:szCs w:val="18"/>
                <w:lang w:val="es-ES"/>
              </w:rPr>
            </w:pPr>
            <w:r w:rsidRPr="00C53010">
              <w:rPr>
                <w:rFonts w:asciiTheme="majorBidi" w:hAnsiTheme="majorBidi" w:cstheme="majorBidi"/>
                <w:bCs/>
                <w:sz w:val="18"/>
                <w:szCs w:val="18"/>
                <w:lang w:val="es-ES"/>
              </w:rPr>
              <w:t>Cambo</w:t>
            </w:r>
            <w:r w:rsidR="00C53010">
              <w:rPr>
                <w:rFonts w:asciiTheme="majorBidi" w:hAnsiTheme="majorBidi" w:cstheme="majorBidi"/>
                <w:bCs/>
                <w:sz w:val="18"/>
                <w:szCs w:val="18"/>
                <w:lang w:val="es-ES"/>
              </w:rPr>
              <w:t>y</w:t>
            </w:r>
            <w:r w:rsidRPr="00C53010">
              <w:rPr>
                <w:rFonts w:asciiTheme="majorBidi" w:hAnsiTheme="majorBidi" w:cstheme="majorBidi"/>
                <w:bCs/>
                <w:sz w:val="18"/>
                <w:szCs w:val="18"/>
                <w:lang w:val="es-ES"/>
              </w:rPr>
              <w:t>a</w:t>
            </w:r>
          </w:p>
        </w:tc>
        <w:tc>
          <w:tcPr>
            <w:tcW w:w="2312" w:type="dxa"/>
            <w:vAlign w:val="center"/>
          </w:tcPr>
          <w:p w:rsidR="00FA7C73" w:rsidRPr="00C53010" w:rsidRDefault="00FA7C73" w:rsidP="00B450A6">
            <w:pPr>
              <w:rPr>
                <w:rFonts w:asciiTheme="majorBidi" w:hAnsiTheme="majorBidi" w:cstheme="majorBidi"/>
                <w:sz w:val="18"/>
                <w:szCs w:val="18"/>
                <w:lang w:val="es-ES"/>
              </w:rPr>
            </w:pPr>
            <w:r w:rsidRPr="00C53010">
              <w:rPr>
                <w:rFonts w:asciiTheme="majorBidi" w:hAnsiTheme="majorBidi" w:cstheme="majorBidi"/>
                <w:sz w:val="18"/>
                <w:szCs w:val="18"/>
                <w:lang w:val="es-ES"/>
              </w:rPr>
              <w:t> </w:t>
            </w:r>
            <w:hyperlink r:id="rId35" w:history="1">
              <w:r w:rsidR="00B450A6" w:rsidRPr="00C53010">
                <w:rPr>
                  <w:rFonts w:asciiTheme="majorBidi" w:hAnsiTheme="majorBidi" w:cstheme="majorBidi"/>
                  <w:sz w:val="18"/>
                  <w:szCs w:val="18"/>
                  <w:lang w:val="es-ES"/>
                </w:rPr>
                <w:t>Ministerios de Correos y telecomunicaciones de Camboya</w:t>
              </w:r>
              <w:r w:rsidRPr="00C53010">
                <w:rPr>
                  <w:rFonts w:asciiTheme="majorBidi" w:hAnsiTheme="majorBidi" w:cstheme="majorBidi"/>
                  <w:sz w:val="18"/>
                  <w:szCs w:val="18"/>
                  <w:lang w:val="es-ES"/>
                </w:rPr>
                <w:t xml:space="preserve"> (MPTC)</w:t>
              </w:r>
            </w:hyperlink>
            <w:r w:rsidRPr="00C53010">
              <w:rPr>
                <w:rFonts w:asciiTheme="majorBidi" w:hAnsiTheme="majorBidi" w:cstheme="majorBidi"/>
                <w:sz w:val="18"/>
                <w:szCs w:val="18"/>
                <w:lang w:val="es-ES"/>
              </w:rPr>
              <w:t>.</w:t>
            </w:r>
          </w:p>
        </w:tc>
        <w:tc>
          <w:tcPr>
            <w:tcW w:w="1706" w:type="dxa"/>
            <w:vAlign w:val="center"/>
          </w:tcPr>
          <w:p w:rsidR="00FA7C73" w:rsidRPr="00C53010" w:rsidRDefault="00FA7C73" w:rsidP="001F3A94">
            <w:pPr>
              <w:rPr>
                <w:rFonts w:asciiTheme="majorBidi" w:hAnsiTheme="majorBidi" w:cstheme="majorBidi"/>
                <w:sz w:val="18"/>
                <w:szCs w:val="18"/>
                <w:lang w:val="es-ES"/>
              </w:rPr>
            </w:pPr>
          </w:p>
        </w:tc>
        <w:tc>
          <w:tcPr>
            <w:tcW w:w="1841" w:type="dxa"/>
            <w:vAlign w:val="center"/>
          </w:tcPr>
          <w:p w:rsidR="00FA7C73" w:rsidRPr="00C53010" w:rsidRDefault="00B450A6" w:rsidP="00B450A6">
            <w:pPr>
              <w:rPr>
                <w:rFonts w:asciiTheme="majorBidi" w:hAnsiTheme="majorBidi" w:cstheme="majorBidi"/>
                <w:sz w:val="18"/>
                <w:szCs w:val="18"/>
                <w:lang w:val="es-ES"/>
              </w:rPr>
            </w:pPr>
            <w:r w:rsidRPr="00C53010">
              <w:rPr>
                <w:rFonts w:asciiTheme="majorBidi" w:hAnsiTheme="majorBidi" w:cstheme="majorBidi"/>
                <w:sz w:val="18"/>
                <w:szCs w:val="18"/>
                <w:lang w:val="es-ES"/>
              </w:rPr>
              <w:t>Transición a</w:t>
            </w:r>
            <w:r w:rsidR="00FA7C73" w:rsidRPr="00C53010">
              <w:rPr>
                <w:rFonts w:asciiTheme="majorBidi" w:hAnsiTheme="majorBidi" w:cstheme="majorBidi"/>
                <w:sz w:val="18"/>
                <w:szCs w:val="18"/>
                <w:lang w:val="es-ES"/>
              </w:rPr>
              <w:t xml:space="preserve"> 5G </w:t>
            </w:r>
            <w:r w:rsidRPr="00C53010">
              <w:rPr>
                <w:rFonts w:asciiTheme="majorBidi" w:hAnsiTheme="majorBidi" w:cstheme="majorBidi"/>
                <w:sz w:val="18"/>
                <w:szCs w:val="18"/>
                <w:lang w:val="es-ES"/>
              </w:rPr>
              <w:t>en la Región</w:t>
            </w:r>
            <w:r w:rsidRPr="00C53010">
              <w:rPr>
                <w:rFonts w:asciiTheme="majorBidi" w:hAnsiTheme="majorBidi" w:cstheme="majorBidi"/>
                <w:lang w:val="es-ES"/>
              </w:rPr>
              <w:t xml:space="preserve"> </w:t>
            </w:r>
          </w:p>
        </w:tc>
        <w:tc>
          <w:tcPr>
            <w:tcW w:w="1275" w:type="dxa"/>
            <w:vAlign w:val="center"/>
          </w:tcPr>
          <w:p w:rsidR="00FA7C73" w:rsidRPr="00C53010" w:rsidRDefault="00FA7C73" w:rsidP="001F3A94">
            <w:pPr>
              <w:rPr>
                <w:rFonts w:asciiTheme="majorBidi" w:hAnsiTheme="majorBidi" w:cstheme="majorBidi"/>
                <w:sz w:val="18"/>
                <w:szCs w:val="18"/>
                <w:lang w:val="es-ES"/>
              </w:rPr>
            </w:pPr>
            <w:r w:rsidRPr="00C53010">
              <w:rPr>
                <w:rFonts w:asciiTheme="majorBidi" w:hAnsiTheme="majorBidi" w:cstheme="majorBidi"/>
                <w:sz w:val="18"/>
                <w:szCs w:val="18"/>
                <w:lang w:val="es-ES"/>
              </w:rPr>
              <w:t>E</w:t>
            </w:r>
          </w:p>
        </w:tc>
        <w:tc>
          <w:tcPr>
            <w:tcW w:w="1560" w:type="dxa"/>
            <w:vAlign w:val="center"/>
          </w:tcPr>
          <w:p w:rsidR="00FA7C73" w:rsidRPr="00C53010" w:rsidRDefault="00FA7C73" w:rsidP="001F3A94">
            <w:pPr>
              <w:rPr>
                <w:rFonts w:asciiTheme="majorBidi" w:hAnsiTheme="majorBidi" w:cstheme="majorBidi"/>
                <w:sz w:val="18"/>
                <w:szCs w:val="18"/>
                <w:lang w:val="es-ES"/>
              </w:rPr>
            </w:pPr>
            <w:r w:rsidRPr="00C53010">
              <w:rPr>
                <w:rFonts w:asciiTheme="majorBidi" w:hAnsiTheme="majorBidi" w:cstheme="majorBidi"/>
                <w:sz w:val="18"/>
                <w:szCs w:val="18"/>
                <w:lang w:val="es-ES"/>
              </w:rPr>
              <w:t>140/22</w:t>
            </w:r>
          </w:p>
        </w:tc>
      </w:tr>
      <w:tr w:rsidR="00FA7C73" w:rsidRPr="00C53010" w:rsidTr="00FF7F98">
        <w:trPr>
          <w:jc w:val="center"/>
        </w:trPr>
        <w:tc>
          <w:tcPr>
            <w:tcW w:w="2174" w:type="dxa"/>
            <w:vAlign w:val="center"/>
          </w:tcPr>
          <w:p w:rsidR="00FA7C73" w:rsidRPr="00C53010" w:rsidRDefault="00FA7C73" w:rsidP="001F3A94">
            <w:pPr>
              <w:rPr>
                <w:rFonts w:asciiTheme="majorBidi" w:hAnsiTheme="majorBidi" w:cstheme="majorBidi"/>
                <w:sz w:val="18"/>
                <w:szCs w:val="18"/>
                <w:lang w:val="es-ES"/>
              </w:rPr>
            </w:pPr>
          </w:p>
        </w:tc>
        <w:tc>
          <w:tcPr>
            <w:tcW w:w="1989" w:type="dxa"/>
            <w:vAlign w:val="center"/>
          </w:tcPr>
          <w:p w:rsidR="00FA7C73" w:rsidRPr="00C53010" w:rsidRDefault="0044441E" w:rsidP="0044441E">
            <w:pPr>
              <w:rPr>
                <w:rFonts w:asciiTheme="majorBidi" w:hAnsiTheme="majorBidi" w:cstheme="majorBidi"/>
                <w:b/>
                <w:bCs/>
                <w:sz w:val="18"/>
                <w:szCs w:val="18"/>
                <w:lang w:val="es-ES"/>
              </w:rPr>
            </w:pPr>
            <w:r w:rsidRPr="00C53010">
              <w:rPr>
                <w:rFonts w:asciiTheme="majorBidi" w:hAnsiTheme="majorBidi" w:cstheme="majorBidi"/>
                <w:b/>
                <w:bCs/>
                <w:sz w:val="18"/>
                <w:szCs w:val="18"/>
                <w:lang w:val="es-ES"/>
              </w:rPr>
              <w:t>S</w:t>
            </w:r>
            <w:r w:rsidR="00FA7C73" w:rsidRPr="00C53010">
              <w:rPr>
                <w:rFonts w:asciiTheme="majorBidi" w:hAnsiTheme="majorBidi" w:cstheme="majorBidi"/>
                <w:b/>
                <w:bCs/>
                <w:sz w:val="18"/>
                <w:szCs w:val="18"/>
                <w:lang w:val="es-ES"/>
              </w:rPr>
              <w:t xml:space="preserve">RR-17 </w:t>
            </w:r>
            <w:r w:rsidRPr="00C53010">
              <w:rPr>
                <w:rFonts w:asciiTheme="majorBidi" w:hAnsiTheme="majorBidi" w:cstheme="majorBidi"/>
                <w:b/>
                <w:bCs/>
                <w:sz w:val="18"/>
                <w:szCs w:val="18"/>
                <w:lang w:val="es-ES"/>
              </w:rPr>
              <w:t>Á</w:t>
            </w:r>
            <w:r w:rsidR="00FA7C73" w:rsidRPr="00C53010">
              <w:rPr>
                <w:rFonts w:asciiTheme="majorBidi" w:hAnsiTheme="majorBidi" w:cstheme="majorBidi"/>
                <w:b/>
                <w:bCs/>
                <w:sz w:val="18"/>
                <w:szCs w:val="18"/>
                <w:lang w:val="es-ES"/>
              </w:rPr>
              <w:t>rab</w:t>
            </w:r>
            <w:r w:rsidRPr="00C53010">
              <w:rPr>
                <w:rFonts w:asciiTheme="majorBidi" w:hAnsiTheme="majorBidi" w:cstheme="majorBidi"/>
                <w:b/>
                <w:bCs/>
                <w:sz w:val="18"/>
                <w:szCs w:val="18"/>
                <w:lang w:val="es-ES"/>
              </w:rPr>
              <w:t>e</w:t>
            </w:r>
          </w:p>
        </w:tc>
        <w:tc>
          <w:tcPr>
            <w:tcW w:w="1175" w:type="dxa"/>
            <w:vAlign w:val="center"/>
          </w:tcPr>
          <w:p w:rsidR="00FA7C73" w:rsidRPr="00C53010" w:rsidRDefault="00C53010" w:rsidP="001F3A94">
            <w:pPr>
              <w:rPr>
                <w:rFonts w:asciiTheme="majorBidi" w:hAnsiTheme="majorBidi" w:cstheme="majorBidi"/>
                <w:bCs/>
                <w:sz w:val="18"/>
                <w:szCs w:val="18"/>
                <w:lang w:val="es-ES"/>
              </w:rPr>
            </w:pPr>
            <w:r w:rsidRPr="00C53010">
              <w:rPr>
                <w:rFonts w:asciiTheme="majorBidi" w:hAnsiTheme="majorBidi" w:cstheme="majorBidi"/>
                <w:bCs/>
                <w:sz w:val="18"/>
                <w:szCs w:val="18"/>
                <w:lang w:val="es-ES"/>
              </w:rPr>
              <w:t>Omán</w:t>
            </w:r>
          </w:p>
        </w:tc>
        <w:tc>
          <w:tcPr>
            <w:tcW w:w="2312" w:type="dxa"/>
            <w:vAlign w:val="center"/>
          </w:tcPr>
          <w:p w:rsidR="00FA7C73" w:rsidRPr="00C53010" w:rsidRDefault="00B450A6" w:rsidP="00B450A6">
            <w:pPr>
              <w:rPr>
                <w:rFonts w:asciiTheme="majorBidi" w:hAnsiTheme="majorBidi" w:cstheme="majorBidi"/>
                <w:sz w:val="18"/>
                <w:szCs w:val="18"/>
                <w:lang w:val="es-ES"/>
              </w:rPr>
            </w:pPr>
            <w:r w:rsidRPr="00C53010">
              <w:rPr>
                <w:rFonts w:asciiTheme="majorBidi" w:hAnsiTheme="majorBidi" w:cstheme="majorBidi"/>
                <w:sz w:val="18"/>
                <w:szCs w:val="18"/>
                <w:lang w:val="es-ES"/>
              </w:rPr>
              <w:t>Autoridad de Reglamentación de las Telecomunicaciones de Omán</w:t>
            </w:r>
            <w:hyperlink r:id="rId36" w:tgtFrame="_blank" w:history="1">
              <w:r w:rsidR="00FA7C73" w:rsidRPr="00C53010">
                <w:rPr>
                  <w:rFonts w:asciiTheme="majorBidi" w:hAnsiTheme="majorBidi" w:cstheme="majorBidi"/>
                  <w:sz w:val="18"/>
                  <w:szCs w:val="18"/>
                  <w:lang w:val="es-ES"/>
                </w:rPr>
                <w:t xml:space="preserve"> (TRA)</w:t>
              </w:r>
            </w:hyperlink>
            <w:r w:rsidR="00454C57">
              <w:rPr>
                <w:rFonts w:asciiTheme="majorBidi" w:hAnsiTheme="majorBidi" w:cstheme="majorBidi"/>
                <w:sz w:val="18"/>
                <w:szCs w:val="18"/>
                <w:lang w:val="es-ES"/>
              </w:rPr>
              <w:t> </w:t>
            </w:r>
            <w:r w:rsidR="00FA7C73" w:rsidRPr="00C53010">
              <w:rPr>
                <w:rFonts w:asciiTheme="majorBidi" w:hAnsiTheme="majorBidi" w:cstheme="majorBidi"/>
                <w:sz w:val="18"/>
                <w:szCs w:val="18"/>
                <w:lang w:val="es-ES"/>
              </w:rPr>
              <w:t> </w:t>
            </w:r>
          </w:p>
        </w:tc>
        <w:tc>
          <w:tcPr>
            <w:tcW w:w="1706" w:type="dxa"/>
            <w:vAlign w:val="center"/>
          </w:tcPr>
          <w:p w:rsidR="00FA7C73" w:rsidRPr="00C53010" w:rsidRDefault="00FA7C73" w:rsidP="001F3A94">
            <w:pPr>
              <w:rPr>
                <w:rFonts w:asciiTheme="majorBidi" w:hAnsiTheme="majorBidi" w:cstheme="majorBidi"/>
                <w:sz w:val="18"/>
                <w:szCs w:val="18"/>
                <w:lang w:val="es-ES"/>
              </w:rPr>
            </w:pPr>
            <w:r w:rsidRPr="00C53010">
              <w:rPr>
                <w:rFonts w:asciiTheme="majorBidi" w:hAnsiTheme="majorBidi" w:cstheme="majorBidi"/>
                <w:sz w:val="18"/>
                <w:szCs w:val="18"/>
                <w:lang w:val="es-ES"/>
              </w:rPr>
              <w:t>ASMG</w:t>
            </w:r>
          </w:p>
        </w:tc>
        <w:tc>
          <w:tcPr>
            <w:tcW w:w="1841" w:type="dxa"/>
            <w:vAlign w:val="center"/>
          </w:tcPr>
          <w:p w:rsidR="00FA7C73" w:rsidRPr="00C53010" w:rsidRDefault="00B450A6" w:rsidP="00B450A6">
            <w:pPr>
              <w:rPr>
                <w:rFonts w:asciiTheme="majorBidi" w:hAnsiTheme="majorBidi" w:cstheme="majorBidi"/>
                <w:sz w:val="18"/>
                <w:szCs w:val="18"/>
                <w:lang w:val="es-ES"/>
              </w:rPr>
            </w:pPr>
            <w:r w:rsidRPr="00C53010">
              <w:rPr>
                <w:rFonts w:asciiTheme="majorBidi" w:hAnsiTheme="majorBidi" w:cstheme="majorBidi"/>
                <w:sz w:val="18"/>
                <w:szCs w:val="18"/>
                <w:lang w:val="es-ES"/>
              </w:rPr>
              <w:t>Orden del día de la CMR-19: retos y oportunidades para la Región Árabe</w:t>
            </w:r>
          </w:p>
        </w:tc>
        <w:tc>
          <w:tcPr>
            <w:tcW w:w="1275" w:type="dxa"/>
            <w:vAlign w:val="center"/>
          </w:tcPr>
          <w:p w:rsidR="00FA7C73" w:rsidRPr="00C53010" w:rsidRDefault="00FA7C73" w:rsidP="001F3A94">
            <w:pPr>
              <w:rPr>
                <w:rFonts w:asciiTheme="majorBidi" w:hAnsiTheme="majorBidi" w:cstheme="majorBidi"/>
                <w:sz w:val="18"/>
                <w:szCs w:val="18"/>
                <w:lang w:val="es-ES"/>
              </w:rPr>
            </w:pPr>
            <w:r w:rsidRPr="00C53010">
              <w:rPr>
                <w:rFonts w:asciiTheme="majorBidi" w:hAnsiTheme="majorBidi" w:cstheme="majorBidi"/>
                <w:sz w:val="18"/>
                <w:szCs w:val="18"/>
                <w:lang w:val="es-ES"/>
              </w:rPr>
              <w:t>A/E</w:t>
            </w:r>
          </w:p>
        </w:tc>
        <w:tc>
          <w:tcPr>
            <w:tcW w:w="1560" w:type="dxa"/>
            <w:vAlign w:val="center"/>
          </w:tcPr>
          <w:p w:rsidR="00FA7C73" w:rsidRPr="00C53010" w:rsidRDefault="00FA7C73" w:rsidP="001F3A94">
            <w:pPr>
              <w:rPr>
                <w:rFonts w:asciiTheme="majorBidi" w:hAnsiTheme="majorBidi" w:cstheme="majorBidi"/>
                <w:sz w:val="18"/>
                <w:szCs w:val="18"/>
                <w:lang w:val="es-ES"/>
              </w:rPr>
            </w:pPr>
            <w:r w:rsidRPr="00C53010">
              <w:rPr>
                <w:rFonts w:asciiTheme="majorBidi" w:hAnsiTheme="majorBidi" w:cstheme="majorBidi"/>
                <w:sz w:val="18"/>
                <w:szCs w:val="18"/>
                <w:lang w:val="es-ES"/>
              </w:rPr>
              <w:t>153/15</w:t>
            </w:r>
          </w:p>
        </w:tc>
      </w:tr>
    </w:tbl>
    <w:p w:rsidR="00FA7C73" w:rsidRPr="00C53010" w:rsidRDefault="00FA7C73" w:rsidP="001F3A94">
      <w:pPr>
        <w:pStyle w:val="TabletitleBR"/>
        <w:rPr>
          <w:lang w:val="es-ES"/>
        </w:rPr>
      </w:pPr>
    </w:p>
    <w:p w:rsidR="00FA7C73" w:rsidRPr="00C53010" w:rsidRDefault="00FA7C73" w:rsidP="001F3A94">
      <w:pPr>
        <w:rPr>
          <w:rFonts w:asciiTheme="majorBidi" w:hAnsiTheme="majorBidi" w:cstheme="majorBidi"/>
          <w:lang w:val="es-ES"/>
        </w:rPr>
        <w:sectPr w:rsidR="00FA7C73" w:rsidRPr="00C53010" w:rsidSect="003045E9">
          <w:headerReference w:type="default" r:id="rId37"/>
          <w:footerReference w:type="default" r:id="rId38"/>
          <w:pgSz w:w="16840" w:h="11907" w:orient="landscape" w:code="9"/>
          <w:pgMar w:top="1134" w:right="1418" w:bottom="1134" w:left="851" w:header="720" w:footer="720" w:gutter="0"/>
          <w:paperSrc w:first="15" w:other="15"/>
          <w:cols w:space="720"/>
          <w:docGrid w:linePitch="326"/>
        </w:sectPr>
      </w:pPr>
    </w:p>
    <w:p w:rsidR="00FA7C73" w:rsidRPr="00C53010" w:rsidRDefault="00FA7C73" w:rsidP="00B450A6">
      <w:pPr>
        <w:pStyle w:val="Heading3"/>
        <w:rPr>
          <w:lang w:val="es-ES"/>
        </w:rPr>
      </w:pPr>
      <w:bookmarkStart w:id="84" w:name="_Toc424047604"/>
      <w:bookmarkStart w:id="85" w:name="_Toc446060787"/>
      <w:bookmarkStart w:id="86" w:name="_Toc446060786"/>
      <w:r w:rsidRPr="00C53010">
        <w:rPr>
          <w:lang w:val="es-ES"/>
        </w:rPr>
        <w:lastRenderedPageBreak/>
        <w:t>8.2.2</w:t>
      </w:r>
      <w:r w:rsidRPr="00C53010">
        <w:rPr>
          <w:lang w:val="es-ES"/>
        </w:rPr>
        <w:tab/>
      </w:r>
      <w:bookmarkEnd w:id="84"/>
      <w:bookmarkEnd w:id="85"/>
      <w:r w:rsidR="00B450A6" w:rsidRPr="00C53010">
        <w:rPr>
          <w:lang w:val="es-ES"/>
        </w:rPr>
        <w:t xml:space="preserve">Otros eventos </w:t>
      </w:r>
    </w:p>
    <w:p w:rsidR="00FA7C73" w:rsidRPr="00C53010" w:rsidRDefault="002002CB" w:rsidP="002F2FC2">
      <w:pPr>
        <w:rPr>
          <w:rFonts w:asciiTheme="minorHAnsi" w:hAnsiTheme="minorHAnsi" w:cs="Calibri"/>
          <w:szCs w:val="24"/>
          <w:lang w:val="es-ES"/>
        </w:rPr>
      </w:pPr>
      <w:r w:rsidRPr="00C53010">
        <w:rPr>
          <w:lang w:val="es-ES"/>
        </w:rPr>
        <w:t xml:space="preserve">La BR </w:t>
      </w:r>
      <w:r w:rsidR="00563A5C" w:rsidRPr="00C53010">
        <w:rPr>
          <w:lang w:val="es-ES"/>
        </w:rPr>
        <w:t xml:space="preserve">también </w:t>
      </w:r>
      <w:r w:rsidRPr="00C53010">
        <w:rPr>
          <w:lang w:val="es-ES"/>
        </w:rPr>
        <w:t>prestó apoyo a otros seminarios de la UIT sobre temas tales como la gestión del espectro</w:t>
      </w:r>
      <w:r w:rsidR="001B0E79">
        <w:rPr>
          <w:lang w:val="es-ES"/>
        </w:rPr>
        <w:t xml:space="preserve">, </w:t>
      </w:r>
      <w:r w:rsidRPr="00C53010">
        <w:rPr>
          <w:lang w:val="es-ES"/>
        </w:rPr>
        <w:t>las aplicaciones de las radiocomunicaciones espaciales</w:t>
      </w:r>
      <w:r w:rsidR="001B0E79">
        <w:rPr>
          <w:lang w:val="es-ES"/>
        </w:rPr>
        <w:t xml:space="preserve">, </w:t>
      </w:r>
      <w:r w:rsidRPr="00C53010">
        <w:rPr>
          <w:lang w:val="es-ES"/>
        </w:rPr>
        <w:t>el cambio climático y las telecomunicaciones de emergencia.</w:t>
      </w:r>
      <w:r w:rsidR="00FA7C73" w:rsidRPr="00C53010">
        <w:rPr>
          <w:lang w:val="es-ES"/>
        </w:rPr>
        <w:t xml:space="preserve"> </w:t>
      </w:r>
      <w:r w:rsidR="00B450A6" w:rsidRPr="00C53010">
        <w:rPr>
          <w:lang w:val="es-ES"/>
        </w:rPr>
        <w:t>Otros evento</w:t>
      </w:r>
      <w:r w:rsidR="00563A5C" w:rsidRPr="00C53010">
        <w:rPr>
          <w:lang w:val="es-ES"/>
        </w:rPr>
        <w:t>s</w:t>
      </w:r>
      <w:r w:rsidR="00B450A6" w:rsidRPr="00C53010">
        <w:rPr>
          <w:lang w:val="es-ES"/>
        </w:rPr>
        <w:t xml:space="preserve"> </w:t>
      </w:r>
      <w:r w:rsidR="00563A5C" w:rsidRPr="00C53010">
        <w:rPr>
          <w:lang w:val="es-ES"/>
        </w:rPr>
        <w:t xml:space="preserve">fueron los </w:t>
      </w:r>
      <w:r w:rsidR="00B450A6" w:rsidRPr="00C53010">
        <w:rPr>
          <w:lang w:val="es-ES"/>
        </w:rPr>
        <w:t xml:space="preserve">simposios sobre satélites y el taller sobre </w:t>
      </w:r>
      <w:r w:rsidR="00FA7C73" w:rsidRPr="00C53010">
        <w:rPr>
          <w:lang w:val="es-ES"/>
        </w:rPr>
        <w:t xml:space="preserve">Internet </w:t>
      </w:r>
      <w:r w:rsidR="00B450A6" w:rsidRPr="00C53010">
        <w:rPr>
          <w:lang w:val="es-ES"/>
        </w:rPr>
        <w:t>de las cosas</w:t>
      </w:r>
      <w:r w:rsidRPr="00C53010">
        <w:rPr>
          <w:bCs/>
          <w:lang w:val="es-ES"/>
        </w:rPr>
        <w:t>.</w:t>
      </w:r>
      <w:r w:rsidRPr="00C53010">
        <w:rPr>
          <w:lang w:val="es-ES"/>
        </w:rPr>
        <w:t xml:space="preserve"> </w:t>
      </w:r>
      <w:r w:rsidR="00B450A6" w:rsidRPr="00C53010">
        <w:rPr>
          <w:lang w:val="es-ES"/>
        </w:rPr>
        <w:t>Los e</w:t>
      </w:r>
      <w:r w:rsidR="00FA7C73" w:rsidRPr="00C53010">
        <w:rPr>
          <w:lang w:val="es-ES"/>
        </w:rPr>
        <w:t>vent</w:t>
      </w:r>
      <w:r w:rsidR="00B450A6" w:rsidRPr="00C53010">
        <w:rPr>
          <w:lang w:val="es-ES"/>
        </w:rPr>
        <w:t>o</w:t>
      </w:r>
      <w:r w:rsidR="00FA7C73" w:rsidRPr="00C53010">
        <w:rPr>
          <w:lang w:val="es-ES"/>
        </w:rPr>
        <w:t xml:space="preserve">s </w:t>
      </w:r>
      <w:r w:rsidR="00B450A6" w:rsidRPr="00C53010">
        <w:rPr>
          <w:lang w:val="es-ES"/>
        </w:rPr>
        <w:t>organizados en el UI</w:t>
      </w:r>
      <w:r w:rsidR="00FA7C73" w:rsidRPr="00C53010">
        <w:rPr>
          <w:lang w:val="es-ES"/>
        </w:rPr>
        <w:t xml:space="preserve">T-R </w:t>
      </w:r>
      <w:r w:rsidR="00B450A6" w:rsidRPr="00C53010">
        <w:rPr>
          <w:lang w:val="es-ES"/>
        </w:rPr>
        <w:t>figuran en</w:t>
      </w:r>
      <w:r w:rsidR="00FA7C73" w:rsidRPr="00C53010">
        <w:rPr>
          <w:lang w:val="es-ES"/>
        </w:rPr>
        <w:t xml:space="preserve">: </w:t>
      </w:r>
      <w:hyperlink r:id="rId39" w:history="1">
        <w:r w:rsidR="002F2FC2">
          <w:rPr>
            <w:rStyle w:val="Hyperlink"/>
            <w:lang w:val="es-ES"/>
          </w:rPr>
          <w:t>http://www.itu.int/ITU-R/g</w:t>
        </w:r>
        <w:r w:rsidR="002F2FC2">
          <w:rPr>
            <w:rStyle w:val="Hyperlink"/>
            <w:lang w:val="es-ES"/>
          </w:rPr>
          <w:t>o</w:t>
        </w:r>
        <w:r w:rsidR="002F2FC2">
          <w:rPr>
            <w:rStyle w:val="Hyperlink"/>
            <w:lang w:val="es-ES"/>
          </w:rPr>
          <w:t>/seminars</w:t>
        </w:r>
      </w:hyperlink>
      <w:r w:rsidR="00FA7C73" w:rsidRPr="00C53010">
        <w:rPr>
          <w:lang w:val="es-ES"/>
        </w:rPr>
        <w:t xml:space="preserve">. </w:t>
      </w:r>
      <w:r w:rsidR="00B450A6" w:rsidRPr="00C53010">
        <w:rPr>
          <w:lang w:val="es-ES"/>
        </w:rPr>
        <w:t xml:space="preserve">En el Cuadro </w:t>
      </w:r>
      <w:r w:rsidR="00FA7C73" w:rsidRPr="00C53010">
        <w:rPr>
          <w:lang w:val="es-ES"/>
        </w:rPr>
        <w:t xml:space="preserve">8.2.2-1 </w:t>
      </w:r>
      <w:r w:rsidR="00B450A6" w:rsidRPr="00C53010">
        <w:rPr>
          <w:lang w:val="es-ES"/>
        </w:rPr>
        <w:t xml:space="preserve">se </w:t>
      </w:r>
      <w:r w:rsidR="00FA7C73" w:rsidRPr="00C53010">
        <w:rPr>
          <w:lang w:val="es-ES"/>
        </w:rPr>
        <w:t xml:space="preserve">ilustra </w:t>
      </w:r>
      <w:r w:rsidR="00B450A6" w:rsidRPr="00C53010">
        <w:rPr>
          <w:lang w:val="es-ES"/>
        </w:rPr>
        <w:t>esta actividad</w:t>
      </w:r>
      <w:r w:rsidR="00FA7C73" w:rsidRPr="00C53010">
        <w:rPr>
          <w:lang w:val="es-ES"/>
        </w:rPr>
        <w:t xml:space="preserve">. </w:t>
      </w:r>
      <w:r w:rsidR="00B450A6" w:rsidRPr="00C53010">
        <w:rPr>
          <w:lang w:val="es-ES"/>
        </w:rPr>
        <w:t xml:space="preserve">Algunos eventos importantes en el periodo </w:t>
      </w:r>
      <w:r w:rsidR="00FA7C73" w:rsidRPr="00C53010">
        <w:rPr>
          <w:lang w:val="es-ES"/>
        </w:rPr>
        <w:t>2014-2017</w:t>
      </w:r>
      <w:bookmarkEnd w:id="86"/>
      <w:r w:rsidR="00FA7C73" w:rsidRPr="00C53010">
        <w:rPr>
          <w:lang w:val="es-ES"/>
        </w:rPr>
        <w:t xml:space="preserve"> </w:t>
      </w:r>
      <w:r w:rsidR="00B450A6" w:rsidRPr="00C53010">
        <w:rPr>
          <w:lang w:val="es-ES"/>
        </w:rPr>
        <w:t>fueron</w:t>
      </w:r>
      <w:r w:rsidR="00FA7C73" w:rsidRPr="00C53010">
        <w:rPr>
          <w:lang w:val="es-ES"/>
        </w:rPr>
        <w:t>:</w:t>
      </w:r>
    </w:p>
    <w:p w:rsidR="00FA7C73" w:rsidRPr="00C53010" w:rsidRDefault="00563D35" w:rsidP="00563D35">
      <w:pPr>
        <w:pStyle w:val="enumlev1"/>
        <w:rPr>
          <w:lang w:val="es-ES"/>
        </w:rPr>
      </w:pPr>
      <w:r>
        <w:rPr>
          <w:lang w:val="es-ES"/>
        </w:rPr>
        <w:t>•</w:t>
      </w:r>
      <w:r>
        <w:rPr>
          <w:lang w:val="es-ES"/>
        </w:rPr>
        <w:tab/>
      </w:r>
      <w:r w:rsidR="00B450A6" w:rsidRPr="00C53010">
        <w:rPr>
          <w:lang w:val="es-ES"/>
        </w:rPr>
        <w:t>Simposios internacional de satélites</w:t>
      </w:r>
      <w:r w:rsidR="00FA7C73" w:rsidRPr="00C53010">
        <w:rPr>
          <w:lang w:val="es-ES"/>
        </w:rPr>
        <w:t xml:space="preserve">: 5 </w:t>
      </w:r>
      <w:r w:rsidR="00B450A6" w:rsidRPr="00C53010">
        <w:rPr>
          <w:lang w:val="es-ES"/>
        </w:rPr>
        <w:t>simposios e</w:t>
      </w:r>
      <w:r w:rsidR="00FA7C73" w:rsidRPr="00C53010">
        <w:rPr>
          <w:lang w:val="es-ES"/>
        </w:rPr>
        <w:t xml:space="preserve">n: Bangkok </w:t>
      </w:r>
      <w:r w:rsidR="00B450A6" w:rsidRPr="00C53010">
        <w:rPr>
          <w:lang w:val="es-ES"/>
        </w:rPr>
        <w:t>(</w:t>
      </w:r>
      <w:r w:rsidR="00FA7C73" w:rsidRPr="00C53010">
        <w:rPr>
          <w:lang w:val="es-ES"/>
        </w:rPr>
        <w:t>Tailand</w:t>
      </w:r>
      <w:r w:rsidR="00B450A6" w:rsidRPr="00C53010">
        <w:rPr>
          <w:lang w:val="es-ES"/>
        </w:rPr>
        <w:t>ia)</w:t>
      </w:r>
      <w:r w:rsidR="00FA7C73" w:rsidRPr="00C53010">
        <w:rPr>
          <w:lang w:val="es-ES"/>
        </w:rPr>
        <w:t xml:space="preserve"> (2)</w:t>
      </w:r>
      <w:r w:rsidR="001B0E79">
        <w:rPr>
          <w:lang w:val="es-ES"/>
        </w:rPr>
        <w:t xml:space="preserve">, </w:t>
      </w:r>
      <w:r w:rsidR="00FA7C73" w:rsidRPr="00C53010">
        <w:rPr>
          <w:lang w:val="es-ES"/>
        </w:rPr>
        <w:t>Da-Nang (Vietnam)</w:t>
      </w:r>
      <w:r w:rsidR="001B0E79">
        <w:rPr>
          <w:lang w:val="es-ES"/>
        </w:rPr>
        <w:t xml:space="preserve">, </w:t>
      </w:r>
      <w:r w:rsidR="00FA7C73" w:rsidRPr="00C53010">
        <w:rPr>
          <w:lang w:val="es-ES"/>
        </w:rPr>
        <w:t>Denpasar (Indonesia)</w:t>
      </w:r>
      <w:r w:rsidR="001B0E79">
        <w:rPr>
          <w:lang w:val="es-ES"/>
        </w:rPr>
        <w:t xml:space="preserve">, </w:t>
      </w:r>
      <w:r w:rsidR="00FA7C73" w:rsidRPr="00C53010">
        <w:rPr>
          <w:lang w:val="es-ES"/>
        </w:rPr>
        <w:t>Bariloche (Argentina)</w:t>
      </w:r>
    </w:p>
    <w:p w:rsidR="00FA7C73" w:rsidRPr="00C53010" w:rsidRDefault="00563D35" w:rsidP="00563D35">
      <w:pPr>
        <w:pStyle w:val="enumlev1"/>
        <w:rPr>
          <w:lang w:val="es-ES"/>
        </w:rPr>
      </w:pPr>
      <w:r>
        <w:rPr>
          <w:lang w:val="es-ES"/>
        </w:rPr>
        <w:t>•</w:t>
      </w:r>
      <w:r>
        <w:rPr>
          <w:lang w:val="es-ES"/>
        </w:rPr>
        <w:tab/>
      </w:r>
      <w:r w:rsidR="00B450A6" w:rsidRPr="00C53010">
        <w:rPr>
          <w:lang w:val="es-ES"/>
        </w:rPr>
        <w:t>Simposios sobre satélites pequeños</w:t>
      </w:r>
      <w:r w:rsidR="00FA7C73" w:rsidRPr="00C53010">
        <w:rPr>
          <w:lang w:val="es-ES"/>
        </w:rPr>
        <w:t>: 2 event</w:t>
      </w:r>
      <w:r w:rsidR="00B450A6" w:rsidRPr="00C53010">
        <w:rPr>
          <w:lang w:val="es-ES"/>
        </w:rPr>
        <w:t>o</w:t>
      </w:r>
      <w:r w:rsidR="00FA7C73" w:rsidRPr="00C53010">
        <w:rPr>
          <w:lang w:val="es-ES"/>
        </w:rPr>
        <w:t xml:space="preserve">s </w:t>
      </w:r>
      <w:r w:rsidR="00B450A6" w:rsidRPr="00C53010">
        <w:rPr>
          <w:lang w:val="es-ES"/>
        </w:rPr>
        <w:t>e</w:t>
      </w:r>
      <w:r w:rsidR="00FA7C73" w:rsidRPr="00C53010">
        <w:rPr>
          <w:lang w:val="es-ES"/>
        </w:rPr>
        <w:t>n: Prag</w:t>
      </w:r>
      <w:r w:rsidR="00B450A6" w:rsidRPr="00C53010">
        <w:rPr>
          <w:lang w:val="es-ES"/>
        </w:rPr>
        <w:t>a</w:t>
      </w:r>
      <w:r w:rsidR="00FA7C73" w:rsidRPr="00C53010">
        <w:rPr>
          <w:lang w:val="es-ES"/>
        </w:rPr>
        <w:t xml:space="preserve"> (</w:t>
      </w:r>
      <w:r w:rsidR="00B450A6" w:rsidRPr="00C53010">
        <w:rPr>
          <w:lang w:val="es-ES"/>
        </w:rPr>
        <w:t>República Checa</w:t>
      </w:r>
      <w:r w:rsidR="00FA7C73" w:rsidRPr="00C53010">
        <w:rPr>
          <w:lang w:val="es-ES"/>
        </w:rPr>
        <w:t>)</w:t>
      </w:r>
      <w:r w:rsidR="00B450A6" w:rsidRPr="00C53010">
        <w:rPr>
          <w:lang w:val="es-ES"/>
        </w:rPr>
        <w:t xml:space="preserve"> y</w:t>
      </w:r>
      <w:r w:rsidR="00FA7C73" w:rsidRPr="00C53010">
        <w:rPr>
          <w:lang w:val="es-ES"/>
        </w:rPr>
        <w:t xml:space="preserve"> Santiago de Chile (Chile).</w:t>
      </w:r>
    </w:p>
    <w:p w:rsidR="00FA7C73" w:rsidRPr="00C53010" w:rsidRDefault="00FA7C73" w:rsidP="00563A5C">
      <w:pPr>
        <w:pStyle w:val="Heading2"/>
        <w:rPr>
          <w:lang w:val="es-ES"/>
        </w:rPr>
      </w:pPr>
      <w:bookmarkStart w:id="87" w:name="_Toc424047610"/>
      <w:bookmarkStart w:id="88" w:name="_Toc446060788"/>
      <w:r w:rsidRPr="00C53010">
        <w:rPr>
          <w:lang w:val="es-ES"/>
        </w:rPr>
        <w:t>8.3</w:t>
      </w:r>
      <w:r w:rsidRPr="00C53010">
        <w:rPr>
          <w:lang w:val="es-ES"/>
        </w:rPr>
        <w:tab/>
      </w:r>
      <w:bookmarkEnd w:id="87"/>
      <w:bookmarkEnd w:id="88"/>
      <w:r w:rsidR="00563A5C" w:rsidRPr="00C53010">
        <w:rPr>
          <w:lang w:val="es-ES"/>
        </w:rPr>
        <w:t>Asistencia a los Estados Miembros</w:t>
      </w:r>
    </w:p>
    <w:p w:rsidR="00FA7C73" w:rsidRPr="00C53010" w:rsidRDefault="00FA7C73" w:rsidP="00563A5C">
      <w:pPr>
        <w:pStyle w:val="Heading3"/>
        <w:rPr>
          <w:lang w:val="es-ES"/>
        </w:rPr>
      </w:pPr>
      <w:bookmarkStart w:id="89" w:name="_Toc424047611"/>
      <w:bookmarkStart w:id="90" w:name="_Toc446060789"/>
      <w:r w:rsidRPr="00C53010">
        <w:rPr>
          <w:lang w:val="es-ES"/>
        </w:rPr>
        <w:t>8.3.1</w:t>
      </w:r>
      <w:r w:rsidRPr="00C53010">
        <w:rPr>
          <w:lang w:val="es-ES"/>
        </w:rPr>
        <w:tab/>
      </w:r>
      <w:bookmarkEnd w:id="89"/>
      <w:bookmarkEnd w:id="90"/>
      <w:r w:rsidR="00563A5C" w:rsidRPr="00C53010">
        <w:rPr>
          <w:lang w:val="es-ES"/>
        </w:rPr>
        <w:t>Asistencia a las administraciones de países en desarrollo</w:t>
      </w:r>
    </w:p>
    <w:p w:rsidR="00FA7C73" w:rsidRPr="00C53010" w:rsidRDefault="00563A5C" w:rsidP="00642781">
      <w:pPr>
        <w:rPr>
          <w:lang w:val="es-ES"/>
        </w:rPr>
      </w:pPr>
      <w:r w:rsidRPr="00C53010">
        <w:rPr>
          <w:lang w:val="es-ES"/>
        </w:rPr>
        <w:t>Desde 2014</w:t>
      </w:r>
      <w:r w:rsidR="001B0E79">
        <w:rPr>
          <w:lang w:val="es-ES"/>
        </w:rPr>
        <w:t xml:space="preserve">, </w:t>
      </w:r>
      <w:r w:rsidRPr="00C53010">
        <w:rPr>
          <w:lang w:val="es-ES"/>
        </w:rPr>
        <w:t>la Oficina ha prestado asistencia a administraciones de</w:t>
      </w:r>
      <w:r w:rsidR="00642781">
        <w:rPr>
          <w:lang w:val="es-ES"/>
        </w:rPr>
        <w:t xml:space="preserve"> países en desarrollo en más de </w:t>
      </w:r>
      <w:r w:rsidRPr="00C53010">
        <w:rPr>
          <w:lang w:val="es-ES"/>
        </w:rPr>
        <w:t>50 ocasiones y en ámbitos tales como</w:t>
      </w:r>
      <w:r w:rsidR="00FA7C73" w:rsidRPr="00C53010">
        <w:rPr>
          <w:lang w:val="es-ES"/>
        </w:rPr>
        <w:t>:</w:t>
      </w:r>
    </w:p>
    <w:p w:rsidR="00FA7C73" w:rsidRPr="00FA6FC7" w:rsidRDefault="00FA7C73" w:rsidP="00FA6FC7">
      <w:pPr>
        <w:pStyle w:val="enumlev1"/>
      </w:pPr>
      <w:r w:rsidRPr="00C53010">
        <w:rPr>
          <w:lang w:val="es-ES"/>
        </w:rPr>
        <w:t>–</w:t>
      </w:r>
      <w:r w:rsidRPr="00C53010">
        <w:rPr>
          <w:lang w:val="es-ES"/>
        </w:rPr>
        <w:tab/>
      </w:r>
      <w:r w:rsidR="00563A5C" w:rsidRPr="00FA6FC7">
        <w:t>Ayuda en las actividades de las unidades de gestión nacional del espectro en un entorno regulatorio que cambia a gran velocidad (véase la Resolución 7 (Rev.CMR-03)) y asistencia técnica en el campo de las radiocomunicaciones espaciales (Resolución 15 (Rev.CMR-03)); para ello</w:t>
      </w:r>
      <w:r w:rsidR="001B0E79">
        <w:t xml:space="preserve">, </w:t>
      </w:r>
      <w:r w:rsidR="00563A5C" w:rsidRPr="00FA6FC7">
        <w:t>se han llevado a cabo misiones a petición de las propias administraciones o con carácter de misiones especiales organizadas conjuntamente con la BDT</w:t>
      </w:r>
      <w:r w:rsidR="001B0E79">
        <w:t xml:space="preserve">, </w:t>
      </w:r>
      <w:r w:rsidR="00563A5C" w:rsidRPr="00FA6FC7">
        <w:t>incluida la participación de expertos de la Oficina de Radiocomunicaciones en seminarios regionales para la creación de capacidad organizados por la BDT o por organizaciones regionales. Además</w:t>
      </w:r>
      <w:r w:rsidR="001B0E79">
        <w:t xml:space="preserve">, </w:t>
      </w:r>
      <w:r w:rsidR="00563A5C" w:rsidRPr="00FA6FC7">
        <w:t>se concedieron becas a expertos de administraciones de países menos adelantados para que pudieran asistir a los cursillos y seminarios de radiocomunicaciones impartidos por la Oficina. Igualmente se impartió a varios expertos formación individual o en grupo sobre procedimientos de reglamentación de las radiocomunicaciones en la sede de la UIT</w:t>
      </w:r>
      <w:r w:rsidRPr="00FA6FC7">
        <w:t>.</w:t>
      </w:r>
    </w:p>
    <w:p w:rsidR="00FA7C73" w:rsidRPr="00FA6FC7" w:rsidRDefault="00FA7C73" w:rsidP="00FA6FC7">
      <w:pPr>
        <w:pStyle w:val="enumlev1"/>
      </w:pPr>
      <w:r w:rsidRPr="00FA6FC7">
        <w:t>–</w:t>
      </w:r>
      <w:r w:rsidRPr="00FA6FC7">
        <w:tab/>
      </w:r>
      <w:r w:rsidR="00563A5C" w:rsidRPr="00FA6FC7">
        <w:t>Participación en las reuniones de los grupos de coordinación regional</w:t>
      </w:r>
      <w:r w:rsidR="001B0E79">
        <w:t xml:space="preserve">, </w:t>
      </w:r>
      <w:r w:rsidR="00563A5C" w:rsidRPr="00FA6FC7">
        <w:t>como se estipula en el Artículo 12 del Reglamento de Radiocomunicaciones</w:t>
      </w:r>
      <w:r w:rsidRPr="00FA6FC7">
        <w:t>.</w:t>
      </w:r>
    </w:p>
    <w:p w:rsidR="00FA7C73" w:rsidRPr="00FA6FC7" w:rsidRDefault="00FA7C73" w:rsidP="00FA6FC7">
      <w:pPr>
        <w:pStyle w:val="enumlev1"/>
      </w:pPr>
      <w:r w:rsidRPr="00FA6FC7">
        <w:t>–</w:t>
      </w:r>
      <w:r w:rsidRPr="00FA6FC7">
        <w:tab/>
      </w:r>
      <w:r w:rsidR="00563A5C" w:rsidRPr="00FA6FC7">
        <w:t>Participación en los seminarios de capacitación sobre comunicaciones por satélite</w:t>
      </w:r>
      <w:r w:rsidRPr="00FA6FC7">
        <w:t>.</w:t>
      </w:r>
    </w:p>
    <w:p w:rsidR="00FA7C73" w:rsidRPr="00FA6FC7" w:rsidRDefault="00FA7C73" w:rsidP="00FA6FC7">
      <w:pPr>
        <w:pStyle w:val="enumlev1"/>
      </w:pPr>
      <w:r w:rsidRPr="00FA6FC7">
        <w:t>–</w:t>
      </w:r>
      <w:r w:rsidRPr="00FA6FC7">
        <w:tab/>
      </w:r>
      <w:r w:rsidR="00563A5C" w:rsidRPr="00FA6FC7">
        <w:t>Asistencia sobre la gestión de frecuencias a largo plazo para la banda ancha móvil (IMT</w:t>
      </w:r>
      <w:r w:rsidRPr="00FA6FC7">
        <w:t>).</w:t>
      </w:r>
    </w:p>
    <w:p w:rsidR="00FA7C73" w:rsidRPr="00C53010" w:rsidRDefault="00FA7C73" w:rsidP="00FA6FC7">
      <w:pPr>
        <w:pStyle w:val="enumlev1"/>
        <w:rPr>
          <w:lang w:val="es-ES"/>
        </w:rPr>
      </w:pPr>
      <w:r w:rsidRPr="00FA6FC7">
        <w:t>–</w:t>
      </w:r>
      <w:r w:rsidRPr="00FA6FC7">
        <w:tab/>
      </w:r>
      <w:r w:rsidR="00563A5C" w:rsidRPr="00FA6FC7">
        <w:t>Orientación y apoyo técnico para la transición a la televisión digital y la atribución del dividendo</w:t>
      </w:r>
      <w:r w:rsidR="00563A5C" w:rsidRPr="00C53010">
        <w:rPr>
          <w:lang w:val="es-ES"/>
        </w:rPr>
        <w:t xml:space="preserve"> digital</w:t>
      </w:r>
      <w:r w:rsidRPr="00C53010">
        <w:rPr>
          <w:lang w:val="es-ES"/>
        </w:rPr>
        <w:t>.</w:t>
      </w:r>
    </w:p>
    <w:p w:rsidR="00FA7C73" w:rsidRPr="00C53010" w:rsidRDefault="00563A5C" w:rsidP="00FA6FC7">
      <w:pPr>
        <w:rPr>
          <w:lang w:val="es-ES"/>
        </w:rPr>
      </w:pPr>
      <w:r w:rsidRPr="00C53010">
        <w:rPr>
          <w:lang w:val="es-ES"/>
        </w:rPr>
        <w:t>En el Cuadro 8.2.4-1 se ilustra esta actividad</w:t>
      </w:r>
      <w:r w:rsidR="00FA7C73" w:rsidRPr="00C53010">
        <w:rPr>
          <w:lang w:val="es-ES"/>
        </w:rPr>
        <w:t xml:space="preserve">. </w:t>
      </w:r>
    </w:p>
    <w:p w:rsidR="00FA7C73" w:rsidRPr="00C53010" w:rsidRDefault="00FA7C73" w:rsidP="00563A5C">
      <w:pPr>
        <w:pStyle w:val="Heading3"/>
        <w:rPr>
          <w:lang w:val="es-ES"/>
        </w:rPr>
      </w:pPr>
      <w:bookmarkStart w:id="91" w:name="_Toc424047612"/>
      <w:bookmarkStart w:id="92" w:name="_Toc446060790"/>
      <w:r w:rsidRPr="00C53010">
        <w:rPr>
          <w:lang w:val="es-ES"/>
        </w:rPr>
        <w:t>8.3.2</w:t>
      </w:r>
      <w:r w:rsidRPr="00C53010">
        <w:rPr>
          <w:lang w:val="es-ES"/>
        </w:rPr>
        <w:tab/>
      </w:r>
      <w:bookmarkEnd w:id="91"/>
      <w:bookmarkEnd w:id="92"/>
      <w:r w:rsidR="00563A5C" w:rsidRPr="00C53010">
        <w:rPr>
          <w:lang w:val="es-ES"/>
        </w:rPr>
        <w:t>Asistencia a grupos regionales</w:t>
      </w:r>
    </w:p>
    <w:p w:rsidR="00FA7C73" w:rsidRPr="00C53010" w:rsidRDefault="00563A5C" w:rsidP="00FA6FC7">
      <w:pPr>
        <w:rPr>
          <w:lang w:val="es-ES"/>
        </w:rPr>
      </w:pPr>
      <w:r w:rsidRPr="00C53010">
        <w:rPr>
          <w:lang w:val="es-ES"/>
        </w:rPr>
        <w:t>La Oficina siguió participando en las reuniones de los grupos regionales de coordinación</w:t>
      </w:r>
      <w:r w:rsidR="00FA7C73" w:rsidRPr="00C53010">
        <w:rPr>
          <w:lang w:val="es-ES"/>
        </w:rPr>
        <w:t xml:space="preserve"> (HFCC)</w:t>
      </w:r>
      <w:r w:rsidR="001B0E79">
        <w:rPr>
          <w:lang w:val="es-ES"/>
        </w:rPr>
        <w:t xml:space="preserve">, </w:t>
      </w:r>
      <w:r w:rsidRPr="00C53010">
        <w:rPr>
          <w:lang w:val="es-ES"/>
        </w:rPr>
        <w:t xml:space="preserve">conforme lo estipulado en el Artículo </w:t>
      </w:r>
      <w:r w:rsidR="00FA7C73" w:rsidRPr="00C53010">
        <w:rPr>
          <w:b/>
          <w:bCs/>
          <w:lang w:val="es-ES"/>
        </w:rPr>
        <w:t>12</w:t>
      </w:r>
      <w:r w:rsidR="00FA7C73" w:rsidRPr="00C53010">
        <w:rPr>
          <w:lang w:val="es-ES"/>
        </w:rPr>
        <w:t xml:space="preserve"> </w:t>
      </w:r>
      <w:r w:rsidRPr="00C53010">
        <w:rPr>
          <w:lang w:val="es-ES"/>
        </w:rPr>
        <w:t>del Reglamento de Radiocomunicaciones</w:t>
      </w:r>
      <w:r w:rsidR="001B0E79">
        <w:rPr>
          <w:lang w:val="es-ES"/>
        </w:rPr>
        <w:t xml:space="preserve">, </w:t>
      </w:r>
      <w:r w:rsidRPr="00C53010">
        <w:rPr>
          <w:lang w:val="es-ES"/>
        </w:rPr>
        <w:t>prestando la necesaria asistencia y colaboración</w:t>
      </w:r>
      <w:r w:rsidR="00FA7C73" w:rsidRPr="00C53010">
        <w:rPr>
          <w:lang w:val="es-ES"/>
        </w:rPr>
        <w:t>.</w:t>
      </w:r>
    </w:p>
    <w:p w:rsidR="00FA7C73" w:rsidRPr="00C53010" w:rsidRDefault="00FA7C73" w:rsidP="001F3A94">
      <w:pPr>
        <w:rPr>
          <w:lang w:val="es-ES"/>
        </w:rPr>
        <w:sectPr w:rsidR="00FA7C73" w:rsidRPr="00C53010" w:rsidSect="003045E9">
          <w:headerReference w:type="default" r:id="rId40"/>
          <w:pgSz w:w="11907" w:h="16840" w:code="9"/>
          <w:pgMar w:top="1418" w:right="1134" w:bottom="851" w:left="1134" w:header="720" w:footer="720" w:gutter="0"/>
          <w:paperSrc w:first="15" w:other="15"/>
          <w:cols w:space="720"/>
          <w:docGrid w:linePitch="326"/>
        </w:sectPr>
      </w:pPr>
    </w:p>
    <w:p w:rsidR="00FA7C73" w:rsidRPr="00C53010" w:rsidRDefault="00563A5C" w:rsidP="001F3A94">
      <w:pPr>
        <w:pStyle w:val="TableNo"/>
        <w:ind w:left="360"/>
        <w:rPr>
          <w:lang w:val="es-ES" w:eastAsia="zh-CN"/>
        </w:rPr>
      </w:pPr>
      <w:r w:rsidRPr="00C53010">
        <w:rPr>
          <w:lang w:val="es-ES" w:eastAsia="zh-CN"/>
        </w:rPr>
        <w:lastRenderedPageBreak/>
        <w:t>CUADRO</w:t>
      </w:r>
      <w:r w:rsidR="00FA7C73" w:rsidRPr="00C53010">
        <w:rPr>
          <w:lang w:val="es-ES" w:eastAsia="zh-CN"/>
        </w:rPr>
        <w:t xml:space="preserve"> 8.2.2-1</w:t>
      </w:r>
    </w:p>
    <w:p w:rsidR="00FA7C73" w:rsidRPr="00C53010" w:rsidRDefault="00563A5C" w:rsidP="00563A5C">
      <w:pPr>
        <w:pStyle w:val="TabletitleBR"/>
        <w:ind w:left="360"/>
        <w:rPr>
          <w:lang w:val="es-ES" w:eastAsia="zh-CN"/>
        </w:rPr>
      </w:pPr>
      <w:r w:rsidRPr="00C53010">
        <w:rPr>
          <w:lang w:val="es-ES" w:eastAsia="zh-CN"/>
        </w:rPr>
        <w:t xml:space="preserve">Participación del personal de la </w:t>
      </w:r>
      <w:r w:rsidR="00FA7C73" w:rsidRPr="00C53010">
        <w:rPr>
          <w:lang w:val="es-ES" w:eastAsia="zh-CN"/>
        </w:rPr>
        <w:t xml:space="preserve">BR </w:t>
      </w:r>
      <w:r w:rsidRPr="00C53010">
        <w:rPr>
          <w:lang w:val="es-ES" w:eastAsia="zh-CN"/>
        </w:rPr>
        <w:t>en eventos de divulgación de información</w:t>
      </w:r>
    </w:p>
    <w:p w:rsidR="00FA7C73" w:rsidRPr="00C53010" w:rsidRDefault="00FA7C73" w:rsidP="001F3A94">
      <w:pPr>
        <w:ind w:left="360"/>
        <w:rPr>
          <w:lang w:val="es-ES"/>
        </w:rPr>
      </w:pPr>
    </w:p>
    <w:tbl>
      <w:tblPr>
        <w:tblW w:w="12606" w:type="dxa"/>
        <w:tblLayout w:type="fixed"/>
        <w:tblLook w:val="04A0" w:firstRow="1" w:lastRow="0" w:firstColumn="1" w:lastColumn="0" w:noHBand="0" w:noVBand="1"/>
      </w:tblPr>
      <w:tblGrid>
        <w:gridCol w:w="3251"/>
        <w:gridCol w:w="961"/>
        <w:gridCol w:w="1023"/>
        <w:gridCol w:w="961"/>
        <w:gridCol w:w="1024"/>
        <w:gridCol w:w="961"/>
        <w:gridCol w:w="1023"/>
        <w:gridCol w:w="961"/>
        <w:gridCol w:w="1165"/>
        <w:gridCol w:w="1276"/>
      </w:tblGrid>
      <w:tr w:rsidR="00FA7C73" w:rsidRPr="00C53010" w:rsidTr="003045E9">
        <w:trPr>
          <w:trHeight w:val="315"/>
        </w:trPr>
        <w:tc>
          <w:tcPr>
            <w:tcW w:w="32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textAlignment w:val="auto"/>
              <w:rPr>
                <w:color w:val="000000"/>
                <w:sz w:val="18"/>
                <w:szCs w:val="18"/>
                <w:lang w:val="es-ES" w:eastAsia="zh-CN"/>
              </w:rPr>
            </w:pPr>
            <w:r w:rsidRPr="00C53010">
              <w:rPr>
                <w:color w:val="000000"/>
                <w:sz w:val="18"/>
                <w:szCs w:val="18"/>
                <w:lang w:val="es-ES" w:eastAsia="zh-CN"/>
              </w:rPr>
              <w:t> </w:t>
            </w:r>
          </w:p>
        </w:tc>
        <w:tc>
          <w:tcPr>
            <w:tcW w:w="198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2014</w:t>
            </w:r>
          </w:p>
        </w:tc>
        <w:tc>
          <w:tcPr>
            <w:tcW w:w="198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2015</w:t>
            </w:r>
          </w:p>
        </w:tc>
        <w:tc>
          <w:tcPr>
            <w:tcW w:w="1984" w:type="dxa"/>
            <w:gridSpan w:val="2"/>
            <w:tcBorders>
              <w:top w:val="single" w:sz="8" w:space="0" w:color="auto"/>
              <w:left w:val="nil"/>
              <w:bottom w:val="single" w:sz="8" w:space="0" w:color="auto"/>
              <w:right w:val="single" w:sz="4"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2016</w:t>
            </w:r>
          </w:p>
        </w:tc>
        <w:tc>
          <w:tcPr>
            <w:tcW w:w="2126" w:type="dxa"/>
            <w:gridSpan w:val="2"/>
            <w:tcBorders>
              <w:top w:val="single" w:sz="4" w:space="0" w:color="auto"/>
              <w:left w:val="single" w:sz="4" w:space="0" w:color="auto"/>
              <w:bottom w:val="single" w:sz="4" w:space="0" w:color="auto"/>
              <w:right w:val="single" w:sz="4" w:space="0" w:color="auto"/>
            </w:tcBorders>
          </w:tcPr>
          <w:p w:rsidR="00FA7C73" w:rsidRPr="00C53010" w:rsidRDefault="00FA7C73" w:rsidP="001F3A94">
            <w:pPr>
              <w:tabs>
                <w:tab w:val="clear" w:pos="794"/>
                <w:tab w:val="clear" w:pos="1191"/>
                <w:tab w:val="clear" w:pos="1588"/>
                <w:tab w:val="clear" w:pos="1985"/>
              </w:tabs>
              <w:overflowPunct/>
              <w:autoSpaceDE/>
              <w:autoSpaceDN/>
              <w:adjustRightInd/>
              <w:spacing w:before="60"/>
              <w:jc w:val="center"/>
              <w:textAlignment w:val="auto"/>
              <w:rPr>
                <w:b/>
                <w:bCs/>
                <w:color w:val="000000"/>
                <w:sz w:val="18"/>
                <w:szCs w:val="18"/>
                <w:lang w:val="es-ES" w:eastAsia="zh-CN"/>
              </w:rPr>
            </w:pPr>
            <w:r w:rsidRPr="00C53010">
              <w:rPr>
                <w:b/>
                <w:bCs/>
                <w:color w:val="000000"/>
                <w:sz w:val="18"/>
                <w:szCs w:val="18"/>
                <w:lang w:val="es-ES" w:eastAsia="zh-CN"/>
              </w:rPr>
              <w:t>2017</w:t>
            </w:r>
          </w:p>
        </w:tc>
        <w:tc>
          <w:tcPr>
            <w:tcW w:w="1276" w:type="dxa"/>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TOTAL</w:t>
            </w:r>
          </w:p>
        </w:tc>
      </w:tr>
      <w:tr w:rsidR="00563A5C" w:rsidRPr="00C53010" w:rsidTr="003045E9">
        <w:trPr>
          <w:trHeight w:val="315"/>
        </w:trPr>
        <w:tc>
          <w:tcPr>
            <w:tcW w:w="3251" w:type="dxa"/>
            <w:vMerge/>
            <w:tcBorders>
              <w:top w:val="single" w:sz="8" w:space="0" w:color="auto"/>
              <w:left w:val="single" w:sz="8" w:space="0" w:color="auto"/>
              <w:bottom w:val="single" w:sz="8" w:space="0" w:color="000000"/>
              <w:right w:val="single" w:sz="8" w:space="0" w:color="auto"/>
            </w:tcBorders>
            <w:vAlign w:val="center"/>
            <w:hideMark/>
          </w:tcPr>
          <w:p w:rsidR="00563A5C" w:rsidRPr="00C53010" w:rsidRDefault="00563A5C" w:rsidP="00563A5C">
            <w:pPr>
              <w:tabs>
                <w:tab w:val="clear" w:pos="794"/>
                <w:tab w:val="clear" w:pos="1191"/>
                <w:tab w:val="clear" w:pos="1588"/>
                <w:tab w:val="clear" w:pos="1985"/>
              </w:tabs>
              <w:overflowPunct/>
              <w:autoSpaceDE/>
              <w:autoSpaceDN/>
              <w:adjustRightInd/>
              <w:spacing w:before="0"/>
              <w:textAlignment w:val="auto"/>
              <w:rPr>
                <w:color w:val="000000"/>
                <w:sz w:val="18"/>
                <w:szCs w:val="18"/>
                <w:lang w:val="es-ES" w:eastAsia="zh-CN"/>
              </w:rPr>
            </w:pPr>
          </w:p>
        </w:tc>
        <w:tc>
          <w:tcPr>
            <w:tcW w:w="961" w:type="dxa"/>
            <w:tcBorders>
              <w:top w:val="nil"/>
              <w:left w:val="nil"/>
              <w:bottom w:val="single" w:sz="8" w:space="0" w:color="auto"/>
              <w:right w:val="single" w:sz="8" w:space="0" w:color="auto"/>
            </w:tcBorders>
            <w:shd w:val="clear" w:color="auto" w:fill="auto"/>
            <w:noWrap/>
            <w:vAlign w:val="center"/>
            <w:hideMark/>
          </w:tcPr>
          <w:p w:rsidR="00563A5C" w:rsidRPr="00C53010" w:rsidRDefault="00563A5C" w:rsidP="00563A5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Misiones</w:t>
            </w:r>
          </w:p>
        </w:tc>
        <w:tc>
          <w:tcPr>
            <w:tcW w:w="1023" w:type="dxa"/>
            <w:tcBorders>
              <w:top w:val="nil"/>
              <w:left w:val="nil"/>
              <w:bottom w:val="single" w:sz="8" w:space="0" w:color="auto"/>
              <w:right w:val="single" w:sz="8" w:space="0" w:color="auto"/>
            </w:tcBorders>
            <w:shd w:val="clear" w:color="auto" w:fill="auto"/>
            <w:noWrap/>
            <w:vAlign w:val="center"/>
            <w:hideMark/>
          </w:tcPr>
          <w:p w:rsidR="00563A5C" w:rsidRPr="00C53010" w:rsidRDefault="00563A5C" w:rsidP="00563A5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Países</w:t>
            </w:r>
          </w:p>
        </w:tc>
        <w:tc>
          <w:tcPr>
            <w:tcW w:w="961" w:type="dxa"/>
            <w:tcBorders>
              <w:top w:val="nil"/>
              <w:left w:val="nil"/>
              <w:bottom w:val="single" w:sz="8" w:space="0" w:color="auto"/>
              <w:right w:val="single" w:sz="8" w:space="0" w:color="auto"/>
            </w:tcBorders>
            <w:shd w:val="clear" w:color="auto" w:fill="auto"/>
            <w:noWrap/>
            <w:vAlign w:val="center"/>
            <w:hideMark/>
          </w:tcPr>
          <w:p w:rsidR="00563A5C" w:rsidRPr="00C53010" w:rsidRDefault="00563A5C" w:rsidP="00563A5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Misiones</w:t>
            </w:r>
          </w:p>
        </w:tc>
        <w:tc>
          <w:tcPr>
            <w:tcW w:w="1024" w:type="dxa"/>
            <w:tcBorders>
              <w:top w:val="nil"/>
              <w:left w:val="nil"/>
              <w:bottom w:val="single" w:sz="8" w:space="0" w:color="auto"/>
              <w:right w:val="single" w:sz="8" w:space="0" w:color="auto"/>
            </w:tcBorders>
            <w:shd w:val="clear" w:color="auto" w:fill="auto"/>
            <w:noWrap/>
            <w:vAlign w:val="center"/>
            <w:hideMark/>
          </w:tcPr>
          <w:p w:rsidR="00563A5C" w:rsidRPr="00C53010" w:rsidRDefault="00563A5C" w:rsidP="00563A5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Países</w:t>
            </w:r>
          </w:p>
        </w:tc>
        <w:tc>
          <w:tcPr>
            <w:tcW w:w="961" w:type="dxa"/>
            <w:tcBorders>
              <w:top w:val="nil"/>
              <w:left w:val="nil"/>
              <w:bottom w:val="single" w:sz="8" w:space="0" w:color="auto"/>
              <w:right w:val="single" w:sz="8" w:space="0" w:color="auto"/>
            </w:tcBorders>
            <w:shd w:val="clear" w:color="auto" w:fill="auto"/>
            <w:noWrap/>
            <w:vAlign w:val="center"/>
            <w:hideMark/>
          </w:tcPr>
          <w:p w:rsidR="00563A5C" w:rsidRPr="00C53010" w:rsidRDefault="00563A5C" w:rsidP="00563A5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Misiones</w:t>
            </w:r>
          </w:p>
        </w:tc>
        <w:tc>
          <w:tcPr>
            <w:tcW w:w="1023" w:type="dxa"/>
            <w:tcBorders>
              <w:top w:val="nil"/>
              <w:left w:val="nil"/>
              <w:bottom w:val="single" w:sz="8" w:space="0" w:color="auto"/>
              <w:right w:val="single" w:sz="4" w:space="0" w:color="auto"/>
            </w:tcBorders>
            <w:shd w:val="clear" w:color="auto" w:fill="auto"/>
            <w:noWrap/>
            <w:vAlign w:val="center"/>
            <w:hideMark/>
          </w:tcPr>
          <w:p w:rsidR="00563A5C" w:rsidRPr="00C53010" w:rsidRDefault="00563A5C" w:rsidP="00563A5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Países</w:t>
            </w:r>
          </w:p>
        </w:tc>
        <w:tc>
          <w:tcPr>
            <w:tcW w:w="961" w:type="dxa"/>
            <w:tcBorders>
              <w:top w:val="single" w:sz="4" w:space="0" w:color="auto"/>
              <w:left w:val="single" w:sz="4" w:space="0" w:color="auto"/>
              <w:bottom w:val="single" w:sz="4" w:space="0" w:color="auto"/>
              <w:right w:val="single" w:sz="4" w:space="0" w:color="auto"/>
            </w:tcBorders>
            <w:vAlign w:val="center"/>
          </w:tcPr>
          <w:p w:rsidR="00563A5C" w:rsidRPr="00C53010" w:rsidRDefault="00563A5C" w:rsidP="00563A5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Misiones</w:t>
            </w:r>
          </w:p>
        </w:tc>
        <w:tc>
          <w:tcPr>
            <w:tcW w:w="1165" w:type="dxa"/>
            <w:tcBorders>
              <w:top w:val="single" w:sz="4" w:space="0" w:color="auto"/>
              <w:left w:val="single" w:sz="4" w:space="0" w:color="auto"/>
              <w:bottom w:val="single" w:sz="4" w:space="0" w:color="auto"/>
              <w:right w:val="single" w:sz="4" w:space="0" w:color="auto"/>
            </w:tcBorders>
            <w:vAlign w:val="center"/>
          </w:tcPr>
          <w:p w:rsidR="00563A5C" w:rsidRPr="00C53010" w:rsidRDefault="00563A5C" w:rsidP="00563A5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Países</w:t>
            </w: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rsidR="00563A5C" w:rsidRPr="00C53010" w:rsidRDefault="00563A5C" w:rsidP="00563A5C">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 w:eastAsia="zh-CN"/>
              </w:rPr>
            </w:pPr>
            <w:r w:rsidRPr="00C53010">
              <w:rPr>
                <w:b/>
                <w:bCs/>
                <w:color w:val="000000"/>
                <w:sz w:val="18"/>
                <w:szCs w:val="18"/>
                <w:lang w:val="es-ES" w:eastAsia="zh-CN"/>
              </w:rPr>
              <w:t>MISIONES</w:t>
            </w:r>
          </w:p>
        </w:tc>
      </w:tr>
      <w:tr w:rsidR="00FA7C73" w:rsidRPr="00C53010" w:rsidTr="003045E9">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rsidR="00FA7C73" w:rsidRPr="00C53010" w:rsidRDefault="00563A5C" w:rsidP="00563A5C">
            <w:pPr>
              <w:tabs>
                <w:tab w:val="clear" w:pos="794"/>
                <w:tab w:val="clear" w:pos="1191"/>
                <w:tab w:val="clear" w:pos="1588"/>
                <w:tab w:val="clear" w:pos="1985"/>
              </w:tabs>
              <w:overflowPunct/>
              <w:autoSpaceDE/>
              <w:autoSpaceDN/>
              <w:adjustRightInd/>
              <w:spacing w:before="0"/>
              <w:textAlignment w:val="auto"/>
              <w:rPr>
                <w:b/>
                <w:bCs/>
                <w:i/>
                <w:iCs/>
                <w:color w:val="000000"/>
                <w:sz w:val="18"/>
                <w:szCs w:val="18"/>
                <w:lang w:val="es-ES" w:eastAsia="zh-CN"/>
              </w:rPr>
            </w:pPr>
            <w:r w:rsidRPr="00C53010">
              <w:rPr>
                <w:b/>
                <w:bCs/>
                <w:i/>
                <w:iCs/>
                <w:color w:val="000000"/>
                <w:sz w:val="18"/>
                <w:szCs w:val="18"/>
                <w:lang w:val="es-ES" w:eastAsia="zh-CN"/>
              </w:rPr>
              <w:t>ORGANISMOS ESPECIALIZADOS DE NACIONES UNIDAS</w:t>
            </w:r>
            <w:r w:rsidR="00FA7C73" w:rsidRPr="00C53010">
              <w:rPr>
                <w:b/>
                <w:bCs/>
                <w:i/>
                <w:iCs/>
                <w:color w:val="000000"/>
                <w:sz w:val="18"/>
                <w:szCs w:val="18"/>
                <w:lang w:val="es-ES" w:eastAsia="zh-CN"/>
              </w:rPr>
              <w:t xml:space="preserve"> </w:t>
            </w:r>
          </w:p>
        </w:tc>
        <w:tc>
          <w:tcPr>
            <w:tcW w:w="961" w:type="dxa"/>
            <w:tcBorders>
              <w:top w:val="nil"/>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17</w:t>
            </w:r>
          </w:p>
        </w:tc>
        <w:tc>
          <w:tcPr>
            <w:tcW w:w="1023" w:type="dxa"/>
            <w:tcBorders>
              <w:top w:val="nil"/>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12</w:t>
            </w:r>
          </w:p>
        </w:tc>
        <w:tc>
          <w:tcPr>
            <w:tcW w:w="961" w:type="dxa"/>
            <w:tcBorders>
              <w:top w:val="nil"/>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24</w:t>
            </w:r>
          </w:p>
        </w:tc>
        <w:tc>
          <w:tcPr>
            <w:tcW w:w="1024" w:type="dxa"/>
            <w:tcBorders>
              <w:top w:val="nil"/>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9</w:t>
            </w:r>
          </w:p>
        </w:tc>
        <w:tc>
          <w:tcPr>
            <w:tcW w:w="961" w:type="dxa"/>
            <w:tcBorders>
              <w:top w:val="nil"/>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33</w:t>
            </w:r>
          </w:p>
        </w:tc>
        <w:tc>
          <w:tcPr>
            <w:tcW w:w="1023" w:type="dxa"/>
            <w:tcBorders>
              <w:top w:val="nil"/>
              <w:left w:val="nil"/>
              <w:bottom w:val="single" w:sz="8" w:space="0" w:color="auto"/>
              <w:right w:val="single" w:sz="4"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13</w:t>
            </w:r>
          </w:p>
        </w:tc>
        <w:tc>
          <w:tcPr>
            <w:tcW w:w="961" w:type="dxa"/>
            <w:tcBorders>
              <w:top w:val="single" w:sz="4" w:space="0" w:color="auto"/>
              <w:left w:val="single" w:sz="4" w:space="0" w:color="auto"/>
              <w:bottom w:val="single" w:sz="4" w:space="0" w:color="auto"/>
              <w:right w:val="single" w:sz="4" w:space="0" w:color="auto"/>
            </w:tcBorders>
            <w:vAlign w:val="center"/>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23</w:t>
            </w:r>
          </w:p>
        </w:tc>
        <w:tc>
          <w:tcPr>
            <w:tcW w:w="1165" w:type="dxa"/>
            <w:tcBorders>
              <w:top w:val="single" w:sz="4" w:space="0" w:color="auto"/>
              <w:left w:val="single" w:sz="4" w:space="0" w:color="auto"/>
              <w:bottom w:val="single" w:sz="4" w:space="0" w:color="auto"/>
              <w:right w:val="single" w:sz="4" w:space="0" w:color="auto"/>
            </w:tcBorders>
            <w:vAlign w:val="center"/>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11</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97</w:t>
            </w:r>
          </w:p>
        </w:tc>
      </w:tr>
      <w:tr w:rsidR="00FA7C73" w:rsidRPr="00C53010" w:rsidTr="003045E9">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rsidR="00FA7C73" w:rsidRPr="00C53010" w:rsidRDefault="00563A5C" w:rsidP="00563A5C">
            <w:pPr>
              <w:tabs>
                <w:tab w:val="clear" w:pos="794"/>
                <w:tab w:val="clear" w:pos="1191"/>
                <w:tab w:val="clear" w:pos="1588"/>
                <w:tab w:val="clear" w:pos="1985"/>
              </w:tabs>
              <w:overflowPunct/>
              <w:autoSpaceDE/>
              <w:autoSpaceDN/>
              <w:adjustRightInd/>
              <w:spacing w:before="0"/>
              <w:textAlignment w:val="auto"/>
              <w:rPr>
                <w:b/>
                <w:bCs/>
                <w:i/>
                <w:iCs/>
                <w:color w:val="000000"/>
                <w:sz w:val="18"/>
                <w:szCs w:val="18"/>
                <w:lang w:val="es-ES" w:eastAsia="zh-CN"/>
              </w:rPr>
            </w:pPr>
            <w:r w:rsidRPr="00C53010">
              <w:rPr>
                <w:b/>
                <w:bCs/>
                <w:i/>
                <w:iCs/>
                <w:color w:val="000000"/>
                <w:sz w:val="18"/>
                <w:szCs w:val="18"/>
                <w:lang w:val="es-ES" w:eastAsia="zh-CN"/>
              </w:rPr>
              <w:t>ORGANIZACIONES REGIONALES DE TELECOMUNICACIONES</w:t>
            </w:r>
            <w:r w:rsidR="00FA7C73" w:rsidRPr="00C53010">
              <w:rPr>
                <w:b/>
                <w:bCs/>
                <w:i/>
                <w:iCs/>
                <w:color w:val="000000"/>
                <w:sz w:val="18"/>
                <w:szCs w:val="18"/>
                <w:lang w:val="es-ES" w:eastAsia="zh-CN"/>
              </w:rPr>
              <w:t xml:space="preserve"> </w:t>
            </w:r>
          </w:p>
        </w:tc>
        <w:tc>
          <w:tcPr>
            <w:tcW w:w="961" w:type="dxa"/>
            <w:tcBorders>
              <w:top w:val="nil"/>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33</w:t>
            </w:r>
          </w:p>
        </w:tc>
        <w:tc>
          <w:tcPr>
            <w:tcW w:w="1023" w:type="dxa"/>
            <w:tcBorders>
              <w:top w:val="nil"/>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25</w:t>
            </w:r>
          </w:p>
        </w:tc>
        <w:tc>
          <w:tcPr>
            <w:tcW w:w="961" w:type="dxa"/>
            <w:tcBorders>
              <w:top w:val="nil"/>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74</w:t>
            </w:r>
          </w:p>
        </w:tc>
        <w:tc>
          <w:tcPr>
            <w:tcW w:w="1024" w:type="dxa"/>
            <w:tcBorders>
              <w:top w:val="nil"/>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34</w:t>
            </w:r>
          </w:p>
        </w:tc>
        <w:tc>
          <w:tcPr>
            <w:tcW w:w="961" w:type="dxa"/>
            <w:tcBorders>
              <w:top w:val="nil"/>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57</w:t>
            </w:r>
          </w:p>
        </w:tc>
        <w:tc>
          <w:tcPr>
            <w:tcW w:w="1023" w:type="dxa"/>
            <w:tcBorders>
              <w:top w:val="nil"/>
              <w:left w:val="nil"/>
              <w:bottom w:val="single" w:sz="8" w:space="0" w:color="auto"/>
              <w:right w:val="single" w:sz="4"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32</w:t>
            </w:r>
          </w:p>
        </w:tc>
        <w:tc>
          <w:tcPr>
            <w:tcW w:w="961" w:type="dxa"/>
            <w:tcBorders>
              <w:top w:val="single" w:sz="4" w:space="0" w:color="auto"/>
              <w:left w:val="single" w:sz="4" w:space="0" w:color="auto"/>
              <w:bottom w:val="single" w:sz="4" w:space="0" w:color="auto"/>
              <w:right w:val="single" w:sz="4" w:space="0" w:color="auto"/>
            </w:tcBorders>
            <w:vAlign w:val="center"/>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49</w:t>
            </w:r>
          </w:p>
        </w:tc>
        <w:tc>
          <w:tcPr>
            <w:tcW w:w="1165" w:type="dxa"/>
            <w:tcBorders>
              <w:top w:val="single" w:sz="4" w:space="0" w:color="auto"/>
              <w:left w:val="single" w:sz="4" w:space="0" w:color="auto"/>
              <w:bottom w:val="single" w:sz="4" w:space="0" w:color="auto"/>
              <w:right w:val="single" w:sz="4" w:space="0" w:color="auto"/>
            </w:tcBorders>
            <w:vAlign w:val="center"/>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37</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213</w:t>
            </w:r>
          </w:p>
        </w:tc>
      </w:tr>
      <w:tr w:rsidR="00FA7C73" w:rsidRPr="00C53010" w:rsidTr="003045E9">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rsidR="00FA7C73" w:rsidRPr="00C53010" w:rsidRDefault="00563A5C" w:rsidP="00563A5C">
            <w:pPr>
              <w:tabs>
                <w:tab w:val="clear" w:pos="794"/>
                <w:tab w:val="clear" w:pos="1191"/>
                <w:tab w:val="clear" w:pos="1588"/>
                <w:tab w:val="clear" w:pos="1985"/>
              </w:tabs>
              <w:overflowPunct/>
              <w:autoSpaceDE/>
              <w:autoSpaceDN/>
              <w:adjustRightInd/>
              <w:spacing w:before="0"/>
              <w:textAlignment w:val="auto"/>
              <w:rPr>
                <w:b/>
                <w:bCs/>
                <w:i/>
                <w:iCs/>
                <w:color w:val="000000"/>
                <w:sz w:val="18"/>
                <w:szCs w:val="18"/>
                <w:lang w:val="es-ES" w:eastAsia="zh-CN"/>
              </w:rPr>
            </w:pPr>
            <w:r w:rsidRPr="00C53010">
              <w:rPr>
                <w:b/>
                <w:bCs/>
                <w:i/>
                <w:iCs/>
                <w:color w:val="000000"/>
                <w:sz w:val="18"/>
                <w:szCs w:val="18"/>
                <w:lang w:val="es-ES" w:eastAsia="zh-CN"/>
              </w:rPr>
              <w:t>CONFERENCIAS Y SIMPOSIOS ajenos a la UIT</w:t>
            </w:r>
            <w:r w:rsidR="00FA7C73" w:rsidRPr="00C53010">
              <w:rPr>
                <w:b/>
                <w:bCs/>
                <w:i/>
                <w:iCs/>
                <w:color w:val="000000"/>
                <w:sz w:val="18"/>
                <w:szCs w:val="18"/>
                <w:lang w:val="es-ES" w:eastAsia="zh-CN"/>
              </w:rPr>
              <w:t xml:space="preserve"> </w:t>
            </w:r>
          </w:p>
        </w:tc>
        <w:tc>
          <w:tcPr>
            <w:tcW w:w="961" w:type="dxa"/>
            <w:tcBorders>
              <w:top w:val="nil"/>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59</w:t>
            </w:r>
          </w:p>
        </w:tc>
        <w:tc>
          <w:tcPr>
            <w:tcW w:w="1023" w:type="dxa"/>
            <w:tcBorders>
              <w:top w:val="nil"/>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43</w:t>
            </w:r>
          </w:p>
        </w:tc>
        <w:tc>
          <w:tcPr>
            <w:tcW w:w="961" w:type="dxa"/>
            <w:tcBorders>
              <w:top w:val="nil"/>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57</w:t>
            </w:r>
          </w:p>
        </w:tc>
        <w:tc>
          <w:tcPr>
            <w:tcW w:w="1024" w:type="dxa"/>
            <w:tcBorders>
              <w:top w:val="nil"/>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45</w:t>
            </w:r>
          </w:p>
        </w:tc>
        <w:tc>
          <w:tcPr>
            <w:tcW w:w="961" w:type="dxa"/>
            <w:tcBorders>
              <w:top w:val="nil"/>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83</w:t>
            </w:r>
          </w:p>
        </w:tc>
        <w:tc>
          <w:tcPr>
            <w:tcW w:w="1023" w:type="dxa"/>
            <w:tcBorders>
              <w:top w:val="nil"/>
              <w:left w:val="nil"/>
              <w:bottom w:val="single" w:sz="8" w:space="0" w:color="auto"/>
              <w:right w:val="single" w:sz="4"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40</w:t>
            </w:r>
          </w:p>
        </w:tc>
        <w:tc>
          <w:tcPr>
            <w:tcW w:w="961" w:type="dxa"/>
            <w:tcBorders>
              <w:top w:val="single" w:sz="4" w:space="0" w:color="auto"/>
              <w:left w:val="single" w:sz="4" w:space="0" w:color="auto"/>
              <w:bottom w:val="single" w:sz="4" w:space="0" w:color="auto"/>
              <w:right w:val="single" w:sz="4" w:space="0" w:color="auto"/>
            </w:tcBorders>
            <w:vAlign w:val="center"/>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51</w:t>
            </w:r>
          </w:p>
        </w:tc>
        <w:tc>
          <w:tcPr>
            <w:tcW w:w="1165" w:type="dxa"/>
            <w:tcBorders>
              <w:top w:val="single" w:sz="4" w:space="0" w:color="auto"/>
              <w:left w:val="single" w:sz="4" w:space="0" w:color="auto"/>
              <w:bottom w:val="single" w:sz="4" w:space="0" w:color="auto"/>
              <w:right w:val="single" w:sz="4" w:space="0" w:color="auto"/>
            </w:tcBorders>
            <w:vAlign w:val="center"/>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32</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250</w:t>
            </w:r>
          </w:p>
        </w:tc>
      </w:tr>
      <w:tr w:rsidR="00FA7C73" w:rsidRPr="00C53010" w:rsidTr="003045E9">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rsidR="00FA7C73" w:rsidRPr="00C53010" w:rsidRDefault="00563A5C" w:rsidP="00563A5C">
            <w:pPr>
              <w:tabs>
                <w:tab w:val="clear" w:pos="794"/>
                <w:tab w:val="clear" w:pos="1191"/>
                <w:tab w:val="clear" w:pos="1588"/>
                <w:tab w:val="clear" w:pos="1985"/>
              </w:tabs>
              <w:overflowPunct/>
              <w:autoSpaceDE/>
              <w:autoSpaceDN/>
              <w:adjustRightInd/>
              <w:spacing w:before="0"/>
              <w:textAlignment w:val="auto"/>
              <w:rPr>
                <w:b/>
                <w:bCs/>
                <w:i/>
                <w:iCs/>
                <w:color w:val="000000"/>
                <w:sz w:val="18"/>
                <w:szCs w:val="18"/>
                <w:lang w:val="es-ES" w:eastAsia="zh-CN"/>
              </w:rPr>
            </w:pPr>
            <w:r w:rsidRPr="00C53010">
              <w:rPr>
                <w:b/>
                <w:bCs/>
                <w:i/>
                <w:iCs/>
                <w:color w:val="000000"/>
                <w:sz w:val="18"/>
                <w:szCs w:val="18"/>
                <w:lang w:val="es-ES" w:eastAsia="zh-CN"/>
              </w:rPr>
              <w:t>SEMINARIOS</w:t>
            </w:r>
            <w:r w:rsidR="001B0E79">
              <w:rPr>
                <w:b/>
                <w:bCs/>
                <w:i/>
                <w:iCs/>
                <w:color w:val="000000"/>
                <w:sz w:val="18"/>
                <w:szCs w:val="18"/>
                <w:lang w:val="es-ES" w:eastAsia="zh-CN"/>
              </w:rPr>
              <w:t xml:space="preserve">, </w:t>
            </w:r>
            <w:r w:rsidRPr="00C53010">
              <w:rPr>
                <w:b/>
                <w:bCs/>
                <w:i/>
                <w:iCs/>
                <w:color w:val="000000"/>
                <w:sz w:val="18"/>
                <w:szCs w:val="18"/>
                <w:lang w:val="es-ES" w:eastAsia="zh-CN"/>
              </w:rPr>
              <w:t>TALLERES Y REUNIONES DE LA U</w:t>
            </w:r>
            <w:r w:rsidR="00FA7C73" w:rsidRPr="00C53010">
              <w:rPr>
                <w:b/>
                <w:bCs/>
                <w:i/>
                <w:iCs/>
                <w:color w:val="000000"/>
                <w:sz w:val="18"/>
                <w:szCs w:val="18"/>
                <w:lang w:val="es-ES" w:eastAsia="zh-CN"/>
              </w:rPr>
              <w:t>IT</w:t>
            </w:r>
          </w:p>
        </w:tc>
        <w:tc>
          <w:tcPr>
            <w:tcW w:w="961" w:type="dxa"/>
            <w:tcBorders>
              <w:top w:val="nil"/>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29</w:t>
            </w:r>
          </w:p>
        </w:tc>
        <w:tc>
          <w:tcPr>
            <w:tcW w:w="1023" w:type="dxa"/>
            <w:tcBorders>
              <w:top w:val="nil"/>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22</w:t>
            </w:r>
          </w:p>
        </w:tc>
        <w:tc>
          <w:tcPr>
            <w:tcW w:w="961" w:type="dxa"/>
            <w:tcBorders>
              <w:top w:val="nil"/>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33</w:t>
            </w:r>
          </w:p>
        </w:tc>
        <w:tc>
          <w:tcPr>
            <w:tcW w:w="1024" w:type="dxa"/>
            <w:tcBorders>
              <w:top w:val="nil"/>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19</w:t>
            </w:r>
          </w:p>
        </w:tc>
        <w:tc>
          <w:tcPr>
            <w:tcW w:w="961" w:type="dxa"/>
            <w:tcBorders>
              <w:top w:val="nil"/>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39</w:t>
            </w:r>
          </w:p>
        </w:tc>
        <w:tc>
          <w:tcPr>
            <w:tcW w:w="1023" w:type="dxa"/>
            <w:tcBorders>
              <w:top w:val="nil"/>
              <w:left w:val="nil"/>
              <w:bottom w:val="single" w:sz="8" w:space="0" w:color="auto"/>
              <w:right w:val="single" w:sz="4"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19</w:t>
            </w:r>
          </w:p>
        </w:tc>
        <w:tc>
          <w:tcPr>
            <w:tcW w:w="961" w:type="dxa"/>
            <w:tcBorders>
              <w:top w:val="single" w:sz="4" w:space="0" w:color="auto"/>
              <w:left w:val="single" w:sz="4" w:space="0" w:color="auto"/>
              <w:bottom w:val="single" w:sz="4" w:space="0" w:color="auto"/>
              <w:right w:val="single" w:sz="4" w:space="0" w:color="auto"/>
            </w:tcBorders>
            <w:vAlign w:val="center"/>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27</w:t>
            </w:r>
          </w:p>
        </w:tc>
        <w:tc>
          <w:tcPr>
            <w:tcW w:w="1165" w:type="dxa"/>
            <w:tcBorders>
              <w:top w:val="single" w:sz="4" w:space="0" w:color="auto"/>
              <w:left w:val="single" w:sz="4" w:space="0" w:color="auto"/>
              <w:bottom w:val="single" w:sz="4" w:space="0" w:color="auto"/>
              <w:right w:val="single" w:sz="4" w:space="0" w:color="auto"/>
            </w:tcBorders>
            <w:vAlign w:val="center"/>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26</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128</w:t>
            </w:r>
          </w:p>
        </w:tc>
      </w:tr>
      <w:tr w:rsidR="00FA7C73" w:rsidRPr="00C53010" w:rsidTr="003045E9">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rsidR="00FA7C73" w:rsidRPr="00C53010" w:rsidRDefault="00563A5C" w:rsidP="00563A5C">
            <w:pPr>
              <w:tabs>
                <w:tab w:val="clear" w:pos="794"/>
                <w:tab w:val="clear" w:pos="1191"/>
                <w:tab w:val="clear" w:pos="1588"/>
                <w:tab w:val="clear" w:pos="1985"/>
              </w:tabs>
              <w:overflowPunct/>
              <w:autoSpaceDE/>
              <w:autoSpaceDN/>
              <w:adjustRightInd/>
              <w:spacing w:before="0"/>
              <w:textAlignment w:val="auto"/>
              <w:rPr>
                <w:b/>
                <w:bCs/>
                <w:i/>
                <w:iCs/>
                <w:color w:val="000000"/>
                <w:sz w:val="18"/>
                <w:szCs w:val="18"/>
                <w:lang w:val="es-ES" w:eastAsia="zh-CN"/>
              </w:rPr>
            </w:pPr>
            <w:r w:rsidRPr="00C53010">
              <w:rPr>
                <w:b/>
                <w:bCs/>
                <w:i/>
                <w:iCs/>
                <w:color w:val="000000"/>
                <w:sz w:val="18"/>
                <w:szCs w:val="18"/>
                <w:lang w:val="es-ES" w:eastAsia="zh-CN"/>
              </w:rPr>
              <w:t>SOLICITUDES DE ASISTENCIA</w:t>
            </w:r>
          </w:p>
        </w:tc>
        <w:tc>
          <w:tcPr>
            <w:tcW w:w="961" w:type="dxa"/>
            <w:tcBorders>
              <w:top w:val="nil"/>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9</w:t>
            </w:r>
          </w:p>
        </w:tc>
        <w:tc>
          <w:tcPr>
            <w:tcW w:w="1023" w:type="dxa"/>
            <w:tcBorders>
              <w:top w:val="nil"/>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6</w:t>
            </w:r>
          </w:p>
        </w:tc>
        <w:tc>
          <w:tcPr>
            <w:tcW w:w="961" w:type="dxa"/>
            <w:tcBorders>
              <w:top w:val="nil"/>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14</w:t>
            </w:r>
          </w:p>
        </w:tc>
        <w:tc>
          <w:tcPr>
            <w:tcW w:w="1024" w:type="dxa"/>
            <w:tcBorders>
              <w:top w:val="nil"/>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7</w:t>
            </w:r>
          </w:p>
        </w:tc>
        <w:tc>
          <w:tcPr>
            <w:tcW w:w="961" w:type="dxa"/>
            <w:tcBorders>
              <w:top w:val="nil"/>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8</w:t>
            </w:r>
          </w:p>
        </w:tc>
        <w:tc>
          <w:tcPr>
            <w:tcW w:w="1023" w:type="dxa"/>
            <w:tcBorders>
              <w:top w:val="nil"/>
              <w:left w:val="nil"/>
              <w:bottom w:val="single" w:sz="8" w:space="0" w:color="auto"/>
              <w:right w:val="single" w:sz="4"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5</w:t>
            </w:r>
          </w:p>
        </w:tc>
        <w:tc>
          <w:tcPr>
            <w:tcW w:w="961" w:type="dxa"/>
            <w:tcBorders>
              <w:top w:val="single" w:sz="4" w:space="0" w:color="auto"/>
              <w:left w:val="single" w:sz="4" w:space="0" w:color="auto"/>
              <w:bottom w:val="single" w:sz="4" w:space="0" w:color="auto"/>
              <w:right w:val="single" w:sz="4" w:space="0" w:color="auto"/>
            </w:tcBorders>
            <w:vAlign w:val="center"/>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8</w:t>
            </w:r>
          </w:p>
        </w:tc>
        <w:tc>
          <w:tcPr>
            <w:tcW w:w="1165" w:type="dxa"/>
            <w:tcBorders>
              <w:top w:val="single" w:sz="4" w:space="0" w:color="auto"/>
              <w:left w:val="single" w:sz="4" w:space="0" w:color="auto"/>
              <w:bottom w:val="single" w:sz="4" w:space="0" w:color="auto"/>
              <w:right w:val="single" w:sz="4" w:space="0" w:color="auto"/>
            </w:tcBorders>
            <w:vAlign w:val="center"/>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8</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39</w:t>
            </w:r>
          </w:p>
        </w:tc>
      </w:tr>
      <w:tr w:rsidR="00FA7C73" w:rsidRPr="00C53010" w:rsidTr="003045E9">
        <w:trPr>
          <w:trHeight w:val="315"/>
        </w:trPr>
        <w:tc>
          <w:tcPr>
            <w:tcW w:w="3251" w:type="dxa"/>
            <w:tcBorders>
              <w:top w:val="nil"/>
              <w:left w:val="single" w:sz="8" w:space="0" w:color="auto"/>
              <w:bottom w:val="nil"/>
              <w:right w:val="single" w:sz="8" w:space="0" w:color="auto"/>
            </w:tcBorders>
            <w:shd w:val="clear" w:color="auto" w:fill="auto"/>
            <w:noWrap/>
            <w:vAlign w:val="center"/>
            <w:hideMark/>
          </w:tcPr>
          <w:p w:rsidR="00FA7C73" w:rsidRPr="00C53010" w:rsidRDefault="00563A5C" w:rsidP="001F3A94">
            <w:pPr>
              <w:tabs>
                <w:tab w:val="clear" w:pos="794"/>
                <w:tab w:val="clear" w:pos="1191"/>
                <w:tab w:val="clear" w:pos="1588"/>
                <w:tab w:val="clear" w:pos="1985"/>
              </w:tabs>
              <w:overflowPunct/>
              <w:autoSpaceDE/>
              <w:autoSpaceDN/>
              <w:adjustRightInd/>
              <w:spacing w:before="0"/>
              <w:textAlignment w:val="auto"/>
              <w:rPr>
                <w:b/>
                <w:bCs/>
                <w:i/>
                <w:iCs/>
                <w:color w:val="000000"/>
                <w:sz w:val="18"/>
                <w:szCs w:val="18"/>
                <w:lang w:val="es-ES" w:eastAsia="zh-CN"/>
              </w:rPr>
            </w:pPr>
            <w:r w:rsidRPr="00C53010">
              <w:rPr>
                <w:b/>
                <w:bCs/>
                <w:i/>
                <w:iCs/>
                <w:color w:val="000000"/>
                <w:sz w:val="18"/>
                <w:szCs w:val="18"/>
                <w:lang w:val="es-ES" w:eastAsia="zh-CN"/>
              </w:rPr>
              <w:t xml:space="preserve">OTROS </w:t>
            </w:r>
            <w:r w:rsidR="00FA7C73" w:rsidRPr="00C53010">
              <w:rPr>
                <w:b/>
                <w:bCs/>
                <w:i/>
                <w:iCs/>
                <w:color w:val="000000"/>
                <w:sz w:val="18"/>
                <w:szCs w:val="18"/>
                <w:lang w:val="es-ES" w:eastAsia="zh-CN"/>
              </w:rPr>
              <w:t>EVENT</w:t>
            </w:r>
            <w:r w:rsidRPr="00C53010">
              <w:rPr>
                <w:b/>
                <w:bCs/>
                <w:i/>
                <w:iCs/>
                <w:color w:val="000000"/>
                <w:sz w:val="18"/>
                <w:szCs w:val="18"/>
                <w:lang w:val="es-ES" w:eastAsia="zh-CN"/>
              </w:rPr>
              <w:t>O</w:t>
            </w:r>
            <w:r w:rsidR="00FA7C73" w:rsidRPr="00C53010">
              <w:rPr>
                <w:b/>
                <w:bCs/>
                <w:i/>
                <w:iCs/>
                <w:color w:val="000000"/>
                <w:sz w:val="18"/>
                <w:szCs w:val="18"/>
                <w:lang w:val="es-ES" w:eastAsia="zh-CN"/>
              </w:rPr>
              <w:t>S</w:t>
            </w:r>
          </w:p>
        </w:tc>
        <w:tc>
          <w:tcPr>
            <w:tcW w:w="961" w:type="dxa"/>
            <w:tcBorders>
              <w:top w:val="nil"/>
              <w:left w:val="nil"/>
              <w:bottom w:val="nil"/>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10</w:t>
            </w:r>
          </w:p>
        </w:tc>
        <w:tc>
          <w:tcPr>
            <w:tcW w:w="1023" w:type="dxa"/>
            <w:tcBorders>
              <w:top w:val="nil"/>
              <w:left w:val="nil"/>
              <w:bottom w:val="nil"/>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8</w:t>
            </w:r>
          </w:p>
        </w:tc>
        <w:tc>
          <w:tcPr>
            <w:tcW w:w="961" w:type="dxa"/>
            <w:tcBorders>
              <w:top w:val="nil"/>
              <w:left w:val="nil"/>
              <w:bottom w:val="nil"/>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31</w:t>
            </w:r>
          </w:p>
        </w:tc>
        <w:tc>
          <w:tcPr>
            <w:tcW w:w="1024" w:type="dxa"/>
            <w:tcBorders>
              <w:top w:val="nil"/>
              <w:left w:val="nil"/>
              <w:bottom w:val="nil"/>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14</w:t>
            </w:r>
          </w:p>
        </w:tc>
        <w:tc>
          <w:tcPr>
            <w:tcW w:w="961" w:type="dxa"/>
            <w:tcBorders>
              <w:top w:val="nil"/>
              <w:left w:val="nil"/>
              <w:bottom w:val="nil"/>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 w:eastAsia="zh-CN"/>
              </w:rPr>
            </w:pPr>
            <w:r w:rsidRPr="00C53010">
              <w:rPr>
                <w:color w:val="000000"/>
                <w:sz w:val="18"/>
                <w:szCs w:val="18"/>
                <w:lang w:val="es-ES" w:eastAsia="zh-CN"/>
              </w:rPr>
              <w:t>14</w:t>
            </w:r>
          </w:p>
        </w:tc>
        <w:tc>
          <w:tcPr>
            <w:tcW w:w="1023" w:type="dxa"/>
            <w:tcBorders>
              <w:top w:val="nil"/>
              <w:left w:val="nil"/>
              <w:bottom w:val="nil"/>
              <w:right w:val="single" w:sz="4"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10</w:t>
            </w:r>
          </w:p>
        </w:tc>
        <w:tc>
          <w:tcPr>
            <w:tcW w:w="961" w:type="dxa"/>
            <w:tcBorders>
              <w:top w:val="single" w:sz="4" w:space="0" w:color="auto"/>
              <w:left w:val="single" w:sz="4" w:space="0" w:color="auto"/>
              <w:bottom w:val="single" w:sz="4" w:space="0" w:color="auto"/>
              <w:right w:val="single" w:sz="4" w:space="0" w:color="auto"/>
            </w:tcBorders>
            <w:vAlign w:val="center"/>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15</w:t>
            </w:r>
          </w:p>
        </w:tc>
        <w:tc>
          <w:tcPr>
            <w:tcW w:w="1165" w:type="dxa"/>
            <w:tcBorders>
              <w:top w:val="single" w:sz="4" w:space="0" w:color="auto"/>
              <w:left w:val="single" w:sz="4" w:space="0" w:color="auto"/>
              <w:bottom w:val="single" w:sz="4" w:space="0" w:color="auto"/>
              <w:right w:val="single" w:sz="4" w:space="0" w:color="auto"/>
            </w:tcBorders>
            <w:vAlign w:val="center"/>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11</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70</w:t>
            </w:r>
          </w:p>
        </w:tc>
      </w:tr>
      <w:tr w:rsidR="00FA7C73" w:rsidRPr="00C53010" w:rsidTr="003045E9">
        <w:trPr>
          <w:trHeight w:val="315"/>
        </w:trPr>
        <w:tc>
          <w:tcPr>
            <w:tcW w:w="32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 w:eastAsia="zh-CN"/>
              </w:rPr>
            </w:pPr>
            <w:r w:rsidRPr="00C53010">
              <w:rPr>
                <w:b/>
                <w:bCs/>
                <w:color w:val="000000"/>
                <w:sz w:val="18"/>
                <w:szCs w:val="18"/>
                <w:lang w:val="es-ES" w:eastAsia="zh-CN"/>
              </w:rPr>
              <w:t>TOTAL</w:t>
            </w:r>
          </w:p>
        </w:tc>
        <w:tc>
          <w:tcPr>
            <w:tcW w:w="961" w:type="dxa"/>
            <w:tcBorders>
              <w:top w:val="single" w:sz="8" w:space="0" w:color="auto"/>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159</w:t>
            </w:r>
          </w:p>
        </w:tc>
        <w:tc>
          <w:tcPr>
            <w:tcW w:w="1023" w:type="dxa"/>
            <w:tcBorders>
              <w:top w:val="single" w:sz="8" w:space="0" w:color="auto"/>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118</w:t>
            </w:r>
          </w:p>
        </w:tc>
        <w:tc>
          <w:tcPr>
            <w:tcW w:w="961" w:type="dxa"/>
            <w:tcBorders>
              <w:top w:val="single" w:sz="8" w:space="0" w:color="auto"/>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233</w:t>
            </w:r>
          </w:p>
        </w:tc>
        <w:tc>
          <w:tcPr>
            <w:tcW w:w="1024" w:type="dxa"/>
            <w:tcBorders>
              <w:top w:val="single" w:sz="8" w:space="0" w:color="auto"/>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128</w:t>
            </w:r>
          </w:p>
        </w:tc>
        <w:tc>
          <w:tcPr>
            <w:tcW w:w="961" w:type="dxa"/>
            <w:tcBorders>
              <w:top w:val="single" w:sz="8" w:space="0" w:color="auto"/>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234</w:t>
            </w:r>
          </w:p>
        </w:tc>
        <w:tc>
          <w:tcPr>
            <w:tcW w:w="1023" w:type="dxa"/>
            <w:tcBorders>
              <w:top w:val="single" w:sz="8" w:space="0" w:color="auto"/>
              <w:left w:val="nil"/>
              <w:bottom w:val="single" w:sz="8" w:space="0" w:color="auto"/>
              <w:right w:val="single" w:sz="4"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119</w:t>
            </w:r>
          </w:p>
        </w:tc>
        <w:tc>
          <w:tcPr>
            <w:tcW w:w="961" w:type="dxa"/>
            <w:tcBorders>
              <w:top w:val="single" w:sz="4" w:space="0" w:color="auto"/>
              <w:left w:val="single" w:sz="4" w:space="0" w:color="auto"/>
              <w:bottom w:val="single" w:sz="4" w:space="0" w:color="auto"/>
              <w:right w:val="single" w:sz="4" w:space="0" w:color="auto"/>
            </w:tcBorders>
            <w:vAlign w:val="bottom"/>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173</w:t>
            </w:r>
          </w:p>
        </w:tc>
        <w:tc>
          <w:tcPr>
            <w:tcW w:w="1165" w:type="dxa"/>
            <w:tcBorders>
              <w:top w:val="single" w:sz="4" w:space="0" w:color="auto"/>
              <w:left w:val="single" w:sz="4" w:space="0" w:color="auto"/>
              <w:bottom w:val="single" w:sz="4" w:space="0" w:color="auto"/>
              <w:right w:val="single" w:sz="4" w:space="0" w:color="auto"/>
            </w:tcBorders>
            <w:vAlign w:val="bottom"/>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125</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rsidR="00FA7C73" w:rsidRPr="00C53010" w:rsidRDefault="00FA7C73" w:rsidP="001F3A9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 w:eastAsia="zh-CN"/>
              </w:rPr>
            </w:pPr>
            <w:r w:rsidRPr="00C53010">
              <w:rPr>
                <w:b/>
                <w:bCs/>
                <w:color w:val="000000"/>
                <w:sz w:val="18"/>
                <w:szCs w:val="18"/>
                <w:lang w:val="es-ES" w:eastAsia="zh-CN"/>
              </w:rPr>
              <w:t>797</w:t>
            </w:r>
          </w:p>
        </w:tc>
      </w:tr>
    </w:tbl>
    <w:p w:rsidR="00FA7C73" w:rsidRPr="00C53010" w:rsidRDefault="00FA7C73" w:rsidP="001F3A94">
      <w:pPr>
        <w:rPr>
          <w:lang w:val="es-ES"/>
        </w:rPr>
      </w:pPr>
    </w:p>
    <w:p w:rsidR="00FA7C73" w:rsidRPr="00C53010" w:rsidRDefault="00FA7C73" w:rsidP="001F3A94">
      <w:pPr>
        <w:rPr>
          <w:rFonts w:ascii="Times" w:hAnsi="Times"/>
          <w:sz w:val="20"/>
          <w:lang w:val="es-ES"/>
        </w:rPr>
      </w:pPr>
    </w:p>
    <w:p w:rsidR="00FA7C73" w:rsidRPr="00C53010" w:rsidRDefault="00FA7C73" w:rsidP="001F3A94">
      <w:pPr>
        <w:rPr>
          <w:lang w:val="es-ES"/>
        </w:rPr>
      </w:pPr>
    </w:p>
    <w:p w:rsidR="00FA7C73" w:rsidRPr="00C53010" w:rsidRDefault="00FA7C73" w:rsidP="001F3A94">
      <w:pPr>
        <w:rPr>
          <w:lang w:val="es-ES"/>
        </w:rPr>
        <w:sectPr w:rsidR="00FA7C73" w:rsidRPr="00C53010" w:rsidSect="003045E9">
          <w:headerReference w:type="even" r:id="rId41"/>
          <w:headerReference w:type="default" r:id="rId42"/>
          <w:footerReference w:type="even" r:id="rId43"/>
          <w:footerReference w:type="default" r:id="rId44"/>
          <w:headerReference w:type="first" r:id="rId45"/>
          <w:pgSz w:w="16834" w:h="11907" w:orient="landscape"/>
          <w:pgMar w:top="1134" w:right="1418" w:bottom="1134" w:left="1418" w:header="720" w:footer="720" w:gutter="0"/>
          <w:paperSrc w:first="15" w:other="15"/>
          <w:cols w:space="720"/>
          <w:titlePg/>
          <w:docGrid w:linePitch="326"/>
        </w:sectPr>
      </w:pPr>
    </w:p>
    <w:p w:rsidR="00FA7C73" w:rsidRPr="00C53010" w:rsidRDefault="00FA7C73" w:rsidP="00563A5C">
      <w:pPr>
        <w:pStyle w:val="Heading3"/>
        <w:rPr>
          <w:lang w:val="es-ES"/>
        </w:rPr>
      </w:pPr>
      <w:bookmarkStart w:id="93" w:name="_Toc424047616"/>
      <w:bookmarkStart w:id="94" w:name="_Toc446060791"/>
      <w:r w:rsidRPr="00C53010">
        <w:rPr>
          <w:lang w:val="es-ES"/>
        </w:rPr>
        <w:lastRenderedPageBreak/>
        <w:t>8.3.3</w:t>
      </w:r>
      <w:r w:rsidRPr="00C53010">
        <w:rPr>
          <w:lang w:val="es-ES"/>
        </w:rPr>
        <w:tab/>
      </w:r>
      <w:bookmarkEnd w:id="93"/>
      <w:bookmarkEnd w:id="94"/>
      <w:r w:rsidR="00563A5C" w:rsidRPr="00C53010">
        <w:rPr>
          <w:lang w:val="es-ES"/>
        </w:rPr>
        <w:t>Asistencia a otros grupos de países</w:t>
      </w:r>
    </w:p>
    <w:p w:rsidR="00FA7C73" w:rsidRPr="00C53010" w:rsidRDefault="00563A5C" w:rsidP="00563A5C">
      <w:pPr>
        <w:rPr>
          <w:lang w:val="es-ES"/>
        </w:rPr>
      </w:pPr>
      <w:r w:rsidRPr="00C53010">
        <w:rPr>
          <w:lang w:val="es-ES"/>
        </w:rPr>
        <w:t>La Oficina organizó las siguientes reuniones de coordinación de frecuencias</w:t>
      </w:r>
      <w:r w:rsidR="00FA7C73" w:rsidRPr="00C53010">
        <w:rPr>
          <w:lang w:val="es-ES"/>
        </w:rPr>
        <w:t xml:space="preserve">: </w:t>
      </w:r>
    </w:p>
    <w:p w:rsidR="00FA7C73" w:rsidRPr="00C53010" w:rsidRDefault="00FA6FC7" w:rsidP="00FA6FC7">
      <w:pPr>
        <w:pStyle w:val="enumlev1"/>
        <w:rPr>
          <w:lang w:val="es-ES"/>
        </w:rPr>
      </w:pPr>
      <w:r>
        <w:rPr>
          <w:lang w:val="es-ES"/>
        </w:rPr>
        <w:t>•</w:t>
      </w:r>
      <w:r>
        <w:rPr>
          <w:lang w:val="es-ES"/>
        </w:rPr>
        <w:tab/>
      </w:r>
      <w:r w:rsidR="00563A5C" w:rsidRPr="00C53010">
        <w:rPr>
          <w:lang w:val="es-ES"/>
        </w:rPr>
        <w:t>En estrecha colaboración con la Comisión Técnica Regional de Telecomunicaciones (COMTELCA)</w:t>
      </w:r>
      <w:r w:rsidR="001B0E79">
        <w:rPr>
          <w:lang w:val="es-ES"/>
        </w:rPr>
        <w:t xml:space="preserve">, </w:t>
      </w:r>
      <w:r w:rsidR="00563A5C" w:rsidRPr="00C53010">
        <w:rPr>
          <w:lang w:val="es-ES"/>
        </w:rPr>
        <w:t>la Unión de Telecomunicaciones del Caribe (CTU) y la Comisión de Interamericana de Telecomunicaciones (CITEL)</w:t>
      </w:r>
      <w:r w:rsidR="001B0E79">
        <w:rPr>
          <w:lang w:val="es-ES"/>
        </w:rPr>
        <w:t xml:space="preserve">, </w:t>
      </w:r>
      <w:r w:rsidR="000D6F83" w:rsidRPr="00C53010">
        <w:rPr>
          <w:lang w:val="es-ES"/>
        </w:rPr>
        <w:t xml:space="preserve">una </w:t>
      </w:r>
      <w:r w:rsidR="00563A5C" w:rsidRPr="00C53010">
        <w:rPr>
          <w:lang w:val="es-ES"/>
        </w:rPr>
        <w:t>serie de reuniones regionales de coordinación de frecuencias sobre la utilización de las bandas VHF/UHF para los países de la región de América Central y el Caribe</w:t>
      </w:r>
      <w:r w:rsidR="00FA7C73" w:rsidRPr="00C53010">
        <w:rPr>
          <w:lang w:val="es-ES"/>
        </w:rPr>
        <w:t xml:space="preserve">. </w:t>
      </w:r>
      <w:r w:rsidR="00563A5C" w:rsidRPr="00C53010">
        <w:rPr>
          <w:lang w:val="es-ES"/>
        </w:rPr>
        <w:t xml:space="preserve">La primera reunión tuvo lugar del 8 al 10 de marzo de 2017 en Managua (Nicaragua) y la segunda reunión en </w:t>
      </w:r>
      <w:r w:rsidR="00FA7C73" w:rsidRPr="00C53010">
        <w:rPr>
          <w:lang w:val="es-ES"/>
        </w:rPr>
        <w:t xml:space="preserve">Guatemala </w:t>
      </w:r>
      <w:r w:rsidR="00563A5C" w:rsidRPr="00C53010">
        <w:rPr>
          <w:lang w:val="es-ES"/>
        </w:rPr>
        <w:t>(</w:t>
      </w:r>
      <w:r w:rsidR="00FA7C73" w:rsidRPr="00C53010">
        <w:rPr>
          <w:lang w:val="es-ES"/>
        </w:rPr>
        <w:t>Guatemala</w:t>
      </w:r>
      <w:r w:rsidR="00563A5C" w:rsidRPr="00C53010">
        <w:rPr>
          <w:lang w:val="es-ES"/>
        </w:rPr>
        <w:t>)</w:t>
      </w:r>
      <w:r w:rsidR="00FA7C73" w:rsidRPr="00C53010">
        <w:rPr>
          <w:lang w:val="es-ES"/>
        </w:rPr>
        <w:t xml:space="preserve"> </w:t>
      </w:r>
      <w:r w:rsidR="00563A5C" w:rsidRPr="00C53010">
        <w:rPr>
          <w:lang w:val="es-ES"/>
        </w:rPr>
        <w:t xml:space="preserve">del </w:t>
      </w:r>
      <w:r w:rsidR="00FA7C73" w:rsidRPr="00C53010">
        <w:rPr>
          <w:lang w:val="es-ES"/>
        </w:rPr>
        <w:t xml:space="preserve">28 </w:t>
      </w:r>
      <w:r w:rsidR="00563A5C" w:rsidRPr="00C53010">
        <w:rPr>
          <w:lang w:val="es-ES"/>
        </w:rPr>
        <w:t xml:space="preserve">de agosto al </w:t>
      </w:r>
      <w:r w:rsidR="00FA7C73" w:rsidRPr="00C53010">
        <w:rPr>
          <w:lang w:val="es-ES"/>
        </w:rPr>
        <w:t xml:space="preserve">1 </w:t>
      </w:r>
      <w:r w:rsidR="00563A5C" w:rsidRPr="00C53010">
        <w:rPr>
          <w:lang w:val="es-ES"/>
        </w:rPr>
        <w:t xml:space="preserve">de septiembre de </w:t>
      </w:r>
      <w:r w:rsidR="00FA7C73" w:rsidRPr="00C53010">
        <w:rPr>
          <w:lang w:val="es-ES"/>
        </w:rPr>
        <w:t xml:space="preserve">2017; </w:t>
      </w:r>
    </w:p>
    <w:p w:rsidR="00FA7C73" w:rsidRPr="00C53010" w:rsidRDefault="00FA6FC7" w:rsidP="00FA6FC7">
      <w:pPr>
        <w:pStyle w:val="enumlev1"/>
        <w:rPr>
          <w:lang w:val="es-ES"/>
        </w:rPr>
      </w:pPr>
      <w:r>
        <w:rPr>
          <w:lang w:val="es-ES"/>
        </w:rPr>
        <w:t>•</w:t>
      </w:r>
      <w:r>
        <w:rPr>
          <w:lang w:val="es-ES"/>
        </w:rPr>
        <w:tab/>
      </w:r>
      <w:r w:rsidR="000D6F83" w:rsidRPr="00C53010">
        <w:rPr>
          <w:lang w:val="es-ES"/>
        </w:rPr>
        <w:t xml:space="preserve">Reunión de coordinación </w:t>
      </w:r>
      <w:r w:rsidR="00FA7C73" w:rsidRPr="00C53010">
        <w:rPr>
          <w:lang w:val="es-ES"/>
        </w:rPr>
        <w:t xml:space="preserve">multilateral </w:t>
      </w:r>
      <w:r w:rsidR="000D6F83" w:rsidRPr="00C53010">
        <w:rPr>
          <w:lang w:val="es-ES"/>
        </w:rPr>
        <w:t xml:space="preserve">sobre radiodifusión de televisión entre </w:t>
      </w:r>
      <w:r w:rsidR="00FA7C73" w:rsidRPr="00C53010">
        <w:rPr>
          <w:lang w:val="es-ES"/>
        </w:rPr>
        <w:t>A</w:t>
      </w:r>
      <w:r w:rsidR="000D6F83" w:rsidRPr="00C53010">
        <w:rPr>
          <w:lang w:val="es-ES"/>
        </w:rPr>
        <w:t>r</w:t>
      </w:r>
      <w:r w:rsidR="00FA7C73" w:rsidRPr="00C53010">
        <w:rPr>
          <w:lang w:val="es-ES"/>
        </w:rPr>
        <w:t>ge</w:t>
      </w:r>
      <w:r w:rsidR="000D6F83" w:rsidRPr="00C53010">
        <w:rPr>
          <w:lang w:val="es-ES"/>
        </w:rPr>
        <w:t>l</w:t>
      </w:r>
      <w:r w:rsidR="00FA7C73" w:rsidRPr="00C53010">
        <w:rPr>
          <w:lang w:val="es-ES"/>
        </w:rPr>
        <w:t>ia</w:t>
      </w:r>
      <w:r w:rsidR="001B0E79">
        <w:rPr>
          <w:lang w:val="es-ES"/>
        </w:rPr>
        <w:t xml:space="preserve">, </w:t>
      </w:r>
      <w:r w:rsidR="00FA7C73" w:rsidRPr="00C53010">
        <w:rPr>
          <w:lang w:val="es-ES"/>
        </w:rPr>
        <w:t>Franc</w:t>
      </w:r>
      <w:r w:rsidR="000D6F83" w:rsidRPr="00C53010">
        <w:rPr>
          <w:lang w:val="es-ES"/>
        </w:rPr>
        <w:t>ia</w:t>
      </w:r>
      <w:r w:rsidR="001B0E79">
        <w:rPr>
          <w:lang w:val="es-ES"/>
        </w:rPr>
        <w:t xml:space="preserve">, </w:t>
      </w:r>
      <w:r w:rsidR="000D6F83" w:rsidRPr="00C53010">
        <w:rPr>
          <w:lang w:val="es-ES"/>
        </w:rPr>
        <w:t xml:space="preserve">Marruecos y </w:t>
      </w:r>
      <w:r w:rsidR="00FA7C73" w:rsidRPr="00C53010">
        <w:rPr>
          <w:lang w:val="es-ES"/>
        </w:rPr>
        <w:t>Lib</w:t>
      </w:r>
      <w:r w:rsidR="000D6F83" w:rsidRPr="00C53010">
        <w:rPr>
          <w:lang w:val="es-ES"/>
        </w:rPr>
        <w:t>ia</w:t>
      </w:r>
      <w:r w:rsidR="001B0E79">
        <w:rPr>
          <w:lang w:val="es-ES"/>
        </w:rPr>
        <w:t xml:space="preserve">, </w:t>
      </w:r>
      <w:r w:rsidR="000D6F83" w:rsidRPr="00C53010">
        <w:rPr>
          <w:lang w:val="es-ES"/>
        </w:rPr>
        <w:t xml:space="preserve">del </w:t>
      </w:r>
      <w:r w:rsidR="00FA7C73" w:rsidRPr="00C53010">
        <w:rPr>
          <w:lang w:val="es-ES"/>
        </w:rPr>
        <w:t xml:space="preserve">14 </w:t>
      </w:r>
      <w:r w:rsidR="000D6F83" w:rsidRPr="00C53010">
        <w:rPr>
          <w:lang w:val="es-ES"/>
        </w:rPr>
        <w:t>al</w:t>
      </w:r>
      <w:r w:rsidR="00FA7C73" w:rsidRPr="00C53010">
        <w:rPr>
          <w:lang w:val="es-ES"/>
        </w:rPr>
        <w:t xml:space="preserve"> 16 </w:t>
      </w:r>
      <w:r w:rsidR="000D6F83" w:rsidRPr="00C53010">
        <w:rPr>
          <w:lang w:val="es-ES"/>
        </w:rPr>
        <w:t xml:space="preserve">de febrero de </w:t>
      </w:r>
      <w:r w:rsidR="00FA7C73" w:rsidRPr="00C53010">
        <w:rPr>
          <w:lang w:val="es-ES"/>
        </w:rPr>
        <w:t xml:space="preserve">2017. </w:t>
      </w:r>
      <w:r w:rsidR="000D6F83" w:rsidRPr="00C53010">
        <w:rPr>
          <w:lang w:val="es-ES"/>
        </w:rPr>
        <w:t xml:space="preserve">La Oficina organizó y prestó asistencia a la reunión conforme a la decisión de la 73ª reunión de la </w:t>
      </w:r>
      <w:r w:rsidR="00FA7C73" w:rsidRPr="00C53010">
        <w:rPr>
          <w:lang w:val="es-ES"/>
        </w:rPr>
        <w:t>RRB</w:t>
      </w:r>
      <w:r w:rsidR="001B0E79">
        <w:rPr>
          <w:lang w:val="es-ES"/>
        </w:rPr>
        <w:t xml:space="preserve">, </w:t>
      </w:r>
      <w:r w:rsidR="000D6F83" w:rsidRPr="00C53010">
        <w:rPr>
          <w:lang w:val="es-ES"/>
        </w:rPr>
        <w:t xml:space="preserve">y culminó en un porcentaje de asignaciones de coordinación de casi el </w:t>
      </w:r>
      <w:r w:rsidR="00FA7C73" w:rsidRPr="00C53010">
        <w:rPr>
          <w:lang w:val="es-ES"/>
        </w:rPr>
        <w:t>100%;</w:t>
      </w:r>
    </w:p>
    <w:p w:rsidR="00FA7C73" w:rsidRPr="00C53010" w:rsidRDefault="00FA6FC7" w:rsidP="00FA6FC7">
      <w:pPr>
        <w:pStyle w:val="enumlev1"/>
        <w:rPr>
          <w:lang w:val="es-ES"/>
        </w:rPr>
      </w:pPr>
      <w:r>
        <w:rPr>
          <w:lang w:val="es-ES"/>
        </w:rPr>
        <w:t>•</w:t>
      </w:r>
      <w:r>
        <w:rPr>
          <w:lang w:val="es-ES"/>
        </w:rPr>
        <w:tab/>
      </w:r>
      <w:r w:rsidR="000D6F83" w:rsidRPr="00C53010">
        <w:rPr>
          <w:lang w:val="es-ES"/>
        </w:rPr>
        <w:t xml:space="preserve">Reunión de coordinación </w:t>
      </w:r>
      <w:r w:rsidR="00FA7C73" w:rsidRPr="00C53010">
        <w:rPr>
          <w:lang w:val="es-ES"/>
        </w:rPr>
        <w:t xml:space="preserve">multilateral </w:t>
      </w:r>
      <w:r w:rsidR="000D6F83" w:rsidRPr="00C53010">
        <w:rPr>
          <w:lang w:val="es-ES"/>
        </w:rPr>
        <w:t xml:space="preserve">los días </w:t>
      </w:r>
      <w:r w:rsidR="00FA7C73" w:rsidRPr="00C53010">
        <w:rPr>
          <w:lang w:val="es-ES"/>
        </w:rPr>
        <w:t xml:space="preserve">11 </w:t>
      </w:r>
      <w:r w:rsidR="000D6F83" w:rsidRPr="00C53010">
        <w:rPr>
          <w:lang w:val="es-ES"/>
        </w:rPr>
        <w:t xml:space="preserve">y </w:t>
      </w:r>
      <w:r w:rsidR="00FA7C73" w:rsidRPr="00C53010">
        <w:rPr>
          <w:lang w:val="es-ES"/>
        </w:rPr>
        <w:t xml:space="preserve">12 </w:t>
      </w:r>
      <w:r w:rsidR="000D6F83" w:rsidRPr="00C53010">
        <w:rPr>
          <w:lang w:val="es-ES"/>
        </w:rPr>
        <w:t xml:space="preserve">de octubre de </w:t>
      </w:r>
      <w:r w:rsidR="00FA7C73" w:rsidRPr="00C53010">
        <w:rPr>
          <w:lang w:val="es-ES"/>
        </w:rPr>
        <w:t xml:space="preserve">2017 </w:t>
      </w:r>
      <w:r w:rsidR="000D6F83" w:rsidRPr="00C53010">
        <w:rPr>
          <w:lang w:val="es-ES"/>
        </w:rPr>
        <w:t>e</w:t>
      </w:r>
      <w:r w:rsidR="00FA7C73" w:rsidRPr="00C53010">
        <w:rPr>
          <w:lang w:val="es-ES"/>
        </w:rPr>
        <w:t>n Rom</w:t>
      </w:r>
      <w:r w:rsidR="000D6F83" w:rsidRPr="00C53010">
        <w:rPr>
          <w:lang w:val="es-ES"/>
        </w:rPr>
        <w:t>a</w:t>
      </w:r>
      <w:r w:rsidR="001B0E79">
        <w:rPr>
          <w:lang w:val="es-ES"/>
        </w:rPr>
        <w:t xml:space="preserve">, </w:t>
      </w:r>
      <w:r w:rsidR="000D6F83" w:rsidRPr="00C53010">
        <w:rPr>
          <w:lang w:val="es-ES"/>
        </w:rPr>
        <w:t xml:space="preserve">entre Italia y los países vecinos para resolver casos de interferencia perjudicial entre estaciones de radiodifusión sonora </w:t>
      </w:r>
      <w:r w:rsidR="00FA7C73" w:rsidRPr="00C53010">
        <w:rPr>
          <w:lang w:val="es-ES"/>
        </w:rPr>
        <w:t xml:space="preserve">FM. </w:t>
      </w:r>
      <w:r w:rsidR="000D6F83" w:rsidRPr="00C53010">
        <w:rPr>
          <w:lang w:val="es-ES"/>
        </w:rPr>
        <w:t xml:space="preserve">La Oficina organizó y coordinó esta reunión con arreglo a las decisiones de la </w:t>
      </w:r>
      <w:r w:rsidR="00FA7C73" w:rsidRPr="00C53010">
        <w:rPr>
          <w:lang w:val="es-ES"/>
        </w:rPr>
        <w:t xml:space="preserve">RRB </w:t>
      </w:r>
      <w:r w:rsidR="000D6F83" w:rsidRPr="00C53010">
        <w:rPr>
          <w:lang w:val="es-ES"/>
        </w:rPr>
        <w:t xml:space="preserve">en su </w:t>
      </w:r>
      <w:r w:rsidR="00FA7C73" w:rsidRPr="00C53010">
        <w:rPr>
          <w:lang w:val="es-ES"/>
        </w:rPr>
        <w:t>75</w:t>
      </w:r>
      <w:r w:rsidR="000D6F83" w:rsidRPr="00C53010">
        <w:rPr>
          <w:lang w:val="es-ES"/>
        </w:rPr>
        <w:t>ª</w:t>
      </w:r>
      <w:r w:rsidR="00FA7C73" w:rsidRPr="00C53010">
        <w:rPr>
          <w:lang w:val="es-ES"/>
        </w:rPr>
        <w:t xml:space="preserve"> </w:t>
      </w:r>
      <w:r w:rsidR="000D6F83" w:rsidRPr="00C53010">
        <w:rPr>
          <w:lang w:val="es-ES"/>
        </w:rPr>
        <w:t>reunión</w:t>
      </w:r>
      <w:r w:rsidR="00FA7C73" w:rsidRPr="00C53010">
        <w:rPr>
          <w:lang w:val="es-ES"/>
        </w:rPr>
        <w:t xml:space="preserve">. </w:t>
      </w:r>
    </w:p>
    <w:p w:rsidR="00FA7C73" w:rsidRPr="00C53010" w:rsidRDefault="00FA6FC7" w:rsidP="00FA6FC7">
      <w:pPr>
        <w:pStyle w:val="enumlev1"/>
        <w:rPr>
          <w:lang w:val="es-ES"/>
        </w:rPr>
      </w:pPr>
      <w:r>
        <w:rPr>
          <w:lang w:val="es-ES"/>
        </w:rPr>
        <w:t>•</w:t>
      </w:r>
      <w:r>
        <w:rPr>
          <w:lang w:val="es-ES"/>
        </w:rPr>
        <w:tab/>
      </w:r>
      <w:r w:rsidR="000D6F83" w:rsidRPr="00C53010">
        <w:rPr>
          <w:lang w:val="es-ES"/>
        </w:rPr>
        <w:t>Cuatro talleres de capacitación U</w:t>
      </w:r>
      <w:r w:rsidR="00FA7C73" w:rsidRPr="00C53010">
        <w:rPr>
          <w:lang w:val="es-ES"/>
        </w:rPr>
        <w:t xml:space="preserve">IT/ITSO </w:t>
      </w:r>
      <w:r w:rsidR="000D6F83" w:rsidRPr="00C53010">
        <w:rPr>
          <w:lang w:val="es-ES"/>
        </w:rPr>
        <w:t xml:space="preserve">sobre comunicaciones de satélites en Abiyán </w:t>
      </w:r>
      <w:r w:rsidR="00FA7C73" w:rsidRPr="00C53010">
        <w:rPr>
          <w:lang w:val="es-ES"/>
        </w:rPr>
        <w:t xml:space="preserve">(Cote d’Ivoire) </w:t>
      </w:r>
      <w:r w:rsidR="000D6F83" w:rsidRPr="00C53010">
        <w:rPr>
          <w:lang w:val="es-ES"/>
        </w:rPr>
        <w:t xml:space="preserve">del </w:t>
      </w:r>
      <w:r w:rsidR="00FA7C73" w:rsidRPr="00C53010">
        <w:rPr>
          <w:lang w:val="es-ES"/>
        </w:rPr>
        <w:t xml:space="preserve">10 </w:t>
      </w:r>
      <w:r w:rsidR="000D6F83" w:rsidRPr="00C53010">
        <w:rPr>
          <w:lang w:val="es-ES"/>
        </w:rPr>
        <w:t xml:space="preserve">al </w:t>
      </w:r>
      <w:r w:rsidR="00FA7C73" w:rsidRPr="00C53010">
        <w:rPr>
          <w:lang w:val="es-ES"/>
        </w:rPr>
        <w:t xml:space="preserve">14 </w:t>
      </w:r>
      <w:r w:rsidR="000D6F83" w:rsidRPr="00C53010">
        <w:rPr>
          <w:lang w:val="es-ES"/>
        </w:rPr>
        <w:t xml:space="preserve">de julio de </w:t>
      </w:r>
      <w:r w:rsidR="00FA7C73" w:rsidRPr="00C53010">
        <w:rPr>
          <w:lang w:val="es-ES"/>
        </w:rPr>
        <w:t>2017 (</w:t>
      </w:r>
      <w:r w:rsidR="000D6F83" w:rsidRPr="00C53010">
        <w:rPr>
          <w:lang w:val="es-ES"/>
        </w:rPr>
        <w:t>para países africanos de habla francesa</w:t>
      </w:r>
      <w:r w:rsidR="00FA7C73" w:rsidRPr="00C53010">
        <w:rPr>
          <w:lang w:val="es-ES"/>
        </w:rPr>
        <w:t>)</w:t>
      </w:r>
      <w:r w:rsidR="001B0E79">
        <w:rPr>
          <w:lang w:val="es-ES"/>
        </w:rPr>
        <w:t xml:space="preserve">, </w:t>
      </w:r>
      <w:r w:rsidR="000D6F83" w:rsidRPr="00C53010">
        <w:rPr>
          <w:lang w:val="es-ES"/>
        </w:rPr>
        <w:t>e</w:t>
      </w:r>
      <w:r w:rsidR="00FA7C73" w:rsidRPr="00C53010">
        <w:rPr>
          <w:lang w:val="es-ES"/>
        </w:rPr>
        <w:t xml:space="preserve">n Nairobi (Kenya) </w:t>
      </w:r>
      <w:r w:rsidR="000D6F83" w:rsidRPr="00C53010">
        <w:rPr>
          <w:lang w:val="es-ES"/>
        </w:rPr>
        <w:t xml:space="preserve">del </w:t>
      </w:r>
      <w:r w:rsidR="00FA7C73" w:rsidRPr="00C53010">
        <w:rPr>
          <w:lang w:val="es-ES"/>
        </w:rPr>
        <w:t xml:space="preserve">17 </w:t>
      </w:r>
      <w:r w:rsidR="000D6F83" w:rsidRPr="00C53010">
        <w:rPr>
          <w:lang w:val="es-ES"/>
        </w:rPr>
        <w:t xml:space="preserve">al </w:t>
      </w:r>
      <w:r w:rsidR="00FA7C73" w:rsidRPr="00C53010">
        <w:rPr>
          <w:lang w:val="es-ES"/>
        </w:rPr>
        <w:t xml:space="preserve">21 </w:t>
      </w:r>
      <w:r w:rsidR="000D6F83" w:rsidRPr="00C53010">
        <w:rPr>
          <w:lang w:val="es-ES"/>
        </w:rPr>
        <w:t xml:space="preserve">de julio de </w:t>
      </w:r>
      <w:r w:rsidR="00FA7C73" w:rsidRPr="00C53010">
        <w:rPr>
          <w:lang w:val="es-ES"/>
        </w:rPr>
        <w:t>2017 (</w:t>
      </w:r>
      <w:r w:rsidR="000D6F83" w:rsidRPr="00C53010">
        <w:rPr>
          <w:lang w:val="es-ES"/>
        </w:rPr>
        <w:t>países africanos de habla inglesa</w:t>
      </w:r>
      <w:r w:rsidR="00FA7C73" w:rsidRPr="00C53010">
        <w:rPr>
          <w:lang w:val="es-ES"/>
        </w:rPr>
        <w:t>)</w:t>
      </w:r>
      <w:r w:rsidR="001B0E79">
        <w:rPr>
          <w:lang w:val="es-ES"/>
        </w:rPr>
        <w:t xml:space="preserve">, </w:t>
      </w:r>
      <w:r w:rsidR="000D6F83" w:rsidRPr="00C53010">
        <w:rPr>
          <w:lang w:val="es-ES"/>
        </w:rPr>
        <w:t>e</w:t>
      </w:r>
      <w:r w:rsidR="00FA7C73" w:rsidRPr="00C53010">
        <w:rPr>
          <w:lang w:val="es-ES"/>
        </w:rPr>
        <w:t>n Giza (Eg</w:t>
      </w:r>
      <w:r w:rsidR="000D6F83" w:rsidRPr="00C53010">
        <w:rPr>
          <w:lang w:val="es-ES"/>
        </w:rPr>
        <w:t>i</w:t>
      </w:r>
      <w:r w:rsidR="00FA7C73" w:rsidRPr="00C53010">
        <w:rPr>
          <w:lang w:val="es-ES"/>
        </w:rPr>
        <w:t>pt</w:t>
      </w:r>
      <w:r w:rsidR="000D6F83" w:rsidRPr="00C53010">
        <w:rPr>
          <w:lang w:val="es-ES"/>
        </w:rPr>
        <w:t>o</w:t>
      </w:r>
      <w:r w:rsidR="00FA7C73" w:rsidRPr="00C53010">
        <w:rPr>
          <w:lang w:val="es-ES"/>
        </w:rPr>
        <w:t xml:space="preserve">) </w:t>
      </w:r>
      <w:r w:rsidR="000D6F83" w:rsidRPr="00C53010">
        <w:rPr>
          <w:lang w:val="es-ES"/>
        </w:rPr>
        <w:t xml:space="preserve">del </w:t>
      </w:r>
      <w:r w:rsidR="00FA7C73" w:rsidRPr="00C53010">
        <w:rPr>
          <w:lang w:val="es-ES"/>
        </w:rPr>
        <w:t xml:space="preserve">8 </w:t>
      </w:r>
      <w:r w:rsidR="000D6F83" w:rsidRPr="00C53010">
        <w:rPr>
          <w:lang w:val="es-ES"/>
        </w:rPr>
        <w:t xml:space="preserve">al </w:t>
      </w:r>
      <w:r w:rsidR="00FA7C73" w:rsidRPr="00C53010">
        <w:rPr>
          <w:lang w:val="es-ES"/>
        </w:rPr>
        <w:t xml:space="preserve">12 </w:t>
      </w:r>
      <w:r w:rsidR="000D6F83" w:rsidRPr="00C53010">
        <w:rPr>
          <w:lang w:val="es-ES"/>
        </w:rPr>
        <w:t xml:space="preserve">de octubre de </w:t>
      </w:r>
      <w:r w:rsidR="00FA7C73" w:rsidRPr="00C53010">
        <w:rPr>
          <w:lang w:val="es-ES"/>
        </w:rPr>
        <w:t xml:space="preserve">2017 </w:t>
      </w:r>
      <w:r w:rsidR="000D6F83" w:rsidRPr="00C53010">
        <w:rPr>
          <w:lang w:val="es-ES"/>
        </w:rPr>
        <w:t>y</w:t>
      </w:r>
      <w:r w:rsidR="001B0E79">
        <w:rPr>
          <w:lang w:val="es-ES"/>
        </w:rPr>
        <w:t xml:space="preserve">, </w:t>
      </w:r>
      <w:r w:rsidR="000D6F83" w:rsidRPr="00C53010">
        <w:rPr>
          <w:lang w:val="es-ES"/>
        </w:rPr>
        <w:t xml:space="preserve">en colaboración con la Unión de Telecomunicaciones del Caribe </w:t>
      </w:r>
      <w:r w:rsidR="00FA7C73" w:rsidRPr="00C53010">
        <w:rPr>
          <w:lang w:val="es-ES"/>
        </w:rPr>
        <w:t>(CTU)</w:t>
      </w:r>
      <w:r w:rsidR="001B0E79">
        <w:rPr>
          <w:lang w:val="es-ES"/>
        </w:rPr>
        <w:t xml:space="preserve">, </w:t>
      </w:r>
      <w:r w:rsidR="000D6F83" w:rsidRPr="00C53010">
        <w:rPr>
          <w:lang w:val="es-ES"/>
        </w:rPr>
        <w:t>e</w:t>
      </w:r>
      <w:r w:rsidR="00FA7C73" w:rsidRPr="00C53010">
        <w:rPr>
          <w:lang w:val="es-ES"/>
        </w:rPr>
        <w:t>n Gr</w:t>
      </w:r>
      <w:r w:rsidR="000D6F83" w:rsidRPr="00C53010">
        <w:rPr>
          <w:lang w:val="es-ES"/>
        </w:rPr>
        <w:t>a</w:t>
      </w:r>
      <w:r w:rsidR="00FA7C73" w:rsidRPr="00C53010">
        <w:rPr>
          <w:lang w:val="es-ES"/>
        </w:rPr>
        <w:t xml:space="preserve">nada </w:t>
      </w:r>
      <w:r w:rsidR="000D6F83" w:rsidRPr="00C53010">
        <w:rPr>
          <w:lang w:val="es-ES"/>
        </w:rPr>
        <w:t xml:space="preserve">del </w:t>
      </w:r>
      <w:r w:rsidR="00FA7C73" w:rsidRPr="00C53010">
        <w:rPr>
          <w:lang w:val="es-ES"/>
        </w:rPr>
        <w:t xml:space="preserve">16 </w:t>
      </w:r>
      <w:r w:rsidR="000D6F83" w:rsidRPr="00C53010">
        <w:rPr>
          <w:lang w:val="es-ES"/>
        </w:rPr>
        <w:t>al</w:t>
      </w:r>
      <w:r w:rsidR="00FA7C73" w:rsidRPr="00C53010">
        <w:rPr>
          <w:lang w:val="es-ES"/>
        </w:rPr>
        <w:t xml:space="preserve"> 20 </w:t>
      </w:r>
      <w:r w:rsidR="000D6F83" w:rsidRPr="00C53010">
        <w:rPr>
          <w:lang w:val="es-ES"/>
        </w:rPr>
        <w:t xml:space="preserve">de octubre de </w:t>
      </w:r>
      <w:r w:rsidR="00FA7C73" w:rsidRPr="00C53010">
        <w:rPr>
          <w:lang w:val="es-ES"/>
        </w:rPr>
        <w:t xml:space="preserve">2017. </w:t>
      </w:r>
      <w:r w:rsidR="00AB729D" w:rsidRPr="00C53010">
        <w:rPr>
          <w:lang w:val="es-ES"/>
        </w:rPr>
        <w:t>Estos talleres forman parte de la alianza sobre capacitación entre la UIT e ITSO para impartir formación en materia de comunicaciones por satélite</w:t>
      </w:r>
      <w:r w:rsidR="00FA7C73" w:rsidRPr="00C53010">
        <w:rPr>
          <w:lang w:val="es-ES"/>
        </w:rPr>
        <w:t xml:space="preserve">. </w:t>
      </w:r>
    </w:p>
    <w:p w:rsidR="00FA7C73" w:rsidRPr="00C53010" w:rsidRDefault="00FA6FC7" w:rsidP="00FA6FC7">
      <w:pPr>
        <w:pStyle w:val="enumlev1"/>
        <w:rPr>
          <w:lang w:val="es-ES"/>
        </w:rPr>
      </w:pPr>
      <w:r>
        <w:rPr>
          <w:lang w:val="es-ES"/>
        </w:rPr>
        <w:t>•</w:t>
      </w:r>
      <w:r>
        <w:rPr>
          <w:lang w:val="es-ES"/>
        </w:rPr>
        <w:tab/>
      </w:r>
      <w:r w:rsidR="00EE2B4C" w:rsidRPr="00C53010">
        <w:rPr>
          <w:lang w:val="es-ES"/>
        </w:rPr>
        <w:t>Tres reuniones de coordinación de satélites entre</w:t>
      </w:r>
      <w:r w:rsidR="00FA7C73" w:rsidRPr="00C53010">
        <w:rPr>
          <w:lang w:val="es-ES"/>
        </w:rPr>
        <w:t xml:space="preserve">: </w:t>
      </w:r>
      <w:r w:rsidR="00EE2B4C" w:rsidRPr="00C53010">
        <w:rPr>
          <w:lang w:val="es-ES"/>
        </w:rPr>
        <w:t>la Federación de Rusia y Emiratos Árabes Unidos</w:t>
      </w:r>
      <w:r w:rsidR="001B0E79">
        <w:rPr>
          <w:lang w:val="es-ES"/>
        </w:rPr>
        <w:t xml:space="preserve">, </w:t>
      </w:r>
      <w:r w:rsidR="00FA7C73" w:rsidRPr="00C53010">
        <w:rPr>
          <w:lang w:val="es-ES"/>
        </w:rPr>
        <w:t xml:space="preserve">Australia </w:t>
      </w:r>
      <w:r w:rsidR="00EE2B4C" w:rsidRPr="00C53010">
        <w:rPr>
          <w:lang w:val="es-ES"/>
        </w:rPr>
        <w:t>y la Federación de Rusia</w:t>
      </w:r>
      <w:r w:rsidR="001B0E79">
        <w:rPr>
          <w:lang w:val="es-ES"/>
        </w:rPr>
        <w:t xml:space="preserve">, </w:t>
      </w:r>
      <w:r w:rsidR="00FA7C73" w:rsidRPr="00C53010">
        <w:rPr>
          <w:lang w:val="es-ES"/>
        </w:rPr>
        <w:t>Australia</w:t>
      </w:r>
      <w:r w:rsidR="001B0E79">
        <w:rPr>
          <w:lang w:val="es-ES"/>
        </w:rPr>
        <w:t xml:space="preserve">, </w:t>
      </w:r>
      <w:r w:rsidR="00FA7C73" w:rsidRPr="00C53010">
        <w:rPr>
          <w:lang w:val="es-ES"/>
        </w:rPr>
        <w:t xml:space="preserve">Malasia </w:t>
      </w:r>
      <w:r w:rsidR="00EE2B4C" w:rsidRPr="00C53010">
        <w:rPr>
          <w:lang w:val="es-ES"/>
        </w:rPr>
        <w:t>y el Reino Unido de Gran Bretaña e Irlanda del Norte</w:t>
      </w:r>
      <w:r w:rsidR="001B0E79">
        <w:rPr>
          <w:lang w:val="es-ES"/>
        </w:rPr>
        <w:t xml:space="preserve">, </w:t>
      </w:r>
      <w:r w:rsidR="00EE2B4C" w:rsidRPr="00C53010">
        <w:rPr>
          <w:lang w:val="es-ES"/>
        </w:rPr>
        <w:t xml:space="preserve">así como reunión de revisión de operadores </w:t>
      </w:r>
      <w:r w:rsidR="00FA7C73" w:rsidRPr="00C53010">
        <w:rPr>
          <w:lang w:val="es-ES"/>
        </w:rPr>
        <w:t xml:space="preserve">(ORM) </w:t>
      </w:r>
      <w:r w:rsidR="00EE2B4C" w:rsidRPr="00C53010">
        <w:rPr>
          <w:lang w:val="es-ES"/>
        </w:rPr>
        <w:t xml:space="preserve">del Memorando de Entendimiento sobre la coordinación </w:t>
      </w:r>
      <w:r w:rsidR="00C53010" w:rsidRPr="00C53010">
        <w:rPr>
          <w:lang w:val="es-ES"/>
        </w:rPr>
        <w:t>multilateral</w:t>
      </w:r>
      <w:r w:rsidR="00EE2B4C" w:rsidRPr="00C53010">
        <w:rPr>
          <w:lang w:val="es-ES"/>
        </w:rPr>
        <w:t xml:space="preserve"> entre sistemas OSG/SMS en las Regiones </w:t>
      </w:r>
      <w:r w:rsidR="00FA7C73" w:rsidRPr="00C53010">
        <w:rPr>
          <w:lang w:val="es-ES"/>
        </w:rPr>
        <w:t xml:space="preserve">1 </w:t>
      </w:r>
      <w:r w:rsidR="00EE2B4C" w:rsidRPr="00C53010">
        <w:rPr>
          <w:lang w:val="es-ES"/>
        </w:rPr>
        <w:t>y</w:t>
      </w:r>
      <w:r w:rsidR="00FA7C73" w:rsidRPr="00C53010">
        <w:rPr>
          <w:lang w:val="es-ES"/>
        </w:rPr>
        <w:t xml:space="preserve"> 3 </w:t>
      </w:r>
      <w:r w:rsidR="00EE2B4C" w:rsidRPr="00C53010">
        <w:rPr>
          <w:lang w:val="es-ES"/>
        </w:rPr>
        <w:t xml:space="preserve">para las bandas de frecuencias </w:t>
      </w:r>
      <w:r w:rsidR="0026067F">
        <w:rPr>
          <w:lang w:val="es-ES"/>
        </w:rPr>
        <w:t>1525-1544/1545-1559 MHz</w:t>
      </w:r>
      <w:r w:rsidR="001B0E79">
        <w:rPr>
          <w:lang w:val="es-ES"/>
        </w:rPr>
        <w:t xml:space="preserve">, </w:t>
      </w:r>
      <w:r w:rsidR="0026067F">
        <w:rPr>
          <w:lang w:val="es-ES"/>
        </w:rPr>
        <w:t>1626</w:t>
      </w:r>
      <w:r w:rsidR="00454C57">
        <w:rPr>
          <w:lang w:val="es-ES"/>
        </w:rPr>
        <w:t> </w:t>
      </w:r>
      <w:r w:rsidR="00FA7C73" w:rsidRPr="00C53010">
        <w:rPr>
          <w:lang w:val="es-ES"/>
        </w:rPr>
        <w:t>5</w:t>
      </w:r>
      <w:r w:rsidR="0026067F">
        <w:rPr>
          <w:lang w:val="es-ES"/>
        </w:rPr>
        <w:noBreakHyphen/>
        <w:t>1645</w:t>
      </w:r>
      <w:r w:rsidR="00454C57">
        <w:rPr>
          <w:lang w:val="es-ES"/>
        </w:rPr>
        <w:t> </w:t>
      </w:r>
      <w:r w:rsidR="0026067F">
        <w:rPr>
          <w:lang w:val="es-ES"/>
        </w:rPr>
        <w:t>5/1646</w:t>
      </w:r>
      <w:r w:rsidR="00454C57">
        <w:rPr>
          <w:lang w:val="es-ES"/>
        </w:rPr>
        <w:t> </w:t>
      </w:r>
      <w:r w:rsidR="0026067F">
        <w:rPr>
          <w:lang w:val="es-ES"/>
        </w:rPr>
        <w:t>5-1660</w:t>
      </w:r>
      <w:r w:rsidR="00454C57">
        <w:rPr>
          <w:lang w:val="es-ES"/>
        </w:rPr>
        <w:t> </w:t>
      </w:r>
      <w:r w:rsidR="00FA7C73" w:rsidRPr="00C53010">
        <w:rPr>
          <w:lang w:val="es-ES"/>
        </w:rPr>
        <w:t>5 MHz.</w:t>
      </w:r>
    </w:p>
    <w:p w:rsidR="00FA7C73" w:rsidRPr="00C53010" w:rsidRDefault="00FA6FC7" w:rsidP="00FA6FC7">
      <w:pPr>
        <w:pStyle w:val="enumlev1"/>
        <w:rPr>
          <w:lang w:val="es-ES"/>
        </w:rPr>
      </w:pPr>
      <w:r>
        <w:rPr>
          <w:lang w:val="es-ES"/>
        </w:rPr>
        <w:t>•</w:t>
      </w:r>
      <w:r>
        <w:rPr>
          <w:lang w:val="es-ES"/>
        </w:rPr>
        <w:tab/>
      </w:r>
      <w:r w:rsidR="00563A5C" w:rsidRPr="00C53010">
        <w:rPr>
          <w:lang w:val="es-ES"/>
        </w:rPr>
        <w:t>A petición de la Administración de Azerbaiyán y con el fin de resumir las actividades del Grupo de Coordinación de los países del Mar Negro</w:t>
      </w:r>
      <w:r w:rsidR="001B0E79">
        <w:rPr>
          <w:lang w:val="es-ES"/>
        </w:rPr>
        <w:t xml:space="preserve">, </w:t>
      </w:r>
      <w:r w:rsidR="00563A5C" w:rsidRPr="00C53010">
        <w:rPr>
          <w:lang w:val="es-ES"/>
        </w:rPr>
        <w:t>del Mar Caspio y de Asia Central</w:t>
      </w:r>
      <w:r w:rsidR="001B0E79">
        <w:rPr>
          <w:lang w:val="es-ES"/>
        </w:rPr>
        <w:t xml:space="preserve">, </w:t>
      </w:r>
      <w:r w:rsidR="00563A5C" w:rsidRPr="00C53010">
        <w:rPr>
          <w:lang w:val="es-ES"/>
        </w:rPr>
        <w:t>la Oficina invitó a las Administraciones de Armenia</w:t>
      </w:r>
      <w:r w:rsidR="001B0E79">
        <w:rPr>
          <w:lang w:val="es-ES"/>
        </w:rPr>
        <w:t xml:space="preserve">, </w:t>
      </w:r>
      <w:r w:rsidR="00563A5C" w:rsidRPr="00C53010">
        <w:rPr>
          <w:lang w:val="es-ES"/>
        </w:rPr>
        <w:t>Azerbaiyán</w:t>
      </w:r>
      <w:r w:rsidR="001B0E79">
        <w:rPr>
          <w:lang w:val="es-ES"/>
        </w:rPr>
        <w:t xml:space="preserve">, </w:t>
      </w:r>
      <w:r w:rsidR="00563A5C" w:rsidRPr="00C53010">
        <w:rPr>
          <w:lang w:val="es-ES"/>
        </w:rPr>
        <w:t>Georgia</w:t>
      </w:r>
      <w:r w:rsidR="001B0E79">
        <w:rPr>
          <w:lang w:val="es-ES"/>
        </w:rPr>
        <w:t xml:space="preserve">, </w:t>
      </w:r>
      <w:r w:rsidR="00563A5C" w:rsidRPr="00C53010">
        <w:rPr>
          <w:lang w:val="es-ES"/>
        </w:rPr>
        <w:t>Irán (República Islámica del)</w:t>
      </w:r>
      <w:r w:rsidR="001B0E79">
        <w:rPr>
          <w:lang w:val="es-ES"/>
        </w:rPr>
        <w:t xml:space="preserve">, </w:t>
      </w:r>
      <w:r w:rsidR="00563A5C" w:rsidRPr="00C53010">
        <w:rPr>
          <w:lang w:val="es-ES"/>
        </w:rPr>
        <w:t>Kazakstán</w:t>
      </w:r>
      <w:r w:rsidR="001B0E79">
        <w:rPr>
          <w:lang w:val="es-ES"/>
        </w:rPr>
        <w:t xml:space="preserve">, </w:t>
      </w:r>
      <w:r w:rsidR="00563A5C" w:rsidRPr="00C53010">
        <w:rPr>
          <w:lang w:val="es-ES"/>
        </w:rPr>
        <w:t>Kirguistán</w:t>
      </w:r>
      <w:r w:rsidR="001B0E79">
        <w:rPr>
          <w:lang w:val="es-ES"/>
        </w:rPr>
        <w:t xml:space="preserve">, </w:t>
      </w:r>
      <w:r w:rsidR="00563A5C" w:rsidRPr="00C53010">
        <w:rPr>
          <w:lang w:val="es-ES"/>
        </w:rPr>
        <w:t>Federación de Rusia</w:t>
      </w:r>
      <w:r w:rsidR="001B0E79">
        <w:rPr>
          <w:lang w:val="es-ES"/>
        </w:rPr>
        <w:t xml:space="preserve">, </w:t>
      </w:r>
      <w:r w:rsidR="00563A5C" w:rsidRPr="00C53010">
        <w:rPr>
          <w:lang w:val="es-ES"/>
        </w:rPr>
        <w:t>Tayikistán</w:t>
      </w:r>
      <w:r w:rsidR="001B0E79">
        <w:rPr>
          <w:lang w:val="es-ES"/>
        </w:rPr>
        <w:t xml:space="preserve">, </w:t>
      </w:r>
      <w:r w:rsidR="00563A5C" w:rsidRPr="00C53010">
        <w:rPr>
          <w:lang w:val="es-ES"/>
        </w:rPr>
        <w:t>Turkmenistán y Uzbekistán a asistir a una reunión multilateral de coordinación de frecuencias</w:t>
      </w:r>
      <w:r w:rsidR="001B0E79">
        <w:rPr>
          <w:lang w:val="es-ES"/>
        </w:rPr>
        <w:t xml:space="preserve">, </w:t>
      </w:r>
      <w:r w:rsidR="00563A5C" w:rsidRPr="00C53010">
        <w:rPr>
          <w:lang w:val="es-ES"/>
        </w:rPr>
        <w:t>con el fin de facilitar la coordinación de todos los servicios de radiocomunicaciones que funcionan en la gama de frecuencias comprendida entre 470 MHz y 862 MHz. La reunión tuvo lugar del 30 al 31 de marzo de 2017 en la Sede de la UIT en Ginebra</w:t>
      </w:r>
      <w:r w:rsidR="00FA7C73" w:rsidRPr="00C53010">
        <w:rPr>
          <w:lang w:val="es-ES"/>
        </w:rPr>
        <w:t>.</w:t>
      </w:r>
    </w:p>
    <w:p w:rsidR="00FA7C73" w:rsidRPr="00C53010" w:rsidRDefault="00FA6FC7" w:rsidP="00FA6FC7">
      <w:pPr>
        <w:pStyle w:val="enumlev1"/>
        <w:rPr>
          <w:lang w:val="es-ES"/>
        </w:rPr>
      </w:pPr>
      <w:r>
        <w:rPr>
          <w:lang w:val="es-ES"/>
        </w:rPr>
        <w:t>•</w:t>
      </w:r>
      <w:r>
        <w:rPr>
          <w:lang w:val="es-ES"/>
        </w:rPr>
        <w:tab/>
      </w:r>
      <w:r w:rsidR="00EE2B4C" w:rsidRPr="00C53010">
        <w:rPr>
          <w:lang w:val="es-ES"/>
        </w:rPr>
        <w:t>La Oficina prestó asistencia a Azerbayán y Nueva Zeland</w:t>
      </w:r>
      <w:r w:rsidR="009E1F2D">
        <w:rPr>
          <w:lang w:val="es-ES"/>
        </w:rPr>
        <w:t>i</w:t>
      </w:r>
      <w:r w:rsidR="00EE2B4C" w:rsidRPr="00C53010">
        <w:rPr>
          <w:lang w:val="es-ES"/>
        </w:rPr>
        <w:t>a y acogió a las delegaciones de</w:t>
      </w:r>
      <w:r w:rsidR="00FA7C73" w:rsidRPr="00C53010">
        <w:rPr>
          <w:lang w:val="es-ES"/>
        </w:rPr>
        <w:t>: China</w:t>
      </w:r>
      <w:r w:rsidR="001B0E79">
        <w:rPr>
          <w:lang w:val="es-ES"/>
        </w:rPr>
        <w:t xml:space="preserve">, </w:t>
      </w:r>
      <w:r w:rsidR="00EE2B4C" w:rsidRPr="00C53010">
        <w:rPr>
          <w:lang w:val="es-ES"/>
        </w:rPr>
        <w:t>Chipre</w:t>
      </w:r>
      <w:r w:rsidR="001B0E79">
        <w:rPr>
          <w:lang w:val="es-ES"/>
        </w:rPr>
        <w:t xml:space="preserve">, </w:t>
      </w:r>
      <w:r w:rsidR="00FA7C73" w:rsidRPr="00C53010">
        <w:rPr>
          <w:lang w:val="es-ES"/>
        </w:rPr>
        <w:t>Gab</w:t>
      </w:r>
      <w:r w:rsidR="00EE2B4C" w:rsidRPr="00C53010">
        <w:rPr>
          <w:lang w:val="es-ES"/>
        </w:rPr>
        <w:t>ó</w:t>
      </w:r>
      <w:r w:rsidR="00FA7C73" w:rsidRPr="00C53010">
        <w:rPr>
          <w:lang w:val="es-ES"/>
        </w:rPr>
        <w:t>n</w:t>
      </w:r>
      <w:r w:rsidR="001B0E79">
        <w:rPr>
          <w:lang w:val="es-ES"/>
        </w:rPr>
        <w:t xml:space="preserve">, </w:t>
      </w:r>
      <w:r w:rsidR="00FA7C73" w:rsidRPr="00C53010">
        <w:rPr>
          <w:lang w:val="es-ES"/>
        </w:rPr>
        <w:t>Indonesia</w:t>
      </w:r>
      <w:r w:rsidR="001B0E79">
        <w:rPr>
          <w:lang w:val="es-ES"/>
        </w:rPr>
        <w:t xml:space="preserve">, </w:t>
      </w:r>
      <w:r w:rsidR="00FA7C73" w:rsidRPr="00C53010">
        <w:rPr>
          <w:lang w:val="es-ES"/>
        </w:rPr>
        <w:t>Kenya</w:t>
      </w:r>
      <w:r w:rsidR="00EE2B4C" w:rsidRPr="00C53010">
        <w:rPr>
          <w:lang w:val="es-ES"/>
        </w:rPr>
        <w:t xml:space="preserve"> y Marruecos para responder a sus respectivos requisitos de asistencia técnica</w:t>
      </w:r>
      <w:r w:rsidR="001B0E79">
        <w:rPr>
          <w:lang w:val="es-ES"/>
        </w:rPr>
        <w:t xml:space="preserve">, </w:t>
      </w:r>
      <w:r w:rsidR="00EE2B4C" w:rsidRPr="00C53010">
        <w:rPr>
          <w:lang w:val="es-ES"/>
        </w:rPr>
        <w:t>principalmente en relación con cuestiones de coordinación de frecuencias</w:t>
      </w:r>
      <w:r w:rsidR="00FA7C73" w:rsidRPr="00C53010">
        <w:rPr>
          <w:lang w:val="es-ES"/>
        </w:rPr>
        <w:t>.</w:t>
      </w:r>
    </w:p>
    <w:p w:rsidR="00FA7C73" w:rsidRPr="00C53010" w:rsidRDefault="00FA7C73" w:rsidP="00EE2B4C">
      <w:pPr>
        <w:pStyle w:val="Heading2"/>
        <w:rPr>
          <w:lang w:val="es-ES"/>
        </w:rPr>
      </w:pPr>
      <w:bookmarkStart w:id="95" w:name="_Toc418163382"/>
      <w:bookmarkStart w:id="96" w:name="_Toc418232300"/>
      <w:bookmarkStart w:id="97" w:name="_Toc424047620"/>
      <w:bookmarkStart w:id="98" w:name="_Toc446060792"/>
      <w:r w:rsidRPr="00C53010">
        <w:rPr>
          <w:lang w:val="es-ES"/>
        </w:rPr>
        <w:lastRenderedPageBreak/>
        <w:t>8.4</w:t>
      </w:r>
      <w:r w:rsidRPr="00C53010">
        <w:rPr>
          <w:lang w:val="es-ES"/>
        </w:rPr>
        <w:tab/>
      </w:r>
      <w:bookmarkEnd w:id="95"/>
      <w:bookmarkEnd w:id="96"/>
      <w:bookmarkEnd w:id="97"/>
      <w:bookmarkEnd w:id="98"/>
      <w:r w:rsidR="00EE2B4C" w:rsidRPr="00C53010">
        <w:rPr>
          <w:lang w:val="es-ES"/>
        </w:rPr>
        <w:t>Cooperación intersectorial</w:t>
      </w:r>
    </w:p>
    <w:p w:rsidR="00FA7C73" w:rsidRPr="00C53010" w:rsidRDefault="00FA7C73" w:rsidP="00EE2B4C">
      <w:pPr>
        <w:pStyle w:val="Heading3"/>
        <w:rPr>
          <w:lang w:val="es-ES"/>
        </w:rPr>
      </w:pPr>
      <w:bookmarkStart w:id="99" w:name="_Toc424047621"/>
      <w:bookmarkStart w:id="100" w:name="_Toc446060793"/>
      <w:r w:rsidRPr="00C53010">
        <w:rPr>
          <w:lang w:val="es-ES"/>
        </w:rPr>
        <w:t>8.4.1</w:t>
      </w:r>
      <w:r w:rsidRPr="00C53010">
        <w:rPr>
          <w:lang w:val="es-ES"/>
        </w:rPr>
        <w:tab/>
      </w:r>
      <w:r w:rsidR="00EE2B4C" w:rsidRPr="00C53010">
        <w:rPr>
          <w:lang w:val="es-ES"/>
        </w:rPr>
        <w:t xml:space="preserve">Cooperación con el UIT </w:t>
      </w:r>
      <w:r w:rsidRPr="00C53010">
        <w:rPr>
          <w:lang w:val="es-ES"/>
        </w:rPr>
        <w:noBreakHyphen/>
        <w:t>D</w:t>
      </w:r>
      <w:bookmarkEnd w:id="99"/>
      <w:bookmarkEnd w:id="100"/>
      <w:r w:rsidRPr="00C53010">
        <w:rPr>
          <w:lang w:val="es-ES"/>
        </w:rPr>
        <w:t xml:space="preserve"> </w:t>
      </w:r>
    </w:p>
    <w:p w:rsidR="00EE2B4C" w:rsidRPr="00C53010" w:rsidRDefault="00EE2B4C" w:rsidP="00FA6FC7">
      <w:pPr>
        <w:rPr>
          <w:lang w:val="es-ES"/>
        </w:rPr>
      </w:pPr>
      <w:r w:rsidRPr="00C53010">
        <w:rPr>
          <w:lang w:val="es-ES"/>
        </w:rPr>
        <w:t>Tal como se ha señalado en las secciones 8.1 a 8.3 anteriores</w:t>
      </w:r>
      <w:r w:rsidR="001B0E79">
        <w:rPr>
          <w:lang w:val="es-ES"/>
        </w:rPr>
        <w:t xml:space="preserve">, </w:t>
      </w:r>
      <w:r w:rsidRPr="00C53010">
        <w:rPr>
          <w:lang w:val="es-ES"/>
        </w:rPr>
        <w:t>la BR continúa cumpliendo su objetivo de informar y asistir a los Miembros de la UIT</w:t>
      </w:r>
      <w:r w:rsidR="001B0E79">
        <w:rPr>
          <w:lang w:val="es-ES"/>
        </w:rPr>
        <w:t xml:space="preserve">, </w:t>
      </w:r>
      <w:r w:rsidRPr="00C53010">
        <w:rPr>
          <w:lang w:val="es-ES"/>
        </w:rPr>
        <w:t>en particular a los países en desarrollo</w:t>
      </w:r>
      <w:r w:rsidR="001B0E79">
        <w:rPr>
          <w:lang w:val="es-ES"/>
        </w:rPr>
        <w:t xml:space="preserve">, </w:t>
      </w:r>
      <w:r w:rsidRPr="00C53010">
        <w:rPr>
          <w:lang w:val="es-ES"/>
        </w:rPr>
        <w:t>en materia de radiocomunicaciones. A tal fin</w:t>
      </w:r>
      <w:r w:rsidR="001B0E79">
        <w:rPr>
          <w:lang w:val="es-ES"/>
        </w:rPr>
        <w:t xml:space="preserve">, </w:t>
      </w:r>
      <w:r w:rsidRPr="00C53010">
        <w:rPr>
          <w:lang w:val="es-ES"/>
        </w:rPr>
        <w:t>la BR organiza y participa en talleres</w:t>
      </w:r>
      <w:r w:rsidR="001B0E79">
        <w:rPr>
          <w:lang w:val="es-ES"/>
        </w:rPr>
        <w:t xml:space="preserve">, </w:t>
      </w:r>
      <w:r w:rsidRPr="00C53010">
        <w:rPr>
          <w:lang w:val="es-ES"/>
        </w:rPr>
        <w:t>seminarios</w:t>
      </w:r>
      <w:r w:rsidR="001B0E79">
        <w:rPr>
          <w:lang w:val="es-ES"/>
        </w:rPr>
        <w:t xml:space="preserve">, </w:t>
      </w:r>
      <w:r w:rsidRPr="00C53010">
        <w:rPr>
          <w:lang w:val="es-ES"/>
        </w:rPr>
        <w:t>reuniones y actividades de capacitación sobre el espectro radioeléctrico. Estas acciones se realizan en estrecha cooperación con la BDT y las Oficinas Regionales y Zonales de la UIT</w:t>
      </w:r>
      <w:r w:rsidR="001B0E79">
        <w:rPr>
          <w:lang w:val="es-ES"/>
        </w:rPr>
        <w:t xml:space="preserve">, </w:t>
      </w:r>
      <w:r w:rsidRPr="00C53010">
        <w:rPr>
          <w:lang w:val="es-ES"/>
        </w:rPr>
        <w:t>así como con las organizaciones internacionales y autoridades nacionales pertinentes.</w:t>
      </w:r>
    </w:p>
    <w:p w:rsidR="00FA7C73" w:rsidRPr="00C53010" w:rsidRDefault="00EE2B4C" w:rsidP="009518DB">
      <w:pPr>
        <w:rPr>
          <w:lang w:val="es-ES"/>
        </w:rPr>
      </w:pPr>
      <w:bookmarkStart w:id="101" w:name="lt_pId1303"/>
      <w:r w:rsidRPr="00C53010">
        <w:rPr>
          <w:lang w:val="es-ES"/>
        </w:rPr>
        <w:t>En particular</w:t>
      </w:r>
      <w:r w:rsidR="001B0E79">
        <w:rPr>
          <w:lang w:val="es-ES"/>
        </w:rPr>
        <w:t xml:space="preserve">, </w:t>
      </w:r>
      <w:r w:rsidRPr="00C53010">
        <w:rPr>
          <w:lang w:val="es-ES"/>
        </w:rPr>
        <w:t xml:space="preserve">la BR </w:t>
      </w:r>
      <w:r w:rsidR="009518DB" w:rsidRPr="00C53010">
        <w:rPr>
          <w:lang w:val="es-ES"/>
        </w:rPr>
        <w:t xml:space="preserve">siguió participando </w:t>
      </w:r>
      <w:r w:rsidRPr="00C53010">
        <w:rPr>
          <w:lang w:val="es-ES"/>
        </w:rPr>
        <w:t>en taller</w:t>
      </w:r>
      <w:r w:rsidR="009518DB" w:rsidRPr="00C53010">
        <w:rPr>
          <w:lang w:val="es-ES"/>
        </w:rPr>
        <w:t>es</w:t>
      </w:r>
      <w:r w:rsidRPr="00C53010">
        <w:rPr>
          <w:lang w:val="es-ES"/>
        </w:rPr>
        <w:t xml:space="preserve"> y reun</w:t>
      </w:r>
      <w:r w:rsidR="009518DB" w:rsidRPr="00C53010">
        <w:rPr>
          <w:lang w:val="es-ES"/>
        </w:rPr>
        <w:t>iones</w:t>
      </w:r>
      <w:r w:rsidRPr="00C53010">
        <w:rPr>
          <w:lang w:val="es-ES"/>
        </w:rPr>
        <w:t xml:space="preserve"> de expertos sobre la Resolución 9 (Rev. Dubái</w:t>
      </w:r>
      <w:r w:rsidR="001B0E79">
        <w:rPr>
          <w:lang w:val="es-ES"/>
        </w:rPr>
        <w:t xml:space="preserve">, </w:t>
      </w:r>
      <w:r w:rsidRPr="00C53010">
        <w:rPr>
          <w:lang w:val="es-ES"/>
        </w:rPr>
        <w:t>2014) de la CMDT</w:t>
      </w:r>
      <w:bookmarkEnd w:id="101"/>
      <w:r w:rsidR="001B0E79">
        <w:rPr>
          <w:lang w:val="es-ES"/>
        </w:rPr>
        <w:t xml:space="preserve">, </w:t>
      </w:r>
      <w:r w:rsidR="009518DB" w:rsidRPr="00C53010">
        <w:rPr>
          <w:lang w:val="es-ES"/>
        </w:rPr>
        <w:t xml:space="preserve">así como en el Grupo de Expertos en Indicadores de Telecomunicaciones/TIC </w:t>
      </w:r>
      <w:r w:rsidR="00FA7C73" w:rsidRPr="00C53010">
        <w:rPr>
          <w:lang w:val="es-ES"/>
        </w:rPr>
        <w:t>(</w:t>
      </w:r>
      <w:r w:rsidR="009518DB" w:rsidRPr="00C53010">
        <w:rPr>
          <w:lang w:val="es-ES"/>
        </w:rPr>
        <w:t>G</w:t>
      </w:r>
      <w:r w:rsidR="00FA7C73" w:rsidRPr="00C53010">
        <w:rPr>
          <w:lang w:val="es-ES"/>
        </w:rPr>
        <w:t>E</w:t>
      </w:r>
      <w:r w:rsidR="009518DB" w:rsidRPr="00C53010">
        <w:rPr>
          <w:lang w:val="es-ES"/>
        </w:rPr>
        <w:t>T</w:t>
      </w:r>
      <w:r w:rsidR="00FA7C73" w:rsidRPr="00C53010">
        <w:rPr>
          <w:lang w:val="es-ES"/>
        </w:rPr>
        <w:t>I)</w:t>
      </w:r>
      <w:r w:rsidR="001B0E79">
        <w:rPr>
          <w:lang w:val="es-ES"/>
        </w:rPr>
        <w:t xml:space="preserve">, </w:t>
      </w:r>
      <w:r w:rsidR="009518DB" w:rsidRPr="00C53010">
        <w:rPr>
          <w:lang w:val="es-ES"/>
        </w:rPr>
        <w:t xml:space="preserve">dedicado a examinar los indicadores de acceso móvil e inalámbrico de banda ancha y los nuevos </w:t>
      </w:r>
      <w:r w:rsidR="00FA7C73" w:rsidRPr="00C53010">
        <w:rPr>
          <w:lang w:val="es-ES"/>
        </w:rPr>
        <w:t>(</w:t>
      </w:r>
      <w:r w:rsidR="009518DB" w:rsidRPr="00C53010">
        <w:rPr>
          <w:lang w:val="es-ES"/>
        </w:rPr>
        <w:t>en preparación</w:t>
      </w:r>
      <w:r w:rsidR="00FA7C73" w:rsidRPr="00C53010">
        <w:rPr>
          <w:lang w:val="es-ES"/>
        </w:rPr>
        <w:t xml:space="preserve">) </w:t>
      </w:r>
      <w:r w:rsidR="009518DB" w:rsidRPr="00C53010">
        <w:rPr>
          <w:lang w:val="es-ES"/>
        </w:rPr>
        <w:t xml:space="preserve">relacionados con las </w:t>
      </w:r>
      <w:r w:rsidR="00FA7C73" w:rsidRPr="00C53010">
        <w:rPr>
          <w:lang w:val="es-ES"/>
        </w:rPr>
        <w:t>IMT-2020.</w:t>
      </w:r>
      <w:bookmarkStart w:id="102" w:name="_Toc424047622"/>
    </w:p>
    <w:p w:rsidR="00FA7C73" w:rsidRPr="00C53010" w:rsidRDefault="00FA7C73" w:rsidP="001F3A94">
      <w:pPr>
        <w:pStyle w:val="Heading4"/>
        <w:rPr>
          <w:lang w:val="es-ES"/>
        </w:rPr>
      </w:pPr>
      <w:bookmarkStart w:id="103" w:name="_Toc424047625"/>
      <w:r w:rsidRPr="00C53010">
        <w:rPr>
          <w:lang w:val="es-ES"/>
        </w:rPr>
        <w:t>8.4.1.1</w:t>
      </w:r>
      <w:r w:rsidRPr="00C53010">
        <w:rPr>
          <w:lang w:val="es-ES"/>
        </w:rPr>
        <w:tab/>
        <w:t>GSR</w:t>
      </w:r>
      <w:bookmarkEnd w:id="102"/>
    </w:p>
    <w:p w:rsidR="009518DB" w:rsidRPr="00C53010" w:rsidRDefault="009518DB" w:rsidP="00FA6FC7">
      <w:pPr>
        <w:rPr>
          <w:lang w:val="es-ES"/>
        </w:rPr>
      </w:pPr>
      <w:bookmarkStart w:id="104" w:name="_Toc424047623"/>
      <w:r w:rsidRPr="00C53010">
        <w:rPr>
          <w:lang w:val="es-ES"/>
        </w:rPr>
        <w:t>Reconociendo la importancia que para los Estados Miembros tiene disponer de información de expertos</w:t>
      </w:r>
      <w:r w:rsidR="001B0E79">
        <w:rPr>
          <w:lang w:val="es-ES"/>
        </w:rPr>
        <w:t xml:space="preserve">, </w:t>
      </w:r>
      <w:r w:rsidRPr="00C53010">
        <w:rPr>
          <w:lang w:val="es-ES"/>
        </w:rPr>
        <w:t>la Oficina de Radiocomunicaciones continua apoyando a la BDT mediante conocimientos técnicos en materia de gestión del espectro</w:t>
      </w:r>
      <w:r w:rsidR="001B0E79">
        <w:rPr>
          <w:lang w:val="es-ES"/>
        </w:rPr>
        <w:t xml:space="preserve">, </w:t>
      </w:r>
      <w:r w:rsidRPr="00C53010">
        <w:rPr>
          <w:lang w:val="es-ES"/>
        </w:rPr>
        <w:t>la radiodifusión digital y el dividendo digital. La Oficina ha contribuido a los Simposios Mundiales para Organismos Reguladores de 2014</w:t>
      </w:r>
      <w:r w:rsidR="001B0E79">
        <w:rPr>
          <w:lang w:val="es-ES"/>
        </w:rPr>
        <w:t xml:space="preserve">, </w:t>
      </w:r>
      <w:r w:rsidRPr="00C53010">
        <w:rPr>
          <w:lang w:val="es-ES"/>
        </w:rPr>
        <w:t>2015 y 2017</w:t>
      </w:r>
      <w:r w:rsidR="001B0E79">
        <w:rPr>
          <w:lang w:val="es-ES"/>
        </w:rPr>
        <w:t xml:space="preserve">, </w:t>
      </w:r>
      <w:r w:rsidRPr="00C53010">
        <w:rPr>
          <w:lang w:val="es-ES"/>
        </w:rPr>
        <w:t>con la organización y participación en sesiones sobre gestión del espectro</w:t>
      </w:r>
      <w:r w:rsidR="001B0E79">
        <w:rPr>
          <w:lang w:val="es-ES"/>
        </w:rPr>
        <w:t xml:space="preserve">, </w:t>
      </w:r>
      <w:r w:rsidRPr="00C53010">
        <w:rPr>
          <w:lang w:val="es-ES"/>
        </w:rPr>
        <w:t xml:space="preserve">en particular en las relacionadas con 5G y las nuevas tendencias de </w:t>
      </w:r>
      <w:r w:rsidR="00C53010" w:rsidRPr="00C53010">
        <w:rPr>
          <w:lang w:val="es-ES"/>
        </w:rPr>
        <w:t>gestión</w:t>
      </w:r>
      <w:r w:rsidRPr="00C53010">
        <w:rPr>
          <w:lang w:val="es-ES"/>
        </w:rPr>
        <w:t xml:space="preserve"> del espectro.</w:t>
      </w:r>
    </w:p>
    <w:p w:rsidR="00FA7C73" w:rsidRPr="00C53010" w:rsidRDefault="00FA7C73" w:rsidP="009518DB">
      <w:pPr>
        <w:pStyle w:val="Heading4"/>
        <w:rPr>
          <w:lang w:val="es-ES"/>
        </w:rPr>
      </w:pPr>
      <w:r w:rsidRPr="00C53010">
        <w:rPr>
          <w:lang w:val="es-ES"/>
        </w:rPr>
        <w:t>8.4.1.2</w:t>
      </w:r>
      <w:r w:rsidRPr="00C53010">
        <w:rPr>
          <w:lang w:val="es-ES"/>
        </w:rPr>
        <w:tab/>
      </w:r>
      <w:bookmarkEnd w:id="104"/>
      <w:r w:rsidR="009518DB" w:rsidRPr="00C53010">
        <w:rPr>
          <w:lang w:val="es-ES"/>
        </w:rPr>
        <w:t>Encuesta sobre las TIC y el Observatorio TIC</w:t>
      </w:r>
      <w:r w:rsidRPr="00C53010">
        <w:rPr>
          <w:lang w:val="es-ES"/>
        </w:rPr>
        <w:t xml:space="preserve"> </w:t>
      </w:r>
    </w:p>
    <w:p w:rsidR="00FA7C73" w:rsidRPr="00C53010" w:rsidRDefault="009518DB" w:rsidP="00FA6FC7">
      <w:pPr>
        <w:rPr>
          <w:lang w:val="es-ES"/>
        </w:rPr>
      </w:pPr>
      <w:r w:rsidRPr="00C53010">
        <w:rPr>
          <w:lang w:val="es-ES"/>
        </w:rPr>
        <w:t>El Observatorio TIC y sus encuestas constituyen una herramienta fundamental para la recopilación de datos de las administraciones sobre métricas clave de las TIC. La BDT realiza anualmente el seguimiento de dichos datos y muestra los resultados de manera relevante en el portal de estadísticas. A fin de aprovechar la plataforma Observatorio TIC</w:t>
      </w:r>
      <w:r w:rsidR="001B0E79">
        <w:rPr>
          <w:lang w:val="es-ES"/>
        </w:rPr>
        <w:t xml:space="preserve">, </w:t>
      </w:r>
      <w:r w:rsidRPr="00C53010">
        <w:rPr>
          <w:lang w:val="es-ES"/>
        </w:rPr>
        <w:t>la BR colabora con la BDT para ampliar las encuestas anuales e incluye un capítulo sobre información clave del espectro (subastas</w:t>
      </w:r>
      <w:r w:rsidR="001B0E79">
        <w:rPr>
          <w:lang w:val="es-ES"/>
        </w:rPr>
        <w:t xml:space="preserve">, </w:t>
      </w:r>
      <w:r w:rsidRPr="00C53010">
        <w:rPr>
          <w:lang w:val="es-ES"/>
        </w:rPr>
        <w:t>topes de espectro</w:t>
      </w:r>
      <w:r w:rsidR="001B0E79">
        <w:rPr>
          <w:lang w:val="es-ES"/>
        </w:rPr>
        <w:t xml:space="preserve">, </w:t>
      </w:r>
      <w:r w:rsidRPr="00C53010">
        <w:rPr>
          <w:lang w:val="es-ES"/>
        </w:rPr>
        <w:t>tecnologías/normas móviles</w:t>
      </w:r>
      <w:r w:rsidR="001B0E79">
        <w:rPr>
          <w:lang w:val="es-ES"/>
        </w:rPr>
        <w:t xml:space="preserve">, </w:t>
      </w:r>
      <w:r w:rsidRPr="00C53010">
        <w:rPr>
          <w:lang w:val="es-ES"/>
        </w:rPr>
        <w:t>concesión de licencias de espectro). El capítulo sobre asuntos del espectro preparado por la BR se publicó por primera vez en la Encuesta sobre las TIC de 2013. La BR siguió trabajando estrechamente con la BDT en la recopilación</w:t>
      </w:r>
      <w:r w:rsidR="001B0E79">
        <w:rPr>
          <w:lang w:val="es-ES"/>
        </w:rPr>
        <w:t xml:space="preserve">, </w:t>
      </w:r>
      <w:r w:rsidRPr="00C53010">
        <w:rPr>
          <w:lang w:val="es-ES"/>
        </w:rPr>
        <w:t>tramitación y divulgación de este capítulo</w:t>
      </w:r>
      <w:r w:rsidR="00FA7C73" w:rsidRPr="00C53010">
        <w:rPr>
          <w:lang w:val="es-ES"/>
        </w:rPr>
        <w:t xml:space="preserve">. </w:t>
      </w:r>
      <w:r w:rsidRPr="00C53010">
        <w:rPr>
          <w:lang w:val="es-ES"/>
        </w:rPr>
        <w:t>Se está revisando para adaptarlo a la forma en que los reguladores clasifican las tecnologías móviles de banda ancha</w:t>
      </w:r>
      <w:r w:rsidR="001B0E79">
        <w:rPr>
          <w:lang w:val="es-ES"/>
        </w:rPr>
        <w:t xml:space="preserve">, </w:t>
      </w:r>
      <w:r w:rsidRPr="00C53010">
        <w:rPr>
          <w:lang w:val="es-ES"/>
        </w:rPr>
        <w:t>y para incluir una nueva sección sobre atribución y asignación nacional de frecuencias a las IMT</w:t>
      </w:r>
      <w:r w:rsidR="00FA7C73" w:rsidRPr="00C53010">
        <w:rPr>
          <w:lang w:val="es-ES"/>
        </w:rPr>
        <w:t xml:space="preserve"> (</w:t>
      </w:r>
      <w:r w:rsidRPr="00C53010">
        <w:rPr>
          <w:lang w:val="es-ES"/>
        </w:rPr>
        <w:t>en curso</w:t>
      </w:r>
      <w:r w:rsidR="00FA7C73" w:rsidRPr="00C53010">
        <w:rPr>
          <w:lang w:val="es-ES"/>
        </w:rPr>
        <w:t>)</w:t>
      </w:r>
      <w:r w:rsidRPr="00C53010">
        <w:rPr>
          <w:lang w:val="es-ES"/>
        </w:rPr>
        <w:t>.</w:t>
      </w:r>
    </w:p>
    <w:p w:rsidR="00FA7C73" w:rsidRPr="00C53010" w:rsidRDefault="00FA7C73" w:rsidP="009518DB">
      <w:pPr>
        <w:pStyle w:val="Heading4"/>
        <w:jc w:val="both"/>
        <w:rPr>
          <w:lang w:val="es-ES"/>
        </w:rPr>
      </w:pPr>
      <w:r w:rsidRPr="00C53010">
        <w:rPr>
          <w:lang w:val="es-ES"/>
        </w:rPr>
        <w:t xml:space="preserve">8.4.1.3. </w:t>
      </w:r>
      <w:r w:rsidR="009518DB" w:rsidRPr="00C53010">
        <w:rPr>
          <w:lang w:val="es-ES"/>
        </w:rPr>
        <w:t>Simposio Mundial sobre Indicadores de Telecomunicaciones/TIC (SMIT)</w:t>
      </w:r>
    </w:p>
    <w:p w:rsidR="009518DB" w:rsidRPr="00C53010" w:rsidRDefault="009518DB" w:rsidP="00795540">
      <w:pPr>
        <w:rPr>
          <w:lang w:val="es-ES"/>
        </w:rPr>
      </w:pPr>
      <w:r w:rsidRPr="00C53010">
        <w:rPr>
          <w:lang w:val="es-ES"/>
        </w:rPr>
        <w:t>La BR colabora con la BDT en lo que respecta a los indicadores y las definiciones para la recopilación de datos sobre tecnologías móviles de banda ancha</w:t>
      </w:r>
      <w:r w:rsidR="001B0E79">
        <w:rPr>
          <w:lang w:val="es-ES"/>
        </w:rPr>
        <w:t xml:space="preserve">, </w:t>
      </w:r>
      <w:r w:rsidRPr="00C53010">
        <w:rPr>
          <w:lang w:val="es-ES"/>
        </w:rPr>
        <w:t>en particular cuando se refiere a las normas. En ese contexto</w:t>
      </w:r>
      <w:r w:rsidR="001B0E79">
        <w:rPr>
          <w:lang w:val="es-ES"/>
        </w:rPr>
        <w:t xml:space="preserve">, </w:t>
      </w:r>
      <w:r w:rsidRPr="00C53010">
        <w:rPr>
          <w:lang w:val="es-ES"/>
        </w:rPr>
        <w:t>la BR intervino en el SMIT-14</w:t>
      </w:r>
      <w:r w:rsidR="001B0E79">
        <w:rPr>
          <w:lang w:val="es-ES"/>
        </w:rPr>
        <w:t xml:space="preserve">, </w:t>
      </w:r>
      <w:r w:rsidRPr="00C53010">
        <w:rPr>
          <w:lang w:val="es-ES"/>
        </w:rPr>
        <w:t>el SMIT-15 y el SMIT-16. En el SMIT</w:t>
      </w:r>
      <w:r w:rsidRPr="00C53010">
        <w:rPr>
          <w:lang w:val="es-ES"/>
        </w:rPr>
        <w:noBreakHyphen/>
        <w:t>17</w:t>
      </w:r>
      <w:r w:rsidR="001B0E79">
        <w:rPr>
          <w:lang w:val="es-ES"/>
        </w:rPr>
        <w:t xml:space="preserve">, </w:t>
      </w:r>
      <w:r w:rsidRPr="00C53010">
        <w:rPr>
          <w:lang w:val="es-ES"/>
        </w:rPr>
        <w:t>la BR participó en la preparación de indicadores para 5G y para la atribución y asignación nacional de frecuencias a las IMT.</w:t>
      </w:r>
    </w:p>
    <w:p w:rsidR="009518DB" w:rsidRPr="00C53010" w:rsidRDefault="009518DB" w:rsidP="009518DB">
      <w:pPr>
        <w:rPr>
          <w:lang w:val="es-ES"/>
        </w:rPr>
      </w:pPr>
      <w:r w:rsidRPr="00C53010">
        <w:rPr>
          <w:lang w:val="es-ES"/>
        </w:rPr>
        <w:t>Esta actividad está estrechamente relacionada con los trabajos sobre los IFR del UIT-R.</w:t>
      </w:r>
    </w:p>
    <w:p w:rsidR="00FA7C73" w:rsidRPr="00C53010" w:rsidRDefault="00FA7C73" w:rsidP="00A37230">
      <w:pPr>
        <w:pStyle w:val="Heading4"/>
        <w:jc w:val="both"/>
        <w:rPr>
          <w:lang w:val="es-ES"/>
        </w:rPr>
      </w:pPr>
      <w:bookmarkStart w:id="105" w:name="_Toc424047624"/>
      <w:r w:rsidRPr="00C53010">
        <w:rPr>
          <w:lang w:val="es-ES"/>
        </w:rPr>
        <w:t>8.4.1.4</w:t>
      </w:r>
      <w:r w:rsidRPr="00C53010">
        <w:rPr>
          <w:lang w:val="es-ES"/>
        </w:rPr>
        <w:tab/>
      </w:r>
      <w:r w:rsidR="00A37230" w:rsidRPr="00C53010">
        <w:rPr>
          <w:lang w:val="es-ES"/>
        </w:rPr>
        <w:t xml:space="preserve">Programa de formación en gestión del espectro </w:t>
      </w:r>
      <w:r w:rsidRPr="00C53010">
        <w:rPr>
          <w:lang w:val="es-ES"/>
        </w:rPr>
        <w:t>(SMTP)</w:t>
      </w:r>
      <w:bookmarkEnd w:id="105"/>
    </w:p>
    <w:p w:rsidR="00A37230" w:rsidRPr="00C53010" w:rsidRDefault="00A37230" w:rsidP="00A37230">
      <w:pPr>
        <w:rPr>
          <w:lang w:val="es-ES"/>
        </w:rPr>
      </w:pPr>
      <w:r w:rsidRPr="00C53010">
        <w:rPr>
          <w:lang w:val="es-ES"/>
        </w:rPr>
        <w:t>Han continuado los estrechos contactos con la BDT en asuntos de interés común al UIT-R y el UIT</w:t>
      </w:r>
      <w:r w:rsidRPr="00C53010">
        <w:rPr>
          <w:lang w:val="es-ES"/>
        </w:rPr>
        <w:noBreakHyphen/>
        <w:t>D. La BR ha participado en las reuniones de las Comisiones de Estudio del UIT-D</w:t>
      </w:r>
      <w:r w:rsidR="001B0E79">
        <w:rPr>
          <w:lang w:val="es-ES"/>
        </w:rPr>
        <w:t xml:space="preserve">, </w:t>
      </w:r>
      <w:r w:rsidRPr="00C53010">
        <w:rPr>
          <w:lang w:val="es-ES"/>
        </w:rPr>
        <w:t>Grupos de Relator y GADT pertinentes</w:t>
      </w:r>
      <w:r w:rsidR="001B0E79">
        <w:rPr>
          <w:lang w:val="es-ES"/>
        </w:rPr>
        <w:t xml:space="preserve">, </w:t>
      </w:r>
      <w:r w:rsidRPr="00C53010">
        <w:rPr>
          <w:lang w:val="es-ES"/>
        </w:rPr>
        <w:t>en las que las actividades de coordinación han incluido asuntos como la gestión del espectro</w:t>
      </w:r>
      <w:r w:rsidR="001B0E79">
        <w:rPr>
          <w:lang w:val="es-ES"/>
        </w:rPr>
        <w:t xml:space="preserve">, </w:t>
      </w:r>
      <w:r w:rsidRPr="00C53010">
        <w:rPr>
          <w:lang w:val="es-ES"/>
        </w:rPr>
        <w:t>la radiodifusión digital y la transición desde sistemas analógicos</w:t>
      </w:r>
      <w:r w:rsidR="001B0E79">
        <w:rPr>
          <w:lang w:val="es-ES"/>
        </w:rPr>
        <w:t xml:space="preserve">, </w:t>
      </w:r>
      <w:r w:rsidRPr="00C53010">
        <w:rPr>
          <w:lang w:val="es-ES"/>
        </w:rPr>
        <w:t>la transición hacia las IMT y su implantación</w:t>
      </w:r>
      <w:r w:rsidR="001B0E79">
        <w:rPr>
          <w:lang w:val="es-ES"/>
        </w:rPr>
        <w:t xml:space="preserve">, </w:t>
      </w:r>
      <w:r w:rsidRPr="00C53010">
        <w:rPr>
          <w:lang w:val="es-ES"/>
        </w:rPr>
        <w:t xml:space="preserve">y las tecnologías de acceso inalámbrico de banda ancha. </w:t>
      </w:r>
      <w:r w:rsidRPr="00C53010">
        <w:rPr>
          <w:lang w:val="es-ES"/>
        </w:rPr>
        <w:lastRenderedPageBreak/>
        <w:t>Estos asuntos se suman a la colaboración llevada a cabo en el marco de la Cuestión 9-3/2 del UIT</w:t>
      </w:r>
      <w:r w:rsidRPr="00C53010">
        <w:rPr>
          <w:lang w:val="es-ES"/>
        </w:rPr>
        <w:noBreakHyphen/>
        <w:t>D</w:t>
      </w:r>
      <w:r w:rsidR="001B0E79">
        <w:rPr>
          <w:lang w:val="es-ES"/>
        </w:rPr>
        <w:t xml:space="preserve">, </w:t>
      </w:r>
      <w:r w:rsidRPr="00C53010">
        <w:rPr>
          <w:lang w:val="es-ES"/>
        </w:rPr>
        <w:t>que solicita la identificación de temas de estudio en el UIT-R (y el UIT-T) de particular interés para los países en desarrollo.</w:t>
      </w:r>
    </w:p>
    <w:p w:rsidR="00A37230" w:rsidRPr="00C53010" w:rsidRDefault="00A37230" w:rsidP="00A37230">
      <w:pPr>
        <w:rPr>
          <w:lang w:val="es-ES"/>
        </w:rPr>
      </w:pPr>
      <w:r w:rsidRPr="00C53010">
        <w:rPr>
          <w:lang w:val="es-ES"/>
        </w:rPr>
        <w:t>En respuesta a solicitudes de la BDT</w:t>
      </w:r>
      <w:r w:rsidR="001B0E79">
        <w:rPr>
          <w:lang w:val="es-ES"/>
        </w:rPr>
        <w:t xml:space="preserve">, </w:t>
      </w:r>
      <w:r w:rsidRPr="00C53010">
        <w:rPr>
          <w:lang w:val="es-ES"/>
        </w:rPr>
        <w:t>expertos del UIT-R y la BR han participado en seminarios y talleres de la UIT organizados por el UIT-D (véase también la sección 8.2.4). En el marco de la Resolución UIT</w:t>
      </w:r>
      <w:r w:rsidRPr="00C53010">
        <w:rPr>
          <w:lang w:val="es-ES"/>
        </w:rPr>
        <w:noBreakHyphen/>
        <w:t>R 11-4 (Perfeccionamiento del Sistema de gestión del espectro para los países en desarrollo)</w:t>
      </w:r>
      <w:r w:rsidR="001B0E79">
        <w:rPr>
          <w:lang w:val="es-ES"/>
        </w:rPr>
        <w:t xml:space="preserve">, </w:t>
      </w:r>
      <w:r w:rsidRPr="00C53010">
        <w:rPr>
          <w:lang w:val="es-ES"/>
        </w:rPr>
        <w:t>la Oficina ha participado en el diseño</w:t>
      </w:r>
      <w:r w:rsidR="001B0E79">
        <w:rPr>
          <w:lang w:val="es-ES"/>
        </w:rPr>
        <w:t xml:space="preserve">, </w:t>
      </w:r>
      <w:r w:rsidRPr="00C53010">
        <w:rPr>
          <w:lang w:val="es-ES"/>
        </w:rPr>
        <w:t>las pruebas y la capacitación asociada al paquete informático SMS4DC (Sistema de gestión del espectro para países en desarrollo)</w:t>
      </w:r>
      <w:r w:rsidR="001B0E79">
        <w:rPr>
          <w:lang w:val="es-ES"/>
        </w:rPr>
        <w:t xml:space="preserve">, </w:t>
      </w:r>
      <w:r w:rsidRPr="00C53010">
        <w:rPr>
          <w:lang w:val="es-ES"/>
        </w:rPr>
        <w:t>y ha asesorado sobre la aplicación de las Recomendaciones UIT-R pertinentes. Además</w:t>
      </w:r>
      <w:r w:rsidR="001B0E79">
        <w:rPr>
          <w:lang w:val="es-ES"/>
        </w:rPr>
        <w:t xml:space="preserve">, </w:t>
      </w:r>
      <w:r w:rsidRPr="00C53010">
        <w:rPr>
          <w:lang w:val="es-ES"/>
        </w:rPr>
        <w:t>la Comisión de Estudio 1 del UIT-R ha continuado su estrecha colaboración con las Comisiones de Estudio del UIT-D en relación con los trabajos sobre la utilización del espectro con arreglo a la Resolución UIT</w:t>
      </w:r>
      <w:r w:rsidRPr="00C53010">
        <w:rPr>
          <w:lang w:val="es-ES"/>
        </w:rPr>
        <w:noBreakHyphen/>
        <w:t>D 9.</w:t>
      </w:r>
    </w:p>
    <w:p w:rsidR="00A37230" w:rsidRPr="00C53010" w:rsidRDefault="00A37230" w:rsidP="00A37230">
      <w:pPr>
        <w:rPr>
          <w:lang w:val="es-ES"/>
        </w:rPr>
      </w:pPr>
      <w:r w:rsidRPr="00C53010">
        <w:rPr>
          <w:lang w:val="es-ES"/>
        </w:rPr>
        <w:t>Teniendo siempre en mente las necesidades de los países en desarrollo</w:t>
      </w:r>
      <w:r w:rsidR="001B0E79">
        <w:rPr>
          <w:lang w:val="es-ES"/>
        </w:rPr>
        <w:t xml:space="preserve">, </w:t>
      </w:r>
      <w:r w:rsidRPr="00C53010">
        <w:rPr>
          <w:lang w:val="es-ES"/>
        </w:rPr>
        <w:t>la elaboración de Manuales sigue siendo una de las actividades principales de las Comisiones de Estudio. A ese respecto se han elaborado nuevos Manuales o se han revisado Manuales existentes sobre asuntos como la comprobación técnica del espectro</w:t>
      </w:r>
      <w:r w:rsidR="001B0E79">
        <w:rPr>
          <w:lang w:val="es-ES"/>
        </w:rPr>
        <w:t xml:space="preserve">, </w:t>
      </w:r>
      <w:r w:rsidRPr="00C53010">
        <w:rPr>
          <w:lang w:val="es-ES"/>
        </w:rPr>
        <w:t>la propagación por microondas para el diseño de sistemas terrenales punto a punto</w:t>
      </w:r>
      <w:r w:rsidR="001B0E79">
        <w:rPr>
          <w:lang w:val="es-ES"/>
        </w:rPr>
        <w:t xml:space="preserve">, </w:t>
      </w:r>
      <w:r w:rsidRPr="00C53010">
        <w:rPr>
          <w:lang w:val="es-ES"/>
        </w:rPr>
        <w:t>los servicios de aficionados y de aficionados por satélite</w:t>
      </w:r>
      <w:r w:rsidR="001B0E79">
        <w:rPr>
          <w:lang w:val="es-ES"/>
        </w:rPr>
        <w:t xml:space="preserve">, </w:t>
      </w:r>
      <w:r w:rsidRPr="00C53010">
        <w:rPr>
          <w:lang w:val="es-ES"/>
        </w:rPr>
        <w:t>la transición a sistemas IMT-2000 y la utilización del espectro radioeléctrico en meteorología: observación y predicción del clima</w:t>
      </w:r>
      <w:r w:rsidR="001B0E79">
        <w:rPr>
          <w:lang w:val="es-ES"/>
        </w:rPr>
        <w:t xml:space="preserve">, </w:t>
      </w:r>
      <w:r w:rsidRPr="00C53010">
        <w:rPr>
          <w:lang w:val="es-ES"/>
        </w:rPr>
        <w:t>de los fenómenos meteorológicos y de los recursos hídricos.</w:t>
      </w:r>
    </w:p>
    <w:p w:rsidR="00FA7C73" w:rsidRPr="00C53010" w:rsidRDefault="00A37230" w:rsidP="00A37230">
      <w:pPr>
        <w:rPr>
          <w:lang w:val="es-ES"/>
        </w:rPr>
      </w:pPr>
      <w:r w:rsidRPr="00C53010">
        <w:rPr>
          <w:lang w:val="es-ES"/>
        </w:rPr>
        <w:t xml:space="preserve">La BR participa activamente desde 2013 en un proyecto conjunto con la BDT de desarrollo del </w:t>
      </w:r>
      <w:r w:rsidRPr="00C53010">
        <w:rPr>
          <w:i/>
          <w:iCs/>
          <w:lang w:val="es-ES"/>
        </w:rPr>
        <w:t>Programa de capacitación en gestión del espectro (SMTP</w:t>
      </w:r>
      <w:r w:rsidRPr="00C53010">
        <w:rPr>
          <w:lang w:val="es-ES"/>
        </w:rPr>
        <w:t>) en sus distintas fases: diseño</w:t>
      </w:r>
      <w:r w:rsidR="001B0E79">
        <w:rPr>
          <w:lang w:val="es-ES"/>
        </w:rPr>
        <w:t xml:space="preserve">, </w:t>
      </w:r>
      <w:r w:rsidRPr="00C53010">
        <w:rPr>
          <w:lang w:val="es-ES"/>
        </w:rPr>
        <w:t>preparación material</w:t>
      </w:r>
      <w:r w:rsidR="001B0E79">
        <w:rPr>
          <w:lang w:val="es-ES"/>
        </w:rPr>
        <w:t xml:space="preserve">, </w:t>
      </w:r>
      <w:r w:rsidRPr="00C53010">
        <w:rPr>
          <w:lang w:val="es-ES"/>
        </w:rPr>
        <w:t>arbitraje y prueba piloto (realizada en 2015 y que se está evaluando). En 2016 se integraron las mejoras basadas en los comentarios recibidos. En 2017 se llevó a cabo una revisión completa y la UIT inició conversaciones con algunos reguladores de América Latina interesados en una edición del SMTP adaptada específicamente a su personal</w:t>
      </w:r>
      <w:r w:rsidR="00FA7C73" w:rsidRPr="00C53010">
        <w:rPr>
          <w:lang w:val="es-ES"/>
        </w:rPr>
        <w:t xml:space="preserve">. </w:t>
      </w:r>
    </w:p>
    <w:p w:rsidR="00A37230" w:rsidRPr="00C53010" w:rsidRDefault="00A37230" w:rsidP="00A37230">
      <w:pPr>
        <w:pStyle w:val="Heading3"/>
        <w:rPr>
          <w:lang w:val="es-ES"/>
        </w:rPr>
      </w:pPr>
      <w:bookmarkStart w:id="106" w:name="_Toc446060794"/>
      <w:bookmarkEnd w:id="103"/>
      <w:r w:rsidRPr="00C53010">
        <w:rPr>
          <w:lang w:val="es-ES"/>
        </w:rPr>
        <w:t>8.4.2</w:t>
      </w:r>
      <w:r w:rsidRPr="00C53010">
        <w:rPr>
          <w:lang w:val="es-ES"/>
        </w:rPr>
        <w:tab/>
        <w:t>Cooperación con el UIT-T</w:t>
      </w:r>
      <w:bookmarkEnd w:id="106"/>
      <w:r w:rsidRPr="00C53010">
        <w:rPr>
          <w:lang w:val="es-ES"/>
        </w:rPr>
        <w:t xml:space="preserve"> </w:t>
      </w:r>
    </w:p>
    <w:p w:rsidR="00A37230" w:rsidRPr="00C53010" w:rsidRDefault="00A37230" w:rsidP="00A37230">
      <w:pPr>
        <w:rPr>
          <w:lang w:val="es-ES"/>
        </w:rPr>
      </w:pPr>
      <w:r w:rsidRPr="00C53010">
        <w:rPr>
          <w:lang w:val="es-ES"/>
        </w:rPr>
        <w:t>Además del cambio climático y las comunicaciones de emergencia</w:t>
      </w:r>
      <w:r w:rsidR="001B0E79">
        <w:rPr>
          <w:lang w:val="es-ES"/>
        </w:rPr>
        <w:t xml:space="preserve">, </w:t>
      </w:r>
      <w:r w:rsidRPr="00C53010">
        <w:rPr>
          <w:lang w:val="es-ES"/>
        </w:rPr>
        <w:t>los temas de interés común del UIT-R y del UIT-T incluyen las IMT-2020</w:t>
      </w:r>
      <w:r w:rsidR="001B0E79">
        <w:rPr>
          <w:lang w:val="es-ES"/>
        </w:rPr>
        <w:t xml:space="preserve">, </w:t>
      </w:r>
      <w:r w:rsidRPr="00C53010">
        <w:rPr>
          <w:lang w:val="es-ES"/>
        </w:rPr>
        <w:t>los efectos de la exposición de las personas a las frecuencias radioeléctricas</w:t>
      </w:r>
      <w:r w:rsidR="001B0E79">
        <w:rPr>
          <w:lang w:val="es-ES"/>
        </w:rPr>
        <w:t xml:space="preserve">, </w:t>
      </w:r>
      <w:r w:rsidRPr="00C53010">
        <w:rPr>
          <w:lang w:val="es-ES"/>
        </w:rPr>
        <w:t>los sistemas de transmisión por líneas eléctricas</w:t>
      </w:r>
      <w:r w:rsidR="001B0E79">
        <w:rPr>
          <w:lang w:val="es-ES"/>
        </w:rPr>
        <w:t xml:space="preserve">, </w:t>
      </w:r>
      <w:r w:rsidRPr="00C53010">
        <w:rPr>
          <w:lang w:val="es-ES"/>
        </w:rPr>
        <w:t>los sistemas de transporte inteligente</w:t>
      </w:r>
      <w:r w:rsidR="001B0E79">
        <w:rPr>
          <w:lang w:val="es-ES"/>
        </w:rPr>
        <w:t xml:space="preserve">, </w:t>
      </w:r>
      <w:r w:rsidRPr="00C53010">
        <w:rPr>
          <w:lang w:val="es-ES"/>
        </w:rPr>
        <w:t>los derechos de propiedad intelectual y la política común de patentes y la accesibilidad a los medios audiovisuales.</w:t>
      </w:r>
    </w:p>
    <w:p w:rsidR="00A37230" w:rsidRPr="00C53010" w:rsidRDefault="00A37230" w:rsidP="00A37230">
      <w:pPr>
        <w:rPr>
          <w:lang w:val="es-ES"/>
        </w:rPr>
      </w:pPr>
      <w:r w:rsidRPr="00C53010">
        <w:rPr>
          <w:lang w:val="es-ES"/>
        </w:rPr>
        <w:t>Representantes de la BR asistieron a la Asamblea Mundial de Normalización de las Telecomunicaciones de 2016. La BR también estuvo presente en las conferencias académicas del Caleidoscopio organizadas por el UIT-T con ocasión de ITU Telecom World 2016</w:t>
      </w:r>
      <w:r w:rsidR="001B0E79">
        <w:rPr>
          <w:lang w:val="es-ES"/>
        </w:rPr>
        <w:t xml:space="preserve">, </w:t>
      </w:r>
      <w:r w:rsidRPr="00C53010">
        <w:rPr>
          <w:lang w:val="es-ES"/>
        </w:rPr>
        <w:t>donde la BR presidió una sesión relativa a la eficiencia espectral en las redes inalámbricas.</w:t>
      </w:r>
    </w:p>
    <w:p w:rsidR="00A37230" w:rsidRPr="00C53010" w:rsidRDefault="00A37230" w:rsidP="00A37230">
      <w:pPr>
        <w:rPr>
          <w:lang w:val="es-ES"/>
        </w:rPr>
      </w:pPr>
      <w:r w:rsidRPr="00C53010">
        <w:rPr>
          <w:lang w:val="es-ES"/>
        </w:rPr>
        <w:t>Sigue siendo necesaria una estrecha coordinación sobre diversos temas que estudia el UIT-T relacionados con las radiocomunicaciones a fin de reducir la posibilidad de solapamiento</w:t>
      </w:r>
      <w:r w:rsidR="001B0E79">
        <w:rPr>
          <w:lang w:val="es-ES"/>
        </w:rPr>
        <w:t xml:space="preserve">, </w:t>
      </w:r>
      <w:r w:rsidRPr="00C53010">
        <w:rPr>
          <w:lang w:val="es-ES"/>
        </w:rPr>
        <w:t>duplicación y conflicto entre los trabajos de los dos Sectores.</w:t>
      </w:r>
    </w:p>
    <w:p w:rsidR="00FA7C73" w:rsidRPr="00C53010" w:rsidRDefault="00A37230" w:rsidP="00A37230">
      <w:pPr>
        <w:jc w:val="both"/>
        <w:rPr>
          <w:lang w:val="es-ES"/>
        </w:rPr>
      </w:pPr>
      <w:r w:rsidRPr="00C53010">
        <w:rPr>
          <w:lang w:val="es-ES"/>
        </w:rPr>
        <w:t>Además</w:t>
      </w:r>
      <w:r w:rsidR="001B0E79">
        <w:rPr>
          <w:lang w:val="es-ES"/>
        </w:rPr>
        <w:t xml:space="preserve">, </w:t>
      </w:r>
      <w:r w:rsidRPr="00C53010">
        <w:rPr>
          <w:lang w:val="es-ES"/>
        </w:rPr>
        <w:t xml:space="preserve">la </w:t>
      </w:r>
      <w:r w:rsidR="00FA7C73" w:rsidRPr="00C53010">
        <w:rPr>
          <w:lang w:val="es-ES"/>
        </w:rPr>
        <w:t xml:space="preserve">BR </w:t>
      </w:r>
      <w:r w:rsidRPr="00C53010">
        <w:rPr>
          <w:lang w:val="es-ES"/>
        </w:rPr>
        <w:t xml:space="preserve">y la </w:t>
      </w:r>
      <w:r w:rsidR="00FA7C73" w:rsidRPr="00C53010">
        <w:rPr>
          <w:lang w:val="es-ES"/>
        </w:rPr>
        <w:t xml:space="preserve">TSB </w:t>
      </w:r>
      <w:r w:rsidRPr="00C53010">
        <w:rPr>
          <w:lang w:val="es-ES"/>
        </w:rPr>
        <w:t xml:space="preserve">organizaron de consuno una sesión sobre </w:t>
      </w:r>
      <w:r w:rsidR="00FA7C73" w:rsidRPr="00C53010">
        <w:rPr>
          <w:lang w:val="es-ES"/>
        </w:rPr>
        <w:t>5G/IMT</w:t>
      </w:r>
      <w:r w:rsidRPr="00C53010">
        <w:rPr>
          <w:lang w:val="es-ES"/>
        </w:rPr>
        <w:t>-</w:t>
      </w:r>
      <w:r w:rsidR="00FA7C73" w:rsidRPr="00C53010">
        <w:rPr>
          <w:lang w:val="es-ES"/>
        </w:rPr>
        <w:t xml:space="preserve">2020 </w:t>
      </w:r>
      <w:r w:rsidRPr="00C53010">
        <w:rPr>
          <w:lang w:val="es-ES"/>
        </w:rPr>
        <w:t xml:space="preserve">con ocasión del </w:t>
      </w:r>
      <w:r w:rsidR="00FA7C73" w:rsidRPr="00C53010">
        <w:rPr>
          <w:lang w:val="es-ES"/>
        </w:rPr>
        <w:t>GSR-17.</w:t>
      </w:r>
    </w:p>
    <w:p w:rsidR="00A37230" w:rsidRPr="00C53010" w:rsidRDefault="00A37230" w:rsidP="00A37230">
      <w:pPr>
        <w:pStyle w:val="Heading3"/>
        <w:rPr>
          <w:lang w:val="es-ES"/>
        </w:rPr>
      </w:pPr>
      <w:bookmarkStart w:id="107" w:name="_Toc446060796"/>
      <w:r w:rsidRPr="00C53010">
        <w:rPr>
          <w:lang w:val="es-ES"/>
        </w:rPr>
        <w:t>8.4.3</w:t>
      </w:r>
      <w:r w:rsidRPr="00C53010">
        <w:rPr>
          <w:lang w:val="es-ES"/>
        </w:rPr>
        <w:tab/>
        <w:t>Cooperación con organizaciones internacionales y regionales</w:t>
      </w:r>
    </w:p>
    <w:p w:rsidR="00A37230" w:rsidRPr="00C53010" w:rsidRDefault="00A37230" w:rsidP="00A37230">
      <w:pPr>
        <w:rPr>
          <w:lang w:val="es-ES"/>
        </w:rPr>
      </w:pPr>
      <w:r w:rsidRPr="00C53010">
        <w:rPr>
          <w:lang w:val="es-ES"/>
        </w:rPr>
        <w:t>La Oficina siguió manteniendo una estrecha cooperación con numerosas organizaciones internacionales y regionales</w:t>
      </w:r>
      <w:r w:rsidR="001B0E79">
        <w:rPr>
          <w:lang w:val="es-ES"/>
        </w:rPr>
        <w:t xml:space="preserve">, </w:t>
      </w:r>
      <w:r w:rsidRPr="00C53010">
        <w:rPr>
          <w:lang w:val="es-ES"/>
        </w:rPr>
        <w:t>con los objetivos siguientes: 1) promover el diálogo entre organismos que tienen intereses comunes; 2) facilitar la coordinación que conduzca a una preparación más eficaz de eventos tales como las CMR; y 3) mantener al UIT</w:t>
      </w:r>
      <w:r w:rsidRPr="00C53010">
        <w:rPr>
          <w:lang w:val="es-ES"/>
        </w:rPr>
        <w:noBreakHyphen/>
        <w:t>R al tanto de las actividades pertinentes realizadas en otras organizaciones</w:t>
      </w:r>
      <w:r w:rsidR="001B0E79">
        <w:rPr>
          <w:lang w:val="es-ES"/>
        </w:rPr>
        <w:t xml:space="preserve">, </w:t>
      </w:r>
      <w:r w:rsidRPr="00C53010">
        <w:rPr>
          <w:lang w:val="es-ES"/>
        </w:rPr>
        <w:t>a fin de planificar adecuadamente los programas de trabajo.</w:t>
      </w:r>
    </w:p>
    <w:p w:rsidR="00A37230" w:rsidRPr="00C53010" w:rsidRDefault="00A37230" w:rsidP="00FA6FC7">
      <w:pPr>
        <w:rPr>
          <w:szCs w:val="24"/>
          <w:lang w:val="es-ES"/>
        </w:rPr>
      </w:pPr>
      <w:r w:rsidRPr="00C53010">
        <w:rPr>
          <w:lang w:val="es-ES"/>
        </w:rPr>
        <w:lastRenderedPageBreak/>
        <w:t>La Oficina continua su estrecha colaboración con las organizaciones internacionales y regionales que tratan de la utilización de espectro (la APT</w:t>
      </w:r>
      <w:r w:rsidR="001B0E79">
        <w:rPr>
          <w:lang w:val="es-ES"/>
        </w:rPr>
        <w:t xml:space="preserve">, </w:t>
      </w:r>
      <w:r w:rsidRPr="00C53010">
        <w:rPr>
          <w:lang w:val="es-ES"/>
        </w:rPr>
        <w:t>el ASMG</w:t>
      </w:r>
      <w:r w:rsidR="001B0E79">
        <w:rPr>
          <w:lang w:val="es-ES"/>
        </w:rPr>
        <w:t xml:space="preserve">, </w:t>
      </w:r>
      <w:r w:rsidRPr="00C53010">
        <w:rPr>
          <w:lang w:val="es-ES"/>
        </w:rPr>
        <w:t>la ATU</w:t>
      </w:r>
      <w:r w:rsidR="001B0E79">
        <w:rPr>
          <w:lang w:val="es-ES"/>
        </w:rPr>
        <w:t xml:space="preserve">, </w:t>
      </w:r>
      <w:r w:rsidRPr="00C53010">
        <w:rPr>
          <w:lang w:val="es-ES"/>
        </w:rPr>
        <w:t>la CEPT</w:t>
      </w:r>
      <w:r w:rsidR="001B0E79">
        <w:rPr>
          <w:lang w:val="es-ES"/>
        </w:rPr>
        <w:t xml:space="preserve">, </w:t>
      </w:r>
      <w:r w:rsidRPr="00C53010">
        <w:rPr>
          <w:lang w:val="es-ES"/>
        </w:rPr>
        <w:t>la CITEL y la CRC)</w:t>
      </w:r>
      <w:r w:rsidR="001B0E79">
        <w:rPr>
          <w:lang w:val="es-ES"/>
        </w:rPr>
        <w:t xml:space="preserve">, </w:t>
      </w:r>
      <w:r w:rsidRPr="00C53010">
        <w:rPr>
          <w:lang w:val="es-ES"/>
        </w:rPr>
        <w:t>organizaciones de radiodifusión (ABU</w:t>
      </w:r>
      <w:r w:rsidR="001B0E79">
        <w:rPr>
          <w:lang w:val="es-ES"/>
        </w:rPr>
        <w:t xml:space="preserve">, </w:t>
      </w:r>
      <w:r w:rsidRPr="00C53010">
        <w:rPr>
          <w:lang w:val="es-ES"/>
        </w:rPr>
        <w:t>ASBU y HFCC) o de forma más en general</w:t>
      </w:r>
      <w:r w:rsidR="001B0E79">
        <w:rPr>
          <w:lang w:val="es-ES"/>
        </w:rPr>
        <w:t xml:space="preserve">, </w:t>
      </w:r>
      <w:r w:rsidRPr="00C53010">
        <w:rPr>
          <w:lang w:val="es-ES"/>
        </w:rPr>
        <w:t>de la utilización de los servicios de radiocomunicaciones (por ejemplo</w:t>
      </w:r>
      <w:r w:rsidR="001B0E79">
        <w:rPr>
          <w:lang w:val="es-ES"/>
        </w:rPr>
        <w:t xml:space="preserve">, </w:t>
      </w:r>
      <w:r w:rsidRPr="00C53010">
        <w:rPr>
          <w:lang w:val="es-ES"/>
        </w:rPr>
        <w:t>la Organización Internacional de Telecomunicaciones por Satélite (ITSO)</w:t>
      </w:r>
      <w:r w:rsidR="001B0E79">
        <w:rPr>
          <w:lang w:val="es-ES"/>
        </w:rPr>
        <w:t xml:space="preserve">, </w:t>
      </w:r>
      <w:r w:rsidRPr="00C53010">
        <w:rPr>
          <w:lang w:val="es-ES"/>
        </w:rPr>
        <w:t>la Asociación Europea de Operadores de Satélites (ESOA)</w:t>
      </w:r>
      <w:r w:rsidR="001B0E79">
        <w:rPr>
          <w:lang w:val="es-ES"/>
        </w:rPr>
        <w:t xml:space="preserve">, </w:t>
      </w:r>
      <w:r w:rsidRPr="00C53010">
        <w:rPr>
          <w:lang w:val="es-ES"/>
        </w:rPr>
        <w:t>el Foro Mundial de VSAT (GVF)</w:t>
      </w:r>
      <w:r w:rsidR="001B0E79">
        <w:rPr>
          <w:lang w:val="es-ES"/>
        </w:rPr>
        <w:t xml:space="preserve">, </w:t>
      </w:r>
      <w:r w:rsidRPr="00C53010">
        <w:rPr>
          <w:lang w:val="es-ES"/>
        </w:rPr>
        <w:t>la Asociación GSMA y la Unión Europea de Radiodifusión (UER)) mediante la organización</w:t>
      </w:r>
      <w:r w:rsidR="001B0E79">
        <w:rPr>
          <w:lang w:val="es-ES"/>
        </w:rPr>
        <w:t xml:space="preserve">, </w:t>
      </w:r>
      <w:r w:rsidRPr="00C53010">
        <w:rPr>
          <w:lang w:val="es-ES"/>
        </w:rPr>
        <w:t>promoción y participación en eventos de creación de capacidad sobre la aplicación del Reglamento de Radiocomunicaciones</w:t>
      </w:r>
      <w:r w:rsidR="001B0E79">
        <w:rPr>
          <w:lang w:val="es-ES"/>
        </w:rPr>
        <w:t xml:space="preserve">, </w:t>
      </w:r>
      <w:r w:rsidRPr="00C53010">
        <w:rPr>
          <w:lang w:val="es-ES"/>
        </w:rPr>
        <w:t>incluyendo los SMR y los SRR</w:t>
      </w:r>
      <w:r w:rsidR="001B0E79">
        <w:rPr>
          <w:lang w:val="es-ES"/>
        </w:rPr>
        <w:t xml:space="preserve">, </w:t>
      </w:r>
      <w:r w:rsidRPr="00C53010">
        <w:rPr>
          <w:lang w:val="es-ES"/>
        </w:rPr>
        <w:t>tal como se indica en el punto</w:t>
      </w:r>
      <w:r w:rsidRPr="00C53010">
        <w:rPr>
          <w:szCs w:val="24"/>
          <w:lang w:val="es-ES"/>
        </w:rPr>
        <w:t xml:space="preserve"> 8.2.</w:t>
      </w:r>
    </w:p>
    <w:p w:rsidR="00A37230" w:rsidRPr="00C53010" w:rsidRDefault="00A37230" w:rsidP="0084627E">
      <w:pPr>
        <w:rPr>
          <w:lang w:val="es-ES"/>
        </w:rPr>
      </w:pPr>
      <w:r w:rsidRPr="00C53010">
        <w:rPr>
          <w:lang w:val="es-ES"/>
        </w:rPr>
        <w:t xml:space="preserve">La </w:t>
      </w:r>
      <w:r w:rsidR="0057767C" w:rsidRPr="00C53010">
        <w:rPr>
          <w:lang w:val="es-ES"/>
        </w:rPr>
        <w:t>Oficina</w:t>
      </w:r>
      <w:r w:rsidRPr="00C53010">
        <w:rPr>
          <w:lang w:val="es-ES"/>
        </w:rPr>
        <w:t xml:space="preserve"> sigue participando en las actividades de la </w:t>
      </w:r>
      <w:r w:rsidRPr="00C53010">
        <w:rPr>
          <w:szCs w:val="24"/>
          <w:lang w:val="es-ES"/>
        </w:rPr>
        <w:t xml:space="preserve">Global Standards Collaboration </w:t>
      </w:r>
      <w:r w:rsidRPr="00C53010">
        <w:rPr>
          <w:lang w:val="es-ES"/>
        </w:rPr>
        <w:t>(GSC). Se ha mantenido la participación en los proyectos de la Asociación 3G y la colaboración con el IEEE</w:t>
      </w:r>
      <w:r w:rsidR="001B0E79">
        <w:rPr>
          <w:lang w:val="es-ES"/>
        </w:rPr>
        <w:t xml:space="preserve">, </w:t>
      </w:r>
      <w:r w:rsidRPr="00C53010">
        <w:rPr>
          <w:lang w:val="es-ES"/>
        </w:rPr>
        <w:t>dada su importancia y pertinencia para los trabajos de la Comisión de Estudio 5. Otras áreas importantes de coordinación de las actividades de las Comisiones de Estudio incluyen en particular las existentes con la Organización Meteoroló</w:t>
      </w:r>
      <w:r w:rsidR="0084627E">
        <w:rPr>
          <w:lang w:val="es-ES"/>
        </w:rPr>
        <w:t>gica Mundial (a través de la CE</w:t>
      </w:r>
      <w:r w:rsidRPr="00C53010">
        <w:rPr>
          <w:lang w:val="es-ES"/>
        </w:rPr>
        <w:t>7)</w:t>
      </w:r>
      <w:r w:rsidR="001B0E79">
        <w:rPr>
          <w:lang w:val="es-ES"/>
        </w:rPr>
        <w:t xml:space="preserve">, </w:t>
      </w:r>
      <w:r w:rsidRPr="00C53010">
        <w:rPr>
          <w:lang w:val="es-ES"/>
        </w:rPr>
        <w:t>el Comité Internacional Especial de Perturbaciones Radioeléctricas (CISPR) (a través de la CE1)</w:t>
      </w:r>
      <w:r w:rsidR="001B0E79">
        <w:rPr>
          <w:lang w:val="es-ES"/>
        </w:rPr>
        <w:t xml:space="preserve">, </w:t>
      </w:r>
      <w:r w:rsidRPr="00C53010">
        <w:rPr>
          <w:lang w:val="es-ES"/>
        </w:rPr>
        <w:t>la Organización Mundial de la Salud (a través de la CE6)</w:t>
      </w:r>
      <w:r w:rsidR="001B0E79">
        <w:rPr>
          <w:lang w:val="es-ES"/>
        </w:rPr>
        <w:t xml:space="preserve">, </w:t>
      </w:r>
      <w:r w:rsidRPr="00C53010">
        <w:rPr>
          <w:lang w:val="es-ES"/>
        </w:rPr>
        <w:t>el Grupo de Coordinación de Frecuencias Espaciales (a través de la CE7) y la Unión Europea de Radiodifusión (a través de la CE6).</w:t>
      </w:r>
    </w:p>
    <w:p w:rsidR="00A37230" w:rsidRPr="00C53010" w:rsidRDefault="00A37230" w:rsidP="0057767C">
      <w:pPr>
        <w:rPr>
          <w:lang w:val="es-ES"/>
        </w:rPr>
      </w:pPr>
      <w:r w:rsidRPr="00C53010">
        <w:rPr>
          <w:lang w:val="es-ES"/>
        </w:rPr>
        <w:t>La Oficina ha velado por la coordinación y cooperación con la Comisión de las Naciones Unidas sobre la Utilización del Espacio Ultraterrestre con Fines Pacíficos (UN COPUOS)</w:t>
      </w:r>
      <w:r w:rsidR="001B0E79">
        <w:rPr>
          <w:lang w:val="es-ES"/>
        </w:rPr>
        <w:t xml:space="preserve">, </w:t>
      </w:r>
      <w:r w:rsidRPr="00C53010">
        <w:rPr>
          <w:lang w:val="es-ES"/>
        </w:rPr>
        <w:t>la Organización Marítima Internacional (OMI)</w:t>
      </w:r>
      <w:r w:rsidR="001B0E79">
        <w:rPr>
          <w:lang w:val="es-ES"/>
        </w:rPr>
        <w:t xml:space="preserve">, </w:t>
      </w:r>
      <w:r w:rsidRPr="00C53010">
        <w:rPr>
          <w:lang w:val="es-ES"/>
        </w:rPr>
        <w:t>las Organización Internacional de Telecomunicaciones Móviles Satélite (IMSO)</w:t>
      </w:r>
      <w:r w:rsidR="001B0E79">
        <w:rPr>
          <w:lang w:val="es-ES"/>
        </w:rPr>
        <w:t xml:space="preserve">, </w:t>
      </w:r>
      <w:r w:rsidRPr="00C53010">
        <w:rPr>
          <w:lang w:val="es-ES"/>
        </w:rPr>
        <w:t>la Organización Internacional de Telecomunicaciones por Satélite (ITSO)</w:t>
      </w:r>
      <w:r w:rsidR="001B0E79">
        <w:rPr>
          <w:lang w:val="es-ES"/>
        </w:rPr>
        <w:t xml:space="preserve">, </w:t>
      </w:r>
      <w:r w:rsidRPr="00C53010">
        <w:rPr>
          <w:lang w:val="es-ES"/>
        </w:rPr>
        <w:t>COSPAS SARSAT</w:t>
      </w:r>
      <w:r w:rsidR="001B0E79">
        <w:rPr>
          <w:lang w:val="es-ES"/>
        </w:rPr>
        <w:t xml:space="preserve">, </w:t>
      </w:r>
      <w:r w:rsidRPr="00C53010">
        <w:rPr>
          <w:lang w:val="es-ES"/>
        </w:rPr>
        <w:t>el Comité Internacional de la Cruz Roja (CICR) y la Organización de Aviación Civil Internacional (OACI) con respecto a la aplicación de los textos de la UIT con carácter de tratado. Expertos de la Oficina también participaron en diversas reuniones de esas organizaciones.</w:t>
      </w:r>
    </w:p>
    <w:p w:rsidR="00FA7C73" w:rsidRPr="00C53010" w:rsidRDefault="00FA7C73" w:rsidP="0057767C">
      <w:pPr>
        <w:pStyle w:val="Heading2"/>
        <w:rPr>
          <w:lang w:val="es-ES"/>
        </w:rPr>
      </w:pPr>
      <w:r w:rsidRPr="00C53010">
        <w:rPr>
          <w:lang w:val="es-ES"/>
        </w:rPr>
        <w:t>8.5</w:t>
      </w:r>
      <w:r w:rsidRPr="00C53010">
        <w:rPr>
          <w:lang w:val="es-ES"/>
        </w:rPr>
        <w:tab/>
      </w:r>
      <w:bookmarkEnd w:id="107"/>
      <w:r w:rsidR="0057767C" w:rsidRPr="00C53010">
        <w:rPr>
          <w:lang w:val="es-ES"/>
        </w:rPr>
        <w:t>Evolución de los Miembros de Sector</w:t>
      </w:r>
      <w:r w:rsidR="001B0E79">
        <w:rPr>
          <w:lang w:val="es-ES"/>
        </w:rPr>
        <w:t xml:space="preserve">, </w:t>
      </w:r>
      <w:r w:rsidR="0057767C" w:rsidRPr="00C53010">
        <w:rPr>
          <w:lang w:val="es-ES"/>
        </w:rPr>
        <w:t>Asociados e Instituciones Académicas del UIT</w:t>
      </w:r>
      <w:r w:rsidR="0057767C" w:rsidRPr="00C53010">
        <w:rPr>
          <w:lang w:val="es-ES"/>
        </w:rPr>
        <w:noBreakHyphen/>
        <w:t>R</w:t>
      </w:r>
    </w:p>
    <w:p w:rsidR="00FA7C73" w:rsidRPr="00C53010" w:rsidRDefault="0057767C" w:rsidP="00FA6FC7">
      <w:pPr>
        <w:rPr>
          <w:lang w:val="es-ES"/>
        </w:rPr>
      </w:pPr>
      <w:r w:rsidRPr="00C53010">
        <w:rPr>
          <w:lang w:val="es-ES"/>
        </w:rPr>
        <w:t>En el Cuadro 8.5-1 se muestra la estabilidad del número de Miembros del Sector</w:t>
      </w:r>
      <w:r w:rsidR="001B0E79">
        <w:rPr>
          <w:lang w:val="es-ES"/>
        </w:rPr>
        <w:t xml:space="preserve">, </w:t>
      </w:r>
      <w:r w:rsidRPr="00C53010">
        <w:rPr>
          <w:lang w:val="es-ES"/>
        </w:rPr>
        <w:t xml:space="preserve">Asociados e Instituciones Académicas del UIT-R desde </w:t>
      </w:r>
      <w:r w:rsidR="00FA7C73" w:rsidRPr="00C53010">
        <w:rPr>
          <w:lang w:val="es-ES"/>
        </w:rPr>
        <w:t>2015.</w:t>
      </w:r>
    </w:p>
    <w:p w:rsidR="00FA7C73" w:rsidRPr="00C53010" w:rsidRDefault="0057767C" w:rsidP="001F3A94">
      <w:pPr>
        <w:pStyle w:val="TableNoBR"/>
        <w:rPr>
          <w:lang w:val="es-ES"/>
        </w:rPr>
      </w:pPr>
      <w:r w:rsidRPr="00C53010">
        <w:rPr>
          <w:lang w:val="es-ES"/>
        </w:rPr>
        <w:t>CUADRO</w:t>
      </w:r>
      <w:r w:rsidR="00FA7C73" w:rsidRPr="00C53010">
        <w:rPr>
          <w:lang w:val="es-ES"/>
        </w:rPr>
        <w:t xml:space="preserve"> 8.5-1</w:t>
      </w:r>
    </w:p>
    <w:p w:rsidR="00FA7C73" w:rsidRPr="00C53010" w:rsidRDefault="0057767C" w:rsidP="001F3A94">
      <w:pPr>
        <w:pStyle w:val="TabletitleBR"/>
        <w:rPr>
          <w:lang w:val="es-ES"/>
        </w:rPr>
      </w:pPr>
      <w:r w:rsidRPr="00C53010">
        <w:rPr>
          <w:b w:val="0"/>
          <w:lang w:val="es-ES"/>
        </w:rPr>
        <w:t xml:space="preserve">Evolución de los Miembros del UIT-R desde </w:t>
      </w:r>
      <w:r w:rsidR="00FA7C73" w:rsidRPr="00C53010">
        <w:rPr>
          <w:lang w:val="es-ES"/>
        </w:rPr>
        <w:t>2014</w:t>
      </w:r>
    </w:p>
    <w:p w:rsidR="00FA7C73" w:rsidRPr="00C53010" w:rsidRDefault="00FA7C73" w:rsidP="001F3A94">
      <w:pPr>
        <w:rPr>
          <w:lang w:val="es-ES"/>
        </w:rPr>
      </w:pPr>
    </w:p>
    <w:tbl>
      <w:tblPr>
        <w:tblW w:w="8931" w:type="dxa"/>
        <w:jc w:val="center"/>
        <w:tblLook w:val="04A0" w:firstRow="1" w:lastRow="0" w:firstColumn="1" w:lastColumn="0" w:noHBand="0" w:noVBand="1"/>
      </w:tblPr>
      <w:tblGrid>
        <w:gridCol w:w="709"/>
        <w:gridCol w:w="1701"/>
        <w:gridCol w:w="940"/>
        <w:gridCol w:w="820"/>
        <w:gridCol w:w="940"/>
        <w:gridCol w:w="986"/>
        <w:gridCol w:w="1417"/>
        <w:gridCol w:w="1418"/>
      </w:tblGrid>
      <w:tr w:rsidR="00FA7C73" w:rsidRPr="00C53010" w:rsidTr="0057767C">
        <w:trPr>
          <w:gridBefore w:val="1"/>
          <w:wBefore w:w="709" w:type="dxa"/>
          <w:trHeight w:val="315"/>
          <w:jc w:val="center"/>
        </w:trPr>
        <w:tc>
          <w:tcPr>
            <w:tcW w:w="1701" w:type="dxa"/>
            <w:tcBorders>
              <w:top w:val="nil"/>
              <w:left w:val="nil"/>
              <w:bottom w:val="single" w:sz="8" w:space="0" w:color="auto"/>
              <w:right w:val="single" w:sz="4"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60"/>
              <w:textAlignment w:val="auto"/>
              <w:rPr>
                <w:color w:val="000000"/>
                <w:sz w:val="20"/>
                <w:lang w:val="es-ES" w:eastAsia="zh-CN"/>
              </w:rPr>
            </w:pPr>
            <w:r w:rsidRPr="00C53010">
              <w:rPr>
                <w:color w:val="000000"/>
                <w:sz w:val="20"/>
                <w:lang w:val="es-ES" w:eastAsia="zh-CN"/>
              </w:rPr>
              <w:t> </w:t>
            </w:r>
          </w:p>
        </w:tc>
        <w:tc>
          <w:tcPr>
            <w:tcW w:w="9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s-ES" w:eastAsia="zh-CN"/>
              </w:rPr>
            </w:pPr>
            <w:r w:rsidRPr="00C53010">
              <w:rPr>
                <w:b/>
                <w:bCs/>
                <w:color w:val="000000"/>
                <w:sz w:val="20"/>
                <w:lang w:val="es-ES" w:eastAsia="zh-CN"/>
              </w:rPr>
              <w:t>2014</w:t>
            </w:r>
          </w:p>
        </w:tc>
        <w:tc>
          <w:tcPr>
            <w:tcW w:w="820" w:type="dxa"/>
            <w:tcBorders>
              <w:top w:val="single" w:sz="8" w:space="0" w:color="auto"/>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s-ES" w:eastAsia="zh-CN"/>
              </w:rPr>
            </w:pPr>
            <w:r w:rsidRPr="00C53010">
              <w:rPr>
                <w:b/>
                <w:bCs/>
                <w:color w:val="000000"/>
                <w:sz w:val="20"/>
                <w:lang w:val="es-ES" w:eastAsia="zh-CN"/>
              </w:rPr>
              <w:t>2015</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rsidR="00FA7C73" w:rsidRPr="00C53010" w:rsidRDefault="00FA7C73" w:rsidP="001F3A94">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s-ES" w:eastAsia="zh-CN"/>
              </w:rPr>
            </w:pPr>
            <w:r w:rsidRPr="00C53010">
              <w:rPr>
                <w:b/>
                <w:bCs/>
                <w:color w:val="000000"/>
                <w:sz w:val="20"/>
                <w:lang w:val="es-ES" w:eastAsia="zh-CN"/>
              </w:rPr>
              <w:t>2016</w:t>
            </w:r>
          </w:p>
        </w:tc>
        <w:tc>
          <w:tcPr>
            <w:tcW w:w="986" w:type="dxa"/>
            <w:tcBorders>
              <w:top w:val="single" w:sz="8" w:space="0" w:color="auto"/>
              <w:left w:val="nil"/>
              <w:bottom w:val="single" w:sz="8" w:space="0" w:color="auto"/>
              <w:right w:val="single" w:sz="4" w:space="0" w:color="auto"/>
            </w:tcBorders>
          </w:tcPr>
          <w:p w:rsidR="00FA7C73" w:rsidRPr="00C53010" w:rsidRDefault="00FA7C73" w:rsidP="001F3A94">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s-ES" w:eastAsia="zh-CN"/>
              </w:rPr>
            </w:pPr>
            <w:r w:rsidRPr="00C53010">
              <w:rPr>
                <w:b/>
                <w:bCs/>
                <w:color w:val="000000"/>
                <w:sz w:val="20"/>
                <w:lang w:val="es-ES" w:eastAsia="zh-CN"/>
              </w:rPr>
              <w:t>2017</w:t>
            </w:r>
          </w:p>
        </w:tc>
        <w:tc>
          <w:tcPr>
            <w:tcW w:w="141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FA7C73" w:rsidRPr="00C53010" w:rsidRDefault="00FA7C73" w:rsidP="0057767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s-ES" w:eastAsia="zh-CN"/>
              </w:rPr>
            </w:pPr>
            <w:r w:rsidRPr="00C53010">
              <w:rPr>
                <w:b/>
                <w:bCs/>
                <w:color w:val="000000"/>
                <w:sz w:val="20"/>
                <w:lang w:val="es-ES" w:eastAsia="zh-CN"/>
              </w:rPr>
              <w:t>2017</w:t>
            </w:r>
            <w:r w:rsidR="0057767C" w:rsidRPr="00C53010">
              <w:rPr>
                <w:b/>
                <w:bCs/>
                <w:color w:val="000000"/>
                <w:sz w:val="20"/>
                <w:lang w:val="es-ES" w:eastAsia="zh-CN"/>
              </w:rPr>
              <w:t>-</w:t>
            </w:r>
            <w:r w:rsidRPr="00C53010">
              <w:rPr>
                <w:b/>
                <w:bCs/>
                <w:color w:val="000000"/>
                <w:sz w:val="20"/>
                <w:lang w:val="es-ES" w:eastAsia="zh-CN"/>
              </w:rPr>
              <w:t>2014</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FA7C73" w:rsidRPr="00C53010" w:rsidRDefault="00FA7C73" w:rsidP="0057767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s-ES" w:eastAsia="zh-CN"/>
              </w:rPr>
            </w:pPr>
            <w:r w:rsidRPr="00C53010">
              <w:rPr>
                <w:b/>
                <w:bCs/>
                <w:color w:val="000000"/>
                <w:sz w:val="20"/>
                <w:lang w:val="es-ES" w:eastAsia="zh-CN"/>
              </w:rPr>
              <w:t xml:space="preserve">% </w:t>
            </w:r>
            <w:r w:rsidR="0057767C" w:rsidRPr="00C53010">
              <w:rPr>
                <w:b/>
                <w:bCs/>
                <w:color w:val="000000"/>
                <w:sz w:val="20"/>
                <w:lang w:val="es-ES" w:eastAsia="zh-CN"/>
              </w:rPr>
              <w:t>aumento</w:t>
            </w:r>
          </w:p>
        </w:tc>
      </w:tr>
      <w:tr w:rsidR="0057767C" w:rsidRPr="00C53010" w:rsidTr="006141E0">
        <w:trPr>
          <w:trHeight w:val="315"/>
          <w:jc w:val="center"/>
        </w:trPr>
        <w:tc>
          <w:tcPr>
            <w:tcW w:w="241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57767C" w:rsidRPr="00C53010" w:rsidRDefault="0057767C" w:rsidP="0057767C">
            <w:pPr>
              <w:rPr>
                <w:b/>
                <w:bCs/>
                <w:color w:val="000000"/>
                <w:sz w:val="20"/>
                <w:lang w:val="es-ES"/>
              </w:rPr>
            </w:pPr>
            <w:r w:rsidRPr="00C53010">
              <w:rPr>
                <w:b/>
                <w:bCs/>
                <w:color w:val="000000"/>
                <w:sz w:val="20"/>
                <w:lang w:val="es-ES"/>
              </w:rPr>
              <w:t>Miembros del Sector</w:t>
            </w:r>
          </w:p>
        </w:tc>
        <w:tc>
          <w:tcPr>
            <w:tcW w:w="940" w:type="dxa"/>
            <w:tcBorders>
              <w:top w:val="nil"/>
              <w:left w:val="single" w:sz="4" w:space="0" w:color="auto"/>
              <w:bottom w:val="single" w:sz="8" w:space="0" w:color="auto"/>
              <w:right w:val="single" w:sz="8" w:space="0" w:color="auto"/>
            </w:tcBorders>
            <w:shd w:val="clear" w:color="auto" w:fill="auto"/>
            <w:noWrap/>
            <w:vAlign w:val="center"/>
            <w:hideMark/>
          </w:tcPr>
          <w:p w:rsidR="0057767C" w:rsidRPr="00C53010" w:rsidRDefault="0057767C" w:rsidP="0057767C">
            <w:pPr>
              <w:tabs>
                <w:tab w:val="clear" w:pos="794"/>
                <w:tab w:val="clear" w:pos="1191"/>
                <w:tab w:val="clear" w:pos="1588"/>
                <w:tab w:val="clear" w:pos="1985"/>
              </w:tabs>
              <w:overflowPunct/>
              <w:autoSpaceDE/>
              <w:autoSpaceDN/>
              <w:adjustRightInd/>
              <w:spacing w:before="60"/>
              <w:jc w:val="center"/>
              <w:textAlignment w:val="auto"/>
              <w:rPr>
                <w:color w:val="000000"/>
                <w:sz w:val="20"/>
                <w:lang w:val="es-ES" w:eastAsia="zh-CN"/>
              </w:rPr>
            </w:pPr>
            <w:r w:rsidRPr="00C53010">
              <w:rPr>
                <w:color w:val="000000"/>
                <w:sz w:val="20"/>
                <w:lang w:val="es-ES" w:eastAsia="zh-CN"/>
              </w:rPr>
              <w:t>262</w:t>
            </w:r>
          </w:p>
        </w:tc>
        <w:tc>
          <w:tcPr>
            <w:tcW w:w="820" w:type="dxa"/>
            <w:tcBorders>
              <w:top w:val="nil"/>
              <w:left w:val="nil"/>
              <w:bottom w:val="single" w:sz="8" w:space="0" w:color="auto"/>
              <w:right w:val="single" w:sz="8" w:space="0" w:color="auto"/>
            </w:tcBorders>
            <w:shd w:val="clear" w:color="auto" w:fill="auto"/>
            <w:noWrap/>
            <w:vAlign w:val="center"/>
            <w:hideMark/>
          </w:tcPr>
          <w:p w:rsidR="0057767C" w:rsidRPr="00C53010" w:rsidRDefault="0057767C" w:rsidP="0057767C">
            <w:pPr>
              <w:tabs>
                <w:tab w:val="clear" w:pos="794"/>
                <w:tab w:val="clear" w:pos="1191"/>
                <w:tab w:val="clear" w:pos="1588"/>
                <w:tab w:val="clear" w:pos="1985"/>
              </w:tabs>
              <w:overflowPunct/>
              <w:autoSpaceDE/>
              <w:autoSpaceDN/>
              <w:adjustRightInd/>
              <w:spacing w:before="60"/>
              <w:jc w:val="center"/>
              <w:textAlignment w:val="auto"/>
              <w:rPr>
                <w:color w:val="000000"/>
                <w:sz w:val="20"/>
                <w:lang w:val="es-ES" w:eastAsia="zh-CN"/>
              </w:rPr>
            </w:pPr>
            <w:r w:rsidRPr="00C53010">
              <w:rPr>
                <w:color w:val="000000"/>
                <w:sz w:val="20"/>
                <w:lang w:val="es-ES" w:eastAsia="zh-CN"/>
              </w:rPr>
              <w:t>276</w:t>
            </w:r>
          </w:p>
        </w:tc>
        <w:tc>
          <w:tcPr>
            <w:tcW w:w="940" w:type="dxa"/>
            <w:tcBorders>
              <w:top w:val="nil"/>
              <w:left w:val="nil"/>
              <w:bottom w:val="single" w:sz="8" w:space="0" w:color="auto"/>
              <w:right w:val="single" w:sz="8" w:space="0" w:color="auto"/>
            </w:tcBorders>
            <w:shd w:val="clear" w:color="auto" w:fill="auto"/>
            <w:noWrap/>
            <w:vAlign w:val="center"/>
            <w:hideMark/>
          </w:tcPr>
          <w:p w:rsidR="0057767C" w:rsidRPr="00C53010" w:rsidRDefault="0057767C" w:rsidP="0057767C">
            <w:pPr>
              <w:tabs>
                <w:tab w:val="clear" w:pos="794"/>
                <w:tab w:val="clear" w:pos="1191"/>
                <w:tab w:val="clear" w:pos="1588"/>
                <w:tab w:val="clear" w:pos="1985"/>
              </w:tabs>
              <w:overflowPunct/>
              <w:autoSpaceDE/>
              <w:autoSpaceDN/>
              <w:adjustRightInd/>
              <w:spacing w:before="60"/>
              <w:jc w:val="center"/>
              <w:textAlignment w:val="auto"/>
              <w:rPr>
                <w:sz w:val="20"/>
                <w:lang w:val="es-ES" w:eastAsia="zh-CN"/>
              </w:rPr>
            </w:pPr>
            <w:r w:rsidRPr="00C53010">
              <w:rPr>
                <w:sz w:val="20"/>
                <w:lang w:val="es-ES" w:eastAsia="zh-CN"/>
              </w:rPr>
              <w:t>267</w:t>
            </w:r>
          </w:p>
        </w:tc>
        <w:tc>
          <w:tcPr>
            <w:tcW w:w="986" w:type="dxa"/>
            <w:tcBorders>
              <w:top w:val="nil"/>
              <w:left w:val="nil"/>
              <w:bottom w:val="single" w:sz="8" w:space="0" w:color="auto"/>
              <w:right w:val="single" w:sz="4" w:space="0" w:color="auto"/>
            </w:tcBorders>
          </w:tcPr>
          <w:p w:rsidR="0057767C" w:rsidRPr="00C53010" w:rsidRDefault="0057767C" w:rsidP="0057767C">
            <w:pPr>
              <w:tabs>
                <w:tab w:val="clear" w:pos="794"/>
                <w:tab w:val="clear" w:pos="1191"/>
                <w:tab w:val="clear" w:pos="1588"/>
                <w:tab w:val="clear" w:pos="1985"/>
              </w:tabs>
              <w:overflowPunct/>
              <w:autoSpaceDE/>
              <w:autoSpaceDN/>
              <w:adjustRightInd/>
              <w:spacing w:before="60"/>
              <w:jc w:val="center"/>
              <w:textAlignment w:val="auto"/>
              <w:rPr>
                <w:color w:val="000000"/>
                <w:sz w:val="20"/>
                <w:lang w:val="es-ES" w:eastAsia="zh-CN"/>
              </w:rPr>
            </w:pPr>
            <w:r w:rsidRPr="00C53010">
              <w:rPr>
                <w:color w:val="000000"/>
                <w:sz w:val="20"/>
                <w:lang w:val="es-ES" w:eastAsia="zh-CN"/>
              </w:rPr>
              <w:t>264</w:t>
            </w:r>
          </w:p>
        </w:tc>
        <w:tc>
          <w:tcPr>
            <w:tcW w:w="1417" w:type="dxa"/>
            <w:tcBorders>
              <w:top w:val="nil"/>
              <w:left w:val="single" w:sz="4" w:space="0" w:color="auto"/>
              <w:bottom w:val="single" w:sz="8" w:space="0" w:color="auto"/>
              <w:right w:val="single" w:sz="8" w:space="0" w:color="auto"/>
            </w:tcBorders>
            <w:shd w:val="clear" w:color="auto" w:fill="auto"/>
            <w:noWrap/>
            <w:vAlign w:val="center"/>
            <w:hideMark/>
          </w:tcPr>
          <w:p w:rsidR="0057767C" w:rsidRPr="00C53010" w:rsidRDefault="0057767C" w:rsidP="0057767C">
            <w:pPr>
              <w:tabs>
                <w:tab w:val="clear" w:pos="794"/>
                <w:tab w:val="clear" w:pos="1191"/>
                <w:tab w:val="clear" w:pos="1588"/>
                <w:tab w:val="clear" w:pos="1985"/>
              </w:tabs>
              <w:overflowPunct/>
              <w:autoSpaceDE/>
              <w:autoSpaceDN/>
              <w:adjustRightInd/>
              <w:spacing w:before="60"/>
              <w:jc w:val="center"/>
              <w:textAlignment w:val="auto"/>
              <w:rPr>
                <w:color w:val="000000"/>
                <w:sz w:val="20"/>
                <w:lang w:val="es-ES" w:eastAsia="zh-CN"/>
              </w:rPr>
            </w:pPr>
            <w:r w:rsidRPr="00C53010">
              <w:rPr>
                <w:color w:val="000000"/>
                <w:sz w:val="20"/>
                <w:lang w:val="es-ES" w:eastAsia="zh-CN"/>
              </w:rPr>
              <w:t>+2</w:t>
            </w:r>
          </w:p>
        </w:tc>
        <w:tc>
          <w:tcPr>
            <w:tcW w:w="1418" w:type="dxa"/>
            <w:tcBorders>
              <w:top w:val="nil"/>
              <w:left w:val="nil"/>
              <w:bottom w:val="single" w:sz="8" w:space="0" w:color="auto"/>
              <w:right w:val="single" w:sz="8" w:space="0" w:color="auto"/>
            </w:tcBorders>
            <w:shd w:val="clear" w:color="auto" w:fill="auto"/>
            <w:noWrap/>
            <w:vAlign w:val="center"/>
          </w:tcPr>
          <w:p w:rsidR="0057767C" w:rsidRPr="00C53010" w:rsidRDefault="0057767C" w:rsidP="0057767C">
            <w:pPr>
              <w:tabs>
                <w:tab w:val="clear" w:pos="794"/>
                <w:tab w:val="clear" w:pos="1191"/>
                <w:tab w:val="clear" w:pos="1588"/>
                <w:tab w:val="clear" w:pos="1985"/>
              </w:tabs>
              <w:overflowPunct/>
              <w:autoSpaceDE/>
              <w:autoSpaceDN/>
              <w:adjustRightInd/>
              <w:spacing w:before="60"/>
              <w:jc w:val="center"/>
              <w:textAlignment w:val="auto"/>
              <w:rPr>
                <w:color w:val="000000"/>
                <w:sz w:val="20"/>
                <w:lang w:val="es-ES" w:eastAsia="zh-CN"/>
              </w:rPr>
            </w:pPr>
            <w:r w:rsidRPr="00C53010">
              <w:rPr>
                <w:color w:val="000000"/>
                <w:sz w:val="20"/>
                <w:lang w:val="es-ES" w:eastAsia="zh-CN"/>
              </w:rPr>
              <w:t>+1%</w:t>
            </w:r>
          </w:p>
        </w:tc>
      </w:tr>
      <w:tr w:rsidR="0057767C" w:rsidRPr="00C53010" w:rsidTr="0057767C">
        <w:trPr>
          <w:trHeight w:val="315"/>
          <w:jc w:val="center"/>
        </w:trPr>
        <w:tc>
          <w:tcPr>
            <w:tcW w:w="241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57767C" w:rsidRPr="00C53010" w:rsidRDefault="0057767C" w:rsidP="0057767C">
            <w:pPr>
              <w:rPr>
                <w:b/>
                <w:bCs/>
                <w:color w:val="000000"/>
                <w:sz w:val="20"/>
                <w:lang w:val="es-ES"/>
              </w:rPr>
            </w:pPr>
            <w:r w:rsidRPr="00C53010">
              <w:rPr>
                <w:b/>
                <w:bCs/>
                <w:color w:val="000000"/>
                <w:sz w:val="20"/>
                <w:lang w:val="es-ES"/>
              </w:rPr>
              <w:t>Asociados</w:t>
            </w:r>
          </w:p>
        </w:tc>
        <w:tc>
          <w:tcPr>
            <w:tcW w:w="94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57767C" w:rsidRPr="00C53010" w:rsidRDefault="0057767C" w:rsidP="0057767C">
            <w:pPr>
              <w:tabs>
                <w:tab w:val="clear" w:pos="794"/>
                <w:tab w:val="clear" w:pos="1191"/>
                <w:tab w:val="clear" w:pos="1588"/>
                <w:tab w:val="clear" w:pos="1985"/>
              </w:tabs>
              <w:overflowPunct/>
              <w:autoSpaceDE/>
              <w:autoSpaceDN/>
              <w:adjustRightInd/>
              <w:spacing w:before="60"/>
              <w:jc w:val="center"/>
              <w:textAlignment w:val="auto"/>
              <w:rPr>
                <w:color w:val="000000"/>
                <w:sz w:val="20"/>
                <w:lang w:val="es-ES" w:eastAsia="zh-CN"/>
              </w:rPr>
            </w:pPr>
            <w:r w:rsidRPr="00C53010">
              <w:rPr>
                <w:color w:val="000000"/>
                <w:sz w:val="20"/>
                <w:lang w:val="es-ES" w:eastAsia="zh-CN"/>
              </w:rPr>
              <w:t>19</w:t>
            </w:r>
          </w:p>
        </w:tc>
        <w:tc>
          <w:tcPr>
            <w:tcW w:w="820" w:type="dxa"/>
            <w:tcBorders>
              <w:top w:val="single" w:sz="4" w:space="0" w:color="auto"/>
              <w:left w:val="nil"/>
              <w:bottom w:val="single" w:sz="8" w:space="0" w:color="auto"/>
              <w:right w:val="single" w:sz="8" w:space="0" w:color="auto"/>
            </w:tcBorders>
            <w:shd w:val="clear" w:color="auto" w:fill="auto"/>
            <w:noWrap/>
            <w:vAlign w:val="center"/>
            <w:hideMark/>
          </w:tcPr>
          <w:p w:rsidR="0057767C" w:rsidRPr="00C53010" w:rsidRDefault="0057767C" w:rsidP="0057767C">
            <w:pPr>
              <w:tabs>
                <w:tab w:val="clear" w:pos="794"/>
                <w:tab w:val="clear" w:pos="1191"/>
                <w:tab w:val="clear" w:pos="1588"/>
                <w:tab w:val="clear" w:pos="1985"/>
              </w:tabs>
              <w:overflowPunct/>
              <w:autoSpaceDE/>
              <w:autoSpaceDN/>
              <w:adjustRightInd/>
              <w:spacing w:before="60"/>
              <w:jc w:val="center"/>
              <w:textAlignment w:val="auto"/>
              <w:rPr>
                <w:color w:val="000000"/>
                <w:sz w:val="20"/>
                <w:lang w:val="es-ES" w:eastAsia="zh-CN"/>
              </w:rPr>
            </w:pPr>
            <w:r w:rsidRPr="00C53010">
              <w:rPr>
                <w:color w:val="000000"/>
                <w:sz w:val="20"/>
                <w:lang w:val="es-ES" w:eastAsia="zh-CN"/>
              </w:rPr>
              <w:t>22</w:t>
            </w:r>
          </w:p>
        </w:tc>
        <w:tc>
          <w:tcPr>
            <w:tcW w:w="940" w:type="dxa"/>
            <w:tcBorders>
              <w:top w:val="single" w:sz="4" w:space="0" w:color="auto"/>
              <w:left w:val="nil"/>
              <w:bottom w:val="single" w:sz="8" w:space="0" w:color="auto"/>
              <w:right w:val="single" w:sz="8" w:space="0" w:color="auto"/>
            </w:tcBorders>
            <w:shd w:val="clear" w:color="auto" w:fill="auto"/>
            <w:noWrap/>
            <w:vAlign w:val="center"/>
            <w:hideMark/>
          </w:tcPr>
          <w:p w:rsidR="0057767C" w:rsidRPr="00C53010" w:rsidRDefault="0057767C" w:rsidP="0057767C">
            <w:pPr>
              <w:tabs>
                <w:tab w:val="clear" w:pos="794"/>
                <w:tab w:val="clear" w:pos="1191"/>
                <w:tab w:val="clear" w:pos="1588"/>
                <w:tab w:val="clear" w:pos="1985"/>
              </w:tabs>
              <w:overflowPunct/>
              <w:autoSpaceDE/>
              <w:autoSpaceDN/>
              <w:adjustRightInd/>
              <w:spacing w:before="60"/>
              <w:jc w:val="center"/>
              <w:textAlignment w:val="auto"/>
              <w:rPr>
                <w:sz w:val="20"/>
                <w:lang w:val="es-ES" w:eastAsia="zh-CN"/>
              </w:rPr>
            </w:pPr>
            <w:r w:rsidRPr="00C53010">
              <w:rPr>
                <w:sz w:val="20"/>
                <w:lang w:val="es-ES" w:eastAsia="zh-CN"/>
              </w:rPr>
              <w:t>20</w:t>
            </w:r>
          </w:p>
        </w:tc>
        <w:tc>
          <w:tcPr>
            <w:tcW w:w="986" w:type="dxa"/>
            <w:tcBorders>
              <w:top w:val="single" w:sz="4" w:space="0" w:color="auto"/>
              <w:left w:val="nil"/>
              <w:bottom w:val="single" w:sz="8" w:space="0" w:color="auto"/>
              <w:right w:val="single" w:sz="4" w:space="0" w:color="auto"/>
            </w:tcBorders>
          </w:tcPr>
          <w:p w:rsidR="0057767C" w:rsidRPr="00C53010" w:rsidRDefault="0057767C" w:rsidP="0057767C">
            <w:pPr>
              <w:tabs>
                <w:tab w:val="clear" w:pos="794"/>
                <w:tab w:val="clear" w:pos="1191"/>
                <w:tab w:val="clear" w:pos="1588"/>
                <w:tab w:val="clear" w:pos="1985"/>
              </w:tabs>
              <w:overflowPunct/>
              <w:autoSpaceDE/>
              <w:autoSpaceDN/>
              <w:adjustRightInd/>
              <w:spacing w:before="60"/>
              <w:jc w:val="center"/>
              <w:textAlignment w:val="auto"/>
              <w:rPr>
                <w:color w:val="000000"/>
                <w:sz w:val="20"/>
                <w:lang w:val="es-ES" w:eastAsia="zh-CN"/>
              </w:rPr>
            </w:pPr>
            <w:r w:rsidRPr="00C53010">
              <w:rPr>
                <w:color w:val="000000"/>
                <w:sz w:val="20"/>
                <w:lang w:val="es-ES" w:eastAsia="zh-CN"/>
              </w:rPr>
              <w:t>21</w:t>
            </w:r>
          </w:p>
        </w:tc>
        <w:tc>
          <w:tcPr>
            <w:tcW w:w="1417"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57767C" w:rsidRPr="00C53010" w:rsidRDefault="0057767C" w:rsidP="0057767C">
            <w:pPr>
              <w:tabs>
                <w:tab w:val="clear" w:pos="794"/>
                <w:tab w:val="clear" w:pos="1191"/>
                <w:tab w:val="clear" w:pos="1588"/>
                <w:tab w:val="clear" w:pos="1985"/>
              </w:tabs>
              <w:overflowPunct/>
              <w:autoSpaceDE/>
              <w:autoSpaceDN/>
              <w:adjustRightInd/>
              <w:spacing w:before="60"/>
              <w:jc w:val="center"/>
              <w:textAlignment w:val="auto"/>
              <w:rPr>
                <w:color w:val="000000"/>
                <w:sz w:val="20"/>
                <w:lang w:val="es-ES" w:eastAsia="zh-CN"/>
              </w:rPr>
            </w:pPr>
            <w:r w:rsidRPr="00C53010">
              <w:rPr>
                <w:color w:val="000000"/>
                <w:sz w:val="20"/>
                <w:lang w:val="es-ES" w:eastAsia="zh-CN"/>
              </w:rPr>
              <w:t>+2</w:t>
            </w:r>
          </w:p>
        </w:tc>
        <w:tc>
          <w:tcPr>
            <w:tcW w:w="1418" w:type="dxa"/>
            <w:tcBorders>
              <w:top w:val="single" w:sz="4" w:space="0" w:color="auto"/>
              <w:left w:val="nil"/>
              <w:bottom w:val="single" w:sz="8" w:space="0" w:color="auto"/>
              <w:right w:val="single" w:sz="8" w:space="0" w:color="auto"/>
            </w:tcBorders>
            <w:shd w:val="clear" w:color="auto" w:fill="auto"/>
            <w:noWrap/>
            <w:vAlign w:val="center"/>
          </w:tcPr>
          <w:p w:rsidR="0057767C" w:rsidRPr="00C53010" w:rsidRDefault="0057767C" w:rsidP="0057767C">
            <w:pPr>
              <w:tabs>
                <w:tab w:val="clear" w:pos="794"/>
                <w:tab w:val="clear" w:pos="1191"/>
                <w:tab w:val="clear" w:pos="1588"/>
                <w:tab w:val="clear" w:pos="1985"/>
              </w:tabs>
              <w:overflowPunct/>
              <w:autoSpaceDE/>
              <w:autoSpaceDN/>
              <w:adjustRightInd/>
              <w:spacing w:before="60"/>
              <w:jc w:val="center"/>
              <w:textAlignment w:val="auto"/>
              <w:rPr>
                <w:color w:val="000000"/>
                <w:sz w:val="20"/>
                <w:lang w:val="es-ES" w:eastAsia="zh-CN"/>
              </w:rPr>
            </w:pPr>
            <w:r w:rsidRPr="00C53010">
              <w:rPr>
                <w:color w:val="000000"/>
                <w:sz w:val="20"/>
                <w:lang w:val="es-ES" w:eastAsia="zh-CN"/>
              </w:rPr>
              <w:t>+11%</w:t>
            </w:r>
          </w:p>
        </w:tc>
      </w:tr>
      <w:tr w:rsidR="0057767C" w:rsidRPr="00C53010" w:rsidTr="0057767C">
        <w:trPr>
          <w:trHeight w:val="315"/>
          <w:jc w:val="center"/>
        </w:trPr>
        <w:tc>
          <w:tcPr>
            <w:tcW w:w="2410" w:type="dxa"/>
            <w:gridSpan w:val="2"/>
            <w:tcBorders>
              <w:top w:val="nil"/>
              <w:left w:val="single" w:sz="8" w:space="0" w:color="auto"/>
              <w:bottom w:val="single" w:sz="4" w:space="0" w:color="auto"/>
              <w:right w:val="single" w:sz="4" w:space="0" w:color="auto"/>
            </w:tcBorders>
            <w:shd w:val="clear" w:color="auto" w:fill="auto"/>
            <w:noWrap/>
            <w:vAlign w:val="bottom"/>
            <w:hideMark/>
          </w:tcPr>
          <w:p w:rsidR="0057767C" w:rsidRPr="00C53010" w:rsidRDefault="0057767C" w:rsidP="0057767C">
            <w:pPr>
              <w:spacing w:after="40"/>
              <w:rPr>
                <w:b/>
                <w:bCs/>
                <w:color w:val="000000"/>
                <w:sz w:val="20"/>
                <w:lang w:val="es-ES"/>
              </w:rPr>
            </w:pPr>
            <w:r w:rsidRPr="00C53010">
              <w:rPr>
                <w:b/>
                <w:bCs/>
                <w:color w:val="000000"/>
                <w:sz w:val="20"/>
                <w:lang w:val="es-ES"/>
              </w:rPr>
              <w:t>Instituciones Académicas</w:t>
            </w:r>
          </w:p>
        </w:tc>
        <w:tc>
          <w:tcPr>
            <w:tcW w:w="940" w:type="dxa"/>
            <w:tcBorders>
              <w:top w:val="nil"/>
              <w:left w:val="single" w:sz="4" w:space="0" w:color="auto"/>
              <w:bottom w:val="single" w:sz="4" w:space="0" w:color="auto"/>
              <w:right w:val="single" w:sz="8" w:space="0" w:color="auto"/>
            </w:tcBorders>
            <w:shd w:val="clear" w:color="auto" w:fill="auto"/>
            <w:noWrap/>
            <w:vAlign w:val="center"/>
            <w:hideMark/>
          </w:tcPr>
          <w:p w:rsidR="0057767C" w:rsidRPr="00C53010" w:rsidRDefault="0057767C" w:rsidP="0057767C">
            <w:pPr>
              <w:tabs>
                <w:tab w:val="clear" w:pos="794"/>
                <w:tab w:val="clear" w:pos="1191"/>
                <w:tab w:val="clear" w:pos="1588"/>
                <w:tab w:val="clear" w:pos="1985"/>
              </w:tabs>
              <w:overflowPunct/>
              <w:autoSpaceDE/>
              <w:autoSpaceDN/>
              <w:adjustRightInd/>
              <w:spacing w:before="60"/>
              <w:jc w:val="center"/>
              <w:textAlignment w:val="auto"/>
              <w:rPr>
                <w:color w:val="000000"/>
                <w:sz w:val="20"/>
                <w:lang w:val="es-ES" w:eastAsia="zh-CN"/>
              </w:rPr>
            </w:pPr>
            <w:r w:rsidRPr="00C53010">
              <w:rPr>
                <w:color w:val="000000"/>
                <w:sz w:val="20"/>
                <w:lang w:val="es-ES" w:eastAsia="zh-CN"/>
              </w:rPr>
              <w:t>30</w:t>
            </w:r>
          </w:p>
        </w:tc>
        <w:tc>
          <w:tcPr>
            <w:tcW w:w="820" w:type="dxa"/>
            <w:tcBorders>
              <w:top w:val="nil"/>
              <w:left w:val="nil"/>
              <w:bottom w:val="single" w:sz="4" w:space="0" w:color="auto"/>
              <w:right w:val="single" w:sz="8" w:space="0" w:color="auto"/>
            </w:tcBorders>
            <w:shd w:val="clear" w:color="auto" w:fill="auto"/>
            <w:noWrap/>
            <w:vAlign w:val="center"/>
            <w:hideMark/>
          </w:tcPr>
          <w:p w:rsidR="0057767C" w:rsidRPr="00C53010" w:rsidRDefault="0057767C" w:rsidP="0057767C">
            <w:pPr>
              <w:tabs>
                <w:tab w:val="clear" w:pos="794"/>
                <w:tab w:val="clear" w:pos="1191"/>
                <w:tab w:val="clear" w:pos="1588"/>
                <w:tab w:val="clear" w:pos="1985"/>
              </w:tabs>
              <w:overflowPunct/>
              <w:autoSpaceDE/>
              <w:autoSpaceDN/>
              <w:adjustRightInd/>
              <w:spacing w:before="60"/>
              <w:jc w:val="center"/>
              <w:textAlignment w:val="auto"/>
              <w:rPr>
                <w:color w:val="000000"/>
                <w:sz w:val="20"/>
                <w:lang w:val="es-ES" w:eastAsia="zh-CN"/>
              </w:rPr>
            </w:pPr>
            <w:r w:rsidRPr="00C53010">
              <w:rPr>
                <w:color w:val="000000"/>
                <w:sz w:val="20"/>
                <w:lang w:val="es-ES" w:eastAsia="zh-CN"/>
              </w:rPr>
              <w:t>109</w:t>
            </w:r>
          </w:p>
        </w:tc>
        <w:tc>
          <w:tcPr>
            <w:tcW w:w="940" w:type="dxa"/>
            <w:tcBorders>
              <w:top w:val="nil"/>
              <w:left w:val="nil"/>
              <w:bottom w:val="single" w:sz="4" w:space="0" w:color="auto"/>
              <w:right w:val="single" w:sz="8" w:space="0" w:color="auto"/>
            </w:tcBorders>
            <w:shd w:val="clear" w:color="auto" w:fill="auto"/>
            <w:noWrap/>
            <w:vAlign w:val="center"/>
            <w:hideMark/>
          </w:tcPr>
          <w:p w:rsidR="0057767C" w:rsidRPr="00C53010" w:rsidRDefault="0057767C" w:rsidP="0057767C">
            <w:pPr>
              <w:tabs>
                <w:tab w:val="clear" w:pos="794"/>
                <w:tab w:val="clear" w:pos="1191"/>
                <w:tab w:val="clear" w:pos="1588"/>
                <w:tab w:val="clear" w:pos="1985"/>
              </w:tabs>
              <w:overflowPunct/>
              <w:autoSpaceDE/>
              <w:autoSpaceDN/>
              <w:adjustRightInd/>
              <w:spacing w:before="60"/>
              <w:jc w:val="center"/>
              <w:textAlignment w:val="auto"/>
              <w:rPr>
                <w:sz w:val="20"/>
                <w:lang w:val="es-ES" w:eastAsia="zh-CN"/>
              </w:rPr>
            </w:pPr>
            <w:r w:rsidRPr="00C53010">
              <w:rPr>
                <w:sz w:val="20"/>
                <w:lang w:val="es-ES" w:eastAsia="zh-CN"/>
              </w:rPr>
              <w:t>133</w:t>
            </w:r>
          </w:p>
        </w:tc>
        <w:tc>
          <w:tcPr>
            <w:tcW w:w="986" w:type="dxa"/>
            <w:tcBorders>
              <w:top w:val="nil"/>
              <w:left w:val="nil"/>
              <w:bottom w:val="single" w:sz="4" w:space="0" w:color="auto"/>
              <w:right w:val="single" w:sz="4" w:space="0" w:color="auto"/>
            </w:tcBorders>
          </w:tcPr>
          <w:p w:rsidR="0057767C" w:rsidRPr="00C53010" w:rsidRDefault="0057767C" w:rsidP="0057767C">
            <w:pPr>
              <w:tabs>
                <w:tab w:val="clear" w:pos="794"/>
                <w:tab w:val="clear" w:pos="1191"/>
                <w:tab w:val="clear" w:pos="1588"/>
                <w:tab w:val="clear" w:pos="1985"/>
              </w:tabs>
              <w:overflowPunct/>
              <w:autoSpaceDE/>
              <w:autoSpaceDN/>
              <w:adjustRightInd/>
              <w:spacing w:before="60"/>
              <w:jc w:val="center"/>
              <w:textAlignment w:val="auto"/>
              <w:rPr>
                <w:color w:val="000000"/>
                <w:sz w:val="20"/>
                <w:lang w:val="es-ES" w:eastAsia="zh-CN"/>
              </w:rPr>
            </w:pPr>
            <w:r w:rsidRPr="00C53010">
              <w:rPr>
                <w:color w:val="000000"/>
                <w:sz w:val="20"/>
                <w:lang w:val="es-ES" w:eastAsia="zh-CN"/>
              </w:rPr>
              <w:t>126</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57767C" w:rsidRPr="00C53010" w:rsidRDefault="0057767C" w:rsidP="0057767C">
            <w:pPr>
              <w:tabs>
                <w:tab w:val="clear" w:pos="794"/>
                <w:tab w:val="clear" w:pos="1191"/>
                <w:tab w:val="clear" w:pos="1588"/>
                <w:tab w:val="clear" w:pos="1985"/>
              </w:tabs>
              <w:overflowPunct/>
              <w:autoSpaceDE/>
              <w:autoSpaceDN/>
              <w:adjustRightInd/>
              <w:spacing w:before="60"/>
              <w:jc w:val="center"/>
              <w:textAlignment w:val="auto"/>
              <w:rPr>
                <w:color w:val="000000"/>
                <w:sz w:val="20"/>
                <w:lang w:val="es-ES" w:eastAsia="zh-CN"/>
              </w:rPr>
            </w:pPr>
            <w:r w:rsidRPr="00C53010">
              <w:rPr>
                <w:color w:val="000000"/>
                <w:sz w:val="20"/>
                <w:lang w:val="es-ES" w:eastAsia="zh-CN"/>
              </w:rPr>
              <w:t>+94</w:t>
            </w:r>
          </w:p>
        </w:tc>
        <w:tc>
          <w:tcPr>
            <w:tcW w:w="1418" w:type="dxa"/>
            <w:tcBorders>
              <w:top w:val="nil"/>
              <w:left w:val="nil"/>
              <w:bottom w:val="single" w:sz="4" w:space="0" w:color="auto"/>
              <w:right w:val="single" w:sz="8" w:space="0" w:color="auto"/>
            </w:tcBorders>
            <w:shd w:val="clear" w:color="auto" w:fill="auto"/>
            <w:noWrap/>
            <w:vAlign w:val="center"/>
          </w:tcPr>
          <w:p w:rsidR="0057767C" w:rsidRPr="00C53010" w:rsidRDefault="0057767C" w:rsidP="0057767C">
            <w:pPr>
              <w:tabs>
                <w:tab w:val="clear" w:pos="794"/>
                <w:tab w:val="clear" w:pos="1191"/>
                <w:tab w:val="clear" w:pos="1588"/>
                <w:tab w:val="clear" w:pos="1985"/>
              </w:tabs>
              <w:overflowPunct/>
              <w:autoSpaceDE/>
              <w:autoSpaceDN/>
              <w:adjustRightInd/>
              <w:spacing w:before="60"/>
              <w:jc w:val="center"/>
              <w:textAlignment w:val="auto"/>
              <w:rPr>
                <w:color w:val="000000"/>
                <w:sz w:val="20"/>
                <w:lang w:val="es-ES" w:eastAsia="zh-CN"/>
              </w:rPr>
            </w:pPr>
            <w:r w:rsidRPr="00C53010">
              <w:rPr>
                <w:color w:val="000000"/>
                <w:sz w:val="20"/>
                <w:lang w:val="es-ES" w:eastAsia="zh-CN"/>
              </w:rPr>
              <w:t>+313%</w:t>
            </w:r>
          </w:p>
        </w:tc>
      </w:tr>
    </w:tbl>
    <w:p w:rsidR="0057767C" w:rsidRPr="00C53010" w:rsidRDefault="0057767C" w:rsidP="0057767C">
      <w:pPr>
        <w:pStyle w:val="Heading2"/>
        <w:rPr>
          <w:lang w:val="es-ES"/>
        </w:rPr>
      </w:pPr>
      <w:bookmarkStart w:id="108" w:name="_Toc424047608"/>
      <w:bookmarkStart w:id="109" w:name="_Toc446060798"/>
      <w:r w:rsidRPr="00C53010">
        <w:rPr>
          <w:lang w:val="es-ES"/>
        </w:rPr>
        <w:t>8.6</w:t>
      </w:r>
      <w:r w:rsidRPr="00C53010">
        <w:rPr>
          <w:lang w:val="es-ES"/>
        </w:rPr>
        <w:tab/>
        <w:t>Comunicación y promoción</w:t>
      </w:r>
    </w:p>
    <w:p w:rsidR="0057767C" w:rsidRPr="00C53010" w:rsidRDefault="0057767C" w:rsidP="00F55EB4">
      <w:pPr>
        <w:rPr>
          <w:lang w:val="es-ES"/>
        </w:rPr>
      </w:pPr>
      <w:r w:rsidRPr="00C53010">
        <w:rPr>
          <w:lang w:val="es-ES"/>
        </w:rPr>
        <w:t>A fin de posicionar al UIT-R en el marco de sus objetivos estratégicos (creación de un valor de marca</w:t>
      </w:r>
      <w:r w:rsidR="001B0E79">
        <w:rPr>
          <w:lang w:val="es-ES"/>
        </w:rPr>
        <w:t xml:space="preserve">, </w:t>
      </w:r>
      <w:r w:rsidRPr="00C53010">
        <w:rPr>
          <w:lang w:val="es-ES"/>
        </w:rPr>
        <w:t>fortalecer su reputación</w:t>
      </w:r>
      <w:r w:rsidR="001B0E79">
        <w:rPr>
          <w:lang w:val="es-ES"/>
        </w:rPr>
        <w:t xml:space="preserve">, </w:t>
      </w:r>
      <w:r w:rsidRPr="00C53010">
        <w:rPr>
          <w:lang w:val="es-ES"/>
        </w:rPr>
        <w:t>movilizar a las partes interesadas internas y externas</w:t>
      </w:r>
      <w:r w:rsidR="001B0E79">
        <w:rPr>
          <w:lang w:val="es-ES"/>
        </w:rPr>
        <w:t xml:space="preserve">, </w:t>
      </w:r>
      <w:r w:rsidRPr="00C53010">
        <w:rPr>
          <w:lang w:val="es-ES"/>
        </w:rPr>
        <w:t>lograr la participación de las entidades que lo apoyan y el interés de los Miembros)</w:t>
      </w:r>
      <w:r w:rsidR="001B0E79">
        <w:rPr>
          <w:lang w:val="es-ES"/>
        </w:rPr>
        <w:t xml:space="preserve">, </w:t>
      </w:r>
      <w:r w:rsidRPr="00C53010">
        <w:rPr>
          <w:lang w:val="es-ES"/>
        </w:rPr>
        <w:t>la Oficina trabaja en estrecha colaboración con la División de Comunicación Corporativa (CCD) y con la Oficina de prensa de la UIT</w:t>
      </w:r>
      <w:r w:rsidR="001B0E79">
        <w:rPr>
          <w:lang w:val="es-ES"/>
        </w:rPr>
        <w:t xml:space="preserve">, </w:t>
      </w:r>
      <w:r w:rsidRPr="00C53010">
        <w:rPr>
          <w:lang w:val="es-ES"/>
        </w:rPr>
        <w:t xml:space="preserve">el Departamento de Miembros y el Servicio de Publicaciones y de Composición (C&amp;P/COMP) de la Secretaría General. En el marco de estos trabajos se han celebrado varias </w:t>
      </w:r>
      <w:r w:rsidRPr="00C53010">
        <w:rPr>
          <w:lang w:val="es-ES"/>
        </w:rPr>
        <w:lastRenderedPageBreak/>
        <w:t>reuniones intersectoriales de la UIT: el Grupo Especial de la CMSI</w:t>
      </w:r>
      <w:r w:rsidR="001B0E79">
        <w:rPr>
          <w:lang w:val="es-ES"/>
        </w:rPr>
        <w:t xml:space="preserve">, </w:t>
      </w:r>
      <w:r w:rsidRPr="00C53010">
        <w:rPr>
          <w:lang w:val="es-ES"/>
        </w:rPr>
        <w:t>los grupos de Comunicación</w:t>
      </w:r>
      <w:r w:rsidR="001B0E79">
        <w:rPr>
          <w:lang w:val="es-ES"/>
        </w:rPr>
        <w:t xml:space="preserve">, </w:t>
      </w:r>
      <w:r w:rsidR="00F55EB4">
        <w:rPr>
          <w:lang w:val="es-ES"/>
        </w:rPr>
        <w:t xml:space="preserve">la Junta Editorial de la Web </w:t>
      </w:r>
      <w:r w:rsidRPr="00C53010">
        <w:rPr>
          <w:lang w:val="es-ES"/>
        </w:rPr>
        <w:t>y el Grupo Especial sobre cuestiones de género y tendencias emergentes.</w:t>
      </w:r>
    </w:p>
    <w:p w:rsidR="00FA7C73" w:rsidRPr="00C53010" w:rsidRDefault="00FA7C73" w:rsidP="00C53010">
      <w:pPr>
        <w:pStyle w:val="Heading3"/>
        <w:rPr>
          <w:lang w:val="es-ES"/>
        </w:rPr>
      </w:pPr>
      <w:r w:rsidRPr="00C53010">
        <w:rPr>
          <w:lang w:val="es-ES"/>
        </w:rPr>
        <w:t>8.6.1</w:t>
      </w:r>
      <w:r w:rsidRPr="00C53010">
        <w:rPr>
          <w:lang w:val="es-ES"/>
        </w:rPr>
        <w:tab/>
      </w:r>
      <w:bookmarkEnd w:id="108"/>
      <w:bookmarkEnd w:id="109"/>
      <w:r w:rsidR="00C53010" w:rsidRPr="00C53010">
        <w:rPr>
          <w:lang w:val="es-ES"/>
        </w:rPr>
        <w:t>Sitio web</w:t>
      </w:r>
    </w:p>
    <w:p w:rsidR="00FA7C73" w:rsidRPr="00C53010" w:rsidRDefault="0057767C" w:rsidP="0057767C">
      <w:pPr>
        <w:rPr>
          <w:lang w:val="es-ES"/>
        </w:rPr>
      </w:pPr>
      <w:bookmarkStart w:id="110" w:name="_Toc446060799"/>
      <w:r w:rsidRPr="00C53010">
        <w:rPr>
          <w:lang w:val="es-ES"/>
        </w:rPr>
        <w:t xml:space="preserve">La BR siguió apoyando las metas estratégicas del UIT-R y emitió comunicaciones desde el sitio web de la BR </w:t>
      </w:r>
      <w:hyperlink r:id="rId46" w:history="1">
        <w:r w:rsidRPr="00C53010">
          <w:rPr>
            <w:color w:val="0000FF"/>
            <w:u w:val="single"/>
            <w:lang w:val="es-ES"/>
          </w:rPr>
          <w:t>www.itu.int</w:t>
        </w:r>
        <w:r w:rsidRPr="00C53010">
          <w:rPr>
            <w:color w:val="0000FF"/>
            <w:u w:val="single"/>
            <w:lang w:val="es-ES"/>
          </w:rPr>
          <w:t>/</w:t>
        </w:r>
        <w:r w:rsidRPr="00C53010">
          <w:rPr>
            <w:color w:val="0000FF"/>
            <w:u w:val="single"/>
            <w:lang w:val="es-ES"/>
          </w:rPr>
          <w:t>ITU-R/</w:t>
        </w:r>
      </w:hyperlink>
      <w:r w:rsidR="001B0E79">
        <w:rPr>
          <w:lang w:val="es-ES"/>
        </w:rPr>
        <w:t xml:space="preserve">, </w:t>
      </w:r>
      <w:r w:rsidRPr="00C53010">
        <w:rPr>
          <w:lang w:val="es-ES"/>
        </w:rPr>
        <w:t>que se actualiza periódicamente para indicar los trabajos que realiza el Sector y</w:t>
      </w:r>
      <w:r w:rsidR="001B0E79">
        <w:rPr>
          <w:lang w:val="es-ES"/>
        </w:rPr>
        <w:t xml:space="preserve">, </w:t>
      </w:r>
      <w:r w:rsidRPr="00C53010">
        <w:rPr>
          <w:lang w:val="es-ES"/>
        </w:rPr>
        <w:t>en la medida de lo posible</w:t>
      </w:r>
      <w:r w:rsidR="001B0E79">
        <w:rPr>
          <w:lang w:val="es-ES"/>
        </w:rPr>
        <w:t xml:space="preserve">, </w:t>
      </w:r>
      <w:r w:rsidRPr="00C53010">
        <w:rPr>
          <w:lang w:val="es-ES"/>
        </w:rPr>
        <w:t>en los seis idiomas oficiales de la UIT</w:t>
      </w:r>
      <w:r w:rsidR="00FA7C73" w:rsidRPr="00C53010">
        <w:rPr>
          <w:lang w:val="es-ES"/>
        </w:rPr>
        <w:t>.</w:t>
      </w:r>
    </w:p>
    <w:p w:rsidR="00682C0D" w:rsidRPr="00C53010" w:rsidRDefault="0057767C" w:rsidP="00D37123">
      <w:pPr>
        <w:rPr>
          <w:color w:val="000000"/>
          <w:lang w:val="es-ES"/>
        </w:rPr>
      </w:pPr>
      <w:bookmarkStart w:id="111" w:name="lt_pId1404"/>
      <w:r w:rsidRPr="00C53010">
        <w:rPr>
          <w:szCs w:val="24"/>
          <w:lang w:val="es-ES"/>
        </w:rPr>
        <w:t xml:space="preserve">Las comunicaciones del UIT-R siguen distribuyendo información a través de la </w:t>
      </w:r>
      <w:r w:rsidRPr="00C53010">
        <w:rPr>
          <w:smallCaps/>
          <w:szCs w:val="24"/>
          <w:lang w:val="es-ES"/>
        </w:rPr>
        <w:t>Sala de prensa del UIT-R.</w:t>
      </w:r>
      <w:bookmarkEnd w:id="111"/>
      <w:r w:rsidRPr="00C53010">
        <w:rPr>
          <w:smallCaps/>
          <w:szCs w:val="24"/>
          <w:lang w:val="es-ES"/>
        </w:rPr>
        <w:t xml:space="preserve"> </w:t>
      </w:r>
      <w:bookmarkStart w:id="112" w:name="lt_pId1405"/>
      <w:r w:rsidRPr="00C53010">
        <w:rPr>
          <w:lang w:val="es-ES"/>
        </w:rPr>
        <w:t>Además</w:t>
      </w:r>
      <w:r w:rsidR="001B0E79">
        <w:rPr>
          <w:lang w:val="es-ES"/>
        </w:rPr>
        <w:t xml:space="preserve">, </w:t>
      </w:r>
      <w:r w:rsidRPr="00C53010">
        <w:rPr>
          <w:lang w:val="es-ES"/>
        </w:rPr>
        <w:t>el 201</w:t>
      </w:r>
      <w:r w:rsidR="00D37123" w:rsidRPr="00C53010">
        <w:rPr>
          <w:lang w:val="es-ES"/>
        </w:rPr>
        <w:t>7</w:t>
      </w:r>
      <w:r w:rsidRPr="00C53010">
        <w:rPr>
          <w:lang w:val="es-ES"/>
        </w:rPr>
        <w:t xml:space="preserve"> se cumplió el </w:t>
      </w:r>
      <w:r w:rsidR="00D37123" w:rsidRPr="00C53010">
        <w:rPr>
          <w:lang w:val="es-ES"/>
        </w:rPr>
        <w:t>90</w:t>
      </w:r>
      <w:r w:rsidRPr="00C53010">
        <w:rPr>
          <w:lang w:val="es-ES"/>
        </w:rPr>
        <w:t>º aniversario de</w:t>
      </w:r>
      <w:r w:rsidR="00D37123" w:rsidRPr="00C53010">
        <w:rPr>
          <w:lang w:val="es-ES"/>
        </w:rPr>
        <w:t xml:space="preserve"> </w:t>
      </w:r>
      <w:r w:rsidRPr="00C53010">
        <w:rPr>
          <w:lang w:val="es-ES"/>
        </w:rPr>
        <w:t>l</w:t>
      </w:r>
      <w:r w:rsidR="00D37123" w:rsidRPr="00C53010">
        <w:rPr>
          <w:lang w:val="es-ES"/>
        </w:rPr>
        <w:t>as Comisiones de Estudio del CCIR/UIT-R (1927-2017)</w:t>
      </w:r>
      <w:r w:rsidRPr="00C53010">
        <w:rPr>
          <w:lang w:val="es-ES"/>
        </w:rPr>
        <w:t xml:space="preserve"> y se creó un sitio web dedicado a la divulgación de información sobre las celebraciones (véase</w:t>
      </w:r>
      <w:bookmarkEnd w:id="112"/>
      <w:r w:rsidR="00FA7C73" w:rsidRPr="00C53010">
        <w:rPr>
          <w:lang w:val="es-ES"/>
        </w:rPr>
        <w:t xml:space="preserve">: </w:t>
      </w:r>
      <w:hyperlink r:id="rId47" w:history="1">
        <w:r w:rsidR="00FA7C73" w:rsidRPr="00C53010">
          <w:rPr>
            <w:rStyle w:val="Hyperlink"/>
            <w:lang w:val="es-ES"/>
          </w:rPr>
          <w:t>www.itu.int/go</w:t>
        </w:r>
        <w:r w:rsidR="00FA7C73" w:rsidRPr="00C53010">
          <w:rPr>
            <w:rStyle w:val="Hyperlink"/>
            <w:lang w:val="es-ES"/>
          </w:rPr>
          <w:t>/</w:t>
        </w:r>
        <w:r w:rsidR="00FA7C73" w:rsidRPr="00C53010">
          <w:rPr>
            <w:rStyle w:val="Hyperlink"/>
            <w:lang w:val="es-ES"/>
          </w:rPr>
          <w:t>ITU-R/90</w:t>
        </w:r>
      </w:hyperlink>
      <w:r w:rsidR="00FA7C73" w:rsidRPr="00C53010">
        <w:rPr>
          <w:rStyle w:val="Hyperlink"/>
          <w:color w:val="auto"/>
          <w:u w:val="none"/>
          <w:lang w:val="es-ES"/>
        </w:rPr>
        <w:t xml:space="preserve">) </w:t>
      </w:r>
      <w:r w:rsidR="002002CB" w:rsidRPr="00C53010">
        <w:rPr>
          <w:lang w:val="es-ES"/>
        </w:rPr>
        <w:t>destinado principalmente a los miembros de la UIT</w:t>
      </w:r>
      <w:r w:rsidR="001B0E79">
        <w:rPr>
          <w:lang w:val="es-ES"/>
        </w:rPr>
        <w:t xml:space="preserve">, </w:t>
      </w:r>
      <w:r w:rsidR="002002CB" w:rsidRPr="00C53010">
        <w:rPr>
          <w:lang w:val="es-ES"/>
        </w:rPr>
        <w:t>los participantes y delegados en las Comisiones de Estudio del UIT-R</w:t>
      </w:r>
      <w:r w:rsidR="001B0E79">
        <w:rPr>
          <w:lang w:val="es-ES"/>
        </w:rPr>
        <w:t xml:space="preserve">, </w:t>
      </w:r>
      <w:r w:rsidR="002002CB" w:rsidRPr="00C53010">
        <w:rPr>
          <w:lang w:val="es-ES"/>
        </w:rPr>
        <w:t>las publicaciones técnicas especializadas</w:t>
      </w:r>
      <w:r w:rsidR="001B0E79">
        <w:rPr>
          <w:lang w:val="es-ES"/>
        </w:rPr>
        <w:t xml:space="preserve">, </w:t>
      </w:r>
      <w:r w:rsidR="002002CB" w:rsidRPr="00C53010">
        <w:rPr>
          <w:lang w:val="es-ES"/>
        </w:rPr>
        <w:t>las instituciones de investigación</w:t>
      </w:r>
      <w:r w:rsidR="001B0E79">
        <w:rPr>
          <w:lang w:val="es-ES"/>
        </w:rPr>
        <w:t xml:space="preserve">, </w:t>
      </w:r>
      <w:r w:rsidR="002002CB" w:rsidRPr="00C53010">
        <w:rPr>
          <w:lang w:val="es-ES"/>
        </w:rPr>
        <w:t>los medios de comunicaciones</w:t>
      </w:r>
      <w:r w:rsidR="001B0E79">
        <w:rPr>
          <w:lang w:val="es-ES"/>
        </w:rPr>
        <w:t xml:space="preserve">, </w:t>
      </w:r>
      <w:r w:rsidR="002002CB" w:rsidRPr="00C53010">
        <w:rPr>
          <w:lang w:val="es-ES"/>
        </w:rPr>
        <w:t>el personal de la UIT y el público en general</w:t>
      </w:r>
      <w:r w:rsidR="001B0E79">
        <w:rPr>
          <w:color w:val="000000"/>
          <w:szCs w:val="24"/>
          <w:lang w:val="es-ES" w:eastAsia="zh-CN"/>
        </w:rPr>
        <w:t xml:space="preserve">, </w:t>
      </w:r>
      <w:r w:rsidR="00682C0D" w:rsidRPr="00C53010">
        <w:rPr>
          <w:color w:val="000000"/>
          <w:lang w:val="es-ES"/>
        </w:rPr>
        <w:t>En estos eventos se enfatiza la eminente función de la</w:t>
      </w:r>
      <w:r w:rsidR="00F55EB4">
        <w:rPr>
          <w:color w:val="000000"/>
          <w:lang w:val="es-ES"/>
        </w:rPr>
        <w:t>s Comisiones de Estudio del UIT-</w:t>
      </w:r>
      <w:r w:rsidR="00682C0D" w:rsidRPr="00C53010">
        <w:rPr>
          <w:color w:val="000000"/>
          <w:lang w:val="es-ES"/>
        </w:rPr>
        <w:t>R en la habilitación y configuración del ecosistema inalámbrico mundial y en la promoción de su desarrollo sostenible.</w:t>
      </w:r>
    </w:p>
    <w:p w:rsidR="00FA7C73" w:rsidRPr="00C53010" w:rsidRDefault="00FA7C73" w:rsidP="00D37123">
      <w:pPr>
        <w:pStyle w:val="Heading3"/>
        <w:rPr>
          <w:szCs w:val="21"/>
          <w:lang w:val="es-ES"/>
        </w:rPr>
      </w:pPr>
      <w:r w:rsidRPr="00C53010">
        <w:rPr>
          <w:lang w:val="es-ES"/>
        </w:rPr>
        <w:t>8.6.2</w:t>
      </w:r>
      <w:r w:rsidRPr="00C53010">
        <w:rPr>
          <w:lang w:val="es-ES"/>
        </w:rPr>
        <w:tab/>
      </w:r>
      <w:bookmarkEnd w:id="110"/>
      <w:r w:rsidR="00D37123" w:rsidRPr="00C53010">
        <w:rPr>
          <w:lang w:val="es-ES"/>
        </w:rPr>
        <w:t>Promoción y relaciones con los medios</w:t>
      </w:r>
    </w:p>
    <w:p w:rsidR="00FA7C73" w:rsidRPr="00C53010" w:rsidRDefault="00FA7C73" w:rsidP="00D37123">
      <w:pPr>
        <w:pStyle w:val="Heading4"/>
        <w:rPr>
          <w:lang w:val="es-ES"/>
        </w:rPr>
      </w:pPr>
      <w:r w:rsidRPr="00C53010">
        <w:rPr>
          <w:lang w:val="es-ES"/>
        </w:rPr>
        <w:t>8.6.2.1</w:t>
      </w:r>
      <w:r w:rsidRPr="00C53010">
        <w:rPr>
          <w:lang w:val="es-ES"/>
        </w:rPr>
        <w:tab/>
      </w:r>
      <w:r w:rsidR="00D37123" w:rsidRPr="00C53010">
        <w:rPr>
          <w:lang w:val="es-ES"/>
        </w:rPr>
        <w:t>Medios de comunicación</w:t>
      </w:r>
    </w:p>
    <w:p w:rsidR="00FA7C73" w:rsidRPr="00C53010" w:rsidRDefault="00C87DAE" w:rsidP="00FA6FC7">
      <w:pPr>
        <w:rPr>
          <w:lang w:val="es-ES"/>
        </w:rPr>
      </w:pPr>
      <w:r w:rsidRPr="00C53010">
        <w:rPr>
          <w:lang w:val="es-ES"/>
        </w:rPr>
        <w:t xml:space="preserve">Se respondió a los asuntos que </w:t>
      </w:r>
      <w:r w:rsidR="00C53010" w:rsidRPr="00C53010">
        <w:rPr>
          <w:lang w:val="es-ES"/>
        </w:rPr>
        <w:t>suscitaron</w:t>
      </w:r>
      <w:r w:rsidRPr="00C53010">
        <w:rPr>
          <w:lang w:val="es-ES"/>
        </w:rPr>
        <w:t xml:space="preserve"> el interés de los medios de comunicación e</w:t>
      </w:r>
      <w:r w:rsidR="00FA7C73" w:rsidRPr="00C53010">
        <w:rPr>
          <w:lang w:val="es-ES"/>
        </w:rPr>
        <w:t>n 2017</w:t>
      </w:r>
      <w:r w:rsidR="001B0E79">
        <w:rPr>
          <w:lang w:val="es-ES"/>
        </w:rPr>
        <w:t xml:space="preserve">, </w:t>
      </w:r>
      <w:r w:rsidRPr="00C53010">
        <w:rPr>
          <w:lang w:val="es-ES"/>
        </w:rPr>
        <w:t xml:space="preserve">después de una meticulosa coordinación con la </w:t>
      </w:r>
      <w:r w:rsidR="00FA7C73" w:rsidRPr="00C53010">
        <w:rPr>
          <w:lang w:val="es-ES"/>
        </w:rPr>
        <w:t xml:space="preserve">BR </w:t>
      </w:r>
      <w:r w:rsidRPr="00C53010">
        <w:rPr>
          <w:lang w:val="es-ES"/>
        </w:rPr>
        <w:t>y la Oficina de Comunicaciones de la UIT</w:t>
      </w:r>
      <w:r w:rsidR="001B0E79">
        <w:rPr>
          <w:lang w:val="es-ES"/>
        </w:rPr>
        <w:t xml:space="preserve">, </w:t>
      </w:r>
      <w:r w:rsidRPr="00C53010">
        <w:rPr>
          <w:lang w:val="es-ES"/>
        </w:rPr>
        <w:t xml:space="preserve">la dirección de la </w:t>
      </w:r>
      <w:r w:rsidR="00FA7C73" w:rsidRPr="00C53010">
        <w:rPr>
          <w:lang w:val="es-ES"/>
        </w:rPr>
        <w:t xml:space="preserve">BR </w:t>
      </w:r>
      <w:r w:rsidRPr="00C53010">
        <w:rPr>
          <w:lang w:val="es-ES"/>
        </w:rPr>
        <w:t>y otros expertos en radiocomunicaciones pertinentes</w:t>
      </w:r>
      <w:r w:rsidR="00FA7C73" w:rsidRPr="00C53010">
        <w:rPr>
          <w:lang w:val="es-ES"/>
        </w:rPr>
        <w:t xml:space="preserve">. </w:t>
      </w:r>
    </w:p>
    <w:p w:rsidR="00FA7C73" w:rsidRPr="00C53010" w:rsidRDefault="00C87DAE" w:rsidP="00FA6FC7">
      <w:pPr>
        <w:rPr>
          <w:lang w:val="es-ES"/>
        </w:rPr>
      </w:pPr>
      <w:r w:rsidRPr="00C53010">
        <w:rPr>
          <w:lang w:val="es-ES"/>
        </w:rPr>
        <w:t>En 2017</w:t>
      </w:r>
      <w:r w:rsidR="001B0E79">
        <w:rPr>
          <w:lang w:val="es-ES"/>
        </w:rPr>
        <w:t xml:space="preserve">, </w:t>
      </w:r>
      <w:r w:rsidRPr="00C53010">
        <w:rPr>
          <w:lang w:val="es-ES"/>
        </w:rPr>
        <w:t>la BR siguió cumpliendo con las metas estratégicas del UIT-R</w:t>
      </w:r>
      <w:r w:rsidR="001B0E79">
        <w:rPr>
          <w:lang w:val="es-ES"/>
        </w:rPr>
        <w:t xml:space="preserve">, </w:t>
      </w:r>
      <w:r w:rsidRPr="00C53010">
        <w:rPr>
          <w:lang w:val="es-ES"/>
        </w:rPr>
        <w:t>publicando las siguientes comunicaciones por conducto de la Oficina de Comunicaciones y Prensa de la UIT y en los medios sociales</w:t>
      </w:r>
      <w:r w:rsidR="001B0E79">
        <w:rPr>
          <w:lang w:val="es-ES"/>
        </w:rPr>
        <w:t xml:space="preserve">, </w:t>
      </w:r>
      <w:r w:rsidRPr="00C53010">
        <w:rPr>
          <w:lang w:val="es-ES"/>
        </w:rPr>
        <w:t>en la Sala de prensa</w:t>
      </w:r>
      <w:r w:rsidRPr="00C53010">
        <w:rPr>
          <w:smallCaps/>
          <w:lang w:val="es-ES"/>
        </w:rPr>
        <w:t xml:space="preserve"> </w:t>
      </w:r>
      <w:r w:rsidRPr="00C53010">
        <w:rPr>
          <w:lang w:val="es-ES"/>
        </w:rPr>
        <w:t>del</w:t>
      </w:r>
      <w:r w:rsidRPr="00C53010">
        <w:rPr>
          <w:smallCaps/>
          <w:lang w:val="es-ES"/>
        </w:rPr>
        <w:t xml:space="preserve"> UIT-R</w:t>
      </w:r>
      <w:r w:rsidRPr="00C53010">
        <w:rPr>
          <w:lang w:val="es-ES"/>
        </w:rPr>
        <w:t xml:space="preserve"> </w:t>
      </w:r>
      <w:hyperlink r:id="rId48" w:history="1">
        <w:r w:rsidR="00FA7C73" w:rsidRPr="00C53010">
          <w:rPr>
            <w:rStyle w:val="Hyperlink"/>
            <w:rFonts w:asciiTheme="majorBidi" w:hAnsiTheme="majorBidi" w:cstheme="majorBidi"/>
            <w:szCs w:val="24"/>
            <w:lang w:val="es-ES"/>
          </w:rPr>
          <w:t>https://twitter.c</w:t>
        </w:r>
        <w:r w:rsidR="00FA7C73" w:rsidRPr="00C53010">
          <w:rPr>
            <w:rStyle w:val="Hyperlink"/>
            <w:rFonts w:asciiTheme="majorBidi" w:hAnsiTheme="majorBidi" w:cstheme="majorBidi"/>
            <w:szCs w:val="24"/>
            <w:lang w:val="es-ES"/>
          </w:rPr>
          <w:t>o</w:t>
        </w:r>
        <w:r w:rsidR="00FA7C73" w:rsidRPr="00C53010">
          <w:rPr>
            <w:rStyle w:val="Hyperlink"/>
            <w:rFonts w:asciiTheme="majorBidi" w:hAnsiTheme="majorBidi" w:cstheme="majorBidi"/>
            <w:szCs w:val="24"/>
            <w:lang w:val="es-ES"/>
          </w:rPr>
          <w:t>m/ITU_R</w:t>
        </w:r>
      </w:hyperlink>
      <w:r w:rsidR="00FA7C73" w:rsidRPr="00C53010">
        <w:rPr>
          <w:lang w:val="es-ES"/>
        </w:rPr>
        <w:t xml:space="preserve"> </w:t>
      </w:r>
      <w:r w:rsidRPr="00C53010">
        <w:rPr>
          <w:lang w:val="es-ES"/>
        </w:rPr>
        <w:t xml:space="preserve">y en el sitio web de la BR </w:t>
      </w:r>
      <w:hyperlink r:id="rId49" w:history="1">
        <w:r w:rsidR="00FA7C73" w:rsidRPr="00C53010">
          <w:rPr>
            <w:rStyle w:val="Hyperlink"/>
            <w:rFonts w:asciiTheme="majorBidi" w:hAnsiTheme="majorBidi" w:cstheme="majorBidi"/>
            <w:szCs w:val="24"/>
            <w:lang w:val="es-ES"/>
          </w:rPr>
          <w:t>www.itu.int/I</w:t>
        </w:r>
        <w:r w:rsidR="00FA7C73" w:rsidRPr="00C53010">
          <w:rPr>
            <w:rStyle w:val="Hyperlink"/>
            <w:rFonts w:asciiTheme="majorBidi" w:hAnsiTheme="majorBidi" w:cstheme="majorBidi"/>
            <w:szCs w:val="24"/>
            <w:lang w:val="es-ES"/>
          </w:rPr>
          <w:t>T</w:t>
        </w:r>
        <w:r w:rsidR="00FA7C73" w:rsidRPr="00C53010">
          <w:rPr>
            <w:rStyle w:val="Hyperlink"/>
            <w:rFonts w:asciiTheme="majorBidi" w:hAnsiTheme="majorBidi" w:cstheme="majorBidi"/>
            <w:szCs w:val="24"/>
            <w:lang w:val="es-ES"/>
          </w:rPr>
          <w:t>U-R/</w:t>
        </w:r>
      </w:hyperlink>
      <w:r w:rsidR="00FA7C73" w:rsidRPr="00C53010">
        <w:rPr>
          <w:lang w:val="es-ES"/>
        </w:rPr>
        <w:t>:</w:t>
      </w:r>
    </w:p>
    <w:p w:rsidR="00FA7C73" w:rsidRPr="00C53010" w:rsidRDefault="00C87DAE" w:rsidP="00FA6FC7">
      <w:pPr>
        <w:rPr>
          <w:lang w:val="es-ES"/>
        </w:rPr>
      </w:pPr>
      <w:r w:rsidRPr="00C53010">
        <w:rPr>
          <w:lang w:val="es-ES"/>
        </w:rPr>
        <w:t xml:space="preserve">Se publicaron </w:t>
      </w:r>
      <w:r w:rsidR="00FA7C73" w:rsidRPr="00C53010">
        <w:rPr>
          <w:lang w:val="es-ES"/>
        </w:rPr>
        <w:t xml:space="preserve">40 </w:t>
      </w:r>
      <w:r w:rsidRPr="00C53010">
        <w:rPr>
          <w:lang w:val="es-ES"/>
        </w:rPr>
        <w:t xml:space="preserve">comunicados de prensa y </w:t>
      </w:r>
      <w:r w:rsidR="00FA7C73" w:rsidRPr="00C53010">
        <w:rPr>
          <w:lang w:val="es-ES"/>
        </w:rPr>
        <w:t xml:space="preserve">25 </w:t>
      </w:r>
      <w:r w:rsidRPr="00C53010">
        <w:rPr>
          <w:lang w:val="es-ES"/>
        </w:rPr>
        <w:t xml:space="preserve">comunicados </w:t>
      </w:r>
      <w:r w:rsidR="00F55EB4">
        <w:rPr>
          <w:lang w:val="es-ES"/>
        </w:rPr>
        <w:t xml:space="preserve">en </w:t>
      </w:r>
      <w:r w:rsidR="00FA7C73" w:rsidRPr="00C53010">
        <w:rPr>
          <w:lang w:val="es-ES"/>
        </w:rPr>
        <w:t>2017</w:t>
      </w:r>
      <w:r w:rsidR="001B0E79">
        <w:rPr>
          <w:lang w:val="es-ES"/>
        </w:rPr>
        <w:t xml:space="preserve">, </w:t>
      </w:r>
      <w:r w:rsidRPr="00C53010">
        <w:rPr>
          <w:lang w:val="es-ES"/>
        </w:rPr>
        <w:t xml:space="preserve">así como </w:t>
      </w:r>
      <w:r w:rsidR="00FA7C73" w:rsidRPr="00C53010">
        <w:rPr>
          <w:lang w:val="es-ES"/>
        </w:rPr>
        <w:t xml:space="preserve">10 </w:t>
      </w:r>
      <w:r w:rsidRPr="00C53010">
        <w:rPr>
          <w:lang w:val="es-ES"/>
        </w:rPr>
        <w:t>avisos a los medios de comunicación para invitar a la prensa a asistir a eventos importantes del U</w:t>
      </w:r>
      <w:r w:rsidR="00FA7C73" w:rsidRPr="00C53010">
        <w:rPr>
          <w:lang w:val="es-ES"/>
        </w:rPr>
        <w:t>IT-R.</w:t>
      </w:r>
    </w:p>
    <w:p w:rsidR="00C87DAE" w:rsidRPr="00C53010" w:rsidRDefault="00C87DAE" w:rsidP="00FA6FC7">
      <w:pPr>
        <w:rPr>
          <w:lang w:val="es-ES"/>
        </w:rPr>
      </w:pPr>
      <w:r w:rsidRPr="00C53010">
        <w:rPr>
          <w:lang w:val="es-ES"/>
        </w:rPr>
        <w:t xml:space="preserve">En </w:t>
      </w:r>
      <w:r w:rsidR="00FA7C73" w:rsidRPr="00C53010">
        <w:rPr>
          <w:lang w:val="es-ES"/>
        </w:rPr>
        <w:t>2017</w:t>
      </w:r>
      <w:r w:rsidR="001B0E79">
        <w:rPr>
          <w:lang w:val="es-ES"/>
        </w:rPr>
        <w:t xml:space="preserve">, </w:t>
      </w:r>
      <w:r w:rsidRPr="00C53010">
        <w:rPr>
          <w:lang w:val="es-ES"/>
        </w:rPr>
        <w:t>los medios de comunicación formularon más de 60 preguntas</w:t>
      </w:r>
      <w:r w:rsidR="001B0E79">
        <w:rPr>
          <w:lang w:val="es-ES"/>
        </w:rPr>
        <w:t xml:space="preserve">, </w:t>
      </w:r>
      <w:r w:rsidRPr="00C53010">
        <w:rPr>
          <w:lang w:val="es-ES"/>
        </w:rPr>
        <w:t>principalmente en respuesta a los comunicados mencionados. Se respondió por correspondencia o en una entrevista dada por expertos de la BR</w:t>
      </w:r>
      <w:r w:rsidR="001B0E79">
        <w:rPr>
          <w:lang w:val="es-ES"/>
        </w:rPr>
        <w:t xml:space="preserve">, </w:t>
      </w:r>
      <w:r w:rsidRPr="00C53010">
        <w:rPr>
          <w:lang w:val="es-ES"/>
        </w:rPr>
        <w:t>los Presidentes de las Comisiones de Estudio del UIT-R o el Director de la BR</w:t>
      </w:r>
    </w:p>
    <w:p w:rsidR="00FA7C73" w:rsidRPr="00C53010" w:rsidRDefault="00FA7C73" w:rsidP="00FA6FC7">
      <w:pPr>
        <w:pStyle w:val="Heading4"/>
        <w:rPr>
          <w:lang w:val="es-ES"/>
        </w:rPr>
      </w:pPr>
      <w:r w:rsidRPr="00C53010">
        <w:rPr>
          <w:lang w:val="es-ES"/>
        </w:rPr>
        <w:t>8.6.2.2</w:t>
      </w:r>
      <w:r w:rsidRPr="00C53010">
        <w:rPr>
          <w:lang w:val="es-ES"/>
        </w:rPr>
        <w:tab/>
      </w:r>
      <w:r w:rsidR="00C87DAE" w:rsidRPr="00FA6FC7">
        <w:t>Preguntas</w:t>
      </w:r>
      <w:r w:rsidR="00C87DAE" w:rsidRPr="00C53010">
        <w:rPr>
          <w:lang w:val="es-ES"/>
        </w:rPr>
        <w:t xml:space="preserve"> más frecuentes</w:t>
      </w:r>
      <w:r w:rsidR="003045E9" w:rsidRPr="00C53010">
        <w:rPr>
          <w:lang w:val="es-ES"/>
        </w:rPr>
        <w:tab/>
      </w:r>
    </w:p>
    <w:p w:rsidR="00C87DAE" w:rsidRPr="00C53010" w:rsidRDefault="00C87DAE" w:rsidP="00C87DAE">
      <w:pPr>
        <w:rPr>
          <w:lang w:val="es-ES"/>
        </w:rPr>
      </w:pPr>
      <w:r w:rsidRPr="00C53010">
        <w:rPr>
          <w:lang w:val="es-ES"/>
        </w:rPr>
        <w:t>La BR sigue actualizando periódicamente varios conjuntos de «preguntas más frecuentes» (FAQ)</w:t>
      </w:r>
      <w:r w:rsidR="001B0E79">
        <w:rPr>
          <w:lang w:val="es-ES"/>
        </w:rPr>
        <w:t xml:space="preserve">, </w:t>
      </w:r>
      <w:r w:rsidRPr="00C53010">
        <w:rPr>
          <w:lang w:val="es-ES"/>
        </w:rPr>
        <w:t>que están disponibles para los medios</w:t>
      </w:r>
      <w:r w:rsidR="001B0E79">
        <w:rPr>
          <w:lang w:val="es-ES"/>
        </w:rPr>
        <w:t xml:space="preserve">, </w:t>
      </w:r>
      <w:r w:rsidRPr="00C53010">
        <w:rPr>
          <w:lang w:val="es-ES"/>
        </w:rPr>
        <w:t>la industria y el público en general</w:t>
      </w:r>
      <w:r w:rsidR="001B0E79">
        <w:rPr>
          <w:lang w:val="es-ES"/>
        </w:rPr>
        <w:t xml:space="preserve">, </w:t>
      </w:r>
      <w:r w:rsidRPr="00C53010">
        <w:rPr>
          <w:lang w:val="es-ES"/>
        </w:rPr>
        <w:t>y en la actualidad abarcan los asuntos siguientes:</w:t>
      </w:r>
    </w:p>
    <w:p w:rsidR="00C87DAE" w:rsidRPr="00C53010" w:rsidRDefault="00C87DAE" w:rsidP="00C87DAE">
      <w:pPr>
        <w:pStyle w:val="enumlev1"/>
        <w:rPr>
          <w:lang w:val="es-ES"/>
        </w:rPr>
      </w:pPr>
      <w:r w:rsidRPr="00C53010">
        <w:rPr>
          <w:lang w:val="es-ES"/>
        </w:rPr>
        <w:t>–</w:t>
      </w:r>
      <w:r w:rsidRPr="00C53010">
        <w:rPr>
          <w:lang w:val="es-ES"/>
        </w:rPr>
        <w:tab/>
        <w:t>Reglamento de Radiocomunicaciones (RR)</w:t>
      </w:r>
      <w:r w:rsidR="001B0E79">
        <w:rPr>
          <w:lang w:val="es-ES"/>
        </w:rPr>
        <w:t xml:space="preserve">, </w:t>
      </w:r>
      <w:r w:rsidRPr="00C53010">
        <w:rPr>
          <w:lang w:val="es-ES"/>
        </w:rPr>
        <w:t>Comisiones de Estudio (CE) del UIT-R</w:t>
      </w:r>
      <w:r w:rsidR="001B0E79">
        <w:rPr>
          <w:lang w:val="es-ES"/>
        </w:rPr>
        <w:t xml:space="preserve">, </w:t>
      </w:r>
      <w:r w:rsidRPr="00C53010">
        <w:rPr>
          <w:lang w:val="es-ES"/>
        </w:rPr>
        <w:t>RRB</w:t>
      </w:r>
      <w:r w:rsidR="001B0E79">
        <w:rPr>
          <w:lang w:val="es-ES"/>
        </w:rPr>
        <w:t xml:space="preserve">, </w:t>
      </w:r>
      <w:r w:rsidRPr="00C53010">
        <w:rPr>
          <w:lang w:val="es-ES"/>
        </w:rPr>
        <w:t>GAR</w:t>
      </w:r>
      <w:r w:rsidR="001B0E79">
        <w:rPr>
          <w:lang w:val="es-ES"/>
        </w:rPr>
        <w:t xml:space="preserve">, </w:t>
      </w:r>
      <w:r w:rsidRPr="00C53010">
        <w:rPr>
          <w:lang w:val="es-ES"/>
        </w:rPr>
        <w:t>BR.</w:t>
      </w:r>
    </w:p>
    <w:p w:rsidR="00C87DAE" w:rsidRPr="00C53010" w:rsidRDefault="00C87DAE" w:rsidP="00C87DAE">
      <w:pPr>
        <w:pStyle w:val="enumlev1"/>
        <w:rPr>
          <w:lang w:val="es-ES"/>
        </w:rPr>
      </w:pPr>
      <w:r w:rsidRPr="00C53010">
        <w:rPr>
          <w:lang w:val="es-ES"/>
        </w:rPr>
        <w:t>–</w:t>
      </w:r>
      <w:r w:rsidRPr="00C53010">
        <w:rPr>
          <w:lang w:val="es-ES"/>
        </w:rPr>
        <w:tab/>
        <w:t xml:space="preserve">Telecomunicaciones </w:t>
      </w:r>
      <w:r w:rsidR="00C53010" w:rsidRPr="00C53010">
        <w:rPr>
          <w:lang w:val="es-ES"/>
        </w:rPr>
        <w:t>Móviles</w:t>
      </w:r>
      <w:r w:rsidRPr="00C53010">
        <w:rPr>
          <w:lang w:val="es-ES"/>
        </w:rPr>
        <w:t xml:space="preserve"> Internacionales (IMT) y banda ancha inalámbrica.</w:t>
      </w:r>
    </w:p>
    <w:p w:rsidR="00C87DAE" w:rsidRPr="00C53010" w:rsidRDefault="00C87DAE" w:rsidP="00C87DAE">
      <w:pPr>
        <w:pStyle w:val="enumlev1"/>
        <w:rPr>
          <w:lang w:val="es-ES"/>
        </w:rPr>
      </w:pPr>
      <w:r w:rsidRPr="00C53010">
        <w:rPr>
          <w:lang w:val="es-ES"/>
        </w:rPr>
        <w:t>–</w:t>
      </w:r>
      <w:r w:rsidRPr="00C53010">
        <w:rPr>
          <w:lang w:val="es-ES"/>
        </w:rPr>
        <w:tab/>
        <w:t>El dividendo digital y la transición a digital (DSO).</w:t>
      </w:r>
    </w:p>
    <w:p w:rsidR="00C87DAE" w:rsidRPr="00C53010" w:rsidRDefault="00C87DAE" w:rsidP="00C87DAE">
      <w:pPr>
        <w:pStyle w:val="enumlev1"/>
        <w:rPr>
          <w:lang w:val="es-ES"/>
        </w:rPr>
      </w:pPr>
      <w:r w:rsidRPr="00C53010">
        <w:rPr>
          <w:lang w:val="es-ES"/>
        </w:rPr>
        <w:t>–</w:t>
      </w:r>
      <w:r w:rsidRPr="00C53010">
        <w:rPr>
          <w:lang w:val="es-ES"/>
        </w:rPr>
        <w:tab/>
        <w:t>Escala de tiempo universal (UTC) – segundo intercalar.</w:t>
      </w:r>
    </w:p>
    <w:p w:rsidR="00C87DAE" w:rsidRPr="00C53010" w:rsidRDefault="00C87DAE" w:rsidP="00C87DAE">
      <w:pPr>
        <w:pStyle w:val="enumlev1"/>
        <w:rPr>
          <w:lang w:val="es-ES"/>
        </w:rPr>
      </w:pPr>
      <w:r w:rsidRPr="00C53010">
        <w:rPr>
          <w:lang w:val="es-ES"/>
        </w:rPr>
        <w:t>–</w:t>
      </w:r>
      <w:r w:rsidRPr="00C53010">
        <w:rPr>
          <w:lang w:val="es-ES"/>
        </w:rPr>
        <w:tab/>
        <w:t>Notificación de satélites y procedimientos conexos.</w:t>
      </w:r>
    </w:p>
    <w:p w:rsidR="00FA7C73" w:rsidRPr="00C53010" w:rsidRDefault="00C87DAE" w:rsidP="00FA6FC7">
      <w:pPr>
        <w:rPr>
          <w:lang w:val="es-ES"/>
        </w:rPr>
      </w:pPr>
      <w:r w:rsidRPr="00C53010">
        <w:rPr>
          <w:lang w:val="es-ES"/>
        </w:rPr>
        <w:t xml:space="preserve">Las preguntas pueden encontrarse </w:t>
      </w:r>
      <w:r w:rsidR="0069255A">
        <w:rPr>
          <w:lang w:val="es-ES"/>
        </w:rPr>
        <w:t xml:space="preserve">online </w:t>
      </w:r>
      <w:r w:rsidRPr="00C53010">
        <w:rPr>
          <w:lang w:val="es-ES"/>
        </w:rPr>
        <w:t xml:space="preserve">en la parte superior derecha de la página principal del UIT-R </w:t>
      </w:r>
      <w:r w:rsidR="00FA7C73" w:rsidRPr="00C53010">
        <w:rPr>
          <w:lang w:val="es-ES"/>
        </w:rPr>
        <w:t>(</w:t>
      </w:r>
      <w:hyperlink r:id="rId50" w:history="1">
        <w:r w:rsidR="00FA7C73" w:rsidRPr="00C53010">
          <w:rPr>
            <w:rStyle w:val="Hyperlink"/>
            <w:szCs w:val="24"/>
            <w:lang w:val="es-ES"/>
          </w:rPr>
          <w:t>http://www.itu.int/en/ITU-R/Pag</w:t>
        </w:r>
        <w:r w:rsidR="00FA7C73" w:rsidRPr="00C53010">
          <w:rPr>
            <w:rStyle w:val="Hyperlink"/>
            <w:szCs w:val="24"/>
            <w:lang w:val="es-ES"/>
          </w:rPr>
          <w:t>e</w:t>
        </w:r>
        <w:r w:rsidR="00FA7C73" w:rsidRPr="00C53010">
          <w:rPr>
            <w:rStyle w:val="Hyperlink"/>
            <w:szCs w:val="24"/>
            <w:lang w:val="es-ES"/>
          </w:rPr>
          <w:t>s/default.aspx</w:t>
        </w:r>
      </w:hyperlink>
      <w:r w:rsidR="00FA7C73" w:rsidRPr="00C53010">
        <w:rPr>
          <w:lang w:val="es-ES"/>
        </w:rPr>
        <w:t>.</w:t>
      </w:r>
    </w:p>
    <w:p w:rsidR="00FA7C73" w:rsidRPr="00C53010" w:rsidRDefault="00FA7C73" w:rsidP="006B0CD0">
      <w:pPr>
        <w:pStyle w:val="Heading4"/>
        <w:rPr>
          <w:lang w:val="es-ES"/>
        </w:rPr>
      </w:pPr>
      <w:r w:rsidRPr="00C53010">
        <w:rPr>
          <w:lang w:val="es-ES"/>
        </w:rPr>
        <w:lastRenderedPageBreak/>
        <w:t>8.6.2.3</w:t>
      </w:r>
      <w:r w:rsidRPr="00C53010">
        <w:rPr>
          <w:lang w:val="es-ES"/>
        </w:rPr>
        <w:tab/>
      </w:r>
      <w:r w:rsidR="006B0CD0" w:rsidRPr="00C53010">
        <w:rPr>
          <w:lang w:val="es-ES"/>
        </w:rPr>
        <w:t>Comunicaciones publicitarias</w:t>
      </w:r>
    </w:p>
    <w:p w:rsidR="006B0CD0" w:rsidRPr="00C53010" w:rsidRDefault="006B0CD0" w:rsidP="006B0CD0">
      <w:pPr>
        <w:rPr>
          <w:lang w:val="es-ES"/>
        </w:rPr>
      </w:pPr>
      <w:bookmarkStart w:id="113" w:name="lt_pId1437"/>
      <w:r w:rsidRPr="00C53010">
        <w:rPr>
          <w:lang w:val="es-ES"/>
        </w:rPr>
        <w:t>En 2017</w:t>
      </w:r>
      <w:r w:rsidR="001B0E79">
        <w:rPr>
          <w:lang w:val="es-ES"/>
        </w:rPr>
        <w:t xml:space="preserve">, </w:t>
      </w:r>
      <w:r w:rsidRPr="00C53010">
        <w:rPr>
          <w:lang w:val="es-ES"/>
        </w:rPr>
        <w:t>se prepararon comunicaciones publicitarias (pancartas</w:t>
      </w:r>
      <w:r w:rsidR="001B0E79">
        <w:rPr>
          <w:lang w:val="es-ES"/>
        </w:rPr>
        <w:t xml:space="preserve">, </w:t>
      </w:r>
      <w:r w:rsidRPr="00C53010">
        <w:rPr>
          <w:lang w:val="es-ES"/>
        </w:rPr>
        <w:t>letreros virtuales</w:t>
      </w:r>
      <w:r w:rsidR="001B0E79">
        <w:rPr>
          <w:lang w:val="es-ES"/>
        </w:rPr>
        <w:t xml:space="preserve">, </w:t>
      </w:r>
      <w:r w:rsidRPr="00C53010">
        <w:rPr>
          <w:lang w:val="es-ES"/>
        </w:rPr>
        <w:t>posters electrónicos</w:t>
      </w:r>
      <w:r w:rsidR="001B0E79">
        <w:rPr>
          <w:lang w:val="es-ES"/>
        </w:rPr>
        <w:t xml:space="preserve">, </w:t>
      </w:r>
      <w:r w:rsidRPr="00C53010">
        <w:rPr>
          <w:lang w:val="es-ES"/>
        </w:rPr>
        <w:t>certificados electrónicos</w:t>
      </w:r>
      <w:r w:rsidR="001B0E79">
        <w:rPr>
          <w:lang w:val="es-ES"/>
        </w:rPr>
        <w:t xml:space="preserve">, </w:t>
      </w:r>
      <w:r w:rsidRPr="00C53010">
        <w:rPr>
          <w:lang w:val="es-ES"/>
        </w:rPr>
        <w:t>anuncios en medios social</w:t>
      </w:r>
      <w:r w:rsidR="00C53010" w:rsidRPr="00C53010">
        <w:rPr>
          <w:lang w:val="es-ES"/>
        </w:rPr>
        <w:t>es</w:t>
      </w:r>
      <w:r w:rsidR="001B0E79">
        <w:rPr>
          <w:lang w:val="es-ES"/>
        </w:rPr>
        <w:t xml:space="preserve">, </w:t>
      </w:r>
      <w:r w:rsidRPr="00C53010">
        <w:rPr>
          <w:lang w:val="es-ES"/>
        </w:rPr>
        <w:t>etc.)</w:t>
      </w:r>
      <w:r w:rsidR="001B0E79">
        <w:rPr>
          <w:lang w:val="es-ES"/>
        </w:rPr>
        <w:t xml:space="preserve">, </w:t>
      </w:r>
      <w:r w:rsidRPr="00C53010">
        <w:rPr>
          <w:lang w:val="es-ES"/>
        </w:rPr>
        <w:t>fotos</w:t>
      </w:r>
      <w:r w:rsidR="001B0E79">
        <w:rPr>
          <w:lang w:val="es-ES"/>
        </w:rPr>
        <w:t xml:space="preserve">, </w:t>
      </w:r>
      <w:r w:rsidRPr="00C53010">
        <w:rPr>
          <w:lang w:val="es-ES"/>
        </w:rPr>
        <w:t>vídeos y multimedios para los Seminarios Regionales de Radiocomunicaciones y las reuniones importantes</w:t>
      </w:r>
      <w:r w:rsidR="001B0E79">
        <w:rPr>
          <w:lang w:val="es-ES"/>
        </w:rPr>
        <w:t xml:space="preserve">, </w:t>
      </w:r>
      <w:r w:rsidRPr="00C53010">
        <w:rPr>
          <w:lang w:val="es-ES"/>
        </w:rPr>
        <w:t>así como para los eventos organizados por la BR.</w:t>
      </w:r>
      <w:bookmarkEnd w:id="113"/>
      <w:r w:rsidRPr="00C53010">
        <w:rPr>
          <w:lang w:val="es-ES"/>
        </w:rPr>
        <w:t xml:space="preserve"> </w:t>
      </w:r>
      <w:bookmarkStart w:id="114" w:name="lt_pId1438"/>
    </w:p>
    <w:p w:rsidR="006B0CD0" w:rsidRPr="00C53010" w:rsidRDefault="00C53010" w:rsidP="00FA6FC7">
      <w:pPr>
        <w:rPr>
          <w:lang w:val="es-ES"/>
        </w:rPr>
      </w:pPr>
      <w:r w:rsidRPr="00C53010">
        <w:rPr>
          <w:lang w:val="es-ES"/>
        </w:rPr>
        <w:t xml:space="preserve">Entre </w:t>
      </w:r>
      <w:r w:rsidR="006B0CD0" w:rsidRPr="00C53010">
        <w:rPr>
          <w:lang w:val="es-ES"/>
        </w:rPr>
        <w:t>2016</w:t>
      </w:r>
      <w:r w:rsidRPr="00C53010">
        <w:rPr>
          <w:lang w:val="es-ES"/>
        </w:rPr>
        <w:t xml:space="preserve"> y </w:t>
      </w:r>
      <w:r w:rsidR="006B0CD0" w:rsidRPr="00C53010">
        <w:rPr>
          <w:lang w:val="es-ES"/>
        </w:rPr>
        <w:t xml:space="preserve">2017 </w:t>
      </w:r>
      <w:r>
        <w:rPr>
          <w:lang w:val="es-ES"/>
        </w:rPr>
        <w:t xml:space="preserve">hubo un cambio de imagen importante de las comunicaciones visuales de </w:t>
      </w:r>
      <w:r w:rsidR="006B0CD0" w:rsidRPr="00C53010">
        <w:rPr>
          <w:lang w:val="es-ES"/>
        </w:rPr>
        <w:t>‘</w:t>
      </w:r>
      <w:r>
        <w:rPr>
          <w:lang w:val="es-ES"/>
        </w:rPr>
        <w:t>una U</w:t>
      </w:r>
      <w:r w:rsidR="006B0CD0" w:rsidRPr="00C53010">
        <w:rPr>
          <w:lang w:val="es-ES"/>
        </w:rPr>
        <w:t xml:space="preserve">IT’ </w:t>
      </w:r>
      <w:r>
        <w:rPr>
          <w:lang w:val="es-ES"/>
        </w:rPr>
        <w:t>en todos los Sectores de la U</w:t>
      </w:r>
      <w:r w:rsidR="006B0CD0" w:rsidRPr="00C53010">
        <w:rPr>
          <w:lang w:val="es-ES"/>
        </w:rPr>
        <w:t>IT</w:t>
      </w:r>
      <w:r>
        <w:rPr>
          <w:lang w:val="es-ES"/>
        </w:rPr>
        <w:t xml:space="preserve"> con plantillas</w:t>
      </w:r>
      <w:r w:rsidR="001B0E79">
        <w:rPr>
          <w:lang w:val="es-ES"/>
        </w:rPr>
        <w:t xml:space="preserve">, </w:t>
      </w:r>
      <w:r>
        <w:rPr>
          <w:lang w:val="es-ES"/>
        </w:rPr>
        <w:t>y se utilizó el color azul de Naciones Unidas de base para todos los logotipos de alto nivel</w:t>
      </w:r>
      <w:r w:rsidR="001B0E79">
        <w:rPr>
          <w:lang w:val="es-ES"/>
        </w:rPr>
        <w:t xml:space="preserve">, </w:t>
      </w:r>
      <w:r>
        <w:rPr>
          <w:lang w:val="es-ES"/>
        </w:rPr>
        <w:t>pero se mantuvo el rojo del Reglamento de Radiocomunicaciones para los seminarios y talleres de la BR</w:t>
      </w:r>
      <w:r w:rsidR="006B0CD0" w:rsidRPr="00C53010">
        <w:rPr>
          <w:lang w:val="es-ES"/>
        </w:rPr>
        <w:t>.</w:t>
      </w:r>
    </w:p>
    <w:p w:rsidR="006B0CD0" w:rsidRPr="00C53010" w:rsidRDefault="00C53010" w:rsidP="00FA6FC7">
      <w:pPr>
        <w:rPr>
          <w:lang w:val="es-ES"/>
        </w:rPr>
      </w:pPr>
      <w:r>
        <w:rPr>
          <w:lang w:val="es-ES"/>
        </w:rPr>
        <w:t>En particular</w:t>
      </w:r>
      <w:r w:rsidR="001B0E79">
        <w:rPr>
          <w:lang w:val="es-ES"/>
        </w:rPr>
        <w:t xml:space="preserve">, </w:t>
      </w:r>
      <w:r>
        <w:rPr>
          <w:lang w:val="es-ES"/>
        </w:rPr>
        <w:t>se organizó el 2ª seminario U</w:t>
      </w:r>
      <w:r w:rsidR="006B0CD0" w:rsidRPr="00C53010">
        <w:rPr>
          <w:lang w:val="es-ES"/>
        </w:rPr>
        <w:t>IT/</w:t>
      </w:r>
      <w:r>
        <w:rPr>
          <w:lang w:val="es-ES"/>
        </w:rPr>
        <w:t>OMM</w:t>
      </w:r>
      <w:r w:rsidR="006B0CD0" w:rsidRPr="00C53010">
        <w:rPr>
          <w:lang w:val="es-ES"/>
        </w:rPr>
        <w:t xml:space="preserve"> "</w:t>
      </w:r>
      <w:r>
        <w:rPr>
          <w:lang w:val="es-ES"/>
        </w:rPr>
        <w:t>U</w:t>
      </w:r>
      <w:r w:rsidR="006B0CD0" w:rsidRPr="00C53010">
        <w:rPr>
          <w:lang w:val="es-ES"/>
        </w:rPr>
        <w:t>tilización del espectro radioeléctrico en meteorología: observación y predicción del clima</w:t>
      </w:r>
      <w:r w:rsidR="001B0E79">
        <w:rPr>
          <w:lang w:val="es-ES"/>
        </w:rPr>
        <w:t xml:space="preserve">, </w:t>
      </w:r>
      <w:r w:rsidR="006B0CD0" w:rsidRPr="00C53010">
        <w:rPr>
          <w:lang w:val="es-ES"/>
        </w:rPr>
        <w:t xml:space="preserve">de los fenómenos meteorológicos y de los recursos hídricos" </w:t>
      </w:r>
      <w:r>
        <w:rPr>
          <w:lang w:val="es-ES"/>
        </w:rPr>
        <w:t>en Ginebra (Suiza)</w:t>
      </w:r>
      <w:r w:rsidR="001B0E79">
        <w:rPr>
          <w:lang w:val="es-ES"/>
        </w:rPr>
        <w:t xml:space="preserve">, </w:t>
      </w:r>
      <w:r>
        <w:rPr>
          <w:lang w:val="es-ES"/>
        </w:rPr>
        <w:t xml:space="preserve">los días </w:t>
      </w:r>
      <w:r w:rsidR="006B0CD0" w:rsidRPr="00C53010">
        <w:rPr>
          <w:lang w:val="es-ES"/>
        </w:rPr>
        <w:t>23</w:t>
      </w:r>
      <w:r>
        <w:rPr>
          <w:lang w:val="es-ES"/>
        </w:rPr>
        <w:t xml:space="preserve"> y </w:t>
      </w:r>
      <w:r w:rsidR="006B0CD0" w:rsidRPr="00C53010">
        <w:rPr>
          <w:lang w:val="es-ES"/>
        </w:rPr>
        <w:t xml:space="preserve">24 </w:t>
      </w:r>
      <w:r>
        <w:rPr>
          <w:lang w:val="es-ES"/>
        </w:rPr>
        <w:t xml:space="preserve">de octubre de </w:t>
      </w:r>
      <w:r w:rsidR="006B0CD0" w:rsidRPr="00C53010">
        <w:rPr>
          <w:lang w:val="es-ES"/>
        </w:rPr>
        <w:t xml:space="preserve">2017 </w:t>
      </w:r>
      <w:r>
        <w:rPr>
          <w:lang w:val="es-ES"/>
        </w:rPr>
        <w:t>con la publicación de un Manual común sobre el mismo tema</w:t>
      </w:r>
      <w:r w:rsidR="006B0CD0" w:rsidRPr="00C53010">
        <w:rPr>
          <w:lang w:val="es-ES"/>
        </w:rPr>
        <w:t>.</w:t>
      </w:r>
    </w:p>
    <w:p w:rsidR="006B0CD0" w:rsidRPr="00C53010" w:rsidRDefault="006B0CD0" w:rsidP="007F1223">
      <w:pPr>
        <w:rPr>
          <w:lang w:val="es-ES"/>
        </w:rPr>
      </w:pPr>
      <w:r w:rsidRPr="00C53010">
        <w:rPr>
          <w:lang w:val="es-ES"/>
        </w:rPr>
        <w:t xml:space="preserve">Para las celebraciones del </w:t>
      </w:r>
      <w:r w:rsidR="00C53010">
        <w:rPr>
          <w:lang w:val="es-ES"/>
        </w:rPr>
        <w:t>90</w:t>
      </w:r>
      <w:r w:rsidRPr="00C53010">
        <w:rPr>
          <w:lang w:val="es-ES"/>
        </w:rPr>
        <w:t xml:space="preserve">º aniversario </w:t>
      </w:r>
      <w:r w:rsidR="007F1223" w:rsidRPr="00C53010">
        <w:rPr>
          <w:lang w:val="es-ES"/>
        </w:rPr>
        <w:t xml:space="preserve">de las Comisiones </w:t>
      </w:r>
      <w:r w:rsidR="000A6C6C">
        <w:rPr>
          <w:lang w:val="es-ES"/>
        </w:rPr>
        <w:t>de Estudio del CCIR/UIT-R (1927</w:t>
      </w:r>
      <w:r w:rsidR="000A6C6C">
        <w:rPr>
          <w:lang w:val="es-ES"/>
        </w:rPr>
        <w:noBreakHyphen/>
      </w:r>
      <w:r w:rsidR="007F1223" w:rsidRPr="00C53010">
        <w:rPr>
          <w:lang w:val="es-ES"/>
        </w:rPr>
        <w:t>2017)</w:t>
      </w:r>
      <w:r w:rsidR="001B0E79">
        <w:rPr>
          <w:lang w:val="es-ES"/>
        </w:rPr>
        <w:t xml:space="preserve">, </w:t>
      </w:r>
      <w:r w:rsidRPr="00C53010">
        <w:rPr>
          <w:lang w:val="es-ES"/>
        </w:rPr>
        <w:t>se prepararon las siguientes actividades de comunicación adicionales:</w:t>
      </w:r>
      <w:bookmarkEnd w:id="114"/>
    </w:p>
    <w:p w:rsidR="00815C15" w:rsidRPr="00C53010" w:rsidRDefault="00815C15" w:rsidP="00815C15">
      <w:pPr>
        <w:pStyle w:val="enumlev1"/>
        <w:jc w:val="both"/>
        <w:rPr>
          <w:rFonts w:asciiTheme="majorBidi" w:hAnsiTheme="majorBidi" w:cstheme="majorBidi"/>
          <w:szCs w:val="24"/>
          <w:lang w:val="es-ES"/>
        </w:rPr>
      </w:pPr>
      <w:r w:rsidRPr="00C53010">
        <w:rPr>
          <w:rFonts w:asciiTheme="majorBidi" w:hAnsiTheme="majorBidi" w:cstheme="majorBidi"/>
          <w:szCs w:val="24"/>
          <w:lang w:val="es-ES"/>
        </w:rPr>
        <w:t>–</w:t>
      </w:r>
      <w:r w:rsidRPr="00C53010">
        <w:rPr>
          <w:rFonts w:asciiTheme="majorBidi" w:hAnsiTheme="majorBidi" w:cstheme="majorBidi"/>
          <w:szCs w:val="24"/>
          <w:lang w:val="es-ES"/>
        </w:rPr>
        <w:tab/>
      </w:r>
      <w:r>
        <w:rPr>
          <w:rFonts w:asciiTheme="majorBidi" w:hAnsiTheme="majorBidi" w:cstheme="majorBidi"/>
          <w:szCs w:val="24"/>
          <w:lang w:val="es-ES"/>
        </w:rPr>
        <w:t xml:space="preserve">Una edición especial de la revista </w:t>
      </w:r>
      <w:hyperlink r:id="rId51" w:history="1">
        <w:r>
          <w:rPr>
            <w:rStyle w:val="Hyperlink"/>
            <w:rFonts w:asciiTheme="majorBidi" w:hAnsiTheme="majorBidi" w:cstheme="majorBidi"/>
            <w:szCs w:val="24"/>
            <w:lang w:val="es-ES"/>
          </w:rPr>
          <w:t>Actualidades de</w:t>
        </w:r>
        <w:r>
          <w:rPr>
            <w:rStyle w:val="Hyperlink"/>
            <w:rFonts w:asciiTheme="majorBidi" w:hAnsiTheme="majorBidi" w:cstheme="majorBidi"/>
            <w:szCs w:val="24"/>
            <w:lang w:val="es-ES"/>
          </w:rPr>
          <w:t xml:space="preserve"> </w:t>
        </w:r>
        <w:r>
          <w:rPr>
            <w:rStyle w:val="Hyperlink"/>
            <w:rFonts w:asciiTheme="majorBidi" w:hAnsiTheme="majorBidi" w:cstheme="majorBidi"/>
            <w:szCs w:val="24"/>
            <w:lang w:val="es-ES"/>
          </w:rPr>
          <w:t>la UI</w:t>
        </w:r>
        <w:r w:rsidRPr="00C53010">
          <w:rPr>
            <w:rStyle w:val="Hyperlink"/>
            <w:rFonts w:asciiTheme="majorBidi" w:hAnsiTheme="majorBidi" w:cstheme="majorBidi"/>
            <w:szCs w:val="24"/>
            <w:lang w:val="es-ES"/>
          </w:rPr>
          <w:t xml:space="preserve">T </w:t>
        </w:r>
        <w:r>
          <w:rPr>
            <w:rStyle w:val="Hyperlink"/>
            <w:rFonts w:asciiTheme="majorBidi" w:hAnsiTheme="majorBidi" w:cstheme="majorBidi"/>
            <w:szCs w:val="24"/>
            <w:lang w:val="es-ES"/>
          </w:rPr>
          <w:t>para conmemorar "</w:t>
        </w:r>
        <w:r w:rsidRPr="00C53010">
          <w:rPr>
            <w:rStyle w:val="Hyperlink"/>
            <w:rFonts w:asciiTheme="majorBidi" w:hAnsiTheme="majorBidi" w:cstheme="majorBidi"/>
            <w:szCs w:val="24"/>
            <w:lang w:val="es-ES"/>
          </w:rPr>
          <w:t xml:space="preserve">90 </w:t>
        </w:r>
        <w:r>
          <w:rPr>
            <w:rStyle w:val="Hyperlink"/>
            <w:rFonts w:asciiTheme="majorBidi" w:hAnsiTheme="majorBidi" w:cstheme="majorBidi"/>
            <w:szCs w:val="24"/>
            <w:lang w:val="es-ES"/>
          </w:rPr>
          <w:t>años de colaboración mundial</w:t>
        </w:r>
      </w:hyperlink>
      <w:r>
        <w:rPr>
          <w:rStyle w:val="Hyperlink"/>
          <w:rFonts w:asciiTheme="majorBidi" w:hAnsiTheme="majorBidi" w:cstheme="majorBidi"/>
          <w:szCs w:val="24"/>
          <w:lang w:val="es-ES"/>
        </w:rPr>
        <w:t>"</w:t>
      </w:r>
    </w:p>
    <w:p w:rsidR="00815C15" w:rsidRPr="00C53010" w:rsidRDefault="00815C15" w:rsidP="00815C15">
      <w:pPr>
        <w:pStyle w:val="enumlev1"/>
        <w:jc w:val="both"/>
        <w:rPr>
          <w:rStyle w:val="Hyperlink"/>
          <w:rFonts w:asciiTheme="majorBidi" w:hAnsiTheme="majorBidi" w:cstheme="majorBidi"/>
          <w:szCs w:val="24"/>
          <w:lang w:val="es-ES"/>
        </w:rPr>
      </w:pPr>
      <w:r w:rsidRPr="00C53010">
        <w:rPr>
          <w:rFonts w:asciiTheme="majorBidi" w:hAnsiTheme="majorBidi" w:cstheme="majorBidi"/>
          <w:szCs w:val="24"/>
          <w:lang w:val="es-ES"/>
        </w:rPr>
        <w:t>–</w:t>
      </w:r>
      <w:r w:rsidRPr="00C53010">
        <w:rPr>
          <w:rFonts w:asciiTheme="majorBidi" w:hAnsiTheme="majorBidi" w:cstheme="majorBidi"/>
          <w:szCs w:val="24"/>
          <w:lang w:val="es-ES"/>
        </w:rPr>
        <w:tab/>
      </w:r>
      <w:r>
        <w:rPr>
          <w:rFonts w:asciiTheme="majorBidi" w:hAnsiTheme="majorBidi" w:cstheme="majorBidi"/>
          <w:szCs w:val="24"/>
          <w:lang w:val="es-ES"/>
        </w:rPr>
        <w:t xml:space="preserve">Se distribuyeron </w:t>
      </w:r>
      <w:hyperlink r:id="rId52" w:history="1">
        <w:r>
          <w:rPr>
            <w:rStyle w:val="Hyperlink"/>
            <w:rFonts w:asciiTheme="majorBidi" w:hAnsiTheme="majorBidi" w:cstheme="majorBidi"/>
            <w:szCs w:val="24"/>
            <w:lang w:val="es-ES"/>
          </w:rPr>
          <w:t>comunicado</w:t>
        </w:r>
        <w:r>
          <w:rPr>
            <w:rStyle w:val="Hyperlink"/>
            <w:rFonts w:asciiTheme="majorBidi" w:hAnsiTheme="majorBidi" w:cstheme="majorBidi"/>
            <w:szCs w:val="24"/>
            <w:lang w:val="es-ES"/>
          </w:rPr>
          <w:t>s</w:t>
        </w:r>
      </w:hyperlink>
      <w:r>
        <w:rPr>
          <w:rStyle w:val="Hyperlink"/>
          <w:rFonts w:asciiTheme="majorBidi" w:hAnsiTheme="majorBidi" w:cstheme="majorBidi"/>
          <w:szCs w:val="24"/>
          <w:lang w:val="es-ES"/>
        </w:rPr>
        <w:t xml:space="preserve"> de prensa</w:t>
      </w:r>
      <w:r w:rsidRPr="00C53010">
        <w:rPr>
          <w:rFonts w:asciiTheme="majorBidi" w:hAnsiTheme="majorBidi" w:cstheme="majorBidi"/>
          <w:color w:val="000000"/>
          <w:szCs w:val="24"/>
          <w:lang w:val="es-ES"/>
        </w:rPr>
        <w:t xml:space="preserve"> </w:t>
      </w:r>
      <w:r>
        <w:rPr>
          <w:rFonts w:asciiTheme="majorBidi" w:hAnsiTheme="majorBidi" w:cstheme="majorBidi"/>
          <w:szCs w:val="24"/>
          <w:lang w:val="es-ES"/>
        </w:rPr>
        <w:t>y avisos a los medios de comunicaciones, el</w:t>
      </w:r>
      <w:r w:rsidRPr="00C53010">
        <w:rPr>
          <w:rFonts w:asciiTheme="majorBidi" w:hAnsiTheme="majorBidi" w:cstheme="majorBidi"/>
          <w:szCs w:val="24"/>
          <w:lang w:val="es-ES"/>
        </w:rPr>
        <w:t xml:space="preserve"> </w:t>
      </w:r>
      <w:hyperlink r:id="rId53" w:history="1">
        <w:r w:rsidRPr="00C53010">
          <w:rPr>
            <w:rStyle w:val="Hyperlink"/>
            <w:rFonts w:asciiTheme="majorBidi" w:hAnsiTheme="majorBidi" w:cstheme="majorBidi"/>
            <w:szCs w:val="24"/>
            <w:lang w:val="es-ES"/>
          </w:rPr>
          <w:t>Ce</w:t>
        </w:r>
        <w:r w:rsidRPr="00C53010">
          <w:rPr>
            <w:rStyle w:val="Hyperlink"/>
            <w:rFonts w:asciiTheme="majorBidi" w:hAnsiTheme="majorBidi" w:cstheme="majorBidi"/>
            <w:szCs w:val="24"/>
            <w:lang w:val="es-ES"/>
          </w:rPr>
          <w:t>n</w:t>
        </w:r>
        <w:r w:rsidRPr="00C53010">
          <w:rPr>
            <w:rStyle w:val="Hyperlink"/>
            <w:rFonts w:asciiTheme="majorBidi" w:hAnsiTheme="majorBidi" w:cstheme="majorBidi"/>
            <w:szCs w:val="24"/>
            <w:lang w:val="es-ES"/>
          </w:rPr>
          <w:t>tr</w:t>
        </w:r>
        <w:r>
          <w:rPr>
            <w:rStyle w:val="Hyperlink"/>
            <w:rFonts w:asciiTheme="majorBidi" w:hAnsiTheme="majorBidi" w:cstheme="majorBidi"/>
            <w:szCs w:val="24"/>
            <w:lang w:val="es-ES"/>
          </w:rPr>
          <w:t>o de prensa de la UIT</w:t>
        </w:r>
      </w:hyperlink>
      <w:r w:rsidRPr="00C53010">
        <w:rPr>
          <w:rFonts w:asciiTheme="majorBidi" w:hAnsiTheme="majorBidi" w:cstheme="majorBidi"/>
          <w:szCs w:val="24"/>
          <w:lang w:val="es-ES"/>
        </w:rPr>
        <w:t xml:space="preserve"> </w:t>
      </w:r>
      <w:r>
        <w:rPr>
          <w:rFonts w:asciiTheme="majorBidi" w:hAnsiTheme="majorBidi" w:cstheme="majorBidi"/>
          <w:szCs w:val="24"/>
          <w:lang w:val="es-ES"/>
        </w:rPr>
        <w:t xml:space="preserve">y la </w:t>
      </w:r>
      <w:hyperlink r:id="rId54" w:history="1">
        <w:r>
          <w:rPr>
            <w:rStyle w:val="Hyperlink"/>
            <w:rFonts w:asciiTheme="majorBidi" w:hAnsiTheme="majorBidi" w:cstheme="majorBidi"/>
            <w:szCs w:val="24"/>
            <w:lang w:val="es-ES"/>
          </w:rPr>
          <w:t>Sala de pr</w:t>
        </w:r>
        <w:r>
          <w:rPr>
            <w:rStyle w:val="Hyperlink"/>
            <w:rFonts w:asciiTheme="majorBidi" w:hAnsiTheme="majorBidi" w:cstheme="majorBidi"/>
            <w:szCs w:val="24"/>
            <w:lang w:val="es-ES"/>
          </w:rPr>
          <w:t>e</w:t>
        </w:r>
        <w:r>
          <w:rPr>
            <w:rStyle w:val="Hyperlink"/>
            <w:rFonts w:asciiTheme="majorBidi" w:hAnsiTheme="majorBidi" w:cstheme="majorBidi"/>
            <w:szCs w:val="24"/>
            <w:lang w:val="es-ES"/>
          </w:rPr>
          <w:t>nsa del UI</w:t>
        </w:r>
        <w:r w:rsidRPr="00C53010">
          <w:rPr>
            <w:rStyle w:val="Hyperlink"/>
            <w:rFonts w:asciiTheme="majorBidi" w:hAnsiTheme="majorBidi" w:cstheme="majorBidi"/>
            <w:szCs w:val="24"/>
            <w:lang w:val="es-ES"/>
          </w:rPr>
          <w:t>T</w:t>
        </w:r>
        <w:r>
          <w:rPr>
            <w:rStyle w:val="Hyperlink"/>
            <w:rFonts w:asciiTheme="majorBidi" w:hAnsiTheme="majorBidi" w:cstheme="majorBidi"/>
            <w:szCs w:val="24"/>
            <w:lang w:val="es-ES"/>
          </w:rPr>
          <w:t>-</w:t>
        </w:r>
        <w:r w:rsidRPr="00C53010">
          <w:rPr>
            <w:rStyle w:val="Hyperlink"/>
            <w:rFonts w:asciiTheme="majorBidi" w:hAnsiTheme="majorBidi" w:cstheme="majorBidi"/>
            <w:szCs w:val="24"/>
            <w:lang w:val="es-ES"/>
          </w:rPr>
          <w:t xml:space="preserve">R </w:t>
        </w:r>
      </w:hyperlink>
      <w:r w:rsidRPr="00C53010">
        <w:rPr>
          <w:rStyle w:val="Hyperlink"/>
          <w:rFonts w:asciiTheme="majorBidi" w:hAnsiTheme="majorBidi" w:cstheme="majorBidi"/>
          <w:szCs w:val="24"/>
          <w:lang w:val="es-ES"/>
        </w:rPr>
        <w:t>:</w:t>
      </w:r>
    </w:p>
    <w:p w:rsidR="00815C15" w:rsidRPr="00C53010" w:rsidRDefault="00815C15" w:rsidP="00815C15">
      <w:pPr>
        <w:pStyle w:val="enumlev1"/>
        <w:jc w:val="both"/>
        <w:rPr>
          <w:rStyle w:val="Hyperlink"/>
          <w:rFonts w:asciiTheme="majorBidi" w:hAnsiTheme="majorBidi" w:cstheme="majorBidi"/>
          <w:szCs w:val="24"/>
          <w:lang w:val="es-ES"/>
        </w:rPr>
      </w:pPr>
      <w:r w:rsidRPr="00C53010">
        <w:rPr>
          <w:rFonts w:asciiTheme="majorBidi" w:hAnsiTheme="majorBidi" w:cstheme="majorBidi"/>
          <w:szCs w:val="24"/>
          <w:lang w:val="es-ES"/>
        </w:rPr>
        <w:t>–</w:t>
      </w:r>
      <w:r w:rsidRPr="00C53010">
        <w:rPr>
          <w:rFonts w:asciiTheme="majorBidi" w:hAnsiTheme="majorBidi" w:cstheme="majorBidi"/>
          <w:szCs w:val="24"/>
          <w:lang w:val="es-ES"/>
        </w:rPr>
        <w:tab/>
      </w:r>
      <w:r>
        <w:rPr>
          <w:rFonts w:asciiTheme="majorBidi" w:hAnsiTheme="majorBidi" w:cstheme="majorBidi"/>
          <w:szCs w:val="24"/>
          <w:lang w:val="es-ES"/>
        </w:rPr>
        <w:t>Sitio web dedicado</w:t>
      </w:r>
      <w:r w:rsidRPr="00C53010">
        <w:rPr>
          <w:rFonts w:asciiTheme="majorBidi" w:hAnsiTheme="majorBidi" w:cstheme="majorBidi"/>
          <w:szCs w:val="24"/>
          <w:lang w:val="es-ES"/>
        </w:rPr>
        <w:t xml:space="preserve">: </w:t>
      </w:r>
      <w:hyperlink r:id="rId55" w:history="1">
        <w:r w:rsidRPr="00C53010">
          <w:rPr>
            <w:rStyle w:val="Hyperlink"/>
            <w:rFonts w:asciiTheme="majorBidi" w:hAnsiTheme="majorBidi" w:cstheme="majorBidi"/>
            <w:szCs w:val="24"/>
            <w:lang w:val="es-ES"/>
          </w:rPr>
          <w:t>www.itu.int/</w:t>
        </w:r>
        <w:r w:rsidRPr="00C53010">
          <w:rPr>
            <w:rStyle w:val="Hyperlink"/>
            <w:rFonts w:asciiTheme="majorBidi" w:hAnsiTheme="majorBidi" w:cstheme="majorBidi"/>
            <w:szCs w:val="24"/>
            <w:lang w:val="es-ES"/>
          </w:rPr>
          <w:t>g</w:t>
        </w:r>
        <w:r w:rsidRPr="00C53010">
          <w:rPr>
            <w:rStyle w:val="Hyperlink"/>
            <w:rFonts w:asciiTheme="majorBidi" w:hAnsiTheme="majorBidi" w:cstheme="majorBidi"/>
            <w:szCs w:val="24"/>
            <w:lang w:val="es-ES"/>
          </w:rPr>
          <w:t>o/ITU-R/90</w:t>
        </w:r>
      </w:hyperlink>
    </w:p>
    <w:p w:rsidR="00815C15" w:rsidRPr="00C53010" w:rsidRDefault="00815C15" w:rsidP="00815C15">
      <w:pPr>
        <w:pStyle w:val="enumlev1"/>
        <w:jc w:val="both"/>
        <w:rPr>
          <w:rFonts w:asciiTheme="majorBidi" w:hAnsiTheme="majorBidi" w:cstheme="majorBidi"/>
          <w:szCs w:val="24"/>
          <w:lang w:val="es-ES"/>
        </w:rPr>
      </w:pPr>
      <w:r w:rsidRPr="00C53010">
        <w:rPr>
          <w:rFonts w:asciiTheme="majorBidi" w:hAnsiTheme="majorBidi" w:cstheme="majorBidi"/>
          <w:szCs w:val="24"/>
          <w:lang w:val="es-ES"/>
        </w:rPr>
        <w:t>–</w:t>
      </w:r>
      <w:r w:rsidRPr="00C53010">
        <w:rPr>
          <w:rFonts w:asciiTheme="majorBidi" w:hAnsiTheme="majorBidi" w:cstheme="majorBidi"/>
          <w:szCs w:val="24"/>
          <w:lang w:val="es-ES"/>
        </w:rPr>
        <w:tab/>
      </w:r>
      <w:hyperlink r:id="rId56" w:history="1">
        <w:r w:rsidRPr="00C53010">
          <w:rPr>
            <w:rStyle w:val="Hyperlink"/>
            <w:rFonts w:asciiTheme="majorBidi" w:hAnsiTheme="majorBidi" w:cstheme="majorBidi"/>
            <w:szCs w:val="24"/>
            <w:lang w:val="es-ES"/>
          </w:rPr>
          <w:t>Video</w:t>
        </w:r>
        <w:r>
          <w:rPr>
            <w:rStyle w:val="Hyperlink"/>
            <w:rFonts w:asciiTheme="majorBidi" w:hAnsiTheme="majorBidi" w:cstheme="majorBidi"/>
            <w:szCs w:val="24"/>
            <w:lang w:val="es-ES"/>
          </w:rPr>
          <w:t>mensaje del Directo</w:t>
        </w:r>
        <w:r>
          <w:rPr>
            <w:rStyle w:val="Hyperlink"/>
            <w:rFonts w:asciiTheme="majorBidi" w:hAnsiTheme="majorBidi" w:cstheme="majorBidi"/>
            <w:szCs w:val="24"/>
            <w:lang w:val="es-ES"/>
          </w:rPr>
          <w:t>r</w:t>
        </w:r>
        <w:r>
          <w:rPr>
            <w:rStyle w:val="Hyperlink"/>
            <w:rFonts w:asciiTheme="majorBidi" w:hAnsiTheme="majorBidi" w:cstheme="majorBidi"/>
            <w:szCs w:val="24"/>
            <w:lang w:val="es-ES"/>
          </w:rPr>
          <w:t xml:space="preserve"> de la BR</w:t>
        </w:r>
      </w:hyperlink>
      <w:r w:rsidRPr="00C53010">
        <w:rPr>
          <w:rFonts w:asciiTheme="majorBidi" w:hAnsiTheme="majorBidi" w:cstheme="majorBidi"/>
          <w:color w:val="000000"/>
          <w:szCs w:val="24"/>
          <w:lang w:val="es-ES"/>
        </w:rPr>
        <w:t xml:space="preserve"> </w:t>
      </w:r>
      <w:r>
        <w:rPr>
          <w:rFonts w:asciiTheme="majorBidi" w:hAnsiTheme="majorBidi" w:cstheme="majorBidi"/>
          <w:szCs w:val="24"/>
          <w:lang w:val="es-ES"/>
        </w:rPr>
        <w:t xml:space="preserve">y </w:t>
      </w:r>
      <w:hyperlink r:id="rId57" w:history="1">
        <w:r>
          <w:rPr>
            <w:rStyle w:val="Hyperlink"/>
            <w:rFonts w:asciiTheme="majorBidi" w:hAnsiTheme="majorBidi" w:cstheme="majorBidi"/>
            <w:szCs w:val="24"/>
            <w:lang w:val="es-ES"/>
          </w:rPr>
          <w:t>f</w:t>
        </w:r>
        <w:r w:rsidRPr="00C53010">
          <w:rPr>
            <w:rStyle w:val="Hyperlink"/>
            <w:rFonts w:asciiTheme="majorBidi" w:hAnsiTheme="majorBidi" w:cstheme="majorBidi"/>
            <w:szCs w:val="24"/>
            <w:lang w:val="es-ES"/>
          </w:rPr>
          <w:t>ot</w:t>
        </w:r>
        <w:r w:rsidRPr="00C53010">
          <w:rPr>
            <w:rStyle w:val="Hyperlink"/>
            <w:rFonts w:asciiTheme="majorBidi" w:hAnsiTheme="majorBidi" w:cstheme="majorBidi"/>
            <w:szCs w:val="24"/>
            <w:lang w:val="es-ES"/>
          </w:rPr>
          <w:t>o</w:t>
        </w:r>
        <w:r w:rsidRPr="00C53010">
          <w:rPr>
            <w:rStyle w:val="Hyperlink"/>
            <w:rFonts w:asciiTheme="majorBidi" w:hAnsiTheme="majorBidi" w:cstheme="majorBidi"/>
            <w:szCs w:val="24"/>
            <w:lang w:val="es-ES"/>
          </w:rPr>
          <w:t>s</w:t>
        </w:r>
      </w:hyperlink>
    </w:p>
    <w:p w:rsidR="00815C15" w:rsidRPr="00C53010" w:rsidRDefault="00815C15" w:rsidP="00815C15">
      <w:pPr>
        <w:pStyle w:val="enumlev1"/>
        <w:jc w:val="both"/>
        <w:rPr>
          <w:rFonts w:asciiTheme="majorBidi" w:hAnsiTheme="majorBidi" w:cstheme="majorBidi"/>
          <w:color w:val="000000"/>
          <w:szCs w:val="24"/>
          <w:lang w:val="es-ES"/>
        </w:rPr>
      </w:pPr>
      <w:r w:rsidRPr="00C53010">
        <w:rPr>
          <w:rFonts w:asciiTheme="majorBidi" w:hAnsiTheme="majorBidi" w:cstheme="majorBidi"/>
          <w:szCs w:val="24"/>
          <w:lang w:val="es-ES"/>
        </w:rPr>
        <w:t>–</w:t>
      </w:r>
      <w:r w:rsidRPr="00C53010">
        <w:rPr>
          <w:rFonts w:asciiTheme="majorBidi" w:hAnsiTheme="majorBidi" w:cstheme="majorBidi"/>
          <w:szCs w:val="24"/>
          <w:lang w:val="es-ES"/>
        </w:rPr>
        <w:tab/>
      </w:r>
      <w:r>
        <w:rPr>
          <w:rFonts w:asciiTheme="majorBidi" w:hAnsiTheme="majorBidi" w:cstheme="majorBidi"/>
          <w:szCs w:val="24"/>
          <w:lang w:val="es-ES"/>
        </w:rPr>
        <w:t xml:space="preserve">Mensajes en los medios sociales con el </w:t>
      </w:r>
      <w:r w:rsidRPr="00C53010">
        <w:rPr>
          <w:rFonts w:asciiTheme="majorBidi" w:hAnsiTheme="majorBidi" w:cstheme="majorBidi"/>
          <w:szCs w:val="24"/>
          <w:lang w:val="es-ES"/>
        </w:rPr>
        <w:t xml:space="preserve">hashtag </w:t>
      </w:r>
      <w:r w:rsidRPr="00C53010">
        <w:rPr>
          <w:rStyle w:val="ms-rtethemeforecolor-3-0"/>
          <w:rFonts w:asciiTheme="majorBidi" w:hAnsiTheme="majorBidi" w:cstheme="majorBidi"/>
          <w:color w:val="000000"/>
          <w:szCs w:val="24"/>
          <w:lang w:val="es-ES"/>
        </w:rPr>
        <w:t>#CCIR90ITUR</w:t>
      </w:r>
    </w:p>
    <w:p w:rsidR="00815C15" w:rsidRPr="00C53010" w:rsidRDefault="00815C15" w:rsidP="00815C15">
      <w:pPr>
        <w:pStyle w:val="enumlev1"/>
        <w:jc w:val="both"/>
        <w:rPr>
          <w:rFonts w:asciiTheme="majorBidi" w:hAnsiTheme="majorBidi" w:cstheme="majorBidi"/>
          <w:szCs w:val="24"/>
          <w:lang w:val="es-ES"/>
        </w:rPr>
      </w:pPr>
      <w:r w:rsidRPr="00C53010">
        <w:rPr>
          <w:rFonts w:asciiTheme="majorBidi" w:hAnsiTheme="majorBidi" w:cstheme="majorBidi"/>
          <w:szCs w:val="24"/>
          <w:lang w:val="es-ES"/>
        </w:rPr>
        <w:t>–</w:t>
      </w:r>
      <w:r w:rsidRPr="00C53010">
        <w:rPr>
          <w:rFonts w:asciiTheme="majorBidi" w:hAnsiTheme="majorBidi" w:cstheme="majorBidi"/>
          <w:szCs w:val="24"/>
          <w:lang w:val="es-ES"/>
        </w:rPr>
        <w:tab/>
        <w:t xml:space="preserve">3 x </w:t>
      </w:r>
      <w:hyperlink r:id="rId58" w:history="1">
        <w:r>
          <w:rPr>
            <w:rStyle w:val="Hyperlink"/>
            <w:rFonts w:asciiTheme="majorBidi" w:hAnsiTheme="majorBidi" w:cstheme="majorBidi"/>
            <w:szCs w:val="24"/>
            <w:lang w:val="es-ES"/>
          </w:rPr>
          <w:t>Grupos de deb</w:t>
        </w:r>
        <w:r>
          <w:rPr>
            <w:rStyle w:val="Hyperlink"/>
            <w:rFonts w:asciiTheme="majorBidi" w:hAnsiTheme="majorBidi" w:cstheme="majorBidi"/>
            <w:szCs w:val="24"/>
            <w:lang w:val="es-ES"/>
          </w:rPr>
          <w:t>a</w:t>
        </w:r>
        <w:r>
          <w:rPr>
            <w:rStyle w:val="Hyperlink"/>
            <w:rFonts w:asciiTheme="majorBidi" w:hAnsiTheme="majorBidi" w:cstheme="majorBidi"/>
            <w:szCs w:val="24"/>
            <w:lang w:val="es-ES"/>
          </w:rPr>
          <w:t>te y ponencias</w:t>
        </w:r>
      </w:hyperlink>
      <w:r w:rsidRPr="00C53010">
        <w:rPr>
          <w:rFonts w:asciiTheme="majorBidi" w:hAnsiTheme="majorBidi" w:cstheme="majorBidi"/>
          <w:szCs w:val="24"/>
          <w:lang w:val="es-ES"/>
        </w:rPr>
        <w:t xml:space="preserve"> </w:t>
      </w:r>
      <w:r w:rsidRPr="007F1223">
        <w:rPr>
          <w:rFonts w:asciiTheme="majorBidi" w:hAnsiTheme="majorBidi" w:cstheme="majorBidi"/>
          <w:szCs w:val="24"/>
          <w:lang w:val="es-ES"/>
        </w:rPr>
        <w:t>de miembros y representantes de la industria durante los siguientes eventos</w:t>
      </w:r>
      <w:r w:rsidRPr="00C53010">
        <w:rPr>
          <w:rFonts w:asciiTheme="majorBidi" w:hAnsiTheme="majorBidi" w:cstheme="majorBidi"/>
          <w:szCs w:val="24"/>
          <w:lang w:val="es-ES"/>
        </w:rPr>
        <w:t>:</w:t>
      </w:r>
    </w:p>
    <w:p w:rsidR="00815C15" w:rsidRPr="00C53010" w:rsidRDefault="00815C15" w:rsidP="00815C15">
      <w:pPr>
        <w:pStyle w:val="enumlev2"/>
        <w:rPr>
          <w:color w:val="000000"/>
          <w:szCs w:val="24"/>
          <w:lang w:val="es-ES"/>
        </w:rPr>
      </w:pPr>
      <w:r>
        <w:rPr>
          <w:lang w:val="es-ES"/>
        </w:rPr>
        <w:t>•</w:t>
      </w:r>
      <w:r>
        <w:rPr>
          <w:lang w:val="es-ES"/>
        </w:rPr>
        <w:tab/>
      </w:r>
      <w:r>
        <w:rPr>
          <w:color w:val="000000"/>
          <w:szCs w:val="24"/>
          <w:lang w:val="es-ES"/>
        </w:rPr>
        <w:t xml:space="preserve">Durante el Foro de la CMSI de </w:t>
      </w:r>
      <w:r w:rsidRPr="00C53010">
        <w:rPr>
          <w:color w:val="000000"/>
          <w:szCs w:val="24"/>
          <w:lang w:val="es-ES"/>
        </w:rPr>
        <w:t xml:space="preserve">2017 </w:t>
      </w:r>
      <w:r>
        <w:rPr>
          <w:color w:val="000000"/>
          <w:szCs w:val="24"/>
          <w:lang w:val="es-ES"/>
        </w:rPr>
        <w:t>e</w:t>
      </w:r>
      <w:r w:rsidRPr="00C53010">
        <w:rPr>
          <w:color w:val="000000"/>
          <w:szCs w:val="24"/>
          <w:lang w:val="es-ES"/>
        </w:rPr>
        <w:t xml:space="preserve">n </w:t>
      </w:r>
      <w:r>
        <w:rPr>
          <w:color w:val="000000"/>
          <w:szCs w:val="24"/>
          <w:lang w:val="es-ES"/>
        </w:rPr>
        <w:t>Ginebra, se celebró un</w:t>
      </w:r>
      <w:r w:rsidRPr="00C53010">
        <w:rPr>
          <w:color w:val="000000"/>
          <w:szCs w:val="24"/>
          <w:lang w:val="es-ES"/>
        </w:rPr>
        <w:t xml:space="preserve">a </w:t>
      </w:r>
      <w:hyperlink r:id="rId59" w:anchor="intro" w:history="1">
        <w:r>
          <w:rPr>
            <w:rStyle w:val="Hyperlink"/>
            <w:szCs w:val="24"/>
            <w:lang w:val="es-ES"/>
          </w:rPr>
          <w:t>Sesión de</w:t>
        </w:r>
        <w:r>
          <w:rPr>
            <w:rStyle w:val="Hyperlink"/>
            <w:szCs w:val="24"/>
            <w:lang w:val="es-ES"/>
          </w:rPr>
          <w:t xml:space="preserve"> </w:t>
        </w:r>
        <w:r>
          <w:rPr>
            <w:rStyle w:val="Hyperlink"/>
            <w:szCs w:val="24"/>
            <w:lang w:val="es-ES"/>
          </w:rPr>
          <w:t>alto nivel</w:t>
        </w:r>
      </w:hyperlink>
      <w:r w:rsidRPr="00C53010">
        <w:rPr>
          <w:color w:val="000000"/>
          <w:szCs w:val="24"/>
          <w:lang w:val="es-ES"/>
        </w:rPr>
        <w:t xml:space="preserve"> </w:t>
      </w:r>
      <w:r>
        <w:rPr>
          <w:color w:val="000000"/>
          <w:szCs w:val="24"/>
          <w:lang w:val="es-ES"/>
        </w:rPr>
        <w:t xml:space="preserve">sobre </w:t>
      </w:r>
      <w:r w:rsidRPr="00C53010">
        <w:rPr>
          <w:color w:val="000000"/>
          <w:szCs w:val="24"/>
          <w:lang w:val="es-ES"/>
        </w:rPr>
        <w:t>'</w:t>
      </w:r>
      <w:hyperlink r:id="rId60" w:anchor="intro" w:history="1">
        <w:r>
          <w:rPr>
            <w:rStyle w:val="Hyperlink"/>
            <w:szCs w:val="24"/>
          </w:rPr>
          <w:t>habilitación por la UIT de</w:t>
        </w:r>
        <w:r>
          <w:rPr>
            <w:rStyle w:val="Hyperlink"/>
            <w:szCs w:val="24"/>
          </w:rPr>
          <w:t>l</w:t>
        </w:r>
        <w:r>
          <w:rPr>
            <w:rStyle w:val="Hyperlink"/>
            <w:szCs w:val="24"/>
          </w:rPr>
          <w:t xml:space="preserve"> ecosistema in</w:t>
        </w:r>
        <w:r>
          <w:rPr>
            <w:rStyle w:val="Hyperlink"/>
            <w:szCs w:val="24"/>
          </w:rPr>
          <w:t>a</w:t>
        </w:r>
        <w:r>
          <w:rPr>
            <w:rStyle w:val="Hyperlink"/>
            <w:szCs w:val="24"/>
          </w:rPr>
          <w:t>lá</w:t>
        </w:r>
        <w:r>
          <w:rPr>
            <w:rStyle w:val="Hyperlink"/>
            <w:szCs w:val="24"/>
          </w:rPr>
          <w:t>m</w:t>
        </w:r>
        <w:r>
          <w:rPr>
            <w:rStyle w:val="Hyperlink"/>
            <w:szCs w:val="24"/>
          </w:rPr>
          <w:t>brico</w:t>
        </w:r>
      </w:hyperlink>
      <w:r>
        <w:t>'</w:t>
      </w:r>
      <w:r>
        <w:rPr>
          <w:color w:val="000000"/>
          <w:szCs w:val="24"/>
          <w:lang w:val="es-ES"/>
        </w:rPr>
        <w:t xml:space="preserve">, el </w:t>
      </w:r>
      <w:r w:rsidRPr="00C53010">
        <w:rPr>
          <w:color w:val="000000"/>
          <w:szCs w:val="24"/>
          <w:lang w:val="es-ES"/>
        </w:rPr>
        <w:t xml:space="preserve">12 </w:t>
      </w:r>
      <w:r>
        <w:rPr>
          <w:color w:val="000000"/>
          <w:szCs w:val="24"/>
          <w:lang w:val="es-ES"/>
        </w:rPr>
        <w:t xml:space="preserve">de junio de 2017. Véanse los archivos de </w:t>
      </w:r>
      <w:hyperlink r:id="rId61" w:history="1">
        <w:hyperlink r:id="rId62" w:history="1">
          <w:r>
            <w:rPr>
              <w:rStyle w:val="Hyperlink"/>
              <w:szCs w:val="24"/>
            </w:rPr>
            <w:t xml:space="preserve">difusión </w:t>
          </w:r>
          <w:r>
            <w:rPr>
              <w:rStyle w:val="Hyperlink"/>
              <w:szCs w:val="24"/>
            </w:rPr>
            <w:t>p</w:t>
          </w:r>
          <w:r>
            <w:rPr>
              <w:rStyle w:val="Hyperlink"/>
              <w:szCs w:val="24"/>
            </w:rPr>
            <w:t>o</w:t>
          </w:r>
          <w:r>
            <w:rPr>
              <w:rStyle w:val="Hyperlink"/>
              <w:szCs w:val="24"/>
            </w:rPr>
            <w:t>r la web</w:t>
          </w:r>
        </w:hyperlink>
      </w:hyperlink>
      <w:r>
        <w:rPr>
          <w:rStyle w:val="Hyperlink"/>
          <w:szCs w:val="24"/>
          <w:lang w:val="es-ES"/>
        </w:rPr>
        <w:t>.</w:t>
      </w:r>
    </w:p>
    <w:p w:rsidR="00815C15" w:rsidRPr="00C53010" w:rsidRDefault="00815C15" w:rsidP="00815C15">
      <w:pPr>
        <w:pStyle w:val="enumlev2"/>
        <w:rPr>
          <w:color w:val="000000"/>
          <w:szCs w:val="24"/>
          <w:lang w:val="es-ES"/>
        </w:rPr>
      </w:pPr>
      <w:r>
        <w:rPr>
          <w:lang w:val="es-ES"/>
        </w:rPr>
        <w:t>•</w:t>
      </w:r>
      <w:r>
        <w:rPr>
          <w:lang w:val="es-ES"/>
        </w:rPr>
        <w:tab/>
      </w:r>
      <w:r>
        <w:rPr>
          <w:color w:val="000000"/>
          <w:szCs w:val="24"/>
          <w:lang w:val="es-ES"/>
        </w:rPr>
        <w:t xml:space="preserve">Durante </w:t>
      </w:r>
      <w:r w:rsidRPr="00C53010">
        <w:rPr>
          <w:color w:val="000000"/>
          <w:szCs w:val="24"/>
          <w:lang w:val="es-ES"/>
        </w:rPr>
        <w:t>ITU Telecom World 2017 (Bus</w:t>
      </w:r>
      <w:r>
        <w:rPr>
          <w:color w:val="000000"/>
          <w:szCs w:val="24"/>
          <w:lang w:val="es-ES"/>
        </w:rPr>
        <w:t>á</w:t>
      </w:r>
      <w:r w:rsidRPr="00C53010">
        <w:rPr>
          <w:color w:val="000000"/>
          <w:szCs w:val="24"/>
          <w:lang w:val="es-ES"/>
        </w:rPr>
        <w:t>n</w:t>
      </w:r>
      <w:r>
        <w:rPr>
          <w:color w:val="000000"/>
          <w:szCs w:val="24"/>
          <w:lang w:val="es-ES"/>
        </w:rPr>
        <w:t>, Corea del Sur</w:t>
      </w:r>
      <w:r w:rsidRPr="00C53010">
        <w:rPr>
          <w:color w:val="000000"/>
          <w:szCs w:val="24"/>
          <w:lang w:val="es-ES"/>
        </w:rPr>
        <w:t xml:space="preserve">): </w:t>
      </w:r>
      <w:r>
        <w:rPr>
          <w:color w:val="000000"/>
          <w:szCs w:val="24"/>
          <w:lang w:val="es-ES"/>
        </w:rPr>
        <w:t>se organizó un grupo de debate sobre el tema</w:t>
      </w:r>
      <w:r w:rsidRPr="00CC6916">
        <w:rPr>
          <w:color w:val="000000"/>
          <w:szCs w:val="24"/>
          <w:lang w:val="es-ES"/>
        </w:rPr>
        <w:t xml:space="preserve">: </w:t>
      </w:r>
      <w:r>
        <w:rPr>
          <w:color w:val="000000"/>
          <w:szCs w:val="24"/>
          <w:lang w:val="es-ES"/>
        </w:rPr>
        <w:t>"Fomento y definición del ecosistema inalámbrico</w:t>
      </w:r>
      <w:r w:rsidRPr="00C53010">
        <w:rPr>
          <w:color w:val="000000"/>
          <w:szCs w:val="24"/>
          <w:lang w:val="es-ES"/>
        </w:rPr>
        <w:t xml:space="preserve">: </w:t>
      </w:r>
      <w:r>
        <w:rPr>
          <w:color w:val="000000"/>
          <w:szCs w:val="24"/>
          <w:lang w:val="es-ES"/>
        </w:rPr>
        <w:t xml:space="preserve">Celebración del </w:t>
      </w:r>
      <w:r w:rsidRPr="00C53010">
        <w:rPr>
          <w:color w:val="000000"/>
          <w:szCs w:val="24"/>
          <w:lang w:val="es-ES"/>
        </w:rPr>
        <w:t>90</w:t>
      </w:r>
      <w:r>
        <w:rPr>
          <w:color w:val="000000"/>
          <w:szCs w:val="24"/>
          <w:lang w:val="es-ES"/>
        </w:rPr>
        <w:t xml:space="preserve">ª aniversario de las Comisiones de Estudio del </w:t>
      </w:r>
      <w:r w:rsidRPr="00C53010">
        <w:rPr>
          <w:color w:val="000000"/>
          <w:szCs w:val="24"/>
          <w:lang w:val="es-ES"/>
        </w:rPr>
        <w:t>CCIR/</w:t>
      </w:r>
      <w:r>
        <w:rPr>
          <w:color w:val="000000"/>
          <w:szCs w:val="24"/>
          <w:lang w:val="es-ES"/>
        </w:rPr>
        <w:t>U</w:t>
      </w:r>
      <w:r w:rsidRPr="00C53010">
        <w:rPr>
          <w:color w:val="000000"/>
          <w:szCs w:val="24"/>
          <w:lang w:val="es-ES"/>
        </w:rPr>
        <w:t>IT-R</w:t>
      </w:r>
      <w:r>
        <w:rPr>
          <w:color w:val="000000"/>
          <w:szCs w:val="24"/>
          <w:lang w:val="es-ES"/>
        </w:rPr>
        <w:t xml:space="preserve">", el </w:t>
      </w:r>
      <w:r w:rsidRPr="00C53010">
        <w:rPr>
          <w:color w:val="000000"/>
          <w:szCs w:val="24"/>
          <w:lang w:val="es-ES"/>
        </w:rPr>
        <w:t xml:space="preserve">27 </w:t>
      </w:r>
      <w:r>
        <w:rPr>
          <w:color w:val="000000"/>
          <w:szCs w:val="24"/>
          <w:lang w:val="es-ES"/>
        </w:rPr>
        <w:t xml:space="preserve">de septiembre de </w:t>
      </w:r>
      <w:r w:rsidRPr="00C53010">
        <w:rPr>
          <w:color w:val="000000"/>
          <w:szCs w:val="24"/>
          <w:lang w:val="es-ES"/>
        </w:rPr>
        <w:t xml:space="preserve">2017. </w:t>
      </w:r>
    </w:p>
    <w:p w:rsidR="00815C15" w:rsidRPr="00C53010" w:rsidRDefault="00815C15" w:rsidP="00815C15">
      <w:pPr>
        <w:pStyle w:val="enumlev2"/>
        <w:rPr>
          <w:szCs w:val="24"/>
          <w:lang w:val="es-ES"/>
        </w:rPr>
      </w:pPr>
      <w:r>
        <w:rPr>
          <w:lang w:val="es-ES"/>
        </w:rPr>
        <w:t>•</w:t>
      </w:r>
      <w:r>
        <w:rPr>
          <w:lang w:val="es-ES"/>
        </w:rPr>
        <w:tab/>
      </w:r>
      <w:r>
        <w:rPr>
          <w:szCs w:val="24"/>
          <w:lang w:val="es-ES"/>
        </w:rPr>
        <w:t xml:space="preserve">La ceremonia propiamente dicha del </w:t>
      </w:r>
      <w:r w:rsidRPr="00C53010">
        <w:rPr>
          <w:szCs w:val="24"/>
          <w:lang w:val="es-ES"/>
        </w:rPr>
        <w:t>90</w:t>
      </w:r>
      <w:r>
        <w:rPr>
          <w:szCs w:val="24"/>
          <w:lang w:val="es-ES"/>
        </w:rPr>
        <w:t>ª</w:t>
      </w:r>
      <w:r w:rsidRPr="00C53010">
        <w:rPr>
          <w:szCs w:val="24"/>
          <w:lang w:val="es-ES"/>
        </w:rPr>
        <w:t xml:space="preserve"> </w:t>
      </w:r>
      <w:r>
        <w:rPr>
          <w:szCs w:val="24"/>
          <w:lang w:val="es-ES"/>
        </w:rPr>
        <w:t xml:space="preserve">aniversario de las Comisiones de Estudio del </w:t>
      </w:r>
      <w:r w:rsidRPr="00C53010">
        <w:rPr>
          <w:rStyle w:val="Strong"/>
          <w:b w:val="0"/>
          <w:bCs w:val="0"/>
          <w:color w:val="000000"/>
          <w:szCs w:val="24"/>
          <w:lang w:val="es-ES"/>
        </w:rPr>
        <w:t>CCIR/</w:t>
      </w:r>
      <w:r>
        <w:rPr>
          <w:rStyle w:val="Strong"/>
          <w:b w:val="0"/>
          <w:bCs w:val="0"/>
          <w:color w:val="000000"/>
          <w:szCs w:val="24"/>
          <w:lang w:val="es-ES"/>
        </w:rPr>
        <w:t>U</w:t>
      </w:r>
      <w:r w:rsidRPr="00C53010">
        <w:rPr>
          <w:rStyle w:val="Strong"/>
          <w:b w:val="0"/>
          <w:bCs w:val="0"/>
          <w:color w:val="000000"/>
          <w:szCs w:val="24"/>
          <w:lang w:val="es-ES"/>
        </w:rPr>
        <w:t xml:space="preserve">IT-R </w:t>
      </w:r>
      <w:r w:rsidRPr="00C53010">
        <w:rPr>
          <w:szCs w:val="24"/>
          <w:lang w:val="es-ES"/>
        </w:rPr>
        <w:t>(1927-2017)</w:t>
      </w:r>
      <w:r>
        <w:rPr>
          <w:szCs w:val="24"/>
          <w:lang w:val="es-ES"/>
        </w:rPr>
        <w:t xml:space="preserve">, con discursos importantes y un grupo de debate de la industria, con ocasión del Taller </w:t>
      </w:r>
      <w:r w:rsidRPr="00C53010">
        <w:rPr>
          <w:szCs w:val="24"/>
          <w:lang w:val="es-ES"/>
        </w:rPr>
        <w:t xml:space="preserve">Interregional </w:t>
      </w:r>
      <w:r>
        <w:rPr>
          <w:szCs w:val="24"/>
          <w:lang w:val="es-ES"/>
        </w:rPr>
        <w:t>sobre la preparación de la CMR</w:t>
      </w:r>
      <w:r w:rsidRPr="00C53010">
        <w:rPr>
          <w:szCs w:val="24"/>
          <w:lang w:val="es-ES"/>
        </w:rPr>
        <w:t>-19</w:t>
      </w:r>
      <w:r>
        <w:rPr>
          <w:szCs w:val="24"/>
          <w:lang w:val="es-ES"/>
        </w:rPr>
        <w:t xml:space="preserve">, el </w:t>
      </w:r>
      <w:r w:rsidRPr="00C53010">
        <w:rPr>
          <w:szCs w:val="24"/>
          <w:lang w:val="es-ES"/>
        </w:rPr>
        <w:t xml:space="preserve">21 </w:t>
      </w:r>
      <w:r>
        <w:rPr>
          <w:szCs w:val="24"/>
          <w:lang w:val="es-ES"/>
        </w:rPr>
        <w:t xml:space="preserve">de noviembre de </w:t>
      </w:r>
      <w:r w:rsidRPr="00C53010">
        <w:rPr>
          <w:szCs w:val="24"/>
          <w:lang w:val="es-ES"/>
        </w:rPr>
        <w:t>2017 (</w:t>
      </w:r>
      <w:r>
        <w:rPr>
          <w:szCs w:val="24"/>
          <w:lang w:val="es-ES"/>
        </w:rPr>
        <w:t>Sede de la UIT en Ginebra</w:t>
      </w:r>
      <w:r w:rsidRPr="00C53010">
        <w:rPr>
          <w:szCs w:val="24"/>
          <w:lang w:val="es-ES"/>
        </w:rPr>
        <w:t xml:space="preserve">). </w:t>
      </w:r>
      <w:r>
        <w:rPr>
          <w:szCs w:val="24"/>
          <w:lang w:val="es-ES"/>
        </w:rPr>
        <w:t xml:space="preserve">Véanse los </w:t>
      </w:r>
      <w:hyperlink r:id="rId63" w:tgtFrame="_blank" w:history="1">
        <w:r>
          <w:rPr>
            <w:rStyle w:val="Hyperlink"/>
            <w:szCs w:val="24"/>
          </w:rPr>
          <w:t>arc</w:t>
        </w:r>
        <w:r>
          <w:rPr>
            <w:rStyle w:val="Hyperlink"/>
            <w:szCs w:val="24"/>
          </w:rPr>
          <w:t>h</w:t>
        </w:r>
        <w:r>
          <w:rPr>
            <w:rStyle w:val="Hyperlink"/>
            <w:szCs w:val="24"/>
          </w:rPr>
          <w:t>i</w:t>
        </w:r>
        <w:r>
          <w:rPr>
            <w:rStyle w:val="Hyperlink"/>
            <w:szCs w:val="24"/>
          </w:rPr>
          <w:t>vo</w:t>
        </w:r>
        <w:r w:rsidRPr="00FE3B1B">
          <w:rPr>
            <w:rStyle w:val="Hyperlink"/>
            <w:szCs w:val="24"/>
          </w:rPr>
          <w:t>s</w:t>
        </w:r>
      </w:hyperlink>
      <w:r>
        <w:rPr>
          <w:color w:val="000000"/>
          <w:szCs w:val="24"/>
          <w:lang w:val="es-ES"/>
        </w:rPr>
        <w:t xml:space="preserve"> </w:t>
      </w:r>
      <w:r w:rsidRPr="00E62ACA">
        <w:rPr>
          <w:szCs w:val="24"/>
          <w:lang w:val="es-ES"/>
        </w:rPr>
        <w:t xml:space="preserve">de </w:t>
      </w:r>
      <w:hyperlink r:id="rId64" w:tgtFrame="_blank" w:history="1">
        <w:r w:rsidRPr="00E62ACA">
          <w:t>difusión</w:t>
        </w:r>
      </w:hyperlink>
      <w:r w:rsidRPr="00E62ACA">
        <w:t xml:space="preserve"> por la web. </w:t>
      </w:r>
      <w:r>
        <w:rPr>
          <w:szCs w:val="24"/>
          <w:lang w:val="es-ES"/>
        </w:rPr>
        <w:t xml:space="preserve">Asistieron a este evento </w:t>
      </w:r>
      <w:r w:rsidRPr="00C53010">
        <w:rPr>
          <w:szCs w:val="24"/>
          <w:lang w:val="es-ES"/>
        </w:rPr>
        <w:t>357 participant</w:t>
      </w:r>
      <w:r>
        <w:rPr>
          <w:szCs w:val="24"/>
          <w:lang w:val="es-ES"/>
        </w:rPr>
        <w:t>e</w:t>
      </w:r>
      <w:r w:rsidRPr="00C53010">
        <w:rPr>
          <w:szCs w:val="24"/>
          <w:lang w:val="es-ES"/>
        </w:rPr>
        <w:t xml:space="preserve">s </w:t>
      </w:r>
      <w:r>
        <w:rPr>
          <w:szCs w:val="24"/>
          <w:lang w:val="es-ES"/>
        </w:rPr>
        <w:t xml:space="preserve">de </w:t>
      </w:r>
      <w:r w:rsidRPr="00C53010">
        <w:rPr>
          <w:szCs w:val="24"/>
          <w:lang w:val="es-ES"/>
        </w:rPr>
        <w:t xml:space="preserve">59 </w:t>
      </w:r>
      <w:r>
        <w:rPr>
          <w:szCs w:val="24"/>
          <w:lang w:val="es-ES"/>
        </w:rPr>
        <w:t xml:space="preserve">Estados Miembros y </w:t>
      </w:r>
      <w:r w:rsidRPr="00C53010">
        <w:rPr>
          <w:szCs w:val="24"/>
          <w:lang w:val="es-ES"/>
        </w:rPr>
        <w:t xml:space="preserve">47 </w:t>
      </w:r>
      <w:r>
        <w:rPr>
          <w:szCs w:val="24"/>
          <w:lang w:val="es-ES"/>
        </w:rPr>
        <w:t xml:space="preserve">Miembros de </w:t>
      </w:r>
      <w:r w:rsidRPr="00C53010">
        <w:rPr>
          <w:szCs w:val="24"/>
          <w:lang w:val="es-ES"/>
        </w:rPr>
        <w:t xml:space="preserve">Sector. </w:t>
      </w:r>
    </w:p>
    <w:p w:rsidR="00FA7C73" w:rsidRPr="00C53010" w:rsidRDefault="00815C15" w:rsidP="00815C15">
      <w:pPr>
        <w:rPr>
          <w:lang w:val="es-ES"/>
        </w:rPr>
      </w:pPr>
      <w:r>
        <w:rPr>
          <w:lang w:val="es-ES"/>
        </w:rPr>
        <w:t>Estas celebraciones dieron la oportunidad de mostrar el papel esencial de las actividades del U</w:t>
      </w:r>
      <w:r w:rsidRPr="00C53010">
        <w:rPr>
          <w:lang w:val="es-ES"/>
        </w:rPr>
        <w:t xml:space="preserve">IT-R </w:t>
      </w:r>
      <w:r>
        <w:rPr>
          <w:lang w:val="es-ES"/>
        </w:rPr>
        <w:t>y procesos para fomentar y definir el desarrollo sostenible del ecosistema de radiocomunicaciones en el mundo</w:t>
      </w:r>
      <w:r w:rsidRPr="00C53010">
        <w:rPr>
          <w:lang w:val="es-ES"/>
        </w:rPr>
        <w:t>.</w:t>
      </w:r>
    </w:p>
    <w:p w:rsidR="00FA7C73" w:rsidRPr="00C53010" w:rsidRDefault="00FA7C73" w:rsidP="002E23D8">
      <w:pPr>
        <w:pStyle w:val="Heading4"/>
        <w:rPr>
          <w:lang w:val="es-ES"/>
        </w:rPr>
      </w:pPr>
      <w:r w:rsidRPr="00C53010">
        <w:rPr>
          <w:lang w:val="es-ES"/>
        </w:rPr>
        <w:t>8.6.2.4</w:t>
      </w:r>
      <w:r w:rsidRPr="00C53010">
        <w:rPr>
          <w:lang w:val="es-ES"/>
        </w:rPr>
        <w:tab/>
      </w:r>
      <w:r w:rsidR="002E23D8">
        <w:rPr>
          <w:lang w:val="es-ES"/>
        </w:rPr>
        <w:t>Exposiciones y demostraciones</w:t>
      </w:r>
    </w:p>
    <w:p w:rsidR="00FA7C73" w:rsidRPr="00C53010" w:rsidRDefault="002E23D8" w:rsidP="00FA6FC7">
      <w:pPr>
        <w:rPr>
          <w:lang w:val="es-ES"/>
        </w:rPr>
      </w:pPr>
      <w:r>
        <w:rPr>
          <w:color w:val="000000"/>
          <w:lang w:val="es-ES"/>
        </w:rPr>
        <w:t>Con ocasión de</w:t>
      </w:r>
      <w:r w:rsidR="00FA7C73" w:rsidRPr="00C53010">
        <w:rPr>
          <w:color w:val="000000"/>
          <w:lang w:val="es-ES"/>
        </w:rPr>
        <w:t xml:space="preserve"> ITU Telecom World 2017 (Bus</w:t>
      </w:r>
      <w:r>
        <w:rPr>
          <w:color w:val="000000"/>
          <w:lang w:val="es-ES"/>
        </w:rPr>
        <w:t>á</w:t>
      </w:r>
      <w:r w:rsidR="00FA7C73" w:rsidRPr="00C53010">
        <w:rPr>
          <w:color w:val="000000"/>
          <w:lang w:val="es-ES"/>
        </w:rPr>
        <w:t>n</w:t>
      </w:r>
      <w:r w:rsidR="001B0E79">
        <w:rPr>
          <w:color w:val="000000"/>
          <w:lang w:val="es-ES"/>
        </w:rPr>
        <w:t xml:space="preserve">, </w:t>
      </w:r>
      <w:r>
        <w:rPr>
          <w:color w:val="000000"/>
          <w:lang w:val="es-ES"/>
        </w:rPr>
        <w:t>Corea del Sur</w:t>
      </w:r>
      <w:r w:rsidR="00FA7C73" w:rsidRPr="00C53010">
        <w:rPr>
          <w:color w:val="000000"/>
          <w:lang w:val="es-ES"/>
        </w:rPr>
        <w:t>)</w:t>
      </w:r>
      <w:r w:rsidR="001B0E79">
        <w:rPr>
          <w:color w:val="000000"/>
          <w:lang w:val="es-ES"/>
        </w:rPr>
        <w:t xml:space="preserve">, </w:t>
      </w:r>
      <w:r>
        <w:rPr>
          <w:color w:val="000000"/>
          <w:lang w:val="es-ES"/>
        </w:rPr>
        <w:t xml:space="preserve">la </w:t>
      </w:r>
      <w:r w:rsidR="00FA7C73" w:rsidRPr="00C53010">
        <w:rPr>
          <w:color w:val="000000"/>
          <w:lang w:val="es-ES"/>
        </w:rPr>
        <w:t xml:space="preserve">BR </w:t>
      </w:r>
      <w:r>
        <w:rPr>
          <w:color w:val="000000"/>
          <w:lang w:val="es-ES"/>
        </w:rPr>
        <w:t xml:space="preserve">y la </w:t>
      </w:r>
      <w:r w:rsidR="00FA7C73" w:rsidRPr="00C53010">
        <w:rPr>
          <w:color w:val="000000"/>
          <w:lang w:val="es-ES"/>
        </w:rPr>
        <w:t xml:space="preserve">BDT </w:t>
      </w:r>
      <w:r>
        <w:rPr>
          <w:color w:val="000000"/>
          <w:lang w:val="es-ES"/>
        </w:rPr>
        <w:t>compartieron un pabellón U</w:t>
      </w:r>
      <w:r w:rsidR="00FA7C73" w:rsidRPr="00C53010">
        <w:rPr>
          <w:rFonts w:asciiTheme="majorBidi" w:hAnsiTheme="majorBidi" w:cstheme="majorBidi"/>
          <w:lang w:val="es-ES"/>
        </w:rPr>
        <w:t>IT-R/</w:t>
      </w:r>
      <w:r>
        <w:rPr>
          <w:rFonts w:asciiTheme="majorBidi" w:hAnsiTheme="majorBidi" w:cstheme="majorBidi"/>
          <w:lang w:val="es-ES"/>
        </w:rPr>
        <w:t>U</w:t>
      </w:r>
      <w:r w:rsidR="00FA7C73" w:rsidRPr="00C53010">
        <w:rPr>
          <w:rFonts w:asciiTheme="majorBidi" w:hAnsiTheme="majorBidi" w:cstheme="majorBidi"/>
          <w:lang w:val="es-ES"/>
        </w:rPr>
        <w:t>IT-D</w:t>
      </w:r>
      <w:r w:rsidR="001B0E79">
        <w:rPr>
          <w:rFonts w:asciiTheme="majorBidi" w:hAnsiTheme="majorBidi" w:cstheme="majorBidi"/>
          <w:lang w:val="es-ES"/>
        </w:rPr>
        <w:t xml:space="preserve">, </w:t>
      </w:r>
      <w:r>
        <w:rPr>
          <w:rFonts w:asciiTheme="majorBidi" w:hAnsiTheme="majorBidi" w:cstheme="majorBidi"/>
          <w:lang w:val="es-ES"/>
        </w:rPr>
        <w:t xml:space="preserve">con puestos de Miembros de </w:t>
      </w:r>
      <w:r w:rsidR="00FA7C73" w:rsidRPr="00C53010">
        <w:rPr>
          <w:lang w:val="es-ES"/>
        </w:rPr>
        <w:t>Sector (ATDI</w:t>
      </w:r>
      <w:r w:rsidR="001B0E79">
        <w:rPr>
          <w:lang w:val="es-ES"/>
        </w:rPr>
        <w:t xml:space="preserve">, </w:t>
      </w:r>
      <w:r w:rsidR="00FA7C73" w:rsidRPr="00C53010">
        <w:rPr>
          <w:lang w:val="es-ES"/>
        </w:rPr>
        <w:t>ATU</w:t>
      </w:r>
      <w:r w:rsidR="001B0E79">
        <w:rPr>
          <w:lang w:val="es-ES"/>
        </w:rPr>
        <w:t xml:space="preserve">, </w:t>
      </w:r>
      <w:r w:rsidR="00FA7C73" w:rsidRPr="00C53010">
        <w:rPr>
          <w:lang w:val="es-ES"/>
        </w:rPr>
        <w:t>CTO</w:t>
      </w:r>
      <w:r w:rsidR="001B0E79">
        <w:rPr>
          <w:lang w:val="es-ES"/>
        </w:rPr>
        <w:t xml:space="preserve">, </w:t>
      </w:r>
      <w:r w:rsidR="00FA7C73" w:rsidRPr="00C53010">
        <w:rPr>
          <w:lang w:val="es-ES"/>
        </w:rPr>
        <w:t>GSMA</w:t>
      </w:r>
      <w:r w:rsidR="001B0E79">
        <w:rPr>
          <w:lang w:val="es-ES"/>
        </w:rPr>
        <w:t xml:space="preserve">, </w:t>
      </w:r>
      <w:r w:rsidR="00FA7C73" w:rsidRPr="00C53010">
        <w:rPr>
          <w:lang w:val="es-ES"/>
        </w:rPr>
        <w:t>ICT Volunteers</w:t>
      </w:r>
      <w:r w:rsidR="001B0E79">
        <w:rPr>
          <w:lang w:val="es-ES"/>
        </w:rPr>
        <w:t xml:space="preserve">, </w:t>
      </w:r>
      <w:r w:rsidR="00FA7C73" w:rsidRPr="00C53010">
        <w:rPr>
          <w:lang w:val="es-ES"/>
        </w:rPr>
        <w:t>LS telcom</w:t>
      </w:r>
      <w:r w:rsidR="001B0E79">
        <w:rPr>
          <w:lang w:val="es-ES"/>
        </w:rPr>
        <w:t xml:space="preserve">, </w:t>
      </w:r>
      <w:r w:rsidR="00FA7C73" w:rsidRPr="00C53010">
        <w:rPr>
          <w:lang w:val="es-ES"/>
        </w:rPr>
        <w:t>NTT Korea</w:t>
      </w:r>
      <w:r w:rsidR="001B0E79">
        <w:rPr>
          <w:lang w:val="es-ES"/>
        </w:rPr>
        <w:t xml:space="preserve">, </w:t>
      </w:r>
      <w:r w:rsidR="00FA7C73" w:rsidRPr="00C53010">
        <w:rPr>
          <w:lang w:val="es-ES"/>
        </w:rPr>
        <w:t>PITA</w:t>
      </w:r>
      <w:r w:rsidR="001B0E79">
        <w:rPr>
          <w:lang w:val="es-ES"/>
        </w:rPr>
        <w:t xml:space="preserve">, </w:t>
      </w:r>
      <w:r w:rsidR="00FA7C73" w:rsidRPr="00C53010">
        <w:rPr>
          <w:lang w:val="es-ES"/>
        </w:rPr>
        <w:t xml:space="preserve">Rohde&amp;Schwarz </w:t>
      </w:r>
      <w:r>
        <w:rPr>
          <w:lang w:val="es-ES"/>
        </w:rPr>
        <w:t xml:space="preserve">y </w:t>
      </w:r>
      <w:r w:rsidR="00FA7C73" w:rsidRPr="00C53010">
        <w:rPr>
          <w:lang w:val="es-ES"/>
        </w:rPr>
        <w:t>Vodafone Egypt)</w:t>
      </w:r>
      <w:r w:rsidR="001B0E79">
        <w:rPr>
          <w:lang w:val="es-ES"/>
        </w:rPr>
        <w:t xml:space="preserve">, </w:t>
      </w:r>
      <w:r>
        <w:rPr>
          <w:lang w:val="es-ES"/>
        </w:rPr>
        <w:t xml:space="preserve">y el Quiosco de la </w:t>
      </w:r>
      <w:r w:rsidR="00FA7C73" w:rsidRPr="00C53010">
        <w:rPr>
          <w:lang w:val="es-ES"/>
        </w:rPr>
        <w:lastRenderedPageBreak/>
        <w:t>ITU</w:t>
      </w:r>
      <w:r w:rsidR="001B0E79">
        <w:rPr>
          <w:lang w:val="es-ES"/>
        </w:rPr>
        <w:t xml:space="preserve">, </w:t>
      </w:r>
      <w:r>
        <w:rPr>
          <w:lang w:val="es-ES"/>
        </w:rPr>
        <w:t xml:space="preserve">donde se expusieron más de </w:t>
      </w:r>
      <w:r w:rsidR="00FA7C73" w:rsidRPr="00C53010">
        <w:rPr>
          <w:lang w:val="es-ES"/>
        </w:rPr>
        <w:t xml:space="preserve">13 </w:t>
      </w:r>
      <w:r>
        <w:rPr>
          <w:lang w:val="es-ES"/>
        </w:rPr>
        <w:t xml:space="preserve">letreros que describían las actividades y los logros de las Comisiones de Estudio del </w:t>
      </w:r>
      <w:r w:rsidR="00FA7C73" w:rsidRPr="00C53010">
        <w:rPr>
          <w:lang w:val="es-ES"/>
        </w:rPr>
        <w:t>CCIR/</w:t>
      </w:r>
      <w:r>
        <w:rPr>
          <w:lang w:val="es-ES"/>
        </w:rPr>
        <w:t>U</w:t>
      </w:r>
      <w:r w:rsidR="00FA7C73" w:rsidRPr="00C53010">
        <w:rPr>
          <w:lang w:val="es-ES"/>
        </w:rPr>
        <w:t>IT-R.</w:t>
      </w:r>
    </w:p>
    <w:p w:rsidR="00FA7C73" w:rsidRPr="00C53010" w:rsidRDefault="002E23D8" w:rsidP="00FA6FC7">
      <w:pPr>
        <w:rPr>
          <w:lang w:val="es-ES"/>
        </w:rPr>
      </w:pPr>
      <w:r>
        <w:rPr>
          <w:lang w:val="es-ES"/>
        </w:rPr>
        <w:t>Además</w:t>
      </w:r>
      <w:r w:rsidR="001B0E79">
        <w:rPr>
          <w:lang w:val="es-ES"/>
        </w:rPr>
        <w:t xml:space="preserve">, </w:t>
      </w:r>
      <w:r>
        <w:rPr>
          <w:lang w:val="es-ES"/>
        </w:rPr>
        <w:t xml:space="preserve">la Comisión de Estudio 6 (CE6) del UIT-R organizó un día de demostraciones en una sesión especial en honor de los </w:t>
      </w:r>
      <w:r w:rsidR="00FA7C73" w:rsidRPr="00C53010">
        <w:rPr>
          <w:color w:val="000000"/>
          <w:lang w:val="es-ES" w:eastAsia="zh-CN"/>
        </w:rPr>
        <w:t xml:space="preserve">90 </w:t>
      </w:r>
      <w:r>
        <w:rPr>
          <w:color w:val="000000"/>
          <w:lang w:val="es-ES" w:eastAsia="zh-CN"/>
        </w:rPr>
        <w:t xml:space="preserve">años del </w:t>
      </w:r>
      <w:r w:rsidR="00FA7C73" w:rsidRPr="00C53010">
        <w:rPr>
          <w:color w:val="000000"/>
          <w:lang w:val="es-ES" w:eastAsia="zh-CN"/>
        </w:rPr>
        <w:t xml:space="preserve">CCIR </w:t>
      </w:r>
      <w:r>
        <w:rPr>
          <w:color w:val="000000"/>
          <w:lang w:val="es-ES" w:eastAsia="zh-CN"/>
        </w:rPr>
        <w:t xml:space="preserve">y </w:t>
      </w:r>
      <w:r w:rsidR="00FA7C73" w:rsidRPr="00C53010">
        <w:rPr>
          <w:color w:val="000000"/>
          <w:lang w:val="es-ES" w:eastAsia="zh-CN"/>
        </w:rPr>
        <w:t xml:space="preserve">45 </w:t>
      </w:r>
      <w:r>
        <w:rPr>
          <w:color w:val="000000"/>
          <w:lang w:val="es-ES" w:eastAsia="zh-CN"/>
        </w:rPr>
        <w:t xml:space="preserve">años de estudios de la </w:t>
      </w:r>
      <w:r w:rsidR="00FA7C73" w:rsidRPr="00C53010">
        <w:rPr>
          <w:color w:val="000000"/>
          <w:lang w:val="es-ES" w:eastAsia="zh-CN"/>
        </w:rPr>
        <w:t>TV</w:t>
      </w:r>
      <w:r>
        <w:rPr>
          <w:color w:val="000000"/>
          <w:lang w:val="es-ES" w:eastAsia="zh-CN"/>
        </w:rPr>
        <w:t>HD</w:t>
      </w:r>
      <w:r w:rsidR="00FA7C73" w:rsidRPr="00C53010">
        <w:rPr>
          <w:color w:val="000000"/>
          <w:lang w:val="es-ES" w:eastAsia="zh-CN"/>
        </w:rPr>
        <w:t>.</w:t>
      </w:r>
    </w:p>
    <w:p w:rsidR="00FA7C73" w:rsidRPr="00C53010" w:rsidRDefault="00FA7C73" w:rsidP="001F3A94">
      <w:pPr>
        <w:jc w:val="center"/>
        <w:rPr>
          <w:lang w:val="es-ES"/>
        </w:rPr>
      </w:pPr>
      <w:r w:rsidRPr="00C53010">
        <w:rPr>
          <w:lang w:val="es-ES"/>
        </w:rPr>
        <w:t>______________</w:t>
      </w:r>
    </w:p>
    <w:p w:rsidR="00FA7C73" w:rsidRPr="00C53010" w:rsidRDefault="00FA7C73" w:rsidP="001F3A94">
      <w:pPr>
        <w:tabs>
          <w:tab w:val="clear" w:pos="794"/>
          <w:tab w:val="clear" w:pos="1191"/>
          <w:tab w:val="clear" w:pos="1588"/>
          <w:tab w:val="clear" w:pos="1985"/>
        </w:tabs>
        <w:overflowPunct/>
        <w:autoSpaceDE/>
        <w:autoSpaceDN/>
        <w:adjustRightInd/>
        <w:spacing w:before="0"/>
        <w:textAlignment w:val="auto"/>
        <w:rPr>
          <w:lang w:val="es-ES"/>
        </w:rPr>
      </w:pPr>
      <w:r w:rsidRPr="00C53010">
        <w:rPr>
          <w:lang w:val="es-ES"/>
        </w:rPr>
        <w:br w:type="page"/>
      </w:r>
    </w:p>
    <w:tbl>
      <w:tblPr>
        <w:tblW w:w="0" w:type="auto"/>
        <w:tblLook w:val="04A0" w:firstRow="1" w:lastRow="0" w:firstColumn="1" w:lastColumn="0" w:noHBand="0" w:noVBand="1"/>
      </w:tblPr>
      <w:tblGrid>
        <w:gridCol w:w="9350"/>
      </w:tblGrid>
      <w:tr w:rsidR="00FA7C73" w:rsidRPr="00C53010" w:rsidTr="003045E9">
        <w:trPr>
          <w:cantSplit/>
        </w:trPr>
        <w:tc>
          <w:tcPr>
            <w:tcW w:w="9350" w:type="dxa"/>
          </w:tcPr>
          <w:p w:rsidR="00C53010" w:rsidRPr="00C53010" w:rsidRDefault="00C53010" w:rsidP="00C53010">
            <w:pPr>
              <w:pStyle w:val="AnnexNo"/>
              <w:rPr>
                <w:lang w:val="es-ES"/>
              </w:rPr>
            </w:pPr>
            <w:r w:rsidRPr="00C53010">
              <w:rPr>
                <w:lang w:val="es-ES"/>
              </w:rPr>
              <w:lastRenderedPageBreak/>
              <w:t>ANEXO 1</w:t>
            </w:r>
          </w:p>
          <w:tbl>
            <w:tblPr>
              <w:tblStyle w:val="TableGrid9"/>
              <w:tblW w:w="0" w:type="auto"/>
              <w:tblLook w:val="04A0" w:firstRow="1" w:lastRow="0" w:firstColumn="1" w:lastColumn="0" w:noHBand="0" w:noVBand="1"/>
            </w:tblPr>
            <w:tblGrid>
              <w:gridCol w:w="9124"/>
            </w:tblGrid>
            <w:tr w:rsidR="00C53010" w:rsidRPr="00C53010" w:rsidTr="0049238B">
              <w:tc>
                <w:tcPr>
                  <w:tcW w:w="9184" w:type="dxa"/>
                </w:tcPr>
                <w:p w:rsidR="00C53010" w:rsidRPr="00C53010" w:rsidRDefault="00C53010" w:rsidP="00C53010">
                  <w:pPr>
                    <w:jc w:val="center"/>
                    <w:rPr>
                      <w:b/>
                      <w:szCs w:val="24"/>
                      <w:lang w:val="es-ES"/>
                    </w:rPr>
                  </w:pPr>
                  <w:r w:rsidRPr="00C53010">
                    <w:rPr>
                      <w:b/>
                      <w:lang w:val="es-ES"/>
                    </w:rPr>
                    <w:t xml:space="preserve">Informe sobre el avance de los trabajos de la BR para los sistemas de </w:t>
                  </w:r>
                  <w:r w:rsidRPr="00C53010">
                    <w:rPr>
                      <w:b/>
                      <w:lang w:val="es-ES"/>
                    </w:rPr>
                    <w:br/>
                    <w:t>información espacial</w:t>
                  </w:r>
                </w:p>
              </w:tc>
            </w:tr>
            <w:tr w:rsidR="00C53010" w:rsidRPr="00C53010" w:rsidTr="0049238B">
              <w:tc>
                <w:tcPr>
                  <w:tcW w:w="9184" w:type="dxa"/>
                </w:tcPr>
                <w:p w:rsidR="00C53010" w:rsidRPr="00C53010" w:rsidRDefault="00C53010" w:rsidP="00C53010">
                  <w:pPr>
                    <w:jc w:val="center"/>
                    <w:rPr>
                      <w:b/>
                      <w:szCs w:val="24"/>
                      <w:lang w:val="es-ES"/>
                    </w:rPr>
                  </w:pPr>
                  <w:r w:rsidRPr="00C53010">
                    <w:rPr>
                      <w:b/>
                      <w:lang w:val="es-ES"/>
                    </w:rPr>
                    <w:t>Fase 2: 1 de abril de 2012 – 31 de diciembre de 2015</w:t>
                  </w:r>
                </w:p>
              </w:tc>
            </w:tr>
            <w:tr w:rsidR="00C53010" w:rsidRPr="00C53010" w:rsidTr="0049238B">
              <w:tc>
                <w:tcPr>
                  <w:tcW w:w="9184" w:type="dxa"/>
                </w:tcPr>
                <w:p w:rsidR="00C53010" w:rsidRPr="00C53010" w:rsidRDefault="00C53010" w:rsidP="00C53010">
                  <w:pPr>
                    <w:pStyle w:val="Headingb"/>
                    <w:rPr>
                      <w:lang w:val="es-ES"/>
                    </w:rPr>
                  </w:pPr>
                  <w:r w:rsidRPr="00C53010">
                    <w:rPr>
                      <w:lang w:val="es-ES"/>
                    </w:rPr>
                    <w:t>Continuidad de las actividades y recuperación en caso de catástrofe*</w:t>
                  </w:r>
                </w:p>
                <w:p w:rsidR="00C53010" w:rsidRPr="00C53010" w:rsidRDefault="00C53010" w:rsidP="00C53010">
                  <w:pPr>
                    <w:rPr>
                      <w:lang w:val="es-ES"/>
                    </w:rPr>
                  </w:pPr>
                  <w:r w:rsidRPr="00C53010">
                    <w:rPr>
                      <w:lang w:val="es-ES"/>
                    </w:rPr>
                    <w:t>En enero de 2015 la Oficina adoptó un método de dos fases (funcionando en paralelo) con el fin de determinar y mitigar las posibles amenazas y vulnerabilidades. Con la ayuda de consultores externos y del Departamento IS</w:t>
                  </w:r>
                  <w:r w:rsidR="001B0E79">
                    <w:rPr>
                      <w:lang w:val="es-ES"/>
                    </w:rPr>
                    <w:t xml:space="preserve">, </w:t>
                  </w:r>
                  <w:r w:rsidRPr="00C53010">
                    <w:rPr>
                      <w:lang w:val="es-ES"/>
                    </w:rPr>
                    <w:t>la Oficina realizó una evaluación de la infraestructura (servidores</w:t>
                  </w:r>
                  <w:r w:rsidR="001B0E79">
                    <w:rPr>
                      <w:lang w:val="es-ES"/>
                    </w:rPr>
                    <w:t xml:space="preserve">, </w:t>
                  </w:r>
                  <w:r w:rsidRPr="00C53010">
                    <w:rPr>
                      <w:lang w:val="es-ES"/>
                    </w:rPr>
                    <w:t>LAN</w:t>
                  </w:r>
                  <w:r w:rsidR="001B0E79">
                    <w:rPr>
                      <w:lang w:val="es-ES"/>
                    </w:rPr>
                    <w:t xml:space="preserve">, </w:t>
                  </w:r>
                  <w:r w:rsidRPr="00C53010">
                    <w:rPr>
                      <w:lang w:val="es-ES"/>
                    </w:rPr>
                    <w:t>bases de datos</w:t>
                  </w:r>
                  <w:r w:rsidR="001B0E79">
                    <w:rPr>
                      <w:lang w:val="es-ES"/>
                    </w:rPr>
                    <w:t xml:space="preserve">, </w:t>
                  </w:r>
                  <w:r w:rsidRPr="00C53010">
                    <w:rPr>
                      <w:lang w:val="es-ES"/>
                    </w:rPr>
                    <w:t>etc.) utilizada para acceder a las bases de datos de la BR</w:t>
                  </w:r>
                  <w:r w:rsidR="001B0E79">
                    <w:rPr>
                      <w:lang w:val="es-ES"/>
                    </w:rPr>
                    <w:t xml:space="preserve">, </w:t>
                  </w:r>
                  <w:r w:rsidRPr="00C53010">
                    <w:rPr>
                      <w:lang w:val="es-ES"/>
                    </w:rPr>
                    <w:t>tanto desde el interior como desde el exterior de la UIT. La Oficina efectuó también un análisis y evaluación para establecer el plan BC/DR exigido</w:t>
                  </w:r>
                  <w:r w:rsidR="001B0E79">
                    <w:rPr>
                      <w:lang w:val="es-ES"/>
                    </w:rPr>
                    <w:t xml:space="preserve">, </w:t>
                  </w:r>
                  <w:r w:rsidRPr="00C53010">
                    <w:rPr>
                      <w:lang w:val="es-ES"/>
                    </w:rPr>
                    <w:t>a fin de minimizar los riesgos de la pérdida de datos y las demoras relacionadas con el riesgo de interrupción de las operaciones de tramitación de notificaciones de frecuencias. Se enumeraron las aplicaciones informáticas y datos esenciales</w:t>
                  </w:r>
                  <w:r w:rsidR="001B0E79">
                    <w:rPr>
                      <w:lang w:val="es-ES"/>
                    </w:rPr>
                    <w:t xml:space="preserve">, </w:t>
                  </w:r>
                  <w:r w:rsidRPr="00C53010">
                    <w:rPr>
                      <w:lang w:val="es-ES"/>
                    </w:rPr>
                    <w:t>se extrajeron categorías de datos (bases de datos</w:t>
                  </w:r>
                  <w:r w:rsidR="001B0E79">
                    <w:rPr>
                      <w:lang w:val="es-ES"/>
                    </w:rPr>
                    <w:t xml:space="preserve">, </w:t>
                  </w:r>
                  <w:r w:rsidRPr="00C53010">
                    <w:rPr>
                      <w:lang w:val="es-ES"/>
                    </w:rPr>
                    <w:t>ficheros) y se elaboró un plan de recuperación en caso de catástrofe para cada categoría. Se seguirá colaborando con el Departamento IS a lo largo del próximo periodo a fin de terminar las pruebas y aplicar las medidas definidas resultantes.</w:t>
                  </w:r>
                </w:p>
                <w:p w:rsidR="00C53010" w:rsidRPr="00C53010" w:rsidRDefault="00C53010" w:rsidP="00C53010">
                  <w:pPr>
                    <w:tabs>
                      <w:tab w:val="clear" w:pos="794"/>
                      <w:tab w:val="left" w:pos="237"/>
                    </w:tabs>
                    <w:spacing w:after="40"/>
                    <w:rPr>
                      <w:lang w:val="es-ES"/>
                    </w:rPr>
                  </w:pPr>
                  <w:r w:rsidRPr="00C53010">
                    <w:rPr>
                      <w:lang w:val="es-ES"/>
                    </w:rPr>
                    <w:t>*</w:t>
                  </w:r>
                  <w:r w:rsidRPr="00C53010">
                    <w:rPr>
                      <w:lang w:val="es-ES"/>
                    </w:rPr>
                    <w:tab/>
                    <w:t>Esta labor atañe tanto a los servicios espaciales como a los servicios terrenales.</w:t>
                  </w:r>
                </w:p>
              </w:tc>
            </w:tr>
            <w:tr w:rsidR="00C53010" w:rsidRPr="00C53010" w:rsidTr="0049238B">
              <w:tc>
                <w:tcPr>
                  <w:tcW w:w="9184" w:type="dxa"/>
                </w:tcPr>
                <w:p w:rsidR="00C53010" w:rsidRPr="0049238B" w:rsidRDefault="00C53010" w:rsidP="0049238B">
                  <w:pPr>
                    <w:spacing w:before="240" w:after="120"/>
                    <w:rPr>
                      <w:b/>
                      <w:lang w:val="es-ES"/>
                    </w:rPr>
                  </w:pPr>
                  <w:r w:rsidRPr="0049238B">
                    <w:rPr>
                      <w:b/>
                      <w:lang w:val="es-ES"/>
                    </w:rPr>
                    <w:t>Reescritura de</w:t>
                  </w:r>
                  <w:r w:rsidR="0049238B">
                    <w:rPr>
                      <w:b/>
                      <w:lang w:val="es-ES"/>
                    </w:rPr>
                    <w:t>l</w:t>
                  </w:r>
                  <w:r w:rsidRPr="0049238B">
                    <w:rPr>
                      <w:b/>
                      <w:lang w:val="es-ES"/>
                    </w:rPr>
                    <w:t xml:space="preserve"> software existente para los exámenes técnicos</w:t>
                  </w:r>
                </w:p>
                <w:p w:rsidR="00C53010" w:rsidRPr="00C53010" w:rsidRDefault="00C53010" w:rsidP="00C53010">
                  <w:pPr>
                    <w:pStyle w:val="enumlev1"/>
                    <w:rPr>
                      <w:lang w:val="es-ES"/>
                    </w:rPr>
                  </w:pPr>
                  <w:r w:rsidRPr="00C53010">
                    <w:rPr>
                      <w:lang w:val="es-ES"/>
                    </w:rPr>
                    <w:t>•</w:t>
                  </w:r>
                  <w:r w:rsidRPr="00C53010">
                    <w:rPr>
                      <w:lang w:val="es-ES"/>
                    </w:rPr>
                    <w:tab/>
                    <w:t>Reescribir el software de cálculo de la DFP para la protección de los servicios terrenales: en curso</w:t>
                  </w:r>
                </w:p>
                <w:p w:rsidR="00C53010" w:rsidRPr="00C53010" w:rsidRDefault="00C53010" w:rsidP="0049238B">
                  <w:pPr>
                    <w:pStyle w:val="enumlev1"/>
                    <w:rPr>
                      <w:lang w:val="es-ES"/>
                    </w:rPr>
                  </w:pPr>
                  <w:r w:rsidRPr="00C53010">
                    <w:rPr>
                      <w:lang w:val="es-ES"/>
                    </w:rPr>
                    <w:t>•</w:t>
                  </w:r>
                  <w:r w:rsidRPr="00C53010">
                    <w:rPr>
                      <w:lang w:val="es-ES"/>
                    </w:rPr>
                    <w:tab/>
                    <w:t xml:space="preserve">Reescribir el cálculo de AP8: </w:t>
                  </w:r>
                  <w:r w:rsidR="0049238B">
                    <w:rPr>
                      <w:lang w:val="es-ES"/>
                    </w:rPr>
                    <w:t>prueba interna el primer trimestre de 2018</w:t>
                  </w:r>
                </w:p>
                <w:p w:rsidR="00C53010" w:rsidRPr="00C53010" w:rsidRDefault="00C53010" w:rsidP="0049238B">
                  <w:pPr>
                    <w:pStyle w:val="enumlev1"/>
                    <w:rPr>
                      <w:lang w:val="es-ES"/>
                    </w:rPr>
                  </w:pPr>
                  <w:r w:rsidRPr="00C53010">
                    <w:rPr>
                      <w:lang w:val="es-ES"/>
                    </w:rPr>
                    <w:t>•</w:t>
                  </w:r>
                  <w:r w:rsidRPr="00C53010">
                    <w:rPr>
                      <w:lang w:val="es-ES"/>
                    </w:rPr>
                    <w:tab/>
                    <w:t xml:space="preserve">Reescribir el software de cálculo de la DFP para la protección de los servicios espaciales: </w:t>
                  </w:r>
                  <w:r w:rsidR="0049238B">
                    <w:rPr>
                      <w:lang w:val="es-ES"/>
                    </w:rPr>
                    <w:t>en curso</w:t>
                  </w:r>
                </w:p>
                <w:p w:rsidR="00C53010" w:rsidRPr="00C53010" w:rsidRDefault="00C53010" w:rsidP="00C53010">
                  <w:pPr>
                    <w:pStyle w:val="enumlev1"/>
                    <w:rPr>
                      <w:lang w:val="es-ES"/>
                    </w:rPr>
                  </w:pPr>
                  <w:r w:rsidRPr="00C53010">
                    <w:rPr>
                      <w:lang w:val="es-ES"/>
                    </w:rPr>
                    <w:t>•</w:t>
                  </w:r>
                  <w:r w:rsidRPr="00C53010">
                    <w:rPr>
                      <w:lang w:val="es-ES"/>
                    </w:rPr>
                    <w:tab/>
                    <w:t>Migrar el software para los exámenes técnicos escrito en Fortran del compilador Compaq Visual Fortran al compilador Intel Fortran</w:t>
                  </w:r>
                </w:p>
                <w:p w:rsidR="00C53010" w:rsidRPr="00C53010" w:rsidRDefault="00C53010" w:rsidP="00C53010">
                  <w:pPr>
                    <w:pStyle w:val="enumlev2"/>
                    <w:rPr>
                      <w:szCs w:val="24"/>
                      <w:lang w:val="es-ES"/>
                    </w:rPr>
                  </w:pPr>
                  <w:r w:rsidRPr="00C53010">
                    <w:rPr>
                      <w:szCs w:val="24"/>
                      <w:lang w:val="es-ES"/>
                    </w:rPr>
                    <w:t>–</w:t>
                  </w:r>
                  <w:r w:rsidRPr="00C53010">
                    <w:rPr>
                      <w:szCs w:val="24"/>
                      <w:lang w:val="es-ES"/>
                    </w:rPr>
                    <w:tab/>
                    <w:t>GIBC/Apéndice 30B</w:t>
                  </w:r>
                  <w:r w:rsidR="001B0E79">
                    <w:rPr>
                      <w:szCs w:val="24"/>
                      <w:lang w:val="es-ES"/>
                    </w:rPr>
                    <w:t xml:space="preserve">, </w:t>
                  </w:r>
                  <w:r w:rsidRPr="00C53010">
                    <w:rPr>
                      <w:szCs w:val="24"/>
                      <w:lang w:val="es-ES"/>
                    </w:rPr>
                    <w:t>Mspace</w:t>
                  </w:r>
                  <w:r w:rsidR="001B0E79">
                    <w:rPr>
                      <w:szCs w:val="24"/>
                      <w:lang w:val="es-ES"/>
                    </w:rPr>
                    <w:t xml:space="preserve">, </w:t>
                  </w:r>
                  <w:r w:rsidRPr="00C53010">
                    <w:rPr>
                      <w:szCs w:val="24"/>
                      <w:lang w:val="es-ES"/>
                    </w:rPr>
                    <w:t>GIBC/PowerControl: finalizado</w:t>
                  </w:r>
                </w:p>
                <w:p w:rsidR="00C53010" w:rsidRPr="00C53010" w:rsidRDefault="00C53010" w:rsidP="00C53010">
                  <w:pPr>
                    <w:pStyle w:val="enumlev2"/>
                    <w:rPr>
                      <w:lang w:val="es-ES"/>
                    </w:rPr>
                  </w:pPr>
                  <w:r w:rsidRPr="00C53010">
                    <w:rPr>
                      <w:szCs w:val="24"/>
                      <w:lang w:val="es-ES"/>
                    </w:rPr>
                    <w:t>–</w:t>
                  </w:r>
                  <w:r w:rsidRPr="00C53010">
                    <w:rPr>
                      <w:szCs w:val="24"/>
                      <w:lang w:val="es-ES"/>
                    </w:rPr>
                    <w:tab/>
                    <w:t>Componentes Fortran del GIMS: aún no se ha empezado</w:t>
                  </w:r>
                </w:p>
                <w:p w:rsidR="00C53010" w:rsidRPr="00C53010" w:rsidRDefault="00C53010" w:rsidP="00C53010">
                  <w:pPr>
                    <w:pStyle w:val="enumlev1"/>
                    <w:rPr>
                      <w:lang w:val="es-ES"/>
                    </w:rPr>
                  </w:pPr>
                  <w:r w:rsidRPr="00C53010">
                    <w:rPr>
                      <w:lang w:val="es-ES"/>
                    </w:rPr>
                    <w:t>•</w:t>
                  </w:r>
                  <w:r w:rsidRPr="00C53010">
                    <w:rPr>
                      <w:lang w:val="es-ES"/>
                    </w:rPr>
                    <w:tab/>
                    <w:t>Mspace – migración del componente de acceso a datos de VB6 a Intel Fortran: finalizado</w:t>
                  </w:r>
                </w:p>
                <w:p w:rsidR="00C53010" w:rsidRPr="00C53010" w:rsidRDefault="00C53010" w:rsidP="00C53010">
                  <w:pPr>
                    <w:spacing w:after="40"/>
                    <w:rPr>
                      <w:lang w:val="es-ES"/>
                    </w:rPr>
                  </w:pPr>
                  <w:r w:rsidRPr="00C53010">
                    <w:rPr>
                      <w:lang w:val="es-ES"/>
                    </w:rPr>
                    <w:t>•</w:t>
                  </w:r>
                  <w:r w:rsidRPr="00C53010">
                    <w:rPr>
                      <w:lang w:val="es-ES"/>
                    </w:rPr>
                    <w:tab/>
                    <w:t>GIBC/Apéndice 7: finalizado</w:t>
                  </w:r>
                </w:p>
              </w:tc>
            </w:tr>
            <w:tr w:rsidR="00C53010" w:rsidRPr="00C53010" w:rsidTr="0049238B">
              <w:tc>
                <w:tcPr>
                  <w:tcW w:w="9184" w:type="dxa"/>
                </w:tcPr>
                <w:p w:rsidR="00C53010" w:rsidRPr="00C53010" w:rsidRDefault="00C53010" w:rsidP="00C53010">
                  <w:pPr>
                    <w:pStyle w:val="Headingb"/>
                    <w:rPr>
                      <w:lang w:val="es-ES"/>
                    </w:rPr>
                  </w:pPr>
                  <w:r w:rsidRPr="00C53010">
                    <w:rPr>
                      <w:lang w:val="es-ES"/>
                    </w:rPr>
                    <w:t>Diseño y elaboración del Sistema de información espacial de la BR (BR SIS)</w:t>
                  </w:r>
                </w:p>
                <w:p w:rsidR="00C53010" w:rsidRPr="00C53010" w:rsidRDefault="0049238B" w:rsidP="00FA6FC7">
                  <w:pPr>
                    <w:rPr>
                      <w:lang w:val="es-ES"/>
                    </w:rPr>
                  </w:pPr>
                  <w:r>
                    <w:rPr>
                      <w:lang w:val="es-ES"/>
                    </w:rPr>
                    <w:t>En 2012</w:t>
                  </w:r>
                  <w:r w:rsidR="001B0E79">
                    <w:rPr>
                      <w:lang w:val="es-ES"/>
                    </w:rPr>
                    <w:t xml:space="preserve">, </w:t>
                  </w:r>
                  <w:r w:rsidR="00C53010" w:rsidRPr="00C53010">
                    <w:rPr>
                      <w:lang w:val="es-ES"/>
                    </w:rPr>
                    <w:t>el BR Space utiliza</w:t>
                  </w:r>
                  <w:r>
                    <w:rPr>
                      <w:lang w:val="es-ES"/>
                    </w:rPr>
                    <w:t>ba</w:t>
                  </w:r>
                  <w:r w:rsidR="00C53010" w:rsidRPr="00C53010">
                    <w:rPr>
                      <w:lang w:val="es-ES"/>
                    </w:rPr>
                    <w:t xml:space="preserve"> numerosas aplicaciones autónomas escritas en VB6 y VO con su propia interfaz específica. El objetivo es elaborar una sola interfaz de usuario que integre en el futuro todos los servicios espaciales de la BR utilizando las tecnologías más modernas.</w:t>
                  </w:r>
                </w:p>
                <w:p w:rsidR="00C53010" w:rsidRPr="00C53010" w:rsidRDefault="00C53010" w:rsidP="00FA6FC7">
                  <w:pPr>
                    <w:rPr>
                      <w:lang w:val="es-ES"/>
                    </w:rPr>
                  </w:pPr>
                  <w:r w:rsidRPr="00C53010">
                    <w:rPr>
                      <w:lang w:val="es-ES"/>
                    </w:rPr>
                    <w:t>Esta tarea ha comenzado y la arquitectura propuesta ha sido validada con un prototipo basado en la arquitectura orientada a los servicios (SOA). La SOA separa la interfaz de usuario de la implantación del servicio. Cada aplicación de BR Space se presentará como servicio autónomo WCF (</w:t>
                  </w:r>
                  <w:r w:rsidRPr="00C53010">
                    <w:rPr>
                      <w:i/>
                      <w:iCs/>
                      <w:lang w:val="es-ES"/>
                    </w:rPr>
                    <w:t>Windows Communication Foundation</w:t>
                  </w:r>
                  <w:r w:rsidRPr="00C53010">
                    <w:rPr>
                      <w:lang w:val="es-ES"/>
                    </w:rPr>
                    <w:t xml:space="preserve">) y podrá instalarse </w:t>
                  </w:r>
                  <w:r w:rsidRPr="00C53010">
                    <w:rPr>
                      <w:lang w:val="es-ES"/>
                    </w:rPr>
                    <w:lastRenderedPageBreak/>
                    <w:t>fácilmente en las plataformas Windows y web. La tecnología WPF (</w:t>
                  </w:r>
                  <w:r w:rsidRPr="00C53010">
                    <w:rPr>
                      <w:i/>
                      <w:iCs/>
                      <w:lang w:val="es-ES"/>
                    </w:rPr>
                    <w:t>Windows Presentation Foundation</w:t>
                  </w:r>
                  <w:r w:rsidRPr="00C53010">
                    <w:rPr>
                      <w:lang w:val="es-ES"/>
                    </w:rPr>
                    <w:t>)</w:t>
                  </w:r>
                  <w:r w:rsidR="001B0E79">
                    <w:rPr>
                      <w:lang w:val="es-ES"/>
                    </w:rPr>
                    <w:t xml:space="preserve">, </w:t>
                  </w:r>
                  <w:r w:rsidRPr="00C53010">
                    <w:rPr>
                      <w:lang w:val="es-ES"/>
                    </w:rPr>
                    <w:t>principal herramienta moderna de diseño de interfaces de usuario</w:t>
                  </w:r>
                  <w:r w:rsidR="001B0E79">
                    <w:rPr>
                      <w:lang w:val="es-ES"/>
                    </w:rPr>
                    <w:t xml:space="preserve">, </w:t>
                  </w:r>
                  <w:r w:rsidRPr="00C53010">
                    <w:rPr>
                      <w:lang w:val="es-ES"/>
                    </w:rPr>
                    <w:t>se utilizará para el diseño y la elaboración de la interfaz de usuario. Esta tecnología separa la capa de diseño de la presentación de la capa lógica.</w:t>
                  </w:r>
                </w:p>
                <w:p w:rsidR="00C53010" w:rsidRPr="00C53010" w:rsidRDefault="00C53010" w:rsidP="00FA6FC7">
                  <w:pPr>
                    <w:rPr>
                      <w:lang w:val="es-ES"/>
                    </w:rPr>
                  </w:pPr>
                  <w:r w:rsidRPr="00C53010">
                    <w:rPr>
                      <w:lang w:val="es-ES"/>
                    </w:rPr>
                    <w:t>Todo el sistema utiliza un patrón de diseño de aplicación compuesto (Prism es la Guía de Aplicación Compuesta para la tecnología WPF)</w:t>
                  </w:r>
                  <w:r w:rsidR="001B0E79">
                    <w:rPr>
                      <w:lang w:val="es-ES"/>
                    </w:rPr>
                    <w:t xml:space="preserve">, </w:t>
                  </w:r>
                  <w:r w:rsidRPr="00C53010">
                    <w:rPr>
                      <w:lang w:val="es-ES"/>
                    </w:rPr>
                    <w:t>lo cual mejora la modularidad del sistema y permite a los diseñadores elaborar y mantener los módulos del sistema de manera independiente.</w:t>
                  </w:r>
                </w:p>
                <w:p w:rsidR="00C53010" w:rsidRPr="00C53010" w:rsidRDefault="00C53010" w:rsidP="00FA6FC7">
                  <w:pPr>
                    <w:rPr>
                      <w:lang w:val="es-ES"/>
                    </w:rPr>
                  </w:pPr>
                  <w:r w:rsidRPr="00C53010">
                    <w:rPr>
                      <w:lang w:val="es-ES"/>
                    </w:rPr>
                    <w:t xml:space="preserve">SpaceQry será la primera aplicación reescrita en el </w:t>
                  </w:r>
                  <w:r w:rsidRPr="00C53010">
                    <w:rPr>
                      <w:i/>
                      <w:iCs/>
                      <w:lang w:val="es-ES"/>
                    </w:rPr>
                    <w:t>sistema de información espacial de la BR</w:t>
                  </w:r>
                  <w:r w:rsidRPr="00C53010">
                    <w:rPr>
                      <w:lang w:val="es-ES"/>
                    </w:rPr>
                    <w:t xml:space="preserve"> con arreglo a la arquitectura seleccionada y servirá de modelo para la elaboración de todas las aplicaciones del software de la BR. El servicio de consulta elaborado para SpaceQry también podrá ser utilizado por el futuro sistema de redes espaciales (SNS) en línea como servicio web.</w:t>
                  </w:r>
                </w:p>
              </w:tc>
            </w:tr>
            <w:tr w:rsidR="00C53010" w:rsidRPr="00C53010" w:rsidTr="0049238B">
              <w:tc>
                <w:tcPr>
                  <w:tcW w:w="9184" w:type="dxa"/>
                </w:tcPr>
                <w:p w:rsidR="00C53010" w:rsidRPr="00C53010" w:rsidRDefault="00C53010" w:rsidP="00C53010">
                  <w:pPr>
                    <w:pStyle w:val="Headingb"/>
                    <w:rPr>
                      <w:lang w:val="es-ES"/>
                    </w:rPr>
                  </w:pPr>
                  <w:r w:rsidRPr="00C53010">
                    <w:rPr>
                      <w:lang w:val="es-ES"/>
                    </w:rPr>
                    <w:lastRenderedPageBreak/>
                    <w:t>Reescritura de la aplicación SpaceQry escrita en Visual Objects</w:t>
                  </w:r>
                </w:p>
                <w:p w:rsidR="00C53010" w:rsidRPr="00C53010" w:rsidRDefault="00C53010" w:rsidP="00FA6FC7">
                  <w:pPr>
                    <w:rPr>
                      <w:bCs/>
                      <w:lang w:val="es-ES"/>
                    </w:rPr>
                  </w:pPr>
                  <w:r w:rsidRPr="00C53010">
                    <w:rPr>
                      <w:lang w:val="es-ES"/>
                    </w:rPr>
                    <w:t>La versión operativa se publicó en el DVD BR IFIC de abril de 2016.</w:t>
                  </w:r>
                </w:p>
              </w:tc>
            </w:tr>
            <w:tr w:rsidR="0049238B" w:rsidRPr="00C53010" w:rsidTr="0049238B">
              <w:tc>
                <w:tcPr>
                  <w:tcW w:w="9184" w:type="dxa"/>
                </w:tcPr>
                <w:p w:rsidR="0049238B" w:rsidRPr="000F5E5E" w:rsidRDefault="0049238B" w:rsidP="00232715">
                  <w:pPr>
                    <w:pStyle w:val="Headingb"/>
                  </w:pPr>
                  <w:r>
                    <w:t>Reescritura de</w:t>
                  </w:r>
                  <w:r w:rsidRPr="000F5E5E">
                    <w:t xml:space="preserve"> Space</w:t>
                  </w:r>
                  <w:r>
                    <w:t>Val</w:t>
                  </w:r>
                  <w:r w:rsidRPr="000F5E5E">
                    <w:t xml:space="preserve"> </w:t>
                  </w:r>
                  <w:r>
                    <w:t xml:space="preserve">en </w:t>
                  </w:r>
                  <w:r w:rsidRPr="000F5E5E">
                    <w:t>Visual Basic 6</w:t>
                  </w:r>
                </w:p>
                <w:p w:rsidR="0049238B" w:rsidRPr="0049238B" w:rsidRDefault="0049238B" w:rsidP="00232715">
                  <w:pPr>
                    <w:rPr>
                      <w:lang w:val="es-ES"/>
                    </w:rPr>
                  </w:pPr>
                  <w:r w:rsidRPr="0049238B">
                    <w:t>La integración de SpaceVal en BR-SIS ha comenzado y la aplicación se</w:t>
                  </w:r>
                  <w:r w:rsidR="00A3257D">
                    <w:t xml:space="preserve"> </w:t>
                  </w:r>
                  <w:r w:rsidRPr="0049238B">
                    <w:t>presentará en el SMR-18.</w:t>
                  </w:r>
                </w:p>
              </w:tc>
            </w:tr>
            <w:tr w:rsidR="00C53010" w:rsidRPr="00C53010" w:rsidTr="0049238B">
              <w:tc>
                <w:tcPr>
                  <w:tcW w:w="9184" w:type="dxa"/>
                </w:tcPr>
                <w:p w:rsidR="00C53010" w:rsidRPr="00C53010" w:rsidRDefault="00C53010" w:rsidP="00C53010">
                  <w:pPr>
                    <w:pStyle w:val="Headingb"/>
                    <w:rPr>
                      <w:lang w:val="es-ES"/>
                    </w:rPr>
                  </w:pPr>
                  <w:r w:rsidRPr="00C53010">
                    <w:rPr>
                      <w:lang w:val="es-ES"/>
                    </w:rPr>
                    <w:t>Reescritura de la aplicación SpaceCap escrita en Visual Basic 6</w:t>
                  </w:r>
                </w:p>
                <w:p w:rsidR="00C53010" w:rsidRPr="00C53010" w:rsidRDefault="00C53010" w:rsidP="00232715">
                  <w:pPr>
                    <w:rPr>
                      <w:bCs/>
                      <w:lang w:val="es-ES"/>
                    </w:rPr>
                  </w:pPr>
                  <w:r w:rsidRPr="00C53010">
                    <w:rPr>
                      <w:lang w:val="es-ES"/>
                    </w:rPr>
                    <w:t>Se ha comenzado a integrar SpaceCap en BR-SIS; se integra un tipo de notificación tras otro.</w:t>
                  </w:r>
                </w:p>
              </w:tc>
            </w:tr>
            <w:tr w:rsidR="00C53010" w:rsidRPr="00C53010" w:rsidTr="0049238B">
              <w:tc>
                <w:tcPr>
                  <w:tcW w:w="9184" w:type="dxa"/>
                </w:tcPr>
                <w:p w:rsidR="00C53010" w:rsidRPr="00C53010" w:rsidRDefault="00C53010" w:rsidP="00C53010">
                  <w:pPr>
                    <w:pStyle w:val="Headingb"/>
                    <w:rPr>
                      <w:lang w:val="es-ES"/>
                    </w:rPr>
                  </w:pPr>
                  <w:r w:rsidRPr="00C53010">
                    <w:rPr>
                      <w:lang w:val="es-ES"/>
                    </w:rPr>
                    <w:t>Migración de SRS.mdb a tecnologías más modernas</w:t>
                  </w:r>
                </w:p>
                <w:p w:rsidR="00C53010" w:rsidRPr="00C53010" w:rsidRDefault="00C53010" w:rsidP="00232715">
                  <w:pPr>
                    <w:rPr>
                      <w:lang w:val="es-ES"/>
                    </w:rPr>
                  </w:pPr>
                  <w:r w:rsidRPr="00C53010">
                    <w:rPr>
                      <w:lang w:val="es-ES"/>
                    </w:rPr>
                    <w:t>Los ficheros de base de datos de la BR IFIC están actualmente en formato Microsoft Access MDB</w:t>
                  </w:r>
                  <w:r w:rsidR="001B0E79">
                    <w:rPr>
                      <w:lang w:val="es-ES"/>
                    </w:rPr>
                    <w:t xml:space="preserve">, </w:t>
                  </w:r>
                  <w:r w:rsidRPr="00C53010">
                    <w:rPr>
                      <w:lang w:val="es-ES"/>
                    </w:rPr>
                    <w:t>cuyo desarrollo cesó con la versión de 2003 de Microsoft Office.</w:t>
                  </w:r>
                </w:p>
                <w:p w:rsidR="00C53010" w:rsidRPr="00C53010" w:rsidRDefault="00C53010" w:rsidP="00232715">
                  <w:pPr>
                    <w:rPr>
                      <w:lang w:val="es-ES"/>
                    </w:rPr>
                  </w:pPr>
                  <w:r w:rsidRPr="00C53010">
                    <w:rPr>
                      <w:lang w:val="es-ES"/>
                    </w:rPr>
                    <w:t xml:space="preserve">Se han evaluado varias opciones y se ha escogido SQLite para sustituir los ficheros MDB. La conectividad se logra por conexión directa (como aplicaciones C++ o .Net) o mediante ODBC. </w:t>
                  </w:r>
                </w:p>
                <w:p w:rsidR="00D163ED" w:rsidRDefault="00C53010" w:rsidP="00232715">
                  <w:pPr>
                    <w:rPr>
                      <w:lang w:val="es-ES"/>
                    </w:rPr>
                  </w:pPr>
                  <w:r w:rsidRPr="00C53010">
                    <w:rPr>
                      <w:lang w:val="es-ES"/>
                    </w:rPr>
                    <w:t>Sin embargo</w:t>
                  </w:r>
                  <w:r w:rsidR="001B0E79">
                    <w:rPr>
                      <w:lang w:val="es-ES"/>
                    </w:rPr>
                    <w:t xml:space="preserve">, </w:t>
                  </w:r>
                  <w:r w:rsidRPr="00C53010">
                    <w:rPr>
                      <w:lang w:val="es-ES"/>
                    </w:rPr>
                    <w:t>la urgencia de los campos para la CMR-15 impidió introducir SQLite en 2017</w:t>
                  </w:r>
                  <w:r w:rsidR="001B0E79">
                    <w:rPr>
                      <w:lang w:val="es-ES"/>
                    </w:rPr>
                    <w:t xml:space="preserve">, </w:t>
                  </w:r>
                  <w:r w:rsidRPr="00C53010">
                    <w:rPr>
                      <w:lang w:val="es-ES"/>
                    </w:rPr>
                    <w:t>por lo que se aplazará hasta 2019. Entretanto</w:t>
                  </w:r>
                  <w:r w:rsidR="001B0E79">
                    <w:rPr>
                      <w:lang w:val="es-ES"/>
                    </w:rPr>
                    <w:t xml:space="preserve">, </w:t>
                  </w:r>
                  <w:r w:rsidRPr="00C53010">
                    <w:rPr>
                      <w:lang w:val="es-ES"/>
                    </w:rPr>
                    <w:t xml:space="preserve">la limitación de 2GB de los ficheros MDB se </w:t>
                  </w:r>
                  <w:r w:rsidR="0049238B">
                    <w:rPr>
                      <w:lang w:val="es-ES"/>
                    </w:rPr>
                    <w:t>ha reducido</w:t>
                  </w:r>
                  <w:r w:rsidRPr="00C53010">
                    <w:rPr>
                      <w:lang w:val="es-ES"/>
                    </w:rPr>
                    <w:t xml:space="preserve"> mediante el suministro de un par de ficheros MDB </w:t>
                  </w:r>
                  <w:r w:rsidR="00D163ED" w:rsidRPr="00C53010">
                    <w:rPr>
                      <w:lang w:val="es-ES"/>
                    </w:rPr>
                    <w:t xml:space="preserve">vinculados </w:t>
                  </w:r>
                  <w:r w:rsidR="00D163ED">
                    <w:rPr>
                      <w:lang w:val="es-ES"/>
                    </w:rPr>
                    <w:t>y firmados digitalmente en e</w:t>
                  </w:r>
                  <w:r w:rsidR="00D163ED" w:rsidRPr="00C53010">
                    <w:rPr>
                      <w:lang w:val="es-ES"/>
                    </w:rPr>
                    <w:t>l DVD de la BR IFIC</w:t>
                  </w:r>
                  <w:r w:rsidR="00D163ED">
                    <w:rPr>
                      <w:lang w:val="es-ES"/>
                    </w:rPr>
                    <w:t>.</w:t>
                  </w:r>
                  <w:r w:rsidR="00D163ED" w:rsidRPr="00C53010">
                    <w:rPr>
                      <w:lang w:val="es-ES"/>
                    </w:rPr>
                    <w:t xml:space="preserve"> </w:t>
                  </w:r>
                </w:p>
                <w:p w:rsidR="00C53010" w:rsidRPr="00C53010" w:rsidRDefault="00D163ED" w:rsidP="00232715">
                  <w:pPr>
                    <w:rPr>
                      <w:lang w:val="es-ES"/>
                    </w:rPr>
                  </w:pPr>
                  <w:r>
                    <w:rPr>
                      <w:lang w:val="es-ES"/>
                    </w:rPr>
                    <w:t>L</w:t>
                  </w:r>
                  <w:r w:rsidR="00C53010" w:rsidRPr="00C53010">
                    <w:rPr>
                      <w:lang w:val="es-ES"/>
                    </w:rPr>
                    <w:t xml:space="preserve">as bases de datos SQLite </w:t>
                  </w:r>
                  <w:r>
                    <w:rPr>
                      <w:lang w:val="es-ES"/>
                    </w:rPr>
                    <w:t>para</w:t>
                  </w:r>
                  <w:r w:rsidR="00C53010" w:rsidRPr="00C53010">
                    <w:rPr>
                      <w:lang w:val="es-ES"/>
                    </w:rPr>
                    <w:t xml:space="preserve"> prueba</w:t>
                  </w:r>
                  <w:r>
                    <w:rPr>
                      <w:lang w:val="es-ES"/>
                    </w:rPr>
                    <w:t>s</w:t>
                  </w:r>
                  <w:r w:rsidR="001B0E79">
                    <w:rPr>
                      <w:lang w:val="es-ES"/>
                    </w:rPr>
                    <w:t xml:space="preserve">, </w:t>
                  </w:r>
                  <w:r w:rsidR="00C53010" w:rsidRPr="00C53010">
                    <w:rPr>
                      <w:lang w:val="es-ES"/>
                    </w:rPr>
                    <w:t>que se pondrán a disposición de los usuarios externos en el primer trimestre de 2018</w:t>
                  </w:r>
                  <w:r w:rsidR="001B0E79">
                    <w:rPr>
                      <w:lang w:val="es-ES"/>
                    </w:rPr>
                    <w:t xml:space="preserve">, </w:t>
                  </w:r>
                  <w:r w:rsidR="00C53010" w:rsidRPr="00C53010">
                    <w:rPr>
                      <w:lang w:val="es-ES"/>
                    </w:rPr>
                    <w:t xml:space="preserve">y las aplicaciones incluidas en el DVD de la BR IFIC serán compatibles con SQLite a partir </w:t>
                  </w:r>
                  <w:r>
                    <w:rPr>
                      <w:lang w:val="es-ES"/>
                    </w:rPr>
                    <w:t xml:space="preserve">de </w:t>
                  </w:r>
                  <w:r w:rsidR="00C53010" w:rsidRPr="00C53010">
                    <w:rPr>
                      <w:lang w:val="es-ES"/>
                    </w:rPr>
                    <w:t>la versión 9 de la base de datos SNS</w:t>
                  </w:r>
                  <w:r>
                    <w:rPr>
                      <w:lang w:val="es-ES"/>
                    </w:rPr>
                    <w:t xml:space="preserve"> a más tardar</w:t>
                  </w:r>
                  <w:r w:rsidR="001B0E79">
                    <w:rPr>
                      <w:lang w:val="es-ES"/>
                    </w:rPr>
                    <w:t xml:space="preserve">, </w:t>
                  </w:r>
                  <w:r>
                    <w:rPr>
                      <w:lang w:val="es-ES"/>
                    </w:rPr>
                    <w:t>que aplicará las decisiones de la CMR-19</w:t>
                  </w:r>
                  <w:r w:rsidR="00C53010" w:rsidRPr="00C53010">
                    <w:rPr>
                      <w:lang w:val="es-ES"/>
                    </w:rPr>
                    <w:t>.</w:t>
                  </w:r>
                </w:p>
                <w:p w:rsidR="00C53010" w:rsidRPr="00C53010" w:rsidRDefault="00C53010" w:rsidP="00232715">
                  <w:pPr>
                    <w:rPr>
                      <w:lang w:val="es-ES"/>
                    </w:rPr>
                  </w:pPr>
                  <w:r w:rsidRPr="00C53010">
                    <w:rPr>
                      <w:lang w:val="es-ES"/>
                    </w:rPr>
                    <w:t>A medio plazo se garantizará la compatibilidad con el formato MDB</w:t>
                  </w:r>
                  <w:r w:rsidR="001B0E79">
                    <w:rPr>
                      <w:lang w:val="es-ES"/>
                    </w:rPr>
                    <w:t xml:space="preserve">, </w:t>
                  </w:r>
                  <w:r w:rsidRPr="00C53010">
                    <w:rPr>
                      <w:lang w:val="es-ES"/>
                    </w:rPr>
                    <w:t>y se dispondrá de herramientas de conversión a fin de que los usuarios externos dispongan de tiempo suficiente para adoptar la nueva tecnología.</w:t>
                  </w:r>
                </w:p>
              </w:tc>
            </w:tr>
            <w:tr w:rsidR="00C53010" w:rsidRPr="00C53010" w:rsidTr="0049238B">
              <w:tc>
                <w:tcPr>
                  <w:tcW w:w="9184" w:type="dxa"/>
                </w:tcPr>
                <w:p w:rsidR="00C53010" w:rsidRPr="00C53010" w:rsidRDefault="00D163ED" w:rsidP="00C53010">
                  <w:pPr>
                    <w:pStyle w:val="Headingb"/>
                    <w:rPr>
                      <w:lang w:val="es-ES"/>
                    </w:rPr>
                  </w:pPr>
                  <w:r>
                    <w:rPr>
                      <w:lang w:val="es-ES"/>
                    </w:rPr>
                    <w:t>Migración</w:t>
                  </w:r>
                  <w:r w:rsidR="00C53010" w:rsidRPr="00C53010">
                    <w:rPr>
                      <w:lang w:val="es-ES"/>
                    </w:rPr>
                    <w:t xml:space="preserve"> de la base de datos SNS de Ingres a SQL Server</w:t>
                  </w:r>
                </w:p>
                <w:p w:rsidR="00C53010" w:rsidRPr="00C53010" w:rsidRDefault="00C53010" w:rsidP="00232715">
                  <w:pPr>
                    <w:rPr>
                      <w:lang w:val="es-ES"/>
                    </w:rPr>
                  </w:pPr>
                  <w:r w:rsidRPr="00C53010">
                    <w:rPr>
                      <w:lang w:val="es-ES"/>
                    </w:rPr>
                    <w:t>Por motivos de costes y de recursos</w:t>
                  </w:r>
                  <w:r w:rsidR="001B0E79">
                    <w:rPr>
                      <w:lang w:val="es-ES"/>
                    </w:rPr>
                    <w:t xml:space="preserve">, </w:t>
                  </w:r>
                  <w:r w:rsidRPr="00C53010">
                    <w:rPr>
                      <w:lang w:val="es-ES"/>
                    </w:rPr>
                    <w:t>el Departamento IS está realizando la migración de sus bases de datos de Ingres a SQL Server; se hará lo mismo con la base de datos SNS de BR Space.</w:t>
                  </w:r>
                </w:p>
                <w:p w:rsidR="00C53010" w:rsidRPr="00C53010" w:rsidRDefault="00C53010" w:rsidP="00232715">
                  <w:pPr>
                    <w:rPr>
                      <w:lang w:val="es-ES"/>
                    </w:rPr>
                  </w:pPr>
                  <w:r w:rsidRPr="00C53010">
                    <w:rPr>
                      <w:lang w:val="es-ES"/>
                    </w:rPr>
                    <w:lastRenderedPageBreak/>
                    <w:t>No será necesario ningún cambio importante en la mayoría de las aplicaciones BR Space que utilizan ODBC para acceder a la base de datos. Sin embargo</w:t>
                  </w:r>
                  <w:r w:rsidR="001B0E79">
                    <w:rPr>
                      <w:lang w:val="es-ES"/>
                    </w:rPr>
                    <w:t xml:space="preserve">, </w:t>
                  </w:r>
                  <w:r w:rsidR="00D163ED">
                    <w:rPr>
                      <w:lang w:val="es-ES"/>
                    </w:rPr>
                    <w:t>se tuvo que</w:t>
                  </w:r>
                  <w:r w:rsidRPr="00C53010">
                    <w:rPr>
                      <w:lang w:val="es-ES"/>
                    </w:rPr>
                    <w:t xml:space="preserve"> reescribir completamente varias aplicaciones de procesamiento específico del entorno Ingres</w:t>
                  </w:r>
                  <w:r w:rsidR="00D163ED">
                    <w:rPr>
                      <w:lang w:val="es-ES"/>
                    </w:rPr>
                    <w:t xml:space="preserve"> en 2017. El resto de aplicaciones de tramitación interna se reescribirán o adaptarán en </w:t>
                  </w:r>
                  <w:r w:rsidRPr="00C53010">
                    <w:rPr>
                      <w:lang w:val="es-ES"/>
                    </w:rPr>
                    <w:t>201</w:t>
                  </w:r>
                  <w:r w:rsidR="00D163ED">
                    <w:rPr>
                      <w:lang w:val="es-ES"/>
                    </w:rPr>
                    <w:t>8</w:t>
                  </w:r>
                  <w:r w:rsidRPr="00C53010">
                    <w:rPr>
                      <w:lang w:val="es-ES"/>
                    </w:rPr>
                    <w:t>.</w:t>
                  </w:r>
                </w:p>
                <w:p w:rsidR="00C53010" w:rsidRPr="00C53010" w:rsidRDefault="00D163ED" w:rsidP="00232715">
                  <w:pPr>
                    <w:rPr>
                      <w:lang w:val="es-ES"/>
                    </w:rPr>
                  </w:pPr>
                  <w:r>
                    <w:rPr>
                      <w:lang w:val="es-ES"/>
                    </w:rPr>
                    <w:t>Si bien las pruebas internas</w:t>
                  </w:r>
                  <w:r w:rsidR="00A3257D">
                    <w:rPr>
                      <w:lang w:val="es-ES"/>
                    </w:rPr>
                    <w:t xml:space="preserve"> en 2017</w:t>
                  </w:r>
                  <w:r>
                    <w:rPr>
                      <w:lang w:val="es-ES"/>
                    </w:rPr>
                    <w:t xml:space="preserve"> han demostrado que el sitio web antiguo de </w:t>
                  </w:r>
                  <w:r w:rsidR="00C53010" w:rsidRPr="00C53010">
                    <w:rPr>
                      <w:lang w:val="es-ES"/>
                    </w:rPr>
                    <w:t>SNS Online</w:t>
                  </w:r>
                  <w:r>
                    <w:rPr>
                      <w:lang w:val="es-ES"/>
                    </w:rPr>
                    <w:t xml:space="preserve"> puede conectarse </w:t>
                  </w:r>
                  <w:r w:rsidR="00C53010" w:rsidRPr="00C53010">
                    <w:rPr>
                      <w:lang w:val="es-ES"/>
                    </w:rPr>
                    <w:t>directamente con el servidor SQL</w:t>
                  </w:r>
                  <w:r w:rsidR="001B0E79">
                    <w:rPr>
                      <w:lang w:val="es-ES"/>
                    </w:rPr>
                    <w:t xml:space="preserve">, </w:t>
                  </w:r>
                  <w:r w:rsidR="00C53010" w:rsidRPr="00C53010">
                    <w:rPr>
                      <w:lang w:val="es-ES"/>
                    </w:rPr>
                    <w:t>a fin de evitar la necesidad de la base de datos Ingres intermediaria</w:t>
                  </w:r>
                  <w:r w:rsidR="001B0E79">
                    <w:rPr>
                      <w:lang w:val="es-ES"/>
                    </w:rPr>
                    <w:t xml:space="preserve">, </w:t>
                  </w:r>
                  <w:r w:rsidR="00C53010" w:rsidRPr="00C53010">
                    <w:rPr>
                      <w:lang w:val="es-ES"/>
                    </w:rPr>
                    <w:t>esto no cambia el hecho de que la SNS en línea se haya de reescribir completamente</w:t>
                  </w:r>
                  <w:r w:rsidR="001B0E79">
                    <w:rPr>
                      <w:lang w:val="es-ES"/>
                    </w:rPr>
                    <w:t xml:space="preserve">, </w:t>
                  </w:r>
                  <w:r w:rsidR="00C53010" w:rsidRPr="00C53010">
                    <w:rPr>
                      <w:lang w:val="es-ES"/>
                    </w:rPr>
                    <w:t>ya que se diseñó utilizando una tecnología que se remonta a 1995.</w:t>
                  </w:r>
                </w:p>
                <w:p w:rsidR="00C53010" w:rsidRPr="00C53010" w:rsidRDefault="00C53010" w:rsidP="00232715">
                  <w:pPr>
                    <w:rPr>
                      <w:lang w:val="es-ES"/>
                    </w:rPr>
                  </w:pPr>
                  <w:r w:rsidRPr="00C53010">
                    <w:rPr>
                      <w:lang w:val="es-ES"/>
                    </w:rPr>
                    <w:t>La futura versión de SNS Online podrá basarse en la tecnología ASP.NET MVC</w:t>
                  </w:r>
                  <w:r w:rsidR="001B0E79">
                    <w:rPr>
                      <w:lang w:val="es-ES"/>
                    </w:rPr>
                    <w:t xml:space="preserve">, </w:t>
                  </w:r>
                  <w:r w:rsidRPr="00C53010">
                    <w:rPr>
                      <w:lang w:val="es-ES"/>
                    </w:rPr>
                    <w:t>que es la utilizada en la actualidad para la parte Space API Query del sitio web Space Network Systems</w:t>
                  </w:r>
                  <w:r w:rsidR="00D163ED">
                    <w:rPr>
                      <w:lang w:val="es-ES"/>
                    </w:rPr>
                    <w:t xml:space="preserve"> y para aplicar la Resolución 908</w:t>
                  </w:r>
                  <w:r w:rsidRPr="00C53010">
                    <w:rPr>
                      <w:lang w:val="es-ES"/>
                    </w:rPr>
                    <w:t>.</w:t>
                  </w:r>
                </w:p>
              </w:tc>
            </w:tr>
            <w:tr w:rsidR="00C53010" w:rsidRPr="00C53010" w:rsidTr="0049238B">
              <w:tc>
                <w:tcPr>
                  <w:tcW w:w="9184" w:type="dxa"/>
                </w:tcPr>
                <w:p w:rsidR="00C53010" w:rsidRPr="00C53010" w:rsidRDefault="00C53010" w:rsidP="00C53010">
                  <w:pPr>
                    <w:pStyle w:val="Headingb"/>
                    <w:rPr>
                      <w:lang w:val="es-ES"/>
                    </w:rPr>
                  </w:pPr>
                  <w:r w:rsidRPr="00C53010">
                    <w:rPr>
                      <w:lang w:val="es-ES"/>
                    </w:rPr>
                    <w:lastRenderedPageBreak/>
                    <w:t>Examen de SNTrack</w:t>
                  </w:r>
                </w:p>
                <w:p w:rsidR="00C53010" w:rsidRPr="00C53010" w:rsidRDefault="00C53010" w:rsidP="00232715">
                  <w:pPr>
                    <w:rPr>
                      <w:lang w:val="es-ES"/>
                    </w:rPr>
                  </w:pPr>
                  <w:r w:rsidRPr="00C53010">
                    <w:rPr>
                      <w:lang w:val="es-ES"/>
                    </w:rPr>
                    <w:t>Esta tarea debe realizarse en paralelo a la aplicación de las Resoluciones 907 y 908. La implementación actual es incompatible con Windows Office de 64 bits</w:t>
                  </w:r>
                  <w:r w:rsidR="001B0E79">
                    <w:rPr>
                      <w:lang w:val="es-ES"/>
                    </w:rPr>
                    <w:t xml:space="preserve">, </w:t>
                  </w:r>
                  <w:r w:rsidRPr="00C53010">
                    <w:rPr>
                      <w:lang w:val="es-ES"/>
                    </w:rPr>
                    <w:t>siendo esta otra razón por la que es necesario realizar la migración a una implementación más moderna.</w:t>
                  </w:r>
                </w:p>
              </w:tc>
            </w:tr>
            <w:tr w:rsidR="00C53010" w:rsidRPr="00C53010" w:rsidTr="0049238B">
              <w:tc>
                <w:tcPr>
                  <w:tcW w:w="9184" w:type="dxa"/>
                </w:tcPr>
                <w:p w:rsidR="00C53010" w:rsidRPr="00C53010" w:rsidRDefault="00C53010" w:rsidP="00C53010">
                  <w:pPr>
                    <w:pStyle w:val="Headingb"/>
                    <w:rPr>
                      <w:bCs/>
                      <w:lang w:val="es-ES"/>
                    </w:rPr>
                  </w:pPr>
                  <w:r w:rsidRPr="00C53010">
                    <w:rPr>
                      <w:lang w:val="es-ES"/>
                    </w:rPr>
                    <w:t>Fase 3: 1 de enero de 2016 – 31 de diciembre de 2018</w:t>
                  </w:r>
                </w:p>
                <w:p w:rsidR="00C53010" w:rsidRPr="00C53010" w:rsidRDefault="00C53010" w:rsidP="00C53010">
                  <w:pPr>
                    <w:spacing w:before="240" w:after="120"/>
                    <w:rPr>
                      <w:lang w:val="es-ES"/>
                    </w:rPr>
                  </w:pPr>
                  <w:r w:rsidRPr="00C53010">
                    <w:rPr>
                      <w:lang w:val="es-ES"/>
                    </w:rPr>
                    <w:t>Las tareas más importantes de la Fase 3 son las siguientes:</w:t>
                  </w:r>
                </w:p>
                <w:p w:rsidR="00C53010" w:rsidRPr="00C53010" w:rsidRDefault="00C53010" w:rsidP="00C53010">
                  <w:pPr>
                    <w:pStyle w:val="enumlev1"/>
                    <w:rPr>
                      <w:lang w:val="es-ES"/>
                    </w:rPr>
                  </w:pPr>
                  <w:r w:rsidRPr="00C53010">
                    <w:rPr>
                      <w:lang w:val="es-ES"/>
                    </w:rPr>
                    <w:t>•</w:t>
                  </w:r>
                  <w:r w:rsidRPr="00C53010">
                    <w:rPr>
                      <w:lang w:val="es-ES"/>
                    </w:rPr>
                    <w:tab/>
                    <w:t>Diseño de una base de datos conceptual común para servicios espaciales y terrenales.</w:t>
                  </w:r>
                </w:p>
                <w:p w:rsidR="00C53010" w:rsidRPr="00C53010" w:rsidRDefault="00C53010" w:rsidP="00C53010">
                  <w:pPr>
                    <w:pStyle w:val="enumlev1"/>
                    <w:rPr>
                      <w:lang w:val="es-ES"/>
                    </w:rPr>
                  </w:pPr>
                  <w:r w:rsidRPr="00C53010">
                    <w:rPr>
                      <w:lang w:val="es-ES"/>
                    </w:rPr>
                    <w:t>•</w:t>
                  </w:r>
                  <w:r w:rsidRPr="00C53010">
                    <w:rPr>
                      <w:lang w:val="es-ES"/>
                    </w:rPr>
                    <w:tab/>
                    <w:t>Definición de un marco de aplicación normalizado para los sistemas espaciales y terrenales</w:t>
                  </w:r>
                  <w:r w:rsidR="001B0E79">
                    <w:rPr>
                      <w:lang w:val="es-ES"/>
                    </w:rPr>
                    <w:t xml:space="preserve">, </w:t>
                  </w:r>
                  <w:r w:rsidRPr="00C53010">
                    <w:rPr>
                      <w:lang w:val="es-ES"/>
                    </w:rPr>
                    <w:t>incluido el sistema marítimo (MARS)</w:t>
                  </w:r>
                  <w:r w:rsidR="001B0E79">
                    <w:rPr>
                      <w:lang w:val="es-ES"/>
                    </w:rPr>
                    <w:t xml:space="preserve">, </w:t>
                  </w:r>
                  <w:r w:rsidRPr="00C53010">
                    <w:rPr>
                      <w:lang w:val="es-ES"/>
                    </w:rPr>
                    <w:t>basado en las bases de datos marítimas de la UIT.</w:t>
                  </w:r>
                </w:p>
                <w:p w:rsidR="00C53010" w:rsidRPr="00C53010" w:rsidRDefault="00C53010" w:rsidP="00C53010">
                  <w:pPr>
                    <w:pStyle w:val="enumlev1"/>
                    <w:rPr>
                      <w:lang w:val="es-ES"/>
                    </w:rPr>
                  </w:pPr>
                  <w:r w:rsidRPr="00C53010">
                    <w:rPr>
                      <w:lang w:val="es-ES"/>
                    </w:rPr>
                    <w:t>•</w:t>
                  </w:r>
                  <w:r w:rsidRPr="00C53010">
                    <w:rPr>
                      <w:lang w:val="es-ES"/>
                    </w:rPr>
                    <w:tab/>
                    <w:t>Nuevo diseño del sistema espacial (aplicación de la arquitectura orientada al servicio.</w:t>
                  </w:r>
                </w:p>
                <w:p w:rsidR="00C53010" w:rsidRPr="00C53010" w:rsidRDefault="00C53010" w:rsidP="00C53010">
                  <w:pPr>
                    <w:pStyle w:val="enumlev1"/>
                    <w:rPr>
                      <w:lang w:val="es-ES"/>
                    </w:rPr>
                  </w:pPr>
                  <w:r w:rsidRPr="00C53010">
                    <w:rPr>
                      <w:lang w:val="es-ES"/>
                    </w:rPr>
                    <w:t>•</w:t>
                  </w:r>
                  <w:r w:rsidRPr="00C53010">
                    <w:rPr>
                      <w:lang w:val="es-ES"/>
                    </w:rPr>
                    <w:tab/>
                    <w:t>Considerar la gestión centralizada de riesgos</w:t>
                  </w:r>
                  <w:r w:rsidR="001B0E79">
                    <w:rPr>
                      <w:lang w:val="es-ES"/>
                    </w:rPr>
                    <w:t xml:space="preserve">, </w:t>
                  </w:r>
                  <w:r w:rsidRPr="00C53010">
                    <w:rPr>
                      <w:lang w:val="es-ES"/>
                    </w:rPr>
                    <w:t>recuperación y seguridad</w:t>
                  </w:r>
                </w:p>
                <w:p w:rsidR="00C53010" w:rsidRPr="00C53010" w:rsidRDefault="00C53010" w:rsidP="00C53010">
                  <w:pPr>
                    <w:rPr>
                      <w:lang w:val="es-ES"/>
                    </w:rPr>
                  </w:pPr>
                  <w:r w:rsidRPr="00C53010">
                    <w:rPr>
                      <w:lang w:val="es-ES"/>
                    </w:rPr>
                    <w:t>El trabajo realizado durante las fases anteriores</w:t>
                  </w:r>
                  <w:r w:rsidR="001B0E79">
                    <w:rPr>
                      <w:lang w:val="es-ES"/>
                    </w:rPr>
                    <w:t xml:space="preserve">, </w:t>
                  </w:r>
                  <w:r w:rsidRPr="00C53010">
                    <w:rPr>
                      <w:lang w:val="es-ES"/>
                    </w:rPr>
                    <w:t>así como las opciones tecnológicas y de diseño adoptadas</w:t>
                  </w:r>
                  <w:r w:rsidR="001B0E79">
                    <w:rPr>
                      <w:lang w:val="es-ES"/>
                    </w:rPr>
                    <w:t xml:space="preserve">, </w:t>
                  </w:r>
                  <w:r w:rsidRPr="00C53010">
                    <w:rPr>
                      <w:lang w:val="es-ES"/>
                    </w:rPr>
                    <w:t>son una excelente base para la satisfactoria finalización de la Fase 3:</w:t>
                  </w:r>
                </w:p>
                <w:p w:rsidR="00C53010" w:rsidRPr="00C53010" w:rsidRDefault="00C53010" w:rsidP="00D163ED">
                  <w:pPr>
                    <w:pStyle w:val="enumlev1"/>
                    <w:rPr>
                      <w:lang w:val="es-ES"/>
                    </w:rPr>
                  </w:pPr>
                  <w:r w:rsidRPr="00C53010">
                    <w:rPr>
                      <w:lang w:val="es-ES"/>
                    </w:rPr>
                    <w:t>•</w:t>
                  </w:r>
                  <w:r w:rsidRPr="00C53010">
                    <w:rPr>
                      <w:lang w:val="es-ES"/>
                    </w:rPr>
                    <w:tab/>
                    <w:t>Las bases de datos espaciales migrarán a la plataforma SQL Server a finales de 201</w:t>
                  </w:r>
                  <w:r w:rsidR="00D163ED">
                    <w:rPr>
                      <w:lang w:val="es-ES"/>
                    </w:rPr>
                    <w:t>8</w:t>
                  </w:r>
                  <w:r w:rsidRPr="00C53010">
                    <w:rPr>
                      <w:lang w:val="es-ES"/>
                    </w:rPr>
                    <w:t xml:space="preserve">. A finales de 2016 se habrán actualizado las bases de </w:t>
                  </w:r>
                  <w:r w:rsidR="00E3515B">
                    <w:rPr>
                      <w:lang w:val="es-ES"/>
                    </w:rPr>
                    <w:t>datos a la versión 8 post CMR-15</w:t>
                  </w:r>
                  <w:r w:rsidR="001B0E79">
                    <w:rPr>
                      <w:lang w:val="es-ES"/>
                    </w:rPr>
                    <w:t xml:space="preserve">, </w:t>
                  </w:r>
                  <w:r w:rsidRPr="00C53010">
                    <w:rPr>
                      <w:lang w:val="es-ES"/>
                    </w:rPr>
                    <w:t>que se presentarán en el SMR-16</w:t>
                  </w:r>
                  <w:r w:rsidR="001B0E79">
                    <w:rPr>
                      <w:lang w:val="es-ES"/>
                    </w:rPr>
                    <w:t xml:space="preserve">, </w:t>
                  </w:r>
                  <w:r w:rsidRPr="00C53010">
                    <w:rPr>
                      <w:lang w:val="es-ES"/>
                    </w:rPr>
                    <w:t>con una serie de adiciones</w:t>
                  </w:r>
                  <w:r w:rsidR="001B0E79">
                    <w:rPr>
                      <w:lang w:val="es-ES"/>
                    </w:rPr>
                    <w:t xml:space="preserve">, </w:t>
                  </w:r>
                  <w:r w:rsidRPr="00C53010">
                    <w:rPr>
                      <w:lang w:val="es-ES"/>
                    </w:rPr>
                    <w:t>supresiones y modificaciones en los campos y cuadros.</w:t>
                  </w:r>
                </w:p>
                <w:p w:rsidR="00C53010" w:rsidRPr="00C53010" w:rsidRDefault="00C53010" w:rsidP="00021810">
                  <w:pPr>
                    <w:pStyle w:val="enumlev1"/>
                    <w:rPr>
                      <w:lang w:val="es-ES"/>
                    </w:rPr>
                  </w:pPr>
                  <w:r w:rsidRPr="00C53010">
                    <w:rPr>
                      <w:lang w:val="es-ES"/>
                    </w:rPr>
                    <w:tab/>
                    <w:t>Será posible rediseñar la arquitectura</w:t>
                  </w:r>
                  <w:r w:rsidR="001B0E79">
                    <w:rPr>
                      <w:lang w:val="es-ES"/>
                    </w:rPr>
                    <w:t xml:space="preserve">, </w:t>
                  </w:r>
                  <w:r w:rsidRPr="00C53010">
                    <w:rPr>
                      <w:lang w:val="es-ES"/>
                    </w:rPr>
                    <w:t>conservando la equivalencia de los datos</w:t>
                  </w:r>
                  <w:r w:rsidR="001B0E79">
                    <w:rPr>
                      <w:lang w:val="es-ES"/>
                    </w:rPr>
                    <w:t xml:space="preserve">, </w:t>
                  </w:r>
                  <w:r w:rsidRPr="00C53010">
                    <w:rPr>
                      <w:lang w:val="es-ES"/>
                    </w:rPr>
                    <w:t>a fin de eliminar ciertas redundancias y lograr la armonización espacial/terrenal</w:t>
                  </w:r>
                  <w:r w:rsidR="001B0E79">
                    <w:rPr>
                      <w:lang w:val="es-ES"/>
                    </w:rPr>
                    <w:t xml:space="preserve">, </w:t>
                  </w:r>
                  <w:r w:rsidR="00021810">
                    <w:rPr>
                      <w:lang w:val="es-ES"/>
                    </w:rPr>
                    <w:t>junto con otros cambios necesarios para aplicar las decisiones de la CMR-19</w:t>
                  </w:r>
                  <w:r w:rsidRPr="00C53010">
                    <w:rPr>
                      <w:lang w:val="es-ES"/>
                    </w:rPr>
                    <w:t>.</w:t>
                  </w:r>
                </w:p>
                <w:p w:rsidR="00C53010" w:rsidRPr="00C53010" w:rsidRDefault="00C53010" w:rsidP="00C53010">
                  <w:pPr>
                    <w:pStyle w:val="enumlev1"/>
                    <w:rPr>
                      <w:lang w:val="es-ES"/>
                    </w:rPr>
                  </w:pPr>
                  <w:r w:rsidRPr="00C53010">
                    <w:rPr>
                      <w:lang w:val="es-ES"/>
                    </w:rPr>
                    <w:t>•</w:t>
                  </w:r>
                  <w:r w:rsidRPr="00C53010">
                    <w:rPr>
                      <w:lang w:val="es-ES"/>
                    </w:rPr>
                    <w:tab/>
                    <w:t>Tradicionalmente</w:t>
                  </w:r>
                  <w:r w:rsidR="001B0E79">
                    <w:rPr>
                      <w:lang w:val="es-ES"/>
                    </w:rPr>
                    <w:t xml:space="preserve">, </w:t>
                  </w:r>
                  <w:r w:rsidRPr="00C53010">
                    <w:rPr>
                      <w:lang w:val="es-ES"/>
                    </w:rPr>
                    <w:t>los marcos de aplicación escritorio del sistema terrenal</w:t>
                  </w:r>
                  <w:r w:rsidR="001B0E79">
                    <w:rPr>
                      <w:lang w:val="es-ES"/>
                    </w:rPr>
                    <w:t xml:space="preserve">, </w:t>
                  </w:r>
                  <w:r w:rsidRPr="00C53010">
                    <w:rPr>
                      <w:lang w:val="es-ES"/>
                    </w:rPr>
                    <w:t>el sistema espacial y el MARS han sido muy distintos y es posible que lo sigan siendo por ahora. Cada vez resulta menos necesario normalizar un marco único a medida que se van ofreciendo más funcionalidades a través de aplicaciones web.</w:t>
                  </w:r>
                </w:p>
                <w:p w:rsidR="00C53010" w:rsidRPr="00C53010" w:rsidRDefault="002F2FC2" w:rsidP="00C53010">
                  <w:pPr>
                    <w:pStyle w:val="enumlev1"/>
                    <w:rPr>
                      <w:lang w:val="es-ES"/>
                    </w:rPr>
                  </w:pPr>
                  <w:r w:rsidRPr="00C53010">
                    <w:rPr>
                      <w:lang w:val="es-ES"/>
                    </w:rPr>
                    <w:t>•</w:t>
                  </w:r>
                  <w:r w:rsidR="00C53010" w:rsidRPr="00C53010">
                    <w:rPr>
                      <w:lang w:val="es-ES"/>
                    </w:rPr>
                    <w:tab/>
                    <w:t>El marco de aplicación web normalizado utilizado para las nuevas creaciones (por ejemplo</w:t>
                  </w:r>
                  <w:r w:rsidR="001B0E79">
                    <w:rPr>
                      <w:lang w:val="es-ES"/>
                    </w:rPr>
                    <w:t xml:space="preserve">, </w:t>
                  </w:r>
                  <w:r w:rsidR="00C53010" w:rsidRPr="00C53010">
                    <w:rPr>
                      <w:lang w:val="es-ES"/>
                    </w:rPr>
                    <w:t>SIRRS</w:t>
                  </w:r>
                  <w:r w:rsidR="001B0E79">
                    <w:rPr>
                      <w:lang w:val="es-ES"/>
                    </w:rPr>
                    <w:t xml:space="preserve">, </w:t>
                  </w:r>
                  <w:r w:rsidR="00021810">
                    <w:rPr>
                      <w:lang w:val="es-ES"/>
                    </w:rPr>
                    <w:t>Resolución 908</w:t>
                  </w:r>
                  <w:r w:rsidR="00C53010" w:rsidRPr="00C53010">
                    <w:rPr>
                      <w:lang w:val="es-ES"/>
                    </w:rPr>
                    <w:t>) y para el rediseño de las aplicaciones web del sistema espacial existentes (SNS Online) será ASP.NET MVC</w:t>
                  </w:r>
                  <w:r w:rsidR="001B0E79">
                    <w:rPr>
                      <w:lang w:val="es-ES"/>
                    </w:rPr>
                    <w:t xml:space="preserve">, </w:t>
                  </w:r>
                  <w:r w:rsidR="00C53010" w:rsidRPr="00C53010">
                    <w:rPr>
                      <w:lang w:val="es-ES"/>
                    </w:rPr>
                    <w:t>que también ha recibido el beneplácito del Departamento IS y es el marco de aplicación web en el que se está basando el proyecto MARS.</w:t>
                  </w:r>
                </w:p>
                <w:p w:rsidR="00C53010" w:rsidRPr="00C53010" w:rsidRDefault="00C53010" w:rsidP="00C53010">
                  <w:pPr>
                    <w:pStyle w:val="enumlev1"/>
                    <w:rPr>
                      <w:lang w:val="es-ES"/>
                    </w:rPr>
                  </w:pPr>
                  <w:r w:rsidRPr="00C53010">
                    <w:rPr>
                      <w:lang w:val="es-ES"/>
                    </w:rPr>
                    <w:lastRenderedPageBreak/>
                    <w:t>•</w:t>
                  </w:r>
                  <w:r w:rsidRPr="00C53010">
                    <w:rPr>
                      <w:lang w:val="es-ES"/>
                    </w:rPr>
                    <w:tab/>
                    <w:t>La adopción de la plataforma .Net y de la arquitectura de diseño Prism facilitará la transición de las aplicaciones escritorio a las aplicaciones web</w:t>
                  </w:r>
                  <w:r w:rsidR="001B0E79">
                    <w:rPr>
                      <w:lang w:val="es-ES"/>
                    </w:rPr>
                    <w:t xml:space="preserve">, </w:t>
                  </w:r>
                  <w:r w:rsidRPr="00C53010">
                    <w:rPr>
                      <w:lang w:val="es-ES"/>
                    </w:rPr>
                    <w:t>sabiendo que el marco de desarrollo de aplicaciones web preferido se basa en la misma tecnología base y el mismo lenguaje de programación.</w:t>
                  </w:r>
                </w:p>
                <w:p w:rsidR="00C53010" w:rsidRPr="00C53010" w:rsidRDefault="00C53010" w:rsidP="00C53010">
                  <w:pPr>
                    <w:pStyle w:val="enumlev1"/>
                    <w:spacing w:after="40"/>
                    <w:rPr>
                      <w:bCs/>
                      <w:szCs w:val="24"/>
                      <w:lang w:val="es-ES"/>
                    </w:rPr>
                  </w:pPr>
                  <w:r w:rsidRPr="00C53010">
                    <w:rPr>
                      <w:lang w:val="es-ES"/>
                    </w:rPr>
                    <w:t>•</w:t>
                  </w:r>
                  <w:r w:rsidRPr="00C53010">
                    <w:rPr>
                      <w:lang w:val="es-ES"/>
                    </w:rPr>
                    <w:tab/>
                    <w:t>Las actividades para la centralización y racionalización de la gestión de riesgos</w:t>
                  </w:r>
                  <w:r w:rsidR="001B0E79">
                    <w:rPr>
                      <w:lang w:val="es-ES"/>
                    </w:rPr>
                    <w:t xml:space="preserve">, </w:t>
                  </w:r>
                  <w:r w:rsidRPr="00C53010">
                    <w:rPr>
                      <w:lang w:val="es-ES"/>
                    </w:rPr>
                    <w:t>recuperación y seguridad están en curso.</w:t>
                  </w:r>
                </w:p>
              </w:tc>
            </w:tr>
          </w:tbl>
          <w:p w:rsidR="00FA7C73" w:rsidRPr="00C53010" w:rsidRDefault="00FA7C73" w:rsidP="001F3A94">
            <w:pPr>
              <w:spacing w:before="240"/>
              <w:rPr>
                <w:b/>
                <w:bCs/>
                <w:lang w:val="es-ES"/>
              </w:rPr>
            </w:pPr>
          </w:p>
        </w:tc>
      </w:tr>
    </w:tbl>
    <w:p w:rsidR="00FA7C73" w:rsidRPr="00C53010" w:rsidRDefault="00FA7C73" w:rsidP="001F3A94">
      <w:pPr>
        <w:pStyle w:val="Reasons"/>
        <w:rPr>
          <w:lang w:val="es-ES"/>
        </w:rPr>
      </w:pPr>
    </w:p>
    <w:p w:rsidR="00D51E1E" w:rsidRPr="00C53010" w:rsidRDefault="00FA7C73" w:rsidP="00EB5C03">
      <w:pPr>
        <w:bidi/>
        <w:jc w:val="center"/>
        <w:rPr>
          <w:lang w:val="es-ES"/>
        </w:rPr>
      </w:pPr>
      <w:r w:rsidRPr="00C53010">
        <w:rPr>
          <w:lang w:val="es-ES"/>
        </w:rPr>
        <w:t>______________</w:t>
      </w:r>
    </w:p>
    <w:sectPr w:rsidR="00D51E1E" w:rsidRPr="00C53010" w:rsidSect="004D6C09">
      <w:headerReference w:type="default" r:id="rId65"/>
      <w:footerReference w:type="default" r:id="rId66"/>
      <w:footerReference w:type="first" r:id="rId6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C03" w:rsidRDefault="00EB5C03">
      <w:r>
        <w:separator/>
      </w:r>
    </w:p>
    <w:p w:rsidR="00EB5C03" w:rsidRDefault="00EB5C03"/>
  </w:endnote>
  <w:endnote w:type="continuationSeparator" w:id="0">
    <w:p w:rsidR="00EB5C03" w:rsidRDefault="00EB5C03">
      <w:r>
        <w:continuationSeparator/>
      </w:r>
    </w:p>
    <w:p w:rsidR="00EB5C03" w:rsidRDefault="00EB5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03" w:rsidRPr="005B0D1E" w:rsidRDefault="00EB5C03" w:rsidP="003045E9">
    <w:pPr>
      <w:framePr w:wrap="around" w:vAnchor="text" w:hAnchor="margin" w:xAlign="right" w:y="1"/>
    </w:pPr>
    <w:r>
      <w:fldChar w:fldCharType="begin"/>
    </w:r>
    <w:r w:rsidRPr="005B0D1E">
      <w:instrText xml:space="preserve">PAGE  </w:instrText>
    </w:r>
    <w:r>
      <w:fldChar w:fldCharType="separate"/>
    </w:r>
    <w:r w:rsidRPr="005B0D1E">
      <w:rPr>
        <w:noProof/>
      </w:rPr>
      <w:t>46</w:t>
    </w:r>
    <w:r>
      <w:fldChar w:fldCharType="end"/>
    </w:r>
  </w:p>
  <w:p w:rsidR="00EB5C03" w:rsidRPr="00E272BE" w:rsidRDefault="00EB5C03">
    <w:pPr>
      <w:ind w:right="360"/>
    </w:pPr>
    <w:r>
      <w:fldChar w:fldCharType="begin"/>
    </w:r>
    <w:r w:rsidRPr="00E272BE">
      <w:instrText xml:space="preserve"> FILENAME \p  \* MERGEFORMAT </w:instrText>
    </w:r>
    <w:r>
      <w:fldChar w:fldCharType="separate"/>
    </w:r>
    <w:r>
      <w:rPr>
        <w:noProof/>
      </w:rPr>
      <w:t>P:\ESP\ITU-R\AG\RAG\RAG18\000\001S.docx</w:t>
    </w:r>
    <w:r>
      <w:fldChar w:fldCharType="end"/>
    </w:r>
    <w:r w:rsidRPr="00E272BE">
      <w:tab/>
    </w:r>
    <w:r>
      <w:fldChar w:fldCharType="begin"/>
    </w:r>
    <w:r>
      <w:instrText xml:space="preserve"> SAVEDATE \@ DD.MM.YY </w:instrText>
    </w:r>
    <w:r>
      <w:fldChar w:fldCharType="separate"/>
    </w:r>
    <w:r>
      <w:rPr>
        <w:noProof/>
      </w:rPr>
      <w:t>06.03.18</w:t>
    </w:r>
    <w:r>
      <w:fldChar w:fldCharType="end"/>
    </w:r>
    <w:r w:rsidRPr="00E272BE">
      <w:tab/>
    </w:r>
    <w:r>
      <w:fldChar w:fldCharType="begin"/>
    </w:r>
    <w:r>
      <w:instrText xml:space="preserve"> PRINTDATE \@ DD.MM.YY </w:instrText>
    </w:r>
    <w:r>
      <w:fldChar w:fldCharType="separate"/>
    </w:r>
    <w:r>
      <w:rPr>
        <w:noProof/>
      </w:rPr>
      <w:t>01.03.18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03" w:rsidRPr="003045E9" w:rsidRDefault="00EB5C03" w:rsidP="003045E9">
    <w:pPr>
      <w:pStyle w:val="Footer"/>
      <w:rPr>
        <w:lang w:val="en-US"/>
      </w:rPr>
    </w:pPr>
    <w:r>
      <w:fldChar w:fldCharType="begin"/>
    </w:r>
    <w:r w:rsidRPr="003045E9">
      <w:rPr>
        <w:lang w:val="en-US"/>
      </w:rPr>
      <w:instrText xml:space="preserve"> FILENAME \p  \* MERGEFORMAT </w:instrText>
    </w:r>
    <w:r>
      <w:fldChar w:fldCharType="separate"/>
    </w:r>
    <w:r>
      <w:rPr>
        <w:lang w:val="en-US"/>
      </w:rPr>
      <w:t>P:\ESP\ITU-R\AG\RAG\RAG18\000\001V2S.docx</w:t>
    </w:r>
    <w:r>
      <w:fldChar w:fldCharType="end"/>
    </w:r>
    <w:r>
      <w:rPr>
        <w:lang w:val="en-US"/>
      </w:rPr>
      <w:t xml:space="preserve"> (427624</w:t>
    </w:r>
    <w:r w:rsidRPr="003045E9">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03" w:rsidRPr="003045E9" w:rsidRDefault="00EB5C03" w:rsidP="003045E9">
    <w:pPr>
      <w:pStyle w:val="Footer"/>
      <w:rPr>
        <w:lang w:val="en-US"/>
      </w:rPr>
    </w:pPr>
    <w:r>
      <w:fldChar w:fldCharType="begin"/>
    </w:r>
    <w:r w:rsidRPr="003045E9">
      <w:rPr>
        <w:lang w:val="en-US"/>
      </w:rPr>
      <w:instrText xml:space="preserve"> FILENAME \p  \* MERGEFORMAT </w:instrText>
    </w:r>
    <w:r>
      <w:fldChar w:fldCharType="separate"/>
    </w:r>
    <w:r>
      <w:rPr>
        <w:lang w:val="en-US"/>
      </w:rPr>
      <w:t>P:\ESP\ITU-R\AG\RAG\RAG18\000\001V2S.docx</w:t>
    </w:r>
    <w:r>
      <w:fldChar w:fldCharType="end"/>
    </w:r>
    <w:r>
      <w:rPr>
        <w:lang w:val="en-US"/>
      </w:rPr>
      <w:t xml:space="preserve"> (427624</w:t>
    </w:r>
    <w:r w:rsidRPr="003045E9">
      <w:rPr>
        <w:lang w:val="en-US"/>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03" w:rsidRPr="003045E9" w:rsidRDefault="00EB5C03">
    <w:pPr>
      <w:pStyle w:val="Footer"/>
      <w:rPr>
        <w:lang w:val="en-US"/>
      </w:rPr>
    </w:pPr>
    <w:r>
      <w:fldChar w:fldCharType="begin"/>
    </w:r>
    <w:r w:rsidRPr="003045E9">
      <w:rPr>
        <w:lang w:val="en-US"/>
      </w:rPr>
      <w:instrText xml:space="preserve"> FILENAME \p  \* MERGEFORMAT </w:instrText>
    </w:r>
    <w:r>
      <w:fldChar w:fldCharType="separate"/>
    </w:r>
    <w:r>
      <w:rPr>
        <w:lang w:val="en-US"/>
      </w:rPr>
      <w:t>P:\ESP\ITU-R\AG\RAG\RAG18\000\001V2S.docx</w:t>
    </w:r>
    <w:r>
      <w:fldChar w:fldCharType="end"/>
    </w:r>
    <w:r>
      <w:rPr>
        <w:lang w:val="en-US"/>
      </w:rPr>
      <w:t xml:space="preserve"> (427624</w:t>
    </w:r>
    <w:r w:rsidRPr="003045E9">
      <w:rPr>
        <w:lang w:val="en-US"/>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03" w:rsidRPr="003045E9" w:rsidRDefault="00EB5C03" w:rsidP="003045E9">
    <w:pPr>
      <w:pStyle w:val="Footer"/>
      <w:rPr>
        <w:lang w:val="en-US"/>
      </w:rPr>
    </w:pPr>
    <w:r>
      <w:fldChar w:fldCharType="begin"/>
    </w:r>
    <w:r w:rsidRPr="003045E9">
      <w:rPr>
        <w:lang w:val="en-US"/>
      </w:rPr>
      <w:instrText xml:space="preserve"> FILENAME \p  \* MERGEFORMAT </w:instrText>
    </w:r>
    <w:r>
      <w:fldChar w:fldCharType="separate"/>
    </w:r>
    <w:r>
      <w:rPr>
        <w:lang w:val="en-US"/>
      </w:rPr>
      <w:t>P:\ESP\ITU-R\AG\RAG\RAG18\000\001V2S.docx</w:t>
    </w:r>
    <w:r>
      <w:fldChar w:fldCharType="end"/>
    </w:r>
    <w:r>
      <w:rPr>
        <w:lang w:val="en-US"/>
      </w:rPr>
      <w:t xml:space="preserve"> (427624</w:t>
    </w:r>
    <w:r w:rsidRPr="003045E9">
      <w:rPr>
        <w:lang w:val="en-US"/>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03" w:rsidRDefault="00EB5C0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03" w:rsidRPr="00781831" w:rsidRDefault="00EB5C03" w:rsidP="003045E9">
    <w:pPr>
      <w:pStyle w:val="Footer"/>
      <w:rPr>
        <w:lang w:val="en-US"/>
      </w:rPr>
    </w:pPr>
    <w:r>
      <w:fldChar w:fldCharType="begin"/>
    </w:r>
    <w:r w:rsidRPr="00781831">
      <w:rPr>
        <w:lang w:val="en-US"/>
      </w:rPr>
      <w:instrText xml:space="preserve"> FILENAME  \p  \* MERGEFORMAT </w:instrText>
    </w:r>
    <w:r>
      <w:fldChar w:fldCharType="separate"/>
    </w:r>
    <w:r>
      <w:rPr>
        <w:lang w:val="en-US"/>
      </w:rPr>
      <w:t>P:\ESP\ITU-R\AG\RAG\RAG18\000\001S.docx</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03" w:rsidRPr="003045E9" w:rsidRDefault="00EB5C03" w:rsidP="003045E9">
    <w:pPr>
      <w:pStyle w:val="Footer"/>
      <w:rPr>
        <w:lang w:val="en-US"/>
      </w:rPr>
    </w:pPr>
    <w:r>
      <w:fldChar w:fldCharType="begin"/>
    </w:r>
    <w:r w:rsidRPr="003045E9">
      <w:rPr>
        <w:lang w:val="en-US"/>
      </w:rPr>
      <w:instrText xml:space="preserve"> FILENAME \p  \* MERGEFORMAT </w:instrText>
    </w:r>
    <w:r>
      <w:fldChar w:fldCharType="separate"/>
    </w:r>
    <w:r>
      <w:rPr>
        <w:lang w:val="en-US"/>
      </w:rPr>
      <w:t>P:\ESP\ITU-R\AG\RAG\RAG18\000\001V2S.docx</w:t>
    </w:r>
    <w:r>
      <w:fldChar w:fldCharType="end"/>
    </w:r>
    <w:r>
      <w:rPr>
        <w:lang w:val="en-US"/>
      </w:rPr>
      <w:t xml:space="preserve"> (427624</w:t>
    </w:r>
    <w:r w:rsidRPr="003045E9">
      <w:rPr>
        <w:lang w:val="en-US"/>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03" w:rsidRPr="003045E9" w:rsidRDefault="00EB5C03" w:rsidP="003045E9">
    <w:pPr>
      <w:pStyle w:val="Footer"/>
      <w:rPr>
        <w:lang w:val="en-US"/>
      </w:rPr>
    </w:pPr>
    <w:r>
      <w:fldChar w:fldCharType="begin"/>
    </w:r>
    <w:r w:rsidRPr="003045E9">
      <w:rPr>
        <w:lang w:val="en-US"/>
      </w:rPr>
      <w:instrText xml:space="preserve"> FILENAME \p  \* MERGEFORMAT </w:instrText>
    </w:r>
    <w:r>
      <w:fldChar w:fldCharType="separate"/>
    </w:r>
    <w:r>
      <w:rPr>
        <w:lang w:val="en-US"/>
      </w:rPr>
      <w:t>P:\ESP\ITU-R\AG\RAG\RAG18\000\001V2S.docx</w:t>
    </w:r>
    <w:r>
      <w:fldChar w:fldCharType="end"/>
    </w:r>
    <w:r>
      <w:rPr>
        <w:lang w:val="en-US"/>
      </w:rPr>
      <w:t xml:space="preserve"> (427624</w:t>
    </w:r>
    <w:r w:rsidRPr="003045E9">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C03" w:rsidRDefault="00EB5C03">
      <w:r>
        <w:t>____________________</w:t>
      </w:r>
    </w:p>
    <w:p w:rsidR="00EB5C03" w:rsidRDefault="00EB5C03"/>
  </w:footnote>
  <w:footnote w:type="continuationSeparator" w:id="0">
    <w:p w:rsidR="00EB5C03" w:rsidRDefault="00EB5C03">
      <w:r>
        <w:continuationSeparator/>
      </w:r>
    </w:p>
    <w:p w:rsidR="00EB5C03" w:rsidRDefault="00EB5C03"/>
  </w:footnote>
  <w:footnote w:id="1">
    <w:p w:rsidR="00EB5C03" w:rsidRPr="007B0263" w:rsidRDefault="00EB5C03" w:rsidP="001F3A94">
      <w:pPr>
        <w:pStyle w:val="FootnoteText"/>
        <w:rPr>
          <w:rFonts w:cstheme="minorBidi"/>
        </w:rPr>
      </w:pPr>
      <w:r>
        <w:rPr>
          <w:rStyle w:val="FootnoteReference"/>
        </w:rPr>
        <w:footnoteRef/>
      </w:r>
      <w:r>
        <w:tab/>
      </w:r>
      <w:r w:rsidRPr="007B0263">
        <w:rPr>
          <w:sz w:val="22"/>
          <w:szCs w:val="22"/>
        </w:rPr>
        <w:t>Se incluyen los Manuales del UIT-R sobre Gestión nacional del espectro, Técnicas informatizadas para la gestión del espectro y Comprobación técnica del espectro</w:t>
      </w:r>
      <w:r w:rsidRPr="007B0263">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03" w:rsidRDefault="00EB5C03" w:rsidP="003045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5C03" w:rsidRDefault="00EB5C03" w:rsidP="003045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5C03" w:rsidRDefault="00EB5C03" w:rsidP="003045E9">
    <w:pPr>
      <w:pStyle w:val="Header"/>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55264"/>
      <w:docPartObj>
        <w:docPartGallery w:val="Page Numbers (Top of Page)"/>
        <w:docPartUnique/>
      </w:docPartObj>
    </w:sdtPr>
    <w:sdtEndPr>
      <w:rPr>
        <w:noProof/>
      </w:rPr>
    </w:sdtEndPr>
    <w:sdtContent>
      <w:p w:rsidR="00EB5C03" w:rsidRDefault="00EB5C03" w:rsidP="003045E9">
        <w:pPr>
          <w:pStyle w:val="Header"/>
        </w:pPr>
        <w:r>
          <w:fldChar w:fldCharType="begin"/>
        </w:r>
        <w:r>
          <w:instrText xml:space="preserve"> PAGE   \* MERGEFORMAT </w:instrText>
        </w:r>
        <w:r>
          <w:fldChar w:fldCharType="separate"/>
        </w:r>
        <w:r w:rsidR="00AC5996">
          <w:rPr>
            <w:noProof/>
          </w:rPr>
          <w:t>23</w:t>
        </w:r>
        <w:r>
          <w:rPr>
            <w:noProof/>
          </w:rPr>
          <w:fldChar w:fldCharType="end"/>
        </w:r>
      </w:p>
      <w:p w:rsidR="00EB5C03" w:rsidRDefault="00EB5C03" w:rsidP="003045E9">
        <w:pPr>
          <w:pStyle w:val="Header"/>
        </w:pPr>
        <w:r>
          <w:t>RAG18/1-S</w:t>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03" w:rsidRDefault="00EB5C0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AC5996">
      <w:rPr>
        <w:rStyle w:val="PageNumber"/>
        <w:noProof/>
      </w:rPr>
      <w:t>32</w:t>
    </w:r>
    <w:r>
      <w:rPr>
        <w:rStyle w:val="PageNumber"/>
      </w:rPr>
      <w:fldChar w:fldCharType="end"/>
    </w:r>
  </w:p>
  <w:p w:rsidR="00EB5C03" w:rsidRPr="00213431" w:rsidRDefault="00EB5C03" w:rsidP="00213431">
    <w:pPr>
      <w:pStyle w:val="Header"/>
      <w:rPr>
        <w:lang w:val="es-ES"/>
      </w:rPr>
    </w:pPr>
    <w:r>
      <w:rPr>
        <w:lang w:val="es-ES"/>
      </w:rPr>
      <w:t>RAG18/1-S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512653"/>
      <w:docPartObj>
        <w:docPartGallery w:val="Page Numbers (Top of Page)"/>
        <w:docPartUnique/>
      </w:docPartObj>
    </w:sdtPr>
    <w:sdtEndPr>
      <w:rPr>
        <w:noProof/>
      </w:rPr>
    </w:sdtEndPr>
    <w:sdtContent>
      <w:p w:rsidR="00EB5C03" w:rsidRDefault="00EB5C03" w:rsidP="003045E9">
        <w:pPr>
          <w:pStyle w:val="Header"/>
        </w:pPr>
        <w:r>
          <w:fldChar w:fldCharType="begin"/>
        </w:r>
        <w:r>
          <w:instrText xml:space="preserve"> PAGE   \* MERGEFORMAT </w:instrText>
        </w:r>
        <w:r>
          <w:fldChar w:fldCharType="separate"/>
        </w:r>
        <w:r w:rsidR="00AC5996">
          <w:rPr>
            <w:noProof/>
          </w:rPr>
          <w:t>3</w:t>
        </w:r>
        <w:r>
          <w:rPr>
            <w:noProof/>
          </w:rPr>
          <w:fldChar w:fldCharType="end"/>
        </w:r>
      </w:p>
      <w:p w:rsidR="00EB5C03" w:rsidRPr="00800972" w:rsidRDefault="00EB5C03" w:rsidP="003045E9">
        <w:pPr>
          <w:pStyle w:val="Header"/>
        </w:pPr>
        <w:r>
          <w:t>RAG18/1-S</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001344"/>
      <w:docPartObj>
        <w:docPartGallery w:val="Page Numbers (Top of Page)"/>
        <w:docPartUnique/>
      </w:docPartObj>
    </w:sdtPr>
    <w:sdtEndPr>
      <w:rPr>
        <w:noProof/>
      </w:rPr>
    </w:sdtEndPr>
    <w:sdtContent>
      <w:p w:rsidR="00EB5C03" w:rsidRDefault="00EB5C03" w:rsidP="00213431">
        <w:pPr>
          <w:pStyle w:val="Header"/>
        </w:pPr>
      </w:p>
      <w:p w:rsidR="00EB5C03" w:rsidRPr="00800972" w:rsidRDefault="00EB5C03" w:rsidP="00E57D9A">
        <w:pPr>
          <w:pStyle w:val="Header"/>
        </w:pPr>
        <w:r>
          <w:t>RAG18/1-E</w:t>
        </w:r>
      </w:p>
    </w:sdtContent>
  </w:sdt>
  <w:p w:rsidR="00EB5C03" w:rsidRDefault="00EB5C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089303"/>
      <w:docPartObj>
        <w:docPartGallery w:val="Page Numbers (Top of Page)"/>
        <w:docPartUnique/>
      </w:docPartObj>
    </w:sdtPr>
    <w:sdtEndPr>
      <w:rPr>
        <w:noProof/>
      </w:rPr>
    </w:sdtEndPr>
    <w:sdtContent>
      <w:p w:rsidR="00EB5C03" w:rsidRDefault="00EB5C03" w:rsidP="003045E9">
        <w:pPr>
          <w:pStyle w:val="Header"/>
        </w:pPr>
        <w:r>
          <w:fldChar w:fldCharType="begin"/>
        </w:r>
        <w:r>
          <w:instrText xml:space="preserve"> PAGE   \* MERGEFORMAT </w:instrText>
        </w:r>
        <w:r>
          <w:fldChar w:fldCharType="separate"/>
        </w:r>
        <w:r w:rsidR="00AC5996">
          <w:rPr>
            <w:noProof/>
          </w:rPr>
          <w:t>18</w:t>
        </w:r>
        <w:r>
          <w:rPr>
            <w:noProof/>
          </w:rPr>
          <w:fldChar w:fldCharType="end"/>
        </w:r>
      </w:p>
      <w:p w:rsidR="00EB5C03" w:rsidRPr="00800972" w:rsidRDefault="00EB5C03" w:rsidP="003045E9">
        <w:pPr>
          <w:pStyle w:val="Header"/>
        </w:pPr>
        <w:r>
          <w:t>RAG18/1-S</w:t>
        </w:r>
      </w:p>
    </w:sdtContent>
  </w:sdt>
  <w:p w:rsidR="00EB5C03" w:rsidRPr="00800972" w:rsidRDefault="00EB5C03" w:rsidP="003045E9">
    <w:pPr>
      <w:pStyle w:val="Heade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205218"/>
      <w:docPartObj>
        <w:docPartGallery w:val="Page Numbers (Top of Page)"/>
        <w:docPartUnique/>
      </w:docPartObj>
    </w:sdtPr>
    <w:sdtEndPr>
      <w:rPr>
        <w:noProof/>
      </w:rPr>
    </w:sdtEndPr>
    <w:sdtContent>
      <w:p w:rsidR="00EB5C03" w:rsidRDefault="00EB5C03" w:rsidP="00213431">
        <w:pPr>
          <w:pStyle w:val="Header"/>
        </w:pPr>
        <w:r>
          <w:t>4</w:t>
        </w:r>
      </w:p>
      <w:p w:rsidR="00EB5C03" w:rsidRPr="00800972" w:rsidRDefault="00EB5C03" w:rsidP="00E57D9A">
        <w:pPr>
          <w:pStyle w:val="Header"/>
        </w:pPr>
        <w:r>
          <w:t>RAG18/1-E</w:t>
        </w:r>
      </w:p>
    </w:sdtContent>
  </w:sdt>
  <w:p w:rsidR="00EB5C03" w:rsidRDefault="00EB5C0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478414"/>
      <w:docPartObj>
        <w:docPartGallery w:val="Page Numbers (Top of Page)"/>
        <w:docPartUnique/>
      </w:docPartObj>
    </w:sdtPr>
    <w:sdtEndPr>
      <w:rPr>
        <w:noProof/>
      </w:rPr>
    </w:sdtEndPr>
    <w:sdtContent>
      <w:sdt>
        <w:sdtPr>
          <w:id w:val="1143164816"/>
          <w:docPartObj>
            <w:docPartGallery w:val="Page Numbers (Top of Page)"/>
            <w:docPartUnique/>
          </w:docPartObj>
        </w:sdtPr>
        <w:sdtEndPr>
          <w:rPr>
            <w:noProof/>
          </w:rPr>
        </w:sdtEndPr>
        <w:sdtContent>
          <w:p w:rsidR="00EB5C03" w:rsidRDefault="00EB5C03" w:rsidP="003045E9">
            <w:pPr>
              <w:pStyle w:val="Header"/>
            </w:pPr>
            <w:r>
              <w:fldChar w:fldCharType="begin"/>
            </w:r>
            <w:r>
              <w:instrText xml:space="preserve"> PAGE   \* MERGEFORMAT </w:instrText>
            </w:r>
            <w:r>
              <w:fldChar w:fldCharType="separate"/>
            </w:r>
            <w:r w:rsidR="00AC5996">
              <w:rPr>
                <w:noProof/>
              </w:rPr>
              <w:t>20</w:t>
            </w:r>
            <w:r>
              <w:rPr>
                <w:noProof/>
              </w:rPr>
              <w:fldChar w:fldCharType="end"/>
            </w:r>
          </w:p>
          <w:p w:rsidR="00EB5C03" w:rsidRDefault="00EB5C03" w:rsidP="003045E9">
            <w:pPr>
              <w:pStyle w:val="Header"/>
            </w:pPr>
            <w:r>
              <w:t>RAG18/1-S</w:t>
            </w:r>
          </w:p>
        </w:sdtContent>
      </w:sdt>
      <w:p w:rsidR="00EB5C03" w:rsidRPr="00800972" w:rsidRDefault="00EB5C03" w:rsidP="003045E9">
        <w:pPr>
          <w:pStyle w:val="Header"/>
          <w:jc w:val="left"/>
        </w:pP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748196"/>
      <w:docPartObj>
        <w:docPartGallery w:val="Page Numbers (Top of Page)"/>
        <w:docPartUnique/>
      </w:docPartObj>
    </w:sdtPr>
    <w:sdtEndPr>
      <w:rPr>
        <w:noProof/>
      </w:rPr>
    </w:sdtEndPr>
    <w:sdtContent>
      <w:p w:rsidR="00EB5C03" w:rsidRDefault="00EB5C03" w:rsidP="003045E9">
        <w:pPr>
          <w:pStyle w:val="Header"/>
        </w:pPr>
        <w:r>
          <w:fldChar w:fldCharType="begin"/>
        </w:r>
        <w:r>
          <w:instrText xml:space="preserve"> PAGE   \* MERGEFORMAT </w:instrText>
        </w:r>
        <w:r>
          <w:fldChar w:fldCharType="separate"/>
        </w:r>
        <w:r w:rsidR="00AC5996">
          <w:rPr>
            <w:noProof/>
          </w:rPr>
          <w:t>21</w:t>
        </w:r>
        <w:r>
          <w:rPr>
            <w:noProof/>
          </w:rPr>
          <w:fldChar w:fldCharType="end"/>
        </w:r>
      </w:p>
      <w:p w:rsidR="00EB5C03" w:rsidRPr="00800972" w:rsidRDefault="00EB5C03" w:rsidP="003045E9">
        <w:pPr>
          <w:pStyle w:val="Header"/>
        </w:pPr>
        <w:r>
          <w:t>RAG18/1-S</w:t>
        </w:r>
      </w:p>
    </w:sdtContent>
  </w:sdt>
  <w:p w:rsidR="00EB5C03" w:rsidRPr="00800972" w:rsidRDefault="00EB5C03" w:rsidP="003045E9">
    <w:pPr>
      <w:pStyle w:val="Heade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03" w:rsidRDefault="00EB5C0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03" w:rsidRDefault="00EB5C03" w:rsidP="003045E9">
    <w:pPr>
      <w:pStyle w:val="Header"/>
      <w:rPr>
        <w:lang w:val="es-ES"/>
      </w:rPr>
    </w:pPr>
    <w:r>
      <w:fldChar w:fldCharType="begin"/>
    </w:r>
    <w:r>
      <w:instrText xml:space="preserve"> PAGE </w:instrText>
    </w:r>
    <w:r>
      <w:fldChar w:fldCharType="separate"/>
    </w:r>
    <w:r>
      <w:rPr>
        <w:noProof/>
      </w:rPr>
      <w:t>33</w:t>
    </w:r>
    <w:r>
      <w:rPr>
        <w:noProof/>
      </w:rPr>
      <w:fldChar w:fldCharType="end"/>
    </w:r>
  </w:p>
  <w:p w:rsidR="00EB5C03" w:rsidRDefault="00EB5C03" w:rsidP="003045E9">
    <w:pPr>
      <w:pStyle w:val="Header"/>
      <w:rPr>
        <w:lang w:val="es-ES"/>
      </w:rPr>
    </w:pPr>
    <w:r>
      <w:t>RAG18/1-E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E54875"/>
    <w:multiLevelType w:val="hybridMultilevel"/>
    <w:tmpl w:val="FDB6E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86D35"/>
    <w:multiLevelType w:val="hybridMultilevel"/>
    <w:tmpl w:val="D216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187E6C"/>
    <w:multiLevelType w:val="multilevel"/>
    <w:tmpl w:val="B2C475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098288D"/>
    <w:multiLevelType w:val="hybridMultilevel"/>
    <w:tmpl w:val="C58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8353B"/>
    <w:multiLevelType w:val="hybridMultilevel"/>
    <w:tmpl w:val="93BADE0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2229C"/>
    <w:multiLevelType w:val="multilevel"/>
    <w:tmpl w:val="9BE8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232ADA"/>
    <w:multiLevelType w:val="hybridMultilevel"/>
    <w:tmpl w:val="68CCB3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A1AC3"/>
    <w:multiLevelType w:val="hybridMultilevel"/>
    <w:tmpl w:val="D6645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61DF8"/>
    <w:multiLevelType w:val="hybridMultilevel"/>
    <w:tmpl w:val="0484A6DC"/>
    <w:lvl w:ilvl="0" w:tplc="040A48E6">
      <w:start w:val="13"/>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DCB35E7"/>
    <w:multiLevelType w:val="hybridMultilevel"/>
    <w:tmpl w:val="15607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4F19DF"/>
    <w:multiLevelType w:val="hybridMultilevel"/>
    <w:tmpl w:val="5078A184"/>
    <w:lvl w:ilvl="0" w:tplc="B63829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E35611"/>
    <w:multiLevelType w:val="hybridMultilevel"/>
    <w:tmpl w:val="37F87BE8"/>
    <w:lvl w:ilvl="0" w:tplc="6650986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3E2A0B"/>
    <w:multiLevelType w:val="hybridMultilevel"/>
    <w:tmpl w:val="5D68C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00463"/>
    <w:multiLevelType w:val="hybridMultilevel"/>
    <w:tmpl w:val="E0B644C8"/>
    <w:lvl w:ilvl="0" w:tplc="CDDE7946">
      <w:start w:val="8"/>
      <w:numFmt w:val="bullet"/>
      <w:lvlText w:val="-"/>
      <w:lvlJc w:val="left"/>
      <w:pPr>
        <w:ind w:left="1154" w:hanging="360"/>
      </w:pPr>
      <w:rPr>
        <w:rFonts w:ascii="Times New Roman" w:eastAsia="Times New Roma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4" w15:restartNumberingAfterBreak="0">
    <w:nsid w:val="6E795C5C"/>
    <w:multiLevelType w:val="hybridMultilevel"/>
    <w:tmpl w:val="7ED40998"/>
    <w:lvl w:ilvl="0" w:tplc="FD32EFD6">
      <w:numFmt w:val="bullet"/>
      <w:lvlText w:val="–"/>
      <w:lvlJc w:val="left"/>
      <w:pPr>
        <w:ind w:left="1184" w:hanging="390"/>
      </w:pPr>
      <w:rPr>
        <w:rFonts w:ascii="Times New Roman" w:eastAsia="Times New Roma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5" w15:restartNumberingAfterBreak="0">
    <w:nsid w:val="7C2A357C"/>
    <w:multiLevelType w:val="hybridMultilevel"/>
    <w:tmpl w:val="3584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8"/>
  </w:num>
  <w:num w:numId="14">
    <w:abstractNumId w:val="17"/>
  </w:num>
  <w:num w:numId="15">
    <w:abstractNumId w:val="16"/>
  </w:num>
  <w:num w:numId="16">
    <w:abstractNumId w:val="25"/>
  </w:num>
  <w:num w:numId="17">
    <w:abstractNumId w:val="22"/>
  </w:num>
  <w:num w:numId="18">
    <w:abstractNumId w:val="10"/>
  </w:num>
  <w:num w:numId="19">
    <w:abstractNumId w:val="23"/>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9"/>
  </w:num>
  <w:num w:numId="33">
    <w:abstractNumId w:val="21"/>
  </w:num>
  <w:num w:numId="34">
    <w:abstractNumId w:val="2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73"/>
    <w:rsid w:val="00021810"/>
    <w:rsid w:val="000411C3"/>
    <w:rsid w:val="00055A6A"/>
    <w:rsid w:val="00071270"/>
    <w:rsid w:val="00073562"/>
    <w:rsid w:val="00076FB7"/>
    <w:rsid w:val="00087FE8"/>
    <w:rsid w:val="000A1430"/>
    <w:rsid w:val="000A4257"/>
    <w:rsid w:val="000A6C6C"/>
    <w:rsid w:val="000C62BA"/>
    <w:rsid w:val="000D4137"/>
    <w:rsid w:val="000D6F83"/>
    <w:rsid w:val="000D756D"/>
    <w:rsid w:val="000E3BA4"/>
    <w:rsid w:val="000E6CFD"/>
    <w:rsid w:val="000F0B6F"/>
    <w:rsid w:val="000F3708"/>
    <w:rsid w:val="0012592F"/>
    <w:rsid w:val="00137DF4"/>
    <w:rsid w:val="001525B9"/>
    <w:rsid w:val="001B0E79"/>
    <w:rsid w:val="001B3686"/>
    <w:rsid w:val="001D1D20"/>
    <w:rsid w:val="001F2F50"/>
    <w:rsid w:val="001F3A94"/>
    <w:rsid w:val="002002CB"/>
    <w:rsid w:val="00213431"/>
    <w:rsid w:val="002270A4"/>
    <w:rsid w:val="00232715"/>
    <w:rsid w:val="00235602"/>
    <w:rsid w:val="0026067F"/>
    <w:rsid w:val="00292377"/>
    <w:rsid w:val="002A3851"/>
    <w:rsid w:val="002B775F"/>
    <w:rsid w:val="002E23D8"/>
    <w:rsid w:val="002F2FC2"/>
    <w:rsid w:val="003045E9"/>
    <w:rsid w:val="0031432E"/>
    <w:rsid w:val="0034043B"/>
    <w:rsid w:val="003428CE"/>
    <w:rsid w:val="00352126"/>
    <w:rsid w:val="00370F62"/>
    <w:rsid w:val="003863D6"/>
    <w:rsid w:val="003A4442"/>
    <w:rsid w:val="003E116B"/>
    <w:rsid w:val="003F392E"/>
    <w:rsid w:val="00414D8B"/>
    <w:rsid w:val="00421859"/>
    <w:rsid w:val="0044441E"/>
    <w:rsid w:val="00454C57"/>
    <w:rsid w:val="00482905"/>
    <w:rsid w:val="0049238B"/>
    <w:rsid w:val="0049537A"/>
    <w:rsid w:val="004A1559"/>
    <w:rsid w:val="004B0F41"/>
    <w:rsid w:val="004D6C09"/>
    <w:rsid w:val="004F04DE"/>
    <w:rsid w:val="00524046"/>
    <w:rsid w:val="005330D2"/>
    <w:rsid w:val="00563A5C"/>
    <w:rsid w:val="00563D35"/>
    <w:rsid w:val="0057336B"/>
    <w:rsid w:val="0057767C"/>
    <w:rsid w:val="00577D94"/>
    <w:rsid w:val="005A2195"/>
    <w:rsid w:val="005D3E02"/>
    <w:rsid w:val="005F6760"/>
    <w:rsid w:val="00610642"/>
    <w:rsid w:val="006141E0"/>
    <w:rsid w:val="00616601"/>
    <w:rsid w:val="00642781"/>
    <w:rsid w:val="00646303"/>
    <w:rsid w:val="00646EEF"/>
    <w:rsid w:val="00653982"/>
    <w:rsid w:val="00660EA2"/>
    <w:rsid w:val="00663829"/>
    <w:rsid w:val="0067236E"/>
    <w:rsid w:val="00676689"/>
    <w:rsid w:val="00682C0D"/>
    <w:rsid w:val="00690662"/>
    <w:rsid w:val="006914BB"/>
    <w:rsid w:val="0069255A"/>
    <w:rsid w:val="006A42AB"/>
    <w:rsid w:val="006B0CD0"/>
    <w:rsid w:val="006B2221"/>
    <w:rsid w:val="006D5679"/>
    <w:rsid w:val="006E291F"/>
    <w:rsid w:val="00727858"/>
    <w:rsid w:val="0078024F"/>
    <w:rsid w:val="00781831"/>
    <w:rsid w:val="00782776"/>
    <w:rsid w:val="00795540"/>
    <w:rsid w:val="007C4171"/>
    <w:rsid w:val="007D31EE"/>
    <w:rsid w:val="007F1223"/>
    <w:rsid w:val="00815C15"/>
    <w:rsid w:val="0084627E"/>
    <w:rsid w:val="008506C9"/>
    <w:rsid w:val="00897C38"/>
    <w:rsid w:val="008E50FD"/>
    <w:rsid w:val="008F0106"/>
    <w:rsid w:val="008F1C1D"/>
    <w:rsid w:val="008F1E31"/>
    <w:rsid w:val="008F3CA4"/>
    <w:rsid w:val="00906F26"/>
    <w:rsid w:val="0091438F"/>
    <w:rsid w:val="00921F65"/>
    <w:rsid w:val="00924B63"/>
    <w:rsid w:val="009518DB"/>
    <w:rsid w:val="009552CB"/>
    <w:rsid w:val="00982618"/>
    <w:rsid w:val="009953DF"/>
    <w:rsid w:val="009C205E"/>
    <w:rsid w:val="009E1CEA"/>
    <w:rsid w:val="009E1F2D"/>
    <w:rsid w:val="009F276F"/>
    <w:rsid w:val="00A0579C"/>
    <w:rsid w:val="00A3257D"/>
    <w:rsid w:val="00A37230"/>
    <w:rsid w:val="00AA1A82"/>
    <w:rsid w:val="00AB3809"/>
    <w:rsid w:val="00AB729D"/>
    <w:rsid w:val="00AC5996"/>
    <w:rsid w:val="00AD61B5"/>
    <w:rsid w:val="00B32D12"/>
    <w:rsid w:val="00B32E51"/>
    <w:rsid w:val="00B353F2"/>
    <w:rsid w:val="00B43E43"/>
    <w:rsid w:val="00B450A6"/>
    <w:rsid w:val="00B75838"/>
    <w:rsid w:val="00BB79E6"/>
    <w:rsid w:val="00BE2E1F"/>
    <w:rsid w:val="00BF547F"/>
    <w:rsid w:val="00C10B9B"/>
    <w:rsid w:val="00C17C65"/>
    <w:rsid w:val="00C32455"/>
    <w:rsid w:val="00C53010"/>
    <w:rsid w:val="00C633CC"/>
    <w:rsid w:val="00C82341"/>
    <w:rsid w:val="00C837F0"/>
    <w:rsid w:val="00C87DAE"/>
    <w:rsid w:val="00CB6F0B"/>
    <w:rsid w:val="00CB7A43"/>
    <w:rsid w:val="00CC6916"/>
    <w:rsid w:val="00CF4CAC"/>
    <w:rsid w:val="00D1010F"/>
    <w:rsid w:val="00D163ED"/>
    <w:rsid w:val="00D32F37"/>
    <w:rsid w:val="00D37123"/>
    <w:rsid w:val="00D40026"/>
    <w:rsid w:val="00D454C0"/>
    <w:rsid w:val="00D50600"/>
    <w:rsid w:val="00D51E1E"/>
    <w:rsid w:val="00D94160"/>
    <w:rsid w:val="00DE77E6"/>
    <w:rsid w:val="00E2424E"/>
    <w:rsid w:val="00E272BE"/>
    <w:rsid w:val="00E3515B"/>
    <w:rsid w:val="00E50353"/>
    <w:rsid w:val="00E57D9A"/>
    <w:rsid w:val="00E72EA7"/>
    <w:rsid w:val="00E81110"/>
    <w:rsid w:val="00E96D93"/>
    <w:rsid w:val="00EA4101"/>
    <w:rsid w:val="00EA7551"/>
    <w:rsid w:val="00EB5C03"/>
    <w:rsid w:val="00ED15DC"/>
    <w:rsid w:val="00EE128E"/>
    <w:rsid w:val="00EE2B4C"/>
    <w:rsid w:val="00F23715"/>
    <w:rsid w:val="00F55EB4"/>
    <w:rsid w:val="00F81F33"/>
    <w:rsid w:val="00F91DE1"/>
    <w:rsid w:val="00FA1001"/>
    <w:rsid w:val="00FA6FC7"/>
    <w:rsid w:val="00FA7C73"/>
    <w:rsid w:val="00FE1939"/>
    <w:rsid w:val="00FF7F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FDE2859-9082-4DEA-9550-4A5F8AAC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link w:val="Heading3Char"/>
    <w:qFormat/>
    <w:rsid w:val="004D6C09"/>
    <w:pPr>
      <w:spacing w:before="160"/>
      <w:outlineLvl w:val="2"/>
    </w:pPr>
  </w:style>
  <w:style w:type="paragraph" w:styleId="Heading4">
    <w:name w:val="heading 4"/>
    <w:basedOn w:val="Heading3"/>
    <w:next w:val="Normal"/>
    <w:link w:val="Heading4Char"/>
    <w:qFormat/>
    <w:rsid w:val="004D6C09"/>
    <w:pPr>
      <w:tabs>
        <w:tab w:val="clear" w:pos="794"/>
        <w:tab w:val="left" w:pos="1021"/>
      </w:tabs>
      <w:ind w:left="1021" w:hanging="1021"/>
      <w:outlineLvl w:val="3"/>
    </w:pPr>
  </w:style>
  <w:style w:type="paragraph" w:styleId="Heading5">
    <w:name w:val="heading 5"/>
    <w:basedOn w:val="Heading4"/>
    <w:next w:val="Normal"/>
    <w:link w:val="Heading5Char"/>
    <w:qFormat/>
    <w:rsid w:val="004D6C09"/>
    <w:pPr>
      <w:outlineLvl w:val="4"/>
    </w:pPr>
  </w:style>
  <w:style w:type="paragraph" w:styleId="Heading6">
    <w:name w:val="heading 6"/>
    <w:basedOn w:val="Heading4"/>
    <w:next w:val="Normal"/>
    <w:link w:val="Heading6Char"/>
    <w:qFormat/>
    <w:rsid w:val="004D6C09"/>
    <w:pPr>
      <w:tabs>
        <w:tab w:val="clear" w:pos="1021"/>
        <w:tab w:val="clear" w:pos="1191"/>
      </w:tabs>
      <w:ind w:left="1588" w:hanging="1588"/>
      <w:outlineLvl w:val="5"/>
    </w:pPr>
  </w:style>
  <w:style w:type="paragraph" w:styleId="Heading7">
    <w:name w:val="heading 7"/>
    <w:basedOn w:val="Heading6"/>
    <w:next w:val="Normal"/>
    <w:link w:val="Heading7Char"/>
    <w:qFormat/>
    <w:rsid w:val="004D6C09"/>
    <w:pPr>
      <w:outlineLvl w:val="6"/>
    </w:pPr>
  </w:style>
  <w:style w:type="paragraph" w:styleId="Heading8">
    <w:name w:val="heading 8"/>
    <w:basedOn w:val="Heading6"/>
    <w:next w:val="Normal"/>
    <w:link w:val="Heading8Char"/>
    <w:qFormat/>
    <w:rsid w:val="004D6C09"/>
    <w:pPr>
      <w:outlineLvl w:val="7"/>
    </w:pPr>
  </w:style>
  <w:style w:type="paragraph" w:styleId="Heading9">
    <w:name w:val="heading 9"/>
    <w:basedOn w:val="Heading6"/>
    <w:next w:val="Normal"/>
    <w:link w:val="Heading9Char"/>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C73"/>
    <w:rPr>
      <w:rFonts w:ascii="Times New Roman" w:hAnsi="Times New Roman"/>
      <w:b/>
      <w:sz w:val="24"/>
      <w:lang w:val="es-ES_tradnl" w:eastAsia="en-US"/>
    </w:rPr>
  </w:style>
  <w:style w:type="character" w:customStyle="1" w:styleId="Heading2Char">
    <w:name w:val="Heading 2 Char"/>
    <w:basedOn w:val="DefaultParagraphFont"/>
    <w:link w:val="Heading2"/>
    <w:rsid w:val="00FA7C73"/>
    <w:rPr>
      <w:rFonts w:ascii="Times New Roman" w:hAnsi="Times New Roman"/>
      <w:b/>
      <w:sz w:val="24"/>
      <w:lang w:val="es-ES_tradnl" w:eastAsia="en-US"/>
    </w:rPr>
  </w:style>
  <w:style w:type="character" w:customStyle="1" w:styleId="Heading3Char">
    <w:name w:val="Heading 3 Char"/>
    <w:basedOn w:val="DefaultParagraphFont"/>
    <w:link w:val="Heading3"/>
    <w:rsid w:val="00FA7C73"/>
    <w:rPr>
      <w:rFonts w:ascii="Times New Roman" w:hAnsi="Times New Roman"/>
      <w:b/>
      <w:sz w:val="24"/>
      <w:lang w:val="es-ES_tradnl" w:eastAsia="en-US"/>
    </w:rPr>
  </w:style>
  <w:style w:type="character" w:customStyle="1" w:styleId="Heading4Char">
    <w:name w:val="Heading 4 Char"/>
    <w:basedOn w:val="DefaultParagraphFont"/>
    <w:link w:val="Heading4"/>
    <w:rsid w:val="00FA7C73"/>
    <w:rPr>
      <w:rFonts w:ascii="Times New Roman" w:hAnsi="Times New Roman"/>
      <w:b/>
      <w:sz w:val="24"/>
      <w:lang w:val="es-ES_tradnl" w:eastAsia="en-US"/>
    </w:rPr>
  </w:style>
  <w:style w:type="character" w:customStyle="1" w:styleId="Heading5Char">
    <w:name w:val="Heading 5 Char"/>
    <w:basedOn w:val="DefaultParagraphFont"/>
    <w:link w:val="Heading5"/>
    <w:rsid w:val="00FA7C73"/>
    <w:rPr>
      <w:rFonts w:ascii="Times New Roman" w:hAnsi="Times New Roman"/>
      <w:b/>
      <w:sz w:val="24"/>
      <w:lang w:val="es-ES_tradnl" w:eastAsia="en-US"/>
    </w:rPr>
  </w:style>
  <w:style w:type="character" w:customStyle="1" w:styleId="Heading6Char">
    <w:name w:val="Heading 6 Char"/>
    <w:basedOn w:val="DefaultParagraphFont"/>
    <w:link w:val="Heading6"/>
    <w:rsid w:val="00FA7C73"/>
    <w:rPr>
      <w:rFonts w:ascii="Times New Roman" w:hAnsi="Times New Roman"/>
      <w:b/>
      <w:sz w:val="24"/>
      <w:lang w:val="es-ES_tradnl" w:eastAsia="en-US"/>
    </w:rPr>
  </w:style>
  <w:style w:type="character" w:customStyle="1" w:styleId="Heading7Char">
    <w:name w:val="Heading 7 Char"/>
    <w:basedOn w:val="DefaultParagraphFont"/>
    <w:link w:val="Heading7"/>
    <w:rsid w:val="00FA7C73"/>
    <w:rPr>
      <w:rFonts w:ascii="Times New Roman" w:hAnsi="Times New Roman"/>
      <w:b/>
      <w:sz w:val="24"/>
      <w:lang w:val="es-ES_tradnl" w:eastAsia="en-US"/>
    </w:rPr>
  </w:style>
  <w:style w:type="character" w:customStyle="1" w:styleId="Heading8Char">
    <w:name w:val="Heading 8 Char"/>
    <w:basedOn w:val="DefaultParagraphFont"/>
    <w:link w:val="Heading8"/>
    <w:rsid w:val="00FA7C73"/>
    <w:rPr>
      <w:rFonts w:ascii="Times New Roman" w:hAnsi="Times New Roman"/>
      <w:b/>
      <w:sz w:val="24"/>
      <w:lang w:val="es-ES_tradnl" w:eastAsia="en-US"/>
    </w:rPr>
  </w:style>
  <w:style w:type="character" w:customStyle="1" w:styleId="Heading9Char">
    <w:name w:val="Heading 9 Char"/>
    <w:basedOn w:val="DefaultParagraphFont"/>
    <w:link w:val="Heading9"/>
    <w:rsid w:val="00FA7C73"/>
    <w:rPr>
      <w:rFonts w:ascii="Times New Roman" w:hAnsi="Times New Roman"/>
      <w:b/>
      <w:sz w:val="24"/>
      <w:lang w:val="es-ES_tradnl" w:eastAsia="en-US"/>
    </w:rPr>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link w:val="TableheadChar"/>
    <w:uiPriority w:val="99"/>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locked/>
    <w:rsid w:val="00FA7C73"/>
    <w:rPr>
      <w:rFonts w:ascii="Times New Roman" w:hAnsi="Times New Roman"/>
      <w:sz w:val="22"/>
      <w:lang w:val="es-ES_tradnl" w:eastAsia="en-US"/>
    </w:rPr>
  </w:style>
  <w:style w:type="character" w:customStyle="1" w:styleId="TableheadChar">
    <w:name w:val="Table_head Char"/>
    <w:basedOn w:val="DefaultParagraphFont"/>
    <w:link w:val="Tablehead"/>
    <w:uiPriority w:val="99"/>
    <w:rsid w:val="00FA7C73"/>
    <w:rPr>
      <w:rFonts w:ascii="Times New Roman" w:hAnsi="Times New Roman"/>
      <w:b/>
      <w:sz w:val="22"/>
      <w:lang w:val="es-ES_tradnl" w:eastAsia="en-US"/>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link w:val="CallChar"/>
    <w:rsid w:val="004D6C09"/>
    <w:pPr>
      <w:keepNext/>
      <w:keepLines/>
      <w:spacing w:before="160"/>
      <w:ind w:left="794"/>
    </w:pPr>
    <w:rPr>
      <w:i/>
    </w:rPr>
  </w:style>
  <w:style w:type="character" w:customStyle="1" w:styleId="CallChar">
    <w:name w:val="Call Char"/>
    <w:basedOn w:val="DefaultParagraphFont"/>
    <w:link w:val="Call"/>
    <w:locked/>
    <w:rsid w:val="00FA7C73"/>
    <w:rPr>
      <w:rFonts w:ascii="Times New Roman" w:hAnsi="Times New Roman"/>
      <w:i/>
      <w:sz w:val="24"/>
      <w:lang w:val="es-ES_tradnl" w:eastAsia="en-US"/>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uiPriority w:val="99"/>
    <w:rsid w:val="004D6C09"/>
    <w:rPr>
      <w:vertAlign w:val="superscript"/>
    </w:rPr>
  </w:style>
  <w:style w:type="paragraph" w:customStyle="1" w:styleId="enumlev1">
    <w:name w:val="enumlev1"/>
    <w:basedOn w:val="Normal"/>
    <w:link w:val="enumlev1Char"/>
    <w:qFormat/>
    <w:rsid w:val="004D6C09"/>
    <w:pPr>
      <w:spacing w:before="80"/>
      <w:ind w:left="794" w:hanging="794"/>
    </w:pPr>
  </w:style>
  <w:style w:type="character" w:customStyle="1" w:styleId="enumlev1Char">
    <w:name w:val="enumlev1 Char"/>
    <w:basedOn w:val="DefaultParagraphFont"/>
    <w:link w:val="enumlev1"/>
    <w:locked/>
    <w:rsid w:val="00FA7C73"/>
    <w:rPr>
      <w:rFonts w:ascii="Times New Roman" w:hAnsi="Times New Roman"/>
      <w:sz w:val="24"/>
      <w:lang w:val="es-ES_tradnl" w:eastAsia="en-US"/>
    </w:r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character" w:customStyle="1" w:styleId="RestitleChar">
    <w:name w:val="Res_title Char"/>
    <w:basedOn w:val="DefaultParagraphFont"/>
    <w:link w:val="Restitle"/>
    <w:locked/>
    <w:rsid w:val="00FA7C73"/>
    <w:rPr>
      <w:rFonts w:ascii="Times New Roman" w:hAnsi="Times New Roman"/>
      <w:b/>
      <w:sz w:val="28"/>
      <w:lang w:val="es-ES_tradnl" w:eastAsia="en-US"/>
    </w:rPr>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FA7C73"/>
    <w:rPr>
      <w:rFonts w:ascii="Times New Roman" w:hAnsi="Times New Roman"/>
      <w:caps/>
      <w:noProof/>
      <w:sz w:val="16"/>
      <w:lang w:val="es-ES_tradnl" w:eastAsia="en-US"/>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4D6C09"/>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F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uiPriority w:val="99"/>
    <w:rsid w:val="00FA7C73"/>
    <w:rPr>
      <w:rFonts w:ascii="Times New Roman" w:hAnsi="Times New Roman"/>
      <w:sz w:val="24"/>
      <w:lang w:val="es-ES_tradnl" w:eastAsia="en-US"/>
    </w:rPr>
  </w:style>
  <w:style w:type="paragraph" w:styleId="Header">
    <w:name w:val="header"/>
    <w:aliases w:val="encabezado,he"/>
    <w:basedOn w:val="Normal"/>
    <w:link w:val="HeaderChar"/>
    <w:uiPriority w:val="99"/>
    <w:rsid w:val="004D6C09"/>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FA7C73"/>
    <w:rPr>
      <w:rFonts w:ascii="Times New Roman" w:hAnsi="Times New Roman"/>
      <w:sz w:val="18"/>
      <w:lang w:val="es-ES_tradnl" w:eastAsia="en-US"/>
    </w:rPr>
  </w:style>
  <w:style w:type="paragraph" w:customStyle="1" w:styleId="Headingb">
    <w:name w:val="Heading_b"/>
    <w:basedOn w:val="Normal"/>
    <w:next w:val="Normal"/>
    <w:link w:val="HeadingbChar"/>
    <w:qFormat/>
    <w:rsid w:val="004D6C09"/>
    <w:pPr>
      <w:keepNext/>
      <w:spacing w:before="160"/>
    </w:pPr>
    <w:rPr>
      <w:b/>
    </w:rPr>
  </w:style>
  <w:style w:type="character" w:customStyle="1" w:styleId="HeadingbChar">
    <w:name w:val="Heading_b Char"/>
    <w:link w:val="Headingb"/>
    <w:locked/>
    <w:rsid w:val="00FA7C73"/>
    <w:rPr>
      <w:rFonts w:ascii="Times New Roman" w:hAnsi="Times New Roman"/>
      <w:b/>
      <w:sz w:val="24"/>
      <w:lang w:val="es-ES_tradnl" w:eastAsia="en-US"/>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rsid w:val="004D6C09"/>
  </w:style>
  <w:style w:type="paragraph" w:styleId="Index2">
    <w:name w:val="index 2"/>
    <w:basedOn w:val="Normal"/>
    <w:next w:val="Normal"/>
    <w:rsid w:val="004D6C09"/>
    <w:pPr>
      <w:ind w:left="283"/>
    </w:pPr>
  </w:style>
  <w:style w:type="paragraph" w:styleId="Index3">
    <w:name w:val="index 3"/>
    <w:basedOn w:val="Normal"/>
    <w:next w:val="Normal"/>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uiPriority w:val="99"/>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uiPriority w:val="39"/>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4D6C09"/>
    <w:pPr>
      <w:spacing w:before="80"/>
      <w:ind w:left="1531" w:hanging="851"/>
    </w:pPr>
  </w:style>
  <w:style w:type="paragraph" w:styleId="TOC3">
    <w:name w:val="toc 3"/>
    <w:basedOn w:val="TOC2"/>
    <w:uiPriority w:val="39"/>
    <w:rsid w:val="004D6C09"/>
  </w:style>
  <w:style w:type="paragraph" w:styleId="TOC4">
    <w:name w:val="toc 4"/>
    <w:basedOn w:val="TOC3"/>
    <w:rsid w:val="004D6C09"/>
  </w:style>
  <w:style w:type="paragraph" w:styleId="TOC5">
    <w:name w:val="toc 5"/>
    <w:basedOn w:val="TOC4"/>
    <w:rsid w:val="004D6C09"/>
  </w:style>
  <w:style w:type="paragraph" w:styleId="TOC6">
    <w:name w:val="toc 6"/>
    <w:basedOn w:val="TOC4"/>
    <w:rsid w:val="004D6C09"/>
  </w:style>
  <w:style w:type="paragraph" w:styleId="TOC7">
    <w:name w:val="toc 7"/>
    <w:basedOn w:val="TOC4"/>
    <w:rsid w:val="004D6C09"/>
  </w:style>
  <w:style w:type="paragraph" w:styleId="TOC8">
    <w:name w:val="toc 8"/>
    <w:basedOn w:val="TOC4"/>
    <w:rsid w:val="004D6C09"/>
  </w:style>
  <w:style w:type="character" w:styleId="PageNumber">
    <w:name w:val="page number"/>
    <w:basedOn w:val="DefaultParagraphFont"/>
    <w:uiPriority w:val="99"/>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FA7C73"/>
    <w:pPr>
      <w:spacing w:before="0"/>
    </w:pPr>
    <w:rPr>
      <w:rFonts w:ascii="Tahoma" w:eastAsiaTheme="minorEastAsia" w:hAnsi="Tahoma" w:cs="Tahoma"/>
      <w:sz w:val="16"/>
      <w:szCs w:val="16"/>
      <w:lang w:val="en-GB"/>
    </w:rPr>
  </w:style>
  <w:style w:type="character" w:customStyle="1" w:styleId="BalloonTextChar">
    <w:name w:val="Balloon Text Char"/>
    <w:basedOn w:val="DefaultParagraphFont"/>
    <w:link w:val="BalloonText"/>
    <w:rsid w:val="00FA7C73"/>
    <w:rPr>
      <w:rFonts w:ascii="Tahoma" w:eastAsiaTheme="minorEastAsia" w:hAnsi="Tahoma" w:cs="Tahoma"/>
      <w:sz w:val="16"/>
      <w:szCs w:val="16"/>
      <w:lang w:val="en-GB" w:eastAsia="en-US"/>
    </w:rPr>
  </w:style>
  <w:style w:type="paragraph" w:styleId="ListParagraph">
    <w:name w:val="List Paragraph"/>
    <w:basedOn w:val="Normal"/>
    <w:link w:val="ListParagraphChar"/>
    <w:uiPriority w:val="34"/>
    <w:qFormat/>
    <w:rsid w:val="00FA7C73"/>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Cs w:val="22"/>
      <w:lang w:val="en-US" w:eastAsia="zh-CN"/>
    </w:rPr>
  </w:style>
  <w:style w:type="character" w:customStyle="1" w:styleId="ListParagraphChar">
    <w:name w:val="List Paragraph Char"/>
    <w:basedOn w:val="DefaultParagraphFont"/>
    <w:link w:val="ListParagraph"/>
    <w:uiPriority w:val="34"/>
    <w:locked/>
    <w:rsid w:val="00FA7C73"/>
    <w:rPr>
      <w:rFonts w:ascii="Times New Roman" w:eastAsiaTheme="minorEastAsia" w:hAnsi="Times New Roman" w:cstheme="minorBidi"/>
      <w:sz w:val="24"/>
      <w:szCs w:val="22"/>
    </w:rPr>
  </w:style>
  <w:style w:type="character" w:styleId="Hyperlink">
    <w:name w:val="Hyperlink"/>
    <w:basedOn w:val="DefaultParagraphFont"/>
    <w:uiPriority w:val="99"/>
    <w:unhideWhenUsed/>
    <w:rsid w:val="00FA7C73"/>
    <w:rPr>
      <w:color w:val="0000FF"/>
      <w:u w:val="single"/>
    </w:rPr>
  </w:style>
  <w:style w:type="paragraph" w:styleId="PlainText">
    <w:name w:val="Plain Text"/>
    <w:basedOn w:val="Normal"/>
    <w:link w:val="PlainTextChar"/>
    <w:uiPriority w:val="99"/>
    <w:unhideWhenUsed/>
    <w:rsid w:val="00FA7C73"/>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FA7C73"/>
    <w:rPr>
      <w:rFonts w:ascii="Consolas" w:eastAsiaTheme="minorEastAsia" w:hAnsi="Consolas" w:cstheme="minorBidi"/>
      <w:sz w:val="21"/>
      <w:szCs w:val="21"/>
    </w:rPr>
  </w:style>
  <w:style w:type="table" w:styleId="TableGrid">
    <w:name w:val="Table Grid"/>
    <w:basedOn w:val="TableNormal"/>
    <w:uiPriority w:val="59"/>
    <w:rsid w:val="00FA7C73"/>
    <w:rPr>
      <w:rFonts w:ascii="Times" w:eastAsiaTheme="minorEastAsia"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7C73"/>
    <w:rPr>
      <w:rFonts w:asciiTheme="minorHAnsi" w:eastAsiaTheme="minorEastAsia" w:hAnsiTheme="minorHAnsi" w:cstheme="minorBidi"/>
      <w:sz w:val="22"/>
      <w:szCs w:val="22"/>
    </w:rPr>
  </w:style>
  <w:style w:type="character" w:styleId="Strong">
    <w:name w:val="Strong"/>
    <w:basedOn w:val="DefaultParagraphFont"/>
    <w:uiPriority w:val="22"/>
    <w:qFormat/>
    <w:rsid w:val="00FA7C73"/>
    <w:rPr>
      <w:b/>
      <w:bCs/>
    </w:rPr>
  </w:style>
  <w:style w:type="paragraph" w:customStyle="1" w:styleId="AnnexNo">
    <w:name w:val="Annex_No"/>
    <w:basedOn w:val="Normal"/>
    <w:next w:val="Normal"/>
    <w:rsid w:val="00FA7C73"/>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character" w:styleId="FollowedHyperlink">
    <w:name w:val="FollowedHyperlink"/>
    <w:basedOn w:val="DefaultParagraphFont"/>
    <w:unhideWhenUsed/>
    <w:rsid w:val="00FA7C73"/>
    <w:rPr>
      <w:color w:val="606420"/>
      <w:u w:val="single"/>
    </w:rPr>
  </w:style>
  <w:style w:type="paragraph" w:styleId="NormalWeb">
    <w:name w:val="Normal (Web)"/>
    <w:basedOn w:val="Normal"/>
    <w:uiPriority w:val="99"/>
    <w:unhideWhenUsed/>
    <w:rsid w:val="00FA7C73"/>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FA7C73"/>
    <w:pPr>
      <w:spacing w:before="0"/>
      <w:textAlignment w:val="auto"/>
    </w:pPr>
    <w:rPr>
      <w:rFonts w:eastAsiaTheme="minorEastAsia"/>
      <w:sz w:val="20"/>
      <w:lang w:val="en-GB"/>
    </w:rPr>
  </w:style>
  <w:style w:type="character" w:customStyle="1" w:styleId="EndnoteTextChar">
    <w:name w:val="Endnote Text Char"/>
    <w:basedOn w:val="DefaultParagraphFont"/>
    <w:link w:val="EndnoteText"/>
    <w:uiPriority w:val="99"/>
    <w:rsid w:val="00FA7C73"/>
    <w:rPr>
      <w:rFonts w:ascii="Times New Roman" w:eastAsiaTheme="minorEastAsia" w:hAnsi="Times New Roman"/>
      <w:lang w:val="en-GB" w:eastAsia="en-US"/>
    </w:rPr>
  </w:style>
  <w:style w:type="paragraph" w:styleId="Title">
    <w:name w:val="Title"/>
    <w:basedOn w:val="Normal"/>
    <w:next w:val="Normal"/>
    <w:link w:val="TitleChar"/>
    <w:qFormat/>
    <w:rsid w:val="00FA7C73"/>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FA7C73"/>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FA7C73"/>
    <w:pPr>
      <w:textAlignment w:val="auto"/>
    </w:pPr>
    <w:rPr>
      <w:rFonts w:eastAsiaTheme="minorEastAsia"/>
      <w:b/>
      <w:bCs/>
      <w:i/>
      <w:iCs/>
      <w:szCs w:val="24"/>
      <w:lang w:val="en-GB"/>
    </w:rPr>
  </w:style>
  <w:style w:type="character" w:customStyle="1" w:styleId="BodyTextChar">
    <w:name w:val="Body Text Char"/>
    <w:basedOn w:val="DefaultParagraphFont"/>
    <w:link w:val="BodyText"/>
    <w:rsid w:val="00FA7C73"/>
    <w:rPr>
      <w:rFonts w:ascii="Times New Roman" w:eastAsiaTheme="minorEastAsia" w:hAnsi="Times New Roman"/>
      <w:b/>
      <w:bCs/>
      <w:i/>
      <w:iCs/>
      <w:sz w:val="24"/>
      <w:szCs w:val="24"/>
      <w:lang w:val="en-GB" w:eastAsia="en-US"/>
    </w:rPr>
  </w:style>
  <w:style w:type="paragraph" w:styleId="BodyTextIndent">
    <w:name w:val="Body Text Indent"/>
    <w:basedOn w:val="Normal"/>
    <w:link w:val="BodyTextIndentChar"/>
    <w:unhideWhenUsed/>
    <w:rsid w:val="00FA7C73"/>
    <w:pPr>
      <w:spacing w:after="120"/>
      <w:ind w:left="360"/>
      <w:textAlignment w:val="auto"/>
    </w:pPr>
    <w:rPr>
      <w:rFonts w:eastAsiaTheme="minorEastAsia"/>
      <w:lang w:val="en-GB"/>
    </w:rPr>
  </w:style>
  <w:style w:type="character" w:customStyle="1" w:styleId="BodyTextIndentChar">
    <w:name w:val="Body Text Indent Char"/>
    <w:basedOn w:val="DefaultParagraphFont"/>
    <w:link w:val="BodyTextIndent"/>
    <w:rsid w:val="00FA7C73"/>
    <w:rPr>
      <w:rFonts w:ascii="Times New Roman" w:eastAsiaTheme="minorEastAsia" w:hAnsi="Times New Roman"/>
      <w:sz w:val="24"/>
      <w:lang w:val="en-GB" w:eastAsia="en-US"/>
    </w:rPr>
  </w:style>
  <w:style w:type="paragraph" w:styleId="Subtitle">
    <w:name w:val="Subtitle"/>
    <w:basedOn w:val="Normal"/>
    <w:next w:val="Normal"/>
    <w:link w:val="SubtitleChar"/>
    <w:uiPriority w:val="11"/>
    <w:qFormat/>
    <w:rsid w:val="00FA7C73"/>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FA7C73"/>
    <w:rPr>
      <w:rFonts w:ascii="Cambria" w:eastAsia="SimSun" w:hAnsi="Cambria"/>
      <w:i/>
      <w:iCs/>
      <w:color w:val="4F81BD"/>
      <w:spacing w:val="15"/>
      <w:sz w:val="24"/>
      <w:szCs w:val="24"/>
    </w:rPr>
  </w:style>
  <w:style w:type="paragraph" w:styleId="BodyText2">
    <w:name w:val="Body Text 2"/>
    <w:basedOn w:val="Normal"/>
    <w:link w:val="BodyText2Char"/>
    <w:unhideWhenUsed/>
    <w:rsid w:val="00FA7C73"/>
    <w:pPr>
      <w:spacing w:after="120" w:line="480" w:lineRule="auto"/>
      <w:textAlignment w:val="auto"/>
    </w:pPr>
    <w:rPr>
      <w:rFonts w:eastAsiaTheme="minorEastAsia"/>
      <w:lang w:val="en-GB"/>
    </w:rPr>
  </w:style>
  <w:style w:type="character" w:customStyle="1" w:styleId="BodyText2Char">
    <w:name w:val="Body Text 2 Char"/>
    <w:basedOn w:val="DefaultParagraphFont"/>
    <w:link w:val="BodyText2"/>
    <w:rsid w:val="00FA7C73"/>
    <w:rPr>
      <w:rFonts w:ascii="Times New Roman" w:eastAsiaTheme="minorEastAsia" w:hAnsi="Times New Roman"/>
      <w:sz w:val="24"/>
      <w:lang w:val="en-GB" w:eastAsia="en-US"/>
    </w:rPr>
  </w:style>
  <w:style w:type="paragraph" w:styleId="Revision">
    <w:name w:val="Revision"/>
    <w:uiPriority w:val="99"/>
    <w:semiHidden/>
    <w:rsid w:val="00FA7C73"/>
    <w:rPr>
      <w:rFonts w:ascii="Times New Roman" w:eastAsiaTheme="minorEastAsia" w:hAnsi="Times New Roman"/>
      <w:sz w:val="24"/>
      <w:lang w:val="en-GB" w:eastAsia="en-US"/>
    </w:rPr>
  </w:style>
  <w:style w:type="character" w:styleId="CommentReference">
    <w:name w:val="annotation reference"/>
    <w:basedOn w:val="DefaultParagraphFont"/>
    <w:semiHidden/>
    <w:unhideWhenUsed/>
    <w:rsid w:val="00FA7C73"/>
    <w:rPr>
      <w:sz w:val="16"/>
      <w:szCs w:val="16"/>
    </w:rPr>
  </w:style>
  <w:style w:type="paragraph" w:styleId="CommentText">
    <w:name w:val="annotation text"/>
    <w:basedOn w:val="Normal"/>
    <w:link w:val="CommentTextChar"/>
    <w:semiHidden/>
    <w:unhideWhenUsed/>
    <w:rsid w:val="00FA7C73"/>
    <w:rPr>
      <w:rFonts w:eastAsiaTheme="minorEastAsia"/>
      <w:sz w:val="20"/>
      <w:lang w:val="en-GB"/>
    </w:rPr>
  </w:style>
  <w:style w:type="character" w:customStyle="1" w:styleId="CommentTextChar">
    <w:name w:val="Comment Text Char"/>
    <w:basedOn w:val="DefaultParagraphFont"/>
    <w:link w:val="CommentText"/>
    <w:semiHidden/>
    <w:rsid w:val="00FA7C73"/>
    <w:rPr>
      <w:rFonts w:ascii="Times New Roman" w:eastAsiaTheme="minorEastAsia" w:hAnsi="Times New Roman"/>
      <w:lang w:val="en-GB" w:eastAsia="en-US"/>
    </w:rPr>
  </w:style>
  <w:style w:type="paragraph" w:styleId="CommentSubject">
    <w:name w:val="annotation subject"/>
    <w:basedOn w:val="CommentText"/>
    <w:next w:val="CommentText"/>
    <w:link w:val="CommentSubjectChar"/>
    <w:semiHidden/>
    <w:unhideWhenUsed/>
    <w:rsid w:val="00FA7C73"/>
    <w:rPr>
      <w:b/>
      <w:bCs/>
    </w:rPr>
  </w:style>
  <w:style w:type="character" w:customStyle="1" w:styleId="CommentSubjectChar">
    <w:name w:val="Comment Subject Char"/>
    <w:basedOn w:val="CommentTextChar"/>
    <w:link w:val="CommentSubject"/>
    <w:semiHidden/>
    <w:rsid w:val="00FA7C73"/>
    <w:rPr>
      <w:rFonts w:ascii="Times New Roman" w:eastAsiaTheme="minorEastAsia" w:hAnsi="Times New Roman"/>
      <w:b/>
      <w:bCs/>
      <w:lang w:val="en-GB" w:eastAsia="en-US"/>
    </w:rPr>
  </w:style>
  <w:style w:type="paragraph" w:customStyle="1" w:styleId="Reasons">
    <w:name w:val="Reasons"/>
    <w:basedOn w:val="Normal"/>
    <w:qFormat/>
    <w:rsid w:val="00FA7C73"/>
    <w:pPr>
      <w:tabs>
        <w:tab w:val="clear" w:pos="794"/>
        <w:tab w:val="clear" w:pos="1191"/>
        <w:tab w:val="clear" w:pos="1588"/>
        <w:tab w:val="clear" w:pos="1985"/>
      </w:tabs>
      <w:overflowPunct/>
      <w:autoSpaceDE/>
      <w:autoSpaceDN/>
      <w:adjustRightInd/>
      <w:spacing w:before="0"/>
      <w:textAlignment w:val="auto"/>
    </w:pPr>
    <w:rPr>
      <w:rFonts w:eastAsiaTheme="minorEastAsia"/>
      <w:lang w:val="en-US"/>
    </w:rPr>
  </w:style>
  <w:style w:type="paragraph" w:customStyle="1" w:styleId="TableNo">
    <w:name w:val="Table_No"/>
    <w:basedOn w:val="Normal"/>
    <w:next w:val="Normal"/>
    <w:uiPriority w:val="99"/>
    <w:rsid w:val="00FA7C73"/>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lang w:val="en-GB"/>
    </w:rPr>
  </w:style>
  <w:style w:type="paragraph" w:customStyle="1" w:styleId="Tabletitle">
    <w:name w:val="Table_title"/>
    <w:basedOn w:val="Normal"/>
    <w:next w:val="Tabletext"/>
    <w:uiPriority w:val="99"/>
    <w:rsid w:val="00FA7C73"/>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heme="minorEastAsia" w:hAnsi="Times New Roman Bold"/>
      <w:b/>
      <w:sz w:val="20"/>
      <w:lang w:val="en-GB"/>
    </w:rPr>
  </w:style>
  <w:style w:type="paragraph" w:styleId="Index4">
    <w:name w:val="index 4"/>
    <w:basedOn w:val="Normal"/>
    <w:next w:val="Normal"/>
    <w:autoRedefine/>
    <w:uiPriority w:val="99"/>
    <w:unhideWhenUsed/>
    <w:rsid w:val="00FA7C73"/>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FA7C73"/>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FA7C73"/>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FA7C73"/>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FA7C73"/>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FA7C73"/>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FA7C73"/>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FA7C73"/>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paragraph" w:styleId="TOCHeading">
    <w:name w:val="TOC Heading"/>
    <w:basedOn w:val="Heading1"/>
    <w:next w:val="Normal"/>
    <w:uiPriority w:val="39"/>
    <w:semiHidden/>
    <w:unhideWhenUsed/>
    <w:qFormat/>
    <w:rsid w:val="00FA7C73"/>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paragraph" w:styleId="DocumentMap">
    <w:name w:val="Document Map"/>
    <w:basedOn w:val="Normal"/>
    <w:link w:val="DocumentMapChar"/>
    <w:semiHidden/>
    <w:unhideWhenUsed/>
    <w:rsid w:val="00FA7C73"/>
    <w:pPr>
      <w:spacing w:before="0"/>
    </w:pPr>
    <w:rPr>
      <w:rFonts w:eastAsiaTheme="minorEastAsia"/>
      <w:szCs w:val="24"/>
      <w:lang w:val="en-GB"/>
    </w:rPr>
  </w:style>
  <w:style w:type="character" w:customStyle="1" w:styleId="DocumentMapChar">
    <w:name w:val="Document Map Char"/>
    <w:basedOn w:val="DefaultParagraphFont"/>
    <w:link w:val="DocumentMap"/>
    <w:semiHidden/>
    <w:rsid w:val="00FA7C73"/>
    <w:rPr>
      <w:rFonts w:ascii="Times New Roman" w:eastAsiaTheme="minorEastAsia" w:hAnsi="Times New Roman"/>
      <w:sz w:val="24"/>
      <w:szCs w:val="24"/>
      <w:lang w:val="en-GB" w:eastAsia="en-US"/>
    </w:rPr>
  </w:style>
  <w:style w:type="character" w:customStyle="1" w:styleId="ms-rtefontsize-1">
    <w:name w:val="ms-rtefontsize-1"/>
    <w:basedOn w:val="DefaultParagraphFont"/>
    <w:rsid w:val="00FA7C73"/>
  </w:style>
  <w:style w:type="character" w:customStyle="1" w:styleId="ms-rtethemeforecolor-3-0">
    <w:name w:val="ms-rtethemeforecolor-3-0"/>
    <w:basedOn w:val="DefaultParagraphFont"/>
    <w:rsid w:val="00FA7C73"/>
  </w:style>
  <w:style w:type="character" w:styleId="IntenseReference">
    <w:name w:val="Intense Reference"/>
    <w:basedOn w:val="DefaultParagraphFont"/>
    <w:uiPriority w:val="32"/>
    <w:qFormat/>
    <w:rsid w:val="00FA7C73"/>
    <w:rPr>
      <w:b/>
      <w:bCs/>
      <w:smallCaps/>
      <w:color w:val="4F81BD" w:themeColor="accent1"/>
      <w:spacing w:val="5"/>
    </w:rPr>
  </w:style>
  <w:style w:type="table" w:styleId="GridTable1Light-Accent1">
    <w:name w:val="Grid Table 1 Light Accent 1"/>
    <w:basedOn w:val="TableNormal"/>
    <w:uiPriority w:val="46"/>
    <w:rsid w:val="00FA7C73"/>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Char Char1,Fußn Char1"/>
    <w:uiPriority w:val="99"/>
    <w:locked/>
    <w:rsid w:val="001F3A94"/>
    <w:rPr>
      <w:rFonts w:ascii="Times New Roman" w:hAnsi="Times New Roman"/>
      <w:sz w:val="24"/>
      <w:lang w:val="es-ES_tradnl" w:eastAsia="en-US"/>
    </w:rPr>
  </w:style>
  <w:style w:type="table" w:customStyle="1" w:styleId="TableGrid9">
    <w:name w:val="Table Grid9"/>
    <w:basedOn w:val="TableNormal"/>
    <w:next w:val="TableGrid"/>
    <w:uiPriority w:val="59"/>
    <w:rsid w:val="00C53010"/>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18765">
      <w:bodyDiv w:val="1"/>
      <w:marLeft w:val="0"/>
      <w:marRight w:val="0"/>
      <w:marTop w:val="0"/>
      <w:marBottom w:val="0"/>
      <w:divBdr>
        <w:top w:val="none" w:sz="0" w:space="0" w:color="auto"/>
        <w:left w:val="none" w:sz="0" w:space="0" w:color="auto"/>
        <w:bottom w:val="none" w:sz="0" w:space="0" w:color="auto"/>
        <w:right w:val="none" w:sz="0" w:space="0" w:color="auto"/>
      </w:divBdr>
    </w:div>
    <w:div w:id="53327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itu.int/net4/itu-r/res55asreceived/" TargetMode="External"/><Relationship Id="rId26" Type="http://schemas.openxmlformats.org/officeDocument/2006/relationships/hyperlink" Target="https://www.itu.int/net4/Proposals/CPI/WRC19/Main" TargetMode="External"/><Relationship Id="rId39" Type="http://schemas.openxmlformats.org/officeDocument/2006/relationships/hyperlink" Target="http://www.itu.int/ITU-R/go/seminars" TargetMode="External"/><Relationship Id="rId21" Type="http://schemas.openxmlformats.org/officeDocument/2006/relationships/hyperlink" Target="http://www.itu.int/en/ITU-R/conferences/wrc/2015/irwsp/2013/Pages/default.aspx" TargetMode="External"/><Relationship Id="rId34" Type="http://schemas.openxmlformats.org/officeDocument/2006/relationships/header" Target="header5.xml"/><Relationship Id="rId42" Type="http://schemas.openxmlformats.org/officeDocument/2006/relationships/header" Target="header9.xml"/><Relationship Id="rId47" Type="http://schemas.openxmlformats.org/officeDocument/2006/relationships/hyperlink" Target="http://www.itu.int/go/ITU-R/90" TargetMode="External"/><Relationship Id="rId50" Type="http://schemas.openxmlformats.org/officeDocument/2006/relationships/hyperlink" Target="http://www.itu.int/en/ITU-R/Pages/default.aspx" TargetMode="External"/><Relationship Id="rId55" Type="http://schemas.openxmlformats.org/officeDocument/2006/relationships/hyperlink" Target="http://www.itu.int/go/ITU-R/90" TargetMode="External"/><Relationship Id="rId63" Type="http://schemas.openxmlformats.org/officeDocument/2006/relationships/hyperlink" Target="https://www.itu.int/webcast/archive/ccir90th/" TargetMode="External"/><Relationship Id="rId68"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yperlink" Target="http://www.itu.int/ip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7-CL-C-0036/en" TargetMode="External"/><Relationship Id="rId24" Type="http://schemas.openxmlformats.org/officeDocument/2006/relationships/hyperlink" Target="https://www.itu.int/md/R15-WRC19PREPWORK-C/en"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header" Target="header10.xml"/><Relationship Id="rId53" Type="http://schemas.openxmlformats.org/officeDocument/2006/relationships/hyperlink" Target="https://www.itu.int/en/mediacentre/Pages/default.aspx" TargetMode="External"/><Relationship Id="rId58" Type="http://schemas.openxmlformats.org/officeDocument/2006/relationships/hyperlink" Target="https://www.itu.int/en/ITU-R/RR110/Documents/RR110-Programme.pdf" TargetMode="External"/><Relationship Id="rId66"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www.itu.int/en/ITU-R/information/events/webcast/Pages/default.aspx" TargetMode="External"/><Relationship Id="rId28" Type="http://schemas.openxmlformats.org/officeDocument/2006/relationships/hyperlink" Target="https://www.itu.int/ITU-R/go/space-epfd-data" TargetMode="External"/><Relationship Id="rId36" Type="http://schemas.openxmlformats.org/officeDocument/2006/relationships/hyperlink" Target="https://www.tra.gov.om/" TargetMode="External"/><Relationship Id="rId49" Type="http://schemas.openxmlformats.org/officeDocument/2006/relationships/hyperlink" Target="http://www.itu.int/ITU-R/" TargetMode="External"/><Relationship Id="rId57" Type="http://schemas.openxmlformats.org/officeDocument/2006/relationships/hyperlink" Target="https://www.flickr.com/photos/itupictures/albums/72157688779923801" TargetMode="External"/><Relationship Id="rId61" Type="http://schemas.openxmlformats.org/officeDocument/2006/relationships/hyperlink" Target="https://www.itu.int/en/ITU-R/information/events/webcast/Pages/default.aspx" TargetMode="External"/><Relationship Id="rId10" Type="http://schemas.openxmlformats.org/officeDocument/2006/relationships/hyperlink" Target="https://www.itu.int/md/S18-CL-C-0036/en" TargetMode="External"/><Relationship Id="rId19" Type="http://schemas.openxmlformats.org/officeDocument/2006/relationships/hyperlink" Target="http://www.itu.int/md/R00-CA-CIR-0226/en" TargetMode="External"/><Relationship Id="rId31" Type="http://schemas.openxmlformats.org/officeDocument/2006/relationships/hyperlink" Target="http://www.itu.int/ITU-R/go/seminars" TargetMode="External"/><Relationship Id="rId44" Type="http://schemas.openxmlformats.org/officeDocument/2006/relationships/footer" Target="footer7.xml"/><Relationship Id="rId52" Type="http://schemas.openxmlformats.org/officeDocument/2006/relationships/hyperlink" Target="https://www.itu.int/en/mediacentre/Pages/2017-PR62.aspx" TargetMode="External"/><Relationship Id="rId60" Type="http://schemas.openxmlformats.org/officeDocument/2006/relationships/hyperlink" Target="https://www.itu.int/net4/wsis/forum/2017/Agenda/Session/276" TargetMode="External"/><Relationship Id="rId65"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yperlink" Target="https://www.itu.int/md/S18-CLCWGFHRM8-C-0020/en" TargetMode="External"/><Relationship Id="rId14" Type="http://schemas.openxmlformats.org/officeDocument/2006/relationships/footer" Target="footer1.xml"/><Relationship Id="rId22" Type="http://schemas.openxmlformats.org/officeDocument/2006/relationships/hyperlink" Target="https://www.itu.int/md/R15-WRC19PREPWORK-C-0031/en" TargetMode="External"/><Relationship Id="rId27" Type="http://schemas.openxmlformats.org/officeDocument/2006/relationships/hyperlink" Target="http://www.itu.int/go/wrc-19" TargetMode="External"/><Relationship Id="rId30" Type="http://schemas.openxmlformats.org/officeDocument/2006/relationships/hyperlink" Target="http://www.itu.int/en/ITU-R/terrestrial/mars/Pages/default.aspx" TargetMode="External"/><Relationship Id="rId35" Type="http://schemas.openxmlformats.org/officeDocument/2006/relationships/hyperlink" Target="http://www.mptc.gov.kh/" TargetMode="External"/><Relationship Id="rId43" Type="http://schemas.openxmlformats.org/officeDocument/2006/relationships/footer" Target="footer6.xml"/><Relationship Id="rId48" Type="http://schemas.openxmlformats.org/officeDocument/2006/relationships/hyperlink" Target="https://twitter.com/ITU_R" TargetMode="External"/><Relationship Id="rId56" Type="http://schemas.openxmlformats.org/officeDocument/2006/relationships/hyperlink" Target="https://youtu.be/R9m-D5krTOU" TargetMode="External"/><Relationship Id="rId64" Type="http://schemas.openxmlformats.org/officeDocument/2006/relationships/hyperlink" Target="https://www.itu.int/webcast/archive/ccir90th/" TargetMode="External"/><Relationship Id="rId69" Type="http://schemas.openxmlformats.org/officeDocument/2006/relationships/theme" Target="theme/theme1.xml"/><Relationship Id="rId8" Type="http://schemas.openxmlformats.org/officeDocument/2006/relationships/hyperlink" Target="https://www.itu.int/en/council/2017/Pages/default.aspx" TargetMode="External"/><Relationship Id="rId51" Type="http://schemas.openxmlformats.org/officeDocument/2006/relationships/hyperlink" Target="https://www.itu.int/en/itunews/Pages/default.aspx"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itu.int/go/ITU-R/wrc-19-irwsp-17" TargetMode="External"/><Relationship Id="rId33" Type="http://schemas.openxmlformats.org/officeDocument/2006/relationships/footer" Target="footer4.xml"/><Relationship Id="rId38" Type="http://schemas.openxmlformats.org/officeDocument/2006/relationships/footer" Target="footer5.xml"/><Relationship Id="rId46" Type="http://schemas.openxmlformats.org/officeDocument/2006/relationships/hyperlink" Target="http://www.itu.int/ITU-R/" TargetMode="External"/><Relationship Id="rId59" Type="http://schemas.openxmlformats.org/officeDocument/2006/relationships/hyperlink" Target="https://www.itu.int/net4/wsis/forum/2017/Agenda/Session/276" TargetMode="External"/><Relationship Id="rId67" Type="http://schemas.openxmlformats.org/officeDocument/2006/relationships/footer" Target="footer9.xml"/><Relationship Id="rId20" Type="http://schemas.openxmlformats.org/officeDocument/2006/relationships/hyperlink" Target="http://www.itu.int/go/rcpm-wrc-19-studies" TargetMode="External"/><Relationship Id="rId41" Type="http://schemas.openxmlformats.org/officeDocument/2006/relationships/header" Target="header8.xml"/><Relationship Id="rId54" Type="http://schemas.openxmlformats.org/officeDocument/2006/relationships/hyperlink" Target="https://twitter.com/ITU_R/" TargetMode="External"/><Relationship Id="rId62" Type="http://schemas.openxmlformats.org/officeDocument/2006/relationships/hyperlink" Target="https://www.itu.int/en/ITU-R/information/events/webcast/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RAG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PS_RAG18.dotm</Template>
  <TotalTime>76</TotalTime>
  <Pages>33</Pages>
  <Words>14958</Words>
  <Characters>80589</Characters>
  <Application>Microsoft Office Word</Application>
  <DocSecurity>0</DocSecurity>
  <Lines>671</Lines>
  <Paragraphs>190</Paragraphs>
  <ScaleCrop>false</ScaleCrop>
  <HeadingPairs>
    <vt:vector size="2" baseType="variant">
      <vt:variant>
        <vt:lpstr>Title</vt:lpstr>
      </vt:variant>
      <vt:variant>
        <vt:i4>1</vt:i4>
      </vt:variant>
    </vt:vector>
  </HeadingPairs>
  <TitlesOfParts>
    <vt:vector size="1" baseType="lpstr">
      <vt:lpstr>REPORT TO THE TWENTY-FOURTHFIFTH MEETING OF THE RADIOCOMMUNICATION ADVISORY GROUP</vt:lpstr>
    </vt:vector>
  </TitlesOfParts>
  <Manager>General Secretariat - Pool</Manager>
  <Company>International Telecommunication Union (ITU)</Company>
  <LinksUpToDate>false</LinksUpToDate>
  <CharactersWithSpaces>95357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TWENTY-FOURTHFIFTH MEETING OF THE RADIOCOMMUNICATION ADVISORY GROUP</dc:title>
  <dc:subject>GRUPO ASESOR DE RADIOCOMUNICACIONES</dc:subject>
  <dc:creator>Director, Radiocommunication Bureau</dc:creator>
  <cp:keywords>RAG03-1</cp:keywords>
  <dc:description>Documento RAG18/1-S  For: _x000d_Document date: 13 de febrero de 2018_x000d_Saved by ITU51007829 at 13:04:30 on 20/02/2018</dc:description>
  <cp:lastModifiedBy>Ayala Martinez, Beatriz</cp:lastModifiedBy>
  <cp:revision>12</cp:revision>
  <cp:lastPrinted>2018-03-01T14:10:00Z</cp:lastPrinted>
  <dcterms:created xsi:type="dcterms:W3CDTF">2018-03-06T10:55:00Z</dcterms:created>
  <dcterms:modified xsi:type="dcterms:W3CDTF">2018-03-06T13:53:00Z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RAG18/1-S</vt:lpwstr>
  </property>
  <property fmtid="{D5CDD505-2E9C-101B-9397-08002B2CF9AE}" pid="3" name="Docdate">
    <vt:lpwstr>13 de febrero de 2018</vt:lpwstr>
  </property>
  <property fmtid="{D5CDD505-2E9C-101B-9397-08002B2CF9AE}" pid="4" name="Docorlang">
    <vt:lpwstr>Original: inglés</vt:lpwstr>
  </property>
  <property fmtid="{D5CDD505-2E9C-101B-9397-08002B2CF9AE}" pid="5" name="Docauthor">
    <vt:lpwstr>Director, Radiocommunication Bureau</vt:lpwstr>
  </property>
</Properties>
</file>