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E01336" w:rsidTr="00443261">
        <w:trPr>
          <w:cantSplit/>
        </w:trPr>
        <w:tc>
          <w:tcPr>
            <w:tcW w:w="6771" w:type="dxa"/>
            <w:vAlign w:val="center"/>
          </w:tcPr>
          <w:p w:rsidR="00443261" w:rsidRPr="00E01336" w:rsidRDefault="00443261" w:rsidP="00967677">
            <w:pPr>
              <w:shd w:val="solid" w:color="FFFFFF" w:fill="FFFFFF"/>
              <w:spacing w:before="360" w:after="240"/>
              <w:rPr>
                <w:rFonts w:ascii="Verdana" w:hAnsi="Verdana"/>
                <w:b/>
                <w:bCs/>
              </w:rPr>
            </w:pPr>
            <w:bookmarkStart w:id="0" w:name="_GoBack"/>
            <w:bookmarkEnd w:id="0"/>
            <w:r w:rsidRPr="00E01336">
              <w:rPr>
                <w:rFonts w:ascii="Verdana" w:hAnsi="Verdana" w:cs="Times New Roman Bold"/>
                <w:b/>
                <w:sz w:val="25"/>
                <w:szCs w:val="25"/>
              </w:rPr>
              <w:t>Groupe Consultatif des Radiocommunications</w:t>
            </w:r>
            <w:r w:rsidRPr="00E01336">
              <w:rPr>
                <w:rFonts w:ascii="Verdana" w:hAnsi="Verdana"/>
                <w:b/>
                <w:sz w:val="25"/>
                <w:szCs w:val="25"/>
              </w:rPr>
              <w:br/>
            </w:r>
            <w:r w:rsidRPr="00E01336">
              <w:rPr>
                <w:rFonts w:ascii="Verdana" w:hAnsi="Verdana" w:cs="Times New Roman Bold"/>
                <w:b/>
                <w:bCs/>
                <w:sz w:val="20"/>
              </w:rPr>
              <w:t>Genève,</w:t>
            </w:r>
            <w:r w:rsidRPr="00E01336">
              <w:rPr>
                <w:rFonts w:ascii="Verdana" w:hAnsi="Verdana"/>
                <w:b/>
                <w:bCs/>
                <w:sz w:val="20"/>
              </w:rPr>
              <w:t xml:space="preserve"> 26-28 avril 2017</w:t>
            </w:r>
          </w:p>
        </w:tc>
        <w:tc>
          <w:tcPr>
            <w:tcW w:w="3118" w:type="dxa"/>
          </w:tcPr>
          <w:p w:rsidR="00443261" w:rsidRPr="00E01336" w:rsidRDefault="00443261" w:rsidP="00967677">
            <w:pPr>
              <w:shd w:val="solid" w:color="FFFFFF" w:fill="FFFFFF"/>
              <w:spacing w:before="0"/>
              <w:jc w:val="right"/>
            </w:pPr>
            <w:r w:rsidRPr="00E01336">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E01336">
        <w:trPr>
          <w:cantSplit/>
        </w:trPr>
        <w:tc>
          <w:tcPr>
            <w:tcW w:w="6771" w:type="dxa"/>
            <w:tcBorders>
              <w:bottom w:val="single" w:sz="12" w:space="0" w:color="auto"/>
            </w:tcBorders>
          </w:tcPr>
          <w:p w:rsidR="002D238A" w:rsidRPr="00E01336" w:rsidRDefault="002D238A" w:rsidP="0096767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E01336" w:rsidRDefault="002D238A" w:rsidP="00967677">
            <w:pPr>
              <w:shd w:val="solid" w:color="FFFFFF" w:fill="FFFFFF"/>
              <w:spacing w:before="0" w:after="48"/>
              <w:rPr>
                <w:sz w:val="22"/>
                <w:szCs w:val="22"/>
              </w:rPr>
            </w:pPr>
          </w:p>
        </w:tc>
      </w:tr>
      <w:tr w:rsidR="002D238A" w:rsidRPr="00E01336">
        <w:trPr>
          <w:cantSplit/>
        </w:trPr>
        <w:tc>
          <w:tcPr>
            <w:tcW w:w="6771" w:type="dxa"/>
            <w:tcBorders>
              <w:top w:val="single" w:sz="12" w:space="0" w:color="auto"/>
            </w:tcBorders>
          </w:tcPr>
          <w:p w:rsidR="002D238A" w:rsidRPr="00E01336" w:rsidRDefault="002D238A" w:rsidP="0096767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E01336" w:rsidRDefault="002D238A" w:rsidP="00967677">
            <w:pPr>
              <w:shd w:val="solid" w:color="FFFFFF" w:fill="FFFFFF"/>
              <w:spacing w:before="0" w:after="48"/>
              <w:rPr>
                <w:rFonts w:ascii="Verdana" w:hAnsi="Verdana"/>
                <w:sz w:val="22"/>
                <w:szCs w:val="22"/>
              </w:rPr>
            </w:pPr>
          </w:p>
        </w:tc>
      </w:tr>
      <w:tr w:rsidR="002D238A" w:rsidRPr="00E01336">
        <w:trPr>
          <w:cantSplit/>
        </w:trPr>
        <w:tc>
          <w:tcPr>
            <w:tcW w:w="6771" w:type="dxa"/>
            <w:vMerge w:val="restart"/>
          </w:tcPr>
          <w:p w:rsidR="002D238A" w:rsidRPr="00E01336" w:rsidRDefault="002D238A" w:rsidP="00967677">
            <w:pPr>
              <w:shd w:val="solid" w:color="FFFFFF" w:fill="FFFFFF"/>
              <w:spacing w:after="240"/>
              <w:rPr>
                <w:sz w:val="20"/>
              </w:rPr>
            </w:pPr>
            <w:bookmarkStart w:id="1" w:name="dnum" w:colFirst="1" w:colLast="1"/>
          </w:p>
        </w:tc>
        <w:tc>
          <w:tcPr>
            <w:tcW w:w="3118" w:type="dxa"/>
          </w:tcPr>
          <w:p w:rsidR="002D238A" w:rsidRPr="00E01336" w:rsidRDefault="00947B44" w:rsidP="00FD45B8">
            <w:pPr>
              <w:shd w:val="solid" w:color="FFFFFF" w:fill="FFFFFF"/>
              <w:spacing w:before="0"/>
              <w:rPr>
                <w:rFonts w:ascii="Verdana" w:hAnsi="Verdana"/>
                <w:sz w:val="20"/>
              </w:rPr>
            </w:pPr>
            <w:r w:rsidRPr="00E01336">
              <w:rPr>
                <w:rFonts w:ascii="Verdana" w:hAnsi="Verdana"/>
                <w:b/>
                <w:sz w:val="20"/>
              </w:rPr>
              <w:t>Document RAG17/</w:t>
            </w:r>
            <w:r w:rsidR="00FD45B8">
              <w:rPr>
                <w:rFonts w:ascii="Verdana" w:hAnsi="Verdana"/>
                <w:b/>
                <w:sz w:val="20"/>
              </w:rPr>
              <w:t>13</w:t>
            </w:r>
            <w:r w:rsidRPr="00E01336">
              <w:rPr>
                <w:rFonts w:ascii="Verdana" w:hAnsi="Verdana"/>
                <w:b/>
                <w:sz w:val="20"/>
              </w:rPr>
              <w:t>-F</w:t>
            </w:r>
          </w:p>
        </w:tc>
      </w:tr>
      <w:tr w:rsidR="002D238A" w:rsidRPr="00E01336">
        <w:trPr>
          <w:cantSplit/>
        </w:trPr>
        <w:tc>
          <w:tcPr>
            <w:tcW w:w="6771" w:type="dxa"/>
            <w:vMerge/>
          </w:tcPr>
          <w:p w:rsidR="002D238A" w:rsidRPr="00E01336" w:rsidRDefault="002D238A" w:rsidP="00967677">
            <w:pPr>
              <w:spacing w:before="60"/>
              <w:jc w:val="center"/>
              <w:rPr>
                <w:b/>
                <w:smallCaps/>
                <w:sz w:val="32"/>
              </w:rPr>
            </w:pPr>
            <w:bookmarkStart w:id="2" w:name="ddate" w:colFirst="1" w:colLast="1"/>
            <w:bookmarkEnd w:id="1"/>
          </w:p>
        </w:tc>
        <w:tc>
          <w:tcPr>
            <w:tcW w:w="3118" w:type="dxa"/>
          </w:tcPr>
          <w:p w:rsidR="002D238A" w:rsidRPr="00E01336" w:rsidRDefault="00FD45B8" w:rsidP="008B2BBE">
            <w:pPr>
              <w:shd w:val="solid" w:color="FFFFFF" w:fill="FFFFFF"/>
              <w:spacing w:before="0"/>
              <w:rPr>
                <w:rFonts w:ascii="Verdana" w:hAnsi="Verdana"/>
                <w:sz w:val="20"/>
              </w:rPr>
            </w:pPr>
            <w:r>
              <w:rPr>
                <w:rFonts w:ascii="Verdana" w:hAnsi="Verdana"/>
                <w:b/>
                <w:sz w:val="20"/>
              </w:rPr>
              <w:t>12 avril 2017</w:t>
            </w:r>
          </w:p>
        </w:tc>
      </w:tr>
      <w:tr w:rsidR="002D238A" w:rsidRPr="00E01336">
        <w:trPr>
          <w:cantSplit/>
        </w:trPr>
        <w:tc>
          <w:tcPr>
            <w:tcW w:w="6771" w:type="dxa"/>
            <w:vMerge/>
          </w:tcPr>
          <w:p w:rsidR="002D238A" w:rsidRPr="00E01336" w:rsidRDefault="002D238A" w:rsidP="00967677">
            <w:pPr>
              <w:spacing w:before="60"/>
              <w:jc w:val="center"/>
              <w:rPr>
                <w:b/>
                <w:smallCaps/>
                <w:sz w:val="32"/>
              </w:rPr>
            </w:pPr>
            <w:bookmarkStart w:id="3" w:name="dorlang" w:colFirst="1" w:colLast="1"/>
            <w:bookmarkEnd w:id="2"/>
          </w:p>
        </w:tc>
        <w:tc>
          <w:tcPr>
            <w:tcW w:w="3118" w:type="dxa"/>
          </w:tcPr>
          <w:p w:rsidR="002D238A" w:rsidRPr="00E01336" w:rsidRDefault="00947B44" w:rsidP="00967677">
            <w:pPr>
              <w:shd w:val="solid" w:color="FFFFFF" w:fill="FFFFFF"/>
              <w:spacing w:before="0" w:after="120"/>
              <w:rPr>
                <w:rFonts w:ascii="Verdana" w:hAnsi="Verdana"/>
                <w:sz w:val="20"/>
              </w:rPr>
            </w:pPr>
            <w:r w:rsidRPr="00E01336">
              <w:rPr>
                <w:rFonts w:ascii="Verdana" w:hAnsi="Verdana"/>
                <w:b/>
                <w:sz w:val="20"/>
              </w:rPr>
              <w:t>Original: anglais</w:t>
            </w:r>
          </w:p>
        </w:tc>
      </w:tr>
      <w:tr w:rsidR="002D238A" w:rsidRPr="00E01336">
        <w:trPr>
          <w:cantSplit/>
        </w:trPr>
        <w:tc>
          <w:tcPr>
            <w:tcW w:w="9889" w:type="dxa"/>
            <w:gridSpan w:val="2"/>
          </w:tcPr>
          <w:p w:rsidR="002D238A" w:rsidRPr="00C11B8D" w:rsidRDefault="00FD45B8" w:rsidP="00967677">
            <w:pPr>
              <w:pStyle w:val="Source"/>
            </w:pPr>
            <w:bookmarkStart w:id="4" w:name="dsource" w:colFirst="0" w:colLast="0"/>
            <w:bookmarkEnd w:id="3"/>
            <w:r>
              <w:t>Japon</w:t>
            </w:r>
          </w:p>
        </w:tc>
      </w:tr>
      <w:tr w:rsidR="002D238A" w:rsidRPr="00E01336">
        <w:trPr>
          <w:cantSplit/>
        </w:trPr>
        <w:tc>
          <w:tcPr>
            <w:tcW w:w="9889" w:type="dxa"/>
            <w:gridSpan w:val="2"/>
          </w:tcPr>
          <w:p w:rsidR="00E445D1" w:rsidRPr="00D22C4A" w:rsidRDefault="00A86974" w:rsidP="00241C19">
            <w:pPr>
              <w:pStyle w:val="Title1"/>
            </w:pPr>
            <w:bookmarkStart w:id="5" w:name="dtitle1" w:colFirst="0" w:colLast="0"/>
            <w:bookmarkEnd w:id="4"/>
            <w:r>
              <w:rPr>
                <w:lang w:val="fr-CH"/>
              </w:rPr>
              <w:t>définition et utilisation des notes et notes de bas de page dans les recommandations UIT-R</w:t>
            </w:r>
          </w:p>
        </w:tc>
      </w:tr>
      <w:bookmarkEnd w:id="5"/>
    </w:tbl>
    <w:p w:rsidR="007F011A" w:rsidRDefault="007F011A" w:rsidP="00663D07">
      <w:pPr>
        <w:spacing w:line="720" w:lineRule="auto"/>
        <w:rPr>
          <w:lang w:val="fr-CH"/>
        </w:rPr>
      </w:pPr>
    </w:p>
    <w:p w:rsidR="00692BA7" w:rsidRDefault="00692BA7" w:rsidP="006A0587">
      <w:pPr>
        <w:rPr>
          <w:lang w:val="fr-CH"/>
        </w:rPr>
      </w:pPr>
      <w:r>
        <w:rPr>
          <w:lang w:val="fr-CH"/>
        </w:rPr>
        <w:t xml:space="preserve">Dans un certain nombre de Recommandations UIT-R, des </w:t>
      </w:r>
      <w:r w:rsidR="006A0587">
        <w:rPr>
          <w:lang w:val="fr-CH"/>
        </w:rPr>
        <w:t>«</w:t>
      </w:r>
      <w:r>
        <w:rPr>
          <w:lang w:val="fr-CH"/>
        </w:rPr>
        <w:t>notes</w:t>
      </w:r>
      <w:r w:rsidR="006A0587">
        <w:rPr>
          <w:lang w:val="fr-CH"/>
        </w:rPr>
        <w:t>»</w:t>
      </w:r>
      <w:r>
        <w:rPr>
          <w:lang w:val="fr-CH"/>
        </w:rPr>
        <w:t xml:space="preserve"> et </w:t>
      </w:r>
      <w:r w:rsidR="006A0587">
        <w:rPr>
          <w:lang w:val="fr-CH"/>
        </w:rPr>
        <w:t>«</w:t>
      </w:r>
      <w:r>
        <w:rPr>
          <w:lang w:val="fr-CH"/>
        </w:rPr>
        <w:t>notes de bas de page</w:t>
      </w:r>
      <w:r w:rsidR="006A0587">
        <w:rPr>
          <w:lang w:val="fr-CH"/>
        </w:rPr>
        <w:t>»</w:t>
      </w:r>
      <w:r>
        <w:rPr>
          <w:lang w:val="fr-CH"/>
        </w:rPr>
        <w:t xml:space="preserve"> sont utilisées pour clarifier un texte ou </w:t>
      </w:r>
      <w:r w:rsidR="00241C19">
        <w:rPr>
          <w:lang w:val="fr-CH"/>
        </w:rPr>
        <w:t>donner</w:t>
      </w:r>
      <w:r>
        <w:rPr>
          <w:lang w:val="fr-CH"/>
        </w:rPr>
        <w:t xml:space="preserve"> des informations complémentaires.</w:t>
      </w:r>
      <w:r w:rsidR="00705A49">
        <w:rPr>
          <w:lang w:val="fr-CH"/>
        </w:rPr>
        <w:t xml:space="preserve"> Elles peuvent être de différents types : note</w:t>
      </w:r>
      <w:r w:rsidR="00241C19">
        <w:rPr>
          <w:lang w:val="fr-CH"/>
        </w:rPr>
        <w:t>s</w:t>
      </w:r>
      <w:r w:rsidR="00705A49">
        <w:rPr>
          <w:lang w:val="fr-CH"/>
        </w:rPr>
        <w:t xml:space="preserve"> relative</w:t>
      </w:r>
      <w:r w:rsidR="00241C19">
        <w:rPr>
          <w:lang w:val="fr-CH"/>
        </w:rPr>
        <w:t>s</w:t>
      </w:r>
      <w:r w:rsidR="00705A49">
        <w:rPr>
          <w:lang w:val="fr-CH"/>
        </w:rPr>
        <w:t xml:space="preserve"> au</w:t>
      </w:r>
      <w:r w:rsidR="00241C19">
        <w:rPr>
          <w:lang w:val="fr-CH"/>
        </w:rPr>
        <w:t xml:space="preserve"> corps du</w:t>
      </w:r>
      <w:r w:rsidR="00705A49">
        <w:rPr>
          <w:lang w:val="fr-CH"/>
        </w:rPr>
        <w:t xml:space="preserve"> texte, note</w:t>
      </w:r>
      <w:r w:rsidR="00241C19">
        <w:rPr>
          <w:lang w:val="fr-CH"/>
        </w:rPr>
        <w:t>s</w:t>
      </w:r>
      <w:r w:rsidR="00705A49">
        <w:rPr>
          <w:lang w:val="fr-CH"/>
        </w:rPr>
        <w:t xml:space="preserve"> de bas de page se rapportant au </w:t>
      </w:r>
      <w:r w:rsidR="00663D07">
        <w:rPr>
          <w:lang w:val="fr-CH"/>
        </w:rPr>
        <w:t xml:space="preserve">corps du </w:t>
      </w:r>
      <w:r w:rsidR="00705A49">
        <w:rPr>
          <w:lang w:val="fr-CH"/>
        </w:rPr>
        <w:t>texte, note</w:t>
      </w:r>
      <w:r w:rsidR="00241C19">
        <w:rPr>
          <w:lang w:val="fr-CH"/>
        </w:rPr>
        <w:t>s</w:t>
      </w:r>
      <w:r w:rsidR="00705A49">
        <w:rPr>
          <w:lang w:val="fr-CH"/>
        </w:rPr>
        <w:t xml:space="preserve"> </w:t>
      </w:r>
      <w:r w:rsidR="00663D07">
        <w:rPr>
          <w:lang w:val="fr-CH"/>
        </w:rPr>
        <w:t>dans</w:t>
      </w:r>
      <w:r w:rsidR="00705A49">
        <w:rPr>
          <w:lang w:val="fr-CH"/>
        </w:rPr>
        <w:t xml:space="preserve"> </w:t>
      </w:r>
      <w:r w:rsidR="00241C19">
        <w:rPr>
          <w:lang w:val="fr-CH"/>
        </w:rPr>
        <w:t>des</w:t>
      </w:r>
      <w:r w:rsidR="00705A49">
        <w:rPr>
          <w:lang w:val="fr-CH"/>
        </w:rPr>
        <w:t xml:space="preserve"> tableau</w:t>
      </w:r>
      <w:r w:rsidR="00241C19">
        <w:rPr>
          <w:lang w:val="fr-CH"/>
        </w:rPr>
        <w:t>x</w:t>
      </w:r>
      <w:r w:rsidR="00705A49">
        <w:rPr>
          <w:lang w:val="fr-CH"/>
        </w:rPr>
        <w:t xml:space="preserve"> ou </w:t>
      </w:r>
      <w:r w:rsidR="00241C19">
        <w:rPr>
          <w:lang w:val="fr-CH"/>
        </w:rPr>
        <w:t>des</w:t>
      </w:r>
      <w:r w:rsidR="00705A49">
        <w:rPr>
          <w:lang w:val="fr-CH"/>
        </w:rPr>
        <w:t xml:space="preserve"> figure</w:t>
      </w:r>
      <w:r w:rsidR="00241C19">
        <w:rPr>
          <w:lang w:val="fr-CH"/>
        </w:rPr>
        <w:t>s</w:t>
      </w:r>
      <w:r w:rsidR="00705A49">
        <w:rPr>
          <w:lang w:val="fr-CH"/>
        </w:rPr>
        <w:t>, note</w:t>
      </w:r>
      <w:r w:rsidR="00241C19">
        <w:rPr>
          <w:lang w:val="fr-CH"/>
        </w:rPr>
        <w:t>s</w:t>
      </w:r>
      <w:r w:rsidR="00705A49">
        <w:rPr>
          <w:lang w:val="fr-CH"/>
        </w:rPr>
        <w:t xml:space="preserve"> de bas de tableau ou </w:t>
      </w:r>
      <w:r w:rsidR="00663D07">
        <w:rPr>
          <w:lang w:val="fr-CH"/>
        </w:rPr>
        <w:t>de</w:t>
      </w:r>
      <w:r w:rsidR="00705A49">
        <w:rPr>
          <w:lang w:val="fr-CH"/>
        </w:rPr>
        <w:t xml:space="preserve"> figure. Il est généralement entendu que, sauf indication contraire, le texte d</w:t>
      </w:r>
      <w:r w:rsidR="00C240C8">
        <w:rPr>
          <w:lang w:val="fr-CH"/>
        </w:rPr>
        <w:t>'un</w:t>
      </w:r>
      <w:r w:rsidR="00705A49">
        <w:rPr>
          <w:lang w:val="fr-CH"/>
        </w:rPr>
        <w:t xml:space="preserve">e note </w:t>
      </w:r>
      <w:r w:rsidR="00C240C8">
        <w:rPr>
          <w:lang w:val="fr-CH"/>
        </w:rPr>
        <w:t>ou d'une note</w:t>
      </w:r>
      <w:r w:rsidR="00705A49">
        <w:rPr>
          <w:lang w:val="fr-CH"/>
        </w:rPr>
        <w:t xml:space="preserve"> de bas de page </w:t>
      </w:r>
      <w:r w:rsidR="00241C19">
        <w:rPr>
          <w:lang w:val="fr-CH"/>
        </w:rPr>
        <w:t>dans une</w:t>
      </w:r>
      <w:r w:rsidR="00705A49">
        <w:rPr>
          <w:lang w:val="fr-CH"/>
        </w:rPr>
        <w:t xml:space="preserve"> Recomma</w:t>
      </w:r>
      <w:r w:rsidR="00C240C8">
        <w:rPr>
          <w:lang w:val="fr-CH"/>
        </w:rPr>
        <w:t>ndation UIT-R fait</w:t>
      </w:r>
      <w:r w:rsidR="00705A49">
        <w:rPr>
          <w:lang w:val="fr-CH"/>
        </w:rPr>
        <w:t xml:space="preserve"> partie intégrante de </w:t>
      </w:r>
      <w:r w:rsidR="00C240C8">
        <w:rPr>
          <w:lang w:val="fr-CH"/>
        </w:rPr>
        <w:t>la</w:t>
      </w:r>
      <w:r w:rsidR="00705A49">
        <w:rPr>
          <w:lang w:val="fr-CH"/>
        </w:rPr>
        <w:t xml:space="preserve"> Recommandation </w:t>
      </w:r>
      <w:r w:rsidR="00C240C8">
        <w:rPr>
          <w:lang w:val="fr-CH"/>
        </w:rPr>
        <w:t xml:space="preserve">en question </w:t>
      </w:r>
      <w:r w:rsidR="00705A49">
        <w:rPr>
          <w:lang w:val="fr-CH"/>
        </w:rPr>
        <w:t xml:space="preserve">et </w:t>
      </w:r>
      <w:r w:rsidR="00C240C8">
        <w:rPr>
          <w:lang w:val="fr-CH"/>
        </w:rPr>
        <w:t>est</w:t>
      </w:r>
      <w:r w:rsidR="00705A49">
        <w:rPr>
          <w:lang w:val="fr-CH"/>
        </w:rPr>
        <w:t xml:space="preserve"> considéré comme normati</w:t>
      </w:r>
      <w:r w:rsidR="00C240C8">
        <w:rPr>
          <w:lang w:val="fr-CH"/>
        </w:rPr>
        <w:t>f</w:t>
      </w:r>
      <w:r w:rsidR="00705A49">
        <w:rPr>
          <w:lang w:val="fr-CH"/>
        </w:rPr>
        <w:t>.</w:t>
      </w:r>
    </w:p>
    <w:p w:rsidR="00CB11D2" w:rsidRDefault="00C240C8" w:rsidP="00241C19">
      <w:pPr>
        <w:rPr>
          <w:lang w:val="fr-CH"/>
        </w:rPr>
      </w:pPr>
      <w:r>
        <w:rPr>
          <w:lang w:val="fr-CH"/>
        </w:rPr>
        <w:t xml:space="preserve">Les normes ISO/CEI et les Recommandations UIT-T sont </w:t>
      </w:r>
      <w:r w:rsidR="00241C19">
        <w:rPr>
          <w:lang w:val="fr-CH"/>
        </w:rPr>
        <w:t>présentées</w:t>
      </w:r>
      <w:r>
        <w:rPr>
          <w:lang w:val="fr-CH"/>
        </w:rPr>
        <w:t xml:space="preserve"> selon les Directives ISO/CEI – Partie 2:2016 «Principes et règles de structure et de rédaction des documents ISO et IEC</w:t>
      </w:r>
      <w:r w:rsidR="0004010F">
        <w:rPr>
          <w:lang w:val="fr-CH"/>
        </w:rPr>
        <w:t xml:space="preserve">» et </w:t>
      </w:r>
      <w:r w:rsidR="00241C19">
        <w:rPr>
          <w:lang w:val="fr-CH"/>
        </w:rPr>
        <w:t>le</w:t>
      </w:r>
      <w:r w:rsidR="0004010F">
        <w:rPr>
          <w:lang w:val="fr-CH"/>
        </w:rPr>
        <w:t xml:space="preserve"> «</w:t>
      </w:r>
      <w:r w:rsidR="0004010F" w:rsidRPr="0004010F">
        <w:rPr>
          <w:lang w:val="fr-CH"/>
        </w:rPr>
        <w:t>Guide de présentation des Recommandations UIT-T</w:t>
      </w:r>
      <w:r w:rsidR="0004010F">
        <w:rPr>
          <w:lang w:val="fr-CH"/>
        </w:rPr>
        <w:t xml:space="preserve">», respectivement. Le Tableau 1 </w:t>
      </w:r>
      <w:r w:rsidR="00241C19">
        <w:rPr>
          <w:lang w:val="fr-CH"/>
        </w:rPr>
        <w:t>donne</w:t>
      </w:r>
      <w:r w:rsidR="0004010F">
        <w:rPr>
          <w:lang w:val="fr-CH"/>
        </w:rPr>
        <w:t xml:space="preserve"> un récapitulatif des définitions et de l'utilisation des notes et des notes de bas de page spécifiées pour les normes ISO/CEI et les Recommandations UIT-T.</w:t>
      </w:r>
      <w:r w:rsidR="00CB11D2">
        <w:rPr>
          <w:lang w:val="fr-CH"/>
        </w:rPr>
        <w:t xml:space="preserve"> </w:t>
      </w:r>
      <w:r w:rsidR="00241C19">
        <w:rPr>
          <w:lang w:val="fr-CH"/>
        </w:rPr>
        <w:t>On constate</w:t>
      </w:r>
      <w:r w:rsidR="00CB11D2">
        <w:rPr>
          <w:lang w:val="fr-CH"/>
        </w:rPr>
        <w:t xml:space="preserve"> qu'elles sont pour l'essentiel </w:t>
      </w:r>
      <w:r w:rsidR="00241C19">
        <w:rPr>
          <w:lang w:val="fr-CH"/>
        </w:rPr>
        <w:t>analogues</w:t>
      </w:r>
      <w:r w:rsidR="00CB11D2">
        <w:rPr>
          <w:lang w:val="fr-CH"/>
        </w:rPr>
        <w:t>, mais avec des niveaux de détail différents.</w:t>
      </w:r>
    </w:p>
    <w:p w:rsidR="00CB11D2" w:rsidRDefault="00CB11D2" w:rsidP="00241C19">
      <w:pPr>
        <w:rPr>
          <w:lang w:val="fr-CH"/>
        </w:rPr>
      </w:pPr>
      <w:r>
        <w:rPr>
          <w:lang w:val="fr-CH"/>
        </w:rPr>
        <w:t>Les lignes directrices du Directeur auxquel</w:t>
      </w:r>
      <w:r w:rsidR="00241C19">
        <w:rPr>
          <w:lang w:val="fr-CH"/>
        </w:rPr>
        <w:t>le</w:t>
      </w:r>
      <w:r>
        <w:rPr>
          <w:lang w:val="fr-CH"/>
        </w:rPr>
        <w:t>s il est fait référence dans la Résolution UIT-R 1-7 (§ A1.6.2) contiennent le format commun obligatoire à utiliser pour les Recommandations UIT-R nouvelle</w:t>
      </w:r>
      <w:r w:rsidR="00241C19">
        <w:rPr>
          <w:lang w:val="fr-CH"/>
        </w:rPr>
        <w:t>s</w:t>
      </w:r>
      <w:r>
        <w:rPr>
          <w:lang w:val="fr-CH"/>
        </w:rPr>
        <w:t xml:space="preserve"> ou révisée</w:t>
      </w:r>
      <w:r w:rsidR="00241C19">
        <w:rPr>
          <w:lang w:val="fr-CH"/>
        </w:rPr>
        <w:t>s</w:t>
      </w:r>
      <w:r>
        <w:rPr>
          <w:lang w:val="fr-CH"/>
        </w:rPr>
        <w:t xml:space="preserve"> («Format pour les Recommandations UIT-R»), mais elles ne </w:t>
      </w:r>
      <w:r w:rsidR="00241C19">
        <w:rPr>
          <w:lang w:val="fr-CH"/>
        </w:rPr>
        <w:t>donnent aucun élément concernant la définition et</w:t>
      </w:r>
      <w:r>
        <w:rPr>
          <w:lang w:val="fr-CH"/>
        </w:rPr>
        <w:t xml:space="preserve"> l'utilisation des notes et note</w:t>
      </w:r>
      <w:r w:rsidR="00241C19">
        <w:rPr>
          <w:lang w:val="fr-CH"/>
        </w:rPr>
        <w:t>s</w:t>
      </w:r>
      <w:r>
        <w:rPr>
          <w:lang w:val="fr-CH"/>
        </w:rPr>
        <w:t xml:space="preserve"> de bas de page.</w:t>
      </w:r>
    </w:p>
    <w:p w:rsidR="00CB11D2" w:rsidRDefault="00CB11D2" w:rsidP="00241C19">
      <w:pPr>
        <w:rPr>
          <w:lang w:val="fr-CH"/>
        </w:rPr>
      </w:pPr>
      <w:r>
        <w:rPr>
          <w:lang w:val="fr-CH"/>
        </w:rPr>
        <w:t>Il est particulièrement souhaitable de préciser la définition et l'utilisation des différents types de notes et de notes de bas de page pour les Recommandations UIT-R, de préférence conformément aux règles communes à l'ISO/CEI et</w:t>
      </w:r>
      <w:r w:rsidR="00241C19">
        <w:rPr>
          <w:lang w:val="fr-CH"/>
        </w:rPr>
        <w:t xml:space="preserve"> à</w:t>
      </w:r>
      <w:r>
        <w:rPr>
          <w:lang w:val="fr-CH"/>
        </w:rPr>
        <w:t xml:space="preserve"> l'UIT-T, afin d'éviter les risques </w:t>
      </w:r>
      <w:r w:rsidR="00241C19">
        <w:rPr>
          <w:lang w:val="fr-CH"/>
        </w:rPr>
        <w:t>d'</w:t>
      </w:r>
      <w:r>
        <w:rPr>
          <w:lang w:val="fr-CH"/>
        </w:rPr>
        <w:t>interprétation</w:t>
      </w:r>
      <w:r w:rsidR="00241C19">
        <w:rPr>
          <w:lang w:val="fr-CH"/>
        </w:rPr>
        <w:t xml:space="preserve"> erronée</w:t>
      </w:r>
      <w:r>
        <w:rPr>
          <w:lang w:val="fr-CH"/>
        </w:rPr>
        <w:t xml:space="preserve"> des notes et notes de bas de page figurant dans les Recommandations UIT-R. En particulier, il est souhaitable</w:t>
      </w:r>
      <w:r w:rsidR="00241C19">
        <w:rPr>
          <w:lang w:val="fr-CH"/>
        </w:rPr>
        <w:t xml:space="preserve"> que</w:t>
      </w:r>
      <w:r>
        <w:rPr>
          <w:lang w:val="fr-CH"/>
        </w:rPr>
        <w:t xml:space="preserve"> les règles</w:t>
      </w:r>
      <w:r w:rsidR="00241C19">
        <w:rPr>
          <w:lang w:val="fr-CH"/>
        </w:rPr>
        <w:t xml:space="preserve"> appliquées aux</w:t>
      </w:r>
      <w:r>
        <w:rPr>
          <w:lang w:val="fr-CH"/>
        </w:rPr>
        <w:t xml:space="preserve"> normes de l'ISO/CEI et </w:t>
      </w:r>
      <w:r w:rsidR="00241C19">
        <w:rPr>
          <w:lang w:val="fr-CH"/>
        </w:rPr>
        <w:t>aux</w:t>
      </w:r>
      <w:r>
        <w:rPr>
          <w:lang w:val="fr-CH"/>
        </w:rPr>
        <w:t xml:space="preserve"> Recommandations UIT-T</w:t>
      </w:r>
      <w:r w:rsidR="00241C19">
        <w:rPr>
          <w:lang w:val="fr-CH"/>
        </w:rPr>
        <w:t xml:space="preserve"> soient également appliquées aux </w:t>
      </w:r>
      <w:r w:rsidR="00241C19">
        <w:rPr>
          <w:lang w:val="fr-CH"/>
        </w:rPr>
        <w:t>Recommandations UIT-R qui contiennent des spécifications de système ou des procédures de test</w:t>
      </w:r>
      <w:r>
        <w:rPr>
          <w:lang w:val="fr-CH"/>
        </w:rPr>
        <w:t>.</w:t>
      </w:r>
    </w:p>
    <w:p w:rsidR="0044688A" w:rsidRDefault="00CB11D2" w:rsidP="00241C19">
      <w:pPr>
        <w:rPr>
          <w:lang w:val="fr-CH"/>
        </w:rPr>
      </w:pPr>
      <w:r>
        <w:rPr>
          <w:lang w:val="fr-CH"/>
        </w:rPr>
        <w:t>Le Japon propose au GCR d'envisager de compléter le «Format pour les Recommandations UIT</w:t>
      </w:r>
      <w:r w:rsidR="00241C19">
        <w:rPr>
          <w:lang w:val="fr-CH"/>
        </w:rPr>
        <w:noBreakHyphen/>
      </w:r>
      <w:r>
        <w:rPr>
          <w:lang w:val="fr-CH"/>
        </w:rPr>
        <w:t xml:space="preserve">R», afin </w:t>
      </w:r>
      <w:r w:rsidR="00241C19">
        <w:rPr>
          <w:lang w:val="fr-CH"/>
        </w:rPr>
        <w:t>d'y faire figurer</w:t>
      </w:r>
      <w:r>
        <w:rPr>
          <w:lang w:val="fr-CH"/>
        </w:rPr>
        <w:t xml:space="preserve"> des</w:t>
      </w:r>
      <w:r w:rsidR="0044688A">
        <w:rPr>
          <w:lang w:val="fr-CH"/>
        </w:rPr>
        <w:t xml:space="preserve"> éléments </w:t>
      </w:r>
      <w:r w:rsidR="00241C19">
        <w:rPr>
          <w:lang w:val="fr-CH"/>
        </w:rPr>
        <w:t>concernant</w:t>
      </w:r>
      <w:r w:rsidR="0044688A">
        <w:rPr>
          <w:lang w:val="fr-CH"/>
        </w:rPr>
        <w:t xml:space="preserve"> la définition et </w:t>
      </w:r>
      <w:r>
        <w:rPr>
          <w:lang w:val="fr-CH"/>
        </w:rPr>
        <w:t>l'utilisation des différents types de notes et notes de bas de page</w:t>
      </w:r>
      <w:r w:rsidR="00241C19">
        <w:rPr>
          <w:lang w:val="fr-CH"/>
        </w:rPr>
        <w:t xml:space="preserve"> qui soient</w:t>
      </w:r>
      <w:r>
        <w:rPr>
          <w:lang w:val="fr-CH"/>
        </w:rPr>
        <w:t xml:space="preserve"> analogues</w:t>
      </w:r>
      <w:r w:rsidR="0044688A">
        <w:rPr>
          <w:lang w:val="fr-CH"/>
        </w:rPr>
        <w:t xml:space="preserve"> à ceux prévus </w:t>
      </w:r>
      <w:r w:rsidR="00241C19">
        <w:rPr>
          <w:lang w:val="fr-CH"/>
        </w:rPr>
        <w:t>pour les textes de</w:t>
      </w:r>
      <w:r w:rsidR="0044688A">
        <w:rPr>
          <w:lang w:val="fr-CH"/>
        </w:rPr>
        <w:t xml:space="preserve"> l'ISO/CEI et </w:t>
      </w:r>
      <w:r w:rsidR="00241C19">
        <w:rPr>
          <w:lang w:val="fr-CH"/>
        </w:rPr>
        <w:t xml:space="preserve">de </w:t>
      </w:r>
      <w:r w:rsidR="0044688A">
        <w:rPr>
          <w:lang w:val="fr-CH"/>
        </w:rPr>
        <w:t xml:space="preserve">l'UIT-T. Cette version mise à jour du «Format pour les Recommandations UIT-R» </w:t>
      </w:r>
      <w:r w:rsidR="00241C19">
        <w:rPr>
          <w:lang w:val="fr-CH"/>
        </w:rPr>
        <w:t>devrait s'appliquer</w:t>
      </w:r>
      <w:r w:rsidR="0044688A">
        <w:rPr>
          <w:lang w:val="fr-CH"/>
        </w:rPr>
        <w:t xml:space="preserve"> à toutes les Recommandations UIT-R nouvelle</w:t>
      </w:r>
      <w:r w:rsidR="00241C19">
        <w:rPr>
          <w:lang w:val="fr-CH"/>
        </w:rPr>
        <w:t>s</w:t>
      </w:r>
      <w:r w:rsidR="0044688A">
        <w:rPr>
          <w:lang w:val="fr-CH"/>
        </w:rPr>
        <w:t xml:space="preserve"> ou révisée</w:t>
      </w:r>
      <w:r w:rsidR="00241C19">
        <w:rPr>
          <w:lang w:val="fr-CH"/>
        </w:rPr>
        <w:t>s</w:t>
      </w:r>
      <w:r w:rsidR="0044688A">
        <w:rPr>
          <w:lang w:val="fr-CH"/>
        </w:rPr>
        <w:t xml:space="preserve"> publiée</w:t>
      </w:r>
      <w:r w:rsidR="00241C19">
        <w:rPr>
          <w:lang w:val="fr-CH"/>
        </w:rPr>
        <w:t>s</w:t>
      </w:r>
      <w:r w:rsidR="0044688A">
        <w:rPr>
          <w:lang w:val="fr-CH"/>
        </w:rPr>
        <w:t xml:space="preserve"> après une date donnée, à convenir.</w:t>
      </w:r>
    </w:p>
    <w:p w:rsidR="0044688A" w:rsidRDefault="0044688A" w:rsidP="00241C19">
      <w:pPr>
        <w:rPr>
          <w:lang w:val="fr-CH"/>
        </w:rPr>
      </w:pPr>
      <w:r>
        <w:rPr>
          <w:lang w:val="fr-CH"/>
        </w:rPr>
        <w:lastRenderedPageBreak/>
        <w:t xml:space="preserve">Par ailleurs, étant donné que l'UIT a conclu </w:t>
      </w:r>
      <w:r w:rsidR="00241C19">
        <w:rPr>
          <w:lang w:val="fr-CH"/>
        </w:rPr>
        <w:t xml:space="preserve">des </w:t>
      </w:r>
      <w:r>
        <w:rPr>
          <w:lang w:val="fr-CH"/>
        </w:rPr>
        <w:t>accord</w:t>
      </w:r>
      <w:r w:rsidR="00241C19">
        <w:rPr>
          <w:lang w:val="fr-CH"/>
        </w:rPr>
        <w:t>s</w:t>
      </w:r>
      <w:r>
        <w:rPr>
          <w:lang w:val="fr-CH"/>
        </w:rPr>
        <w:t xml:space="preserve"> avec l'ISO, la CEI, le SMPTE et l'ETSI concernant la coopération mutuelle et l'échange de documents, il pourrait être souhaitable de disposer de règles communes concernant la documentation, comme c'est le cas pour la politique commune en matière de droits de propriété intellectuelle. Le GCR est invité à étudier cette possibilité.</w:t>
      </w:r>
    </w:p>
    <w:p w:rsidR="00AD07EC" w:rsidRDefault="0044688A" w:rsidP="006A0587">
      <w:pPr>
        <w:pStyle w:val="TableNoBR"/>
        <w:rPr>
          <w:lang w:val="fr-CH"/>
        </w:rPr>
      </w:pPr>
      <w:r>
        <w:rPr>
          <w:lang w:val="fr-CH"/>
        </w:rPr>
        <w:t>TABLEAU 1</w:t>
      </w:r>
    </w:p>
    <w:p w:rsidR="0044688A" w:rsidRPr="0044688A" w:rsidRDefault="0044688A" w:rsidP="006A0587">
      <w:pPr>
        <w:pStyle w:val="TabletitleBR"/>
        <w:rPr>
          <w:lang w:val="fr-CH"/>
        </w:rPr>
      </w:pPr>
      <w:r w:rsidRPr="0044688A">
        <w:rPr>
          <w:lang w:val="fr-CH"/>
        </w:rPr>
        <w:t>Définition et utilisation des notes et notes de bas de page dans les normes ISO/CEI</w:t>
      </w:r>
      <w:r w:rsidR="006A0587">
        <w:rPr>
          <w:lang w:val="fr-CH"/>
        </w:rPr>
        <w:br/>
      </w:r>
      <w:r w:rsidRPr="0044688A">
        <w:rPr>
          <w:lang w:val="fr-CH"/>
        </w:rPr>
        <w:t>et Recommandations UIT-T</w:t>
      </w:r>
    </w:p>
    <w:tbl>
      <w:tblPr>
        <w:tblStyle w:val="TableGrid"/>
        <w:tblW w:w="0" w:type="auto"/>
        <w:tblLook w:val="04A0" w:firstRow="1" w:lastRow="0" w:firstColumn="1" w:lastColumn="0" w:noHBand="0" w:noVBand="1"/>
      </w:tblPr>
      <w:tblGrid>
        <w:gridCol w:w="2263"/>
        <w:gridCol w:w="3544"/>
        <w:gridCol w:w="3822"/>
      </w:tblGrid>
      <w:tr w:rsidR="0044688A" w:rsidTr="0044688A">
        <w:tc>
          <w:tcPr>
            <w:tcW w:w="2263" w:type="dxa"/>
          </w:tcPr>
          <w:p w:rsidR="0044688A" w:rsidRPr="0044688A" w:rsidRDefault="0044688A" w:rsidP="006A0587">
            <w:pPr>
              <w:pStyle w:val="Tablehead"/>
              <w:rPr>
                <w:lang w:val="fr-CH"/>
              </w:rPr>
            </w:pPr>
            <w:r w:rsidRPr="0044688A">
              <w:rPr>
                <w:lang w:val="fr-CH"/>
              </w:rPr>
              <w:t>Type</w:t>
            </w:r>
            <w:r>
              <w:rPr>
                <w:lang w:val="fr-CH"/>
              </w:rPr>
              <w:t>s</w:t>
            </w:r>
            <w:r w:rsidRPr="0044688A">
              <w:rPr>
                <w:lang w:val="fr-CH"/>
              </w:rPr>
              <w:t xml:space="preserve"> de notes</w:t>
            </w:r>
          </w:p>
        </w:tc>
        <w:tc>
          <w:tcPr>
            <w:tcW w:w="3544" w:type="dxa"/>
          </w:tcPr>
          <w:p w:rsidR="0044688A" w:rsidRPr="0044688A" w:rsidRDefault="0044688A" w:rsidP="006A0587">
            <w:pPr>
              <w:pStyle w:val="Tablehead"/>
              <w:rPr>
                <w:lang w:val="fr-CH"/>
              </w:rPr>
            </w:pPr>
            <w:r w:rsidRPr="0044688A">
              <w:rPr>
                <w:lang w:val="fr-CH"/>
              </w:rPr>
              <w:t>Directives ISO/CEI – Partie 2</w:t>
            </w:r>
          </w:p>
        </w:tc>
        <w:tc>
          <w:tcPr>
            <w:tcW w:w="3822" w:type="dxa"/>
          </w:tcPr>
          <w:p w:rsidR="0044688A" w:rsidRPr="0044688A" w:rsidRDefault="0044688A" w:rsidP="006A0587">
            <w:pPr>
              <w:pStyle w:val="Tablehead"/>
              <w:rPr>
                <w:lang w:val="fr-CH"/>
              </w:rPr>
            </w:pPr>
            <w:r w:rsidRPr="0044688A">
              <w:rPr>
                <w:lang w:val="fr-CH"/>
              </w:rPr>
              <w:t>Recommandations UIT-T A.15001</w:t>
            </w:r>
          </w:p>
        </w:tc>
      </w:tr>
      <w:tr w:rsidR="0044688A" w:rsidTr="0044688A">
        <w:tc>
          <w:tcPr>
            <w:tcW w:w="2263" w:type="dxa"/>
          </w:tcPr>
          <w:p w:rsidR="0044688A" w:rsidRDefault="0044688A" w:rsidP="006A0587">
            <w:pPr>
              <w:pStyle w:val="Tabletext"/>
              <w:rPr>
                <w:lang w:val="fr-CH"/>
              </w:rPr>
            </w:pPr>
            <w:r>
              <w:rPr>
                <w:lang w:val="fr-CH"/>
              </w:rPr>
              <w:t>Notes relatives au corps du texte</w:t>
            </w:r>
          </w:p>
        </w:tc>
        <w:tc>
          <w:tcPr>
            <w:tcW w:w="3544" w:type="dxa"/>
          </w:tcPr>
          <w:p w:rsidR="0044688A" w:rsidRDefault="0044688A" w:rsidP="006A0587">
            <w:pPr>
              <w:pStyle w:val="Tabletext"/>
              <w:rPr>
                <w:lang w:val="fr-CH"/>
              </w:rPr>
            </w:pPr>
            <w:r>
              <w:rPr>
                <w:lang w:val="fr-CH"/>
              </w:rPr>
              <w:t>24 Notes</w:t>
            </w:r>
          </w:p>
          <w:p w:rsidR="0044688A" w:rsidRDefault="00C3257B" w:rsidP="006A0587">
            <w:pPr>
              <w:pStyle w:val="Tabletext"/>
              <w:rPr>
                <w:lang w:val="fr-CH"/>
              </w:rPr>
            </w:pPr>
            <w:r>
              <w:rPr>
                <w:lang w:val="fr-CH"/>
              </w:rPr>
              <w:t>ne doivent pas contenir d'exigences ni d'informations considérées comme indispensables pour l'utilisation du document</w:t>
            </w:r>
          </w:p>
        </w:tc>
        <w:tc>
          <w:tcPr>
            <w:tcW w:w="3822" w:type="dxa"/>
            <w:vMerge w:val="restart"/>
          </w:tcPr>
          <w:p w:rsidR="00C3257B" w:rsidRDefault="00C3257B" w:rsidP="006A0587">
            <w:pPr>
              <w:pStyle w:val="Tabletext"/>
              <w:rPr>
                <w:lang w:val="fr-CH"/>
              </w:rPr>
            </w:pPr>
            <w:r>
              <w:rPr>
                <w:lang w:val="fr-CH"/>
              </w:rPr>
              <w:t>9.6.1 Note</w:t>
            </w:r>
            <w:r w:rsidR="00052A6B">
              <w:rPr>
                <w:lang w:val="fr-CH"/>
              </w:rPr>
              <w:t>s</w:t>
            </w:r>
            <w:r>
              <w:rPr>
                <w:lang w:val="fr-CH"/>
              </w:rPr>
              <w:t xml:space="preserve"> et notes de bas de page relative</w:t>
            </w:r>
            <w:r w:rsidR="006A0587">
              <w:rPr>
                <w:lang w:val="fr-CH"/>
              </w:rPr>
              <w:t>s</w:t>
            </w:r>
            <w:r>
              <w:rPr>
                <w:lang w:val="fr-CH"/>
              </w:rPr>
              <w:t xml:space="preserve"> au corps du texte</w:t>
            </w:r>
          </w:p>
          <w:p w:rsidR="0044688A" w:rsidRDefault="00C3257B" w:rsidP="006A0587">
            <w:pPr>
              <w:pStyle w:val="Tabletext"/>
              <w:rPr>
                <w:lang w:val="fr-CH"/>
              </w:rPr>
            </w:pPr>
            <w:r>
              <w:rPr>
                <w:lang w:val="fr-CH"/>
              </w:rPr>
              <w:t>ne devraient pas contenir de spécifications à valeur normative</w:t>
            </w:r>
          </w:p>
        </w:tc>
      </w:tr>
      <w:tr w:rsidR="0044688A" w:rsidTr="0044688A">
        <w:tc>
          <w:tcPr>
            <w:tcW w:w="2263" w:type="dxa"/>
          </w:tcPr>
          <w:p w:rsidR="0044688A" w:rsidRDefault="00C3257B" w:rsidP="006A0587">
            <w:pPr>
              <w:pStyle w:val="Tabletext"/>
              <w:rPr>
                <w:lang w:val="fr-CH"/>
              </w:rPr>
            </w:pPr>
            <w:r>
              <w:rPr>
                <w:lang w:val="fr-CH"/>
              </w:rPr>
              <w:t>Notes de bas de page relatives au corps du texte</w:t>
            </w:r>
          </w:p>
        </w:tc>
        <w:tc>
          <w:tcPr>
            <w:tcW w:w="3544" w:type="dxa"/>
          </w:tcPr>
          <w:p w:rsidR="0044688A" w:rsidRDefault="00C3257B" w:rsidP="006A0587">
            <w:pPr>
              <w:pStyle w:val="Tabletext"/>
              <w:rPr>
                <w:lang w:val="fr-CH"/>
              </w:rPr>
            </w:pPr>
            <w:r>
              <w:rPr>
                <w:lang w:val="fr-CH"/>
              </w:rPr>
              <w:t>26 Notes de bas de page</w:t>
            </w:r>
          </w:p>
          <w:p w:rsidR="00C3257B" w:rsidRDefault="00C3257B" w:rsidP="006A0587">
            <w:pPr>
              <w:pStyle w:val="Tabletext"/>
              <w:rPr>
                <w:lang w:val="fr-CH"/>
              </w:rPr>
            </w:pPr>
            <w:r w:rsidRPr="00C3257B">
              <w:rPr>
                <w:lang w:val="fr-CH"/>
              </w:rPr>
              <w:t>ne doivent pas contenir d’exigences</w:t>
            </w:r>
            <w:r>
              <w:rPr>
                <w:lang w:val="fr-CH"/>
              </w:rPr>
              <w:t xml:space="preserve"> </w:t>
            </w:r>
            <w:r w:rsidRPr="00C3257B">
              <w:rPr>
                <w:lang w:val="fr-CH"/>
              </w:rPr>
              <w:t>ni d’informations considérées comme indispensables pour</w:t>
            </w:r>
            <w:r w:rsidR="00052A6B">
              <w:rPr>
                <w:lang w:val="fr-CH"/>
              </w:rPr>
              <w:t xml:space="preserve"> </w:t>
            </w:r>
            <w:r w:rsidRPr="00C3257B">
              <w:rPr>
                <w:lang w:val="fr-CH"/>
              </w:rPr>
              <w:t>l’utilisation du document</w:t>
            </w:r>
          </w:p>
        </w:tc>
        <w:tc>
          <w:tcPr>
            <w:tcW w:w="3822" w:type="dxa"/>
            <w:vMerge/>
          </w:tcPr>
          <w:p w:rsidR="0044688A" w:rsidRDefault="0044688A" w:rsidP="006A0587">
            <w:pPr>
              <w:pStyle w:val="Tabletext"/>
              <w:rPr>
                <w:lang w:val="fr-CH"/>
              </w:rPr>
            </w:pPr>
          </w:p>
        </w:tc>
      </w:tr>
      <w:tr w:rsidR="0044688A" w:rsidTr="0044688A">
        <w:tc>
          <w:tcPr>
            <w:tcW w:w="2263" w:type="dxa"/>
          </w:tcPr>
          <w:p w:rsidR="0044688A" w:rsidRDefault="00C3257B" w:rsidP="006A0587">
            <w:pPr>
              <w:pStyle w:val="Tabletext"/>
              <w:rPr>
                <w:lang w:val="fr-CH"/>
              </w:rPr>
            </w:pPr>
            <w:r w:rsidRPr="00C3257B">
              <w:rPr>
                <w:lang w:val="fr-CH"/>
              </w:rPr>
              <w:t>Notes dans les tableaux</w:t>
            </w:r>
          </w:p>
        </w:tc>
        <w:tc>
          <w:tcPr>
            <w:tcW w:w="3544" w:type="dxa"/>
          </w:tcPr>
          <w:p w:rsidR="0044688A" w:rsidRDefault="00052A6B" w:rsidP="006A0587">
            <w:pPr>
              <w:pStyle w:val="Tabletext"/>
              <w:rPr>
                <w:lang w:val="fr-CH"/>
              </w:rPr>
            </w:pPr>
            <w:r>
              <w:rPr>
                <w:lang w:val="fr-CH"/>
              </w:rPr>
              <w:t xml:space="preserve">29.5.1 </w:t>
            </w:r>
            <w:r w:rsidRPr="00052A6B">
              <w:rPr>
                <w:lang w:val="fr-CH"/>
              </w:rPr>
              <w:t>Notes dans les tableaux</w:t>
            </w:r>
          </w:p>
          <w:p w:rsidR="00052A6B" w:rsidRDefault="00052A6B" w:rsidP="006A0587">
            <w:pPr>
              <w:pStyle w:val="Tabletext"/>
              <w:rPr>
                <w:lang w:val="fr-CH"/>
              </w:rPr>
            </w:pPr>
            <w:r w:rsidRPr="00052A6B">
              <w:rPr>
                <w:lang w:val="fr-CH"/>
              </w:rPr>
              <w:t>ne doivent pas contenir d'exigences ni d'informations considérées</w:t>
            </w:r>
            <w:r>
              <w:rPr>
                <w:lang w:val="fr-CH"/>
              </w:rPr>
              <w:t xml:space="preserve"> </w:t>
            </w:r>
            <w:r w:rsidRPr="00052A6B">
              <w:rPr>
                <w:lang w:val="fr-CH"/>
              </w:rPr>
              <w:t>comme indispensables pour l'utilisation du document</w:t>
            </w:r>
          </w:p>
        </w:tc>
        <w:tc>
          <w:tcPr>
            <w:tcW w:w="3822" w:type="dxa"/>
            <w:vMerge w:val="restart"/>
          </w:tcPr>
          <w:p w:rsidR="0044688A" w:rsidRDefault="00052A6B" w:rsidP="006A0587">
            <w:pPr>
              <w:pStyle w:val="Tabletext"/>
              <w:rPr>
                <w:lang w:val="fr-CH"/>
              </w:rPr>
            </w:pPr>
            <w:r>
              <w:rPr>
                <w:lang w:val="fr-CH"/>
              </w:rPr>
              <w:t xml:space="preserve">9.6.2 </w:t>
            </w:r>
            <w:r w:rsidRPr="00052A6B">
              <w:rPr>
                <w:lang w:val="fr-CH"/>
              </w:rPr>
              <w:t>Notes dans les tableaux</w:t>
            </w:r>
            <w:r>
              <w:rPr>
                <w:lang w:val="fr-CH"/>
              </w:rPr>
              <w:t xml:space="preserve"> et les figures</w:t>
            </w:r>
          </w:p>
          <w:p w:rsidR="00052A6B" w:rsidRDefault="00052A6B" w:rsidP="006A0587">
            <w:pPr>
              <w:pStyle w:val="Tabletext"/>
              <w:rPr>
                <w:lang w:val="fr-CH"/>
              </w:rPr>
            </w:pPr>
            <w:r>
              <w:rPr>
                <w:lang w:val="fr-CH"/>
              </w:rPr>
              <w:t>peuvent contenir des spécifications à valeur normative</w:t>
            </w:r>
          </w:p>
        </w:tc>
      </w:tr>
      <w:tr w:rsidR="0044688A" w:rsidTr="0044688A">
        <w:tc>
          <w:tcPr>
            <w:tcW w:w="2263" w:type="dxa"/>
          </w:tcPr>
          <w:p w:rsidR="0044688A" w:rsidRDefault="00052A6B" w:rsidP="006A0587">
            <w:pPr>
              <w:pStyle w:val="Tabletext"/>
              <w:rPr>
                <w:lang w:val="fr-CH"/>
              </w:rPr>
            </w:pPr>
            <w:r w:rsidRPr="00052A6B">
              <w:rPr>
                <w:lang w:val="fr-CH"/>
              </w:rPr>
              <w:t>Notes dans les figures</w:t>
            </w:r>
          </w:p>
        </w:tc>
        <w:tc>
          <w:tcPr>
            <w:tcW w:w="3544" w:type="dxa"/>
          </w:tcPr>
          <w:p w:rsidR="0044688A" w:rsidRDefault="00052A6B" w:rsidP="006A0587">
            <w:pPr>
              <w:pStyle w:val="Tabletext"/>
              <w:rPr>
                <w:lang w:val="fr-CH"/>
              </w:rPr>
            </w:pPr>
            <w:r>
              <w:rPr>
                <w:lang w:val="fr-CH"/>
              </w:rPr>
              <w:t xml:space="preserve">28.5.4 </w:t>
            </w:r>
            <w:r w:rsidRPr="00052A6B">
              <w:rPr>
                <w:lang w:val="fr-CH"/>
              </w:rPr>
              <w:t>Notes dans les figures</w:t>
            </w:r>
          </w:p>
          <w:p w:rsidR="00052A6B" w:rsidRDefault="00052A6B" w:rsidP="006A0587">
            <w:pPr>
              <w:pStyle w:val="Tabletext"/>
              <w:rPr>
                <w:lang w:val="fr-CH"/>
              </w:rPr>
            </w:pPr>
            <w:r w:rsidRPr="00052A6B">
              <w:rPr>
                <w:lang w:val="fr-CH"/>
              </w:rPr>
              <w:t>ne doivent pas contenir d'exigences ni d'informations considérées comme</w:t>
            </w:r>
            <w:r>
              <w:rPr>
                <w:lang w:val="fr-CH"/>
              </w:rPr>
              <w:t xml:space="preserve"> </w:t>
            </w:r>
            <w:r w:rsidRPr="00052A6B">
              <w:rPr>
                <w:lang w:val="fr-CH"/>
              </w:rPr>
              <w:t>indispensables pour l'utilisation du document</w:t>
            </w:r>
          </w:p>
        </w:tc>
        <w:tc>
          <w:tcPr>
            <w:tcW w:w="3822" w:type="dxa"/>
            <w:vMerge/>
          </w:tcPr>
          <w:p w:rsidR="0044688A" w:rsidRDefault="0044688A" w:rsidP="006A0587">
            <w:pPr>
              <w:pStyle w:val="Tabletext"/>
              <w:rPr>
                <w:lang w:val="fr-CH"/>
              </w:rPr>
            </w:pPr>
          </w:p>
        </w:tc>
      </w:tr>
      <w:tr w:rsidR="0044688A" w:rsidTr="0044688A">
        <w:tc>
          <w:tcPr>
            <w:tcW w:w="2263" w:type="dxa"/>
          </w:tcPr>
          <w:p w:rsidR="0044688A" w:rsidRDefault="00052A6B" w:rsidP="006A0587">
            <w:pPr>
              <w:pStyle w:val="Tabletext"/>
              <w:rPr>
                <w:lang w:val="fr-CH"/>
              </w:rPr>
            </w:pPr>
            <w:r w:rsidRPr="00052A6B">
              <w:rPr>
                <w:lang w:val="fr-CH"/>
              </w:rPr>
              <w:t>Notes de bas de tableau</w:t>
            </w:r>
          </w:p>
        </w:tc>
        <w:tc>
          <w:tcPr>
            <w:tcW w:w="3544" w:type="dxa"/>
          </w:tcPr>
          <w:p w:rsidR="0044688A" w:rsidRDefault="00052A6B" w:rsidP="006A0587">
            <w:pPr>
              <w:pStyle w:val="Tabletext"/>
              <w:rPr>
                <w:lang w:val="fr-CH"/>
              </w:rPr>
            </w:pPr>
            <w:r>
              <w:rPr>
                <w:lang w:val="fr-CH"/>
              </w:rPr>
              <w:t xml:space="preserve">29.5.2 </w:t>
            </w:r>
            <w:r w:rsidRPr="00052A6B">
              <w:rPr>
                <w:lang w:val="fr-CH"/>
              </w:rPr>
              <w:t>Notes de bas de tableau</w:t>
            </w:r>
          </w:p>
          <w:p w:rsidR="00052A6B" w:rsidRDefault="00052A6B" w:rsidP="006A0587">
            <w:pPr>
              <w:pStyle w:val="Tabletext"/>
              <w:rPr>
                <w:lang w:val="fr-CH"/>
              </w:rPr>
            </w:pPr>
            <w:r w:rsidRPr="00052A6B">
              <w:rPr>
                <w:lang w:val="fr-CH"/>
              </w:rPr>
              <w:t>peuvent contenir des exigences</w:t>
            </w:r>
          </w:p>
        </w:tc>
        <w:tc>
          <w:tcPr>
            <w:tcW w:w="3822" w:type="dxa"/>
          </w:tcPr>
          <w:p w:rsidR="0044688A" w:rsidRDefault="0044688A" w:rsidP="006A0587">
            <w:pPr>
              <w:pStyle w:val="Tabletext"/>
              <w:rPr>
                <w:lang w:val="fr-CH"/>
              </w:rPr>
            </w:pPr>
          </w:p>
        </w:tc>
      </w:tr>
      <w:tr w:rsidR="0044688A" w:rsidTr="0044688A">
        <w:tc>
          <w:tcPr>
            <w:tcW w:w="2263" w:type="dxa"/>
          </w:tcPr>
          <w:p w:rsidR="0044688A" w:rsidRDefault="00052A6B" w:rsidP="006A0587">
            <w:pPr>
              <w:pStyle w:val="Tabletext"/>
              <w:rPr>
                <w:lang w:val="fr-CH"/>
              </w:rPr>
            </w:pPr>
            <w:r w:rsidRPr="00052A6B">
              <w:rPr>
                <w:lang w:val="fr-CH"/>
              </w:rPr>
              <w:t>Notes de bas de figure</w:t>
            </w:r>
          </w:p>
        </w:tc>
        <w:tc>
          <w:tcPr>
            <w:tcW w:w="3544" w:type="dxa"/>
          </w:tcPr>
          <w:p w:rsidR="0044688A" w:rsidRDefault="00052A6B" w:rsidP="006A0587">
            <w:pPr>
              <w:pStyle w:val="Tabletext"/>
              <w:rPr>
                <w:lang w:val="fr-CH"/>
              </w:rPr>
            </w:pPr>
            <w:r>
              <w:rPr>
                <w:lang w:val="fr-CH"/>
              </w:rPr>
              <w:t xml:space="preserve">28.5.5 </w:t>
            </w:r>
            <w:r w:rsidRPr="00052A6B">
              <w:rPr>
                <w:lang w:val="fr-CH"/>
              </w:rPr>
              <w:t>Notes de bas de figure</w:t>
            </w:r>
          </w:p>
          <w:p w:rsidR="00052A6B" w:rsidRDefault="00052A6B" w:rsidP="006A0587">
            <w:pPr>
              <w:pStyle w:val="Tabletext"/>
              <w:rPr>
                <w:lang w:val="fr-CH"/>
              </w:rPr>
            </w:pPr>
            <w:r w:rsidRPr="00052A6B">
              <w:rPr>
                <w:lang w:val="fr-CH"/>
              </w:rPr>
              <w:t>peuvent contenir des exigences</w:t>
            </w:r>
          </w:p>
        </w:tc>
        <w:tc>
          <w:tcPr>
            <w:tcW w:w="3822" w:type="dxa"/>
          </w:tcPr>
          <w:p w:rsidR="0044688A" w:rsidRDefault="0044688A" w:rsidP="006A0587">
            <w:pPr>
              <w:pStyle w:val="Tabletext"/>
              <w:rPr>
                <w:lang w:val="fr-CH"/>
              </w:rPr>
            </w:pPr>
          </w:p>
        </w:tc>
      </w:tr>
    </w:tbl>
    <w:p w:rsidR="0044688A" w:rsidRPr="005E198F" w:rsidRDefault="0044688A" w:rsidP="0044688A">
      <w:pPr>
        <w:rPr>
          <w:lang w:val="fr-CH"/>
        </w:rPr>
      </w:pPr>
    </w:p>
    <w:p w:rsidR="0040053B" w:rsidRPr="00E01336" w:rsidRDefault="009415AB" w:rsidP="00B508A3">
      <w:pPr>
        <w:jc w:val="center"/>
        <w:rPr>
          <w:lang w:eastAsia="zh-CN"/>
        </w:rPr>
      </w:pPr>
      <w:r w:rsidRPr="00E01336">
        <w:t>______________</w:t>
      </w:r>
    </w:p>
    <w:sectPr w:rsidR="0040053B" w:rsidRPr="00E01336">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5B8" w:rsidRDefault="00FD45B8">
      <w:r>
        <w:separator/>
      </w:r>
    </w:p>
  </w:endnote>
  <w:endnote w:type="continuationSeparator" w:id="0">
    <w:p w:rsidR="00FD45B8" w:rsidRDefault="00FD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B8" w:rsidRDefault="00FD45B8">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P:\FRA\ITU-R\AG\RAG\RAG17\000\003F.docx</w:t>
    </w:r>
    <w:r>
      <w:rPr>
        <w:lang w:val="en-US"/>
      </w:rPr>
      <w:fldChar w:fldCharType="end"/>
    </w:r>
    <w:r>
      <w:rPr>
        <w:lang w:val="en-US"/>
      </w:rPr>
      <w:tab/>
    </w:r>
    <w:r>
      <w:fldChar w:fldCharType="begin"/>
    </w:r>
    <w:r>
      <w:instrText xml:space="preserve"> savedate \@ dd.MM.yy </w:instrText>
    </w:r>
    <w:r>
      <w:fldChar w:fldCharType="separate"/>
    </w:r>
    <w:r w:rsidR="0013226B">
      <w:t>19.04.17</w:t>
    </w:r>
    <w:r>
      <w:fldChar w:fldCharType="end"/>
    </w:r>
    <w:r>
      <w:rPr>
        <w:lang w:val="en-US"/>
      </w:rPr>
      <w:tab/>
    </w:r>
    <w:r>
      <w:fldChar w:fldCharType="begin"/>
    </w:r>
    <w:r>
      <w:instrText xml:space="preserve"> printdate \@ dd.MM.yy </w:instrText>
    </w:r>
    <w:r>
      <w:fldChar w:fldCharType="separate"/>
    </w:r>
    <w:r>
      <w:t>21.02.17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B8" w:rsidRPr="005E0FF8" w:rsidRDefault="00FD45B8" w:rsidP="00663D07">
    <w:pPr>
      <w:pStyle w:val="Footer"/>
      <w:rPr>
        <w:lang w:val="en-US"/>
      </w:rPr>
    </w:pPr>
    <w:r>
      <w:fldChar w:fldCharType="begin"/>
    </w:r>
    <w:r w:rsidRPr="005E0FF8">
      <w:rPr>
        <w:lang w:val="en-US"/>
      </w:rPr>
      <w:instrText xml:space="preserve"> FILENAME \p  \* MERGEFORMAT </w:instrText>
    </w:r>
    <w:r>
      <w:fldChar w:fldCharType="separate"/>
    </w:r>
    <w:r w:rsidR="006A0587">
      <w:rPr>
        <w:lang w:val="en-US"/>
      </w:rPr>
      <w:t>P:\FRA\ITU-R\AG\RAG\RAG17\000\013F.docx</w:t>
    </w:r>
    <w:r>
      <w:fldChar w:fldCharType="end"/>
    </w:r>
    <w:r>
      <w:rPr>
        <w:lang w:val="en-US"/>
      </w:rPr>
      <w:t xml:space="preserve"> (</w:t>
    </w:r>
    <w:r w:rsidR="00663D07">
      <w:rPr>
        <w:lang w:val="en-US"/>
      </w:rPr>
      <w:t>416727</w:t>
    </w:r>
    <w:r w:rsidRPr="005E0FF8">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B8" w:rsidRPr="005E0FF8" w:rsidRDefault="00FD45B8" w:rsidP="00663D07">
    <w:pPr>
      <w:pStyle w:val="Footer"/>
      <w:rPr>
        <w:lang w:val="en-US"/>
      </w:rPr>
    </w:pPr>
    <w:r>
      <w:fldChar w:fldCharType="begin"/>
    </w:r>
    <w:r w:rsidRPr="005E0FF8">
      <w:rPr>
        <w:lang w:val="en-US"/>
      </w:rPr>
      <w:instrText xml:space="preserve"> FILENAME \p  \* MERGEFORMAT </w:instrText>
    </w:r>
    <w:r>
      <w:fldChar w:fldCharType="separate"/>
    </w:r>
    <w:r w:rsidR="00241C19">
      <w:rPr>
        <w:lang w:val="en-US"/>
      </w:rPr>
      <w:t>P:\FRA\ITU-R\AG\RAG\RAG17\000\013F.docx</w:t>
    </w:r>
    <w:r>
      <w:fldChar w:fldCharType="end"/>
    </w:r>
    <w:r>
      <w:rPr>
        <w:lang w:val="en-US"/>
      </w:rPr>
      <w:t xml:space="preserve"> (</w:t>
    </w:r>
    <w:r w:rsidR="00663D07">
      <w:rPr>
        <w:lang w:val="en-US"/>
      </w:rPr>
      <w:t>416727</w:t>
    </w:r>
    <w:r w:rsidRPr="005E0FF8">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5B8" w:rsidRDefault="00FD45B8">
      <w:r>
        <w:t>____________________</w:t>
      </w:r>
    </w:p>
  </w:footnote>
  <w:footnote w:type="continuationSeparator" w:id="0">
    <w:p w:rsidR="00FD45B8" w:rsidRDefault="00FD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B8" w:rsidRDefault="00FD45B8">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B8" w:rsidRDefault="00FD45B8" w:rsidP="00925627">
    <w:pPr>
      <w:pStyle w:val="Header"/>
      <w:rPr>
        <w:lang w:val="es-ES"/>
      </w:rPr>
    </w:pPr>
    <w:r>
      <w:fldChar w:fldCharType="begin"/>
    </w:r>
    <w:r>
      <w:instrText xml:space="preserve"> PAGE </w:instrText>
    </w:r>
    <w:r>
      <w:fldChar w:fldCharType="separate"/>
    </w:r>
    <w:r w:rsidR="006A0587">
      <w:rPr>
        <w:noProof/>
      </w:rPr>
      <w:t>2</w:t>
    </w:r>
    <w:r>
      <w:rPr>
        <w:noProof/>
      </w:rPr>
      <w:fldChar w:fldCharType="end"/>
    </w:r>
  </w:p>
  <w:p w:rsidR="00FD45B8" w:rsidRDefault="00FD45B8" w:rsidP="00663D07">
    <w:pPr>
      <w:pStyle w:val="Header"/>
      <w:rPr>
        <w:lang w:val="es-ES"/>
      </w:rPr>
    </w:pPr>
    <w:r>
      <w:rPr>
        <w:lang w:val="es-ES"/>
      </w:rPr>
      <w:t>RAG17/</w:t>
    </w:r>
    <w:r w:rsidR="00663D07">
      <w:rPr>
        <w:lang w:val="es-ES"/>
      </w:rPr>
      <w:t>13</w:t>
    </w:r>
    <w:r>
      <w:rPr>
        <w:lang w:val="es-E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3225202-ACC9-40EA-97A9-E90E01CA2707}"/>
    <w:docVar w:name="dgnword-eventsink" w:val="307527808"/>
  </w:docVars>
  <w:rsids>
    <w:rsidRoot w:val="00947B44"/>
    <w:rsid w:val="000156DC"/>
    <w:rsid w:val="00027081"/>
    <w:rsid w:val="00031004"/>
    <w:rsid w:val="0004010F"/>
    <w:rsid w:val="00052A6B"/>
    <w:rsid w:val="000765C4"/>
    <w:rsid w:val="000A0005"/>
    <w:rsid w:val="000A42A5"/>
    <w:rsid w:val="000C06D8"/>
    <w:rsid w:val="000D6E76"/>
    <w:rsid w:val="0013226B"/>
    <w:rsid w:val="00140AE6"/>
    <w:rsid w:val="0015292A"/>
    <w:rsid w:val="00173C08"/>
    <w:rsid w:val="001A7DFD"/>
    <w:rsid w:val="001C25F8"/>
    <w:rsid w:val="001F4881"/>
    <w:rsid w:val="0020004A"/>
    <w:rsid w:val="00222A1C"/>
    <w:rsid w:val="00241C19"/>
    <w:rsid w:val="002D238A"/>
    <w:rsid w:val="002E69F8"/>
    <w:rsid w:val="0035608F"/>
    <w:rsid w:val="003753CE"/>
    <w:rsid w:val="003A6CEE"/>
    <w:rsid w:val="003A7375"/>
    <w:rsid w:val="003B0EC9"/>
    <w:rsid w:val="003E4A9A"/>
    <w:rsid w:val="0040053B"/>
    <w:rsid w:val="00405FBE"/>
    <w:rsid w:val="004233FC"/>
    <w:rsid w:val="00426AFE"/>
    <w:rsid w:val="00443261"/>
    <w:rsid w:val="0044688A"/>
    <w:rsid w:val="00454CBE"/>
    <w:rsid w:val="0049083A"/>
    <w:rsid w:val="004C6912"/>
    <w:rsid w:val="004E1CCF"/>
    <w:rsid w:val="005076BC"/>
    <w:rsid w:val="005207F5"/>
    <w:rsid w:val="0053415B"/>
    <w:rsid w:val="005430E4"/>
    <w:rsid w:val="00560B5C"/>
    <w:rsid w:val="005C1D5F"/>
    <w:rsid w:val="005D2C20"/>
    <w:rsid w:val="005D3FDC"/>
    <w:rsid w:val="005E0FF8"/>
    <w:rsid w:val="0060261F"/>
    <w:rsid w:val="00654619"/>
    <w:rsid w:val="00663D07"/>
    <w:rsid w:val="0067019B"/>
    <w:rsid w:val="00677EE5"/>
    <w:rsid w:val="00692BA7"/>
    <w:rsid w:val="00694DEF"/>
    <w:rsid w:val="006A0587"/>
    <w:rsid w:val="006C16FE"/>
    <w:rsid w:val="006D5A56"/>
    <w:rsid w:val="006D7CCF"/>
    <w:rsid w:val="006E67CF"/>
    <w:rsid w:val="00705A49"/>
    <w:rsid w:val="007428A0"/>
    <w:rsid w:val="00773E5E"/>
    <w:rsid w:val="00785C78"/>
    <w:rsid w:val="007A437C"/>
    <w:rsid w:val="007A48A2"/>
    <w:rsid w:val="007F011A"/>
    <w:rsid w:val="00847AAC"/>
    <w:rsid w:val="00861B8D"/>
    <w:rsid w:val="008B2BBE"/>
    <w:rsid w:val="008C5730"/>
    <w:rsid w:val="008E0222"/>
    <w:rsid w:val="009138B5"/>
    <w:rsid w:val="00922DFF"/>
    <w:rsid w:val="00925627"/>
    <w:rsid w:val="0093101F"/>
    <w:rsid w:val="009415AB"/>
    <w:rsid w:val="00947B44"/>
    <w:rsid w:val="00964A59"/>
    <w:rsid w:val="00967677"/>
    <w:rsid w:val="0097156E"/>
    <w:rsid w:val="009B4322"/>
    <w:rsid w:val="009F3F5F"/>
    <w:rsid w:val="009F6D79"/>
    <w:rsid w:val="00A047DE"/>
    <w:rsid w:val="00A86974"/>
    <w:rsid w:val="00A9055C"/>
    <w:rsid w:val="00AB7F92"/>
    <w:rsid w:val="00AC39EE"/>
    <w:rsid w:val="00AC54B4"/>
    <w:rsid w:val="00AD07EC"/>
    <w:rsid w:val="00AF5AF1"/>
    <w:rsid w:val="00B41D84"/>
    <w:rsid w:val="00B46EDA"/>
    <w:rsid w:val="00B508A3"/>
    <w:rsid w:val="00B5313B"/>
    <w:rsid w:val="00BA0C7B"/>
    <w:rsid w:val="00BA4A4E"/>
    <w:rsid w:val="00BC4591"/>
    <w:rsid w:val="00BE7E67"/>
    <w:rsid w:val="00C11B8D"/>
    <w:rsid w:val="00C164D6"/>
    <w:rsid w:val="00C240C8"/>
    <w:rsid w:val="00C3257B"/>
    <w:rsid w:val="00C71BBD"/>
    <w:rsid w:val="00C72A86"/>
    <w:rsid w:val="00C74AD9"/>
    <w:rsid w:val="00C80A87"/>
    <w:rsid w:val="00C81020"/>
    <w:rsid w:val="00CB11D2"/>
    <w:rsid w:val="00CC5B9E"/>
    <w:rsid w:val="00CC7208"/>
    <w:rsid w:val="00CE6184"/>
    <w:rsid w:val="00CF231F"/>
    <w:rsid w:val="00D228F7"/>
    <w:rsid w:val="00D22C4A"/>
    <w:rsid w:val="00D27C65"/>
    <w:rsid w:val="00D34E1C"/>
    <w:rsid w:val="00D95965"/>
    <w:rsid w:val="00DA2CB8"/>
    <w:rsid w:val="00DD55EB"/>
    <w:rsid w:val="00E01336"/>
    <w:rsid w:val="00E06247"/>
    <w:rsid w:val="00E2659D"/>
    <w:rsid w:val="00E445D1"/>
    <w:rsid w:val="00E52661"/>
    <w:rsid w:val="00E75BB4"/>
    <w:rsid w:val="00EC0F12"/>
    <w:rsid w:val="00ED59FA"/>
    <w:rsid w:val="00EF5CF3"/>
    <w:rsid w:val="00F24D0E"/>
    <w:rsid w:val="00F27078"/>
    <w:rsid w:val="00F7620B"/>
    <w:rsid w:val="00F775D5"/>
    <w:rsid w:val="00FA286B"/>
    <w:rsid w:val="00FD45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0B2F09-087D-4441-9BF9-3D3F4F3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uiPriority w:val="99"/>
    <w:rsid w:val="006E67CF"/>
    <w:rPr>
      <w:rFonts w:ascii="Times New Roman" w:hAnsi="Times New Roman"/>
      <w:sz w:val="24"/>
      <w:lang w:val="fr-FR" w:eastAsia="en-US"/>
    </w:rPr>
  </w:style>
  <w:style w:type="character" w:styleId="Hyperlink">
    <w:name w:val="Hyperlink"/>
    <w:basedOn w:val="DefaultParagraphFont"/>
    <w:unhideWhenUsed/>
    <w:rsid w:val="006E67CF"/>
    <w:rPr>
      <w:color w:val="0000FF" w:themeColor="hyperlink"/>
      <w:u w:val="single"/>
    </w:rPr>
  </w:style>
  <w:style w:type="paragraph" w:customStyle="1" w:styleId="AnnexNo">
    <w:name w:val="Annex_No"/>
    <w:basedOn w:val="Normal"/>
    <w:next w:val="Normal"/>
    <w:rsid w:val="00E06247"/>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E0624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table" w:styleId="TableGrid">
    <w:name w:val="Table Grid"/>
    <w:basedOn w:val="TableNormal"/>
    <w:rsid w:val="00E0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0"/>
    <w:rsid w:val="00E06247"/>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E06247"/>
    <w:rPr>
      <w:rFonts w:ascii="Times New Roman" w:hAnsi="Times New Roman"/>
      <w:b/>
      <w:sz w:val="28"/>
      <w:lang w:val="fr-FR" w:eastAsia="en-US"/>
    </w:rPr>
  </w:style>
  <w:style w:type="character" w:customStyle="1" w:styleId="CallChar">
    <w:name w:val="Call Char"/>
    <w:basedOn w:val="DefaultParagraphFont"/>
    <w:link w:val="Call"/>
    <w:locked/>
    <w:rsid w:val="00E06247"/>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E06247"/>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E06247"/>
    <w:rPr>
      <w:rFonts w:ascii="Times New Roman" w:hAnsi="Times New Roman"/>
      <w:sz w:val="24"/>
      <w:lang w:val="fr-FR" w:eastAsia="en-US"/>
    </w:rPr>
  </w:style>
  <w:style w:type="character" w:customStyle="1" w:styleId="enumlev1Char">
    <w:name w:val="enumlev1 Char"/>
    <w:basedOn w:val="DefaultParagraphFont"/>
    <w:link w:val="enumlev1"/>
    <w:rsid w:val="000D6E76"/>
    <w:rPr>
      <w:rFonts w:ascii="Times New Roman" w:hAnsi="Times New Roman"/>
      <w:sz w:val="24"/>
      <w:lang w:val="fr-FR" w:eastAsia="en-US"/>
    </w:rPr>
  </w:style>
  <w:style w:type="character" w:customStyle="1" w:styleId="Heading1Char">
    <w:name w:val="Heading 1 Char"/>
    <w:aliases w:val="título 1 Char"/>
    <w:basedOn w:val="DefaultParagraphFont"/>
    <w:link w:val="Heading1"/>
    <w:rsid w:val="005E0FF8"/>
    <w:rPr>
      <w:rFonts w:ascii="Times New Roman" w:hAnsi="Times New Roman"/>
      <w:b/>
      <w:sz w:val="24"/>
      <w:lang w:val="fr-FR" w:eastAsia="en-US"/>
    </w:rPr>
  </w:style>
  <w:style w:type="character" w:customStyle="1" w:styleId="Heading2Char">
    <w:name w:val="Heading 2 Char"/>
    <w:basedOn w:val="DefaultParagraphFont"/>
    <w:link w:val="Heading2"/>
    <w:rsid w:val="005E0FF8"/>
    <w:rPr>
      <w:rFonts w:ascii="Times New Roman" w:hAnsi="Times New Roman"/>
      <w:b/>
      <w:sz w:val="24"/>
      <w:lang w:val="fr-FR" w:eastAsia="en-US"/>
    </w:rPr>
  </w:style>
  <w:style w:type="paragraph" w:customStyle="1" w:styleId="Reasons">
    <w:name w:val="Reasons"/>
    <w:basedOn w:val="Normal"/>
    <w:qFormat/>
    <w:rsid w:val="005E0FF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6C16FE"/>
    <w:rPr>
      <w:color w:val="800080" w:themeColor="followedHyperlink"/>
      <w:u w:val="single"/>
    </w:rPr>
  </w:style>
  <w:style w:type="character" w:customStyle="1" w:styleId="wysiwyg-font-size-medium">
    <w:name w:val="wysiwyg-font-size-medium"/>
    <w:basedOn w:val="DefaultParagraphFont"/>
    <w:rsid w:val="003E4A9A"/>
  </w:style>
  <w:style w:type="character" w:styleId="CommentReference">
    <w:name w:val="annotation reference"/>
    <w:basedOn w:val="DefaultParagraphFont"/>
    <w:semiHidden/>
    <w:unhideWhenUsed/>
    <w:rsid w:val="00DA2CB8"/>
    <w:rPr>
      <w:sz w:val="16"/>
      <w:szCs w:val="16"/>
    </w:rPr>
  </w:style>
  <w:style w:type="paragraph" w:styleId="CommentText">
    <w:name w:val="annotation text"/>
    <w:basedOn w:val="Normal"/>
    <w:link w:val="CommentTextChar"/>
    <w:semiHidden/>
    <w:unhideWhenUsed/>
    <w:rsid w:val="00DA2CB8"/>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semiHidden/>
    <w:rsid w:val="00DA2CB8"/>
    <w:rPr>
      <w:rFonts w:ascii="Calibri" w:hAnsi="Calibri"/>
      <w:lang w:val="fr-FR" w:eastAsia="en-US"/>
    </w:rPr>
  </w:style>
  <w:style w:type="paragraph" w:styleId="BalloonText">
    <w:name w:val="Balloon Text"/>
    <w:basedOn w:val="Normal"/>
    <w:link w:val="BalloonTextChar"/>
    <w:semiHidden/>
    <w:unhideWhenUsed/>
    <w:rsid w:val="00DA2C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2CB8"/>
    <w:rPr>
      <w:rFonts w:ascii="Segoe UI" w:hAnsi="Segoe UI" w:cs="Segoe UI"/>
      <w:sz w:val="18"/>
      <w:szCs w:val="18"/>
      <w:lang w:val="fr-FR" w:eastAsia="en-US"/>
    </w:rPr>
  </w:style>
  <w:style w:type="paragraph" w:styleId="ListParagraph">
    <w:name w:val="List Paragraph"/>
    <w:basedOn w:val="Normal"/>
    <w:uiPriority w:val="34"/>
    <w:qFormat/>
    <w:rsid w:val="00785C78"/>
    <w:pPr>
      <w:ind w:left="720"/>
      <w:contextualSpacing/>
    </w:pPr>
  </w:style>
  <w:style w:type="character" w:customStyle="1" w:styleId="HeaderChar">
    <w:name w:val="Header Char"/>
    <w:basedOn w:val="DefaultParagraphFont"/>
    <w:link w:val="Header"/>
    <w:rsid w:val="007F011A"/>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CA40C-117B-4D12-AD06-1D992E52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15</TotalTime>
  <Pages>2</Pages>
  <Words>692</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110ÈME ANNIVERSAIRE DU RÈGLEMENT DES RADIOCOMMUNICATIONS DE L'UIT (1906-2016)</vt:lpstr>
    </vt:vector>
  </TitlesOfParts>
  <Manager>General Secretariat - Pool</Manager>
  <Company>International Telecommunication Union (ITU)</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110ÈME ANNIVERSAIRE DU RÈGLEMENT DES RADIOCOMMUNICATIONS DE L'UIT (1906-2016)</dc:title>
  <dc:subject>GROUPE CONSULTATIF DES RADIOCOMMUNICATIONS</dc:subject>
  <dc:creator>Directeur du Bureau des radiocommunications</dc:creator>
  <cp:keywords>RAG03-1</cp:keywords>
  <dc:description>Document RAG17/3-F  For: _x000d_Document date: 16 février 2017_x000d_Saved by ITU51007810 at 11:14:39 on 21/02/2017</dc:description>
  <cp:lastModifiedBy>Jones, Jacqueline</cp:lastModifiedBy>
  <cp:revision>3</cp:revision>
  <cp:lastPrinted>2017-02-21T10:07:00Z</cp:lastPrinted>
  <dcterms:created xsi:type="dcterms:W3CDTF">2017-04-19T10:28:00Z</dcterms:created>
  <dcterms:modified xsi:type="dcterms:W3CDTF">2017-04-19T10:44:00Z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RAG17/3-F</vt:lpwstr>
  </property>
  <property fmtid="{D5CDD505-2E9C-101B-9397-08002B2CF9AE}" pid="3" name="Docdate">
    <vt:lpwstr>16 février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