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971484" w:rsidRDefault="00971484" w:rsidP="00971484">
            <w:pPr>
              <w:shd w:val="solid" w:color="FFFFFF" w:fill="FFFFFF"/>
              <w:spacing w:before="0" w:line="240" w:lineRule="atLeast"/>
              <w:rPr>
                <w:rFonts w:ascii="Verdana" w:hAnsi="Verdana"/>
                <w:sz w:val="20"/>
              </w:rPr>
            </w:pPr>
            <w:r>
              <w:rPr>
                <w:rFonts w:ascii="Verdana" w:hAnsi="Verdana"/>
                <w:b/>
                <w:sz w:val="20"/>
              </w:rPr>
              <w:t>Document RAG17/13-E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971484" w:rsidRDefault="00971484" w:rsidP="00971484">
            <w:pPr>
              <w:shd w:val="solid" w:color="FFFFFF" w:fill="FFFFFF"/>
              <w:spacing w:before="0" w:line="240" w:lineRule="atLeast"/>
              <w:rPr>
                <w:rFonts w:ascii="Verdana" w:hAnsi="Verdana"/>
                <w:sz w:val="20"/>
              </w:rPr>
            </w:pPr>
            <w:r>
              <w:rPr>
                <w:rFonts w:ascii="Verdana" w:hAnsi="Verdana"/>
                <w:b/>
                <w:sz w:val="20"/>
              </w:rPr>
              <w:t>12 April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971484" w:rsidRDefault="00971484" w:rsidP="00971484">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971484" w:rsidP="005B2C58">
            <w:pPr>
              <w:pStyle w:val="Source"/>
            </w:pPr>
            <w:bookmarkStart w:id="3" w:name="dsource" w:colFirst="0" w:colLast="0"/>
            <w:bookmarkEnd w:id="2"/>
            <w:r>
              <w:rPr>
                <w:lang w:eastAsia="zh-CN"/>
              </w:rPr>
              <w:t>Japan</w:t>
            </w:r>
          </w:p>
        </w:tc>
      </w:tr>
      <w:tr w:rsidR="00093C73" w:rsidTr="00B35BE4">
        <w:trPr>
          <w:cantSplit/>
        </w:trPr>
        <w:tc>
          <w:tcPr>
            <w:tcW w:w="9889" w:type="dxa"/>
            <w:gridSpan w:val="3"/>
          </w:tcPr>
          <w:p w:rsidR="00093C73" w:rsidRDefault="00971484" w:rsidP="005B2C58">
            <w:pPr>
              <w:pStyle w:val="Title1"/>
            </w:pPr>
            <w:bookmarkStart w:id="4" w:name="dtitle1" w:colFirst="0" w:colLast="0"/>
            <w:bookmarkEnd w:id="3"/>
            <w:r>
              <w:rPr>
                <w:lang w:eastAsia="zh-CN"/>
              </w:rPr>
              <w:t xml:space="preserve">Definition and usage of notes and footnotes </w:t>
            </w:r>
            <w:r>
              <w:rPr>
                <w:lang w:eastAsia="zh-CN"/>
              </w:rPr>
              <w:t>in ITU</w:t>
            </w:r>
            <w:r>
              <w:rPr>
                <w:lang w:eastAsia="zh-CN"/>
              </w:rPr>
              <w:noBreakHyphen/>
              <w:t>R </w:t>
            </w:r>
            <w:r>
              <w:rPr>
                <w:lang w:eastAsia="zh-CN"/>
              </w:rPr>
              <w:t>Recommendations</w:t>
            </w:r>
          </w:p>
        </w:tc>
      </w:tr>
      <w:bookmarkEnd w:id="4"/>
    </w:tbl>
    <w:p w:rsidR="001632FD" w:rsidRDefault="001632FD" w:rsidP="00906598"/>
    <w:p w:rsidR="00971484" w:rsidRDefault="00971484" w:rsidP="00906598"/>
    <w:p w:rsidR="00971484" w:rsidRPr="00971484" w:rsidRDefault="00971484" w:rsidP="00971484">
      <w:pPr>
        <w:rPr>
          <w:rFonts w:eastAsiaTheme="minorEastAsia"/>
          <w:lang w:val="en-US" w:eastAsia="zh-CN"/>
        </w:rPr>
      </w:pPr>
      <w:r w:rsidRPr="00971484">
        <w:rPr>
          <w:rFonts w:eastAsia="MS Mincho"/>
          <w:lang w:val="en-US" w:eastAsia="zh-CN"/>
        </w:rPr>
        <w:t>There are a number of ITU-R Recommendations that use “notes” and “footnotes” to clarify text and provide supplemental information. There are different types of notes; notes to the main text, footnotes to the main text, notes to table and figures, and footnotes to tables and figures. It is generally understood that unless otherwise specified</w:t>
      </w:r>
      <w:r w:rsidRPr="00971484">
        <w:rPr>
          <w:rFonts w:eastAsia="MS Mincho"/>
          <w:lang w:val="en-US" w:eastAsia="ja-JP"/>
        </w:rPr>
        <w:t>,</w:t>
      </w:r>
      <w:r w:rsidRPr="00971484">
        <w:rPr>
          <w:rFonts w:eastAsia="MS Mincho"/>
          <w:lang w:val="en-US" w:eastAsia="zh-CN"/>
        </w:rPr>
        <w:t xml:space="preserve"> text including notes and footnotes </w:t>
      </w:r>
      <w:r>
        <w:rPr>
          <w:rFonts w:eastAsia="MS Mincho"/>
          <w:lang w:val="en-US" w:eastAsia="zh-CN"/>
        </w:rPr>
        <w:t>in an ITU</w:t>
      </w:r>
      <w:r>
        <w:rPr>
          <w:rFonts w:eastAsia="MS Mincho"/>
          <w:lang w:val="en-US" w:eastAsia="zh-CN"/>
        </w:rPr>
        <w:noBreakHyphen/>
        <w:t>R </w:t>
      </w:r>
      <w:r w:rsidRPr="00971484">
        <w:rPr>
          <w:rFonts w:eastAsia="MS Mincho"/>
          <w:lang w:val="en-US" w:eastAsia="zh-CN"/>
        </w:rPr>
        <w:t>Recommendation form an integral part of a Recommendation and considered normative.</w:t>
      </w:r>
    </w:p>
    <w:p w:rsidR="00971484" w:rsidRPr="00971484" w:rsidRDefault="00971484" w:rsidP="00971484">
      <w:pPr>
        <w:rPr>
          <w:rFonts w:eastAsia="MS Mincho"/>
          <w:lang w:val="en-US" w:eastAsia="ja-JP"/>
        </w:rPr>
      </w:pPr>
      <w:r w:rsidRPr="00971484">
        <w:rPr>
          <w:rFonts w:eastAsia="MS Mincho"/>
          <w:lang w:val="en-US" w:eastAsia="zh-CN"/>
        </w:rPr>
        <w:t xml:space="preserve">ISO/IEC Standards and </w:t>
      </w:r>
      <w:r w:rsidRPr="00971484">
        <w:rPr>
          <w:rFonts w:eastAsia="MS Mincho" w:hint="eastAsia"/>
          <w:lang w:val="en-US" w:eastAsia="ja-JP"/>
        </w:rPr>
        <w:t>ITU-T Recommendations</w:t>
      </w:r>
      <w:r w:rsidRPr="00971484">
        <w:rPr>
          <w:rFonts w:eastAsia="MS Mincho"/>
          <w:lang w:val="en-US" w:eastAsia="zh-CN"/>
        </w:rPr>
        <w:t xml:space="preserve"> follow ISO/IEC Directives </w:t>
      </w:r>
      <w:r>
        <w:rPr>
          <w:rFonts w:eastAsia="MS Mincho"/>
          <w:lang w:val="en-US" w:eastAsia="zh-CN"/>
        </w:rPr>
        <w:t>–</w:t>
      </w:r>
      <w:r w:rsidRPr="00971484">
        <w:rPr>
          <w:rFonts w:eastAsia="MS Mincho"/>
          <w:lang w:val="en-US" w:eastAsia="zh-CN"/>
        </w:rPr>
        <w:t xml:space="preserve"> Part 2:2016 “Principles and rules for the structure and drafting of ISO and IEC documents” and </w:t>
      </w:r>
      <w:r w:rsidRPr="00971484">
        <w:rPr>
          <w:rFonts w:eastAsia="MS Mincho"/>
          <w:lang w:val="en-US" w:eastAsia="ja-JP"/>
        </w:rPr>
        <w:t>Recommendation ITU-T A.15001 “Author's guide for drafting ITU-T Recommendations,” respectively. Table 1 summarizes the definitions and usage of notes and footnotes specified for ISO/IEC Standards and ITU-T Recommendations. It was found that they are mostly in common with each other; however, the degree of detail differs.</w:t>
      </w:r>
    </w:p>
    <w:p w:rsidR="00971484" w:rsidRPr="00971484" w:rsidRDefault="00971484" w:rsidP="00971484">
      <w:pPr>
        <w:rPr>
          <w:rFonts w:eastAsia="MS Mincho"/>
          <w:lang w:val="en-US" w:eastAsia="ja-JP"/>
        </w:rPr>
      </w:pPr>
      <w:r w:rsidRPr="00971484">
        <w:rPr>
          <w:rFonts w:eastAsia="MS Mincho"/>
          <w:lang w:val="en-US" w:eastAsia="ja-JP"/>
        </w:rPr>
        <w:t>Director’s Guidelines</w:t>
      </w:r>
      <w:r w:rsidRPr="00971484">
        <w:rPr>
          <w:rFonts w:eastAsia="MS Mincho" w:hint="eastAsia"/>
          <w:lang w:val="en-US" w:eastAsia="ja-JP"/>
        </w:rPr>
        <w:t xml:space="preserve"> referred </w:t>
      </w:r>
      <w:r w:rsidRPr="00971484">
        <w:rPr>
          <w:rFonts w:eastAsia="MS Mincho"/>
          <w:lang w:val="en-US" w:eastAsia="ja-JP"/>
        </w:rPr>
        <w:t xml:space="preserve">to </w:t>
      </w:r>
      <w:r w:rsidRPr="00971484">
        <w:rPr>
          <w:rFonts w:eastAsia="MS Mincho" w:hint="eastAsia"/>
          <w:lang w:val="en-US" w:eastAsia="ja-JP"/>
        </w:rPr>
        <w:t xml:space="preserve">in Resolution ITU-R 1-7 </w:t>
      </w:r>
      <w:r w:rsidRPr="00971484">
        <w:rPr>
          <w:rFonts w:eastAsia="MS Mincho"/>
          <w:lang w:val="en-US" w:eastAsia="ja-JP"/>
        </w:rPr>
        <w:t>(</w:t>
      </w:r>
      <w:r w:rsidRPr="00971484">
        <w:rPr>
          <w:rFonts w:eastAsia="MS Mincho"/>
        </w:rPr>
        <w:t>§ </w:t>
      </w:r>
      <w:r w:rsidRPr="00971484">
        <w:rPr>
          <w:rFonts w:eastAsia="MS Mincho"/>
          <w:lang w:val="en-US" w:eastAsia="ja-JP"/>
        </w:rPr>
        <w:t>A1.6.2) contain the mandatory common format for new and revised ITU-R Recommendations (“</w:t>
      </w:r>
      <w:r w:rsidRPr="00971484">
        <w:rPr>
          <w:rFonts w:eastAsia="MS Mincho"/>
        </w:rPr>
        <w:t xml:space="preserve">Format of ITU-R Recommendations”) but </w:t>
      </w:r>
      <w:r w:rsidRPr="00971484">
        <w:rPr>
          <w:rFonts w:eastAsia="MS Mincho"/>
          <w:lang w:eastAsia="ja-JP"/>
        </w:rPr>
        <w:t>this</w:t>
      </w:r>
      <w:r w:rsidRPr="00971484">
        <w:rPr>
          <w:rFonts w:eastAsia="MS Mincho"/>
        </w:rPr>
        <w:t xml:space="preserve"> does not provide definitions and usage of </w:t>
      </w:r>
      <w:r w:rsidRPr="00971484">
        <w:rPr>
          <w:rFonts w:eastAsia="MS Mincho"/>
          <w:lang w:val="en-US" w:eastAsia="zh-CN"/>
        </w:rPr>
        <w:t>“notes” and “footnotes”</w:t>
      </w:r>
      <w:r w:rsidRPr="00971484">
        <w:rPr>
          <w:rFonts w:eastAsia="MS Mincho"/>
          <w:lang w:val="en-US" w:eastAsia="ja-JP"/>
        </w:rPr>
        <w:t>.</w:t>
      </w:r>
    </w:p>
    <w:p w:rsidR="00971484" w:rsidRPr="00971484" w:rsidRDefault="00971484" w:rsidP="00971484">
      <w:pPr>
        <w:rPr>
          <w:rFonts w:eastAsia="MS Mincho"/>
          <w:lang w:val="en-US" w:eastAsia="ja-JP"/>
        </w:rPr>
      </w:pPr>
      <w:r w:rsidRPr="00971484">
        <w:rPr>
          <w:rFonts w:eastAsia="MS Mincho"/>
          <w:lang w:val="en-US" w:eastAsia="ja-JP"/>
        </w:rPr>
        <w:t xml:space="preserve">It is highly desirable that definitions and usage of different types of notes and footnotes be given for </w:t>
      </w:r>
      <w:r w:rsidRPr="00971484">
        <w:rPr>
          <w:rFonts w:eastAsia="MS Mincho" w:hint="eastAsia"/>
          <w:lang w:val="en-US" w:eastAsia="ja-JP"/>
        </w:rPr>
        <w:t xml:space="preserve">ITU-R Recommendations, preferably </w:t>
      </w:r>
      <w:r w:rsidRPr="00971484">
        <w:rPr>
          <w:rFonts w:eastAsia="MS Mincho"/>
          <w:lang w:val="en-US" w:eastAsia="ja-JP"/>
        </w:rPr>
        <w:t>in accordance with</w:t>
      </w:r>
      <w:r w:rsidRPr="00971484">
        <w:rPr>
          <w:rFonts w:eastAsia="MS Mincho" w:hint="eastAsia"/>
          <w:lang w:val="en-US" w:eastAsia="ja-JP"/>
        </w:rPr>
        <w:t xml:space="preserve"> the </w:t>
      </w:r>
      <w:r w:rsidRPr="00971484">
        <w:rPr>
          <w:rFonts w:eastAsia="MS Mincho"/>
          <w:lang w:val="en-US" w:eastAsia="ja-JP"/>
        </w:rPr>
        <w:t>rules</w:t>
      </w:r>
      <w:r w:rsidRPr="00971484">
        <w:rPr>
          <w:rFonts w:eastAsia="MS Mincho" w:hint="eastAsia"/>
          <w:lang w:val="en-US" w:eastAsia="ja-JP"/>
        </w:rPr>
        <w:t xml:space="preserve"> common</w:t>
      </w:r>
      <w:r w:rsidRPr="00971484">
        <w:rPr>
          <w:rFonts w:eastAsia="MS Mincho"/>
          <w:lang w:val="en-US" w:eastAsia="ja-JP"/>
        </w:rPr>
        <w:t xml:space="preserve"> to ISO/IEC and ITU-T, to avoid possible misinterpretations of notes and footnotes in ITU-R Recommendations. </w:t>
      </w:r>
      <w:r>
        <w:rPr>
          <w:rFonts w:eastAsia="MS Mincho"/>
          <w:lang w:val="en-US" w:eastAsia="ja-JP"/>
        </w:rPr>
        <w:t>In </w:t>
      </w:r>
      <w:r w:rsidRPr="00971484">
        <w:rPr>
          <w:rFonts w:eastAsia="MS Mincho"/>
          <w:lang w:val="en-US" w:eastAsia="ja-JP"/>
        </w:rPr>
        <w:t xml:space="preserve">particular, commonality with ISO/IEC Standards and ITU-T Recommendations is desirable for ITU-R Recommendations that provide system specifications or test procedures. </w:t>
      </w:r>
    </w:p>
    <w:p w:rsidR="00971484" w:rsidRPr="00971484" w:rsidRDefault="00971484" w:rsidP="00971484">
      <w:pPr>
        <w:rPr>
          <w:rFonts w:eastAsia="MS Mincho"/>
          <w:lang w:val="en-US" w:eastAsia="ja-JP"/>
        </w:rPr>
      </w:pPr>
      <w:r w:rsidRPr="00971484">
        <w:rPr>
          <w:rFonts w:eastAsia="MS Mincho"/>
          <w:lang w:val="en-US" w:eastAsia="ja-JP"/>
        </w:rPr>
        <w:t>Japan proposes that the RAG consider extending the “</w:t>
      </w:r>
      <w:r w:rsidRPr="00971484">
        <w:rPr>
          <w:rFonts w:eastAsia="MS Mincho"/>
        </w:rPr>
        <w:t>Format of ITU-R Recommendations</w:t>
      </w:r>
      <w:r>
        <w:rPr>
          <w:rFonts w:eastAsia="MS Mincho"/>
        </w:rPr>
        <w:t>” to </w:t>
      </w:r>
      <w:r w:rsidRPr="00971484">
        <w:rPr>
          <w:rFonts w:eastAsia="MS Mincho"/>
        </w:rPr>
        <w:t xml:space="preserve">include </w:t>
      </w:r>
      <w:r w:rsidRPr="00971484">
        <w:rPr>
          <w:rFonts w:eastAsia="MS Mincho"/>
          <w:lang w:val="en-US" w:eastAsia="ja-JP"/>
        </w:rPr>
        <w:t>definitions and usage of the different types of notes and footnotes that are in common with those of ISO/IEC and ITU-T.</w:t>
      </w:r>
      <w:r w:rsidRPr="00971484">
        <w:rPr>
          <w:rFonts w:eastAsia="MS Mincho" w:hint="eastAsia"/>
          <w:lang w:val="en-US" w:eastAsia="ja-JP"/>
        </w:rPr>
        <w:t xml:space="preserve"> </w:t>
      </w:r>
      <w:r w:rsidRPr="00971484">
        <w:rPr>
          <w:rFonts w:eastAsia="MS Mincho"/>
          <w:lang w:val="en-US" w:eastAsia="ja-JP"/>
        </w:rPr>
        <w:t>An updated “Format of ITU-R Recommendations</w:t>
      </w:r>
      <w:r>
        <w:rPr>
          <w:rFonts w:eastAsia="MS Mincho"/>
        </w:rPr>
        <w:t>”</w:t>
      </w:r>
      <w:r w:rsidRPr="00971484">
        <w:rPr>
          <w:rFonts w:eastAsia="MS Mincho"/>
          <w:lang w:val="en-US" w:eastAsia="ja-JP"/>
        </w:rPr>
        <w:t xml:space="preserve"> should be applicable to all new or revised ITU-R Recommendations published after a certain date, to be agreed.</w:t>
      </w:r>
    </w:p>
    <w:p w:rsidR="00971484" w:rsidRPr="00971484" w:rsidRDefault="00971484" w:rsidP="00971484">
      <w:pPr>
        <w:rPr>
          <w:rFonts w:eastAsia="MS Mincho"/>
          <w:lang w:val="en-US" w:eastAsia="ja-JP"/>
        </w:rPr>
      </w:pPr>
      <w:r w:rsidRPr="00971484">
        <w:rPr>
          <w:rFonts w:eastAsia="MS Mincho"/>
          <w:lang w:val="en-US" w:eastAsia="ja-JP"/>
        </w:rPr>
        <w:t xml:space="preserve">Moreover, considering that ITU has established agreements with ISO, IEC, SMPTE and ETSI for mutual cooperation and exchange of documentations, common rules for documentation might be desirable, as in the case for the common IPR policy. The RAG is invited to consider this possibility. </w:t>
      </w:r>
    </w:p>
    <w:p w:rsidR="00971484" w:rsidRPr="00971484" w:rsidRDefault="00971484" w:rsidP="00971484">
      <w:pPr>
        <w:pStyle w:val="TableNoBR"/>
        <w:rPr>
          <w:rFonts w:eastAsia="MS Mincho"/>
          <w:lang w:val="en-US" w:eastAsia="ja-JP"/>
        </w:rPr>
      </w:pPr>
      <w:r w:rsidRPr="00971484">
        <w:rPr>
          <w:rFonts w:eastAsia="MS Mincho" w:hint="eastAsia"/>
          <w:lang w:val="en-US" w:eastAsia="ja-JP"/>
        </w:rPr>
        <w:lastRenderedPageBreak/>
        <w:t>Table 1</w:t>
      </w:r>
    </w:p>
    <w:p w:rsidR="00971484" w:rsidRPr="00971484" w:rsidRDefault="00971484" w:rsidP="00971484">
      <w:pPr>
        <w:pStyle w:val="TabletitleBR"/>
        <w:rPr>
          <w:rFonts w:eastAsia="MS Mincho"/>
          <w:lang w:val="en-US" w:eastAsia="ja-JP"/>
        </w:rPr>
      </w:pPr>
      <w:r w:rsidRPr="00971484">
        <w:rPr>
          <w:rFonts w:eastAsia="MS Mincho"/>
          <w:lang w:val="en-US" w:eastAsia="ja-JP"/>
        </w:rPr>
        <w:t xml:space="preserve">Definitions and usage of notes and footnotes </w:t>
      </w:r>
      <w:r>
        <w:rPr>
          <w:rFonts w:eastAsia="MS Mincho"/>
          <w:lang w:val="en-US" w:eastAsia="ja-JP"/>
        </w:rPr>
        <w:t>specified for ISO/IEC Standards</w:t>
      </w:r>
      <w:r>
        <w:rPr>
          <w:rFonts w:eastAsia="MS Mincho"/>
          <w:lang w:val="en-US" w:eastAsia="ja-JP"/>
        </w:rPr>
        <w:br/>
      </w:r>
      <w:r w:rsidRPr="00971484">
        <w:rPr>
          <w:rFonts w:eastAsia="MS Mincho"/>
          <w:lang w:val="en-US" w:eastAsia="ja-JP"/>
        </w:rPr>
        <w:t>and ITU-T Recommendations</w:t>
      </w:r>
    </w:p>
    <w:tbl>
      <w:tblPr>
        <w:tblStyle w:val="TableGrid"/>
        <w:tblW w:w="9776" w:type="dxa"/>
        <w:tblLayout w:type="fixed"/>
        <w:tblLook w:val="04A0" w:firstRow="1" w:lastRow="0" w:firstColumn="1" w:lastColumn="0" w:noHBand="0" w:noVBand="1"/>
      </w:tblPr>
      <w:tblGrid>
        <w:gridCol w:w="2835"/>
        <w:gridCol w:w="3402"/>
        <w:gridCol w:w="3539"/>
      </w:tblGrid>
      <w:tr w:rsidR="00971484" w:rsidRPr="00971484" w:rsidTr="00971484">
        <w:tc>
          <w:tcPr>
            <w:tcW w:w="2835" w:type="dxa"/>
          </w:tcPr>
          <w:p w:rsidR="00971484" w:rsidRPr="00971484" w:rsidRDefault="00971484" w:rsidP="00971484">
            <w:pPr>
              <w:pStyle w:val="Tablehead"/>
              <w:rPr>
                <w:lang w:val="en-US" w:eastAsia="ja-JP"/>
              </w:rPr>
            </w:pPr>
            <w:r w:rsidRPr="00971484">
              <w:rPr>
                <w:lang w:val="en-US" w:eastAsia="ja-JP"/>
              </w:rPr>
              <w:t>T</w:t>
            </w:r>
            <w:r w:rsidRPr="00971484">
              <w:rPr>
                <w:rFonts w:hint="eastAsia"/>
                <w:lang w:val="en-US" w:eastAsia="ja-JP"/>
              </w:rPr>
              <w:t xml:space="preserve">ypes </w:t>
            </w:r>
            <w:r w:rsidRPr="00971484">
              <w:rPr>
                <w:lang w:val="en-US" w:eastAsia="ja-JP"/>
              </w:rPr>
              <w:t>of notes</w:t>
            </w:r>
          </w:p>
        </w:tc>
        <w:tc>
          <w:tcPr>
            <w:tcW w:w="3402" w:type="dxa"/>
          </w:tcPr>
          <w:p w:rsidR="00971484" w:rsidRPr="00971484" w:rsidRDefault="00971484" w:rsidP="0090152C">
            <w:pPr>
              <w:pStyle w:val="Tablehead"/>
              <w:rPr>
                <w:lang w:val="en-US" w:eastAsia="ja-JP"/>
              </w:rPr>
            </w:pPr>
            <w:r w:rsidRPr="00971484">
              <w:rPr>
                <w:lang w:val="en-US" w:eastAsia="zh-CN"/>
              </w:rPr>
              <w:t xml:space="preserve">ISO/IEC Directives </w:t>
            </w:r>
            <w:r w:rsidR="0090152C">
              <w:rPr>
                <w:lang w:val="en-US" w:eastAsia="zh-CN"/>
              </w:rPr>
              <w:t>–</w:t>
            </w:r>
            <w:bookmarkStart w:id="5" w:name="_GoBack"/>
            <w:bookmarkEnd w:id="5"/>
            <w:r w:rsidRPr="00971484">
              <w:rPr>
                <w:lang w:val="en-US" w:eastAsia="zh-CN"/>
              </w:rPr>
              <w:t xml:space="preserve"> Part 2</w:t>
            </w:r>
          </w:p>
        </w:tc>
        <w:tc>
          <w:tcPr>
            <w:tcW w:w="3539" w:type="dxa"/>
          </w:tcPr>
          <w:p w:rsidR="00971484" w:rsidRPr="00971484" w:rsidRDefault="00971484" w:rsidP="00971484">
            <w:pPr>
              <w:pStyle w:val="Tablehead"/>
              <w:rPr>
                <w:lang w:val="en-US" w:eastAsia="ja-JP"/>
              </w:rPr>
            </w:pPr>
            <w:r w:rsidRPr="00971484">
              <w:rPr>
                <w:lang w:val="en-US" w:eastAsia="ja-JP"/>
              </w:rPr>
              <w:t>Recommendation ITU-T A.15001</w:t>
            </w:r>
          </w:p>
        </w:tc>
      </w:tr>
      <w:tr w:rsidR="00971484" w:rsidRPr="00971484" w:rsidTr="00971484">
        <w:tc>
          <w:tcPr>
            <w:tcW w:w="2835" w:type="dxa"/>
          </w:tcPr>
          <w:p w:rsidR="00971484" w:rsidRPr="00971484" w:rsidRDefault="00971484" w:rsidP="00971484">
            <w:pPr>
              <w:pStyle w:val="Tabletext"/>
              <w:rPr>
                <w:lang w:val="en-US" w:eastAsia="ja-JP"/>
              </w:rPr>
            </w:pPr>
            <w:r w:rsidRPr="00971484">
              <w:rPr>
                <w:rFonts w:hint="eastAsia"/>
                <w:lang w:val="en-US" w:eastAsia="ja-JP"/>
              </w:rPr>
              <w:t xml:space="preserve">Notes to </w:t>
            </w:r>
            <w:r w:rsidRPr="00971484">
              <w:rPr>
                <w:lang w:val="en-US" w:eastAsia="ja-JP"/>
              </w:rPr>
              <w:t xml:space="preserve">the </w:t>
            </w:r>
            <w:r w:rsidRPr="00971484">
              <w:rPr>
                <w:rFonts w:hint="eastAsia"/>
                <w:lang w:val="en-US" w:eastAsia="ja-JP"/>
              </w:rPr>
              <w:t>main text</w:t>
            </w:r>
          </w:p>
        </w:tc>
        <w:tc>
          <w:tcPr>
            <w:tcW w:w="3402" w:type="dxa"/>
          </w:tcPr>
          <w:p w:rsidR="00971484" w:rsidRPr="00971484" w:rsidRDefault="00971484" w:rsidP="00971484">
            <w:pPr>
              <w:pStyle w:val="Tabletext"/>
              <w:tabs>
                <w:tab w:val="clear" w:pos="567"/>
                <w:tab w:val="left" w:pos="880"/>
              </w:tabs>
              <w:rPr>
                <w:lang w:val="en-US" w:eastAsia="ja-JP"/>
              </w:rPr>
            </w:pPr>
            <w:r>
              <w:rPr>
                <w:lang w:val="en-US" w:eastAsia="ja-JP"/>
              </w:rPr>
              <w:t>24</w:t>
            </w:r>
            <w:r>
              <w:rPr>
                <w:lang w:val="en-US" w:eastAsia="ja-JP"/>
              </w:rPr>
              <w:tab/>
            </w:r>
            <w:r w:rsidRPr="00971484">
              <w:rPr>
                <w:lang w:val="en-US" w:eastAsia="ja-JP"/>
              </w:rPr>
              <w:t>Notes</w:t>
            </w:r>
          </w:p>
          <w:p w:rsidR="00971484" w:rsidRPr="00971484" w:rsidRDefault="00971484" w:rsidP="00971484">
            <w:pPr>
              <w:pStyle w:val="Tabletext"/>
              <w:rPr>
                <w:lang w:val="en-US" w:eastAsia="ja-JP"/>
              </w:rPr>
            </w:pPr>
            <w:r w:rsidRPr="00971484">
              <w:rPr>
                <w:lang w:val="en-US" w:eastAsia="ja-JP"/>
              </w:rPr>
              <w:t>shall not contain requirements or any information considered indispensable for the use of the document</w:t>
            </w:r>
          </w:p>
        </w:tc>
        <w:tc>
          <w:tcPr>
            <w:tcW w:w="3539" w:type="dxa"/>
            <w:vMerge w:val="restart"/>
          </w:tcPr>
          <w:p w:rsidR="00971484" w:rsidRPr="00971484" w:rsidRDefault="00971484" w:rsidP="00971484">
            <w:pPr>
              <w:pStyle w:val="Tabletext"/>
              <w:rPr>
                <w:lang w:val="en-US" w:eastAsia="ja-JP"/>
              </w:rPr>
            </w:pPr>
            <w:r w:rsidRPr="00971484">
              <w:rPr>
                <w:lang w:val="en-US" w:eastAsia="ja-JP"/>
              </w:rPr>
              <w:t xml:space="preserve">9.6.1 </w:t>
            </w:r>
            <w:r>
              <w:rPr>
                <w:lang w:val="en-US" w:eastAsia="ja-JP"/>
              </w:rPr>
              <w:tab/>
            </w:r>
            <w:r w:rsidRPr="00971484">
              <w:rPr>
                <w:lang w:val="en-US" w:eastAsia="ja-JP"/>
              </w:rPr>
              <w:t xml:space="preserve">Notes and footnotes to the </w:t>
            </w:r>
            <w:r>
              <w:rPr>
                <w:lang w:val="en-US" w:eastAsia="ja-JP"/>
              </w:rPr>
              <w:tab/>
            </w:r>
            <w:r>
              <w:rPr>
                <w:lang w:val="en-US" w:eastAsia="ja-JP"/>
              </w:rPr>
              <w:tab/>
            </w:r>
            <w:r w:rsidRPr="00971484">
              <w:rPr>
                <w:lang w:val="en-US" w:eastAsia="ja-JP"/>
              </w:rPr>
              <w:t>main text</w:t>
            </w:r>
          </w:p>
          <w:p w:rsidR="00971484" w:rsidRPr="00971484" w:rsidRDefault="00971484" w:rsidP="00971484">
            <w:pPr>
              <w:pStyle w:val="Tabletext"/>
              <w:rPr>
                <w:lang w:val="en-US" w:eastAsia="ja-JP"/>
              </w:rPr>
            </w:pPr>
            <w:r w:rsidRPr="00971484">
              <w:rPr>
                <w:lang w:val="en-US" w:eastAsia="ja-JP"/>
              </w:rPr>
              <w:t>should not contain normative specifications</w:t>
            </w:r>
          </w:p>
        </w:tc>
      </w:tr>
      <w:tr w:rsidR="00971484" w:rsidRPr="00971484" w:rsidTr="00971484">
        <w:tc>
          <w:tcPr>
            <w:tcW w:w="2835" w:type="dxa"/>
          </w:tcPr>
          <w:p w:rsidR="00971484" w:rsidRPr="00971484" w:rsidRDefault="00971484" w:rsidP="00971484">
            <w:pPr>
              <w:pStyle w:val="Tabletext"/>
              <w:rPr>
                <w:lang w:val="en-US" w:eastAsia="ja-JP"/>
              </w:rPr>
            </w:pPr>
            <w:r w:rsidRPr="00971484">
              <w:rPr>
                <w:lang w:val="en-US" w:eastAsia="ja-JP"/>
              </w:rPr>
              <w:t>Footnotes</w:t>
            </w:r>
            <w:r w:rsidRPr="00971484">
              <w:rPr>
                <w:rFonts w:hint="eastAsia"/>
                <w:lang w:val="en-US" w:eastAsia="ja-JP"/>
              </w:rPr>
              <w:t xml:space="preserve"> to </w:t>
            </w:r>
            <w:r w:rsidRPr="00971484">
              <w:rPr>
                <w:lang w:val="en-US" w:eastAsia="ja-JP"/>
              </w:rPr>
              <w:t xml:space="preserve">the </w:t>
            </w:r>
            <w:r w:rsidRPr="00971484">
              <w:rPr>
                <w:rFonts w:hint="eastAsia"/>
                <w:lang w:val="en-US" w:eastAsia="ja-JP"/>
              </w:rPr>
              <w:t>main text</w:t>
            </w:r>
          </w:p>
        </w:tc>
        <w:tc>
          <w:tcPr>
            <w:tcW w:w="3402" w:type="dxa"/>
          </w:tcPr>
          <w:p w:rsidR="00971484" w:rsidRPr="00971484" w:rsidRDefault="00971484" w:rsidP="00971484">
            <w:pPr>
              <w:pStyle w:val="Tabletext"/>
              <w:rPr>
                <w:lang w:val="en-US" w:eastAsia="ja-JP"/>
              </w:rPr>
            </w:pPr>
            <w:r>
              <w:rPr>
                <w:lang w:val="en-US" w:eastAsia="ja-JP"/>
              </w:rPr>
              <w:t>26</w:t>
            </w:r>
            <w:r>
              <w:rPr>
                <w:lang w:val="en-US" w:eastAsia="ja-JP"/>
              </w:rPr>
              <w:tab/>
            </w:r>
            <w:r w:rsidRPr="00971484">
              <w:rPr>
                <w:lang w:val="en-US" w:eastAsia="ja-JP"/>
              </w:rPr>
              <w:t>Footnotes</w:t>
            </w:r>
          </w:p>
          <w:p w:rsidR="00971484" w:rsidRPr="00971484" w:rsidRDefault="00971484" w:rsidP="00971484">
            <w:pPr>
              <w:pStyle w:val="Tabletext"/>
              <w:rPr>
                <w:lang w:val="en-US" w:eastAsia="ja-JP"/>
              </w:rPr>
            </w:pPr>
            <w:r w:rsidRPr="00971484">
              <w:rPr>
                <w:lang w:val="en-US" w:eastAsia="ja-JP"/>
              </w:rPr>
              <w:t>shall not contain requirements or any information considered indispensable for the use of the document</w:t>
            </w:r>
          </w:p>
        </w:tc>
        <w:tc>
          <w:tcPr>
            <w:tcW w:w="3539" w:type="dxa"/>
            <w:vMerge/>
          </w:tcPr>
          <w:p w:rsidR="00971484" w:rsidRPr="00971484" w:rsidRDefault="00971484" w:rsidP="00971484">
            <w:pPr>
              <w:pStyle w:val="Tabletext"/>
              <w:rPr>
                <w:lang w:val="en-US" w:eastAsia="ja-JP"/>
              </w:rPr>
            </w:pPr>
          </w:p>
        </w:tc>
      </w:tr>
      <w:tr w:rsidR="00971484" w:rsidRPr="00971484" w:rsidTr="00971484">
        <w:tc>
          <w:tcPr>
            <w:tcW w:w="2835" w:type="dxa"/>
          </w:tcPr>
          <w:p w:rsidR="00971484" w:rsidRPr="00971484" w:rsidRDefault="00971484" w:rsidP="00971484">
            <w:pPr>
              <w:pStyle w:val="Tabletext"/>
              <w:rPr>
                <w:lang w:val="en-US" w:eastAsia="ja-JP"/>
              </w:rPr>
            </w:pPr>
            <w:r w:rsidRPr="00971484">
              <w:rPr>
                <w:rFonts w:hint="eastAsia"/>
                <w:lang w:val="en-US" w:eastAsia="ja-JP"/>
              </w:rPr>
              <w:t>Notes to tables</w:t>
            </w:r>
          </w:p>
        </w:tc>
        <w:tc>
          <w:tcPr>
            <w:tcW w:w="3402" w:type="dxa"/>
          </w:tcPr>
          <w:p w:rsidR="00971484" w:rsidRPr="00971484" w:rsidRDefault="00971484" w:rsidP="00971484">
            <w:pPr>
              <w:pStyle w:val="Tabletext"/>
              <w:tabs>
                <w:tab w:val="clear" w:pos="567"/>
              </w:tabs>
              <w:rPr>
                <w:lang w:val="en-US" w:eastAsia="ja-JP"/>
              </w:rPr>
            </w:pPr>
            <w:r w:rsidRPr="00971484">
              <w:rPr>
                <w:lang w:val="en-US" w:eastAsia="ja-JP"/>
              </w:rPr>
              <w:t>29.5.1</w:t>
            </w:r>
            <w:r>
              <w:rPr>
                <w:lang w:val="en-US" w:eastAsia="ja-JP"/>
              </w:rPr>
              <w:tab/>
            </w:r>
            <w:r w:rsidRPr="00971484">
              <w:rPr>
                <w:lang w:val="en-US" w:eastAsia="ja-JP"/>
              </w:rPr>
              <w:t>Notes to tables</w:t>
            </w:r>
          </w:p>
          <w:p w:rsidR="00971484" w:rsidRPr="00971484" w:rsidRDefault="00971484" w:rsidP="00971484">
            <w:pPr>
              <w:pStyle w:val="Tabletext"/>
              <w:rPr>
                <w:lang w:val="en-US" w:eastAsia="ja-JP"/>
              </w:rPr>
            </w:pPr>
            <w:r w:rsidRPr="00971484">
              <w:rPr>
                <w:lang w:val="en-US" w:eastAsia="ja-JP"/>
              </w:rPr>
              <w:t>shall not contain requirements or any information considered indispensable for the use of the document</w:t>
            </w:r>
          </w:p>
        </w:tc>
        <w:tc>
          <w:tcPr>
            <w:tcW w:w="3539" w:type="dxa"/>
            <w:vMerge w:val="restart"/>
          </w:tcPr>
          <w:p w:rsidR="00971484" w:rsidRDefault="00971484" w:rsidP="00971484">
            <w:pPr>
              <w:pStyle w:val="Tabletext"/>
              <w:rPr>
                <w:lang w:val="en-US" w:eastAsia="ja-JP"/>
              </w:rPr>
            </w:pPr>
            <w:r>
              <w:rPr>
                <w:lang w:val="en-US" w:eastAsia="ja-JP"/>
              </w:rPr>
              <w:t>9.6.2</w:t>
            </w:r>
            <w:r>
              <w:rPr>
                <w:lang w:val="en-US" w:eastAsia="ja-JP"/>
              </w:rPr>
              <w:tab/>
            </w:r>
            <w:r w:rsidRPr="00971484">
              <w:rPr>
                <w:lang w:val="en-US" w:eastAsia="ja-JP"/>
              </w:rPr>
              <w:t>Notes to tables and figures</w:t>
            </w:r>
            <w:r>
              <w:rPr>
                <w:lang w:val="en-US" w:eastAsia="ja-JP"/>
              </w:rPr>
              <w:t xml:space="preserve"> </w:t>
            </w:r>
          </w:p>
          <w:p w:rsidR="00971484" w:rsidRPr="00971484" w:rsidRDefault="00971484" w:rsidP="00971484">
            <w:pPr>
              <w:pStyle w:val="Tabletext"/>
              <w:rPr>
                <w:lang w:val="en-US" w:eastAsia="ja-JP"/>
              </w:rPr>
            </w:pPr>
            <w:r w:rsidRPr="00971484">
              <w:rPr>
                <w:lang w:val="en-US" w:eastAsia="ja-JP"/>
              </w:rPr>
              <w:t>may contain normative specifications</w:t>
            </w:r>
          </w:p>
        </w:tc>
      </w:tr>
      <w:tr w:rsidR="00971484" w:rsidRPr="00971484" w:rsidTr="00971484">
        <w:tc>
          <w:tcPr>
            <w:tcW w:w="2835" w:type="dxa"/>
          </w:tcPr>
          <w:p w:rsidR="00971484" w:rsidRPr="00971484" w:rsidRDefault="00971484" w:rsidP="00971484">
            <w:pPr>
              <w:pStyle w:val="Tabletext"/>
              <w:rPr>
                <w:lang w:val="en-US" w:eastAsia="ja-JP"/>
              </w:rPr>
            </w:pPr>
            <w:r w:rsidRPr="00971484">
              <w:rPr>
                <w:rFonts w:hint="eastAsia"/>
                <w:lang w:val="en-US" w:eastAsia="ja-JP"/>
              </w:rPr>
              <w:t>Notes to figures</w:t>
            </w:r>
          </w:p>
        </w:tc>
        <w:tc>
          <w:tcPr>
            <w:tcW w:w="3402" w:type="dxa"/>
          </w:tcPr>
          <w:p w:rsidR="00971484" w:rsidRPr="00971484" w:rsidRDefault="00971484" w:rsidP="00971484">
            <w:pPr>
              <w:pStyle w:val="Tabletext"/>
              <w:rPr>
                <w:lang w:val="en-US" w:eastAsia="ja-JP"/>
              </w:rPr>
            </w:pPr>
            <w:r w:rsidRPr="00971484">
              <w:rPr>
                <w:lang w:val="en-US" w:eastAsia="ja-JP"/>
              </w:rPr>
              <w:t>28.5.4</w:t>
            </w:r>
            <w:r>
              <w:rPr>
                <w:lang w:val="en-US" w:eastAsia="ja-JP"/>
              </w:rPr>
              <w:tab/>
            </w:r>
            <w:r>
              <w:rPr>
                <w:lang w:val="en-US" w:eastAsia="ja-JP"/>
              </w:rPr>
              <w:tab/>
            </w:r>
            <w:r w:rsidRPr="00971484">
              <w:rPr>
                <w:lang w:val="en-US" w:eastAsia="ja-JP"/>
              </w:rPr>
              <w:t>Notes to figures</w:t>
            </w:r>
          </w:p>
          <w:p w:rsidR="00971484" w:rsidRPr="00971484" w:rsidRDefault="00971484" w:rsidP="00971484">
            <w:pPr>
              <w:pStyle w:val="Tabletext"/>
              <w:rPr>
                <w:lang w:val="en-US" w:eastAsia="ja-JP"/>
              </w:rPr>
            </w:pPr>
            <w:r w:rsidRPr="00971484">
              <w:rPr>
                <w:lang w:val="en-US" w:eastAsia="ja-JP"/>
              </w:rPr>
              <w:t>shall not contain requirements or any information considered indispensable for the use of the document</w:t>
            </w:r>
          </w:p>
        </w:tc>
        <w:tc>
          <w:tcPr>
            <w:tcW w:w="3539" w:type="dxa"/>
            <w:vMerge/>
          </w:tcPr>
          <w:p w:rsidR="00971484" w:rsidRPr="00971484" w:rsidRDefault="00971484" w:rsidP="00971484">
            <w:pPr>
              <w:pStyle w:val="Tabletext"/>
              <w:rPr>
                <w:lang w:val="en-US" w:eastAsia="ja-JP"/>
              </w:rPr>
            </w:pPr>
          </w:p>
        </w:tc>
      </w:tr>
      <w:tr w:rsidR="00971484" w:rsidRPr="00971484" w:rsidTr="00971484">
        <w:tc>
          <w:tcPr>
            <w:tcW w:w="2835" w:type="dxa"/>
          </w:tcPr>
          <w:p w:rsidR="00971484" w:rsidRPr="00971484" w:rsidRDefault="00971484" w:rsidP="00971484">
            <w:pPr>
              <w:pStyle w:val="Tabletext"/>
              <w:rPr>
                <w:lang w:val="en-US" w:eastAsia="ja-JP"/>
              </w:rPr>
            </w:pPr>
            <w:r w:rsidRPr="00971484">
              <w:rPr>
                <w:lang w:val="en-US" w:eastAsia="ja-JP"/>
              </w:rPr>
              <w:t xml:space="preserve">Footnotes to </w:t>
            </w:r>
            <w:r w:rsidRPr="00971484">
              <w:rPr>
                <w:rFonts w:hint="eastAsia"/>
                <w:lang w:val="en-US" w:eastAsia="ja-JP"/>
              </w:rPr>
              <w:t>tables</w:t>
            </w:r>
          </w:p>
        </w:tc>
        <w:tc>
          <w:tcPr>
            <w:tcW w:w="3402" w:type="dxa"/>
          </w:tcPr>
          <w:p w:rsidR="00971484" w:rsidRPr="00971484" w:rsidRDefault="00971484" w:rsidP="00971484">
            <w:pPr>
              <w:pStyle w:val="Tabletext"/>
              <w:rPr>
                <w:lang w:val="en-US" w:eastAsia="ja-JP"/>
              </w:rPr>
            </w:pPr>
            <w:r w:rsidRPr="00971484">
              <w:rPr>
                <w:lang w:val="en-US" w:eastAsia="ja-JP"/>
              </w:rPr>
              <w:t>29.5.2</w:t>
            </w:r>
            <w:r>
              <w:rPr>
                <w:lang w:val="en-US" w:eastAsia="ja-JP"/>
              </w:rPr>
              <w:tab/>
            </w:r>
            <w:r>
              <w:rPr>
                <w:lang w:val="en-US" w:eastAsia="ja-JP"/>
              </w:rPr>
              <w:tab/>
            </w:r>
            <w:r w:rsidRPr="00971484">
              <w:rPr>
                <w:lang w:val="en-US" w:eastAsia="ja-JP"/>
              </w:rPr>
              <w:t>Footnotes to tables</w:t>
            </w:r>
          </w:p>
          <w:p w:rsidR="00971484" w:rsidRPr="00971484" w:rsidRDefault="00971484" w:rsidP="00971484">
            <w:pPr>
              <w:pStyle w:val="Tabletext"/>
              <w:rPr>
                <w:lang w:val="en-US" w:eastAsia="ja-JP"/>
              </w:rPr>
            </w:pPr>
            <w:r w:rsidRPr="00971484">
              <w:rPr>
                <w:lang w:val="en-US" w:eastAsia="ja-JP"/>
              </w:rPr>
              <w:t>may contain requirements</w:t>
            </w:r>
          </w:p>
        </w:tc>
        <w:tc>
          <w:tcPr>
            <w:tcW w:w="3539" w:type="dxa"/>
          </w:tcPr>
          <w:p w:rsidR="00971484" w:rsidRPr="00971484" w:rsidRDefault="00971484" w:rsidP="00971484">
            <w:pPr>
              <w:pStyle w:val="Tabletext"/>
              <w:rPr>
                <w:lang w:val="en-US" w:eastAsia="ja-JP"/>
              </w:rPr>
            </w:pPr>
          </w:p>
        </w:tc>
      </w:tr>
      <w:tr w:rsidR="00971484" w:rsidRPr="00971484" w:rsidTr="00971484">
        <w:tc>
          <w:tcPr>
            <w:tcW w:w="2835" w:type="dxa"/>
          </w:tcPr>
          <w:p w:rsidR="00971484" w:rsidRPr="00971484" w:rsidRDefault="00971484" w:rsidP="00971484">
            <w:pPr>
              <w:pStyle w:val="Tabletext"/>
              <w:rPr>
                <w:lang w:val="en-US" w:eastAsia="ja-JP"/>
              </w:rPr>
            </w:pPr>
            <w:r w:rsidRPr="00971484">
              <w:rPr>
                <w:lang w:val="en-US" w:eastAsia="ja-JP"/>
              </w:rPr>
              <w:t xml:space="preserve">Footnotes to </w:t>
            </w:r>
            <w:r w:rsidRPr="00971484">
              <w:rPr>
                <w:rFonts w:hint="eastAsia"/>
                <w:lang w:val="en-US" w:eastAsia="ja-JP"/>
              </w:rPr>
              <w:t>figures</w:t>
            </w:r>
          </w:p>
        </w:tc>
        <w:tc>
          <w:tcPr>
            <w:tcW w:w="3402" w:type="dxa"/>
          </w:tcPr>
          <w:p w:rsidR="00971484" w:rsidRPr="00971484" w:rsidRDefault="00971484" w:rsidP="00971484">
            <w:pPr>
              <w:pStyle w:val="Tabletext"/>
              <w:rPr>
                <w:lang w:val="en-US" w:eastAsia="ja-JP"/>
              </w:rPr>
            </w:pPr>
            <w:r>
              <w:rPr>
                <w:lang w:val="en-US" w:eastAsia="ja-JP"/>
              </w:rPr>
              <w:t>28.5.5</w:t>
            </w:r>
            <w:r>
              <w:rPr>
                <w:lang w:val="en-US" w:eastAsia="ja-JP"/>
              </w:rPr>
              <w:tab/>
            </w:r>
            <w:r>
              <w:rPr>
                <w:lang w:val="en-US" w:eastAsia="ja-JP"/>
              </w:rPr>
              <w:tab/>
            </w:r>
            <w:r w:rsidRPr="00971484">
              <w:rPr>
                <w:lang w:val="en-US" w:eastAsia="ja-JP"/>
              </w:rPr>
              <w:t>Footnotes to figures</w:t>
            </w:r>
          </w:p>
          <w:p w:rsidR="00971484" w:rsidRPr="00971484" w:rsidRDefault="00971484" w:rsidP="00971484">
            <w:pPr>
              <w:pStyle w:val="Tabletext"/>
              <w:rPr>
                <w:lang w:val="en-US" w:eastAsia="ja-JP"/>
              </w:rPr>
            </w:pPr>
            <w:r w:rsidRPr="00971484">
              <w:rPr>
                <w:lang w:val="en-US" w:eastAsia="ja-JP"/>
              </w:rPr>
              <w:t>may contain requirements</w:t>
            </w:r>
          </w:p>
        </w:tc>
        <w:tc>
          <w:tcPr>
            <w:tcW w:w="3539" w:type="dxa"/>
          </w:tcPr>
          <w:p w:rsidR="00971484" w:rsidRPr="00971484" w:rsidRDefault="00971484" w:rsidP="00971484">
            <w:pPr>
              <w:pStyle w:val="Tabletext"/>
              <w:rPr>
                <w:lang w:val="en-US" w:eastAsia="ja-JP"/>
              </w:rPr>
            </w:pPr>
          </w:p>
        </w:tc>
      </w:tr>
    </w:tbl>
    <w:p w:rsidR="00971484" w:rsidRDefault="00971484" w:rsidP="00971484"/>
    <w:p w:rsidR="00971484" w:rsidRDefault="00971484">
      <w:pPr>
        <w:jc w:val="center"/>
      </w:pPr>
      <w:r>
        <w:t>______________</w:t>
      </w:r>
    </w:p>
    <w:p w:rsidR="00971484" w:rsidRDefault="00971484" w:rsidP="00906598"/>
    <w:sectPr w:rsidR="00971484"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84" w:rsidRDefault="00971484">
      <w:r>
        <w:separator/>
      </w:r>
    </w:p>
  </w:endnote>
  <w:endnote w:type="continuationSeparator" w:id="0">
    <w:p w:rsidR="00971484" w:rsidRDefault="0097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88766A" w:rsidRDefault="001E41A0" w:rsidP="0088766A">
    <w:pPr>
      <w:rPr>
        <w:sz w:val="16"/>
        <w:szCs w:val="16"/>
        <w:lang w:val="fr-FR"/>
      </w:rPr>
    </w:pPr>
    <w:r w:rsidRPr="0088766A">
      <w:rPr>
        <w:sz w:val="16"/>
        <w:szCs w:val="16"/>
      </w:rPr>
      <w:fldChar w:fldCharType="begin"/>
    </w:r>
    <w:r w:rsidRPr="0088766A">
      <w:rPr>
        <w:sz w:val="16"/>
        <w:szCs w:val="16"/>
        <w:lang w:val="fr-FR"/>
      </w:rPr>
      <w:instrText xml:space="preserve"> FILENAME \p \* MERGEFORMAT </w:instrText>
    </w:r>
    <w:r w:rsidRPr="0088766A">
      <w:rPr>
        <w:sz w:val="16"/>
        <w:szCs w:val="16"/>
      </w:rPr>
      <w:fldChar w:fldCharType="separate"/>
    </w:r>
    <w:r w:rsidR="0088766A" w:rsidRPr="0088766A">
      <w:rPr>
        <w:noProof/>
        <w:sz w:val="16"/>
        <w:szCs w:val="16"/>
        <w:lang w:val="fr-FR"/>
      </w:rPr>
      <w:t>Y:\APP\BR\POOL\RAG-17\DOCUMENTS\013E.DOCX</w:t>
    </w:r>
    <w:r w:rsidRPr="0088766A">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88766A" w:rsidRDefault="001E41A0" w:rsidP="0088766A">
    <w:pPr>
      <w:pStyle w:val="Footer"/>
      <w:rPr>
        <w:lang w:val="fr-FR"/>
      </w:rPr>
    </w:pPr>
    <w:r>
      <w:fldChar w:fldCharType="begin"/>
    </w:r>
    <w:r w:rsidRPr="0088766A">
      <w:rPr>
        <w:lang w:val="fr-FR"/>
      </w:rPr>
      <w:instrText xml:space="preserve"> FILENAME \p \* MERGEFORMAT </w:instrText>
    </w:r>
    <w:r>
      <w:fldChar w:fldCharType="separate"/>
    </w:r>
    <w:r w:rsidR="0088766A" w:rsidRPr="0088766A">
      <w:rPr>
        <w:lang w:val="fr-FR"/>
      </w:rPr>
      <w:t>Y:\APP\BR\POOL\RAG-17\Documents\013E.docx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84" w:rsidRDefault="00971484">
      <w:r>
        <w:t>____________________</w:t>
      </w:r>
    </w:p>
  </w:footnote>
  <w:footnote w:type="continuationSeparator" w:id="0">
    <w:p w:rsidR="00971484" w:rsidRDefault="0097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90152C">
      <w:rPr>
        <w:noProof/>
      </w:rPr>
      <w:t>2</w:t>
    </w:r>
    <w:r>
      <w:rPr>
        <w:noProof/>
      </w:rPr>
      <w:fldChar w:fldCharType="end"/>
    </w:r>
  </w:p>
  <w:p w:rsidR="0095426A" w:rsidRDefault="00597657" w:rsidP="00971484">
    <w:pPr>
      <w:pStyle w:val="Header"/>
      <w:rPr>
        <w:lang w:val="es-ES"/>
      </w:rPr>
    </w:pPr>
    <w:r>
      <w:rPr>
        <w:lang w:val="es-ES"/>
      </w:rPr>
      <w:t>RAG</w:t>
    </w:r>
    <w:r w:rsidR="001632FD">
      <w:rPr>
        <w:lang w:val="es-ES"/>
      </w:rPr>
      <w:t>1</w:t>
    </w:r>
    <w:r w:rsidR="00906598">
      <w:rPr>
        <w:lang w:val="es-ES"/>
      </w:rPr>
      <w:t>7</w:t>
    </w:r>
    <w:r w:rsidR="0095426A">
      <w:rPr>
        <w:lang w:val="es-ES"/>
      </w:rPr>
      <w:t>/</w:t>
    </w:r>
    <w:r w:rsidR="00971484">
      <w:rPr>
        <w:lang w:val="es-ES"/>
      </w:rPr>
      <w:t>13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84"/>
    <w:rsid w:val="00093C73"/>
    <w:rsid w:val="000F2431"/>
    <w:rsid w:val="001377D6"/>
    <w:rsid w:val="001632FD"/>
    <w:rsid w:val="001E41A0"/>
    <w:rsid w:val="002774E4"/>
    <w:rsid w:val="002F4DA3"/>
    <w:rsid w:val="003D068D"/>
    <w:rsid w:val="003E2CE2"/>
    <w:rsid w:val="00481551"/>
    <w:rsid w:val="004F0848"/>
    <w:rsid w:val="00507DA3"/>
    <w:rsid w:val="0051782D"/>
    <w:rsid w:val="00597657"/>
    <w:rsid w:val="005B2C58"/>
    <w:rsid w:val="00656189"/>
    <w:rsid w:val="006B4CFB"/>
    <w:rsid w:val="00746923"/>
    <w:rsid w:val="00806E63"/>
    <w:rsid w:val="0081028D"/>
    <w:rsid w:val="0088766A"/>
    <w:rsid w:val="008B3F50"/>
    <w:rsid w:val="0090152C"/>
    <w:rsid w:val="00906598"/>
    <w:rsid w:val="0095426A"/>
    <w:rsid w:val="00971484"/>
    <w:rsid w:val="00971BF2"/>
    <w:rsid w:val="009D27EC"/>
    <w:rsid w:val="00A16CB2"/>
    <w:rsid w:val="00B35BE4"/>
    <w:rsid w:val="00B409FB"/>
    <w:rsid w:val="00B52992"/>
    <w:rsid w:val="00C322C4"/>
    <w:rsid w:val="00CC1D49"/>
    <w:rsid w:val="00CD4D80"/>
    <w:rsid w:val="00CE366B"/>
    <w:rsid w:val="00CF7532"/>
    <w:rsid w:val="00D211BC"/>
    <w:rsid w:val="00DC3B29"/>
    <w:rsid w:val="00DD3BF8"/>
    <w:rsid w:val="00EC0BE3"/>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F97125-15DD-4F02-8878-F1237903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9714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7148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10</TotalTime>
  <Pages>2</Pages>
  <Words>529</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3</cp:revision>
  <cp:lastPrinted>1999-09-30T15:03:00Z</cp:lastPrinted>
  <dcterms:created xsi:type="dcterms:W3CDTF">2017-04-12T12:46:00Z</dcterms:created>
  <dcterms:modified xsi:type="dcterms:W3CDTF">2017-04-12T12:57:00Z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