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:rsidTr="00B50C09">
        <w:trPr>
          <w:cantSplit/>
          <w:trHeight w:val="1276"/>
        </w:trPr>
        <w:tc>
          <w:tcPr>
            <w:tcW w:w="3382" w:type="pct"/>
            <w:vAlign w:val="center"/>
          </w:tcPr>
          <w:p w:rsidR="00034CD2" w:rsidRPr="00034CD2" w:rsidRDefault="00034CD2" w:rsidP="00B50C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الفريق الاستشاري للاتصالات الراديوية</w:t>
            </w:r>
          </w:p>
          <w:p w:rsidR="00034CD2" w:rsidRPr="00034CD2" w:rsidRDefault="00034CD2" w:rsidP="00B50C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28-26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أبريل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2017</w:t>
            </w:r>
          </w:p>
        </w:tc>
        <w:tc>
          <w:tcPr>
            <w:tcW w:w="1618" w:type="pct"/>
            <w:vAlign w:val="center"/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034CD2" w:rsidP="00F80FA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ا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RAG1</w:t>
            </w: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7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</w:t>
            </w:r>
            <w:r w:rsidR="00F80FA8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13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F80FA8" w:rsidP="00F80FA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12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أبريل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2017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الأصل: </w:t>
            </w:r>
            <w:r w:rsidRPr="00F80FA8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بالإنكليزية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4270DC">
        <w:trPr>
          <w:cantSplit/>
          <w:trHeight w:val="1159"/>
        </w:trPr>
        <w:tc>
          <w:tcPr>
            <w:tcW w:w="5000" w:type="pct"/>
            <w:gridSpan w:val="2"/>
          </w:tcPr>
          <w:p w:rsidR="00034CD2" w:rsidRPr="00034CD2" w:rsidRDefault="00D8559A" w:rsidP="00034CD2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40"/>
              <w:jc w:val="center"/>
              <w:rPr>
                <w:rFonts w:eastAsiaTheme="minorEastAsia"/>
                <w:b/>
                <w:bCs/>
                <w:sz w:val="32"/>
                <w:szCs w:val="44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sz w:val="32"/>
                <w:szCs w:val="44"/>
                <w:rtl/>
                <w:lang w:eastAsia="zh-CN" w:bidi="ar-SY"/>
              </w:rPr>
              <w:t>اليابان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D8559A" w:rsidRDefault="00D8559A" w:rsidP="009C590F">
            <w:pPr>
              <w:keepNext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center"/>
              <w:rPr>
                <w:rFonts w:eastAsiaTheme="minorEastAsia"/>
                <w:w w:val="120"/>
                <w:sz w:val="28"/>
                <w:szCs w:val="40"/>
                <w:rtl/>
                <w:lang w:eastAsia="zh-CN" w:bidi="ar-EG"/>
              </w:rPr>
            </w:pPr>
            <w:r w:rsidRPr="00D8559A">
              <w:rPr>
                <w:rFonts w:eastAsiaTheme="minorEastAsia"/>
                <w:sz w:val="40"/>
                <w:szCs w:val="40"/>
                <w:rtl/>
                <w:lang w:eastAsia="zh-CN" w:bidi="ar-EG"/>
              </w:rPr>
              <w:t>تعريف الملاحظات والحواشي الواردة في</w:t>
            </w:r>
            <w:r w:rsidR="009C590F">
              <w:rPr>
                <w:rFonts w:eastAsiaTheme="minorEastAsia" w:hint="cs"/>
                <w:sz w:val="40"/>
                <w:szCs w:val="40"/>
                <w:rtl/>
                <w:lang w:eastAsia="zh-CN" w:bidi="ar-EG"/>
              </w:rPr>
              <w:t> </w:t>
            </w:r>
            <w:r w:rsidRPr="00D8559A">
              <w:rPr>
                <w:rFonts w:eastAsiaTheme="minorEastAsia"/>
                <w:sz w:val="40"/>
                <w:szCs w:val="40"/>
                <w:rtl/>
                <w:lang w:eastAsia="zh-CN" w:bidi="ar-EG"/>
              </w:rPr>
              <w:t>توصيات</w:t>
            </w:r>
            <w:r w:rsidR="009C590F">
              <w:rPr>
                <w:rFonts w:eastAsiaTheme="minorEastAsia"/>
                <w:sz w:val="40"/>
                <w:szCs w:val="40"/>
                <w:rtl/>
                <w:lang w:eastAsia="zh-CN" w:bidi="ar-EG"/>
              </w:rPr>
              <w:br/>
            </w:r>
            <w:r w:rsidRPr="00D8559A">
              <w:rPr>
                <w:rFonts w:eastAsiaTheme="minorEastAsia"/>
                <w:sz w:val="40"/>
                <w:szCs w:val="40"/>
                <w:rtl/>
                <w:lang w:eastAsia="zh-CN" w:bidi="ar-EG"/>
              </w:rPr>
              <w:t>قطاع الاتصالات الراديوية واستخدامها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034CD2" w:rsidRDefault="00034CD2" w:rsidP="00B823E0">
            <w:pPr>
              <w:rPr>
                <w:rFonts w:eastAsiaTheme="minorEastAsia"/>
                <w:rtl/>
                <w:lang w:eastAsia="zh-CN" w:bidi="ar-SY"/>
              </w:rPr>
            </w:pPr>
          </w:p>
        </w:tc>
      </w:tr>
    </w:tbl>
    <w:p w:rsidR="004969BC" w:rsidRDefault="004969BC" w:rsidP="006B3314">
      <w:pPr>
        <w:rPr>
          <w:lang w:val="fr-CH" w:bidi="ar-EG"/>
        </w:rPr>
      </w:pPr>
      <w:r w:rsidRPr="003F1F37">
        <w:rPr>
          <w:color w:val="000000"/>
          <w:spacing w:val="2"/>
          <w:rtl/>
        </w:rPr>
        <w:t>يستخدم العديد من توصيات قطاع الاتصالات الراديوية "ملاحظات" و"حواشي" لتوضيح النص وتقديم معلومات تكميلية.</w:t>
      </w:r>
      <w:r w:rsidRPr="003F1F37">
        <w:rPr>
          <w:spacing w:val="2"/>
          <w:rtl/>
          <w:lang w:val="fr-CH" w:bidi="ar-EG"/>
        </w:rPr>
        <w:t xml:space="preserve"> وثمة</w:t>
      </w:r>
      <w:r>
        <w:rPr>
          <w:rtl/>
          <w:lang w:val="fr-CH" w:bidi="ar-EG"/>
        </w:rPr>
        <w:t xml:space="preserve"> أنواع مختلفة من الملاحظات؛ ملاحظات على النص الرئيسي، وحواشي متعلقة بالنص الرئيسي، وملاحظات على الجداول </w:t>
      </w:r>
      <w:r w:rsidR="00A5721D" w:rsidRPr="00A973E3">
        <w:rPr>
          <w:rFonts w:hint="cs"/>
          <w:rtl/>
          <w:lang w:val="fr-CH" w:bidi="ar-EG"/>
        </w:rPr>
        <w:t>والأشكال</w:t>
      </w:r>
      <w:r>
        <w:rPr>
          <w:rtl/>
          <w:lang w:val="fr-CH" w:bidi="ar-EG"/>
        </w:rPr>
        <w:t xml:space="preserve">، وحواشي متعلقة بالجداول </w:t>
      </w:r>
      <w:r w:rsidR="0002415B" w:rsidRPr="00A973E3">
        <w:rPr>
          <w:rFonts w:hint="cs"/>
          <w:rtl/>
          <w:lang w:val="fr-CH" w:bidi="ar-EG"/>
        </w:rPr>
        <w:t>والأشكال</w:t>
      </w:r>
      <w:r>
        <w:rPr>
          <w:rtl/>
          <w:lang w:val="fr-CH" w:bidi="ar-EG"/>
        </w:rPr>
        <w:t xml:space="preserve">. ومن المفهوم عموما أنه ما لم يرد خلاف ذلك، </w:t>
      </w:r>
      <w:r w:rsidRPr="00A973E3">
        <w:rPr>
          <w:rtl/>
          <w:lang w:val="fr-CH" w:bidi="ar-EG"/>
        </w:rPr>
        <w:t>تشكل</w:t>
      </w:r>
      <w:r w:rsidR="00BE4EDD" w:rsidRPr="00A973E3">
        <w:rPr>
          <w:rFonts w:hint="cs"/>
          <w:rtl/>
          <w:lang w:val="fr-CH" w:bidi="ar-EG"/>
        </w:rPr>
        <w:t xml:space="preserve"> النصوص التي </w:t>
      </w:r>
      <w:r w:rsidR="006B3314">
        <w:rPr>
          <w:rFonts w:hint="cs"/>
          <w:rtl/>
          <w:lang w:val="fr-CH" w:bidi="ar-EG"/>
        </w:rPr>
        <w:t>تضم</w:t>
      </w:r>
      <w:r w:rsidRPr="00A973E3">
        <w:rPr>
          <w:rtl/>
          <w:lang w:val="fr-CH" w:bidi="ar-EG"/>
        </w:rPr>
        <w:t xml:space="preserve"> </w:t>
      </w:r>
      <w:r w:rsidR="006B3314">
        <w:rPr>
          <w:rFonts w:hint="cs"/>
          <w:rtl/>
          <w:lang w:val="fr-CH" w:bidi="ar-EG"/>
        </w:rPr>
        <w:t>ملاحظات وحواش</w:t>
      </w:r>
      <w:r>
        <w:rPr>
          <w:rtl/>
          <w:lang w:val="fr-CH" w:bidi="ar-EG"/>
        </w:rPr>
        <w:t xml:space="preserve"> </w:t>
      </w:r>
      <w:r w:rsidR="006B3314">
        <w:rPr>
          <w:rFonts w:hint="cs"/>
          <w:rtl/>
          <w:lang w:val="fr-CH" w:bidi="ar-EG"/>
        </w:rPr>
        <w:t>و</w:t>
      </w:r>
      <w:r>
        <w:rPr>
          <w:rtl/>
          <w:lang w:val="fr-CH" w:bidi="ar-EG"/>
        </w:rPr>
        <w:t>الواردة في</w:t>
      </w:r>
      <w:r w:rsidR="00736BA8">
        <w:rPr>
          <w:rFonts w:hint="cs"/>
          <w:rtl/>
          <w:lang w:val="fr-CH" w:bidi="ar-EG"/>
        </w:rPr>
        <w:t> </w:t>
      </w:r>
      <w:r>
        <w:rPr>
          <w:rtl/>
          <w:lang w:val="fr-CH" w:bidi="ar-EG"/>
        </w:rPr>
        <w:t>توصيات قطاع الاتصالات الراديوية جزءا لا</w:t>
      </w:r>
      <w:r w:rsidR="0002415B">
        <w:rPr>
          <w:rFonts w:hint="cs"/>
          <w:rtl/>
          <w:lang w:val="fr-CH" w:bidi="ar-EG"/>
        </w:rPr>
        <w:t> </w:t>
      </w:r>
      <w:r>
        <w:rPr>
          <w:rtl/>
          <w:lang w:val="fr-CH" w:bidi="ar-EG"/>
        </w:rPr>
        <w:t>يتجزأ من</w:t>
      </w:r>
      <w:r w:rsidR="00736BA8">
        <w:rPr>
          <w:rtl/>
          <w:lang w:val="fr-CH" w:bidi="ar-EG"/>
        </w:rPr>
        <w:t xml:space="preserve"> التوصية كما أنها تعدّ معيارية.</w:t>
      </w:r>
    </w:p>
    <w:p w:rsidR="004969BC" w:rsidRPr="00BE4EDD" w:rsidRDefault="004969BC" w:rsidP="006B3314">
      <w:pPr>
        <w:rPr>
          <w:color w:val="000000"/>
          <w:spacing w:val="-4"/>
          <w:rtl/>
          <w:lang w:bidi="ar-EG"/>
        </w:rPr>
      </w:pPr>
      <w:r w:rsidRPr="00BE4EDD">
        <w:rPr>
          <w:spacing w:val="-4"/>
          <w:rtl/>
          <w:lang w:bidi="ar-EG"/>
        </w:rPr>
        <w:t xml:space="preserve">وتتبع </w:t>
      </w:r>
      <w:r w:rsidR="00324DD5">
        <w:rPr>
          <w:rFonts w:hint="cs"/>
          <w:spacing w:val="-4"/>
          <w:rtl/>
          <w:lang w:bidi="ar-EG"/>
        </w:rPr>
        <w:t>معايير</w:t>
      </w:r>
      <w:r w:rsidR="0002415B" w:rsidRPr="00BE4EDD">
        <w:rPr>
          <w:rFonts w:hint="cs"/>
          <w:spacing w:val="-4"/>
          <w:rtl/>
          <w:lang w:bidi="ar-EG"/>
        </w:rPr>
        <w:t xml:space="preserve"> </w:t>
      </w:r>
      <w:r w:rsidRPr="00BE4EDD">
        <w:rPr>
          <w:color w:val="000000"/>
          <w:spacing w:val="-4"/>
          <w:rtl/>
        </w:rPr>
        <w:t xml:space="preserve">المنظمة الدولية للتوحيد القياسي </w:t>
      </w:r>
      <w:r w:rsidR="00736BA8" w:rsidRPr="00BE4EDD">
        <w:rPr>
          <w:color w:val="000000"/>
          <w:spacing w:val="-4"/>
        </w:rPr>
        <w:t>(</w:t>
      </w:r>
      <w:r w:rsidRPr="00BE4EDD">
        <w:rPr>
          <w:color w:val="000000"/>
          <w:spacing w:val="-4"/>
        </w:rPr>
        <w:t>ISO</w:t>
      </w:r>
      <w:r w:rsidR="00736BA8" w:rsidRPr="00BE4EDD">
        <w:rPr>
          <w:color w:val="000000"/>
          <w:spacing w:val="-4"/>
          <w:lang w:bidi="ar-EG"/>
        </w:rPr>
        <w:t>)</w:t>
      </w:r>
      <w:r w:rsidR="006B3314">
        <w:rPr>
          <w:rFonts w:hint="cs"/>
          <w:color w:val="000000"/>
          <w:spacing w:val="-4"/>
          <w:rtl/>
          <w:lang w:bidi="ar-EG"/>
        </w:rPr>
        <w:t>/</w:t>
      </w:r>
      <w:r w:rsidRPr="00BE4EDD">
        <w:rPr>
          <w:color w:val="000000"/>
          <w:spacing w:val="-4"/>
          <w:rtl/>
        </w:rPr>
        <w:t xml:space="preserve">اللجنة الكهرتقنية الدولية </w:t>
      </w:r>
      <w:r w:rsidR="00736BA8" w:rsidRPr="00BE4EDD">
        <w:rPr>
          <w:color w:val="000000"/>
          <w:spacing w:val="-4"/>
        </w:rPr>
        <w:t>(</w:t>
      </w:r>
      <w:r w:rsidRPr="00BE4EDD">
        <w:rPr>
          <w:color w:val="000000"/>
          <w:spacing w:val="-4"/>
          <w:lang w:val="fr-CH"/>
        </w:rPr>
        <w:t>IEC</w:t>
      </w:r>
      <w:r w:rsidR="00736BA8" w:rsidRPr="00BE4EDD">
        <w:rPr>
          <w:color w:val="000000"/>
          <w:spacing w:val="-4"/>
          <w:lang w:bidi="ar-EG"/>
        </w:rPr>
        <w:t>)</w:t>
      </w:r>
      <w:r w:rsidRPr="00BE4EDD">
        <w:rPr>
          <w:color w:val="000000"/>
          <w:spacing w:val="-4"/>
          <w:rtl/>
          <w:lang w:bidi="ar-EG"/>
        </w:rPr>
        <w:t xml:space="preserve"> و</w:t>
      </w:r>
      <w:r w:rsidR="00324DD5">
        <w:rPr>
          <w:rFonts w:hint="cs"/>
          <w:color w:val="000000"/>
          <w:spacing w:val="-4"/>
          <w:rtl/>
          <w:lang w:bidi="ar-EG"/>
        </w:rPr>
        <w:t xml:space="preserve">توصيات </w:t>
      </w:r>
      <w:r w:rsidRPr="00BE4EDD">
        <w:rPr>
          <w:color w:val="000000"/>
          <w:spacing w:val="-4"/>
          <w:rtl/>
          <w:lang w:bidi="ar-EG"/>
        </w:rPr>
        <w:t xml:space="preserve">قطاع تقييس الاتصالات </w:t>
      </w:r>
      <w:r w:rsidRPr="00BE4EDD">
        <w:rPr>
          <w:color w:val="000000"/>
          <w:spacing w:val="-4"/>
          <w:rtl/>
        </w:rPr>
        <w:t>توجيهات المنظمة الدولية</w:t>
      </w:r>
      <w:r w:rsidR="0002415B" w:rsidRPr="00BE4EDD">
        <w:rPr>
          <w:rFonts w:hint="cs"/>
          <w:color w:val="000000"/>
          <w:spacing w:val="-4"/>
          <w:rtl/>
        </w:rPr>
        <w:t xml:space="preserve"> للتوحيد القياسي</w:t>
      </w:r>
      <w:r w:rsidR="006B3314">
        <w:rPr>
          <w:rFonts w:hint="cs"/>
          <w:color w:val="000000"/>
          <w:spacing w:val="-4"/>
          <w:rtl/>
        </w:rPr>
        <w:t>/</w:t>
      </w:r>
      <w:r w:rsidRPr="00BE4EDD">
        <w:rPr>
          <w:rFonts w:hint="cs"/>
          <w:color w:val="000000"/>
          <w:spacing w:val="-4"/>
          <w:rtl/>
        </w:rPr>
        <w:t xml:space="preserve">اللجنة </w:t>
      </w:r>
      <w:r w:rsidR="0002415B" w:rsidRPr="00BE4EDD">
        <w:rPr>
          <w:rFonts w:hint="cs"/>
          <w:color w:val="000000"/>
          <w:spacing w:val="-4"/>
          <w:rtl/>
        </w:rPr>
        <w:t xml:space="preserve">الكهرتقنية </w:t>
      </w:r>
      <w:r w:rsidRPr="00BE4EDD">
        <w:rPr>
          <w:rFonts w:hint="cs"/>
          <w:color w:val="000000"/>
          <w:spacing w:val="-4"/>
          <w:rtl/>
        </w:rPr>
        <w:t xml:space="preserve">الدولية </w:t>
      </w:r>
      <w:r w:rsidRPr="00BE4EDD">
        <w:rPr>
          <w:color w:val="000000"/>
          <w:spacing w:val="-4"/>
          <w:rtl/>
        </w:rPr>
        <w:t xml:space="preserve">- الجزء </w:t>
      </w:r>
      <w:r w:rsidRPr="00BE4EDD">
        <w:rPr>
          <w:color w:val="000000"/>
          <w:spacing w:val="-4"/>
        </w:rPr>
        <w:t>2</w:t>
      </w:r>
      <w:r w:rsidRPr="00BE4EDD">
        <w:rPr>
          <w:color w:val="000000"/>
          <w:spacing w:val="-4"/>
          <w:rtl/>
        </w:rPr>
        <w:t xml:space="preserve">: </w:t>
      </w:r>
      <w:r w:rsidRPr="00BE4EDD">
        <w:rPr>
          <w:color w:val="000000"/>
          <w:spacing w:val="-4"/>
        </w:rPr>
        <w:t>2016</w:t>
      </w:r>
      <w:r w:rsidRPr="00BE4EDD">
        <w:rPr>
          <w:color w:val="000000"/>
          <w:spacing w:val="-4"/>
          <w:rtl/>
        </w:rPr>
        <w:t xml:space="preserve">، </w:t>
      </w:r>
      <w:r w:rsidRPr="00BE4EDD">
        <w:rPr>
          <w:color w:val="000000"/>
          <w:spacing w:val="-4"/>
          <w:rtl/>
          <w:lang w:bidi="ar-EG"/>
        </w:rPr>
        <w:t>"مبادئ و</w:t>
      </w:r>
      <w:r w:rsidRPr="00BE4EDD">
        <w:rPr>
          <w:color w:val="000000"/>
          <w:spacing w:val="-4"/>
          <w:rtl/>
        </w:rPr>
        <w:t>قواعد هيكل وثائق المنظمة الدولية للتوحيد القياسي</w:t>
      </w:r>
      <w:r w:rsidR="00AE69D9" w:rsidRPr="00BE4EDD">
        <w:rPr>
          <w:rFonts w:hint="eastAsia"/>
          <w:color w:val="000000"/>
          <w:spacing w:val="-4"/>
          <w:rtl/>
        </w:rPr>
        <w:t> </w:t>
      </w:r>
      <w:r w:rsidRPr="00BE4EDD">
        <w:rPr>
          <w:rFonts w:hint="cs"/>
          <w:color w:val="000000"/>
          <w:spacing w:val="-4"/>
          <w:rtl/>
        </w:rPr>
        <w:t>واللجنة الكهرتقنية الدولية</w:t>
      </w:r>
      <w:r w:rsidRPr="00BE4EDD">
        <w:rPr>
          <w:color w:val="000000"/>
          <w:spacing w:val="-4"/>
          <w:rtl/>
          <w:lang w:bidi="ar-EG"/>
        </w:rPr>
        <w:t xml:space="preserve"> وصياغتها"، والتوصية </w:t>
      </w:r>
      <w:r w:rsidRPr="00BE4EDD">
        <w:rPr>
          <w:color w:val="000000"/>
          <w:spacing w:val="-4"/>
          <w:lang w:val="fr-CH" w:bidi="ar-EG"/>
        </w:rPr>
        <w:t>ITU</w:t>
      </w:r>
      <w:r w:rsidRPr="00BE4EDD">
        <w:rPr>
          <w:color w:val="000000"/>
          <w:spacing w:val="-4"/>
          <w:lang w:bidi="ar-EG"/>
        </w:rPr>
        <w:t>-T A.15001</w:t>
      </w:r>
      <w:r w:rsidRPr="00BE4EDD">
        <w:rPr>
          <w:color w:val="000000"/>
          <w:spacing w:val="-4"/>
          <w:rtl/>
          <w:lang w:bidi="ar-EG"/>
        </w:rPr>
        <w:t xml:space="preserve"> "</w:t>
      </w:r>
      <w:r w:rsidRPr="00A973E3">
        <w:rPr>
          <w:color w:val="000000"/>
          <w:spacing w:val="-4"/>
          <w:rtl/>
        </w:rPr>
        <w:t>دليل</w:t>
      </w:r>
      <w:r w:rsidR="00BE4EDD" w:rsidRPr="00A973E3">
        <w:rPr>
          <w:rFonts w:hint="cs"/>
          <w:color w:val="000000"/>
          <w:spacing w:val="-4"/>
          <w:rtl/>
        </w:rPr>
        <w:t xml:space="preserve"> المؤلف</w:t>
      </w:r>
      <w:r w:rsidRPr="00BE4EDD">
        <w:rPr>
          <w:color w:val="000000"/>
          <w:spacing w:val="-4"/>
          <w:rtl/>
        </w:rPr>
        <w:t xml:space="preserve"> </w:t>
      </w:r>
      <w:r w:rsidR="00BE4EDD" w:rsidRPr="00BE4EDD">
        <w:rPr>
          <w:rFonts w:hint="cs"/>
          <w:color w:val="000000"/>
          <w:spacing w:val="-4"/>
          <w:rtl/>
        </w:rPr>
        <w:t>ل</w:t>
      </w:r>
      <w:r w:rsidRPr="00BE4EDD">
        <w:rPr>
          <w:color w:val="000000"/>
          <w:spacing w:val="-4"/>
          <w:rtl/>
        </w:rPr>
        <w:t xml:space="preserve">صياغة توصيات قطاع تقييس الاتصالات" على الترتيب. ويلخص الجدول </w:t>
      </w:r>
      <w:r w:rsidRPr="00BE4EDD">
        <w:rPr>
          <w:color w:val="000000"/>
          <w:spacing w:val="-4"/>
        </w:rPr>
        <w:t>1</w:t>
      </w:r>
      <w:r w:rsidRPr="00BE4EDD">
        <w:rPr>
          <w:color w:val="000000"/>
          <w:spacing w:val="-4"/>
          <w:rtl/>
        </w:rPr>
        <w:t xml:space="preserve"> </w:t>
      </w:r>
      <w:r w:rsidRPr="00BE4EDD">
        <w:rPr>
          <w:rFonts w:hint="cs"/>
          <w:color w:val="000000"/>
          <w:spacing w:val="-4"/>
          <w:rtl/>
        </w:rPr>
        <w:t>تعاريف واستخدام الملاحظات والحواشي المحدَّدة لمعايير المنظمة الدولية للتوحيد القياسي</w:t>
      </w:r>
      <w:r w:rsidR="006B3314">
        <w:rPr>
          <w:rFonts w:hint="cs"/>
          <w:color w:val="000000"/>
          <w:spacing w:val="-4"/>
          <w:rtl/>
        </w:rPr>
        <w:t>/</w:t>
      </w:r>
      <w:r w:rsidRPr="00BE4EDD">
        <w:rPr>
          <w:rFonts w:hint="cs"/>
          <w:color w:val="000000"/>
          <w:spacing w:val="-4"/>
          <w:rtl/>
        </w:rPr>
        <w:t>اللجنة الكهرتقنية الدولية</w:t>
      </w:r>
      <w:r w:rsidR="00373F0B" w:rsidRPr="00BE4EDD">
        <w:rPr>
          <w:rFonts w:hint="eastAsia"/>
          <w:color w:val="000000"/>
          <w:spacing w:val="-4"/>
          <w:rtl/>
        </w:rPr>
        <w:t> </w:t>
      </w:r>
      <w:r w:rsidRPr="00BE4EDD">
        <w:rPr>
          <w:color w:val="000000"/>
          <w:spacing w:val="-4"/>
          <w:rtl/>
          <w:lang w:bidi="ar-EG"/>
        </w:rPr>
        <w:t>وتلك الخاصة بتوصيات قطاع تقييس الاتصالات. وقد وُجد أنها تشترك في جوانب كثي</w:t>
      </w:r>
      <w:r w:rsidR="00373F0B" w:rsidRPr="00BE4EDD">
        <w:rPr>
          <w:color w:val="000000"/>
          <w:spacing w:val="-4"/>
          <w:rtl/>
          <w:lang w:bidi="ar-EG"/>
        </w:rPr>
        <w:t>رة؛ بيد أنها تختلف في</w:t>
      </w:r>
      <w:r w:rsidR="00373F0B" w:rsidRPr="00BE4EDD">
        <w:rPr>
          <w:rFonts w:hint="cs"/>
          <w:color w:val="000000"/>
          <w:spacing w:val="-4"/>
          <w:rtl/>
          <w:lang w:bidi="ar-EG"/>
        </w:rPr>
        <w:t> </w:t>
      </w:r>
      <w:r w:rsidR="00373F0B" w:rsidRPr="00BE4EDD">
        <w:rPr>
          <w:color w:val="000000"/>
          <w:spacing w:val="-4"/>
          <w:rtl/>
          <w:lang w:bidi="ar-EG"/>
        </w:rPr>
        <w:t>التفاصيل.</w:t>
      </w:r>
    </w:p>
    <w:p w:rsidR="004969BC" w:rsidRDefault="004969BC" w:rsidP="0002415B">
      <w:pPr>
        <w:rPr>
          <w:color w:val="000000"/>
          <w:rtl/>
          <w:lang w:bidi="ar-EG"/>
        </w:rPr>
      </w:pPr>
      <w:r>
        <w:rPr>
          <w:color w:val="000000"/>
          <w:rtl/>
          <w:lang w:bidi="ar-EG"/>
        </w:rPr>
        <w:t xml:space="preserve">وتتضمن المبادئ التوجيهية للمدير المشار إليها في القرار </w:t>
      </w:r>
      <w:r>
        <w:rPr>
          <w:color w:val="000000"/>
          <w:lang w:val="fr-CH" w:bidi="ar-EG"/>
        </w:rPr>
        <w:t>ITU</w:t>
      </w:r>
      <w:r>
        <w:rPr>
          <w:color w:val="000000"/>
          <w:lang w:bidi="ar-EG"/>
        </w:rPr>
        <w:t>-R 1-7</w:t>
      </w:r>
      <w:r>
        <w:rPr>
          <w:color w:val="000000"/>
          <w:rtl/>
          <w:lang w:bidi="ar-EG"/>
        </w:rPr>
        <w:t xml:space="preserve"> (الفقرة </w:t>
      </w:r>
      <w:r>
        <w:rPr>
          <w:color w:val="000000"/>
          <w:lang w:bidi="ar-EG"/>
        </w:rPr>
        <w:t>2.6.A</w:t>
      </w:r>
      <w:r w:rsidR="00263CA2">
        <w:rPr>
          <w:color w:val="000000"/>
          <w:lang w:bidi="ar-EG"/>
        </w:rPr>
        <w:t>1</w:t>
      </w:r>
      <w:r>
        <w:rPr>
          <w:color w:val="000000"/>
          <w:rtl/>
          <w:lang w:bidi="ar-EG"/>
        </w:rPr>
        <w:t>) نسقا</w:t>
      </w:r>
      <w:r w:rsidR="00263CA2">
        <w:rPr>
          <w:rFonts w:hint="cs"/>
          <w:color w:val="000000"/>
          <w:rtl/>
          <w:lang w:bidi="ar-EG"/>
        </w:rPr>
        <w:t>ً</w:t>
      </w:r>
      <w:r>
        <w:rPr>
          <w:color w:val="000000"/>
          <w:rtl/>
          <w:lang w:bidi="ar-EG"/>
        </w:rPr>
        <w:t xml:space="preserve"> موحدا</w:t>
      </w:r>
      <w:r w:rsidR="00263CA2">
        <w:rPr>
          <w:rFonts w:hint="cs"/>
          <w:color w:val="000000"/>
          <w:rtl/>
          <w:lang w:bidi="ar-EG"/>
        </w:rPr>
        <w:t>ً</w:t>
      </w:r>
      <w:r>
        <w:rPr>
          <w:color w:val="000000"/>
          <w:rtl/>
          <w:lang w:bidi="ar-EG"/>
        </w:rPr>
        <w:t xml:space="preserve"> إلزاميا</w:t>
      </w:r>
      <w:r w:rsidR="00263CA2">
        <w:rPr>
          <w:rFonts w:hint="cs"/>
          <w:color w:val="000000"/>
          <w:rtl/>
          <w:lang w:bidi="ar-EG"/>
        </w:rPr>
        <w:t>ً</w:t>
      </w:r>
      <w:r>
        <w:rPr>
          <w:color w:val="000000"/>
          <w:rtl/>
          <w:lang w:bidi="ar-EG"/>
        </w:rPr>
        <w:t xml:space="preserve"> للتوصيات الجديدة والتوصيات المراجَعة لقطاع الاتصالات الراديوية ("نسق توصيات قطاع الاتصالات الراديوية")، بيد أنها لا</w:t>
      </w:r>
      <w:r w:rsidR="0002415B">
        <w:rPr>
          <w:rFonts w:hint="cs"/>
          <w:color w:val="000000"/>
          <w:rtl/>
          <w:lang w:bidi="ar-EG"/>
        </w:rPr>
        <w:t> </w:t>
      </w:r>
      <w:r>
        <w:rPr>
          <w:color w:val="000000"/>
          <w:rtl/>
          <w:lang w:bidi="ar-EG"/>
        </w:rPr>
        <w:t>توفر تعريفا</w:t>
      </w:r>
      <w:r w:rsidR="00FF44BD">
        <w:rPr>
          <w:rFonts w:hint="cs"/>
          <w:color w:val="000000"/>
          <w:rtl/>
          <w:lang w:bidi="ar-EG"/>
        </w:rPr>
        <w:t>ً</w:t>
      </w:r>
      <w:r>
        <w:rPr>
          <w:color w:val="000000"/>
          <w:rtl/>
          <w:lang w:bidi="ar-EG"/>
        </w:rPr>
        <w:t xml:space="preserve"> وا</w:t>
      </w:r>
      <w:r w:rsidR="00BB5FBE">
        <w:rPr>
          <w:color w:val="000000"/>
          <w:rtl/>
          <w:lang w:bidi="ar-EG"/>
        </w:rPr>
        <w:t>ستخداما</w:t>
      </w:r>
      <w:r w:rsidR="00FF44BD">
        <w:rPr>
          <w:rFonts w:hint="cs"/>
          <w:color w:val="000000"/>
          <w:rtl/>
          <w:lang w:bidi="ar-EG"/>
        </w:rPr>
        <w:t>ً</w:t>
      </w:r>
      <w:r w:rsidR="00BB5FBE">
        <w:rPr>
          <w:color w:val="000000"/>
          <w:rtl/>
          <w:lang w:bidi="ar-EG"/>
        </w:rPr>
        <w:t xml:space="preserve"> "للملاحظات" و"الحواشي".</w:t>
      </w:r>
    </w:p>
    <w:p w:rsidR="004969BC" w:rsidRDefault="004969BC" w:rsidP="00B558CF">
      <w:pPr>
        <w:rPr>
          <w:color w:val="000000"/>
          <w:rtl/>
          <w:lang w:bidi="ar-EG"/>
        </w:rPr>
      </w:pPr>
      <w:r>
        <w:rPr>
          <w:color w:val="000000"/>
          <w:rtl/>
          <w:lang w:bidi="ar-EG"/>
        </w:rPr>
        <w:t xml:space="preserve">ويحبذ </w:t>
      </w:r>
      <w:r w:rsidR="006B3314">
        <w:rPr>
          <w:rFonts w:hint="cs"/>
          <w:color w:val="000000"/>
          <w:rtl/>
          <w:lang w:bidi="ar-EG"/>
        </w:rPr>
        <w:t xml:space="preserve">بشدة </w:t>
      </w:r>
      <w:r>
        <w:rPr>
          <w:color w:val="000000"/>
          <w:rtl/>
          <w:lang w:bidi="ar-EG"/>
        </w:rPr>
        <w:t xml:space="preserve">توفير تعاريف واستخدام لمختلف أنواع الملاحظات والحواشي الواردة في توصيات قطاع الاتصالات الراديوية، </w:t>
      </w:r>
      <w:r w:rsidRPr="00A973E3">
        <w:rPr>
          <w:color w:val="000000"/>
          <w:rtl/>
          <w:lang w:bidi="ar-EG"/>
        </w:rPr>
        <w:t>ويا</w:t>
      </w:r>
      <w:r w:rsidR="00856137" w:rsidRPr="00A973E3">
        <w:rPr>
          <w:rFonts w:hint="cs"/>
          <w:color w:val="000000"/>
          <w:rtl/>
          <w:lang w:bidi="ar-EG"/>
        </w:rPr>
        <w:t> </w:t>
      </w:r>
      <w:r w:rsidRPr="00A973E3">
        <w:rPr>
          <w:color w:val="000000"/>
          <w:rtl/>
          <w:lang w:bidi="ar-EG"/>
        </w:rPr>
        <w:t>حبذا</w:t>
      </w:r>
      <w:r>
        <w:rPr>
          <w:color w:val="000000"/>
          <w:rtl/>
          <w:lang w:bidi="ar-EG"/>
        </w:rPr>
        <w:t xml:space="preserve"> وفق القواعد المشتركة بين </w:t>
      </w:r>
      <w:r w:rsidR="000225D1">
        <w:rPr>
          <w:color w:val="000000"/>
          <w:rtl/>
        </w:rPr>
        <w:t>المنظمة الدولية</w:t>
      </w:r>
      <w:r w:rsidR="000225D1">
        <w:rPr>
          <w:rFonts w:hint="cs"/>
          <w:color w:val="000000"/>
          <w:rtl/>
        </w:rPr>
        <w:t xml:space="preserve"> للتوحيد القياسي</w:t>
      </w:r>
      <w:r w:rsidR="00B558CF">
        <w:rPr>
          <w:rFonts w:hint="cs"/>
          <w:color w:val="000000"/>
          <w:rtl/>
        </w:rPr>
        <w:t>/</w:t>
      </w:r>
      <w:r>
        <w:rPr>
          <w:rFonts w:hint="cs"/>
          <w:color w:val="000000"/>
          <w:rtl/>
        </w:rPr>
        <w:t xml:space="preserve">اللجنة </w:t>
      </w:r>
      <w:r w:rsidR="000225D1">
        <w:rPr>
          <w:rFonts w:hint="cs"/>
          <w:color w:val="000000"/>
          <w:rtl/>
        </w:rPr>
        <w:t xml:space="preserve">الكهرتقنية </w:t>
      </w:r>
      <w:r>
        <w:rPr>
          <w:rFonts w:hint="cs"/>
          <w:color w:val="000000"/>
          <w:rtl/>
        </w:rPr>
        <w:t>الدولية</w:t>
      </w:r>
      <w:r>
        <w:rPr>
          <w:color w:val="000000"/>
          <w:rtl/>
          <w:lang w:bidi="ar-EG"/>
        </w:rPr>
        <w:t xml:space="preserve"> وقطاع تقييس الاتصالات لتجنب احتمال إساءة فهم الملاحظات والحواشي الواردة في توصيات قطاع الاتصالات الراديوية. ويحبذ على وجه الخصوص التوحيد مع معايير المنظمة الدولية</w:t>
      </w:r>
      <w:r w:rsidR="000864DB">
        <w:rPr>
          <w:rFonts w:hint="cs"/>
          <w:color w:val="000000"/>
          <w:rtl/>
          <w:lang w:bidi="ar-EG"/>
        </w:rPr>
        <w:t> </w:t>
      </w:r>
      <w:r w:rsidR="00B558CF">
        <w:rPr>
          <w:rFonts w:hint="cs"/>
          <w:color w:val="000000"/>
          <w:rtl/>
          <w:lang w:val="fr-CH" w:bidi="ar-EG"/>
        </w:rPr>
        <w:t>للتوحيد القياسي/</w:t>
      </w:r>
      <w:r>
        <w:rPr>
          <w:color w:val="000000"/>
          <w:rtl/>
          <w:lang w:bidi="ar-EG"/>
        </w:rPr>
        <w:t xml:space="preserve"> </w:t>
      </w:r>
      <w:r w:rsidR="00B558CF">
        <w:rPr>
          <w:rFonts w:hint="cs"/>
          <w:color w:val="000000"/>
          <w:rtl/>
        </w:rPr>
        <w:t>اللجنة الكهرتقنية الدولية</w:t>
      </w:r>
      <w:r w:rsidR="00B558CF">
        <w:rPr>
          <w:color w:val="000000"/>
          <w:rtl/>
          <w:lang w:bidi="ar-EG"/>
        </w:rPr>
        <w:t xml:space="preserve"> </w:t>
      </w:r>
      <w:r>
        <w:rPr>
          <w:color w:val="000000"/>
          <w:rtl/>
          <w:lang w:bidi="ar-EG"/>
        </w:rPr>
        <w:t>وتوصيات قطاع تقييس الاتصالات من أجل توصيات قطاع الاتصالات الراديوية التي تقدم مواصفات الأنظمة أو</w:t>
      </w:r>
      <w:r w:rsidR="006D34EE">
        <w:rPr>
          <w:rFonts w:hint="cs"/>
          <w:color w:val="000000"/>
          <w:rtl/>
          <w:lang w:bidi="ar-EG"/>
        </w:rPr>
        <w:t> </w:t>
      </w:r>
      <w:r w:rsidR="006D34EE">
        <w:rPr>
          <w:color w:val="000000"/>
          <w:rtl/>
          <w:lang w:bidi="ar-EG"/>
        </w:rPr>
        <w:t>إجراءات الاختبارات.</w:t>
      </w:r>
    </w:p>
    <w:p w:rsidR="004969BC" w:rsidRDefault="004969BC" w:rsidP="00B3190A">
      <w:pPr>
        <w:rPr>
          <w:color w:val="000000"/>
          <w:rtl/>
          <w:lang w:bidi="ar-EG"/>
        </w:rPr>
      </w:pPr>
      <w:r>
        <w:rPr>
          <w:color w:val="000000"/>
          <w:rtl/>
          <w:lang w:bidi="ar-EG"/>
        </w:rPr>
        <w:t xml:space="preserve">وتقترح اليابان أن يدرس الفريق الاستشاري للاتصالات الراديوية توسيع نطاق "نسق توصيات قطاع الاتصالات الراديوية" ليشمل تعاريف واستخدام مختلف أنواع الملاحظات والحواشي المشتركة بين المنظمة الدولية </w:t>
      </w:r>
      <w:r>
        <w:rPr>
          <w:color w:val="000000"/>
          <w:lang w:val="fr-CH" w:bidi="ar-EG"/>
        </w:rPr>
        <w:t>ISO</w:t>
      </w:r>
      <w:r>
        <w:rPr>
          <w:color w:val="000000"/>
          <w:rtl/>
          <w:lang w:bidi="ar-EG"/>
        </w:rPr>
        <w:t xml:space="preserve"> واللجنة </w:t>
      </w:r>
      <w:r>
        <w:rPr>
          <w:color w:val="000000"/>
          <w:lang w:val="fr-CH" w:bidi="ar-EG"/>
        </w:rPr>
        <w:t>IEC</w:t>
      </w:r>
      <w:r>
        <w:rPr>
          <w:color w:val="000000"/>
          <w:rtl/>
          <w:lang w:bidi="ar-EG"/>
        </w:rPr>
        <w:t xml:space="preserve"> وقطاع تقييس الاتصالات. وينبغي تطبيق "نسق توصيات قطاع الاتصالات الراديوية" المحدَّث على جميع التوصيات الجديدة أو المراجَعة لقطاع الاتصالات الراديوية التي </w:t>
      </w:r>
      <w:r w:rsidR="00032112">
        <w:rPr>
          <w:color w:val="000000"/>
          <w:rtl/>
          <w:lang w:bidi="ar-EG"/>
        </w:rPr>
        <w:t>نُشرت بعد تاريخ معين يتفق عليه.</w:t>
      </w:r>
    </w:p>
    <w:p w:rsidR="004969BC" w:rsidRPr="007D33F8" w:rsidRDefault="004969BC" w:rsidP="00B3190A">
      <w:pPr>
        <w:rPr>
          <w:color w:val="000000"/>
          <w:rtl/>
          <w:lang w:bidi="ar-EG"/>
        </w:rPr>
      </w:pPr>
      <w:r>
        <w:rPr>
          <w:color w:val="000000"/>
          <w:rtl/>
          <w:lang w:bidi="ar-EG"/>
        </w:rPr>
        <w:lastRenderedPageBreak/>
        <w:t>وعلاوة</w:t>
      </w:r>
      <w:r w:rsidR="00B3190A">
        <w:rPr>
          <w:rFonts w:hint="cs"/>
          <w:color w:val="000000"/>
          <w:rtl/>
          <w:lang w:bidi="ar-EG"/>
        </w:rPr>
        <w:t>ً</w:t>
      </w:r>
      <w:r>
        <w:rPr>
          <w:color w:val="000000"/>
          <w:rtl/>
          <w:lang w:bidi="ar-EG"/>
        </w:rPr>
        <w:t xml:space="preserve"> على ذلك، وبالنظر إلى أن الاتحاد قد أنشأ اتفاقات مع المنظمة الدولية </w:t>
      </w:r>
      <w:r>
        <w:rPr>
          <w:color w:val="000000"/>
          <w:lang w:val="fr-CH" w:bidi="ar-EG"/>
        </w:rPr>
        <w:t>ISO</w:t>
      </w:r>
      <w:r>
        <w:rPr>
          <w:color w:val="000000"/>
          <w:rtl/>
          <w:lang w:val="fr-CH" w:bidi="ar-EG"/>
        </w:rPr>
        <w:t xml:space="preserve"> واللجنة </w:t>
      </w:r>
      <w:r>
        <w:rPr>
          <w:color w:val="000000"/>
          <w:lang w:val="fr-CH" w:bidi="ar-EG"/>
        </w:rPr>
        <w:t>IEC</w:t>
      </w:r>
      <w:r>
        <w:rPr>
          <w:color w:val="000000"/>
          <w:rtl/>
          <w:lang w:bidi="ar-EG"/>
        </w:rPr>
        <w:t xml:space="preserve"> و</w:t>
      </w:r>
      <w:r>
        <w:rPr>
          <w:color w:val="000000"/>
          <w:lang w:val="fr-CH" w:bidi="ar-EG"/>
        </w:rPr>
        <w:t>SMPTE</w:t>
      </w:r>
      <w:r>
        <w:rPr>
          <w:color w:val="000000"/>
          <w:rtl/>
          <w:lang w:val="fr-CH" w:bidi="ar-EG"/>
        </w:rPr>
        <w:t xml:space="preserve"> و</w:t>
      </w:r>
      <w:r>
        <w:rPr>
          <w:color w:val="000000"/>
          <w:lang w:val="fr-CH" w:bidi="ar-EG"/>
        </w:rPr>
        <w:t>ETSI</w:t>
      </w:r>
      <w:r>
        <w:rPr>
          <w:color w:val="000000"/>
          <w:rtl/>
          <w:lang w:bidi="ar-EG"/>
        </w:rPr>
        <w:t xml:space="preserve"> من أجل التعاون المشترك وتبادل الوثائق، فقد يكون من المحبذ أن تكون هناك قواعد مشتركة للوثائق كما هو الحال في السياسة المشتركة المتع</w:t>
      </w:r>
      <w:r w:rsidR="00B3190A">
        <w:rPr>
          <w:color w:val="000000"/>
          <w:rtl/>
          <w:lang w:bidi="ar-EG"/>
        </w:rPr>
        <w:t>لقة بحقوق الملكية الفكرية. ويدع</w:t>
      </w:r>
      <w:r w:rsidR="00B3190A">
        <w:rPr>
          <w:rFonts w:hint="cs"/>
          <w:color w:val="000000"/>
          <w:rtl/>
          <w:lang w:bidi="ar-EG"/>
        </w:rPr>
        <w:t>ى</w:t>
      </w:r>
      <w:r>
        <w:rPr>
          <w:color w:val="000000"/>
          <w:rtl/>
          <w:lang w:bidi="ar-EG"/>
        </w:rPr>
        <w:t xml:space="preserve"> الفريق الاستشاري للاتصالات الراد</w:t>
      </w:r>
      <w:r w:rsidR="00AA72D9">
        <w:rPr>
          <w:color w:val="000000"/>
          <w:rtl/>
          <w:lang w:bidi="ar-EG"/>
        </w:rPr>
        <w:t>يوية إلى النظر في إمكانية ذلك.</w:t>
      </w:r>
    </w:p>
    <w:p w:rsidR="004969BC" w:rsidRDefault="004969BC" w:rsidP="007D33F8">
      <w:pPr>
        <w:pStyle w:val="TableNo"/>
        <w:rPr>
          <w:rtl/>
          <w:lang w:bidi="ar-EG"/>
        </w:rPr>
      </w:pPr>
      <w:r>
        <w:rPr>
          <w:rtl/>
          <w:lang w:bidi="ar-EG"/>
        </w:rPr>
        <w:t xml:space="preserve">الجدول </w:t>
      </w:r>
      <w:r>
        <w:rPr>
          <w:lang w:val="fr-CH" w:bidi="ar-EG"/>
        </w:rPr>
        <w:t>1</w:t>
      </w:r>
    </w:p>
    <w:p w:rsidR="004969BC" w:rsidRDefault="004969BC" w:rsidP="0038405D">
      <w:pPr>
        <w:pStyle w:val="Tabletitle"/>
        <w:rPr>
          <w:rtl/>
          <w:lang w:bidi="ar-EG"/>
        </w:rPr>
      </w:pPr>
      <w:r>
        <w:rPr>
          <w:rtl/>
          <w:lang w:bidi="ar-EG"/>
        </w:rPr>
        <w:t>تعاريف واستخدام الملاحظات والحواشي المحدَّدة لمعايير</w:t>
      </w:r>
      <w:r w:rsidR="0038405D">
        <w:rPr>
          <w:rFonts w:hint="cs"/>
          <w:rtl/>
          <w:lang w:bidi="ar-EG"/>
        </w:rPr>
        <w:t xml:space="preserve"> </w:t>
      </w:r>
      <w:r>
        <w:rPr>
          <w:rtl/>
        </w:rPr>
        <w:t>المنظمة الدولية للتوحيد القياسي</w:t>
      </w:r>
      <w:r w:rsidR="007D33F8">
        <w:rPr>
          <w:rFonts w:hint="eastAsia"/>
          <w:rtl/>
        </w:rPr>
        <w:t> </w:t>
      </w:r>
      <w:r>
        <w:t>(ISO)</w:t>
      </w:r>
      <w:r w:rsidR="0038405D">
        <w:rPr>
          <w:rFonts w:hint="cs"/>
          <w:rtl/>
        </w:rPr>
        <w:t>/</w:t>
      </w:r>
      <w:r>
        <w:rPr>
          <w:rFonts w:hint="cs"/>
          <w:rtl/>
        </w:rPr>
        <w:t>اللجنة الكهرتقنية الدولية</w:t>
      </w:r>
      <w:r w:rsidR="0038405D">
        <w:rPr>
          <w:rFonts w:hint="eastAsia"/>
          <w:rtl/>
        </w:rPr>
        <w:t> </w:t>
      </w:r>
      <w:bookmarkStart w:id="0" w:name="_GoBack"/>
      <w:bookmarkEnd w:id="0"/>
      <w:r w:rsidR="007D33F8">
        <w:t>(</w:t>
      </w:r>
      <w:r>
        <w:rPr>
          <w:lang w:val="fr-CH"/>
        </w:rPr>
        <w:t>IEC</w:t>
      </w:r>
      <w:r w:rsidR="007D33F8">
        <w:rPr>
          <w:lang w:bidi="ar-EG"/>
        </w:rPr>
        <w:t>)</w:t>
      </w:r>
      <w:r>
        <w:rPr>
          <w:rtl/>
          <w:lang w:bidi="ar-EG"/>
        </w:rPr>
        <w:t xml:space="preserve"> وتوصيات قطاع تقييس الاتصالات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969BC" w:rsidRPr="00B64559" w:rsidTr="004969BC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head"/>
              <w:rPr>
                <w:rtl/>
              </w:rPr>
            </w:pPr>
            <w:r w:rsidRPr="00B64559">
              <w:rPr>
                <w:rtl/>
              </w:rPr>
              <w:t>أنواع الملاحظات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head"/>
              <w:rPr>
                <w:rtl/>
                <w:lang w:val="fr-CH"/>
              </w:rPr>
            </w:pPr>
            <w:r w:rsidRPr="00B64559">
              <w:rPr>
                <w:rtl/>
              </w:rPr>
              <w:t xml:space="preserve">توجيهات </w:t>
            </w:r>
            <w:r w:rsidRPr="00B64559">
              <w:rPr>
                <w:lang w:val="fr-CH"/>
              </w:rPr>
              <w:t>ISO</w:t>
            </w:r>
            <w:r w:rsidRPr="00B64559">
              <w:rPr>
                <w:rtl/>
              </w:rPr>
              <w:t>/</w:t>
            </w:r>
            <w:r w:rsidRPr="00B64559">
              <w:rPr>
                <w:lang w:val="fr-CH"/>
              </w:rPr>
              <w:t>IEC</w:t>
            </w:r>
            <w:r w:rsidRPr="00B64559">
              <w:rPr>
                <w:rtl/>
                <w:lang w:val="fr-CH"/>
              </w:rPr>
              <w:t xml:space="preserve"> </w:t>
            </w:r>
            <w:r w:rsidRPr="00B64559">
              <w:rPr>
                <w:rtl/>
              </w:rPr>
              <w:t xml:space="preserve">– الجزء </w:t>
            </w:r>
            <w:r w:rsidRPr="00B64559">
              <w:rPr>
                <w:lang w:val="fr-CH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head"/>
            </w:pPr>
            <w:r w:rsidRPr="00B64559">
              <w:rPr>
                <w:rtl/>
              </w:rPr>
              <w:t>توصية قطاع تقييس الاتصالات</w:t>
            </w:r>
          </w:p>
          <w:p w:rsidR="004969BC" w:rsidRPr="00B64559" w:rsidRDefault="004969BC" w:rsidP="0062687A">
            <w:pPr>
              <w:pStyle w:val="Tablehead"/>
              <w:rPr>
                <w:rtl/>
              </w:rPr>
            </w:pPr>
            <w:r w:rsidRPr="00B64559">
              <w:t>ITU-T A.15001</w:t>
            </w:r>
          </w:p>
        </w:tc>
      </w:tr>
      <w:tr w:rsidR="004969BC" w:rsidRPr="00B64559" w:rsidTr="0062687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text"/>
              <w:jc w:val="left"/>
            </w:pPr>
            <w:r w:rsidRPr="00B64559">
              <w:rPr>
                <w:rtl/>
              </w:rPr>
              <w:t>الملاحظات على النص الرئيسي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text"/>
              <w:tabs>
                <w:tab w:val="clear" w:pos="1134"/>
                <w:tab w:val="left" w:pos="358"/>
              </w:tabs>
              <w:jc w:val="left"/>
              <w:rPr>
                <w:rtl/>
              </w:rPr>
            </w:pPr>
            <w:r w:rsidRPr="00B11260">
              <w:rPr>
                <w:position w:val="4"/>
                <w:lang w:val="fr-CH"/>
              </w:rPr>
              <w:t>24</w:t>
            </w:r>
            <w:r w:rsidR="0062687A" w:rsidRPr="00B11260">
              <w:rPr>
                <w:position w:val="4"/>
                <w:rtl/>
              </w:rPr>
              <w:tab/>
            </w:r>
            <w:r w:rsidRPr="00B11260">
              <w:rPr>
                <w:position w:val="4"/>
                <w:rtl/>
              </w:rPr>
              <w:t xml:space="preserve">لا ينبغي أن تتضمن الملاحظات </w:t>
            </w:r>
            <w:r w:rsidRPr="00B11260">
              <w:rPr>
                <w:position w:val="2"/>
                <w:rtl/>
              </w:rPr>
              <w:t>متطلبات أو أي معلومات تعدّ ضرورية</w:t>
            </w:r>
            <w:r w:rsidRPr="00B64559">
              <w:rPr>
                <w:rtl/>
              </w:rPr>
              <w:t xml:space="preserve"> لاستخدام الوثيقة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EA373E">
            <w:pPr>
              <w:pStyle w:val="Tabletext"/>
              <w:tabs>
                <w:tab w:val="clear" w:pos="1134"/>
                <w:tab w:val="left" w:pos="550"/>
              </w:tabs>
              <w:jc w:val="left"/>
              <w:rPr>
                <w:rtl/>
              </w:rPr>
            </w:pPr>
            <w:r w:rsidRPr="00EA373E">
              <w:rPr>
                <w:position w:val="4"/>
              </w:rPr>
              <w:t>1.6.9</w:t>
            </w:r>
            <w:r w:rsidR="00EA373E" w:rsidRPr="00EA373E">
              <w:rPr>
                <w:position w:val="4"/>
                <w:rtl/>
              </w:rPr>
              <w:tab/>
            </w:r>
            <w:r w:rsidRPr="00EA373E">
              <w:rPr>
                <w:position w:val="4"/>
                <w:rtl/>
              </w:rPr>
              <w:t xml:space="preserve">لا ينبغي أن تتضمن الملاحظات على </w:t>
            </w:r>
            <w:r w:rsidRPr="00EA373E">
              <w:rPr>
                <w:position w:val="2"/>
                <w:rtl/>
              </w:rPr>
              <w:t xml:space="preserve">النص الرئيسي والحواشي المتعلقة به </w:t>
            </w:r>
            <w:r w:rsidRPr="00EA373E">
              <w:rPr>
                <w:rtl/>
              </w:rPr>
              <w:t>مواصفات</w:t>
            </w:r>
            <w:r w:rsidR="00EA373E" w:rsidRPr="00EA373E">
              <w:rPr>
                <w:rFonts w:hint="cs"/>
                <w:rtl/>
              </w:rPr>
              <w:t> </w:t>
            </w:r>
            <w:r w:rsidRPr="00EA373E">
              <w:rPr>
                <w:rtl/>
              </w:rPr>
              <w:t>معيارية</w:t>
            </w:r>
          </w:p>
        </w:tc>
      </w:tr>
      <w:tr w:rsidR="004969BC" w:rsidRPr="00B64559" w:rsidTr="0062687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text"/>
              <w:jc w:val="left"/>
              <w:rPr>
                <w:rtl/>
              </w:rPr>
            </w:pPr>
            <w:r w:rsidRPr="00B64559">
              <w:rPr>
                <w:rtl/>
              </w:rPr>
              <w:t>الحواشي المتعلقة بالنص الرئيسي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text"/>
              <w:tabs>
                <w:tab w:val="clear" w:pos="1134"/>
                <w:tab w:val="left" w:pos="358"/>
              </w:tabs>
              <w:jc w:val="left"/>
              <w:rPr>
                <w:rtl/>
              </w:rPr>
            </w:pPr>
            <w:r w:rsidRPr="00B11260">
              <w:rPr>
                <w:position w:val="4"/>
                <w:lang w:val="fr-CH"/>
              </w:rPr>
              <w:t>26</w:t>
            </w:r>
            <w:r w:rsidR="0062687A" w:rsidRPr="00B11260">
              <w:rPr>
                <w:position w:val="4"/>
                <w:rtl/>
              </w:rPr>
              <w:tab/>
            </w:r>
            <w:r w:rsidRPr="00B11260">
              <w:rPr>
                <w:position w:val="4"/>
                <w:rtl/>
              </w:rPr>
              <w:t xml:space="preserve">لا ينبغي أن تتضمن الحواشي متطلبات </w:t>
            </w:r>
            <w:r w:rsidRPr="00B11260">
              <w:rPr>
                <w:spacing w:val="-4"/>
                <w:position w:val="2"/>
                <w:rtl/>
              </w:rPr>
              <w:t>أو أي معلومات تعدّ ضرورية لاستخدام</w:t>
            </w:r>
            <w:r w:rsidRPr="00B11260">
              <w:rPr>
                <w:spacing w:val="-4"/>
                <w:rtl/>
              </w:rPr>
              <w:t xml:space="preserve"> الوثيقة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text"/>
              <w:jc w:val="left"/>
            </w:pPr>
          </w:p>
        </w:tc>
      </w:tr>
      <w:tr w:rsidR="004969BC" w:rsidRPr="00B64559" w:rsidTr="0062687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text"/>
              <w:jc w:val="left"/>
              <w:rPr>
                <w:rtl/>
              </w:rPr>
            </w:pPr>
            <w:r w:rsidRPr="00B64559">
              <w:rPr>
                <w:rtl/>
              </w:rPr>
              <w:t>الملاحظات على الجداول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text"/>
              <w:tabs>
                <w:tab w:val="clear" w:pos="1134"/>
                <w:tab w:val="left" w:pos="358"/>
              </w:tabs>
              <w:jc w:val="left"/>
              <w:rPr>
                <w:rtl/>
              </w:rPr>
            </w:pPr>
            <w:r w:rsidRPr="00B11260">
              <w:rPr>
                <w:position w:val="4"/>
                <w:lang w:val="fr-CH"/>
              </w:rPr>
              <w:t>1.5.29</w:t>
            </w:r>
            <w:r w:rsidR="0062687A" w:rsidRPr="00B11260">
              <w:rPr>
                <w:position w:val="4"/>
                <w:rtl/>
              </w:rPr>
              <w:tab/>
            </w:r>
            <w:r w:rsidRPr="00B11260">
              <w:rPr>
                <w:position w:val="4"/>
                <w:rtl/>
              </w:rPr>
              <w:t xml:space="preserve">لا ينبغي أن تتضمن الملاحظات </w:t>
            </w:r>
            <w:r w:rsidRPr="00B11260">
              <w:rPr>
                <w:position w:val="2"/>
                <w:rtl/>
              </w:rPr>
              <w:t xml:space="preserve">على الجداول متطلبات أو أي معلومات تعدّ </w:t>
            </w:r>
            <w:r w:rsidRPr="00B64559">
              <w:rPr>
                <w:rtl/>
              </w:rPr>
              <w:t>ضرورية لاستخدام الوثيقة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BE4EDD">
            <w:pPr>
              <w:pStyle w:val="Tabletext"/>
              <w:tabs>
                <w:tab w:val="clear" w:pos="1134"/>
                <w:tab w:val="left" w:pos="550"/>
              </w:tabs>
              <w:jc w:val="left"/>
              <w:rPr>
                <w:rtl/>
              </w:rPr>
            </w:pPr>
            <w:r w:rsidRPr="007D6BE0">
              <w:rPr>
                <w:position w:val="2"/>
              </w:rPr>
              <w:t>2.6.9</w:t>
            </w:r>
            <w:r w:rsidR="00EA373E" w:rsidRPr="007D6BE0">
              <w:rPr>
                <w:position w:val="2"/>
                <w:rtl/>
              </w:rPr>
              <w:tab/>
            </w:r>
            <w:r w:rsidRPr="007D6BE0">
              <w:rPr>
                <w:rFonts w:hint="cs"/>
                <w:position w:val="2"/>
                <w:rtl/>
              </w:rPr>
              <w:t xml:space="preserve">يمكن أن تتضمن الملاحظات على </w:t>
            </w:r>
            <w:r w:rsidRPr="00B64559">
              <w:rPr>
                <w:rFonts w:hint="cs"/>
                <w:rtl/>
              </w:rPr>
              <w:t xml:space="preserve">الجداول </w:t>
            </w:r>
            <w:r w:rsidR="00BE4EDD">
              <w:rPr>
                <w:rFonts w:hint="cs"/>
                <w:rtl/>
              </w:rPr>
              <w:t>والأشكال</w:t>
            </w:r>
            <w:r w:rsidRPr="00B64559">
              <w:rPr>
                <w:rFonts w:hint="cs"/>
                <w:rtl/>
              </w:rPr>
              <w:t xml:space="preserve"> مواصفات معيارية</w:t>
            </w:r>
          </w:p>
        </w:tc>
      </w:tr>
      <w:tr w:rsidR="004969BC" w:rsidRPr="00B64559" w:rsidTr="0062687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B3190A">
            <w:pPr>
              <w:pStyle w:val="Tabletext"/>
              <w:jc w:val="left"/>
              <w:rPr>
                <w:rtl/>
              </w:rPr>
            </w:pPr>
            <w:r w:rsidRPr="00B64559">
              <w:rPr>
                <w:rtl/>
              </w:rPr>
              <w:t xml:space="preserve">الملاحظات على </w:t>
            </w:r>
            <w:r w:rsidR="00B3190A">
              <w:rPr>
                <w:rFonts w:hint="cs"/>
                <w:rtl/>
              </w:rPr>
              <w:t>الأشكال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BE4EDD">
            <w:pPr>
              <w:pStyle w:val="Tabletext"/>
              <w:tabs>
                <w:tab w:val="clear" w:pos="1134"/>
                <w:tab w:val="left" w:pos="358"/>
              </w:tabs>
              <w:jc w:val="left"/>
              <w:rPr>
                <w:rtl/>
              </w:rPr>
            </w:pPr>
            <w:r w:rsidRPr="00B11260">
              <w:rPr>
                <w:position w:val="4"/>
              </w:rPr>
              <w:t>4.5.28</w:t>
            </w:r>
            <w:r w:rsidR="0062687A" w:rsidRPr="00B11260">
              <w:rPr>
                <w:position w:val="4"/>
                <w:rtl/>
              </w:rPr>
              <w:tab/>
            </w:r>
            <w:r w:rsidRPr="00B11260">
              <w:rPr>
                <w:position w:val="4"/>
                <w:rtl/>
              </w:rPr>
              <w:t xml:space="preserve">لا ينبغي أن تتضمن الملاحظات </w:t>
            </w:r>
            <w:r w:rsidRPr="00B11260">
              <w:rPr>
                <w:position w:val="2"/>
                <w:rtl/>
              </w:rPr>
              <w:t xml:space="preserve">على </w:t>
            </w:r>
            <w:r w:rsidR="00BE4EDD">
              <w:rPr>
                <w:rFonts w:hint="cs"/>
                <w:position w:val="2"/>
                <w:rtl/>
              </w:rPr>
              <w:t>الأشكال</w:t>
            </w:r>
            <w:r w:rsidRPr="00B11260">
              <w:rPr>
                <w:position w:val="2"/>
                <w:rtl/>
              </w:rPr>
              <w:t xml:space="preserve"> متطلبات أو أي معلومات تعدّ</w:t>
            </w:r>
            <w:r w:rsidRPr="00B64559">
              <w:rPr>
                <w:rtl/>
              </w:rPr>
              <w:t xml:space="preserve"> ضرورية لاستخدام الوثيقة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C" w:rsidRPr="00B64559" w:rsidRDefault="004969BC" w:rsidP="0062687A">
            <w:pPr>
              <w:pStyle w:val="Tabletext"/>
              <w:jc w:val="left"/>
              <w:rPr>
                <w:rtl/>
              </w:rPr>
            </w:pPr>
          </w:p>
        </w:tc>
      </w:tr>
      <w:tr w:rsidR="004969BC" w:rsidRPr="00B64559" w:rsidTr="0062687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text"/>
              <w:jc w:val="left"/>
              <w:rPr>
                <w:rtl/>
              </w:rPr>
            </w:pPr>
            <w:r w:rsidRPr="00B64559">
              <w:rPr>
                <w:rtl/>
              </w:rPr>
              <w:t>الحواشي المتعلقة بالجداول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62687A">
            <w:pPr>
              <w:pStyle w:val="Tabletext"/>
              <w:tabs>
                <w:tab w:val="clear" w:pos="1134"/>
                <w:tab w:val="left" w:pos="358"/>
              </w:tabs>
              <w:jc w:val="left"/>
              <w:rPr>
                <w:rtl/>
              </w:rPr>
            </w:pPr>
            <w:r w:rsidRPr="00B11260">
              <w:rPr>
                <w:position w:val="4"/>
                <w:lang w:val="fr-CH"/>
              </w:rPr>
              <w:t>2.5.29</w:t>
            </w:r>
            <w:r w:rsidR="0062687A" w:rsidRPr="00B11260">
              <w:rPr>
                <w:position w:val="4"/>
                <w:rtl/>
              </w:rPr>
              <w:tab/>
            </w:r>
            <w:r w:rsidRPr="00B11260">
              <w:rPr>
                <w:position w:val="4"/>
                <w:rtl/>
              </w:rPr>
              <w:t xml:space="preserve">يمكن أن تتضمن الحواشي على </w:t>
            </w:r>
            <w:r w:rsidRPr="00B64559">
              <w:rPr>
                <w:rtl/>
              </w:rPr>
              <w:t>الجداول متطلبات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C" w:rsidRPr="00B64559" w:rsidRDefault="004969BC" w:rsidP="0062687A">
            <w:pPr>
              <w:pStyle w:val="Tabletext"/>
              <w:jc w:val="left"/>
              <w:rPr>
                <w:rtl/>
              </w:rPr>
            </w:pPr>
          </w:p>
        </w:tc>
      </w:tr>
      <w:tr w:rsidR="004969BC" w:rsidRPr="00B64559" w:rsidTr="0062687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B3190A">
            <w:pPr>
              <w:pStyle w:val="Tabletext"/>
              <w:jc w:val="left"/>
              <w:rPr>
                <w:rtl/>
              </w:rPr>
            </w:pPr>
            <w:r w:rsidRPr="00B64559">
              <w:rPr>
                <w:rtl/>
              </w:rPr>
              <w:t xml:space="preserve">الحواشي المتعلقة </w:t>
            </w:r>
            <w:r w:rsidR="00B3190A">
              <w:rPr>
                <w:rFonts w:hint="cs"/>
                <w:rtl/>
              </w:rPr>
              <w:t>بالأشكال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BC" w:rsidRPr="00B64559" w:rsidRDefault="004969BC" w:rsidP="00BE4EDD">
            <w:pPr>
              <w:pStyle w:val="Tabletext"/>
              <w:tabs>
                <w:tab w:val="clear" w:pos="1134"/>
                <w:tab w:val="left" w:pos="358"/>
              </w:tabs>
              <w:jc w:val="left"/>
              <w:rPr>
                <w:rtl/>
              </w:rPr>
            </w:pPr>
            <w:r w:rsidRPr="00B11260">
              <w:rPr>
                <w:position w:val="4"/>
              </w:rPr>
              <w:t>5.5.28</w:t>
            </w:r>
            <w:r w:rsidR="0062687A" w:rsidRPr="00B11260">
              <w:rPr>
                <w:position w:val="4"/>
                <w:rtl/>
              </w:rPr>
              <w:tab/>
            </w:r>
            <w:r w:rsidRPr="00B11260">
              <w:rPr>
                <w:position w:val="4"/>
                <w:rtl/>
              </w:rPr>
              <w:t xml:space="preserve">يمكن أن تتضمن الحواشي على </w:t>
            </w:r>
            <w:r w:rsidR="00BE4EDD">
              <w:rPr>
                <w:rFonts w:hint="cs"/>
                <w:rtl/>
              </w:rPr>
              <w:t>الأشكال</w:t>
            </w:r>
            <w:r w:rsidRPr="00B64559">
              <w:rPr>
                <w:rtl/>
              </w:rPr>
              <w:t xml:space="preserve"> متطلبات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BC" w:rsidRPr="00B64559" w:rsidRDefault="004969BC" w:rsidP="0062687A">
            <w:pPr>
              <w:pStyle w:val="Tabletext"/>
              <w:jc w:val="left"/>
              <w:rPr>
                <w:rtl/>
              </w:rPr>
            </w:pPr>
          </w:p>
        </w:tc>
      </w:tr>
    </w:tbl>
    <w:p w:rsidR="00034CD2" w:rsidRDefault="004969BC" w:rsidP="004969B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34CD2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6A" w:rsidRDefault="000F696A" w:rsidP="00E07379">
      <w:pPr>
        <w:spacing w:before="0" w:line="240" w:lineRule="auto"/>
      </w:pPr>
      <w:r>
        <w:separator/>
      </w:r>
    </w:p>
  </w:endnote>
  <w:endnote w:type="continuationSeparator" w:id="0">
    <w:p w:rsidR="000F696A" w:rsidRDefault="000F696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F80FA8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80FA8">
      <w:rPr>
        <w:rFonts w:eastAsiaTheme="minorEastAsia" w:cs="Calibri"/>
        <w:noProof/>
        <w:sz w:val="16"/>
        <w:szCs w:val="16"/>
        <w:lang w:eastAsia="zh-CN"/>
      </w:rPr>
      <w:t>P:\ARA\ITU-R\AG\RAG\RAG17\000\013A.docx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F80FA8">
      <w:rPr>
        <w:rFonts w:eastAsiaTheme="minorEastAsia" w:cs="Calibri"/>
        <w:sz w:val="16"/>
        <w:szCs w:val="16"/>
        <w:lang w:eastAsia="zh-CN"/>
      </w:rPr>
      <w:t>416727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F80FA8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F80FA8">
      <w:rPr>
        <w:rFonts w:eastAsiaTheme="minorEastAsia" w:cs="Calibri"/>
        <w:noProof/>
        <w:sz w:val="16"/>
        <w:szCs w:val="16"/>
        <w:lang w:eastAsia="zh-CN"/>
      </w:rPr>
      <w:t>P:\ARA\ITU-R\AG\RAG\RAG17\000\013A.docx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F80FA8">
      <w:rPr>
        <w:rFonts w:eastAsiaTheme="minorEastAsia" w:cs="Calibri"/>
        <w:sz w:val="16"/>
        <w:szCs w:val="16"/>
        <w:lang w:eastAsia="zh-CN"/>
      </w:rPr>
      <w:t>416727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6A" w:rsidRDefault="000F696A" w:rsidP="00E07379">
      <w:pPr>
        <w:spacing w:before="0" w:line="240" w:lineRule="auto"/>
      </w:pPr>
      <w:r>
        <w:separator/>
      </w:r>
    </w:p>
  </w:footnote>
  <w:footnote w:type="continuationSeparator" w:id="0">
    <w:p w:rsidR="000F696A" w:rsidRDefault="000F696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F80FA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38405D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RAG1</w:t>
    </w:r>
    <w:r>
      <w:rPr>
        <w:rFonts w:eastAsiaTheme="minorEastAsia" w:cs="Calibri"/>
        <w:sz w:val="20"/>
        <w:szCs w:val="20"/>
        <w:lang w:val="en-GB" w:eastAsia="zh-CN"/>
      </w:rPr>
      <w:t>7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 w:rsidR="00F80FA8">
      <w:rPr>
        <w:rFonts w:eastAsiaTheme="minorEastAsia" w:cs="Calibri"/>
        <w:sz w:val="20"/>
        <w:szCs w:val="20"/>
        <w:lang w:val="en-GB" w:eastAsia="zh-CN"/>
      </w:rPr>
      <w:t>13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6A"/>
    <w:rsid w:val="000124CC"/>
    <w:rsid w:val="000225D1"/>
    <w:rsid w:val="0002415B"/>
    <w:rsid w:val="00032112"/>
    <w:rsid w:val="00034CD2"/>
    <w:rsid w:val="00041F8B"/>
    <w:rsid w:val="00046444"/>
    <w:rsid w:val="0006023B"/>
    <w:rsid w:val="0008638B"/>
    <w:rsid w:val="000864DB"/>
    <w:rsid w:val="00090574"/>
    <w:rsid w:val="00092FC2"/>
    <w:rsid w:val="000A1677"/>
    <w:rsid w:val="000B407F"/>
    <w:rsid w:val="000C13C2"/>
    <w:rsid w:val="000F0B1C"/>
    <w:rsid w:val="000F1D42"/>
    <w:rsid w:val="000F4D07"/>
    <w:rsid w:val="000F696A"/>
    <w:rsid w:val="00102A03"/>
    <w:rsid w:val="001040A3"/>
    <w:rsid w:val="00173915"/>
    <w:rsid w:val="0022345D"/>
    <w:rsid w:val="00225854"/>
    <w:rsid w:val="0023283D"/>
    <w:rsid w:val="00252E0C"/>
    <w:rsid w:val="00263CA2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4DD5"/>
    <w:rsid w:val="003275AC"/>
    <w:rsid w:val="00333D29"/>
    <w:rsid w:val="003409F4"/>
    <w:rsid w:val="00357185"/>
    <w:rsid w:val="00373F0B"/>
    <w:rsid w:val="0038405D"/>
    <w:rsid w:val="003A63CE"/>
    <w:rsid w:val="003C475F"/>
    <w:rsid w:val="003E4132"/>
    <w:rsid w:val="003F1F37"/>
    <w:rsid w:val="003F678F"/>
    <w:rsid w:val="0042686F"/>
    <w:rsid w:val="004367CE"/>
    <w:rsid w:val="00443869"/>
    <w:rsid w:val="004712C6"/>
    <w:rsid w:val="004969BC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687A"/>
    <w:rsid w:val="0063315A"/>
    <w:rsid w:val="0065591D"/>
    <w:rsid w:val="00662C5A"/>
    <w:rsid w:val="00670AF5"/>
    <w:rsid w:val="006B3314"/>
    <w:rsid w:val="006C1556"/>
    <w:rsid w:val="006C5EAE"/>
    <w:rsid w:val="006D34EE"/>
    <w:rsid w:val="006F267F"/>
    <w:rsid w:val="006F63F7"/>
    <w:rsid w:val="006F6F03"/>
    <w:rsid w:val="00706D7A"/>
    <w:rsid w:val="00726AEC"/>
    <w:rsid w:val="00736BA8"/>
    <w:rsid w:val="007530CA"/>
    <w:rsid w:val="007711D6"/>
    <w:rsid w:val="0079553D"/>
    <w:rsid w:val="007B01CC"/>
    <w:rsid w:val="007D33F8"/>
    <w:rsid w:val="007D6BE0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6137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C590F"/>
    <w:rsid w:val="009F1C12"/>
    <w:rsid w:val="00A124CB"/>
    <w:rsid w:val="00A2167A"/>
    <w:rsid w:val="00A25A43"/>
    <w:rsid w:val="00A3295B"/>
    <w:rsid w:val="00A42AE5"/>
    <w:rsid w:val="00A52B61"/>
    <w:rsid w:val="00A5721D"/>
    <w:rsid w:val="00A64820"/>
    <w:rsid w:val="00A71DD6"/>
    <w:rsid w:val="00A723C7"/>
    <w:rsid w:val="00A80E11"/>
    <w:rsid w:val="00A973E3"/>
    <w:rsid w:val="00A97F94"/>
    <w:rsid w:val="00AA72D9"/>
    <w:rsid w:val="00AB1309"/>
    <w:rsid w:val="00AC2C52"/>
    <w:rsid w:val="00AD1503"/>
    <w:rsid w:val="00AE69D9"/>
    <w:rsid w:val="00AE7244"/>
    <w:rsid w:val="00AF3FEE"/>
    <w:rsid w:val="00B02F46"/>
    <w:rsid w:val="00B10C10"/>
    <w:rsid w:val="00B11260"/>
    <w:rsid w:val="00B2000C"/>
    <w:rsid w:val="00B20ADE"/>
    <w:rsid w:val="00B30303"/>
    <w:rsid w:val="00B3190A"/>
    <w:rsid w:val="00B50C09"/>
    <w:rsid w:val="00B558CF"/>
    <w:rsid w:val="00B64559"/>
    <w:rsid w:val="00B66B9A"/>
    <w:rsid w:val="00B82089"/>
    <w:rsid w:val="00B823E0"/>
    <w:rsid w:val="00B970AE"/>
    <w:rsid w:val="00BA1427"/>
    <w:rsid w:val="00BB5FBE"/>
    <w:rsid w:val="00BE49D0"/>
    <w:rsid w:val="00BE4EDD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BC5"/>
    <w:rsid w:val="00CF5ED3"/>
    <w:rsid w:val="00D0494C"/>
    <w:rsid w:val="00D14BEB"/>
    <w:rsid w:val="00D21C89"/>
    <w:rsid w:val="00D45542"/>
    <w:rsid w:val="00D66844"/>
    <w:rsid w:val="00D77D0F"/>
    <w:rsid w:val="00D8559A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749B"/>
    <w:rsid w:val="00E57B84"/>
    <w:rsid w:val="00E7380C"/>
    <w:rsid w:val="00E74BE7"/>
    <w:rsid w:val="00E86CC9"/>
    <w:rsid w:val="00E96624"/>
    <w:rsid w:val="00EA373E"/>
    <w:rsid w:val="00F126F1"/>
    <w:rsid w:val="00F2106A"/>
    <w:rsid w:val="00F323C4"/>
    <w:rsid w:val="00F36D8B"/>
    <w:rsid w:val="00F401D0"/>
    <w:rsid w:val="00F45F2B"/>
    <w:rsid w:val="00F57AE4"/>
    <w:rsid w:val="00F67150"/>
    <w:rsid w:val="00F80FA8"/>
    <w:rsid w:val="00F84366"/>
    <w:rsid w:val="00F85089"/>
    <w:rsid w:val="00F85564"/>
    <w:rsid w:val="00F86CFA"/>
    <w:rsid w:val="00FD58BD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DF81635-556E-4034-9A9A-2D7C4663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30303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4969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83E51-0D05-4DD9-8F05-6FCA4531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PA_RAG17.dotx</Template>
  <TotalTime>90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38</cp:revision>
  <cp:lastPrinted>2016-06-07T13:25:00Z</cp:lastPrinted>
  <dcterms:created xsi:type="dcterms:W3CDTF">2017-04-20T12:16:00Z</dcterms:created>
  <dcterms:modified xsi:type="dcterms:W3CDTF">2017-04-20T14:34:00Z</dcterms:modified>
  <cp:category>Conference document</cp:category>
</cp:coreProperties>
</file>