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E13DF9" w:rsidTr="00F54FFF">
        <w:trPr>
          <w:cantSplit/>
        </w:trPr>
        <w:tc>
          <w:tcPr>
            <w:tcW w:w="6772" w:type="dxa"/>
            <w:vAlign w:val="center"/>
          </w:tcPr>
          <w:p w:rsidR="0057336B" w:rsidRPr="00E13DF9" w:rsidRDefault="0057336B" w:rsidP="0057336B">
            <w:pPr>
              <w:shd w:val="solid" w:color="FFFFFF" w:fill="FFFFFF"/>
              <w:tabs>
                <w:tab w:val="left" w:pos="568"/>
              </w:tabs>
              <w:spacing w:before="360" w:after="240"/>
              <w:rPr>
                <w:b/>
                <w:caps/>
                <w:sz w:val="32"/>
              </w:rPr>
            </w:pPr>
            <w:r w:rsidRPr="00E13DF9">
              <w:rPr>
                <w:rFonts w:ascii="Verdana" w:hAnsi="Verdana" w:cs="Times New Roman Bold"/>
                <w:b/>
                <w:sz w:val="26"/>
                <w:szCs w:val="26"/>
              </w:rPr>
              <w:t>Grupo Asesor de Radiocomunicaciones</w:t>
            </w:r>
            <w:r w:rsidRPr="00E13DF9">
              <w:rPr>
                <w:b/>
                <w:caps/>
                <w:sz w:val="32"/>
              </w:rPr>
              <w:br/>
            </w:r>
            <w:r w:rsidRPr="00E13DF9">
              <w:rPr>
                <w:rFonts w:ascii="Verdana" w:hAnsi="Verdana" w:cs="Times New Roman Bold"/>
                <w:b/>
                <w:bCs/>
                <w:sz w:val="20"/>
              </w:rPr>
              <w:t>Ginebra, 26-28 de abril de 2017</w:t>
            </w:r>
          </w:p>
        </w:tc>
        <w:tc>
          <w:tcPr>
            <w:tcW w:w="3117" w:type="dxa"/>
            <w:vAlign w:val="center"/>
          </w:tcPr>
          <w:p w:rsidR="0057336B" w:rsidRPr="00E13DF9" w:rsidRDefault="0057336B" w:rsidP="008F0106">
            <w:pPr>
              <w:shd w:val="solid" w:color="FFFFFF" w:fill="FFFFFF"/>
              <w:spacing w:before="0"/>
              <w:jc w:val="right"/>
            </w:pPr>
            <w:r w:rsidRPr="00E13DF9">
              <w:rPr>
                <w:rFonts w:cstheme="minorHAnsi"/>
                <w:b/>
                <w:bCs/>
                <w:noProof/>
                <w:szCs w:val="24"/>
                <w:lang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E13DF9" w:rsidTr="00F54FFF">
        <w:trPr>
          <w:cantSplit/>
        </w:trPr>
        <w:tc>
          <w:tcPr>
            <w:tcW w:w="6772" w:type="dxa"/>
            <w:tcBorders>
              <w:bottom w:val="single" w:sz="12" w:space="0" w:color="auto"/>
            </w:tcBorders>
          </w:tcPr>
          <w:p w:rsidR="006E291F" w:rsidRPr="00E13DF9"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E13DF9" w:rsidRDefault="006E291F" w:rsidP="00CB7A43">
            <w:pPr>
              <w:shd w:val="solid" w:color="FFFFFF" w:fill="FFFFFF"/>
              <w:spacing w:before="0" w:after="48" w:line="240" w:lineRule="atLeast"/>
              <w:rPr>
                <w:sz w:val="22"/>
                <w:szCs w:val="22"/>
              </w:rPr>
            </w:pPr>
          </w:p>
        </w:tc>
      </w:tr>
      <w:tr w:rsidR="006E291F" w:rsidRPr="00E13DF9" w:rsidTr="00F54FFF">
        <w:trPr>
          <w:cantSplit/>
        </w:trPr>
        <w:tc>
          <w:tcPr>
            <w:tcW w:w="6772" w:type="dxa"/>
            <w:tcBorders>
              <w:top w:val="single" w:sz="12" w:space="0" w:color="auto"/>
            </w:tcBorders>
          </w:tcPr>
          <w:p w:rsidR="006E291F" w:rsidRPr="00E13DF9"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E13DF9" w:rsidRDefault="006E291F" w:rsidP="00CB7A43">
            <w:pPr>
              <w:shd w:val="solid" w:color="FFFFFF" w:fill="FFFFFF"/>
              <w:spacing w:before="0" w:after="48" w:line="240" w:lineRule="atLeast"/>
              <w:rPr>
                <w:rFonts w:ascii="Verdana" w:hAnsi="Verdana"/>
                <w:sz w:val="22"/>
                <w:szCs w:val="22"/>
              </w:rPr>
            </w:pPr>
          </w:p>
        </w:tc>
      </w:tr>
      <w:tr w:rsidR="006E291F" w:rsidRPr="00E13DF9" w:rsidTr="00F54FFF">
        <w:trPr>
          <w:cantSplit/>
        </w:trPr>
        <w:tc>
          <w:tcPr>
            <w:tcW w:w="6772" w:type="dxa"/>
            <w:vMerge w:val="restart"/>
          </w:tcPr>
          <w:p w:rsidR="006E291F" w:rsidRPr="00E13DF9" w:rsidRDefault="006E291F" w:rsidP="00CB7A43">
            <w:pPr>
              <w:shd w:val="solid" w:color="FFFFFF" w:fill="FFFFFF"/>
              <w:spacing w:after="240"/>
              <w:rPr>
                <w:sz w:val="20"/>
              </w:rPr>
            </w:pPr>
            <w:bookmarkStart w:id="0" w:name="dnum" w:colFirst="1" w:colLast="1"/>
          </w:p>
        </w:tc>
        <w:tc>
          <w:tcPr>
            <w:tcW w:w="3117" w:type="dxa"/>
          </w:tcPr>
          <w:p w:rsidR="006E291F" w:rsidRPr="00E13DF9" w:rsidRDefault="00571A58" w:rsidP="00571A58">
            <w:pPr>
              <w:shd w:val="solid" w:color="FFFFFF" w:fill="FFFFFF"/>
              <w:spacing w:before="0" w:line="240" w:lineRule="atLeast"/>
              <w:rPr>
                <w:rFonts w:ascii="Verdana" w:hAnsi="Verdana"/>
                <w:sz w:val="20"/>
              </w:rPr>
            </w:pPr>
            <w:r w:rsidRPr="00E13DF9">
              <w:rPr>
                <w:rFonts w:ascii="Verdana" w:hAnsi="Verdana"/>
                <w:b/>
                <w:sz w:val="20"/>
              </w:rPr>
              <w:t>Documento RAG17/12-S</w:t>
            </w:r>
          </w:p>
        </w:tc>
      </w:tr>
      <w:tr w:rsidR="006E291F" w:rsidRPr="00E13DF9" w:rsidTr="00F54FFF">
        <w:trPr>
          <w:cantSplit/>
        </w:trPr>
        <w:tc>
          <w:tcPr>
            <w:tcW w:w="6772" w:type="dxa"/>
            <w:vMerge/>
          </w:tcPr>
          <w:p w:rsidR="006E291F" w:rsidRPr="00E13DF9" w:rsidRDefault="006E291F" w:rsidP="00CB7A43">
            <w:pPr>
              <w:spacing w:before="60"/>
              <w:jc w:val="center"/>
              <w:rPr>
                <w:b/>
                <w:smallCaps/>
                <w:sz w:val="32"/>
              </w:rPr>
            </w:pPr>
            <w:bookmarkStart w:id="1" w:name="ddate" w:colFirst="1" w:colLast="1"/>
            <w:bookmarkEnd w:id="0"/>
          </w:p>
        </w:tc>
        <w:tc>
          <w:tcPr>
            <w:tcW w:w="3117" w:type="dxa"/>
          </w:tcPr>
          <w:p w:rsidR="006E291F" w:rsidRPr="00E13DF9" w:rsidRDefault="00F54FFF" w:rsidP="00571A58">
            <w:pPr>
              <w:shd w:val="solid" w:color="FFFFFF" w:fill="FFFFFF"/>
              <w:spacing w:before="0" w:line="240" w:lineRule="atLeast"/>
              <w:rPr>
                <w:rFonts w:ascii="Verdana" w:hAnsi="Verdana"/>
                <w:sz w:val="20"/>
              </w:rPr>
            </w:pPr>
            <w:r w:rsidRPr="00E13DF9">
              <w:rPr>
                <w:rFonts w:ascii="Verdana" w:hAnsi="Verdana"/>
                <w:b/>
                <w:sz w:val="20"/>
              </w:rPr>
              <w:t>12 de abril de 2017</w:t>
            </w:r>
          </w:p>
        </w:tc>
      </w:tr>
      <w:tr w:rsidR="006E291F" w:rsidRPr="00E13DF9" w:rsidTr="00F54FFF">
        <w:trPr>
          <w:cantSplit/>
        </w:trPr>
        <w:tc>
          <w:tcPr>
            <w:tcW w:w="6772" w:type="dxa"/>
            <w:vMerge/>
          </w:tcPr>
          <w:p w:rsidR="006E291F" w:rsidRPr="00E13DF9" w:rsidRDefault="006E291F" w:rsidP="00CB7A43">
            <w:pPr>
              <w:spacing w:before="60"/>
              <w:jc w:val="center"/>
              <w:rPr>
                <w:b/>
                <w:smallCaps/>
                <w:sz w:val="32"/>
              </w:rPr>
            </w:pPr>
            <w:bookmarkStart w:id="2" w:name="dorlang" w:colFirst="1" w:colLast="1"/>
            <w:bookmarkEnd w:id="1"/>
          </w:p>
        </w:tc>
        <w:tc>
          <w:tcPr>
            <w:tcW w:w="3117" w:type="dxa"/>
          </w:tcPr>
          <w:p w:rsidR="006E291F" w:rsidRPr="00E13DF9" w:rsidRDefault="00571A58" w:rsidP="00571A58">
            <w:pPr>
              <w:shd w:val="solid" w:color="FFFFFF" w:fill="FFFFFF"/>
              <w:spacing w:before="0" w:after="120" w:line="240" w:lineRule="atLeast"/>
              <w:rPr>
                <w:rFonts w:ascii="Verdana" w:hAnsi="Verdana"/>
                <w:sz w:val="20"/>
              </w:rPr>
            </w:pPr>
            <w:r w:rsidRPr="00E13DF9">
              <w:rPr>
                <w:rFonts w:ascii="Verdana" w:hAnsi="Verdana"/>
                <w:b/>
                <w:sz w:val="20"/>
              </w:rPr>
              <w:t>Original: inglés</w:t>
            </w:r>
          </w:p>
        </w:tc>
      </w:tr>
      <w:tr w:rsidR="006E291F" w:rsidRPr="00E13DF9" w:rsidTr="008F0106">
        <w:trPr>
          <w:cantSplit/>
        </w:trPr>
        <w:tc>
          <w:tcPr>
            <w:tcW w:w="9889" w:type="dxa"/>
            <w:gridSpan w:val="2"/>
          </w:tcPr>
          <w:p w:rsidR="006E291F" w:rsidRPr="00E13DF9" w:rsidRDefault="00F54FFF" w:rsidP="00CB7A43">
            <w:pPr>
              <w:pStyle w:val="Source"/>
            </w:pPr>
            <w:bookmarkStart w:id="3" w:name="dsource" w:colFirst="0" w:colLast="0"/>
            <w:bookmarkEnd w:id="2"/>
            <w:r w:rsidRPr="00E13DF9">
              <w:rPr>
                <w:lang w:eastAsia="zh-CN"/>
              </w:rPr>
              <w:t>Japón</w:t>
            </w:r>
          </w:p>
        </w:tc>
      </w:tr>
      <w:tr w:rsidR="006E291F" w:rsidRPr="00E13DF9" w:rsidTr="008F0106">
        <w:trPr>
          <w:cantSplit/>
        </w:trPr>
        <w:tc>
          <w:tcPr>
            <w:tcW w:w="9889" w:type="dxa"/>
            <w:gridSpan w:val="2"/>
          </w:tcPr>
          <w:p w:rsidR="006E291F" w:rsidRPr="00E13DF9" w:rsidRDefault="00F54FFF" w:rsidP="00CB7A43">
            <w:pPr>
              <w:pStyle w:val="Title1"/>
            </w:pPr>
            <w:bookmarkStart w:id="4" w:name="dtitle1" w:colFirst="0" w:colLast="0"/>
            <w:bookmarkEnd w:id="3"/>
            <w:r w:rsidRPr="00E13DF9">
              <w:rPr>
                <w:lang w:eastAsia="zh-CN"/>
              </w:rPr>
              <w:t xml:space="preserve">CONTRIBUCIÓN A LA APLICACIÓN DE LA RESOLUCIÓN 908 </w:t>
            </w:r>
            <w:r w:rsidRPr="00E13DF9">
              <w:rPr>
                <w:lang w:eastAsia="zh-CN"/>
              </w:rPr>
              <w:br/>
              <w:t>(rev.cmr-15)</w:t>
            </w:r>
          </w:p>
        </w:tc>
      </w:tr>
    </w:tbl>
    <w:bookmarkEnd w:id="4"/>
    <w:p w:rsidR="00F54FFF" w:rsidRPr="00E13DF9" w:rsidRDefault="00F54FFF" w:rsidP="00F54FFF">
      <w:pPr>
        <w:pStyle w:val="Heading1"/>
        <w:rPr>
          <w:lang w:eastAsia="ja-JP"/>
        </w:rPr>
      </w:pPr>
      <w:r w:rsidRPr="00E13DF9">
        <w:rPr>
          <w:rFonts w:eastAsia="Batang"/>
          <w:lang w:eastAsia="ja-JP"/>
        </w:rPr>
        <w:t>1</w:t>
      </w:r>
      <w:r w:rsidRPr="00E13DF9">
        <w:rPr>
          <w:rFonts w:eastAsia="Batang"/>
          <w:lang w:eastAsia="ja-JP"/>
        </w:rPr>
        <w:tab/>
      </w:r>
      <w:r w:rsidRPr="00E13DF9">
        <w:rPr>
          <w:lang w:eastAsia="ja-JP"/>
        </w:rPr>
        <w:t>Antecedentes</w:t>
      </w:r>
    </w:p>
    <w:p w:rsidR="00F54FFF" w:rsidRPr="00E13DF9" w:rsidRDefault="00F54FFF" w:rsidP="00F54FFF">
      <w:r w:rsidRPr="00E13DF9">
        <w:t xml:space="preserve">El volumen de información de publicación anticipada (API), así como de solicitudes de coordinación (CR/C), comunicaciones y notificaciones formuladas en el marco de </w:t>
      </w:r>
      <w:r w:rsidR="005C18B4">
        <w:t>los Apéndices </w:t>
      </w:r>
      <w:r w:rsidRPr="00E13DF9">
        <w:t>30, 30A y 30B para redes o sistemas de satélites, es cada vez mayor a raíz del rápido ritmo de desarrollo de las tecnologías de comunicaciones por satélite y del aumento de las necesidades de comunicaciones de banda ancha. Tanto las administraciones como la Oficina deben llevar a cabo una amplia labor de examen y correspondencia en materia de coordinación y comunicación. Por otro lado, también es cada vez mayor el número de competidores, en particular universidades que llevan a cabo trabajos científicos e iniciativas comerciales sobre nanosatélites y picosatélites para acceder al mercado de las comunicaciones por satélite</w:t>
      </w:r>
      <w:r w:rsidR="00755369" w:rsidRPr="00E13DF9">
        <w:t>.</w:t>
      </w:r>
    </w:p>
    <w:p w:rsidR="00F54FFF" w:rsidRPr="00E13DF9" w:rsidRDefault="00F54FFF" w:rsidP="00F54FFF">
      <w:r w:rsidRPr="00E13DF9">
        <w:t>De conformidad con la Resolución 908 (Rev.CMR-15), se pide al Director de la BR que aplique un método electrónico seguro y sin papel para la presentación y publicación electrónicas de las notificaciones y observaciones sobre redes de satélites.</w:t>
      </w:r>
    </w:p>
    <w:p w:rsidR="00F54FFF" w:rsidRPr="00E13DF9" w:rsidRDefault="00F54FFF" w:rsidP="00F54FFF">
      <w:r w:rsidRPr="00E13DF9">
        <w:t xml:space="preserve">En su 23ª reunión celebrada en 2016, el GAR acordó establecer un Grupo de </w:t>
      </w:r>
      <w:r w:rsidR="00B6417E" w:rsidRPr="00E13DF9">
        <w:t xml:space="preserve">Relator </w:t>
      </w:r>
      <w:r w:rsidRPr="00E13DF9">
        <w:t>para seguir los avances registrados en materia de soportes lógicos en relación con la aplicación de las Resolucione</w:t>
      </w:r>
      <w:r w:rsidR="00CE522D">
        <w:t>s </w:t>
      </w:r>
      <w:r w:rsidR="00B6417E">
        <w:t>907 (Rev.CMR-15) y 908 (Rev.</w:t>
      </w:r>
      <w:r w:rsidRPr="00E13DF9">
        <w:t>CMR-15).</w:t>
      </w:r>
    </w:p>
    <w:p w:rsidR="00F54FFF" w:rsidRPr="00E13DF9" w:rsidRDefault="00F54FFF" w:rsidP="00F54FFF">
      <w:pPr>
        <w:rPr>
          <w:szCs w:val="24"/>
          <w:lang w:eastAsia="ja-JP"/>
        </w:rPr>
      </w:pPr>
      <w:r w:rsidRPr="00E13DF9">
        <w:rPr>
          <w:rFonts w:asciiTheme="majorBidi" w:hAnsiTheme="majorBidi" w:cstheme="majorBidi"/>
          <w:lang w:eastAsia="ja-JP"/>
        </w:rPr>
        <w:t>Como se menciona en el Informe de la BR a la 24</w:t>
      </w:r>
      <w:r w:rsidRPr="00E13DF9">
        <w:rPr>
          <w:rFonts w:asciiTheme="majorBidi" w:hAnsiTheme="majorBidi" w:cstheme="majorBidi"/>
          <w:vertAlign w:val="superscript"/>
          <w:lang w:eastAsia="ja-JP"/>
        </w:rPr>
        <w:t>a</w:t>
      </w:r>
      <w:r w:rsidRPr="00E13DF9">
        <w:rPr>
          <w:rFonts w:asciiTheme="majorBidi" w:hAnsiTheme="majorBidi" w:cstheme="majorBidi"/>
          <w:lang w:eastAsia="ja-JP"/>
        </w:rPr>
        <w:t xml:space="preserve"> reunión del GAR (Sección 3.1 del Documento RAG17/1(Rev.1)), la Administración de Japón decidió refrendar la actividad de la BR mediante una contribución voluntaria para la aplicación de la Resolución con objeto de facilitar la presentación, tramitación y publicación electrónicas de todas las comunicaciones y los comentarios sobre redes de satélites</w:t>
      </w:r>
      <w:r w:rsidR="00BF04E6" w:rsidRPr="00E13DF9">
        <w:rPr>
          <w:szCs w:val="24"/>
          <w:lang w:eastAsia="ja-JP"/>
        </w:rPr>
        <w:t>.</w:t>
      </w:r>
    </w:p>
    <w:p w:rsidR="007448AA" w:rsidRPr="00E13DF9" w:rsidRDefault="00F54FFF" w:rsidP="00F54FFF">
      <w:pPr>
        <w:rPr>
          <w:szCs w:val="24"/>
          <w:lang w:eastAsia="ja-JP"/>
        </w:rPr>
      </w:pPr>
      <w:r w:rsidRPr="00E13DF9">
        <w:rPr>
          <w:szCs w:val="24"/>
          <w:lang w:eastAsia="ja-JP"/>
        </w:rPr>
        <w:t xml:space="preserve">La BR está elaborando un procedimiento unificado para </w:t>
      </w:r>
      <w:r w:rsidR="00DA1D0B">
        <w:rPr>
          <w:szCs w:val="24"/>
          <w:lang w:eastAsia="ja-JP"/>
        </w:rPr>
        <w:t>la aplicación de la Resolución.</w:t>
      </w:r>
    </w:p>
    <w:p w:rsidR="00F54FFF" w:rsidRPr="00E13DF9" w:rsidRDefault="00F54FFF" w:rsidP="00F54FFF">
      <w:pPr>
        <w:rPr>
          <w:lang w:eastAsia="ja-JP"/>
        </w:rPr>
      </w:pPr>
      <w:r w:rsidRPr="00E13DF9">
        <w:rPr>
          <w:szCs w:val="24"/>
          <w:lang w:eastAsia="ja-JP"/>
        </w:rPr>
        <w:t>En el presente informe se presenta el proyecto de plan de trabajo previo, en particular con respecto a la realización de las siguientes tareas</w:t>
      </w:r>
      <w:r w:rsidRPr="00E13DF9">
        <w:rPr>
          <w:lang w:eastAsia="ja-JP"/>
        </w:rPr>
        <w:t>:</w:t>
      </w:r>
    </w:p>
    <w:p w:rsidR="00F54FFF" w:rsidRPr="00E13DF9" w:rsidRDefault="00F54FFF" w:rsidP="00EB7B51">
      <w:pPr>
        <w:pStyle w:val="enumlev1"/>
        <w:rPr>
          <w:color w:val="000000" w:themeColor="text1"/>
        </w:rPr>
      </w:pPr>
      <w:r w:rsidRPr="00E13DF9">
        <w:rPr>
          <w:lang w:eastAsia="ja-JP"/>
        </w:rPr>
        <w:t>–</w:t>
      </w:r>
      <w:r w:rsidRPr="00E13DF9">
        <w:rPr>
          <w:lang w:eastAsia="ja-JP"/>
        </w:rPr>
        <w:tab/>
      </w:r>
      <w:r w:rsidRPr="00E13DF9">
        <w:rPr>
          <w:color w:val="000000" w:themeColor="text1"/>
          <w:lang w:eastAsia="ja-JP"/>
        </w:rPr>
        <w:t xml:space="preserve">el desarrollo y la aplicación de un sistema de publicación de API </w:t>
      </w:r>
      <w:r w:rsidR="00EB7B51" w:rsidRPr="00E13DF9">
        <w:rPr>
          <w:color w:val="000000" w:themeColor="text1"/>
          <w:lang w:eastAsia="ja-JP"/>
        </w:rPr>
        <w:t>«</w:t>
      </w:r>
      <w:r w:rsidRPr="00E13DF9">
        <w:rPr>
          <w:color w:val="000000" w:themeColor="text1"/>
          <w:lang w:eastAsia="ja-JP"/>
        </w:rPr>
        <w:t>como se recibe</w:t>
      </w:r>
      <w:r w:rsidR="00EB7B51" w:rsidRPr="00E13DF9">
        <w:rPr>
          <w:color w:val="000000" w:themeColor="text1"/>
          <w:lang w:eastAsia="ja-JP"/>
        </w:rPr>
        <w:t>»</w:t>
      </w:r>
      <w:r w:rsidRPr="00E13DF9">
        <w:rPr>
          <w:color w:val="000000" w:themeColor="text1"/>
          <w:lang w:eastAsia="ja-JP"/>
        </w:rPr>
        <w:t xml:space="preserve"> con arreglo al procedimiento de API revisado y la Resolución 55;</w:t>
      </w:r>
    </w:p>
    <w:p w:rsidR="00F54FFF" w:rsidRPr="00E13DF9" w:rsidRDefault="00F54FFF" w:rsidP="00F54FFF">
      <w:pPr>
        <w:pStyle w:val="enumlev1"/>
      </w:pPr>
      <w:r w:rsidRPr="00E13DF9">
        <w:rPr>
          <w:lang w:eastAsia="ja-JP"/>
        </w:rPr>
        <w:t>–</w:t>
      </w:r>
      <w:r w:rsidRPr="00E13DF9">
        <w:rPr>
          <w:lang w:eastAsia="ja-JP"/>
        </w:rPr>
        <w:tab/>
        <w:t>el desarrollo de un sistema para la publicación de notificaciones en línea;</w:t>
      </w:r>
    </w:p>
    <w:p w:rsidR="00F54FFF" w:rsidRPr="00E13DF9" w:rsidRDefault="00F54FFF" w:rsidP="00F54FFF">
      <w:pPr>
        <w:pStyle w:val="enumlev1"/>
      </w:pPr>
      <w:r w:rsidRPr="00E13DF9">
        <w:rPr>
          <w:lang w:eastAsia="ja-JP"/>
        </w:rPr>
        <w:t>–</w:t>
      </w:r>
      <w:r w:rsidRPr="00E13DF9">
        <w:rPr>
          <w:lang w:eastAsia="ja-JP"/>
        </w:rPr>
        <w:tab/>
        <w:t>la ampliación del sistema para la recepción/edición de notificaciones en línea;</w:t>
      </w:r>
    </w:p>
    <w:p w:rsidR="00F54FFF" w:rsidRPr="00E13DF9" w:rsidRDefault="00F54FFF" w:rsidP="00F54FFF">
      <w:pPr>
        <w:pStyle w:val="enumlev1"/>
      </w:pPr>
      <w:r w:rsidRPr="00E13DF9">
        <w:rPr>
          <w:lang w:eastAsia="ja-JP"/>
        </w:rPr>
        <w:t>–</w:t>
      </w:r>
      <w:r w:rsidRPr="00E13DF9">
        <w:rPr>
          <w:lang w:eastAsia="ja-JP"/>
        </w:rPr>
        <w:tab/>
        <w:t>el diseño de sistemas;</w:t>
      </w:r>
    </w:p>
    <w:p w:rsidR="00F54FFF" w:rsidRPr="00E13DF9" w:rsidRDefault="00F54FFF" w:rsidP="00F54FFF">
      <w:pPr>
        <w:pStyle w:val="enumlev1"/>
      </w:pPr>
      <w:r w:rsidRPr="00E13DF9">
        <w:rPr>
          <w:lang w:eastAsia="ja-JP"/>
        </w:rPr>
        <w:t>–</w:t>
      </w:r>
      <w:r w:rsidRPr="00E13DF9">
        <w:rPr>
          <w:lang w:eastAsia="ja-JP"/>
        </w:rPr>
        <w:tab/>
        <w:t>la revisión de la tramitación de comunicaciones de SNS;</w:t>
      </w:r>
    </w:p>
    <w:p w:rsidR="00F54FFF" w:rsidRPr="00E13DF9" w:rsidRDefault="00F54FFF" w:rsidP="00F54FFF">
      <w:pPr>
        <w:pStyle w:val="enumlev1"/>
      </w:pPr>
      <w:r w:rsidRPr="00E13DF9">
        <w:rPr>
          <w:lang w:eastAsia="ja-JP"/>
        </w:rPr>
        <w:lastRenderedPageBreak/>
        <w:t>–</w:t>
      </w:r>
      <w:r w:rsidRPr="00E13DF9">
        <w:rPr>
          <w:lang w:eastAsia="ja-JP"/>
        </w:rPr>
        <w:tab/>
        <w:t>el desarrollo de herramientas de tramitación en materia de admisibilidad;</w:t>
      </w:r>
    </w:p>
    <w:p w:rsidR="00F54FFF" w:rsidRPr="00E13DF9" w:rsidRDefault="00F54FFF" w:rsidP="00F54FFF">
      <w:pPr>
        <w:pStyle w:val="enumlev1"/>
      </w:pPr>
      <w:r w:rsidRPr="00E13DF9">
        <w:rPr>
          <w:lang w:eastAsia="ja-JP"/>
        </w:rPr>
        <w:t>–</w:t>
      </w:r>
      <w:r w:rsidRPr="00E13DF9">
        <w:rPr>
          <w:lang w:eastAsia="ja-JP"/>
        </w:rPr>
        <w:tab/>
        <w:t>el desarrollo de un sistema de información de gestión;</w:t>
      </w:r>
    </w:p>
    <w:p w:rsidR="00F54FFF" w:rsidRPr="00E13DF9" w:rsidRDefault="00F54FFF" w:rsidP="00F54FFF">
      <w:pPr>
        <w:pStyle w:val="enumlev1"/>
      </w:pPr>
      <w:r w:rsidRPr="00E13DF9">
        <w:rPr>
          <w:lang w:eastAsia="ja-JP"/>
        </w:rPr>
        <w:t>–</w:t>
      </w:r>
      <w:r w:rsidRPr="00E13DF9">
        <w:rPr>
          <w:lang w:eastAsia="ja-JP"/>
        </w:rPr>
        <w:tab/>
        <w:t>el desarrollo de un sistema para formular comentarios en línea;</w:t>
      </w:r>
    </w:p>
    <w:p w:rsidR="00F54FFF" w:rsidRPr="00E13DF9" w:rsidRDefault="00F54FFF" w:rsidP="00F54FFF">
      <w:pPr>
        <w:pStyle w:val="enumlev1"/>
      </w:pPr>
      <w:r w:rsidRPr="00E13DF9">
        <w:rPr>
          <w:lang w:eastAsia="ja-JP"/>
        </w:rPr>
        <w:t>–</w:t>
      </w:r>
      <w:r w:rsidRPr="00E13DF9">
        <w:rPr>
          <w:lang w:eastAsia="ja-JP"/>
        </w:rPr>
        <w:tab/>
        <w:t>el desarrollo de un portal de utilización propia destinado al usuario;</w:t>
      </w:r>
    </w:p>
    <w:p w:rsidR="00F54FFF" w:rsidRPr="00E13DF9" w:rsidRDefault="00F54FFF" w:rsidP="00F54FFF">
      <w:pPr>
        <w:pStyle w:val="enumlev1"/>
      </w:pPr>
      <w:r w:rsidRPr="00E13DF9">
        <w:rPr>
          <w:lang w:eastAsia="ja-JP"/>
        </w:rPr>
        <w:t>–</w:t>
      </w:r>
      <w:r w:rsidRPr="00E13DF9">
        <w:rPr>
          <w:lang w:eastAsia="ja-JP"/>
        </w:rPr>
        <w:tab/>
        <w:t>la puesta al día del SNS en línea;</w:t>
      </w:r>
    </w:p>
    <w:p w:rsidR="00F54FFF" w:rsidRPr="00E13DF9" w:rsidRDefault="00F54FFF" w:rsidP="00F54FFF">
      <w:pPr>
        <w:pStyle w:val="enumlev1"/>
      </w:pPr>
      <w:r w:rsidRPr="00E13DF9">
        <w:rPr>
          <w:lang w:eastAsia="ja-JP"/>
        </w:rPr>
        <w:t>–</w:t>
      </w:r>
      <w:r w:rsidRPr="00E13DF9">
        <w:rPr>
          <w:lang w:eastAsia="ja-JP"/>
        </w:rPr>
        <w:tab/>
        <w:t>el desarrollo de herramientas de examen;</w:t>
      </w:r>
    </w:p>
    <w:p w:rsidR="00F54FFF" w:rsidRPr="00E13DF9" w:rsidRDefault="00F54FFF" w:rsidP="00F54FFF">
      <w:pPr>
        <w:pStyle w:val="enumlev1"/>
      </w:pPr>
      <w:r w:rsidRPr="00E13DF9">
        <w:rPr>
          <w:lang w:eastAsia="ja-JP"/>
        </w:rPr>
        <w:t>–</w:t>
      </w:r>
      <w:r w:rsidRPr="00E13DF9">
        <w:rPr>
          <w:lang w:eastAsia="ja-JP"/>
        </w:rPr>
        <w:tab/>
        <w:t>la revisión del proceso de publicación;</w:t>
      </w:r>
    </w:p>
    <w:p w:rsidR="00F54FFF" w:rsidRPr="00E13DF9" w:rsidRDefault="00F54FFF" w:rsidP="00F54FFF">
      <w:pPr>
        <w:pStyle w:val="enumlev1"/>
      </w:pPr>
      <w:r w:rsidRPr="00E13DF9">
        <w:rPr>
          <w:lang w:eastAsia="ja-JP"/>
        </w:rPr>
        <w:t>–</w:t>
      </w:r>
      <w:r w:rsidRPr="00E13DF9">
        <w:rPr>
          <w:lang w:eastAsia="ja-JP"/>
        </w:rPr>
        <w:tab/>
        <w:t>la revisión de la BR IFIC en línea;</w:t>
      </w:r>
    </w:p>
    <w:p w:rsidR="00F54FFF" w:rsidRPr="00E13DF9" w:rsidRDefault="00F54FFF" w:rsidP="00F54FFF">
      <w:pPr>
        <w:pStyle w:val="enumlev1"/>
      </w:pPr>
      <w:r w:rsidRPr="00E13DF9">
        <w:rPr>
          <w:lang w:eastAsia="ja-JP"/>
        </w:rPr>
        <w:t>–</w:t>
      </w:r>
      <w:r w:rsidRPr="00E13DF9">
        <w:rPr>
          <w:lang w:eastAsia="ja-JP"/>
        </w:rPr>
        <w:tab/>
        <w:t xml:space="preserve">el desarrollo de herramientas de verificación reglamentaria, en virtud </w:t>
      </w:r>
      <w:r w:rsidR="001610FE">
        <w:rPr>
          <w:lang w:eastAsia="ja-JP"/>
        </w:rPr>
        <w:t>del número</w:t>
      </w:r>
      <w:r w:rsidRPr="00E13DF9">
        <w:rPr>
          <w:lang w:eastAsia="ja-JP"/>
        </w:rPr>
        <w:t xml:space="preserve"> 11.44;</w:t>
      </w:r>
    </w:p>
    <w:p w:rsidR="00F54FFF" w:rsidRPr="00E13DF9" w:rsidRDefault="00F54FFF" w:rsidP="00F54FFF">
      <w:pPr>
        <w:pStyle w:val="enumlev1"/>
      </w:pPr>
      <w:r w:rsidRPr="00E13DF9">
        <w:rPr>
          <w:lang w:eastAsia="ja-JP"/>
        </w:rPr>
        <w:t>–</w:t>
      </w:r>
      <w:r w:rsidRPr="00E13DF9">
        <w:rPr>
          <w:lang w:eastAsia="ja-JP"/>
        </w:rPr>
        <w:tab/>
        <w:t>el desarrollo de herramientas para el mantenimiento del MIFR;</w:t>
      </w:r>
    </w:p>
    <w:p w:rsidR="00F54FFF" w:rsidRPr="00E13DF9" w:rsidRDefault="00F54FFF" w:rsidP="00F54FFF">
      <w:pPr>
        <w:pStyle w:val="enumlev1"/>
      </w:pPr>
      <w:r w:rsidRPr="00E13DF9">
        <w:rPr>
          <w:lang w:eastAsia="ja-JP"/>
        </w:rPr>
        <w:t>–</w:t>
      </w:r>
      <w:r w:rsidRPr="00E13DF9">
        <w:rPr>
          <w:lang w:eastAsia="ja-JP"/>
        </w:rPr>
        <w:tab/>
        <w:t>la supervisión de las operaciones, el mantenimiento y la prestación de apoyo al usuario.</w:t>
      </w:r>
    </w:p>
    <w:p w:rsidR="00F54FFF" w:rsidRPr="00E13DF9" w:rsidRDefault="00F54FFF" w:rsidP="00F54FFF">
      <w:pPr>
        <w:pStyle w:val="Heading1"/>
        <w:rPr>
          <w:lang w:eastAsia="ja-JP"/>
        </w:rPr>
      </w:pPr>
      <w:r w:rsidRPr="00E13DF9">
        <w:rPr>
          <w:lang w:eastAsia="ja-JP"/>
        </w:rPr>
        <w:t>2</w:t>
      </w:r>
      <w:r w:rsidRPr="00E13DF9">
        <w:rPr>
          <w:lang w:eastAsia="ja-JP"/>
        </w:rPr>
        <w:tab/>
        <w:t>Propuesta</w:t>
      </w:r>
    </w:p>
    <w:p w:rsidR="00F54FFF" w:rsidRPr="00E13DF9" w:rsidRDefault="00F54FFF" w:rsidP="00F54FFF">
      <w:pPr>
        <w:rPr>
          <w:lang w:eastAsia="ja-JP"/>
        </w:rPr>
      </w:pPr>
      <w:r w:rsidRPr="00E13DF9">
        <w:rPr>
          <w:lang w:eastAsia="ja-JP"/>
        </w:rPr>
        <w:t>Japón considera que en este proyecto se debería tener plenamente en cuenta que:</w:t>
      </w:r>
    </w:p>
    <w:p w:rsidR="00F54FFF" w:rsidRPr="00E13DF9" w:rsidRDefault="00F54FFF" w:rsidP="00F54FFF">
      <w:pPr>
        <w:pStyle w:val="enumlev1"/>
        <w:rPr>
          <w:lang w:eastAsia="ja-JP"/>
        </w:rPr>
      </w:pPr>
      <w:r w:rsidRPr="00E13DF9">
        <w:rPr>
          <w:lang w:eastAsia="ja-JP"/>
        </w:rPr>
        <w:t>1)</w:t>
      </w:r>
      <w:r w:rsidRPr="00E13DF9">
        <w:rPr>
          <w:lang w:eastAsia="ja-JP"/>
        </w:rPr>
        <w:tab/>
        <w:t>los nuevos sistemas se han puesto en marcha para reducir sustancialmente la carga de trabajo relativa a los procedimientos y aumentar la eficiencia de la correspondencia entre las administraciones y la Oficina;</w:t>
      </w:r>
    </w:p>
    <w:p w:rsidR="00F54FFF" w:rsidRPr="00E13DF9" w:rsidRDefault="00F54FFF" w:rsidP="00F54FFF">
      <w:pPr>
        <w:pStyle w:val="enumlev1"/>
        <w:rPr>
          <w:lang w:eastAsia="ja-JP"/>
        </w:rPr>
      </w:pPr>
      <w:r w:rsidRPr="00E13DF9">
        <w:rPr>
          <w:lang w:eastAsia="ja-JP"/>
        </w:rPr>
        <w:t>2)</w:t>
      </w:r>
      <w:r w:rsidRPr="00E13DF9">
        <w:rPr>
          <w:lang w:eastAsia="ja-JP"/>
        </w:rPr>
        <w:tab/>
        <w:t>los nuevos sistemas ofrecen a los nuevos competidores una interfaz de fácil utilización;</w:t>
      </w:r>
    </w:p>
    <w:p w:rsidR="00F54FFF" w:rsidRPr="00E13DF9" w:rsidRDefault="00F54FFF" w:rsidP="00F54FFF">
      <w:pPr>
        <w:pStyle w:val="enumlev1"/>
        <w:rPr>
          <w:lang w:eastAsia="ja-JP"/>
        </w:rPr>
      </w:pPr>
      <w:r w:rsidRPr="00E13DF9">
        <w:rPr>
          <w:lang w:eastAsia="ja-JP"/>
        </w:rPr>
        <w:t>3)</w:t>
      </w:r>
      <w:r w:rsidRPr="00E13DF9">
        <w:rPr>
          <w:lang w:eastAsia="ja-JP"/>
        </w:rPr>
        <w:tab/>
        <w:t>los nuevos sistemas deberán confirmar la eficacia y seguridad del procedimiento entre las administraciones y la Oficina (a tal efecto, deberían tenerse en cuenta asimismo los resultados del proy</w:t>
      </w:r>
      <w:r w:rsidR="009375B8" w:rsidRPr="00E13DF9">
        <w:rPr>
          <w:lang w:eastAsia="ja-JP"/>
        </w:rPr>
        <w:t>ecto de la Resolución 907 (Rev.</w:t>
      </w:r>
      <w:r w:rsidRPr="00E13DF9">
        <w:rPr>
          <w:lang w:eastAsia="ja-JP"/>
        </w:rPr>
        <w:t>CMR-15)).</w:t>
      </w:r>
    </w:p>
    <w:p w:rsidR="00F54FFF" w:rsidRPr="00E13DF9" w:rsidRDefault="00F54FFF" w:rsidP="00F54FFF">
      <w:pPr>
        <w:rPr>
          <w:lang w:eastAsia="ja-JP"/>
        </w:rPr>
      </w:pPr>
      <w:r w:rsidRPr="00E13DF9">
        <w:rPr>
          <w:lang w:eastAsia="ja-JP"/>
        </w:rPr>
        <w:t>Deseamos aprovechar la ocasión para formular varias propuestas de mejora en relación con los sistemas existentes, en particular:</w:t>
      </w:r>
    </w:p>
    <w:p w:rsidR="00F54FFF" w:rsidRPr="00E13DF9" w:rsidRDefault="00F54FFF" w:rsidP="00F54FFF">
      <w:pPr>
        <w:pStyle w:val="enumlev1"/>
        <w:rPr>
          <w:rFonts w:eastAsia="Batang"/>
          <w:lang w:eastAsia="ja-JP"/>
        </w:rPr>
      </w:pPr>
      <w:r w:rsidRPr="00E13DF9">
        <w:rPr>
          <w:lang w:eastAsia="ja-JP"/>
        </w:rPr>
        <w:t>–</w:t>
      </w:r>
      <w:r w:rsidRPr="00E13DF9">
        <w:rPr>
          <w:lang w:eastAsia="ja-JP"/>
        </w:rPr>
        <w:tab/>
      </w:r>
      <w:r w:rsidR="009375B8" w:rsidRPr="00E13DF9">
        <w:rPr>
          <w:lang w:eastAsia="ja-JP"/>
        </w:rPr>
        <w:t xml:space="preserve">La </w:t>
      </w:r>
      <w:r w:rsidRPr="00E13DF9">
        <w:rPr>
          <w:lang w:eastAsia="ja-JP"/>
        </w:rPr>
        <w:t>conveniencia de que los comentarios de una administración relativos a la IFIC se transmitan automáticamente a las administraciones correspondientes y la BR cuando la administración presente dichos comentarios en formato electrónico a través del sitio web de la BR IFIC.</w:t>
      </w:r>
    </w:p>
    <w:p w:rsidR="00F54FFF" w:rsidRPr="00E13DF9" w:rsidRDefault="00F54FFF" w:rsidP="00007EC3">
      <w:pPr>
        <w:pStyle w:val="enumlev1"/>
        <w:rPr>
          <w:rFonts w:eastAsia="Batang"/>
          <w:lang w:eastAsia="ja-JP"/>
        </w:rPr>
      </w:pPr>
      <w:r w:rsidRPr="00E13DF9">
        <w:rPr>
          <w:rFonts w:eastAsia="Batang"/>
          <w:lang w:eastAsia="ja-JP"/>
        </w:rPr>
        <w:t>–</w:t>
      </w:r>
      <w:r w:rsidRPr="00E13DF9">
        <w:rPr>
          <w:rFonts w:eastAsia="Batang"/>
          <w:lang w:eastAsia="ja-JP"/>
        </w:rPr>
        <w:tab/>
      </w:r>
      <w:r w:rsidR="009375B8" w:rsidRPr="00E13DF9">
        <w:rPr>
          <w:rFonts w:eastAsia="Batang"/>
          <w:lang w:eastAsia="ja-JP"/>
        </w:rPr>
        <w:t xml:space="preserve">La </w:t>
      </w:r>
      <w:r w:rsidRPr="00E13DF9">
        <w:rPr>
          <w:rFonts w:eastAsia="Batang"/>
          <w:lang w:eastAsia="ja-JP"/>
        </w:rPr>
        <w:t>propuesta de mejora del diseño del sitio web del Sistema de redes espaciales (SNS) en línea con objeto de facilitar la comprensión inmediata de nuestra labor, por ejemplo mediante la utilización de pictogramas o imágenes (previamente han existido muchas funciones de gran utilidad en el SNS en línea para facilitar el acceso a las bases de datos del SNS, pero actualmente únicamente figuran enlaces y explicaciones en formato de texto en relación con esas funciones).</w:t>
      </w:r>
    </w:p>
    <w:p w:rsidR="00F54FFF" w:rsidRPr="00E13DF9" w:rsidRDefault="00F54FFF" w:rsidP="00F54FFF">
      <w:pPr>
        <w:widowControl w:val="0"/>
        <w:tabs>
          <w:tab w:val="clear" w:pos="794"/>
          <w:tab w:val="clear" w:pos="1191"/>
          <w:tab w:val="clear" w:pos="1588"/>
          <w:tab w:val="clear" w:pos="1985"/>
        </w:tabs>
        <w:overflowPunct/>
        <w:spacing w:before="0"/>
        <w:jc w:val="center"/>
        <w:textAlignment w:val="auto"/>
        <w:rPr>
          <w:rFonts w:eastAsia="Batang"/>
          <w:lang w:eastAsia="ja-JP"/>
        </w:rPr>
      </w:pPr>
      <w:r w:rsidRPr="00E13DF9">
        <w:rPr>
          <w:rFonts w:eastAsia="Batang"/>
          <w:noProof/>
          <w:lang w:eastAsia="zh-CN"/>
        </w:rPr>
        <w:lastRenderedPageBreak/>
        <mc:AlternateContent>
          <mc:Choice Requires="wps">
            <w:drawing>
              <wp:anchor distT="0" distB="0" distL="114300" distR="114300" simplePos="0" relativeHeight="251664384" behindDoc="0" locked="0" layoutInCell="1" allowOverlap="1" wp14:anchorId="151FDCCD" wp14:editId="026655EE">
                <wp:simplePos x="0" y="0"/>
                <wp:positionH relativeFrom="column">
                  <wp:posOffset>2219960</wp:posOffset>
                </wp:positionH>
                <wp:positionV relativeFrom="paragraph">
                  <wp:posOffset>725170</wp:posOffset>
                </wp:positionV>
                <wp:extent cx="2921000" cy="603250"/>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2921000" cy="603250"/>
                        </a:xfrm>
                        <a:prstGeom prst="rect">
                          <a:avLst/>
                        </a:prstGeom>
                        <a:noFill/>
                        <a:ln w="6350">
                          <a:noFill/>
                        </a:ln>
                        <a:effectLst/>
                      </wps:spPr>
                      <wps:txbx>
                        <w:txbxContent>
                          <w:p w:rsidR="00F54FFF" w:rsidRPr="007921B3" w:rsidRDefault="00F54FFF" w:rsidP="00F54FFF">
                            <w:pPr>
                              <w:rPr>
                                <w:rFonts w:ascii="MS PGothic" w:eastAsia="MS PGothic" w:hAnsi="MS PGothic"/>
                                <w:b/>
                                <w:color w:val="FF0000"/>
                                <w:lang w:eastAsia="ja-JP"/>
                              </w:rPr>
                            </w:pPr>
                            <w:r>
                              <w:rPr>
                                <w:rFonts w:ascii="MS PGothic" w:eastAsia="MS PGothic" w:hAnsi="MS PGothic"/>
                                <w:b/>
                                <w:color w:val="FF0000"/>
                                <w:lang w:eastAsia="ja-JP"/>
                              </w:rPr>
                              <w:t>Únicamente figuran explicaciones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FDCCD" id="_x0000_t202" coordsize="21600,21600" o:spt="202" path="m,l,21600r21600,l21600,xe">
                <v:stroke joinstyle="miter"/>
                <v:path gradientshapeok="t" o:connecttype="rect"/>
              </v:shapetype>
              <v:shape id="テキスト ボックス 14" o:spid="_x0000_s1026" type="#_x0000_t202" style="position:absolute;left:0;text-align:left;margin-left:174.8pt;margin-top:57.1pt;width:230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" filled="f" stroked="f" strokeweight=".5pt">
                <v:textbox>
                  <w:txbxContent>
                    <w:p w:rsidR="00F54FFF" w:rsidRPr="007921B3" w:rsidRDefault="00F54FFF" w:rsidP="00F54FFF">
                      <w:pPr>
                        <w:rPr>
                          <w:rFonts w:ascii="MS PGothic" w:eastAsia="MS PGothic" w:hAnsi="MS PGothic"/>
                          <w:b/>
                          <w:color w:val="FF0000"/>
                          <w:lang w:eastAsia="ja-JP"/>
                        </w:rPr>
                      </w:pPr>
                      <w:r>
                        <w:rPr>
                          <w:rFonts w:ascii="MS PGothic" w:eastAsia="MS PGothic" w:hAnsi="MS PGothic"/>
                          <w:b/>
                          <w:color w:val="FF0000"/>
                          <w:lang w:eastAsia="ja-JP"/>
                        </w:rPr>
                        <w:t>Únicamente figuran explicaciones</w:t>
                      </w:r>
                    </w:p>
                  </w:txbxContent>
                </v:textbox>
              </v:shape>
            </w:pict>
          </mc:Fallback>
        </mc:AlternateContent>
      </w:r>
      <w:r w:rsidRPr="00E13DF9">
        <w:rPr>
          <w:rFonts w:eastAsia="Batang"/>
          <w:noProof/>
          <w:lang w:eastAsia="zh-CN"/>
        </w:rPr>
        <mc:AlternateContent>
          <mc:Choice Requires="wps">
            <w:drawing>
              <wp:anchor distT="0" distB="0" distL="114300" distR="114300" simplePos="0" relativeHeight="251663360" behindDoc="0" locked="0" layoutInCell="1" allowOverlap="1" wp14:anchorId="2AFB3A71" wp14:editId="02FDD6A0">
                <wp:simplePos x="0" y="0"/>
                <wp:positionH relativeFrom="margin">
                  <wp:posOffset>0</wp:posOffset>
                </wp:positionH>
                <wp:positionV relativeFrom="paragraph">
                  <wp:posOffset>452755</wp:posOffset>
                </wp:positionV>
                <wp:extent cx="1382395" cy="68834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2395" cy="688340"/>
                        </a:xfrm>
                        <a:prstGeom prst="rect">
                          <a:avLst/>
                        </a:prstGeom>
                        <a:noFill/>
                        <a:ln w="6350">
                          <a:noFill/>
                        </a:ln>
                        <a:effectLst/>
                      </wps:spPr>
                      <wps:txbx>
                        <w:txbxContent>
                          <w:p w:rsidR="00F54FFF" w:rsidRPr="007921B3" w:rsidRDefault="00F54FFF" w:rsidP="00F54FFF">
                            <w:pPr>
                              <w:rPr>
                                <w:rFonts w:ascii="MS PGothic" w:eastAsia="MS PGothic" w:hAnsi="MS PGothic"/>
                                <w:b/>
                                <w:color w:val="FF0000"/>
                                <w:lang w:eastAsia="ja-JP"/>
                              </w:rPr>
                            </w:pPr>
                            <w:r>
                              <w:rPr>
                                <w:rFonts w:ascii="MS PGothic" w:eastAsia="MS PGothic" w:hAnsi="MS PGothic"/>
                                <w:b/>
                                <w:color w:val="FF0000"/>
                                <w:lang w:eastAsia="ja-JP"/>
                              </w:rPr>
                              <w:t>Únicamente figuran enlaces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B3A71" id="テキスト ボックス 13" o:spid="_x0000_s1027" type="#_x0000_t202" style="position:absolute;left:0;text-align:left;margin-left:0;margin-top:35.65pt;width:108.85pt;height:5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" filled="f" stroked="f" strokeweight=".5pt">
                <v:textbox>
                  <w:txbxContent>
                    <w:p w:rsidR="00F54FFF" w:rsidRPr="007921B3" w:rsidRDefault="00F54FFF" w:rsidP="00F54FFF">
                      <w:pPr>
                        <w:rPr>
                          <w:rFonts w:ascii="MS PGothic" w:eastAsia="MS PGothic" w:hAnsi="MS PGothic"/>
                          <w:b/>
                          <w:color w:val="FF0000"/>
                          <w:lang w:eastAsia="ja-JP"/>
                        </w:rPr>
                      </w:pPr>
                      <w:r>
                        <w:rPr>
                          <w:rFonts w:ascii="MS PGothic" w:eastAsia="MS PGothic" w:hAnsi="MS PGothic"/>
                          <w:b/>
                          <w:color w:val="FF0000"/>
                          <w:lang w:eastAsia="ja-JP"/>
                        </w:rPr>
                        <w:t>Únicamente figuran enlaces</w:t>
                      </w:r>
                    </w:p>
                  </w:txbxContent>
                </v:textbox>
                <w10:wrap anchorx="margin"/>
              </v:shape>
            </w:pict>
          </mc:Fallback>
        </mc:AlternateContent>
      </w:r>
      <w:r w:rsidRPr="00E13DF9">
        <w:rPr>
          <w:rFonts w:eastAsia="Batang"/>
          <w:noProof/>
          <w:lang w:eastAsia="zh-CN"/>
        </w:rPr>
        <mc:AlternateContent>
          <mc:Choice Requires="wps">
            <w:drawing>
              <wp:anchor distT="0" distB="0" distL="114300" distR="114300" simplePos="0" relativeHeight="251662336" behindDoc="0" locked="0" layoutInCell="1" allowOverlap="1" wp14:anchorId="5F1F6CDF" wp14:editId="53A0A26C">
                <wp:simplePos x="0" y="0"/>
                <wp:positionH relativeFrom="column">
                  <wp:posOffset>1232888</wp:posOffset>
                </wp:positionH>
                <wp:positionV relativeFrom="paragraph">
                  <wp:posOffset>1035685</wp:posOffset>
                </wp:positionV>
                <wp:extent cx="4718050" cy="1879247"/>
                <wp:effectExtent l="0" t="0" r="25400" b="26035"/>
                <wp:wrapNone/>
                <wp:docPr id="12" name="円/楕円 12"/>
                <wp:cNvGraphicFramePr/>
                <a:graphic xmlns:a="http://schemas.openxmlformats.org/drawingml/2006/main">
                  <a:graphicData uri="http://schemas.microsoft.com/office/word/2010/wordprocessingShape">
                    <wps:wsp>
                      <wps:cNvSpPr/>
                      <wps:spPr>
                        <a:xfrm>
                          <a:off x="0" y="0"/>
                          <a:ext cx="4718050" cy="1879247"/>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E3A60" id="円/楕円 12" o:spid="_x0000_s1026" style="position:absolute;margin-left:97.1pt;margin-top:81.55pt;width:371.5pt;height:1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" filled="f" strokecolor="red" strokeweight="1.5pt"/>
            </w:pict>
          </mc:Fallback>
        </mc:AlternateContent>
      </w:r>
      <w:r w:rsidRPr="00E13DF9">
        <w:rPr>
          <w:rFonts w:eastAsia="Batang"/>
          <w:noProof/>
          <w:lang w:eastAsia="zh-CN"/>
        </w:rPr>
        <mc:AlternateContent>
          <mc:Choice Requires="wps">
            <w:drawing>
              <wp:anchor distT="0" distB="0" distL="114300" distR="114300" simplePos="0" relativeHeight="251661312" behindDoc="0" locked="0" layoutInCell="1" allowOverlap="1" wp14:anchorId="5483D9EE" wp14:editId="614C715A">
                <wp:simplePos x="0" y="0"/>
                <wp:positionH relativeFrom="margin">
                  <wp:posOffset>36266</wp:posOffset>
                </wp:positionH>
                <wp:positionV relativeFrom="paragraph">
                  <wp:posOffset>984885</wp:posOffset>
                </wp:positionV>
                <wp:extent cx="1167130" cy="1913467"/>
                <wp:effectExtent l="0" t="0" r="13970" b="10795"/>
                <wp:wrapNone/>
                <wp:docPr id="11" name="円/楕円 11"/>
                <wp:cNvGraphicFramePr/>
                <a:graphic xmlns:a="http://schemas.openxmlformats.org/drawingml/2006/main">
                  <a:graphicData uri="http://schemas.microsoft.com/office/word/2010/wordprocessingShape">
                    <wps:wsp>
                      <wps:cNvSpPr/>
                      <wps:spPr>
                        <a:xfrm>
                          <a:off x="0" y="0"/>
                          <a:ext cx="1167130" cy="1913467"/>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F7BDA" id="円/楕円 11" o:spid="_x0000_s1026" style="position:absolute;margin-left:2.85pt;margin-top:77.55pt;width:91.9pt;height:15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" filled="f" strokecolor="red" strokeweight="1.5pt">
                <w10:wrap anchorx="margin"/>
              </v:oval>
            </w:pict>
          </mc:Fallback>
        </mc:AlternateContent>
      </w:r>
      <w:r w:rsidRPr="00E13DF9">
        <w:rPr>
          <w:rFonts w:eastAsia="Batang"/>
          <w:noProof/>
          <w:lang w:eastAsia="zh-CN"/>
        </w:rPr>
        <w:drawing>
          <wp:inline distT="0" distB="0" distL="0" distR="0" wp14:anchorId="4CA56721" wp14:editId="00724A3D">
            <wp:extent cx="5987241" cy="2833511"/>
            <wp:effectExtent l="76200" t="76200" r="128270" b="1384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531" cy="28431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375B8" w:rsidRPr="00E13DF9" w:rsidRDefault="009375B8" w:rsidP="00F54FFF">
      <w:pPr>
        <w:pStyle w:val="enumlev1"/>
        <w:rPr>
          <w:lang w:eastAsia="ja-JP"/>
        </w:rPr>
      </w:pPr>
    </w:p>
    <w:p w:rsidR="00F54FFF" w:rsidRPr="00E13DF9" w:rsidRDefault="00F54FFF" w:rsidP="00F54FFF">
      <w:pPr>
        <w:pStyle w:val="enumlev1"/>
        <w:rPr>
          <w:color w:val="000000" w:themeColor="text1"/>
          <w:lang w:eastAsia="ja-JP"/>
        </w:rPr>
      </w:pPr>
      <w:r w:rsidRPr="00E13DF9">
        <w:rPr>
          <w:lang w:eastAsia="ja-JP"/>
        </w:rPr>
        <w:t>–</w:t>
      </w:r>
      <w:r w:rsidRPr="00E13DF9">
        <w:rPr>
          <w:lang w:eastAsia="ja-JP"/>
        </w:rPr>
        <w:tab/>
      </w:r>
      <w:r w:rsidR="009375B8" w:rsidRPr="00E13DF9">
        <w:rPr>
          <w:lang w:eastAsia="ja-JP"/>
        </w:rPr>
        <w:t xml:space="preserve">El </w:t>
      </w:r>
      <w:r w:rsidRPr="00E13DF9">
        <w:rPr>
          <w:lang w:eastAsia="ja-JP"/>
        </w:rPr>
        <w:t xml:space="preserve">resultado de la consulta en línea del SNS debería ser fácil de comprender, de forma que el usuario no necesite ninguna referencia al </w:t>
      </w:r>
      <w:r w:rsidR="00EB7B51" w:rsidRPr="00E13DF9">
        <w:rPr>
          <w:lang w:eastAsia="ja-JP"/>
        </w:rPr>
        <w:t>«</w:t>
      </w:r>
      <w:r w:rsidRPr="00E13DF9">
        <w:rPr>
          <w:lang w:eastAsia="ja-JP"/>
        </w:rPr>
        <w:t>Prefacio a la BR IFIC</w:t>
      </w:r>
      <w:r w:rsidR="00EB7B51" w:rsidRPr="00E13DF9">
        <w:rPr>
          <w:lang w:eastAsia="ja-JP"/>
        </w:rPr>
        <w:t>»</w:t>
      </w:r>
      <w:r w:rsidRPr="00E13DF9">
        <w:rPr>
          <w:lang w:eastAsia="ja-JP"/>
        </w:rPr>
        <w:t xml:space="preserve"> ni seleccionar ningún </w:t>
      </w:r>
      <w:r w:rsidRPr="00E13DF9">
        <w:rPr>
          <w:color w:val="000000" w:themeColor="text1"/>
          <w:lang w:eastAsia="ja-JP"/>
        </w:rPr>
        <w:t xml:space="preserve">enlace (los </w:t>
      </w:r>
      <w:r w:rsidR="00EB7B51" w:rsidRPr="00E13DF9">
        <w:rPr>
          <w:color w:val="000000" w:themeColor="text1"/>
          <w:lang w:eastAsia="ja-JP"/>
        </w:rPr>
        <w:t>«símbolos»</w:t>
      </w:r>
      <w:r w:rsidRPr="00E13DF9">
        <w:rPr>
          <w:color w:val="000000" w:themeColor="text1"/>
          <w:lang w:eastAsia="ja-JP"/>
        </w:rPr>
        <w:t xml:space="preserve"> como G/I/V no se utilizan suficientemente).</w:t>
      </w:r>
    </w:p>
    <w:p w:rsidR="00F54FFF" w:rsidRPr="00E13DF9" w:rsidRDefault="00F54FFF" w:rsidP="00F54FFF">
      <w:pPr>
        <w:pStyle w:val="enumlev1"/>
        <w:rPr>
          <w:rFonts w:eastAsia="Batang"/>
          <w:color w:val="000000" w:themeColor="text1"/>
          <w:lang w:eastAsia="ja-JP"/>
        </w:rPr>
      </w:pPr>
    </w:p>
    <w:p w:rsidR="00F54FFF" w:rsidRPr="00E13DF9" w:rsidRDefault="00F54FFF" w:rsidP="00F54FFF">
      <w:pPr>
        <w:widowControl w:val="0"/>
        <w:tabs>
          <w:tab w:val="clear" w:pos="794"/>
          <w:tab w:val="clear" w:pos="1191"/>
          <w:tab w:val="clear" w:pos="1588"/>
          <w:tab w:val="clear" w:pos="1985"/>
        </w:tabs>
        <w:overflowPunct/>
        <w:spacing w:before="0"/>
        <w:jc w:val="center"/>
        <w:textAlignment w:val="auto"/>
        <w:rPr>
          <w:lang w:eastAsia="ja-JP"/>
        </w:rPr>
      </w:pPr>
      <w:r w:rsidRPr="00E13DF9">
        <w:rPr>
          <w:noProof/>
          <w:lang w:eastAsia="zh-CN"/>
        </w:rPr>
        <mc:AlternateContent>
          <mc:Choice Requires="wps">
            <w:drawing>
              <wp:anchor distT="0" distB="0" distL="114300" distR="114300" simplePos="0" relativeHeight="251660288" behindDoc="0" locked="0" layoutInCell="1" allowOverlap="1" wp14:anchorId="3B96B331" wp14:editId="1F653F03">
                <wp:simplePos x="0" y="0"/>
                <wp:positionH relativeFrom="column">
                  <wp:posOffset>5257633</wp:posOffset>
                </wp:positionH>
                <wp:positionV relativeFrom="paragraph">
                  <wp:posOffset>1383131</wp:posOffset>
                </wp:positionV>
                <wp:extent cx="211154" cy="473594"/>
                <wp:effectExtent l="0" t="0" r="17780" b="22225"/>
                <wp:wrapNone/>
                <wp:docPr id="10" name="正方形/長方形 10"/>
                <wp:cNvGraphicFramePr/>
                <a:graphic xmlns:a="http://schemas.openxmlformats.org/drawingml/2006/main">
                  <a:graphicData uri="http://schemas.microsoft.com/office/word/2010/wordprocessingShape">
                    <wps:wsp>
                      <wps:cNvSpPr/>
                      <wps:spPr>
                        <a:xfrm>
                          <a:off x="0" y="0"/>
                          <a:ext cx="211154" cy="47359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343E5" id="正方形/長方形 10" o:spid="_x0000_s1026" style="position:absolute;margin-left:414pt;margin-top:108.9pt;width:16.6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" filled="f" strokecolor="red" strokeweight="2pt"/>
            </w:pict>
          </mc:Fallback>
        </mc:AlternateContent>
      </w:r>
      <w:r w:rsidRPr="00E13DF9">
        <w:rPr>
          <w:noProof/>
          <w:lang w:eastAsia="zh-CN"/>
        </w:rPr>
        <mc:AlternateContent>
          <mc:Choice Requires="wps">
            <w:drawing>
              <wp:anchor distT="0" distB="0" distL="114300" distR="114300" simplePos="0" relativeHeight="251659264" behindDoc="0" locked="0" layoutInCell="1" allowOverlap="1" wp14:anchorId="0A2F1DBA" wp14:editId="4C940E8F">
                <wp:simplePos x="0" y="0"/>
                <wp:positionH relativeFrom="column">
                  <wp:posOffset>2449344</wp:posOffset>
                </wp:positionH>
                <wp:positionV relativeFrom="paragraph">
                  <wp:posOffset>1055876</wp:posOffset>
                </wp:positionV>
                <wp:extent cx="211154" cy="353374"/>
                <wp:effectExtent l="0" t="0" r="17780" b="27940"/>
                <wp:wrapNone/>
                <wp:docPr id="9" name="正方形/長方形 9"/>
                <wp:cNvGraphicFramePr/>
                <a:graphic xmlns:a="http://schemas.openxmlformats.org/drawingml/2006/main">
                  <a:graphicData uri="http://schemas.microsoft.com/office/word/2010/wordprocessingShape">
                    <wps:wsp>
                      <wps:cNvSpPr/>
                      <wps:spPr>
                        <a:xfrm>
                          <a:off x="0" y="0"/>
                          <a:ext cx="211154" cy="35337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55F96" id="正方形/長方形 9" o:spid="_x0000_s1026" style="position:absolute;margin-left:192.85pt;margin-top:83.15pt;width:16.6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" filled="f" strokecolor="red" strokeweight="2pt"/>
            </w:pict>
          </mc:Fallback>
        </mc:AlternateContent>
      </w:r>
      <w:r w:rsidRPr="00E13DF9">
        <w:rPr>
          <w:noProof/>
          <w:lang w:eastAsia="zh-CN"/>
        </w:rPr>
        <w:drawing>
          <wp:inline distT="0" distB="0" distL="0" distR="0" wp14:anchorId="66FF614F" wp14:editId="6E44F9F9">
            <wp:extent cx="2872105" cy="1710884"/>
            <wp:effectExtent l="76200" t="76200" r="137795" b="13716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7388" cy="1725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13DF9">
        <w:rPr>
          <w:noProof/>
          <w:lang w:eastAsia="zh-CN"/>
        </w:rPr>
        <w:drawing>
          <wp:inline distT="0" distB="0" distL="0" distR="0" wp14:anchorId="6736C356" wp14:editId="3AF09A13">
            <wp:extent cx="2707404" cy="671830"/>
            <wp:effectExtent l="76200" t="76200" r="131445" b="12827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315" cy="6780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54FFF" w:rsidRPr="00E13DF9" w:rsidRDefault="00F54FFF" w:rsidP="00F54FFF">
      <w:pPr>
        <w:widowControl w:val="0"/>
        <w:tabs>
          <w:tab w:val="clear" w:pos="794"/>
          <w:tab w:val="clear" w:pos="1191"/>
          <w:tab w:val="clear" w:pos="1588"/>
          <w:tab w:val="clear" w:pos="1985"/>
        </w:tabs>
        <w:overflowPunct/>
        <w:spacing w:before="0"/>
        <w:jc w:val="center"/>
        <w:textAlignment w:val="auto"/>
        <w:rPr>
          <w:lang w:eastAsia="ja-JP"/>
        </w:rPr>
      </w:pPr>
    </w:p>
    <w:p w:rsidR="00F54FFF" w:rsidRPr="00E13DF9" w:rsidRDefault="00F54FFF" w:rsidP="00EB7B51">
      <w:pPr>
        <w:pStyle w:val="enumlev1"/>
        <w:rPr>
          <w:lang w:eastAsia="ja-JP"/>
        </w:rPr>
      </w:pPr>
      <w:r w:rsidRPr="00E13DF9">
        <w:rPr>
          <w:lang w:eastAsia="ja-JP"/>
        </w:rPr>
        <w:tab/>
        <w:t xml:space="preserve">No obstante, el resultado del sistema de consulta especial de la Resolución 49 es relativamente sencillo de comprender, puesto que todos los elementos ofrecen explicaciones, además de </w:t>
      </w:r>
      <w:r w:rsidR="00EB7B51" w:rsidRPr="00E13DF9">
        <w:rPr>
          <w:lang w:eastAsia="ja-JP"/>
        </w:rPr>
        <w:t>«</w:t>
      </w:r>
      <w:r w:rsidRPr="00E13DF9">
        <w:rPr>
          <w:lang w:eastAsia="ja-JP"/>
        </w:rPr>
        <w:t>símbolos</w:t>
      </w:r>
      <w:r w:rsidR="00EB7B51" w:rsidRPr="00E13DF9">
        <w:rPr>
          <w:lang w:eastAsia="ja-JP"/>
        </w:rPr>
        <w:t>»</w:t>
      </w:r>
      <w:r w:rsidRPr="00E13DF9">
        <w:rPr>
          <w:lang w:eastAsia="ja-JP"/>
        </w:rPr>
        <w:t>.</w:t>
      </w:r>
    </w:p>
    <w:p w:rsidR="00F54FFF" w:rsidRPr="00E13DF9" w:rsidRDefault="00F54FFF" w:rsidP="00F54FFF">
      <w:pPr>
        <w:widowControl w:val="0"/>
        <w:tabs>
          <w:tab w:val="clear" w:pos="794"/>
          <w:tab w:val="clear" w:pos="1191"/>
          <w:tab w:val="clear" w:pos="1588"/>
          <w:tab w:val="clear" w:pos="1985"/>
        </w:tabs>
        <w:overflowPunct/>
        <w:spacing w:before="0"/>
        <w:jc w:val="center"/>
        <w:textAlignment w:val="auto"/>
        <w:rPr>
          <w:lang w:eastAsia="ja-JP"/>
        </w:rPr>
      </w:pPr>
      <w:r w:rsidRPr="00E13DF9">
        <w:rPr>
          <w:noProof/>
          <w:lang w:eastAsia="zh-CN"/>
        </w:rPr>
        <w:lastRenderedPageBreak/>
        <w:drawing>
          <wp:inline distT="0" distB="0" distL="0" distR="0" wp14:anchorId="3B53B0F5" wp14:editId="14B8699E">
            <wp:extent cx="4257679" cy="4198471"/>
            <wp:effectExtent l="76200" t="76200" r="123825" b="1263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0995" cy="42017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54FFF" w:rsidRPr="00E13DF9" w:rsidRDefault="00F54FFF" w:rsidP="00F54FFF">
      <w:pPr>
        <w:widowControl w:val="0"/>
        <w:tabs>
          <w:tab w:val="clear" w:pos="794"/>
          <w:tab w:val="clear" w:pos="1191"/>
          <w:tab w:val="clear" w:pos="1588"/>
          <w:tab w:val="clear" w:pos="1985"/>
        </w:tabs>
        <w:overflowPunct/>
        <w:spacing w:before="0"/>
        <w:jc w:val="both"/>
        <w:textAlignment w:val="auto"/>
        <w:rPr>
          <w:lang w:eastAsia="ja-JP"/>
        </w:rPr>
      </w:pPr>
    </w:p>
    <w:p w:rsidR="00F54FFF" w:rsidRPr="00E13DF9" w:rsidRDefault="00F54FFF" w:rsidP="00F54FFF">
      <w:pPr>
        <w:pStyle w:val="enumlev1"/>
        <w:rPr>
          <w:rFonts w:eastAsia="Batang"/>
          <w:lang w:eastAsia="ja-JP"/>
        </w:rPr>
      </w:pPr>
      <w:r w:rsidRPr="00E13DF9">
        <w:rPr>
          <w:lang w:eastAsia="ja-JP"/>
        </w:rPr>
        <w:t>–</w:t>
      </w:r>
      <w:r w:rsidRPr="00E13DF9">
        <w:rPr>
          <w:lang w:eastAsia="ja-JP"/>
        </w:rPr>
        <w:tab/>
      </w:r>
      <w:r w:rsidR="00E30F5C" w:rsidRPr="00E13DF9">
        <w:rPr>
          <w:lang w:eastAsia="ja-JP"/>
        </w:rPr>
        <w:t xml:space="preserve">Las </w:t>
      </w:r>
      <w:r w:rsidRPr="00E13DF9">
        <w:rPr>
          <w:lang w:eastAsia="ja-JP"/>
        </w:rPr>
        <w:t>notificaciones MOD pueden visualizarse de forma integrada mediante la notificación original a petición del usuario</w:t>
      </w:r>
      <w:r w:rsidRPr="00E13DF9">
        <w:rPr>
          <w:rFonts w:eastAsia="Batang"/>
        </w:rPr>
        <w:t>.</w:t>
      </w:r>
    </w:p>
    <w:p w:rsidR="00F54FFF" w:rsidRPr="00E13DF9" w:rsidRDefault="00F54FFF" w:rsidP="00F05B91">
      <w:pPr>
        <w:pStyle w:val="enumlev1"/>
        <w:jc w:val="both"/>
      </w:pPr>
      <w:r w:rsidRPr="00E13DF9">
        <w:rPr>
          <w:lang w:eastAsia="ja-JP"/>
        </w:rPr>
        <w:t>–</w:t>
      </w:r>
      <w:r w:rsidRPr="00E13DF9">
        <w:rPr>
          <w:lang w:eastAsia="ja-JP"/>
        </w:rPr>
        <w:tab/>
      </w:r>
      <w:r w:rsidR="00E30F5C" w:rsidRPr="00E13DF9">
        <w:rPr>
          <w:lang w:eastAsia="ja-JP"/>
        </w:rPr>
        <w:t xml:space="preserve">En </w:t>
      </w:r>
      <w:r w:rsidRPr="00E13DF9">
        <w:rPr>
          <w:lang w:eastAsia="ja-JP"/>
        </w:rPr>
        <w:t>particular, la información relativa a la zona de servicio, su contorno y las peticiones de coordinación debería visualizarse fácilmente sin necesidad de software de la BR ni archivos MDB</w:t>
      </w:r>
      <w:r w:rsidR="00F05B91">
        <w:rPr>
          <w:lang w:eastAsia="ja-JP"/>
        </w:rPr>
        <w:t xml:space="preserve"> en el sitio web de la BR </w:t>
      </w:r>
      <w:r w:rsidR="00E30F5C" w:rsidRPr="00E13DF9">
        <w:rPr>
          <w:lang w:eastAsia="ja-JP"/>
        </w:rPr>
        <w:t>IFIC.</w:t>
      </w:r>
    </w:p>
    <w:p w:rsidR="00F54FFF" w:rsidRPr="00E13DF9" w:rsidRDefault="00F54FFF" w:rsidP="0032202E">
      <w:pPr>
        <w:pStyle w:val="Reasons"/>
        <w:rPr>
          <w:lang w:val="es-ES_tradnl"/>
        </w:rPr>
      </w:pPr>
    </w:p>
    <w:p w:rsidR="00F54FFF" w:rsidRPr="00E13DF9" w:rsidRDefault="00F54FFF">
      <w:pPr>
        <w:jc w:val="center"/>
      </w:pPr>
      <w:r w:rsidRPr="00E13DF9">
        <w:t>______________</w:t>
      </w:r>
      <w:bookmarkStart w:id="5" w:name="_GoBack"/>
      <w:bookmarkEnd w:id="5"/>
    </w:p>
    <w:sectPr w:rsidR="00F54FFF" w:rsidRPr="00E13DF9" w:rsidSect="004D6C09">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58" w:rsidRDefault="00571A58">
      <w:r>
        <w:separator/>
      </w:r>
    </w:p>
  </w:endnote>
  <w:endnote w:type="continuationSeparator" w:id="0">
    <w:p w:rsidR="00571A58" w:rsidRDefault="005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FF" w:rsidRDefault="00F54FFF" w:rsidP="00F54FFF">
    <w:pPr>
      <w:pStyle w:val="Footer"/>
      <w:rPr>
        <w:lang w:val="en-US"/>
      </w:rPr>
    </w:pPr>
    <w:r>
      <w:fldChar w:fldCharType="begin"/>
    </w:r>
    <w:r w:rsidRPr="00E72EA7">
      <w:rPr>
        <w:lang w:val="en-US"/>
      </w:rPr>
      <w:instrText xml:space="preserve"> FILENAME \p \* MERGEFORMAT </w:instrText>
    </w:r>
    <w:r>
      <w:fldChar w:fldCharType="separate"/>
    </w:r>
    <w:r w:rsidR="005C18B4">
      <w:rPr>
        <w:lang w:val="en-US"/>
      </w:rPr>
      <w:t>P:\ESP\ITU-R\AG\RAG\RAG17\000\012S.docx</w:t>
    </w:r>
    <w:r>
      <w:rPr>
        <w:lang w:val="en-US"/>
      </w:rPr>
      <w:fldChar w:fldCharType="end"/>
    </w:r>
    <w:r>
      <w:rPr>
        <w:lang w:val="en-US"/>
      </w:rPr>
      <w:t xml:space="preserve"> (416726)</w:t>
    </w:r>
    <w:r>
      <w:rPr>
        <w:lang w:val="en-US"/>
      </w:rPr>
      <w:tab/>
    </w:r>
    <w:r>
      <w:fldChar w:fldCharType="begin"/>
    </w:r>
    <w:r>
      <w:instrText xml:space="preserve"> savedate \@ dd.MM.yy </w:instrText>
    </w:r>
    <w:r>
      <w:fldChar w:fldCharType="separate"/>
    </w:r>
    <w:r w:rsidR="005C18B4">
      <w:t>21.04.17</w:t>
    </w:r>
    <w:r>
      <w:fldChar w:fldCharType="end"/>
    </w:r>
    <w:r>
      <w:rPr>
        <w:lang w:val="en-US"/>
      </w:rPr>
      <w:tab/>
    </w:r>
    <w:r>
      <w:fldChar w:fldCharType="begin"/>
    </w:r>
    <w:r>
      <w:instrText xml:space="preserve"> printdate \@ dd.MM.yy </w:instrText>
    </w:r>
    <w:r>
      <w:fldChar w:fldCharType="separate"/>
    </w:r>
    <w:r w:rsidR="005C18B4">
      <w:t>21.04.17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5C18B4">
      <w:rPr>
        <w:lang w:val="en-US"/>
      </w:rPr>
      <w:t>P:\ESP\ITU-R\AG\RAG\RAG17\000\012S.docx</w:t>
    </w:r>
    <w:r>
      <w:rPr>
        <w:lang w:val="en-US"/>
      </w:rPr>
      <w:fldChar w:fldCharType="end"/>
    </w:r>
    <w:r w:rsidR="00BC4D3B">
      <w:rPr>
        <w:lang w:val="en-US"/>
      </w:rPr>
      <w:t xml:space="preserve"> (416726)</w:t>
    </w:r>
    <w:r w:rsidR="00616601">
      <w:rPr>
        <w:lang w:val="en-US"/>
      </w:rPr>
      <w:tab/>
    </w:r>
    <w:r w:rsidR="004D6C09">
      <w:fldChar w:fldCharType="begin"/>
    </w:r>
    <w:r w:rsidR="00616601">
      <w:instrText xml:space="preserve"> savedate \@ dd.MM.yy </w:instrText>
    </w:r>
    <w:r w:rsidR="004D6C09">
      <w:fldChar w:fldCharType="separate"/>
    </w:r>
    <w:r w:rsidR="005C18B4">
      <w:t>21.04.17</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5C18B4">
      <w:t>21.04.17</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58" w:rsidRDefault="00571A58">
      <w:r>
        <w:t>____________________</w:t>
      </w:r>
    </w:p>
  </w:footnote>
  <w:footnote w:type="continuationSeparator" w:id="0">
    <w:p w:rsidR="00571A58" w:rsidRDefault="005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819A8">
      <w:rPr>
        <w:rStyle w:val="PageNumber"/>
        <w:noProof/>
      </w:rPr>
      <w:t>4</w:t>
    </w:r>
    <w:r>
      <w:rPr>
        <w:rStyle w:val="PageNumber"/>
      </w:rPr>
      <w:fldChar w:fldCharType="end"/>
    </w:r>
  </w:p>
  <w:p w:rsidR="00616601" w:rsidRDefault="0034043B" w:rsidP="0057336B">
    <w:pPr>
      <w:pStyle w:val="Header"/>
      <w:rPr>
        <w:lang w:val="es-ES"/>
      </w:rPr>
    </w:pPr>
    <w:r>
      <w:rPr>
        <w:lang w:val="es-ES"/>
      </w:rPr>
      <w:t>RAG</w:t>
    </w:r>
    <w:r w:rsidR="005D3E02">
      <w:rPr>
        <w:lang w:val="es-ES"/>
      </w:rPr>
      <w:t>1</w:t>
    </w:r>
    <w:r w:rsidR="0057336B">
      <w:rPr>
        <w:lang w:val="es-ES"/>
      </w:rPr>
      <w:t>7</w:t>
    </w:r>
    <w:r w:rsidR="00F54FFF">
      <w:rPr>
        <w:lang w:val="es-ES"/>
      </w:rPr>
      <w:t>/</w:t>
    </w:r>
    <w:r w:rsidR="005575CA">
      <w:rPr>
        <w:lang w:val="es-ES"/>
      </w:rPr>
      <w:t>12</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8"/>
    <w:rsid w:val="00007EC3"/>
    <w:rsid w:val="000C62BA"/>
    <w:rsid w:val="000D756D"/>
    <w:rsid w:val="000E566E"/>
    <w:rsid w:val="0012592F"/>
    <w:rsid w:val="001610FE"/>
    <w:rsid w:val="00184CFC"/>
    <w:rsid w:val="001C0E0F"/>
    <w:rsid w:val="001F2F50"/>
    <w:rsid w:val="0031432E"/>
    <w:rsid w:val="00321049"/>
    <w:rsid w:val="00330154"/>
    <w:rsid w:val="0034043B"/>
    <w:rsid w:val="00414D8B"/>
    <w:rsid w:val="00482905"/>
    <w:rsid w:val="004D6C09"/>
    <w:rsid w:val="004E5A87"/>
    <w:rsid w:val="005575CA"/>
    <w:rsid w:val="00571A58"/>
    <w:rsid w:val="0057336B"/>
    <w:rsid w:val="005A2195"/>
    <w:rsid w:val="005C18B4"/>
    <w:rsid w:val="005D3E02"/>
    <w:rsid w:val="005F4CB1"/>
    <w:rsid w:val="00610642"/>
    <w:rsid w:val="00616601"/>
    <w:rsid w:val="00646EEF"/>
    <w:rsid w:val="00663829"/>
    <w:rsid w:val="006A42AB"/>
    <w:rsid w:val="006E291F"/>
    <w:rsid w:val="007035CA"/>
    <w:rsid w:val="00703675"/>
    <w:rsid w:val="007448AA"/>
    <w:rsid w:val="00755369"/>
    <w:rsid w:val="00780C1C"/>
    <w:rsid w:val="007A1AA5"/>
    <w:rsid w:val="007B1867"/>
    <w:rsid w:val="008506C9"/>
    <w:rsid w:val="008F0106"/>
    <w:rsid w:val="00924B63"/>
    <w:rsid w:val="009375B8"/>
    <w:rsid w:val="00982618"/>
    <w:rsid w:val="009C205E"/>
    <w:rsid w:val="00A0579C"/>
    <w:rsid w:val="00A35F7B"/>
    <w:rsid w:val="00B32E51"/>
    <w:rsid w:val="00B6417E"/>
    <w:rsid w:val="00BC4D3B"/>
    <w:rsid w:val="00BF04E6"/>
    <w:rsid w:val="00C621BB"/>
    <w:rsid w:val="00C819A8"/>
    <w:rsid w:val="00C837F0"/>
    <w:rsid w:val="00CB7A43"/>
    <w:rsid w:val="00CE522D"/>
    <w:rsid w:val="00CF4CAC"/>
    <w:rsid w:val="00DA1D0B"/>
    <w:rsid w:val="00DE77E6"/>
    <w:rsid w:val="00E11D97"/>
    <w:rsid w:val="00E13DF9"/>
    <w:rsid w:val="00E30F5C"/>
    <w:rsid w:val="00E72EA7"/>
    <w:rsid w:val="00EA4101"/>
    <w:rsid w:val="00EB7B51"/>
    <w:rsid w:val="00F05B91"/>
    <w:rsid w:val="00F23715"/>
    <w:rsid w:val="00F54FFF"/>
    <w:rsid w:val="00F779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E2CD73-FF9C-4274-A56E-85EA5F9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F54FF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PS_RAG17.dotm</Template>
  <TotalTime>25</TotalTime>
  <Pages>4</Pages>
  <Words>851</Words>
  <Characters>4651</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A LA APLICACIÓN DE LA RESOLUCIÓN 908 (REV.CMR-15)</dc:title>
  <dc:subject>GRUPO ASESOR DE RADIOCOMUNICACIONES</dc:subject>
  <dc:creator>Japón</dc:creator>
  <cp:keywords>RAG03-1</cp:keywords>
  <dc:description>Documento RAG17/12-S  For: _x000d_Document date: 12 de abril de 2017_x000d_Saved by ITU51007830 at 13:53:18 on 21/04/2017</dc:description>
  <cp:lastModifiedBy>Ricardo Sáez Grau</cp:lastModifiedBy>
  <cp:revision>35</cp:revision>
  <cp:lastPrinted>2017-04-21T11:34:00Z</cp:lastPrinted>
  <dcterms:created xsi:type="dcterms:W3CDTF">2017-04-21T11:25:00Z</dcterms:created>
  <dcterms:modified xsi:type="dcterms:W3CDTF">2017-04-21T11:53:00Z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RAG17/12-S</vt:lpwstr>
  </property>
  <property fmtid="{D5CDD505-2E9C-101B-9397-08002B2CF9AE}" pid="3" name="Docdate">
    <vt:lpwstr>12 de abril de 2017</vt:lpwstr>
  </property>
  <property fmtid="{D5CDD505-2E9C-101B-9397-08002B2CF9AE}" pid="4" name="Docorlang">
    <vt:lpwstr>Original: inglés</vt:lpwstr>
  </property>
  <property fmtid="{D5CDD505-2E9C-101B-9397-08002B2CF9AE}" pid="5" name="Docauthor">
    <vt:lpwstr>Japón</vt:lpwstr>
  </property>
</Properties>
</file>