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6520"/>
        <w:gridCol w:w="3119"/>
      </w:tblGrid>
      <w:tr w:rsidR="00034CD2" w:rsidRPr="00034CD2" w:rsidTr="00B50C09">
        <w:trPr>
          <w:cantSplit/>
          <w:trHeight w:val="1276"/>
        </w:trPr>
        <w:tc>
          <w:tcPr>
            <w:tcW w:w="3382" w:type="pct"/>
            <w:vAlign w:val="center"/>
          </w:tcPr>
          <w:p w:rsidR="00034CD2" w:rsidRPr="00034CD2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left"/>
              <w:rPr>
                <w:rFonts w:ascii="Verdana Bold" w:eastAsiaTheme="minorEastAsia" w:hAnsi="Verdana Bold" w:hint="eastAsia"/>
                <w:b/>
                <w:bCs/>
                <w:sz w:val="24"/>
                <w:szCs w:val="40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24"/>
                <w:szCs w:val="40"/>
                <w:rtl/>
                <w:lang w:eastAsia="zh-CN" w:bidi="ar-EG"/>
              </w:rPr>
              <w:t>الفريق الاستشاري للاتصالات الراديوية</w:t>
            </w:r>
          </w:p>
          <w:p w:rsidR="00034CD2" w:rsidRPr="00034CD2" w:rsidRDefault="00034CD2" w:rsidP="00B50C0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0"/>
              <w:jc w:val="left"/>
              <w:rPr>
                <w:rFonts w:asciiTheme="minorHAnsi" w:eastAsiaTheme="minorEastAsia" w:hAnsiTheme="minorHAnsi"/>
                <w:b/>
                <w:bCs/>
                <w:sz w:val="18"/>
                <w:szCs w:val="32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28-26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>أبريل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8"/>
                <w:szCs w:val="32"/>
                <w:rtl/>
                <w:lang w:eastAsia="zh-CN" w:bidi="ar-SY"/>
              </w:rPr>
              <w:t xml:space="preserve"> </w:t>
            </w:r>
            <w:r>
              <w:rPr>
                <w:rFonts w:ascii="Verdana Bold" w:eastAsiaTheme="minorEastAsia" w:hAnsi="Verdana Bold"/>
                <w:b/>
                <w:bCs/>
                <w:sz w:val="20"/>
                <w:szCs w:val="34"/>
                <w:lang w:eastAsia="zh-CN" w:bidi="ar-SY"/>
              </w:rPr>
              <w:t>2017</w:t>
            </w:r>
          </w:p>
        </w:tc>
        <w:tc>
          <w:tcPr>
            <w:tcW w:w="1618" w:type="pct"/>
            <w:vAlign w:val="center"/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811DAD0" wp14:editId="10043B74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618" w:type="pct"/>
            <w:tcBorders>
              <w:bottom w:val="single" w:sz="12" w:space="0" w:color="auto"/>
            </w:tcBorders>
          </w:tcPr>
          <w:p w:rsidR="00034CD2" w:rsidRPr="00034CD2" w:rsidRDefault="00034CD2" w:rsidP="00034C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rPr>
                <w:rFonts w:eastAsiaTheme="minorEastAsia"/>
                <w:lang w:eastAsia="zh-CN" w:bidi="ar-SY"/>
              </w:rPr>
            </w:pPr>
          </w:p>
        </w:tc>
      </w:tr>
      <w:tr w:rsidR="00034CD2" w:rsidRPr="00034CD2" w:rsidTr="00034CD2">
        <w:trPr>
          <w:cantSplit/>
          <w:trHeight w:val="20"/>
        </w:trPr>
        <w:tc>
          <w:tcPr>
            <w:tcW w:w="3382" w:type="pct"/>
            <w:tcBorders>
              <w:top w:val="single" w:sz="12" w:space="0" w:color="auto"/>
            </w:tcBorders>
          </w:tcPr>
          <w:p w:rsidR="00034CD2" w:rsidRPr="00034CD2" w:rsidRDefault="00034CD2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SY"/>
              </w:rPr>
            </w:pPr>
          </w:p>
        </w:tc>
        <w:tc>
          <w:tcPr>
            <w:tcW w:w="1618" w:type="pct"/>
            <w:tcBorders>
              <w:top w:val="single" w:sz="12" w:space="0" w:color="auto"/>
            </w:tcBorders>
          </w:tcPr>
          <w:p w:rsidR="00034CD2" w:rsidRPr="00034CD2" w:rsidRDefault="00034CD2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ا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ل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rtl/>
                <w:lang w:eastAsia="zh-CN" w:bidi="ar-EG"/>
              </w:rPr>
              <w:t>و</w:t>
            </w: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ثيقة 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RAG1</w:t>
            </w: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7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/</w:t>
            </w:r>
            <w:r w:rsidR="004805EE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12</w:t>
            </w:r>
            <w:r w:rsidRP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-A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Theme="minorHAnsi" w:eastAsiaTheme="minorEastAsia" w:hAnsiTheme="minorHAnsi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4805EE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  <w:r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12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أبريل</w:t>
            </w:r>
            <w:r w:rsidR="00034CD2"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 xml:space="preserve"> </w:t>
            </w:r>
            <w:r w:rsidR="00034CD2">
              <w:rPr>
                <w:rFonts w:ascii="Verdana Bold" w:eastAsiaTheme="minorEastAsia" w:hAnsi="Verdana Bold"/>
                <w:b/>
                <w:bCs/>
                <w:sz w:val="19"/>
                <w:lang w:eastAsia="zh-CN" w:bidi="ar-SY"/>
              </w:rPr>
              <w:t>2017</w:t>
            </w:r>
          </w:p>
        </w:tc>
      </w:tr>
      <w:tr w:rsidR="00034CD2" w:rsidRPr="00034CD2" w:rsidTr="00034CD2">
        <w:trPr>
          <w:cantSplit/>
        </w:trPr>
        <w:tc>
          <w:tcPr>
            <w:tcW w:w="3382" w:type="pct"/>
          </w:tcPr>
          <w:p w:rsidR="00034CD2" w:rsidRPr="00034CD2" w:rsidRDefault="00034CD2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rtl/>
                <w:lang w:eastAsia="zh-CN" w:bidi="ar-EG"/>
              </w:rPr>
            </w:pPr>
          </w:p>
        </w:tc>
        <w:tc>
          <w:tcPr>
            <w:tcW w:w="1618" w:type="pct"/>
            <w:vAlign w:val="center"/>
          </w:tcPr>
          <w:p w:rsidR="00034CD2" w:rsidRPr="00034CD2" w:rsidRDefault="00034CD2" w:rsidP="00225C7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ascii="Verdana Bold" w:eastAsiaTheme="minorEastAsia" w:hAnsi="Verdana Bold" w:hint="eastAsia"/>
                <w:b/>
                <w:bCs/>
                <w:sz w:val="19"/>
                <w:lang w:eastAsia="zh-CN" w:bidi="ar-SY"/>
              </w:rPr>
            </w:pPr>
            <w:r w:rsidRPr="00034CD2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الأصل</w:t>
            </w:r>
            <w:r w:rsidRPr="004805EE">
              <w:rPr>
                <w:rFonts w:ascii="Verdana Bold" w:eastAsiaTheme="minorEastAsia" w:hAnsi="Verdana Bold" w:hint="cs"/>
                <w:b/>
                <w:bCs/>
                <w:sz w:val="19"/>
                <w:rtl/>
                <w:lang w:eastAsia="zh-CN" w:bidi="ar-EG"/>
              </w:rPr>
              <w:t>: بالإنكليزية</w:t>
            </w:r>
          </w:p>
        </w:tc>
      </w:tr>
      <w:tr w:rsidR="00034CD2" w:rsidRPr="00034CD2" w:rsidTr="004270DC">
        <w:trPr>
          <w:cantSplit/>
          <w:trHeight w:val="1159"/>
        </w:trPr>
        <w:tc>
          <w:tcPr>
            <w:tcW w:w="5000" w:type="pct"/>
            <w:gridSpan w:val="2"/>
          </w:tcPr>
          <w:p w:rsidR="00034CD2" w:rsidRPr="00034CD2" w:rsidRDefault="00E31BDE" w:rsidP="00034CD2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840"/>
              <w:jc w:val="center"/>
              <w:rPr>
                <w:rFonts w:eastAsiaTheme="minorEastAsia"/>
                <w:b/>
                <w:bCs/>
                <w:sz w:val="32"/>
                <w:szCs w:val="44"/>
                <w:rtl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sz w:val="32"/>
                <w:szCs w:val="44"/>
                <w:rtl/>
                <w:lang w:eastAsia="zh-CN" w:bidi="ar-SY"/>
              </w:rPr>
              <w:t>اليابان</w:t>
            </w:r>
          </w:p>
        </w:tc>
      </w:tr>
      <w:tr w:rsidR="00034CD2" w:rsidRPr="00034CD2" w:rsidTr="004270DC">
        <w:trPr>
          <w:cantSplit/>
        </w:trPr>
        <w:tc>
          <w:tcPr>
            <w:tcW w:w="5000" w:type="pct"/>
            <w:gridSpan w:val="2"/>
          </w:tcPr>
          <w:p w:rsidR="00034CD2" w:rsidRPr="00034CD2" w:rsidRDefault="0045434E" w:rsidP="00B64701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مساهمة</w:t>
            </w:r>
            <w:r w:rsidR="00E31BDE" w:rsidRPr="00F2172E">
              <w:rPr>
                <w:rFonts w:eastAsiaTheme="minorEastAsia" w:hint="cs"/>
                <w:rtl/>
                <w:lang w:eastAsia="zh-CN"/>
              </w:rPr>
              <w:t xml:space="preserve"> بشأن</w:t>
            </w:r>
            <w:r w:rsidR="00E31BDE">
              <w:rPr>
                <w:rFonts w:eastAsiaTheme="minorEastAsia" w:hint="cs"/>
                <w:rtl/>
                <w:lang w:eastAsia="zh-CN"/>
              </w:rPr>
              <w:t xml:space="preserve"> أنشطة تنفيذ</w:t>
            </w:r>
            <w:r w:rsidR="002648FB">
              <w:rPr>
                <w:rFonts w:eastAsiaTheme="minorEastAsia"/>
                <w:rtl/>
                <w:lang w:eastAsia="zh-CN"/>
              </w:rPr>
              <w:br/>
            </w:r>
            <w:r w:rsidR="00E31BDE">
              <w:rPr>
                <w:rFonts w:eastAsiaTheme="minorEastAsia" w:hint="cs"/>
                <w:rtl/>
                <w:lang w:eastAsia="zh-CN"/>
              </w:rPr>
              <w:t xml:space="preserve">القرار </w:t>
            </w:r>
            <w:r w:rsidR="00D66EB3">
              <w:rPr>
                <w:rFonts w:eastAsiaTheme="minorEastAsia"/>
                <w:lang w:val="fr-CH" w:eastAsia="zh-CN"/>
              </w:rPr>
              <w:t>908 </w:t>
            </w:r>
            <w:r w:rsidR="00C51240">
              <w:rPr>
                <w:rFonts w:eastAsiaTheme="minorEastAsia"/>
                <w:lang w:val="fr-CH" w:eastAsia="zh-CN"/>
              </w:rPr>
              <w:t>(</w:t>
            </w:r>
            <w:r w:rsidR="00E31BDE">
              <w:rPr>
                <w:rFonts w:eastAsiaTheme="minorEastAsia"/>
                <w:lang w:val="fr-CH" w:eastAsia="zh-CN"/>
              </w:rPr>
              <w:t>REV.WRC-15</w:t>
            </w:r>
            <w:r w:rsidR="00C51240">
              <w:rPr>
                <w:rFonts w:eastAsiaTheme="minorEastAsia"/>
                <w:lang w:val="fr-CH" w:eastAsia="zh-CN"/>
              </w:rPr>
              <w:t>)</w:t>
            </w:r>
          </w:p>
        </w:tc>
      </w:tr>
      <w:tr w:rsidR="00666BB3" w:rsidRPr="00034CD2" w:rsidTr="004270DC">
        <w:trPr>
          <w:cantSplit/>
        </w:trPr>
        <w:tc>
          <w:tcPr>
            <w:tcW w:w="5000" w:type="pct"/>
            <w:gridSpan w:val="2"/>
          </w:tcPr>
          <w:p w:rsidR="00666BB3" w:rsidRDefault="00666BB3" w:rsidP="00666BB3">
            <w:pPr>
              <w:pStyle w:val="Title2"/>
              <w:rPr>
                <w:rFonts w:eastAsiaTheme="minorEastAsia" w:hint="cs"/>
                <w:w w:val="120"/>
                <w:rtl/>
                <w:lang w:eastAsia="zh-CN"/>
              </w:rPr>
            </w:pPr>
          </w:p>
        </w:tc>
      </w:tr>
    </w:tbl>
    <w:p w:rsidR="00E31BDE" w:rsidRDefault="00E31BDE" w:rsidP="00E31BDE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:rsidR="00E31BDE" w:rsidRPr="005270D4" w:rsidRDefault="00E31BDE" w:rsidP="00AE1CC2">
      <w:pPr>
        <w:rPr>
          <w:rtl/>
          <w:lang w:val="fr-CH" w:bidi="ar-EG"/>
        </w:rPr>
      </w:pPr>
      <w:r w:rsidRPr="005270D4">
        <w:rPr>
          <w:rFonts w:hint="cs"/>
          <w:rtl/>
          <w:lang w:bidi="ar-EG"/>
        </w:rPr>
        <w:t xml:space="preserve">يشهد حجم معلومات النشر المسبق </w:t>
      </w:r>
      <w:r w:rsidR="002648FB" w:rsidRPr="005270D4">
        <w:rPr>
          <w:lang w:bidi="ar-EG"/>
        </w:rPr>
        <w:t>(</w:t>
      </w:r>
      <w:r w:rsidRPr="005270D4">
        <w:rPr>
          <w:lang w:val="fr-CH" w:bidi="ar-EG"/>
        </w:rPr>
        <w:t>API</w:t>
      </w:r>
      <w:r w:rsidR="002648FB" w:rsidRPr="005270D4">
        <w:rPr>
          <w:lang w:bidi="ar-EG"/>
        </w:rPr>
        <w:t>)</w:t>
      </w:r>
      <w:r w:rsidRPr="005270D4">
        <w:rPr>
          <w:rFonts w:hint="cs"/>
          <w:rtl/>
          <w:lang w:bidi="ar-EG"/>
        </w:rPr>
        <w:t xml:space="preserve">، وطلبات التنسيق </w:t>
      </w:r>
      <w:r w:rsidR="002648FB" w:rsidRPr="005270D4">
        <w:rPr>
          <w:lang w:bidi="ar-EG"/>
        </w:rPr>
        <w:t>(</w:t>
      </w:r>
      <w:r w:rsidRPr="005270D4">
        <w:rPr>
          <w:lang w:val="fr-CH" w:bidi="ar-EG"/>
        </w:rPr>
        <w:t>CR/C</w:t>
      </w:r>
      <w:r w:rsidR="002648FB" w:rsidRPr="005270D4">
        <w:rPr>
          <w:lang w:val="fr-CH" w:bidi="ar-EG"/>
        </w:rPr>
        <w:t>)</w:t>
      </w:r>
      <w:r w:rsidRPr="005270D4">
        <w:rPr>
          <w:rFonts w:hint="cs"/>
          <w:rtl/>
          <w:lang w:val="fr-CH" w:bidi="ar-EG"/>
        </w:rPr>
        <w:t>، والتبليغات وبطاقات التبليغ بموجب التذييلات</w:t>
      </w:r>
      <w:r w:rsidR="005270D4">
        <w:rPr>
          <w:rFonts w:hint="eastAsia"/>
          <w:rtl/>
          <w:lang w:val="fr-CH" w:bidi="ar-EG"/>
        </w:rPr>
        <w:t> </w:t>
      </w:r>
      <w:r w:rsidRPr="005270D4">
        <w:rPr>
          <w:lang w:val="fr-CH" w:bidi="ar-EG"/>
        </w:rPr>
        <w:t>30</w:t>
      </w:r>
      <w:r w:rsidRPr="005270D4">
        <w:rPr>
          <w:rFonts w:hint="cs"/>
          <w:rtl/>
          <w:lang w:bidi="ar-EG"/>
        </w:rPr>
        <w:t xml:space="preserve"> و</w:t>
      </w:r>
      <w:r w:rsidRPr="005270D4">
        <w:rPr>
          <w:lang w:val="fr-CH" w:bidi="ar-EG"/>
        </w:rPr>
        <w:t>30A</w:t>
      </w:r>
      <w:r w:rsidRPr="005270D4">
        <w:rPr>
          <w:rFonts w:hint="cs"/>
          <w:rtl/>
          <w:lang w:bidi="ar-EG"/>
        </w:rPr>
        <w:t xml:space="preserve"> و</w:t>
      </w:r>
      <w:r w:rsidRPr="005270D4">
        <w:rPr>
          <w:lang w:val="fr-CH" w:bidi="ar-EG"/>
        </w:rPr>
        <w:t>30B</w:t>
      </w:r>
      <w:r w:rsidRPr="005270D4">
        <w:rPr>
          <w:rFonts w:hint="cs"/>
          <w:rtl/>
          <w:lang w:val="fr-CH" w:bidi="ar-EG"/>
        </w:rPr>
        <w:t xml:space="preserve"> بشأن الشبكات </w:t>
      </w:r>
      <w:proofErr w:type="spellStart"/>
      <w:r w:rsidRPr="005270D4">
        <w:rPr>
          <w:rFonts w:hint="cs"/>
          <w:rtl/>
          <w:lang w:val="fr-CH" w:bidi="ar-EG"/>
        </w:rPr>
        <w:t>الساتيلية</w:t>
      </w:r>
      <w:proofErr w:type="spellEnd"/>
      <w:r w:rsidRPr="005270D4">
        <w:rPr>
          <w:rFonts w:hint="cs"/>
          <w:rtl/>
          <w:lang w:val="fr-CH" w:bidi="ar-EG"/>
        </w:rPr>
        <w:t xml:space="preserve"> أو الأنظمة تزايدا</w:t>
      </w:r>
      <w:r w:rsidR="004F6BE7" w:rsidRPr="005270D4">
        <w:rPr>
          <w:rFonts w:hint="cs"/>
          <w:rtl/>
          <w:lang w:val="fr-CH" w:bidi="ar-EG"/>
        </w:rPr>
        <w:t>ً</w:t>
      </w:r>
      <w:r w:rsidRPr="005270D4">
        <w:rPr>
          <w:rFonts w:hint="cs"/>
          <w:rtl/>
          <w:lang w:val="fr-CH" w:bidi="ar-EG"/>
        </w:rPr>
        <w:t xml:space="preserve"> مع </w:t>
      </w:r>
      <w:r w:rsidR="00AE1CC2">
        <w:rPr>
          <w:rFonts w:hint="cs"/>
          <w:rtl/>
          <w:lang w:val="fr-CH" w:bidi="ar-EG"/>
        </w:rPr>
        <w:t>ال</w:t>
      </w:r>
      <w:r w:rsidRPr="005270D4">
        <w:rPr>
          <w:rFonts w:hint="cs"/>
          <w:rtl/>
          <w:lang w:val="fr-CH" w:bidi="ar-EG"/>
        </w:rPr>
        <w:t xml:space="preserve">تطوُّر </w:t>
      </w:r>
      <w:r w:rsidR="00AE1CC2">
        <w:rPr>
          <w:rFonts w:hint="cs"/>
          <w:rtl/>
          <w:lang w:val="fr-CH" w:bidi="ar-EG"/>
        </w:rPr>
        <w:t xml:space="preserve">السريع في </w:t>
      </w:r>
      <w:r w:rsidRPr="005270D4">
        <w:rPr>
          <w:rFonts w:hint="cs"/>
          <w:rtl/>
          <w:lang w:val="fr-CH" w:bidi="ar-EG"/>
        </w:rPr>
        <w:t>تكنولوجيات الاتصالات الساتلية وتنامي الاحتياجات لاتصالات القطاع العريض. لذا يتعين على الإدارات والمكتب على حد سواء إيلاء الاهتمام البالغ والقيام بمراسلات بشأن التنسيق والتبليغ. وعلاوة</w:t>
      </w:r>
      <w:r w:rsidR="00AE1CC2">
        <w:rPr>
          <w:rFonts w:hint="cs"/>
          <w:rtl/>
          <w:lang w:val="fr-CH" w:bidi="ar-EG"/>
        </w:rPr>
        <w:t>ً</w:t>
      </w:r>
      <w:r w:rsidRPr="005270D4">
        <w:rPr>
          <w:rFonts w:hint="cs"/>
          <w:rtl/>
          <w:lang w:val="fr-CH" w:bidi="ar-EG"/>
        </w:rPr>
        <w:t xml:space="preserve"> على ذلك، ثمة عدد متزايد من الجهات الجديدة من قبيل الجامعات التي تضطلع ببحث علمي ومشاريع السواتل الصغيرة والمتناهية ا</w:t>
      </w:r>
      <w:r w:rsidR="00FF53C1" w:rsidRPr="005270D4">
        <w:rPr>
          <w:rFonts w:hint="cs"/>
          <w:rtl/>
          <w:lang w:val="fr-CH" w:bidi="ar-EG"/>
        </w:rPr>
        <w:t>لصغر التي تدخل إلى سوق السواتل.</w:t>
      </w:r>
    </w:p>
    <w:p w:rsidR="00E31BDE" w:rsidRDefault="00E31BDE" w:rsidP="00250557">
      <w:pPr>
        <w:rPr>
          <w:rtl/>
          <w:lang w:val="fr-CH" w:bidi="ar-EG"/>
        </w:rPr>
      </w:pPr>
      <w:r>
        <w:rPr>
          <w:rFonts w:hint="cs"/>
          <w:rtl/>
          <w:lang w:val="fr-CH" w:bidi="ar-EG"/>
        </w:rPr>
        <w:t xml:space="preserve">ويكلِّف القرار </w:t>
      </w:r>
      <w:r w:rsidR="00D66EB3">
        <w:rPr>
          <w:lang w:val="fr-CH" w:bidi="ar-EG"/>
        </w:rPr>
        <w:t>908</w:t>
      </w:r>
      <w:r w:rsidR="00D66EB3">
        <w:rPr>
          <w:lang w:bidi="ar-EG"/>
        </w:rPr>
        <w:t> </w:t>
      </w:r>
      <w:r w:rsidR="00FF53C1">
        <w:rPr>
          <w:lang w:bidi="ar-EG"/>
        </w:rPr>
        <w:t>(</w:t>
      </w:r>
      <w:r>
        <w:rPr>
          <w:lang w:val="fr-CH" w:bidi="ar-EG"/>
        </w:rPr>
        <w:t>Rev.WRC-15</w:t>
      </w:r>
      <w:r w:rsidR="00FF53C1">
        <w:rPr>
          <w:lang w:val="fr-CH" w:bidi="ar-EG"/>
        </w:rPr>
        <w:t>)</w:t>
      </w:r>
      <w:r>
        <w:rPr>
          <w:rFonts w:hint="cs"/>
          <w:rtl/>
          <w:lang w:val="fr-CH" w:bidi="ar-EG"/>
        </w:rPr>
        <w:t xml:space="preserve"> مدير </w:t>
      </w:r>
      <w:r w:rsidR="00250557">
        <w:rPr>
          <w:rFonts w:hint="cs"/>
          <w:rtl/>
          <w:lang w:val="fr-CH" w:bidi="ar-EG"/>
        </w:rPr>
        <w:t>مكتب الاتصالات الراديوية</w:t>
      </w:r>
      <w:r>
        <w:rPr>
          <w:rFonts w:hint="cs"/>
          <w:rtl/>
          <w:lang w:val="fr-CH" w:bidi="ar-EG"/>
        </w:rPr>
        <w:t xml:space="preserve"> بتنفيذ نهج إلكتروني غير ورقي مأمون من أجل بطاقات التبليغ الإلكترونية ونشر بطاقات التبليغ الخاصة </w:t>
      </w:r>
      <w:r w:rsidR="002F0CFB">
        <w:rPr>
          <w:rFonts w:hint="cs"/>
          <w:rtl/>
          <w:lang w:val="fr-CH" w:bidi="ar-EG"/>
        </w:rPr>
        <w:t>بالشبكات الساتلية والتعليقات.</w:t>
      </w:r>
    </w:p>
    <w:p w:rsidR="00E31BDE" w:rsidRDefault="00E31BDE" w:rsidP="00793DE3">
      <w:pPr>
        <w:rPr>
          <w:lang w:val="fr-CH" w:bidi="ar-EG"/>
        </w:rPr>
      </w:pPr>
      <w:r>
        <w:rPr>
          <w:rFonts w:hint="cs"/>
          <w:rtl/>
          <w:lang w:val="fr-CH" w:bidi="ar-EG"/>
        </w:rPr>
        <w:t xml:space="preserve">وقد وافق الفريق الاستشاري للاتصالات الراديوية في اجتماعه الثالث والعشرين </w:t>
      </w:r>
      <w:r w:rsidR="00793DE3">
        <w:rPr>
          <w:rFonts w:hint="cs"/>
          <w:rtl/>
          <w:lang w:val="fr-CH" w:bidi="ar-EG"/>
        </w:rPr>
        <w:t>في عام</w:t>
      </w:r>
      <w:r>
        <w:rPr>
          <w:rFonts w:hint="cs"/>
          <w:rtl/>
          <w:lang w:val="fr-CH" w:bidi="ar-EG"/>
        </w:rPr>
        <w:t xml:space="preserve"> </w:t>
      </w:r>
      <w:r>
        <w:rPr>
          <w:lang w:val="fr-CH" w:bidi="ar-EG"/>
        </w:rPr>
        <w:t>2016</w:t>
      </w:r>
      <w:r>
        <w:rPr>
          <w:rFonts w:hint="cs"/>
          <w:rtl/>
          <w:lang w:bidi="ar-EG"/>
        </w:rPr>
        <w:t xml:space="preserve"> على إنشاء فريق مقرر لمتابعة تطورات البرامج الحاسوبية المتعلقة بتنفيذ القرار </w:t>
      </w:r>
      <w:r w:rsidR="00D66EB3">
        <w:rPr>
          <w:lang w:val="fr-CH" w:bidi="ar-EG"/>
        </w:rPr>
        <w:t>907</w:t>
      </w:r>
      <w:r w:rsidR="00D66EB3">
        <w:rPr>
          <w:lang w:bidi="ar-EG"/>
        </w:rPr>
        <w:t> </w:t>
      </w:r>
      <w:r w:rsidR="002F0CFB">
        <w:rPr>
          <w:lang w:bidi="ar-EG"/>
        </w:rPr>
        <w:t>(</w:t>
      </w:r>
      <w:r>
        <w:rPr>
          <w:lang w:val="fr-CH" w:bidi="ar-EG"/>
        </w:rPr>
        <w:t>Rev.WRC</w:t>
      </w:r>
      <w:r>
        <w:rPr>
          <w:lang w:bidi="ar-EG"/>
        </w:rPr>
        <w:t>-</w:t>
      </w:r>
      <w:r>
        <w:rPr>
          <w:lang w:val="fr-CH" w:bidi="ar-EG"/>
        </w:rPr>
        <w:t>15</w:t>
      </w:r>
      <w:r w:rsidR="002F0CFB">
        <w:rPr>
          <w:lang w:bidi="ar-EG"/>
        </w:rPr>
        <w:t>)</w:t>
      </w:r>
      <w:r>
        <w:rPr>
          <w:rFonts w:hint="cs"/>
          <w:rtl/>
          <w:lang w:bidi="ar-EG"/>
        </w:rPr>
        <w:t xml:space="preserve"> والقرار</w:t>
      </w:r>
      <w:r w:rsidR="002F0CFB">
        <w:rPr>
          <w:rFonts w:hint="cs"/>
          <w:rtl/>
          <w:lang w:bidi="ar-EG"/>
        </w:rPr>
        <w:t xml:space="preserve"> </w:t>
      </w:r>
      <w:r w:rsidR="00D66EB3">
        <w:rPr>
          <w:lang w:val="fr-CH" w:bidi="ar-EG"/>
        </w:rPr>
        <w:t>908</w:t>
      </w:r>
      <w:r w:rsidR="00D66EB3">
        <w:rPr>
          <w:lang w:bidi="ar-EG"/>
        </w:rPr>
        <w:t> </w:t>
      </w:r>
      <w:r w:rsidR="002F0CFB">
        <w:rPr>
          <w:lang w:bidi="ar-EG"/>
        </w:rPr>
        <w:t>(</w:t>
      </w:r>
      <w:r>
        <w:rPr>
          <w:lang w:val="fr-CH" w:bidi="ar-EG"/>
        </w:rPr>
        <w:t>Rev.WRC-15</w:t>
      </w:r>
      <w:r w:rsidR="002F0CFB">
        <w:rPr>
          <w:lang w:val="fr-CH" w:bidi="ar-EG"/>
        </w:rPr>
        <w:t>)</w:t>
      </w:r>
      <w:r w:rsidR="002F0CFB">
        <w:rPr>
          <w:rFonts w:hint="cs"/>
          <w:rtl/>
          <w:lang w:val="fr-CH" w:bidi="ar-EG"/>
        </w:rPr>
        <w:t>.</w:t>
      </w:r>
    </w:p>
    <w:p w:rsidR="00E31BDE" w:rsidRDefault="00E31BDE" w:rsidP="008F435E">
      <w:pPr>
        <w:rPr>
          <w:rtl/>
          <w:lang w:bidi="ar-EG"/>
        </w:rPr>
      </w:pPr>
      <w:r>
        <w:rPr>
          <w:rFonts w:hint="cs"/>
          <w:rtl/>
          <w:lang w:val="fr-CH" w:bidi="ar-EG"/>
        </w:rPr>
        <w:t>وكما سبق أن أُشير إليه في تقرير المكتب إلى الاجتماع الرابع والعشرين للفريق الاستشاري للاتصالات الراديوية (القسم</w:t>
      </w:r>
      <w:r w:rsidR="00BD0223">
        <w:rPr>
          <w:rFonts w:hint="eastAsia"/>
          <w:rtl/>
          <w:lang w:val="fr-CH" w:bidi="ar-EG"/>
        </w:rPr>
        <w:t> </w:t>
      </w:r>
      <w:r>
        <w:rPr>
          <w:lang w:val="fr-CH" w:bidi="ar-EG"/>
        </w:rPr>
        <w:t>1</w:t>
      </w:r>
      <w:r w:rsidR="009256C4">
        <w:rPr>
          <w:lang w:val="fr-CH" w:bidi="ar-EG"/>
        </w:rPr>
        <w:t>.</w:t>
      </w:r>
      <w:r>
        <w:rPr>
          <w:lang w:val="fr-CH" w:bidi="ar-EG"/>
        </w:rPr>
        <w:t>3</w:t>
      </w:r>
      <w:r>
        <w:rPr>
          <w:rFonts w:hint="cs"/>
          <w:rtl/>
          <w:lang w:bidi="ar-EG"/>
        </w:rPr>
        <w:t xml:space="preserve"> من الوثيقة</w:t>
      </w:r>
      <w:r w:rsidR="00993778">
        <w:rPr>
          <w:rFonts w:hint="eastAsia"/>
          <w:rtl/>
          <w:lang w:bidi="ar-EG"/>
        </w:rPr>
        <w:t> </w:t>
      </w:r>
      <w:r w:rsidR="009256C4">
        <w:rPr>
          <w:lang w:val="fr-CH" w:bidi="ar-EG"/>
        </w:rPr>
        <w:t>R</w:t>
      </w:r>
      <w:r w:rsidR="009256C4">
        <w:rPr>
          <w:lang w:bidi="ar-EG"/>
        </w:rPr>
        <w:t>AG17/1</w:t>
      </w:r>
      <w:r w:rsidR="008F435E">
        <w:rPr>
          <w:lang w:bidi="ar-EG"/>
        </w:rPr>
        <w:t> (</w:t>
      </w:r>
      <w:r w:rsidR="008F435E">
        <w:rPr>
          <w:lang w:val="fr-CH" w:bidi="ar-EG"/>
        </w:rPr>
        <w:t>Rev.1)</w:t>
      </w:r>
      <w:r>
        <w:rPr>
          <w:rFonts w:hint="cs"/>
          <w:rtl/>
          <w:lang w:bidi="ar-EG"/>
        </w:rPr>
        <w:t xml:space="preserve">)، قررت إدارة اليابان أن تدعم أنشطة </w:t>
      </w:r>
      <w:r w:rsidR="00E67948">
        <w:rPr>
          <w:rFonts w:hint="cs"/>
          <w:rtl/>
          <w:lang w:bidi="ar-EG"/>
        </w:rPr>
        <w:t>مكتب الاتصالات الراديوية</w:t>
      </w:r>
      <w:r>
        <w:rPr>
          <w:rFonts w:hint="cs"/>
          <w:rtl/>
          <w:lang w:bidi="ar-EG"/>
        </w:rPr>
        <w:t xml:space="preserve"> من خلال مشاركة طوعية من أجل تنفيذ القرار المعني بغية تيسير تقديم ومعالجة ونشر جميع </w:t>
      </w:r>
      <w:r w:rsidR="008F435E">
        <w:rPr>
          <w:rFonts w:hint="cs"/>
          <w:rtl/>
          <w:lang w:bidi="ar-EG"/>
        </w:rPr>
        <w:t>بطاقات التبليغ</w:t>
      </w:r>
      <w:r>
        <w:rPr>
          <w:rFonts w:hint="cs"/>
          <w:rtl/>
          <w:lang w:bidi="ar-EG"/>
        </w:rPr>
        <w:t xml:space="preserve"> والتعليقات الخاصة بالشبكات الساتلية إلكترونيا</w:t>
      </w:r>
      <w:r w:rsidR="0096481A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>.</w:t>
      </w:r>
    </w:p>
    <w:p w:rsidR="00E31BDE" w:rsidRDefault="00E31BDE" w:rsidP="0066125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ويعكف المكتب على تطوير نهج موحد من أجل تنفيذ القرار المعني. ويتضمن تقريره المشروع الأولي لخطة العمل، وهو </w:t>
      </w:r>
      <w:r w:rsidR="0066125B">
        <w:rPr>
          <w:rFonts w:hint="cs"/>
          <w:rtl/>
          <w:lang w:bidi="ar-EG"/>
        </w:rPr>
        <w:t>يتضمن</w:t>
      </w:r>
      <w:r>
        <w:rPr>
          <w:rFonts w:hint="cs"/>
          <w:rtl/>
          <w:lang w:bidi="ar-EG"/>
        </w:rPr>
        <w:t xml:space="preserve"> العديد من المهام التي يتعين تطويرها كما يلي:</w:t>
      </w:r>
    </w:p>
    <w:p w:rsidR="00E31BDE" w:rsidRDefault="004A1128" w:rsidP="007F1AEF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94903">
        <w:rPr>
          <w:rFonts w:hint="cs"/>
          <w:rtl/>
          <w:lang w:bidi="ar-EG"/>
        </w:rPr>
        <w:t>وضع</w:t>
      </w:r>
      <w:r w:rsidR="00E31BDE">
        <w:rPr>
          <w:rFonts w:hint="cs"/>
          <w:rtl/>
          <w:lang w:bidi="ar-EG"/>
        </w:rPr>
        <w:t xml:space="preserve"> وتنفيذ نظام خاص بالمعلومات "</w:t>
      </w:r>
      <w:r w:rsidR="007F1AEF">
        <w:rPr>
          <w:rFonts w:hint="cs"/>
          <w:rtl/>
          <w:lang w:bidi="ar-EG"/>
        </w:rPr>
        <w:t>على النحو الوارد</w:t>
      </w:r>
      <w:r w:rsidR="00E31BDE">
        <w:rPr>
          <w:rFonts w:hint="cs"/>
          <w:rtl/>
          <w:lang w:bidi="ar-EG"/>
        </w:rPr>
        <w:t>" ومعلومات النشر المسبق استجابة</w:t>
      </w:r>
      <w:r w:rsidR="00994903">
        <w:rPr>
          <w:rFonts w:hint="cs"/>
          <w:rtl/>
          <w:lang w:bidi="ar-EG"/>
        </w:rPr>
        <w:t>ً</w:t>
      </w:r>
      <w:r w:rsidR="00E31BDE">
        <w:rPr>
          <w:rFonts w:hint="cs"/>
          <w:rtl/>
          <w:lang w:bidi="ar-EG"/>
        </w:rPr>
        <w:t xml:space="preserve"> للإجراء المراجَع الخاص بمعلومات النشر المسبق والقرار </w:t>
      </w:r>
      <w:r w:rsidR="00E31BDE">
        <w:rPr>
          <w:lang w:val="fr-CH" w:bidi="ar-EG"/>
        </w:rPr>
        <w:t>55</w:t>
      </w:r>
      <w:r>
        <w:rPr>
          <w:rFonts w:hint="cs"/>
          <w:rtl/>
          <w:lang w:bidi="ar-EG"/>
        </w:rPr>
        <w:t>؛</w:t>
      </w:r>
    </w:p>
    <w:p w:rsidR="00E31BDE" w:rsidRDefault="004A1128" w:rsidP="00994903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94903">
        <w:rPr>
          <w:rFonts w:hint="cs"/>
          <w:rtl/>
          <w:lang w:bidi="ar-EG"/>
        </w:rPr>
        <w:t>وضع</w:t>
      </w:r>
      <w:r w:rsidR="00E31BDE">
        <w:rPr>
          <w:rFonts w:hint="cs"/>
          <w:rtl/>
          <w:lang w:bidi="ar-EG"/>
        </w:rPr>
        <w:t xml:space="preserve"> نظام من أجل تحميل بطاقات التبليغ إلكترونيا</w:t>
      </w:r>
      <w:r w:rsidR="00851BFE">
        <w:rPr>
          <w:rFonts w:hint="cs"/>
          <w:rtl/>
          <w:lang w:bidi="ar-EG"/>
        </w:rPr>
        <w:t>ً</w:t>
      </w:r>
      <w:r w:rsidR="00E31BDE">
        <w:rPr>
          <w:rFonts w:hint="cs"/>
          <w:rtl/>
          <w:lang w:bidi="ar-EG"/>
        </w:rPr>
        <w:t>؛</w:t>
      </w:r>
    </w:p>
    <w:p w:rsidR="00E31BDE" w:rsidRDefault="004A1128" w:rsidP="004A1128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>توسيع نطاق النظام ليشمل استقبال/تنقيح بطاقات التبليغ إلكترونيا</w:t>
      </w:r>
      <w:r w:rsidR="00851BFE">
        <w:rPr>
          <w:rFonts w:hint="cs"/>
          <w:rtl/>
          <w:lang w:bidi="ar-EG"/>
        </w:rPr>
        <w:t>ً</w:t>
      </w:r>
      <w:r w:rsidR="00E31BDE">
        <w:rPr>
          <w:rFonts w:hint="cs"/>
          <w:rtl/>
          <w:lang w:bidi="ar-EG"/>
        </w:rPr>
        <w:t>؛</w:t>
      </w:r>
    </w:p>
    <w:p w:rsidR="00E31BDE" w:rsidRDefault="004A1128" w:rsidP="004A1128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lastRenderedPageBreak/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>تصميم الأنظمة؛</w:t>
      </w:r>
    </w:p>
    <w:p w:rsidR="00E31BDE" w:rsidRDefault="004A1128" w:rsidP="00352C38">
      <w:pPr>
        <w:pStyle w:val="enumlev1"/>
        <w:ind w:left="794" w:hanging="794"/>
        <w:rPr>
          <w:lang w:bidi="ar-EG"/>
        </w:rPr>
      </w:pPr>
      <w:bookmarkStart w:id="0" w:name="_GoBack"/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 xml:space="preserve">القيام بعمليات مراجعة لمعالجة </w:t>
      </w:r>
      <w:r w:rsidR="00994903">
        <w:rPr>
          <w:rFonts w:hint="cs"/>
          <w:rtl/>
          <w:lang w:bidi="ar-EG"/>
        </w:rPr>
        <w:t>بطاقات التبليغ</w:t>
      </w:r>
      <w:r w:rsidR="00E31BDE">
        <w:rPr>
          <w:rFonts w:hint="cs"/>
          <w:rtl/>
          <w:lang w:bidi="ar-EG"/>
        </w:rPr>
        <w:t xml:space="preserve"> ضمن قاعدة البيانات </w:t>
      </w:r>
      <w:r w:rsidR="00E31BDE">
        <w:rPr>
          <w:lang w:val="fr-CH" w:bidi="ar-EG"/>
        </w:rPr>
        <w:t>SNS</w:t>
      </w:r>
      <w:r w:rsidR="00E31BDE">
        <w:rPr>
          <w:rFonts w:hint="cs"/>
          <w:rtl/>
          <w:lang w:bidi="ar-EG"/>
        </w:rPr>
        <w:t>؛</w:t>
      </w:r>
    </w:p>
    <w:bookmarkEnd w:id="0"/>
    <w:p w:rsidR="00E31BDE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243E4">
        <w:rPr>
          <w:rFonts w:hint="cs"/>
          <w:rtl/>
          <w:lang w:bidi="ar-EG"/>
        </w:rPr>
        <w:t>إعداد</w:t>
      </w:r>
      <w:r w:rsidR="00E31BDE">
        <w:rPr>
          <w:rFonts w:hint="cs"/>
          <w:rtl/>
          <w:lang w:bidi="ar-EG"/>
        </w:rPr>
        <w:t xml:space="preserve"> أدوات لمعالجة قابلية الاستلام؛</w:t>
      </w:r>
    </w:p>
    <w:p w:rsidR="00E31BDE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243E4">
        <w:rPr>
          <w:rFonts w:hint="cs"/>
          <w:rtl/>
          <w:lang w:bidi="ar-EG"/>
        </w:rPr>
        <w:t>وضع</w:t>
      </w:r>
      <w:r w:rsidR="00E31BDE">
        <w:rPr>
          <w:rFonts w:hint="cs"/>
          <w:rtl/>
          <w:lang w:bidi="ar-EG"/>
        </w:rPr>
        <w:t xml:space="preserve"> نظام </w:t>
      </w:r>
      <w:r w:rsidR="009243E4">
        <w:rPr>
          <w:rFonts w:hint="cs"/>
          <w:rtl/>
          <w:lang w:bidi="ar-EG"/>
        </w:rPr>
        <w:t>لإدارة المعلومات</w:t>
      </w:r>
      <w:r w:rsidR="00E31BDE">
        <w:rPr>
          <w:rFonts w:hint="cs"/>
          <w:rtl/>
          <w:lang w:bidi="ar-EG"/>
        </w:rPr>
        <w:t>؛</w:t>
      </w:r>
    </w:p>
    <w:p w:rsidR="00E31BDE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243E4">
        <w:rPr>
          <w:rFonts w:hint="cs"/>
          <w:rtl/>
          <w:lang w:bidi="ar-EG"/>
        </w:rPr>
        <w:t>وضع</w:t>
      </w:r>
      <w:r w:rsidR="00E31BDE">
        <w:rPr>
          <w:rFonts w:hint="cs"/>
          <w:rtl/>
          <w:lang w:bidi="ar-EG"/>
        </w:rPr>
        <w:t xml:space="preserve"> نظام للتعليقات الإلكترونية؛</w:t>
      </w:r>
    </w:p>
    <w:p w:rsidR="00E31BDE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243E4">
        <w:rPr>
          <w:rFonts w:hint="cs"/>
          <w:rtl/>
          <w:lang w:bidi="ar-EG"/>
        </w:rPr>
        <w:t>وضع</w:t>
      </w:r>
      <w:r w:rsidR="00E31BDE">
        <w:rPr>
          <w:rFonts w:hint="cs"/>
          <w:rtl/>
          <w:lang w:bidi="ar-EG"/>
        </w:rPr>
        <w:t xml:space="preserve"> بوابة للخدمة الذاتية خاصة بالمستخدم؛</w:t>
      </w:r>
    </w:p>
    <w:p w:rsidR="00E31BDE" w:rsidRDefault="004A1128" w:rsidP="004A1128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 xml:space="preserve">تحديث قاعدة البيانات </w:t>
      </w:r>
      <w:r w:rsidR="00E31BDE">
        <w:rPr>
          <w:lang w:val="fr-CH" w:bidi="ar-EG"/>
        </w:rPr>
        <w:t>SNS</w:t>
      </w:r>
      <w:r w:rsidR="00E31BDE">
        <w:rPr>
          <w:rFonts w:hint="cs"/>
          <w:rtl/>
          <w:lang w:bidi="ar-EG"/>
        </w:rPr>
        <w:t xml:space="preserve"> إلكترونيا</w:t>
      </w:r>
      <w:r w:rsidR="00226086">
        <w:rPr>
          <w:rFonts w:hint="cs"/>
          <w:rtl/>
          <w:lang w:bidi="ar-EG"/>
        </w:rPr>
        <w:t>ً</w:t>
      </w:r>
      <w:r w:rsidR="00E31BDE">
        <w:rPr>
          <w:rFonts w:hint="cs"/>
          <w:rtl/>
          <w:lang w:bidi="ar-EG"/>
        </w:rPr>
        <w:t>؛</w:t>
      </w:r>
    </w:p>
    <w:p w:rsidR="00E31BDE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243E4">
        <w:rPr>
          <w:rFonts w:hint="cs"/>
          <w:rtl/>
          <w:lang w:bidi="ar-EG"/>
        </w:rPr>
        <w:t>إعداد</w:t>
      </w:r>
      <w:r w:rsidR="00E31BDE">
        <w:rPr>
          <w:rFonts w:hint="cs"/>
          <w:rtl/>
          <w:lang w:bidi="ar-EG"/>
        </w:rPr>
        <w:t xml:space="preserve"> أدوات للفحص؛</w:t>
      </w:r>
    </w:p>
    <w:p w:rsidR="00E31BDE" w:rsidRDefault="004A1128" w:rsidP="004A1128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>مراجعة عملية النشر؛</w:t>
      </w:r>
    </w:p>
    <w:p w:rsidR="00E31BDE" w:rsidRPr="00E103DC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 xml:space="preserve">مراجعة </w:t>
      </w:r>
      <w:r w:rsidR="00E31BDE">
        <w:rPr>
          <w:color w:val="000000"/>
          <w:rtl/>
        </w:rPr>
        <w:t>النشرة الإعلامية الدولية للترددات لمكتب الاتصالات الراديوية</w:t>
      </w:r>
      <w:r w:rsidR="00E31BDE">
        <w:rPr>
          <w:rFonts w:hint="cs"/>
          <w:color w:val="000000"/>
          <w:rtl/>
          <w:lang w:bidi="ar-EG"/>
        </w:rPr>
        <w:t xml:space="preserve"> </w:t>
      </w:r>
      <w:r w:rsidR="00253AA5">
        <w:rPr>
          <w:color w:val="000000"/>
          <w:lang w:bidi="ar-EG"/>
        </w:rPr>
        <w:t>(</w:t>
      </w:r>
      <w:r w:rsidR="00E31BDE">
        <w:rPr>
          <w:color w:val="000000"/>
          <w:lang w:val="fr-CH" w:bidi="ar-EG"/>
        </w:rPr>
        <w:t>BR</w:t>
      </w:r>
      <w:r w:rsidR="009243E4">
        <w:rPr>
          <w:color w:val="000000"/>
          <w:lang w:val="fr-CH" w:bidi="ar-EG"/>
        </w:rPr>
        <w:t> </w:t>
      </w:r>
      <w:r w:rsidR="00E31BDE">
        <w:rPr>
          <w:color w:val="000000"/>
          <w:lang w:val="fr-CH" w:bidi="ar-EG"/>
        </w:rPr>
        <w:t>IFIC</w:t>
      </w:r>
      <w:r w:rsidR="00253AA5">
        <w:rPr>
          <w:color w:val="000000"/>
          <w:lang w:val="fr-CH" w:bidi="ar-EG"/>
        </w:rPr>
        <w:t>)</w:t>
      </w:r>
      <w:r w:rsidR="00E31BDE">
        <w:rPr>
          <w:rFonts w:hint="cs"/>
          <w:color w:val="000000"/>
          <w:rtl/>
        </w:rPr>
        <w:t>؛</w:t>
      </w:r>
    </w:p>
    <w:p w:rsidR="00E31BDE" w:rsidRPr="00FE328B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color w:val="000000"/>
          <w:rtl/>
        </w:rPr>
        <w:t>-</w:t>
      </w:r>
      <w:r>
        <w:rPr>
          <w:rFonts w:hint="cs"/>
          <w:color w:val="000000"/>
          <w:rtl/>
        </w:rPr>
        <w:tab/>
      </w:r>
      <w:r w:rsidR="009243E4">
        <w:rPr>
          <w:rFonts w:hint="cs"/>
          <w:color w:val="000000"/>
          <w:rtl/>
        </w:rPr>
        <w:t>إعداد</w:t>
      </w:r>
      <w:r w:rsidR="00E31BDE">
        <w:rPr>
          <w:rFonts w:hint="cs"/>
          <w:color w:val="000000"/>
          <w:rtl/>
        </w:rPr>
        <w:t xml:space="preserve"> أدوات لعمليات الفحص التنظيمي</w:t>
      </w:r>
      <w:r w:rsidR="00063FDA">
        <w:rPr>
          <w:rFonts w:hint="cs"/>
          <w:color w:val="000000"/>
          <w:rtl/>
        </w:rPr>
        <w:t xml:space="preserve"> بعنوان النقطة</w:t>
      </w:r>
      <w:r w:rsidR="00E31BDE">
        <w:rPr>
          <w:rFonts w:hint="cs"/>
          <w:color w:val="000000"/>
          <w:rtl/>
        </w:rPr>
        <w:t xml:space="preserve"> </w:t>
      </w:r>
      <w:r w:rsidR="00644523">
        <w:rPr>
          <w:color w:val="000000"/>
          <w:lang w:val="fr-CH"/>
        </w:rPr>
        <w:t>44</w:t>
      </w:r>
      <w:r w:rsidR="00E31BDE">
        <w:rPr>
          <w:color w:val="000000"/>
          <w:lang w:val="fr-CH"/>
        </w:rPr>
        <w:t>.</w:t>
      </w:r>
      <w:r w:rsidR="00644523">
        <w:rPr>
          <w:color w:val="000000"/>
          <w:lang w:val="fr-CH"/>
        </w:rPr>
        <w:t>11</w:t>
      </w:r>
      <w:r w:rsidR="00E31BDE">
        <w:rPr>
          <w:rFonts w:hint="cs"/>
          <w:color w:val="000000"/>
          <w:rtl/>
          <w:lang w:bidi="ar-EG"/>
        </w:rPr>
        <w:t>؛</w:t>
      </w:r>
    </w:p>
    <w:p w:rsidR="00E31BDE" w:rsidRPr="00E103DC" w:rsidRDefault="004A1128" w:rsidP="009243E4">
      <w:pPr>
        <w:pStyle w:val="enumlev1"/>
        <w:ind w:left="794" w:hanging="794"/>
        <w:rPr>
          <w:lang w:bidi="ar-EG"/>
        </w:rPr>
      </w:pPr>
      <w:r>
        <w:rPr>
          <w:rFonts w:hint="cs"/>
          <w:color w:val="000000"/>
          <w:rtl/>
          <w:lang w:bidi="ar-EG"/>
        </w:rPr>
        <w:t>-</w:t>
      </w:r>
      <w:r>
        <w:rPr>
          <w:rFonts w:hint="cs"/>
          <w:color w:val="000000"/>
          <w:rtl/>
          <w:lang w:bidi="ar-EG"/>
        </w:rPr>
        <w:tab/>
      </w:r>
      <w:r w:rsidR="009243E4">
        <w:rPr>
          <w:rFonts w:hint="cs"/>
          <w:color w:val="000000"/>
          <w:rtl/>
          <w:lang w:bidi="ar-EG"/>
        </w:rPr>
        <w:t>إعداد</w:t>
      </w:r>
      <w:r w:rsidR="00E31BDE">
        <w:rPr>
          <w:rFonts w:hint="cs"/>
          <w:color w:val="000000"/>
          <w:rtl/>
          <w:lang w:bidi="ar-EG"/>
        </w:rPr>
        <w:t xml:space="preserve"> أدوات لصيانة السجل الأساسي الدولي للترددات </w:t>
      </w:r>
      <w:r w:rsidR="00E31BDE">
        <w:rPr>
          <w:color w:val="000000"/>
          <w:lang w:val="fr-CH" w:bidi="ar-EG"/>
        </w:rPr>
        <w:t>MIFR</w:t>
      </w:r>
      <w:r w:rsidR="00E31BDE">
        <w:rPr>
          <w:rFonts w:hint="cs"/>
          <w:color w:val="000000"/>
          <w:rtl/>
          <w:lang w:bidi="ar-EG"/>
        </w:rPr>
        <w:t>؛</w:t>
      </w:r>
    </w:p>
    <w:p w:rsidR="00E31BDE" w:rsidRPr="000E7B09" w:rsidRDefault="004A1128" w:rsidP="004A1128">
      <w:pPr>
        <w:pStyle w:val="enumlev1"/>
        <w:ind w:left="794" w:hanging="794"/>
        <w:rPr>
          <w:rtl/>
          <w:lang w:bidi="ar-EG"/>
        </w:rPr>
      </w:pPr>
      <w:r>
        <w:rPr>
          <w:rFonts w:hint="cs"/>
          <w:color w:val="000000"/>
          <w:rtl/>
          <w:lang w:bidi="ar-EG"/>
        </w:rPr>
        <w:t>-</w:t>
      </w:r>
      <w:r>
        <w:rPr>
          <w:rFonts w:hint="cs"/>
          <w:color w:val="000000"/>
          <w:rtl/>
          <w:lang w:bidi="ar-EG"/>
        </w:rPr>
        <w:tab/>
      </w:r>
      <w:r w:rsidR="00E31BDE">
        <w:rPr>
          <w:rFonts w:hint="cs"/>
          <w:color w:val="000000"/>
          <w:rtl/>
          <w:lang w:bidi="ar-EG"/>
        </w:rPr>
        <w:t>رصد العمليات والصيانة وتقديم الدعم إلى المستخدمين.</w:t>
      </w:r>
    </w:p>
    <w:p w:rsidR="00E31BDE" w:rsidRDefault="00E31BDE" w:rsidP="00E31BDE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E31BDE" w:rsidRDefault="00E31BDE" w:rsidP="00DA6E6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ترى اليابان أنه يجب على هذا المشروع أن </w:t>
      </w:r>
      <w:r w:rsidR="00DA6E67">
        <w:rPr>
          <w:rFonts w:hint="cs"/>
          <w:rtl/>
          <w:lang w:bidi="ar-EG"/>
        </w:rPr>
        <w:t>يأخذ في الاعتبار ما يلي</w:t>
      </w:r>
      <w:r>
        <w:rPr>
          <w:rFonts w:hint="cs"/>
          <w:rtl/>
          <w:lang w:bidi="ar-EG"/>
        </w:rPr>
        <w:t>:</w:t>
      </w:r>
    </w:p>
    <w:p w:rsidR="00E31BDE" w:rsidRPr="00ED6794" w:rsidRDefault="008168CB" w:rsidP="00A260C6">
      <w:pPr>
        <w:pStyle w:val="enumlev1"/>
        <w:ind w:left="794" w:hanging="794"/>
        <w:rPr>
          <w:spacing w:val="-6"/>
          <w:rtl/>
          <w:lang w:bidi="ar-EG"/>
        </w:rPr>
      </w:pPr>
      <w:r w:rsidRPr="00ED6794">
        <w:rPr>
          <w:spacing w:val="-6"/>
          <w:lang w:val="fr-CH" w:bidi="ar-EG"/>
        </w:rPr>
        <w:t>(1</w:t>
      </w:r>
      <w:r w:rsidRPr="00ED6794">
        <w:rPr>
          <w:spacing w:val="-6"/>
          <w:rtl/>
          <w:lang w:val="fr-CH" w:bidi="ar-EG"/>
        </w:rPr>
        <w:tab/>
      </w:r>
      <w:r w:rsidR="00E31BDE" w:rsidRPr="00ED6794">
        <w:rPr>
          <w:rFonts w:hint="cs"/>
          <w:spacing w:val="-6"/>
          <w:rtl/>
          <w:lang w:bidi="ar-EG"/>
        </w:rPr>
        <w:t>أن تصمم الأنظمة</w:t>
      </w:r>
      <w:r w:rsidRPr="00ED6794">
        <w:rPr>
          <w:rFonts w:hint="cs"/>
          <w:spacing w:val="-6"/>
          <w:rtl/>
          <w:lang w:bidi="ar-EG"/>
        </w:rPr>
        <w:t xml:space="preserve"> الجديدة</w:t>
      </w:r>
      <w:r w:rsidR="00E31BDE" w:rsidRPr="00ED6794">
        <w:rPr>
          <w:rFonts w:hint="cs"/>
          <w:spacing w:val="-6"/>
          <w:rtl/>
          <w:lang w:bidi="ar-EG"/>
        </w:rPr>
        <w:t xml:space="preserve"> بحيث تخفض تخفيضا</w:t>
      </w:r>
      <w:r w:rsidR="00A260C6" w:rsidRPr="00ED6794">
        <w:rPr>
          <w:rFonts w:hint="cs"/>
          <w:spacing w:val="-6"/>
          <w:rtl/>
          <w:lang w:bidi="ar-EG"/>
        </w:rPr>
        <w:t>ً</w:t>
      </w:r>
      <w:r w:rsidR="00E31BDE" w:rsidRPr="00ED6794">
        <w:rPr>
          <w:rFonts w:hint="cs"/>
          <w:spacing w:val="-6"/>
          <w:rtl/>
          <w:lang w:bidi="ar-EG"/>
        </w:rPr>
        <w:t xml:space="preserve"> كبيرا</w:t>
      </w:r>
      <w:r w:rsidR="00A260C6" w:rsidRPr="00ED6794">
        <w:rPr>
          <w:rFonts w:hint="cs"/>
          <w:spacing w:val="-6"/>
          <w:rtl/>
          <w:lang w:bidi="ar-EG"/>
        </w:rPr>
        <w:t>ً</w:t>
      </w:r>
      <w:r w:rsidR="00E31BDE" w:rsidRPr="00ED6794">
        <w:rPr>
          <w:rFonts w:hint="cs"/>
          <w:spacing w:val="-6"/>
          <w:rtl/>
          <w:lang w:bidi="ar-EG"/>
        </w:rPr>
        <w:t xml:space="preserve"> حجم العمل الإجرائي وتحسن من كفاءة المراسلات بين الإدارات والمكتب؛</w:t>
      </w:r>
    </w:p>
    <w:p w:rsidR="00E31BDE" w:rsidRDefault="008168CB" w:rsidP="00A260C6">
      <w:pPr>
        <w:pStyle w:val="enumlev1"/>
        <w:ind w:left="794" w:hanging="794"/>
        <w:rPr>
          <w:rtl/>
          <w:lang w:bidi="ar-EG"/>
        </w:rPr>
      </w:pPr>
      <w:r>
        <w:rPr>
          <w:lang w:val="fr-CH" w:bidi="ar-EG"/>
        </w:rPr>
        <w:t>(2</w:t>
      </w:r>
      <w:r>
        <w:rPr>
          <w:rtl/>
          <w:lang w:val="fr-CH" w:bidi="ar-EG"/>
        </w:rPr>
        <w:tab/>
      </w:r>
      <w:r w:rsidR="00E31BDE">
        <w:rPr>
          <w:rFonts w:hint="cs"/>
          <w:rtl/>
          <w:lang w:bidi="ar-EG"/>
        </w:rPr>
        <w:t>أن تستخدم الجهات الجديدة الأنظمة</w:t>
      </w:r>
      <w:r>
        <w:rPr>
          <w:rFonts w:hint="cs"/>
          <w:rtl/>
          <w:lang w:bidi="ar-EG"/>
        </w:rPr>
        <w:t xml:space="preserve"> الجديدة بسهولة</w:t>
      </w:r>
      <w:r w:rsidR="00E0286D">
        <w:rPr>
          <w:rFonts w:hint="cs"/>
          <w:rtl/>
          <w:lang w:bidi="ar-EG"/>
        </w:rPr>
        <w:t xml:space="preserve"> من خلال استخدام</w:t>
      </w:r>
      <w:r w:rsidR="00E31BDE">
        <w:rPr>
          <w:rFonts w:hint="cs"/>
          <w:rtl/>
          <w:lang w:bidi="ar-EG"/>
        </w:rPr>
        <w:t xml:space="preserve"> واجهة بينية سهلة الاستخدام؛</w:t>
      </w:r>
    </w:p>
    <w:p w:rsidR="00E31BDE" w:rsidRDefault="008168CB" w:rsidP="00DA6E67">
      <w:pPr>
        <w:pStyle w:val="enumlev1"/>
        <w:ind w:left="794" w:hanging="794"/>
        <w:rPr>
          <w:rtl/>
          <w:lang w:bidi="ar-EG"/>
        </w:rPr>
      </w:pPr>
      <w:r>
        <w:rPr>
          <w:lang w:val="fr-CH" w:bidi="ar-EG"/>
        </w:rPr>
        <w:t>(3</w:t>
      </w:r>
      <w:r>
        <w:rPr>
          <w:rtl/>
          <w:lang w:val="fr-CH" w:bidi="ar-EG"/>
        </w:rPr>
        <w:tab/>
      </w:r>
      <w:r w:rsidR="00E31BDE">
        <w:rPr>
          <w:rFonts w:hint="cs"/>
          <w:rtl/>
          <w:lang w:bidi="ar-EG"/>
        </w:rPr>
        <w:t>أن تؤكد الأنظمة الجديدة مصداقية ومو</w:t>
      </w:r>
      <w:r>
        <w:rPr>
          <w:rFonts w:hint="cs"/>
          <w:rtl/>
          <w:lang w:bidi="ar-EG"/>
        </w:rPr>
        <w:t>ثوقية</w:t>
      </w:r>
      <w:r w:rsidR="00E31BDE">
        <w:rPr>
          <w:rFonts w:hint="cs"/>
          <w:rtl/>
          <w:lang w:bidi="ar-EG"/>
        </w:rPr>
        <w:t xml:space="preserve"> الإجراء بين الإدارات والمكتب (من أجل ذلك يجب أن تؤخذ بعين الاعتبار أيضا</w:t>
      </w:r>
      <w:r w:rsidR="00DA6E67">
        <w:rPr>
          <w:rFonts w:hint="cs"/>
          <w:rtl/>
          <w:lang w:bidi="ar-EG"/>
        </w:rPr>
        <w:t>ً</w:t>
      </w:r>
      <w:r w:rsidR="00E31BDE">
        <w:rPr>
          <w:rFonts w:hint="cs"/>
          <w:rtl/>
          <w:lang w:bidi="ar-EG"/>
        </w:rPr>
        <w:t xml:space="preserve"> نتيجة مشروع القرار </w:t>
      </w:r>
      <w:r w:rsidR="009243E4">
        <w:rPr>
          <w:lang w:val="fr-CH" w:bidi="ar-EG"/>
        </w:rPr>
        <w:t>907</w:t>
      </w:r>
      <w:r w:rsidR="009243E4">
        <w:rPr>
          <w:lang w:bidi="ar-EG"/>
        </w:rPr>
        <w:t> </w:t>
      </w:r>
      <w:r>
        <w:rPr>
          <w:lang w:bidi="ar-EG"/>
        </w:rPr>
        <w:t>(</w:t>
      </w:r>
      <w:r w:rsidR="00E31BDE">
        <w:rPr>
          <w:lang w:val="fr-CH" w:bidi="ar-EG"/>
        </w:rPr>
        <w:t>Rev</w:t>
      </w:r>
      <w:r w:rsidR="00E31BDE">
        <w:rPr>
          <w:lang w:bidi="ar-EG"/>
        </w:rPr>
        <w:t>.WRC-15</w:t>
      </w:r>
      <w:r>
        <w:rPr>
          <w:lang w:bidi="ar-EG"/>
        </w:rPr>
        <w:t>)</w:t>
      </w:r>
      <w:r>
        <w:rPr>
          <w:rFonts w:hint="cs"/>
          <w:rtl/>
          <w:lang w:bidi="ar-EG"/>
        </w:rPr>
        <w:t>.</w:t>
      </w:r>
    </w:p>
    <w:p w:rsidR="00E31BDE" w:rsidRDefault="00E31BDE" w:rsidP="00F30FD4">
      <w:pPr>
        <w:rPr>
          <w:rtl/>
          <w:lang w:bidi="ar-EG"/>
        </w:rPr>
      </w:pPr>
      <w:r>
        <w:rPr>
          <w:rFonts w:hint="cs"/>
          <w:rtl/>
          <w:lang w:bidi="ar-EG"/>
        </w:rPr>
        <w:t>ونود أن ننتهز هذه الفرصة لنقترح أفكارا</w:t>
      </w:r>
      <w:r w:rsidR="00DA6E67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عديدة للتحسين من خلال معالجة الأنظمة الحالية على النحو التالي:</w:t>
      </w:r>
    </w:p>
    <w:p w:rsidR="00E31BDE" w:rsidRDefault="00E31BDE" w:rsidP="00C33602">
      <w:pPr>
        <w:pStyle w:val="enumlev1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F30FD4">
        <w:rPr>
          <w:rtl/>
          <w:lang w:bidi="ar-EG"/>
        </w:rPr>
        <w:tab/>
      </w:r>
      <w:r>
        <w:rPr>
          <w:rFonts w:hint="cs"/>
          <w:rtl/>
          <w:lang w:bidi="ar-EG"/>
        </w:rPr>
        <w:t>من المستحسن عند تقديم الإدارة تعليقا</w:t>
      </w:r>
      <w:r w:rsidR="004562C1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</w:t>
      </w:r>
      <w:r w:rsidR="00C33602">
        <w:rPr>
          <w:rFonts w:hint="cs"/>
          <w:rtl/>
          <w:lang w:bidi="ar-EG"/>
        </w:rPr>
        <w:t>بشأن النشرة</w:t>
      </w:r>
      <w:r w:rsidR="00DA6E67">
        <w:rPr>
          <w:rFonts w:hint="cs"/>
          <w:rtl/>
          <w:lang w:bidi="ar-EG"/>
        </w:rPr>
        <w:t xml:space="preserve"> الإعلامية الدولية للترددات </w:t>
      </w:r>
      <w:r>
        <w:rPr>
          <w:rFonts w:hint="cs"/>
          <w:rtl/>
          <w:lang w:bidi="ar-EG"/>
        </w:rPr>
        <w:t>من خلال تقديم صيغ إلكترونية</w:t>
      </w:r>
      <w:r w:rsidR="00DA6E6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على الموقع الإلكتروني للنشرة الإعلامية أن يُحال التعليق تلقائيا</w:t>
      </w:r>
      <w:r w:rsidR="004562C1">
        <w:rPr>
          <w:rFonts w:hint="cs"/>
          <w:rtl/>
          <w:lang w:bidi="ar-EG"/>
        </w:rPr>
        <w:t>ً إلى الإدارات المعنية والمكتب.</w:t>
      </w:r>
    </w:p>
    <w:p w:rsidR="00E31BDE" w:rsidRDefault="00E31BDE" w:rsidP="00C33602">
      <w:pPr>
        <w:pStyle w:val="enumlev1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F30FD4">
        <w:rPr>
          <w:rtl/>
          <w:lang w:bidi="ar-EG"/>
        </w:rPr>
        <w:tab/>
      </w:r>
      <w:r>
        <w:rPr>
          <w:rFonts w:hint="cs"/>
          <w:rtl/>
          <w:lang w:bidi="ar-EG"/>
        </w:rPr>
        <w:t>يجب تحسين شكل الموقع الإلكتروني لأنظمة الشبكات الفضائية حتى يتسنى لنا أن نفهم فورا</w:t>
      </w:r>
      <w:r w:rsidR="00A21F4F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ما يمكننا القيام به من أول وهلة، مثلا</w:t>
      </w:r>
      <w:r w:rsidR="00A21F4F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من خلال الرموز التصويرية والصور. (وهناك الكثير من وظائف قواعد البيانات الإلكترونية</w:t>
      </w:r>
      <w:r w:rsidR="00C33602">
        <w:rPr>
          <w:rFonts w:hint="eastAsia"/>
          <w:rtl/>
          <w:lang w:bidi="ar-EG"/>
        </w:rPr>
        <w:t> </w:t>
      </w:r>
      <w:r>
        <w:rPr>
          <w:lang w:val="fr-CH" w:bidi="ar-EG"/>
        </w:rPr>
        <w:t>SNS</w:t>
      </w:r>
      <w:r>
        <w:rPr>
          <w:rFonts w:hint="cs"/>
          <w:rtl/>
          <w:lang w:bidi="ar-EG"/>
        </w:rPr>
        <w:t xml:space="preserve"> المفيدة في</w:t>
      </w:r>
      <w:r w:rsidR="00A21F4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الدخول إليها، لكن لا تتضمن وظائفها حاليا</w:t>
      </w:r>
      <w:r w:rsidR="00A21F4F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سوى روابط </w:t>
      </w:r>
      <w:r w:rsidR="00DA6E67">
        <w:rPr>
          <w:rFonts w:hint="cs"/>
          <w:rtl/>
          <w:lang w:bidi="ar-EG"/>
        </w:rPr>
        <w:t>وشرح</w:t>
      </w:r>
      <w:r>
        <w:rPr>
          <w:rFonts w:hint="cs"/>
          <w:rtl/>
          <w:lang w:bidi="ar-EG"/>
        </w:rPr>
        <w:t xml:space="preserve"> في هيئة نصوص</w:t>
      </w:r>
      <w:r w:rsidR="00A21F4F">
        <w:rPr>
          <w:rFonts w:hint="cs"/>
          <w:rtl/>
          <w:lang w:bidi="ar-EG"/>
        </w:rPr>
        <w:t>).</w:t>
      </w:r>
    </w:p>
    <w:p w:rsidR="00D114F2" w:rsidRDefault="00C33602" w:rsidP="00CC7DC6">
      <w:pPr>
        <w:spacing w:before="0" w:line="240" w:lineRule="auto"/>
        <w:rPr>
          <w:rtl/>
        </w:rPr>
      </w:pPr>
      <w:r>
        <w:rPr>
          <w:rFonts w:eastAsia="Batang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EBEE3" wp14:editId="481DD432">
                <wp:simplePos x="0" y="0"/>
                <wp:positionH relativeFrom="margin">
                  <wp:posOffset>-336550</wp:posOffset>
                </wp:positionH>
                <wp:positionV relativeFrom="paragraph">
                  <wp:posOffset>685800</wp:posOffset>
                </wp:positionV>
                <wp:extent cx="1562735" cy="6883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F2" w:rsidRPr="00C33602" w:rsidRDefault="00DA6E67" w:rsidP="00D114F2">
                            <w:pPr>
                              <w:rPr>
                                <w:rFonts w:ascii="MS PGothic" w:eastAsia="MS PGothic" w:hAnsi="MS PGothic"/>
                                <w:bCs/>
                                <w:color w:val="FF0000"/>
                                <w:lang w:val="fr-CH" w:eastAsia="ja-JP"/>
                              </w:rPr>
                            </w:pPr>
                            <w:r w:rsidRPr="00C33602">
                              <w:rPr>
                                <w:rFonts w:ascii="Traditional Arabic" w:eastAsia="MS PGothic" w:hAnsi="Traditional Arabic" w:hint="cs"/>
                                <w:bCs/>
                                <w:color w:val="FF0000"/>
                                <w:sz w:val="30"/>
                                <w:rtl/>
                                <w:lang w:val="fr-CH" w:eastAsia="ja-JP" w:bidi="ar-EG"/>
                              </w:rPr>
                              <w:t>قائمة مبسطة بالروابط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EBE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5pt;margin-top:54pt;width:123.0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qktgIAALk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" filled="f" stroked="f" strokeweight=".5pt">
                <v:textbox>
                  <w:txbxContent>
                    <w:p w:rsidR="00D114F2" w:rsidRPr="00C33602" w:rsidRDefault="00DA6E67" w:rsidP="00D114F2">
                      <w:pPr>
                        <w:rPr>
                          <w:rFonts w:ascii="MS PGothic" w:eastAsia="MS PGothic" w:hAnsi="MS PGothic"/>
                          <w:bCs/>
                          <w:color w:val="FF0000"/>
                          <w:lang w:val="fr-CH" w:eastAsia="ja-JP"/>
                        </w:rPr>
                      </w:pPr>
                      <w:r w:rsidRPr="00C33602">
                        <w:rPr>
                          <w:rFonts w:ascii="Traditional Arabic" w:eastAsia="MS PGothic" w:hAnsi="Traditional Arabic" w:hint="cs"/>
                          <w:bCs/>
                          <w:color w:val="FF0000"/>
                          <w:sz w:val="30"/>
                          <w:rtl/>
                          <w:lang w:val="fr-CH" w:eastAsia="ja-JP" w:bidi="ar-EG"/>
                        </w:rPr>
                        <w:t>قائمة مبسطة بالروابط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E67">
        <w:rPr>
          <w:rFonts w:eastAsia="Batang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EE24F" wp14:editId="552CD900">
                <wp:simplePos x="0" y="0"/>
                <wp:positionH relativeFrom="column">
                  <wp:posOffset>2261235</wp:posOffset>
                </wp:positionH>
                <wp:positionV relativeFrom="paragraph">
                  <wp:posOffset>738505</wp:posOffset>
                </wp:positionV>
                <wp:extent cx="2004060" cy="60325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F2" w:rsidRPr="00C33602" w:rsidRDefault="00DA6E67" w:rsidP="00D114F2">
                            <w:pPr>
                              <w:rPr>
                                <w:rFonts w:ascii="Traditional Arabic" w:eastAsia="MS PGothic" w:hAnsi="Traditional Arabic"/>
                                <w:bCs/>
                                <w:color w:val="FF0000"/>
                                <w:sz w:val="30"/>
                                <w:lang w:val="fr-CH" w:eastAsia="ja-JP" w:bidi="ar-EG"/>
                              </w:rPr>
                            </w:pPr>
                            <w:r w:rsidRPr="00C33602">
                              <w:rPr>
                                <w:rFonts w:ascii="Traditional Arabic" w:eastAsia="MS PGothic" w:hAnsi="Traditional Arabic" w:hint="cs"/>
                                <w:bCs/>
                                <w:color w:val="FF0000"/>
                                <w:sz w:val="30"/>
                                <w:rtl/>
                                <w:lang w:val="fr-CH" w:eastAsia="ja-JP" w:bidi="ar-EG"/>
                              </w:rPr>
                              <w:t>قائمة مبسطة بالشرح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E24F" id="Text Box 1" o:spid="_x0000_s1027" type="#_x0000_t202" style="position:absolute;left:0;text-align:left;margin-left:178.05pt;margin-top:58.15pt;width:157.8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JDtgIAAMAFAAAOAAAAZHJzL2Uyb0RvYy54bWysVG1vmzAQ/j5p/8Hyd8pLHRJQSdWGME3q&#10;XqR2P8ABE6yBzWwn0E377zubJE1bTZq28QHZvvNz99xz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" filled="f" stroked="f" strokeweight=".5pt">
                <v:textbox>
                  <w:txbxContent>
                    <w:p w:rsidR="00D114F2" w:rsidRPr="00C33602" w:rsidRDefault="00DA6E67" w:rsidP="00D114F2">
                      <w:pPr>
                        <w:rPr>
                          <w:rFonts w:ascii="Traditional Arabic" w:eastAsia="MS PGothic" w:hAnsi="Traditional Arabic" w:hint="cs"/>
                          <w:bCs/>
                          <w:color w:val="FF0000"/>
                          <w:sz w:val="30"/>
                          <w:lang w:val="fr-CH" w:eastAsia="ja-JP" w:bidi="ar-EG"/>
                        </w:rPr>
                      </w:pPr>
                      <w:r w:rsidRPr="00C33602">
                        <w:rPr>
                          <w:rFonts w:ascii="Traditional Arabic" w:eastAsia="MS PGothic" w:hAnsi="Traditional Arabic" w:hint="cs"/>
                          <w:bCs/>
                          <w:color w:val="FF0000"/>
                          <w:sz w:val="30"/>
                          <w:rtl/>
                          <w:lang w:val="fr-CH" w:eastAsia="ja-JP" w:bidi="ar-EG"/>
                        </w:rPr>
                        <w:t>قائمة مبسطة بالشرح</w:t>
                      </w:r>
                    </w:p>
                  </w:txbxContent>
                </v:textbox>
              </v:shape>
            </w:pict>
          </mc:Fallback>
        </mc:AlternateContent>
      </w:r>
      <w:r w:rsidR="00D114F2" w:rsidRPr="006F61F4">
        <w:rPr>
          <w:rFonts w:eastAsia="Batang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A3A9" wp14:editId="0EA876E5">
                <wp:simplePos x="0" y="0"/>
                <wp:positionH relativeFrom="margin">
                  <wp:posOffset>1192530</wp:posOffset>
                </wp:positionH>
                <wp:positionV relativeFrom="paragraph">
                  <wp:posOffset>1028065</wp:posOffset>
                </wp:positionV>
                <wp:extent cx="4718050" cy="1878965"/>
                <wp:effectExtent l="0" t="0" r="25400" b="26035"/>
                <wp:wrapNone/>
                <wp:docPr id="4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187896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9643AA" id="円/楕円 12" o:spid="_x0000_s1026" style="position:absolute;margin-left:93.9pt;margin-top:80.95pt;width:371.5pt;height:147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" filled="f" strokecolor="red" strokeweight="1.5pt">
                <w10:wrap anchorx="margin"/>
              </v:oval>
            </w:pict>
          </mc:Fallback>
        </mc:AlternateContent>
      </w:r>
      <w:r w:rsidR="00D114F2" w:rsidRPr="006F61F4">
        <w:rPr>
          <w:rFonts w:eastAsia="Batang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E4F99" wp14:editId="1FB05E2D">
                <wp:simplePos x="0" y="0"/>
                <wp:positionH relativeFrom="margin">
                  <wp:align>left</wp:align>
                </wp:positionH>
                <wp:positionV relativeFrom="paragraph">
                  <wp:posOffset>989330</wp:posOffset>
                </wp:positionV>
                <wp:extent cx="1167130" cy="1913467"/>
                <wp:effectExtent l="0" t="0" r="13970" b="1079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191346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75BA7" id="円/楕円 11" o:spid="_x0000_s1026" style="position:absolute;margin-left:0;margin-top:77.9pt;width:91.9pt;height:150.6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" filled="f" strokecolor="red" strokeweight="1.5pt">
                <w10:wrap anchorx="margin"/>
              </v:oval>
            </w:pict>
          </mc:Fallback>
        </mc:AlternateContent>
      </w:r>
      <w:r w:rsidR="00D114F2" w:rsidRPr="006F61F4">
        <w:rPr>
          <w:rFonts w:eastAsia="Batang"/>
          <w:noProof/>
          <w:lang w:eastAsia="zh-CN"/>
        </w:rPr>
        <w:drawing>
          <wp:inline distT="0" distB="0" distL="0" distR="0" wp14:anchorId="6FE5E344" wp14:editId="614C8AC2">
            <wp:extent cx="5987241" cy="2833511"/>
            <wp:effectExtent l="76200" t="76200" r="128270" b="13843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531" cy="28431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0D24" w:rsidRDefault="00C50D24" w:rsidP="00C50D24">
      <w:pPr>
        <w:pStyle w:val="enumlev1"/>
        <w:ind w:left="794" w:hanging="794"/>
        <w:rPr>
          <w:rtl/>
          <w:lang w:bidi="ar-EG"/>
        </w:rPr>
      </w:pPr>
    </w:p>
    <w:p w:rsidR="00E31BDE" w:rsidRDefault="00D95259" w:rsidP="00C50D24">
      <w:pPr>
        <w:pStyle w:val="enumlev1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 xml:space="preserve">يجب أن يكون من السهل فهم نتيجة استفسار قاعدة البيانات </w:t>
      </w:r>
      <w:r w:rsidR="00E31BDE">
        <w:rPr>
          <w:lang w:val="fr-CH" w:bidi="ar-EG"/>
        </w:rPr>
        <w:t>SNS</w:t>
      </w:r>
      <w:r w:rsidR="00E31BDE">
        <w:rPr>
          <w:rFonts w:hint="cs"/>
          <w:rtl/>
          <w:lang w:bidi="ar-EG"/>
        </w:rPr>
        <w:t xml:space="preserve"> الإلكترونية حتى لا يحتاج المستخدم إلى الرجوع إلى "مقدمة النشرة الإعلامية </w:t>
      </w:r>
      <w:r w:rsidR="00E31BDE">
        <w:rPr>
          <w:lang w:val="fr-CH" w:bidi="ar-EG"/>
        </w:rPr>
        <w:t>IFIC</w:t>
      </w:r>
      <w:r w:rsidR="00E31BDE">
        <w:rPr>
          <w:rFonts w:hint="cs"/>
          <w:rtl/>
          <w:lang w:bidi="ar-EG"/>
        </w:rPr>
        <w:t xml:space="preserve">" أو النقر على الروابط (أي أن الاكتفاء بوضع "رمز" مثل </w:t>
      </w:r>
      <w:r w:rsidR="00E31BDE">
        <w:rPr>
          <w:lang w:val="fr-CH" w:bidi="ar-EG"/>
        </w:rPr>
        <w:t>G</w:t>
      </w:r>
      <w:r w:rsidR="00E31BDE">
        <w:rPr>
          <w:rFonts w:hint="cs"/>
          <w:rtl/>
          <w:lang w:bidi="ar-EG"/>
        </w:rPr>
        <w:t xml:space="preserve"> أو </w:t>
      </w:r>
      <w:r w:rsidR="00E31BDE">
        <w:rPr>
          <w:lang w:val="fr-CH" w:bidi="ar-EG"/>
        </w:rPr>
        <w:t>I</w:t>
      </w:r>
      <w:r w:rsidR="00E31BDE">
        <w:rPr>
          <w:rFonts w:hint="cs"/>
          <w:rtl/>
          <w:lang w:bidi="ar-EG"/>
        </w:rPr>
        <w:t xml:space="preserve"> أو </w:t>
      </w:r>
      <w:r w:rsidR="00E31BDE">
        <w:rPr>
          <w:lang w:val="fr-CH" w:bidi="ar-EG"/>
        </w:rPr>
        <w:t>V</w:t>
      </w:r>
      <w:r w:rsidR="00C50D24">
        <w:rPr>
          <w:rFonts w:hint="cs"/>
          <w:rtl/>
          <w:lang w:bidi="ar-EG"/>
        </w:rPr>
        <w:t xml:space="preserve"> غير مستخدم</w:t>
      </w:r>
      <w:r w:rsidR="00E31BDE">
        <w:rPr>
          <w:rFonts w:hint="cs"/>
          <w:rtl/>
          <w:lang w:bidi="ar-EG"/>
        </w:rPr>
        <w:t xml:space="preserve"> بالقدر ال</w:t>
      </w:r>
      <w:r w:rsidR="00C50D24">
        <w:rPr>
          <w:rFonts w:hint="cs"/>
          <w:rtl/>
          <w:lang w:bidi="ar-EG"/>
        </w:rPr>
        <w:t>ممكن).</w:t>
      </w:r>
    </w:p>
    <w:p w:rsidR="00C50D24" w:rsidRDefault="00C50D24" w:rsidP="00C50D24">
      <w:pPr>
        <w:rPr>
          <w:rtl/>
          <w:lang w:bidi="ar-EG"/>
        </w:rPr>
      </w:pPr>
    </w:p>
    <w:p w:rsidR="00C50D24" w:rsidRDefault="00C50D24" w:rsidP="00C50D24">
      <w:pPr>
        <w:spacing w:before="0" w:line="240" w:lineRule="auto"/>
      </w:pPr>
      <w:r w:rsidRPr="006F61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518F4" wp14:editId="131B20E9">
                <wp:simplePos x="0" y="0"/>
                <wp:positionH relativeFrom="column">
                  <wp:posOffset>5322570</wp:posOffset>
                </wp:positionH>
                <wp:positionV relativeFrom="paragraph">
                  <wp:posOffset>1396365</wp:posOffset>
                </wp:positionV>
                <wp:extent cx="211154" cy="438150"/>
                <wp:effectExtent l="0" t="0" r="1778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54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1F1A" id="正方形/長方形 10" o:spid="_x0000_s1026" style="position:absolute;margin-left:419.1pt;margin-top:109.95pt;width:16.6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" filled="f" strokecolor="red" strokeweight="2pt"/>
            </w:pict>
          </mc:Fallback>
        </mc:AlternateContent>
      </w:r>
      <w:r w:rsidRPr="006F61F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A3D13" wp14:editId="7395BEBE">
                <wp:simplePos x="0" y="0"/>
                <wp:positionH relativeFrom="column">
                  <wp:posOffset>2494280</wp:posOffset>
                </wp:positionH>
                <wp:positionV relativeFrom="paragraph">
                  <wp:posOffset>1081405</wp:posOffset>
                </wp:positionV>
                <wp:extent cx="211154" cy="353374"/>
                <wp:effectExtent l="0" t="0" r="17780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54" cy="35337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0A1DA" id="正方形/長方形 9" o:spid="_x0000_s1026" style="position:absolute;margin-left:196.4pt;margin-top:85.15pt;width:16.65pt;height:2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" filled="f" strokecolor="red" strokeweight="2pt"/>
            </w:pict>
          </mc:Fallback>
        </mc:AlternateContent>
      </w:r>
      <w:r w:rsidRPr="006F61F4">
        <w:rPr>
          <w:rFonts w:hint="eastAsia"/>
          <w:noProof/>
          <w:lang w:eastAsia="zh-CN"/>
        </w:rPr>
        <w:drawing>
          <wp:inline distT="0" distB="0" distL="0" distR="0" wp14:anchorId="52C36BBE" wp14:editId="2E094771">
            <wp:extent cx="2872105" cy="1710884"/>
            <wp:effectExtent l="76200" t="76200" r="137795" b="137160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88" cy="17259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F61F4">
        <w:rPr>
          <w:rFonts w:hint="eastAsia"/>
          <w:noProof/>
          <w:lang w:eastAsia="zh-CN"/>
        </w:rPr>
        <w:drawing>
          <wp:inline distT="0" distB="0" distL="0" distR="0" wp14:anchorId="350697B6" wp14:editId="58F6FCE7">
            <wp:extent cx="2707404" cy="671830"/>
            <wp:effectExtent l="76200" t="76200" r="131445" b="12827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15" cy="6780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0D24" w:rsidRDefault="00C50D24" w:rsidP="00C50D24">
      <w:pPr>
        <w:rPr>
          <w:rtl/>
          <w:lang w:bidi="ar-EG"/>
        </w:rPr>
      </w:pPr>
    </w:p>
    <w:p w:rsidR="00E31BDE" w:rsidRDefault="00C50D24" w:rsidP="00C50D24">
      <w:pPr>
        <w:pStyle w:val="enumlev1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 xml:space="preserve">لكن، نتيجة "نظام الاستفسار الخاص" الوارد في القرار </w:t>
      </w:r>
      <w:r w:rsidR="00E31BDE">
        <w:rPr>
          <w:lang w:val="fr-CH" w:bidi="ar-EG"/>
        </w:rPr>
        <w:t>49</w:t>
      </w:r>
      <w:r w:rsidR="00E31BDE">
        <w:rPr>
          <w:rFonts w:hint="cs"/>
          <w:rtl/>
          <w:lang w:bidi="ar-EG"/>
        </w:rPr>
        <w:t xml:space="preserve"> يسهل فهمها نسبيا</w:t>
      </w:r>
      <w:r w:rsidR="002178F4">
        <w:rPr>
          <w:rFonts w:hint="cs"/>
          <w:rtl/>
          <w:lang w:bidi="ar-EG"/>
        </w:rPr>
        <w:t>ً</w:t>
      </w:r>
      <w:r w:rsidR="00E31BDE">
        <w:rPr>
          <w:rFonts w:hint="cs"/>
          <w:rtl/>
          <w:lang w:bidi="ar-EG"/>
        </w:rPr>
        <w:t xml:space="preserve"> حيث إن جميع البنود مشروحة بدلا</w:t>
      </w:r>
      <w:r w:rsidR="002178F4">
        <w:rPr>
          <w:rFonts w:hint="cs"/>
          <w:rtl/>
          <w:lang w:bidi="ar-EG"/>
        </w:rPr>
        <w:t>ً</w:t>
      </w:r>
      <w:r w:rsidR="00E31BDE">
        <w:rPr>
          <w:rFonts w:hint="cs"/>
          <w:rtl/>
          <w:lang w:bidi="ar-EG"/>
        </w:rPr>
        <w:t xml:space="preserve"> من الاكتفاء باستخدام "رمز"</w:t>
      </w:r>
      <w:r w:rsidR="002178F4">
        <w:rPr>
          <w:rFonts w:hint="cs"/>
          <w:rtl/>
          <w:lang w:bidi="ar-EG"/>
        </w:rPr>
        <w:t>.</w:t>
      </w:r>
    </w:p>
    <w:p w:rsidR="00E31BDE" w:rsidRDefault="00E31BDE" w:rsidP="00EE648C">
      <w:pPr>
        <w:spacing w:before="0" w:line="240" w:lineRule="auto"/>
        <w:jc w:val="center"/>
        <w:rPr>
          <w:rtl/>
          <w:lang w:bidi="ar-EG"/>
        </w:rPr>
      </w:pPr>
      <w:r w:rsidRPr="006F61F4">
        <w:rPr>
          <w:rFonts w:hint="eastAsia"/>
          <w:noProof/>
          <w:lang w:eastAsia="zh-CN"/>
        </w:rPr>
        <w:lastRenderedPageBreak/>
        <w:drawing>
          <wp:inline distT="0" distB="0" distL="0" distR="0" wp14:anchorId="563622F1" wp14:editId="75E74F5D">
            <wp:extent cx="4257679" cy="4198471"/>
            <wp:effectExtent l="76200" t="76200" r="123825" b="126365"/>
            <wp:docPr id="1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95" cy="42017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320C" w:rsidRDefault="0084320C" w:rsidP="003F0648">
      <w:pPr>
        <w:pStyle w:val="enumlev1"/>
        <w:ind w:left="794" w:hanging="794"/>
        <w:rPr>
          <w:rtl/>
          <w:lang w:bidi="ar-EG"/>
        </w:rPr>
      </w:pPr>
    </w:p>
    <w:p w:rsidR="00E31BDE" w:rsidRDefault="00EE648C" w:rsidP="003F0648">
      <w:pPr>
        <w:pStyle w:val="enumlev1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>يمكن عرض بطاقات التبليغ الخاصة بالقرار المعدل إلى جانب بطاقات التبليغ</w:t>
      </w:r>
      <w:r>
        <w:rPr>
          <w:rFonts w:hint="cs"/>
          <w:rtl/>
          <w:lang w:bidi="ar-EG"/>
        </w:rPr>
        <w:t xml:space="preserve"> الأصلية بناء</w:t>
      </w:r>
      <w:r w:rsidR="00F80D8F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على طلب المستخدم.</w:t>
      </w:r>
    </w:p>
    <w:p w:rsidR="006157A3" w:rsidRDefault="00EE648C" w:rsidP="00F80D8F">
      <w:pPr>
        <w:pStyle w:val="enumlev1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E31BDE">
        <w:rPr>
          <w:rFonts w:hint="cs"/>
          <w:rtl/>
          <w:lang w:bidi="ar-EG"/>
        </w:rPr>
        <w:t xml:space="preserve">يجب أن تعرض المعلومات من قبيل منطقة الخدمة </w:t>
      </w:r>
      <w:r>
        <w:rPr>
          <w:rFonts w:hint="cs"/>
          <w:rtl/>
          <w:lang w:bidi="ar-EG"/>
        </w:rPr>
        <w:t>والكفاف وطلبات التنسيق</w:t>
      </w:r>
      <w:r w:rsidR="00E31BDE">
        <w:rPr>
          <w:rFonts w:hint="cs"/>
          <w:rtl/>
          <w:lang w:bidi="ar-EG"/>
        </w:rPr>
        <w:t xml:space="preserve"> بسهولة دون الحاجة لاستخدام ا</w:t>
      </w:r>
      <w:r>
        <w:rPr>
          <w:rFonts w:hint="cs"/>
          <w:rtl/>
          <w:lang w:bidi="ar-EG"/>
        </w:rPr>
        <w:t xml:space="preserve">لبرنامج الحاسوبي </w:t>
      </w:r>
      <w:r w:rsidR="00F80D8F">
        <w:rPr>
          <w:rFonts w:hint="cs"/>
          <w:rtl/>
          <w:lang w:bidi="ar-EG"/>
        </w:rPr>
        <w:t>لمكتب الاتصالات الراديوية</w:t>
      </w:r>
      <w:r>
        <w:rPr>
          <w:rFonts w:hint="cs"/>
          <w:rtl/>
          <w:lang w:bidi="ar-EG"/>
        </w:rPr>
        <w:t xml:space="preserve"> وملفات</w:t>
      </w:r>
      <w:r w:rsidR="00E31BDE">
        <w:rPr>
          <w:rFonts w:hint="cs"/>
          <w:rtl/>
          <w:lang w:bidi="ar-EG"/>
        </w:rPr>
        <w:t xml:space="preserve"> </w:t>
      </w:r>
      <w:r w:rsidR="00E31BDE">
        <w:rPr>
          <w:lang w:val="fr-CH" w:bidi="ar-EG"/>
        </w:rPr>
        <w:t>MD</w:t>
      </w:r>
      <w:r>
        <w:rPr>
          <w:lang w:val="fr-CH" w:bidi="ar-EG"/>
        </w:rPr>
        <w:t>B</w:t>
      </w:r>
      <w:r w:rsidR="00E31BDE">
        <w:rPr>
          <w:rFonts w:hint="cs"/>
          <w:rtl/>
          <w:lang w:bidi="ar-EG"/>
        </w:rPr>
        <w:t xml:space="preserve"> على الموقع الإلكتروني للنشرة الإعلامية</w:t>
      </w:r>
      <w:r w:rsidR="00F80D8F">
        <w:rPr>
          <w:rFonts w:hint="cs"/>
          <w:rtl/>
          <w:lang w:bidi="ar-EG"/>
        </w:rPr>
        <w:t xml:space="preserve"> الدولي للترددات الصادرة عن المكتب</w:t>
      </w:r>
      <w:r w:rsidR="00E31BDE">
        <w:rPr>
          <w:rFonts w:hint="cs"/>
          <w:rtl/>
          <w:lang w:bidi="ar-EG"/>
        </w:rPr>
        <w:t xml:space="preserve"> </w:t>
      </w:r>
      <w:r w:rsidR="00F80D8F">
        <w:rPr>
          <w:lang w:bidi="ar-EG"/>
        </w:rPr>
        <w:t>(BR </w:t>
      </w:r>
      <w:r w:rsidR="00E31BDE">
        <w:rPr>
          <w:lang w:val="fr-CH" w:bidi="ar-EG"/>
        </w:rPr>
        <w:t>IFIC</w:t>
      </w:r>
      <w:r w:rsidR="00F80D8F">
        <w:rPr>
          <w:lang w:val="fr-CH" w:bidi="ar-EG"/>
        </w:rPr>
        <w:t>)</w:t>
      </w:r>
      <w:r w:rsidR="00E31BDE">
        <w:rPr>
          <w:rFonts w:hint="cs"/>
          <w:rtl/>
          <w:lang w:val="fr-CH" w:bidi="ar-EG"/>
        </w:rPr>
        <w:t>.</w:t>
      </w:r>
    </w:p>
    <w:p w:rsidR="00034CD2" w:rsidRDefault="00E31BDE" w:rsidP="00E31BD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34CD2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10" w:rsidRDefault="00181710" w:rsidP="00E07379">
      <w:pPr>
        <w:spacing w:before="0" w:line="240" w:lineRule="auto"/>
      </w:pPr>
      <w:r>
        <w:separator/>
      </w:r>
    </w:p>
  </w:endnote>
  <w:endnote w:type="continuationSeparator" w:id="0">
    <w:p w:rsidR="00181710" w:rsidRDefault="0018171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4805EE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4805EE">
      <w:rPr>
        <w:rFonts w:eastAsiaTheme="minorEastAsia" w:cs="Calibri"/>
        <w:noProof/>
        <w:sz w:val="16"/>
        <w:szCs w:val="16"/>
        <w:lang w:eastAsia="zh-CN"/>
      </w:rPr>
      <w:t>P:\ARA\ITU-R\AG\RAG\RAG17\000\012A.docx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4805EE">
      <w:rPr>
        <w:rFonts w:eastAsiaTheme="minorEastAsia" w:cs="Calibri"/>
        <w:sz w:val="16"/>
        <w:szCs w:val="16"/>
        <w:lang w:eastAsia="zh-CN"/>
      </w:rPr>
      <w:t>416726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4805EE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4805EE">
      <w:rPr>
        <w:rFonts w:eastAsiaTheme="minorEastAsia" w:cs="Calibri"/>
        <w:noProof/>
        <w:sz w:val="16"/>
        <w:szCs w:val="16"/>
        <w:lang w:eastAsia="zh-CN"/>
      </w:rPr>
      <w:t>P:\ARA\ITU-R\AG\RAG\RAG17\000\012A.docx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4805EE">
      <w:rPr>
        <w:rFonts w:eastAsiaTheme="minorEastAsia" w:cs="Calibri"/>
        <w:sz w:val="16"/>
        <w:szCs w:val="16"/>
        <w:lang w:eastAsia="zh-CN"/>
      </w:rPr>
      <w:t>416726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10" w:rsidRDefault="00181710" w:rsidP="00E07379">
      <w:pPr>
        <w:spacing w:before="0" w:line="240" w:lineRule="auto"/>
      </w:pPr>
      <w:r>
        <w:separator/>
      </w:r>
    </w:p>
  </w:footnote>
  <w:footnote w:type="continuationSeparator" w:id="0">
    <w:p w:rsidR="00181710" w:rsidRDefault="0018171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4805EE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352C38">
      <w:rPr>
        <w:rFonts w:eastAsiaTheme="minorEastAsia" w:cs="Calibri"/>
        <w:noProof/>
        <w:sz w:val="20"/>
        <w:szCs w:val="20"/>
        <w:lang w:val="en-GB" w:eastAsia="zh-CN"/>
      </w:rPr>
      <w:t>4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  <w:r w:rsidRPr="00034CD2">
      <w:rPr>
        <w:rFonts w:eastAsiaTheme="minorEastAsia" w:cs="Calibri"/>
        <w:sz w:val="20"/>
        <w:szCs w:val="20"/>
        <w:lang w:val="en-GB" w:eastAsia="zh-CN"/>
      </w:rPr>
      <w:br/>
      <w:t>RAG1</w:t>
    </w:r>
    <w:r>
      <w:rPr>
        <w:rFonts w:eastAsiaTheme="minorEastAsia" w:cs="Calibri"/>
        <w:sz w:val="20"/>
        <w:szCs w:val="20"/>
        <w:lang w:val="en-GB" w:eastAsia="zh-CN"/>
      </w:rPr>
      <w:t>7</w:t>
    </w:r>
    <w:r w:rsidRPr="00034CD2">
      <w:rPr>
        <w:rFonts w:eastAsiaTheme="minorEastAsia" w:cs="Calibri"/>
        <w:sz w:val="20"/>
        <w:szCs w:val="20"/>
        <w:lang w:val="en-GB" w:eastAsia="zh-CN"/>
      </w:rPr>
      <w:t>/</w:t>
    </w:r>
    <w:r w:rsidR="004805EE">
      <w:rPr>
        <w:rFonts w:eastAsiaTheme="minorEastAsia" w:cs="Calibri"/>
        <w:sz w:val="20"/>
        <w:szCs w:val="20"/>
        <w:lang w:val="en-GB" w:eastAsia="zh-CN"/>
      </w:rPr>
      <w:t>12</w:t>
    </w:r>
    <w:r w:rsidRPr="00034CD2">
      <w:rPr>
        <w:rFonts w:eastAsiaTheme="minorEastAsia" w:cs="Calibri"/>
        <w:sz w:val="20"/>
        <w:szCs w:val="20"/>
        <w:lang w:val="en-GB" w:eastAsia="zh-CN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AE51045"/>
    <w:multiLevelType w:val="hybridMultilevel"/>
    <w:tmpl w:val="4ACABD18"/>
    <w:lvl w:ilvl="0" w:tplc="7A548B6C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10"/>
    <w:rsid w:val="000124CC"/>
    <w:rsid w:val="00034CD2"/>
    <w:rsid w:val="00041F8B"/>
    <w:rsid w:val="00046444"/>
    <w:rsid w:val="0006023B"/>
    <w:rsid w:val="00063FDA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12110"/>
    <w:rsid w:val="00173915"/>
    <w:rsid w:val="00181710"/>
    <w:rsid w:val="002178F4"/>
    <w:rsid w:val="0022345D"/>
    <w:rsid w:val="00225854"/>
    <w:rsid w:val="00225C7B"/>
    <w:rsid w:val="00226086"/>
    <w:rsid w:val="0023283D"/>
    <w:rsid w:val="00250557"/>
    <w:rsid w:val="00252E0C"/>
    <w:rsid w:val="00253AA5"/>
    <w:rsid w:val="002648FB"/>
    <w:rsid w:val="00276881"/>
    <w:rsid w:val="002916BE"/>
    <w:rsid w:val="002978F4"/>
    <w:rsid w:val="002B028D"/>
    <w:rsid w:val="002B435E"/>
    <w:rsid w:val="002C4DAE"/>
    <w:rsid w:val="002D6669"/>
    <w:rsid w:val="002E6541"/>
    <w:rsid w:val="002F0CFB"/>
    <w:rsid w:val="002F5560"/>
    <w:rsid w:val="0030486B"/>
    <w:rsid w:val="003231B9"/>
    <w:rsid w:val="003275AC"/>
    <w:rsid w:val="00333D29"/>
    <w:rsid w:val="003409F4"/>
    <w:rsid w:val="00352C38"/>
    <w:rsid w:val="00357185"/>
    <w:rsid w:val="003C475F"/>
    <w:rsid w:val="003E4132"/>
    <w:rsid w:val="003F0648"/>
    <w:rsid w:val="003F1421"/>
    <w:rsid w:val="003F678F"/>
    <w:rsid w:val="0042686F"/>
    <w:rsid w:val="004367CE"/>
    <w:rsid w:val="00443869"/>
    <w:rsid w:val="0045434E"/>
    <w:rsid w:val="004562C1"/>
    <w:rsid w:val="004712C6"/>
    <w:rsid w:val="004805EE"/>
    <w:rsid w:val="00497703"/>
    <w:rsid w:val="004A1128"/>
    <w:rsid w:val="004F0F06"/>
    <w:rsid w:val="004F6BE7"/>
    <w:rsid w:val="00501E0E"/>
    <w:rsid w:val="005204D7"/>
    <w:rsid w:val="005270D4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2910"/>
    <w:rsid w:val="005F667F"/>
    <w:rsid w:val="00606660"/>
    <w:rsid w:val="006157A3"/>
    <w:rsid w:val="00620E60"/>
    <w:rsid w:val="0063315A"/>
    <w:rsid w:val="00644523"/>
    <w:rsid w:val="0065591D"/>
    <w:rsid w:val="0066125B"/>
    <w:rsid w:val="00662C5A"/>
    <w:rsid w:val="00666BB3"/>
    <w:rsid w:val="00670AF5"/>
    <w:rsid w:val="006C1556"/>
    <w:rsid w:val="006C188A"/>
    <w:rsid w:val="006F267F"/>
    <w:rsid w:val="006F63F7"/>
    <w:rsid w:val="006F6F03"/>
    <w:rsid w:val="00706D7A"/>
    <w:rsid w:val="00726AEC"/>
    <w:rsid w:val="007530CA"/>
    <w:rsid w:val="00777C47"/>
    <w:rsid w:val="00793DE3"/>
    <w:rsid w:val="0079553D"/>
    <w:rsid w:val="007B01CC"/>
    <w:rsid w:val="007E7C6C"/>
    <w:rsid w:val="007F1AEF"/>
    <w:rsid w:val="007F6238"/>
    <w:rsid w:val="007F646C"/>
    <w:rsid w:val="00801FCD"/>
    <w:rsid w:val="00803D7E"/>
    <w:rsid w:val="00803F08"/>
    <w:rsid w:val="008168CB"/>
    <w:rsid w:val="008235CD"/>
    <w:rsid w:val="00823A07"/>
    <w:rsid w:val="00835FEC"/>
    <w:rsid w:val="0084320C"/>
    <w:rsid w:val="008513CB"/>
    <w:rsid w:val="00851BFE"/>
    <w:rsid w:val="00874D9C"/>
    <w:rsid w:val="008A1810"/>
    <w:rsid w:val="008B5B5D"/>
    <w:rsid w:val="008F435E"/>
    <w:rsid w:val="00917694"/>
    <w:rsid w:val="009243E4"/>
    <w:rsid w:val="009256C4"/>
    <w:rsid w:val="009263CD"/>
    <w:rsid w:val="00930E6D"/>
    <w:rsid w:val="0096481A"/>
    <w:rsid w:val="00972CA2"/>
    <w:rsid w:val="00982B28"/>
    <w:rsid w:val="00984EA5"/>
    <w:rsid w:val="00992593"/>
    <w:rsid w:val="00993778"/>
    <w:rsid w:val="00994903"/>
    <w:rsid w:val="009C17E1"/>
    <w:rsid w:val="009C35ED"/>
    <w:rsid w:val="009F1C12"/>
    <w:rsid w:val="00A124CB"/>
    <w:rsid w:val="00A2167A"/>
    <w:rsid w:val="00A21F4F"/>
    <w:rsid w:val="00A25A43"/>
    <w:rsid w:val="00A260C6"/>
    <w:rsid w:val="00A3295B"/>
    <w:rsid w:val="00A42AE5"/>
    <w:rsid w:val="00A52B61"/>
    <w:rsid w:val="00A64820"/>
    <w:rsid w:val="00A71DD6"/>
    <w:rsid w:val="00A723C7"/>
    <w:rsid w:val="00A77F98"/>
    <w:rsid w:val="00A80E11"/>
    <w:rsid w:val="00A97F94"/>
    <w:rsid w:val="00AB1309"/>
    <w:rsid w:val="00AC2C52"/>
    <w:rsid w:val="00AD1503"/>
    <w:rsid w:val="00AE1CC2"/>
    <w:rsid w:val="00AE7244"/>
    <w:rsid w:val="00AF3FEE"/>
    <w:rsid w:val="00B02F46"/>
    <w:rsid w:val="00B10C10"/>
    <w:rsid w:val="00B2000C"/>
    <w:rsid w:val="00B20ADE"/>
    <w:rsid w:val="00B30303"/>
    <w:rsid w:val="00B50C09"/>
    <w:rsid w:val="00B64701"/>
    <w:rsid w:val="00B66B9A"/>
    <w:rsid w:val="00B82089"/>
    <w:rsid w:val="00B823E0"/>
    <w:rsid w:val="00B970AE"/>
    <w:rsid w:val="00BA1427"/>
    <w:rsid w:val="00BD0223"/>
    <w:rsid w:val="00BE49D0"/>
    <w:rsid w:val="00BF2C38"/>
    <w:rsid w:val="00C23331"/>
    <w:rsid w:val="00C265DA"/>
    <w:rsid w:val="00C33602"/>
    <w:rsid w:val="00C442F2"/>
    <w:rsid w:val="00C50D24"/>
    <w:rsid w:val="00C51240"/>
    <w:rsid w:val="00C6042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C7DC6"/>
    <w:rsid w:val="00CD123C"/>
    <w:rsid w:val="00CD2085"/>
    <w:rsid w:val="00CE2EE1"/>
    <w:rsid w:val="00CF3FFD"/>
    <w:rsid w:val="00CF598D"/>
    <w:rsid w:val="00CF5ED3"/>
    <w:rsid w:val="00D0494C"/>
    <w:rsid w:val="00D114F2"/>
    <w:rsid w:val="00D14BEB"/>
    <w:rsid w:val="00D21C89"/>
    <w:rsid w:val="00D45542"/>
    <w:rsid w:val="00D66EB3"/>
    <w:rsid w:val="00D77D0F"/>
    <w:rsid w:val="00D95259"/>
    <w:rsid w:val="00DA1CF0"/>
    <w:rsid w:val="00DA6E67"/>
    <w:rsid w:val="00DB2271"/>
    <w:rsid w:val="00DB5659"/>
    <w:rsid w:val="00DC24B4"/>
    <w:rsid w:val="00DD7A05"/>
    <w:rsid w:val="00DF16DC"/>
    <w:rsid w:val="00DF4B81"/>
    <w:rsid w:val="00DF5361"/>
    <w:rsid w:val="00E009A1"/>
    <w:rsid w:val="00E00D15"/>
    <w:rsid w:val="00E0286D"/>
    <w:rsid w:val="00E071BE"/>
    <w:rsid w:val="00E07379"/>
    <w:rsid w:val="00E14494"/>
    <w:rsid w:val="00E17033"/>
    <w:rsid w:val="00E22744"/>
    <w:rsid w:val="00E31BDE"/>
    <w:rsid w:val="00E32189"/>
    <w:rsid w:val="00E45211"/>
    <w:rsid w:val="00E67948"/>
    <w:rsid w:val="00E7380C"/>
    <w:rsid w:val="00E74BE7"/>
    <w:rsid w:val="00E86CC9"/>
    <w:rsid w:val="00E96624"/>
    <w:rsid w:val="00ED6794"/>
    <w:rsid w:val="00EE648C"/>
    <w:rsid w:val="00F126F1"/>
    <w:rsid w:val="00F2106A"/>
    <w:rsid w:val="00F30FD4"/>
    <w:rsid w:val="00F36D8B"/>
    <w:rsid w:val="00F401D0"/>
    <w:rsid w:val="00F45F2B"/>
    <w:rsid w:val="00F57AE4"/>
    <w:rsid w:val="00F67150"/>
    <w:rsid w:val="00F80D8F"/>
    <w:rsid w:val="00F84366"/>
    <w:rsid w:val="00F85089"/>
    <w:rsid w:val="00F85564"/>
    <w:rsid w:val="00F86CFA"/>
    <w:rsid w:val="00FA5120"/>
    <w:rsid w:val="00FD58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F317583-74D8-4FB7-922A-225FE0C9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E3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31BDE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20"/>
      <w:contextualSpacing/>
    </w:pPr>
    <w:rPr>
      <w:rFonts w:ascii="Calibri" w:eastAsiaTheme="minorEastAsia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de10a323-94a9-4e93-88b4-ea964576960d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0EFB8F-6EB4-4966-A6F1-E82C903D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PA_RAG17.dotx</Template>
  <TotalTime>118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62</cp:revision>
  <cp:lastPrinted>2016-06-07T13:25:00Z</cp:lastPrinted>
  <dcterms:created xsi:type="dcterms:W3CDTF">2017-04-21T07:20:00Z</dcterms:created>
  <dcterms:modified xsi:type="dcterms:W3CDTF">2017-04-24T14:52:00Z</dcterms:modified>
  <cp:category>Conference document</cp:category>
</cp:coreProperties>
</file>