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844AAF" w:rsidTr="00443261">
        <w:trPr>
          <w:cantSplit/>
        </w:trPr>
        <w:tc>
          <w:tcPr>
            <w:tcW w:w="6771" w:type="dxa"/>
            <w:vAlign w:val="center"/>
          </w:tcPr>
          <w:p w:rsidR="00443261" w:rsidRPr="00844AAF" w:rsidRDefault="00443261" w:rsidP="001124E1">
            <w:pPr>
              <w:shd w:val="solid" w:color="FFFFFF" w:fill="FFFFFF"/>
              <w:spacing w:before="360" w:after="240"/>
              <w:rPr>
                <w:rFonts w:ascii="Verdana" w:hAnsi="Verdana"/>
                <w:b/>
                <w:bCs/>
              </w:rPr>
            </w:pPr>
            <w:r w:rsidRPr="00844AAF">
              <w:rPr>
                <w:rFonts w:ascii="Verdana" w:hAnsi="Verdana" w:cs="Times New Roman Bold"/>
                <w:b/>
                <w:sz w:val="25"/>
                <w:szCs w:val="25"/>
              </w:rPr>
              <w:t>Groupe Consultatif des Radiocommunications</w:t>
            </w:r>
            <w:r w:rsidRPr="00844AAF">
              <w:rPr>
                <w:rFonts w:ascii="Verdana" w:hAnsi="Verdana"/>
                <w:b/>
                <w:sz w:val="25"/>
                <w:szCs w:val="25"/>
              </w:rPr>
              <w:br/>
            </w:r>
            <w:r w:rsidRPr="00844AAF">
              <w:rPr>
                <w:rFonts w:ascii="Verdana" w:hAnsi="Verdana" w:cs="Times New Roman Bold"/>
                <w:b/>
                <w:bCs/>
                <w:sz w:val="20"/>
              </w:rPr>
              <w:t>Genève,</w:t>
            </w:r>
            <w:r w:rsidRPr="00844AAF">
              <w:rPr>
                <w:rFonts w:ascii="Verdana" w:hAnsi="Verdana"/>
                <w:b/>
                <w:bCs/>
                <w:sz w:val="20"/>
              </w:rPr>
              <w:t xml:space="preserve"> 26-28 avril 2017</w:t>
            </w:r>
          </w:p>
        </w:tc>
        <w:tc>
          <w:tcPr>
            <w:tcW w:w="3118" w:type="dxa"/>
          </w:tcPr>
          <w:p w:rsidR="00443261" w:rsidRPr="00844AAF" w:rsidRDefault="00443261" w:rsidP="001124E1">
            <w:pPr>
              <w:shd w:val="solid" w:color="FFFFFF" w:fill="FFFFFF"/>
              <w:spacing w:before="0"/>
              <w:jc w:val="right"/>
            </w:pPr>
            <w:r w:rsidRPr="00844AAF">
              <w:rPr>
                <w:rFonts w:cstheme="minorHAnsi"/>
                <w:b/>
                <w:bCs/>
                <w:noProof/>
                <w:lang w:val="en-US"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844AAF">
        <w:trPr>
          <w:cantSplit/>
        </w:trPr>
        <w:tc>
          <w:tcPr>
            <w:tcW w:w="6771" w:type="dxa"/>
            <w:tcBorders>
              <w:bottom w:val="single" w:sz="12" w:space="0" w:color="auto"/>
            </w:tcBorders>
          </w:tcPr>
          <w:p w:rsidR="002D238A" w:rsidRPr="00844AAF" w:rsidRDefault="002D238A" w:rsidP="001124E1">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844AAF" w:rsidRDefault="002D238A" w:rsidP="001124E1">
            <w:pPr>
              <w:shd w:val="solid" w:color="FFFFFF" w:fill="FFFFFF"/>
              <w:spacing w:before="0" w:after="48"/>
              <w:rPr>
                <w:sz w:val="22"/>
                <w:szCs w:val="22"/>
              </w:rPr>
            </w:pPr>
          </w:p>
        </w:tc>
      </w:tr>
      <w:tr w:rsidR="002D238A" w:rsidRPr="00844AAF">
        <w:trPr>
          <w:cantSplit/>
        </w:trPr>
        <w:tc>
          <w:tcPr>
            <w:tcW w:w="6771" w:type="dxa"/>
            <w:tcBorders>
              <w:top w:val="single" w:sz="12" w:space="0" w:color="auto"/>
            </w:tcBorders>
          </w:tcPr>
          <w:p w:rsidR="002D238A" w:rsidRPr="00844AAF" w:rsidRDefault="002D238A" w:rsidP="001124E1">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844AAF" w:rsidRDefault="002D238A" w:rsidP="001124E1">
            <w:pPr>
              <w:shd w:val="solid" w:color="FFFFFF" w:fill="FFFFFF"/>
              <w:spacing w:before="0" w:after="48"/>
              <w:rPr>
                <w:rFonts w:ascii="Verdana" w:hAnsi="Verdana"/>
                <w:sz w:val="22"/>
                <w:szCs w:val="22"/>
              </w:rPr>
            </w:pPr>
          </w:p>
        </w:tc>
      </w:tr>
      <w:tr w:rsidR="002D238A" w:rsidRPr="00844AAF">
        <w:trPr>
          <w:cantSplit/>
        </w:trPr>
        <w:tc>
          <w:tcPr>
            <w:tcW w:w="6771" w:type="dxa"/>
            <w:vMerge w:val="restart"/>
          </w:tcPr>
          <w:p w:rsidR="002D238A" w:rsidRPr="00844AAF" w:rsidRDefault="002D238A" w:rsidP="001124E1">
            <w:pPr>
              <w:shd w:val="solid" w:color="FFFFFF" w:fill="FFFFFF"/>
              <w:spacing w:after="240"/>
              <w:rPr>
                <w:sz w:val="20"/>
              </w:rPr>
            </w:pPr>
            <w:bookmarkStart w:id="0" w:name="dnum" w:colFirst="1" w:colLast="1"/>
          </w:p>
        </w:tc>
        <w:tc>
          <w:tcPr>
            <w:tcW w:w="3118" w:type="dxa"/>
          </w:tcPr>
          <w:p w:rsidR="002D238A" w:rsidRPr="00844AAF" w:rsidRDefault="001124E1" w:rsidP="001124E1">
            <w:pPr>
              <w:shd w:val="solid" w:color="FFFFFF" w:fill="FFFFFF"/>
              <w:spacing w:before="0"/>
              <w:rPr>
                <w:rFonts w:ascii="Verdana" w:hAnsi="Verdana"/>
                <w:sz w:val="20"/>
              </w:rPr>
            </w:pPr>
            <w:r w:rsidRPr="00844AAF">
              <w:rPr>
                <w:rFonts w:ascii="Verdana" w:hAnsi="Verdana"/>
                <w:b/>
                <w:sz w:val="20"/>
              </w:rPr>
              <w:t>Document RAG17/10-F</w:t>
            </w:r>
          </w:p>
        </w:tc>
      </w:tr>
      <w:tr w:rsidR="002D238A" w:rsidRPr="00844AAF">
        <w:trPr>
          <w:cantSplit/>
        </w:trPr>
        <w:tc>
          <w:tcPr>
            <w:tcW w:w="6771" w:type="dxa"/>
            <w:vMerge/>
          </w:tcPr>
          <w:p w:rsidR="002D238A" w:rsidRPr="00844AAF" w:rsidRDefault="002D238A" w:rsidP="001124E1">
            <w:pPr>
              <w:spacing w:before="60"/>
              <w:jc w:val="center"/>
              <w:rPr>
                <w:b/>
                <w:smallCaps/>
                <w:sz w:val="32"/>
              </w:rPr>
            </w:pPr>
            <w:bookmarkStart w:id="1" w:name="ddate" w:colFirst="1" w:colLast="1"/>
            <w:bookmarkEnd w:id="0"/>
          </w:p>
        </w:tc>
        <w:tc>
          <w:tcPr>
            <w:tcW w:w="3118" w:type="dxa"/>
          </w:tcPr>
          <w:p w:rsidR="002D238A" w:rsidRPr="00844AAF" w:rsidRDefault="001124E1" w:rsidP="001124E1">
            <w:pPr>
              <w:shd w:val="solid" w:color="FFFFFF" w:fill="FFFFFF"/>
              <w:spacing w:before="0"/>
              <w:rPr>
                <w:rFonts w:ascii="Verdana" w:hAnsi="Verdana"/>
                <w:sz w:val="20"/>
              </w:rPr>
            </w:pPr>
            <w:r w:rsidRPr="00844AAF">
              <w:rPr>
                <w:rFonts w:ascii="Verdana" w:hAnsi="Verdana"/>
                <w:b/>
                <w:sz w:val="20"/>
              </w:rPr>
              <w:t>11 avril 2017</w:t>
            </w:r>
          </w:p>
        </w:tc>
      </w:tr>
      <w:tr w:rsidR="002D238A" w:rsidRPr="00844AAF">
        <w:trPr>
          <w:cantSplit/>
        </w:trPr>
        <w:tc>
          <w:tcPr>
            <w:tcW w:w="6771" w:type="dxa"/>
            <w:vMerge/>
          </w:tcPr>
          <w:p w:rsidR="002D238A" w:rsidRPr="00844AAF" w:rsidRDefault="002D238A" w:rsidP="001124E1">
            <w:pPr>
              <w:spacing w:before="60"/>
              <w:jc w:val="center"/>
              <w:rPr>
                <w:b/>
                <w:smallCaps/>
                <w:sz w:val="32"/>
              </w:rPr>
            </w:pPr>
            <w:bookmarkStart w:id="2" w:name="dorlang" w:colFirst="1" w:colLast="1"/>
            <w:bookmarkEnd w:id="1"/>
          </w:p>
        </w:tc>
        <w:tc>
          <w:tcPr>
            <w:tcW w:w="3118" w:type="dxa"/>
          </w:tcPr>
          <w:p w:rsidR="002D238A" w:rsidRPr="00844AAF" w:rsidRDefault="001124E1" w:rsidP="001124E1">
            <w:pPr>
              <w:shd w:val="solid" w:color="FFFFFF" w:fill="FFFFFF"/>
              <w:spacing w:before="0" w:after="120"/>
              <w:rPr>
                <w:rFonts w:ascii="Verdana" w:hAnsi="Verdana"/>
                <w:sz w:val="20"/>
              </w:rPr>
            </w:pPr>
            <w:r w:rsidRPr="00844AAF">
              <w:rPr>
                <w:rFonts w:ascii="Verdana" w:hAnsi="Verdana"/>
                <w:b/>
                <w:sz w:val="20"/>
              </w:rPr>
              <w:t>Original: russe</w:t>
            </w:r>
          </w:p>
        </w:tc>
      </w:tr>
      <w:tr w:rsidR="002D238A" w:rsidRPr="00844AAF">
        <w:trPr>
          <w:cantSplit/>
        </w:trPr>
        <w:tc>
          <w:tcPr>
            <w:tcW w:w="9889" w:type="dxa"/>
            <w:gridSpan w:val="2"/>
          </w:tcPr>
          <w:p w:rsidR="002D238A" w:rsidRPr="00844AAF" w:rsidRDefault="001124E1" w:rsidP="001124E1">
            <w:pPr>
              <w:pStyle w:val="Source"/>
            </w:pPr>
            <w:bookmarkStart w:id="3" w:name="dsource" w:colFirst="0" w:colLast="0"/>
            <w:bookmarkEnd w:id="2"/>
            <w:r w:rsidRPr="00844AAF">
              <w:rPr>
                <w:lang w:eastAsia="zh-CN"/>
              </w:rPr>
              <w:t>Fédération de Russie</w:t>
            </w:r>
          </w:p>
        </w:tc>
      </w:tr>
      <w:tr w:rsidR="002D238A" w:rsidRPr="00844AAF">
        <w:trPr>
          <w:cantSplit/>
        </w:trPr>
        <w:tc>
          <w:tcPr>
            <w:tcW w:w="9889" w:type="dxa"/>
            <w:gridSpan w:val="2"/>
          </w:tcPr>
          <w:p w:rsidR="002D238A" w:rsidRPr="00844AAF" w:rsidRDefault="001124E1" w:rsidP="001124E1">
            <w:pPr>
              <w:pStyle w:val="Title1"/>
            </w:pPr>
            <w:bookmarkStart w:id="4" w:name="dtitle1" w:colFirst="0" w:colLast="0"/>
            <w:bookmarkEnd w:id="3"/>
            <w:r w:rsidRPr="00844AAF">
              <w:rPr>
                <w:lang w:eastAsia="zh-CN"/>
              </w:rPr>
              <w:t xml:space="preserve">Propositions relatives au projet de budget du Secteur des radiocommunications pour la période 2018-2019, sur la </w:t>
            </w:r>
            <w:r w:rsidRPr="00844AAF">
              <w:rPr>
                <w:lang w:eastAsia="zh-CN"/>
              </w:rPr>
              <w:br/>
              <w:t xml:space="preserve">base d'une analyse des ressources financières et des ressources humaines de l'UIT-R pendant </w:t>
            </w:r>
            <w:r w:rsidRPr="00844AAF">
              <w:rPr>
                <w:lang w:eastAsia="zh-CN"/>
              </w:rPr>
              <w:br/>
              <w:t>la période 1996-2017</w:t>
            </w:r>
          </w:p>
        </w:tc>
      </w:tr>
    </w:tbl>
    <w:bookmarkEnd w:id="4"/>
    <w:p w:rsidR="001124E1" w:rsidRPr="00844AAF" w:rsidRDefault="001124E1" w:rsidP="001124E1">
      <w:pPr>
        <w:pStyle w:val="Heading1"/>
      </w:pPr>
      <w:r w:rsidRPr="00844AAF">
        <w:t>1</w:t>
      </w:r>
      <w:r w:rsidRPr="00844AAF">
        <w:tab/>
        <w:t>Introduction</w:t>
      </w:r>
    </w:p>
    <w:p w:rsidR="001124E1" w:rsidRPr="00844AAF" w:rsidRDefault="001124E1" w:rsidP="00DD2E25">
      <w:pPr>
        <w:spacing w:after="120"/>
        <w:rPr>
          <w:lang w:eastAsia="zh-CN"/>
        </w:rPr>
      </w:pPr>
      <w:r w:rsidRPr="00844AAF">
        <w:rPr>
          <w:lang w:eastAsia="zh-CN"/>
        </w:rPr>
        <w:t>Conformément à son objet défini dans l'</w:t>
      </w:r>
      <w:r w:rsidR="00DD2E25">
        <w:rPr>
          <w:lang w:eastAsia="zh-CN"/>
        </w:rPr>
        <w:t>a</w:t>
      </w:r>
      <w:r w:rsidRPr="00844AAF">
        <w:rPr>
          <w:lang w:eastAsia="zh-CN"/>
        </w:rPr>
        <w:t>rticle 1 de la Constitution, l'</w:t>
      </w:r>
      <w:r w:rsidR="00DD2E25">
        <w:rPr>
          <w:lang w:eastAsia="zh-CN"/>
        </w:rPr>
        <w:t>Union</w:t>
      </w:r>
      <w:r w:rsidRPr="00844AAF">
        <w:rPr>
          <w:lang w:eastAsia="zh-CN"/>
        </w:rPr>
        <w:t>:</w:t>
      </w:r>
    </w:p>
    <w:tbl>
      <w:tblPr>
        <w:tblW w:w="5000" w:type="pct"/>
        <w:tblCellMar>
          <w:left w:w="0" w:type="dxa"/>
          <w:right w:w="0" w:type="dxa"/>
        </w:tblCellMar>
        <w:tblLook w:val="0000" w:firstRow="0" w:lastRow="0" w:firstColumn="0" w:lastColumn="0" w:noHBand="0" w:noVBand="0"/>
      </w:tblPr>
      <w:tblGrid>
        <w:gridCol w:w="898"/>
        <w:gridCol w:w="8741"/>
      </w:tblGrid>
      <w:tr w:rsidR="001124E1" w:rsidRPr="00844AAF" w:rsidTr="00013E8A">
        <w:tc>
          <w:tcPr>
            <w:tcW w:w="466" w:type="pct"/>
            <w:tcMar>
              <w:left w:w="108" w:type="dxa"/>
              <w:right w:w="108" w:type="dxa"/>
            </w:tcMar>
          </w:tcPr>
          <w:p w:rsidR="001124E1" w:rsidRPr="00844AAF" w:rsidRDefault="001124E1" w:rsidP="001124E1">
            <w:pPr>
              <w:rPr>
                <w:b/>
                <w:i/>
                <w:lang w:eastAsia="zh-CN"/>
              </w:rPr>
            </w:pPr>
            <w:r w:rsidRPr="00844AAF">
              <w:rPr>
                <w:b/>
                <w:i/>
                <w:lang w:eastAsia="zh-CN"/>
              </w:rPr>
              <w:t>11</w:t>
            </w:r>
            <w:r w:rsidRPr="00844AAF">
              <w:rPr>
                <w:b/>
                <w:i/>
                <w:lang w:eastAsia="zh-CN"/>
              </w:rPr>
              <w:br/>
              <w:t>PP-98</w:t>
            </w:r>
          </w:p>
        </w:tc>
        <w:tc>
          <w:tcPr>
            <w:tcW w:w="4534" w:type="pct"/>
            <w:tcMar>
              <w:left w:w="108" w:type="dxa"/>
              <w:right w:w="108" w:type="dxa"/>
            </w:tcMar>
          </w:tcPr>
          <w:p w:rsidR="001124E1" w:rsidRPr="00844AAF" w:rsidRDefault="001124E1" w:rsidP="001124E1">
            <w:pPr>
              <w:pStyle w:val="enumlev1"/>
              <w:rPr>
                <w:i/>
                <w:lang w:eastAsia="zh-CN"/>
              </w:rPr>
            </w:pPr>
            <w:r w:rsidRPr="00844AAF">
              <w:rPr>
                <w:i/>
                <w:lang w:eastAsia="zh-CN"/>
              </w:rPr>
              <w:t>a)</w:t>
            </w:r>
            <w:r w:rsidRPr="00844AAF">
              <w:rPr>
                <w:i/>
                <w:lang w:eastAsia="zh-CN"/>
              </w:rPr>
              <w:tab/>
              <w:t>effectue l'attribution des bandes de fréquences du spectre radioélectrique, l'allotissement des fréquences radioélectriques et l'enregistrement des assignations de fréquence et, pour les services spatiaux, de toute position orbitale associée sur l'orbite des satellites géostationnaires ou de toute caractéristique associée de satellites sur d'autres orbites afin d'éviter les brouillages préjudiciables entre les stations de radiocommunication des différents pays;</w:t>
            </w:r>
          </w:p>
        </w:tc>
      </w:tr>
      <w:tr w:rsidR="001124E1" w:rsidRPr="00844AAF" w:rsidTr="00013E8A">
        <w:tc>
          <w:tcPr>
            <w:tcW w:w="466" w:type="pct"/>
            <w:tcMar>
              <w:left w:w="108" w:type="dxa"/>
              <w:right w:w="108" w:type="dxa"/>
            </w:tcMar>
          </w:tcPr>
          <w:p w:rsidR="001124E1" w:rsidRPr="00844AAF" w:rsidRDefault="001124E1" w:rsidP="001124E1">
            <w:pPr>
              <w:rPr>
                <w:b/>
                <w:i/>
                <w:lang w:eastAsia="zh-CN"/>
              </w:rPr>
            </w:pPr>
            <w:r w:rsidRPr="00844AAF">
              <w:rPr>
                <w:b/>
                <w:i/>
                <w:lang w:eastAsia="zh-CN"/>
              </w:rPr>
              <w:t>12</w:t>
            </w:r>
            <w:r w:rsidRPr="00844AAF">
              <w:rPr>
                <w:b/>
                <w:i/>
                <w:lang w:eastAsia="zh-CN"/>
              </w:rPr>
              <w:br/>
              <w:t>PP-98</w:t>
            </w:r>
          </w:p>
        </w:tc>
        <w:tc>
          <w:tcPr>
            <w:tcW w:w="4534" w:type="pct"/>
            <w:tcMar>
              <w:left w:w="108" w:type="dxa"/>
              <w:right w:w="108" w:type="dxa"/>
            </w:tcMar>
          </w:tcPr>
          <w:p w:rsidR="001124E1" w:rsidRPr="00844AAF" w:rsidRDefault="001124E1" w:rsidP="001124E1">
            <w:pPr>
              <w:pStyle w:val="enumlev1"/>
              <w:rPr>
                <w:i/>
                <w:lang w:eastAsia="zh-CN"/>
              </w:rPr>
            </w:pPr>
            <w:r w:rsidRPr="00844AAF">
              <w:rPr>
                <w:i/>
                <w:lang w:eastAsia="zh-CN"/>
              </w:rPr>
              <w:t>b)</w:t>
            </w:r>
            <w:r w:rsidRPr="00844AAF">
              <w:rPr>
                <w:i/>
                <w:lang w:eastAsia="zh-CN"/>
              </w:rPr>
              <w:tab/>
              <w:t>coordonne les efforts en vue d'éliminer les brouillages préjudiciables entre les stations de radiocommunication des différents pays et d'améliorer l'utilisation du spectre des fréquences radioélectriques pour les services de radiocommunication ainsi que de l'orbite des satellites géostationnaires;</w:t>
            </w:r>
          </w:p>
        </w:tc>
      </w:tr>
      <w:tr w:rsidR="001124E1" w:rsidRPr="00844AAF" w:rsidTr="00013E8A">
        <w:tc>
          <w:tcPr>
            <w:tcW w:w="466" w:type="pct"/>
            <w:tcMar>
              <w:left w:w="108" w:type="dxa"/>
              <w:right w:w="108" w:type="dxa"/>
            </w:tcMar>
          </w:tcPr>
          <w:p w:rsidR="001124E1" w:rsidRPr="00844AAF" w:rsidRDefault="001124E1" w:rsidP="001124E1">
            <w:pPr>
              <w:rPr>
                <w:b/>
                <w:i/>
                <w:lang w:eastAsia="zh-CN"/>
              </w:rPr>
            </w:pPr>
            <w:r w:rsidRPr="00844AAF">
              <w:rPr>
                <w:b/>
                <w:i/>
                <w:lang w:eastAsia="zh-CN"/>
              </w:rPr>
              <w:t>15</w:t>
            </w:r>
          </w:p>
        </w:tc>
        <w:tc>
          <w:tcPr>
            <w:tcW w:w="4534" w:type="pct"/>
            <w:tcMar>
              <w:left w:w="108" w:type="dxa"/>
              <w:right w:w="108" w:type="dxa"/>
            </w:tcMar>
          </w:tcPr>
          <w:p w:rsidR="001124E1" w:rsidRPr="00844AAF" w:rsidRDefault="001124E1" w:rsidP="001124E1">
            <w:pPr>
              <w:pStyle w:val="enumlev1"/>
              <w:rPr>
                <w:i/>
                <w:lang w:eastAsia="zh-CN"/>
              </w:rPr>
            </w:pPr>
            <w:r w:rsidRPr="00844AAF">
              <w:rPr>
                <w:i/>
                <w:lang w:eastAsia="zh-CN"/>
              </w:rPr>
              <w:t>e)</w:t>
            </w:r>
            <w:r w:rsidRPr="00844AAF">
              <w:rPr>
                <w:i/>
                <w:lang w:eastAsia="zh-CN"/>
              </w:rPr>
              <w:tab/>
              <w:t>coordonne les efforts en vue d'harmoniser le développement des moyens de télécommunication, notamment ceux faisant appel aux techniques spatiales, de manière à utiliser au mieux les possibilités qu'ils offrent;</w:t>
            </w:r>
          </w:p>
        </w:tc>
      </w:tr>
    </w:tbl>
    <w:p w:rsidR="001124E1" w:rsidRPr="00844AAF" w:rsidRDefault="001124E1" w:rsidP="001124E1">
      <w:pPr>
        <w:rPr>
          <w:lang w:eastAsia="zh-CN"/>
        </w:rPr>
      </w:pPr>
      <w:r w:rsidRPr="00844AAF">
        <w:rPr>
          <w:lang w:eastAsia="zh-CN"/>
        </w:rPr>
        <w:t>…</w:t>
      </w:r>
    </w:p>
    <w:p w:rsidR="001124E1" w:rsidRPr="00844AAF" w:rsidRDefault="00DE3AD3" w:rsidP="001124E1">
      <w:pPr>
        <w:rPr>
          <w:lang w:eastAsia="zh-CN"/>
        </w:rPr>
      </w:pPr>
      <w:r w:rsidRPr="00844AAF">
        <w:rPr>
          <w:lang w:eastAsia="zh-CN"/>
        </w:rPr>
        <w:t>La poursuite de c</w:t>
      </w:r>
      <w:r w:rsidR="001124E1" w:rsidRPr="00844AAF">
        <w:rPr>
          <w:lang w:eastAsia="zh-CN"/>
        </w:rPr>
        <w:t>es objectifs et de nombreux autres</w:t>
      </w:r>
      <w:r w:rsidRPr="00844AAF">
        <w:rPr>
          <w:lang w:eastAsia="zh-CN"/>
        </w:rPr>
        <w:t>,</w:t>
      </w:r>
      <w:r w:rsidR="001124E1" w:rsidRPr="00844AAF">
        <w:rPr>
          <w:lang w:eastAsia="zh-CN"/>
        </w:rPr>
        <w:t xml:space="preserve"> en particulier celui de l'élaboration de normes relatives aux radiocommunications (Recommandations de l'UIT-R avec la terminologie de l'UIT) s'inscrit dans le cadre des travaux du Secteur des radiocommunications (UIT-R) et de son secrétariat, le Bureau des radiocommunications (BR).</w:t>
      </w:r>
    </w:p>
    <w:p w:rsidR="001124E1" w:rsidRPr="00844AAF" w:rsidRDefault="00DE3AD3" w:rsidP="00DE3AD3">
      <w:pPr>
        <w:rPr>
          <w:lang w:eastAsia="zh-CN"/>
        </w:rPr>
      </w:pPr>
      <w:r w:rsidRPr="00844AAF">
        <w:rPr>
          <w:lang w:eastAsia="zh-CN"/>
        </w:rPr>
        <w:t>Comment accroître</w:t>
      </w:r>
      <w:r w:rsidR="001124E1" w:rsidRPr="00844AAF">
        <w:rPr>
          <w:lang w:eastAsia="zh-CN"/>
        </w:rPr>
        <w:t xml:space="preserve"> l'efficacité d'utilisation du spectre des fréquences radioélectriques et des orbites de satellites </w:t>
      </w:r>
      <w:r w:rsidRPr="00844AAF">
        <w:rPr>
          <w:lang w:eastAsia="zh-CN"/>
        </w:rPr>
        <w:t>est une question qui, ces dernières décennies, a suscité un intérêt grandissant</w:t>
      </w:r>
      <w:r w:rsidR="001124E1" w:rsidRPr="00844AAF">
        <w:rPr>
          <w:lang w:eastAsia="zh-CN"/>
        </w:rPr>
        <w:t xml:space="preserve">. </w:t>
      </w:r>
      <w:r w:rsidRPr="00844AAF">
        <w:rPr>
          <w:lang w:eastAsia="zh-CN"/>
        </w:rPr>
        <w:t>L</w:t>
      </w:r>
      <w:r w:rsidR="001124E1" w:rsidRPr="00844AAF">
        <w:rPr>
          <w:lang w:eastAsia="zh-CN"/>
        </w:rPr>
        <w:t xml:space="preserve">'augmentation </w:t>
      </w:r>
      <w:r w:rsidRPr="00844AAF">
        <w:rPr>
          <w:lang w:eastAsia="zh-CN"/>
        </w:rPr>
        <w:t xml:space="preserve">constante </w:t>
      </w:r>
      <w:r w:rsidR="001124E1" w:rsidRPr="00844AAF">
        <w:rPr>
          <w:lang w:eastAsia="zh-CN"/>
        </w:rPr>
        <w:t>du nombre de participants aux conférences mondiales des radiocommunications (CMR) avec près de 2</w:t>
      </w:r>
      <w:r w:rsidR="0007345D">
        <w:rPr>
          <w:lang w:eastAsia="zh-CN"/>
        </w:rPr>
        <w:t> </w:t>
      </w:r>
      <w:r w:rsidR="001124E1" w:rsidRPr="00844AAF">
        <w:rPr>
          <w:lang w:eastAsia="zh-CN"/>
        </w:rPr>
        <w:t>000 participants in</w:t>
      </w:r>
      <w:r w:rsidR="00364B4C">
        <w:rPr>
          <w:lang w:eastAsia="zh-CN"/>
        </w:rPr>
        <w:t>scrits pour la CMR-97 (tenue en </w:t>
      </w:r>
      <w:r w:rsidR="001124E1" w:rsidRPr="00844AAF">
        <w:rPr>
          <w:lang w:eastAsia="zh-CN"/>
        </w:rPr>
        <w:t>1997) et plus de 3</w:t>
      </w:r>
      <w:r w:rsidR="0007345D">
        <w:rPr>
          <w:lang w:eastAsia="zh-CN"/>
        </w:rPr>
        <w:t> </w:t>
      </w:r>
      <w:r w:rsidR="001124E1" w:rsidRPr="00844AAF">
        <w:rPr>
          <w:lang w:eastAsia="zh-CN"/>
        </w:rPr>
        <w:t>300 pour la CMR-15 (tenue en 2015)</w:t>
      </w:r>
      <w:r w:rsidRPr="00844AAF">
        <w:rPr>
          <w:lang w:eastAsia="zh-CN"/>
        </w:rPr>
        <w:t>, en est la preuve</w:t>
      </w:r>
      <w:r w:rsidR="001124E1" w:rsidRPr="00844AAF">
        <w:rPr>
          <w:lang w:eastAsia="zh-CN"/>
        </w:rPr>
        <w:t>.</w:t>
      </w:r>
    </w:p>
    <w:p w:rsidR="001124E1" w:rsidRPr="00844AAF" w:rsidRDefault="001124E1" w:rsidP="00EF4ECD">
      <w:pPr>
        <w:rPr>
          <w:lang w:eastAsia="zh-CN"/>
        </w:rPr>
      </w:pPr>
      <w:r w:rsidRPr="00844AAF">
        <w:rPr>
          <w:lang w:eastAsia="zh-CN"/>
        </w:rPr>
        <w:lastRenderedPageBreak/>
        <w:t xml:space="preserve">Dans le même temps, </w:t>
      </w:r>
      <w:r w:rsidR="00EF4ECD" w:rsidRPr="00844AAF">
        <w:rPr>
          <w:lang w:eastAsia="zh-CN"/>
        </w:rPr>
        <w:t>la liste</w:t>
      </w:r>
      <w:r w:rsidRPr="00844AAF">
        <w:rPr>
          <w:lang w:eastAsia="zh-CN"/>
        </w:rPr>
        <w:t xml:space="preserve"> des tâches qui sont actuellement effectuées par le personnel du Bureau des radiocommunications,</w:t>
      </w:r>
      <w:r w:rsidR="00EF4ECD" w:rsidRPr="00844AAF">
        <w:rPr>
          <w:lang w:eastAsia="zh-CN"/>
        </w:rPr>
        <w:t xml:space="preserve"> véritable</w:t>
      </w:r>
      <w:r w:rsidRPr="00844AAF">
        <w:rPr>
          <w:lang w:eastAsia="zh-CN"/>
        </w:rPr>
        <w:t xml:space="preserve"> rouage exécutif du système international de gestion du spectre et des orbites de satellites</w:t>
      </w:r>
      <w:r w:rsidR="00EF4ECD" w:rsidRPr="00844AAF">
        <w:rPr>
          <w:lang w:eastAsia="zh-CN"/>
        </w:rPr>
        <w:t>, s'allonge, leur complexité s'accroît et leur volume augmente.</w:t>
      </w:r>
    </w:p>
    <w:p w:rsidR="001124E1" w:rsidRPr="00844AAF" w:rsidRDefault="001124E1" w:rsidP="00EF4ECD">
      <w:pPr>
        <w:rPr>
          <w:lang w:eastAsia="zh-CN"/>
        </w:rPr>
      </w:pPr>
      <w:r w:rsidRPr="00844AAF">
        <w:rPr>
          <w:lang w:eastAsia="zh-CN"/>
        </w:rPr>
        <w:t xml:space="preserve">Dans le cadre de ses activités, le personnel hautement qualifié du BR non seulement garantit la conformité aux dispositions du Règlement des radiocommunications mais aussi fournit une assistance importante et diversifiée aux administrations et aux opérateurs de télécommunication. Ces dernières années, </w:t>
      </w:r>
      <w:r w:rsidR="00EF4ECD" w:rsidRPr="00844AAF">
        <w:rPr>
          <w:lang w:eastAsia="zh-CN"/>
        </w:rPr>
        <w:t>en particulier</w:t>
      </w:r>
      <w:r w:rsidR="00443815">
        <w:rPr>
          <w:lang w:eastAsia="zh-CN"/>
        </w:rPr>
        <w:t>,</w:t>
      </w:r>
      <w:r w:rsidRPr="00844AAF">
        <w:rPr>
          <w:lang w:eastAsia="zh-CN"/>
        </w:rPr>
        <w:t xml:space="preserve"> une large gamme d'activités complexes </w:t>
      </w:r>
      <w:r w:rsidR="00EF4ECD" w:rsidRPr="00844AAF">
        <w:rPr>
          <w:lang w:eastAsia="zh-CN"/>
        </w:rPr>
        <w:t xml:space="preserve">ont été entreprises, </w:t>
      </w:r>
      <w:r w:rsidRPr="00844AAF">
        <w:rPr>
          <w:lang w:eastAsia="zh-CN"/>
        </w:rPr>
        <w:t xml:space="preserve">visant à </w:t>
      </w:r>
      <w:r w:rsidR="00EF4ECD" w:rsidRPr="00844AAF">
        <w:rPr>
          <w:lang w:eastAsia="zh-CN"/>
        </w:rPr>
        <w:t>revoir concrètement</w:t>
      </w:r>
      <w:r w:rsidRPr="00844AAF">
        <w:rPr>
          <w:lang w:eastAsia="zh-CN"/>
        </w:rPr>
        <w:t xml:space="preserve"> la façon dont le spectre est utilisé par les systèmes de télévision et à harmoniser les bandes de fréquences utilisées par les systèmes de communication mobile</w:t>
      </w:r>
      <w:r w:rsidR="00EF4ECD" w:rsidRPr="00844AAF">
        <w:rPr>
          <w:lang w:eastAsia="zh-CN"/>
        </w:rPr>
        <w:t>s</w:t>
      </w:r>
      <w:r w:rsidRPr="00844AAF">
        <w:rPr>
          <w:lang w:eastAsia="zh-CN"/>
        </w:rPr>
        <w:t xml:space="preserve"> de Terre de quatrième génération et </w:t>
      </w:r>
      <w:r w:rsidR="00EF4ECD" w:rsidRPr="00844AAF">
        <w:rPr>
          <w:lang w:eastAsia="zh-CN"/>
        </w:rPr>
        <w:t xml:space="preserve">enfin </w:t>
      </w:r>
      <w:r w:rsidRPr="00844AAF">
        <w:rPr>
          <w:lang w:eastAsia="zh-CN"/>
        </w:rPr>
        <w:t>à fournir le concours d'experts da</w:t>
      </w:r>
      <w:r w:rsidR="006A1D18" w:rsidRPr="00844AAF">
        <w:rPr>
          <w:lang w:eastAsia="zh-CN"/>
        </w:rPr>
        <w:t>ns de nombreux autres domaines.</w:t>
      </w:r>
    </w:p>
    <w:p w:rsidR="001124E1" w:rsidRPr="00844AAF" w:rsidRDefault="00BE07FE" w:rsidP="00BE07FE">
      <w:pPr>
        <w:rPr>
          <w:lang w:eastAsia="zh-CN"/>
        </w:rPr>
      </w:pPr>
      <w:proofErr w:type="spellStart"/>
      <w:r w:rsidRPr="00844AAF">
        <w:rPr>
          <w:lang w:eastAsia="zh-CN"/>
        </w:rPr>
        <w:t>E</w:t>
      </w:r>
      <w:r w:rsidR="001124E1" w:rsidRPr="00844AAF">
        <w:rPr>
          <w:lang w:eastAsia="zh-CN"/>
        </w:rPr>
        <w:t>tant</w:t>
      </w:r>
      <w:proofErr w:type="spellEnd"/>
      <w:r w:rsidR="001124E1" w:rsidRPr="00844AAF">
        <w:rPr>
          <w:lang w:eastAsia="zh-CN"/>
        </w:rPr>
        <w:t xml:space="preserve"> donné que les ressources financières et les ressources humaines de l'UIT-R en général e</w:t>
      </w:r>
      <w:r w:rsidR="00EB2006">
        <w:rPr>
          <w:lang w:eastAsia="zh-CN"/>
        </w:rPr>
        <w:t>t du </w:t>
      </w:r>
      <w:r w:rsidR="001124E1" w:rsidRPr="00844AAF">
        <w:rPr>
          <w:lang w:eastAsia="zh-CN"/>
        </w:rPr>
        <w:t xml:space="preserve">BR sont limitées, il serait judicieux d'évaluer ces ressources et d'élaborer des propositions pour </w:t>
      </w:r>
      <w:r w:rsidRPr="00844AAF">
        <w:rPr>
          <w:lang w:eastAsia="zh-CN"/>
        </w:rPr>
        <w:t xml:space="preserve">en assurer une utilisation rationnelle à </w:t>
      </w:r>
      <w:r w:rsidR="001124E1" w:rsidRPr="00844AAF">
        <w:rPr>
          <w:lang w:eastAsia="zh-CN"/>
        </w:rPr>
        <w:t>l'avenir.</w:t>
      </w:r>
    </w:p>
    <w:p w:rsidR="001124E1" w:rsidRPr="00844AAF" w:rsidRDefault="001124E1" w:rsidP="001124E1">
      <w:pPr>
        <w:pStyle w:val="Heading1"/>
        <w:rPr>
          <w:lang w:eastAsia="zh-CN"/>
        </w:rPr>
      </w:pPr>
      <w:r w:rsidRPr="00844AAF">
        <w:rPr>
          <w:lang w:eastAsia="zh-CN"/>
        </w:rPr>
        <w:t>2</w:t>
      </w:r>
      <w:r w:rsidRPr="00844AAF">
        <w:rPr>
          <w:lang w:eastAsia="zh-CN"/>
        </w:rPr>
        <w:tab/>
        <w:t xml:space="preserve">Analyse des ressources financières et des ressources humaines de l'UIT-R pendant la période </w:t>
      </w:r>
      <w:r w:rsidR="00BE07FE" w:rsidRPr="00844AAF">
        <w:rPr>
          <w:lang w:eastAsia="zh-CN"/>
        </w:rPr>
        <w:t>1996-</w:t>
      </w:r>
      <w:r w:rsidRPr="00844AAF">
        <w:rPr>
          <w:lang w:eastAsia="zh-CN"/>
        </w:rPr>
        <w:t>2017</w:t>
      </w:r>
    </w:p>
    <w:p w:rsidR="001124E1" w:rsidRPr="00844AAF" w:rsidRDefault="001124E1" w:rsidP="001124E1">
      <w:pPr>
        <w:pStyle w:val="Heading2"/>
        <w:rPr>
          <w:lang w:eastAsia="zh-CN"/>
        </w:rPr>
      </w:pPr>
      <w:r w:rsidRPr="00844AAF">
        <w:rPr>
          <w:lang w:eastAsia="zh-CN"/>
        </w:rPr>
        <w:t>2.1</w:t>
      </w:r>
      <w:r w:rsidRPr="00844AAF">
        <w:rPr>
          <w:lang w:eastAsia="zh-CN"/>
        </w:rPr>
        <w:tab/>
        <w:t>Analyse des ressources financières et des ressources humaines de l'UIT-R pendant la période 1996-2017 et comparaison avec le projet de budget pour la période 2018-2019</w:t>
      </w:r>
    </w:p>
    <w:p w:rsidR="001124E1" w:rsidRPr="00844AAF" w:rsidRDefault="001124E1" w:rsidP="001124E1">
      <w:pPr>
        <w:rPr>
          <w:lang w:eastAsia="zh-CN"/>
        </w:rPr>
      </w:pPr>
      <w:r w:rsidRPr="00844AAF">
        <w:rPr>
          <w:lang w:eastAsia="zh-CN"/>
        </w:rPr>
        <w:t>Le Tableau 1 et la Figure 1 fournissent des données statistiques qui illustrent l'évolution du budget de l'UIT-R tout au long de la période 1996-2017 (les données pour la période 2010-2019 sont extraites du Document </w:t>
      </w:r>
      <w:hyperlink r:id="rId7" w:history="1">
        <w:r w:rsidRPr="00844AAF">
          <w:rPr>
            <w:rStyle w:val="Hyperlink"/>
            <w:lang w:eastAsia="zh-CN"/>
          </w:rPr>
          <w:t>C17/10</w:t>
        </w:r>
      </w:hyperlink>
      <w:r w:rsidRPr="00844AAF">
        <w:rPr>
          <w:lang w:eastAsia="zh-CN"/>
        </w:rPr>
        <w:t>).</w:t>
      </w:r>
    </w:p>
    <w:p w:rsidR="001124E1" w:rsidRPr="00844AAF" w:rsidRDefault="001124E1" w:rsidP="00CE5E82">
      <w:pPr>
        <w:pStyle w:val="TableNoBR"/>
        <w:spacing w:before="360"/>
        <w:rPr>
          <w:lang w:eastAsia="zh-CN"/>
        </w:rPr>
      </w:pPr>
      <w:r w:rsidRPr="00844AAF">
        <w:rPr>
          <w:lang w:eastAsia="zh-CN"/>
        </w:rPr>
        <w:t>TableAU 1</w:t>
      </w:r>
    </w:p>
    <w:p w:rsidR="001124E1" w:rsidRPr="00844AAF" w:rsidRDefault="001124E1" w:rsidP="001124E1">
      <w:pPr>
        <w:pStyle w:val="TabletitleBR"/>
        <w:rPr>
          <w:lang w:eastAsia="zh-CN"/>
        </w:rPr>
      </w:pPr>
      <w:r w:rsidRPr="00844AAF">
        <w:rPr>
          <w:lang w:eastAsia="zh-CN"/>
        </w:rPr>
        <w:t>Budget de l'UIT R pendant la période 1996-2017</w:t>
      </w:r>
      <w:r w:rsidRPr="00844AAF">
        <w:rPr>
          <w:lang w:eastAsia="zh-CN"/>
        </w:rPr>
        <w:br/>
        <w:t>et projet de budget pour la période 2018-2019</w:t>
      </w:r>
    </w:p>
    <w:tbl>
      <w:tblPr>
        <w:tblStyle w:val="TableGrid"/>
        <w:tblW w:w="9749" w:type="dxa"/>
        <w:tblLayout w:type="fixed"/>
        <w:tblLook w:val="04A0" w:firstRow="1" w:lastRow="0" w:firstColumn="1" w:lastColumn="0" w:noHBand="0" w:noVBand="1"/>
      </w:tblPr>
      <w:tblGrid>
        <w:gridCol w:w="929"/>
        <w:gridCol w:w="1476"/>
        <w:gridCol w:w="992"/>
        <w:gridCol w:w="1132"/>
        <w:gridCol w:w="1566"/>
        <w:gridCol w:w="1404"/>
        <w:gridCol w:w="1080"/>
        <w:gridCol w:w="1170"/>
      </w:tblGrid>
      <w:tr w:rsidR="001124E1" w:rsidRPr="00844AAF" w:rsidTr="00013E8A">
        <w:tc>
          <w:tcPr>
            <w:tcW w:w="929" w:type="dxa"/>
            <w:tcMar>
              <w:left w:w="29" w:type="dxa"/>
              <w:right w:w="29" w:type="dxa"/>
            </w:tcMar>
            <w:vAlign w:val="center"/>
          </w:tcPr>
          <w:p w:rsidR="001124E1" w:rsidRPr="00844AAF" w:rsidRDefault="001124E1" w:rsidP="001124E1">
            <w:pPr>
              <w:pStyle w:val="Tablehead"/>
              <w:rPr>
                <w:lang w:eastAsia="zh-CN"/>
              </w:rPr>
            </w:pPr>
            <w:r w:rsidRPr="00844AAF">
              <w:rPr>
                <w:lang w:eastAsia="zh-CN"/>
              </w:rPr>
              <w:t>Période</w:t>
            </w:r>
          </w:p>
        </w:tc>
        <w:tc>
          <w:tcPr>
            <w:tcW w:w="1476" w:type="dxa"/>
            <w:tcMar>
              <w:left w:w="29" w:type="dxa"/>
              <w:right w:w="29" w:type="dxa"/>
            </w:tcMar>
            <w:vAlign w:val="center"/>
          </w:tcPr>
          <w:p w:rsidR="001124E1" w:rsidRPr="00844AAF" w:rsidRDefault="001124E1" w:rsidP="001124E1">
            <w:pPr>
              <w:pStyle w:val="Tablehead"/>
              <w:rPr>
                <w:lang w:eastAsia="zh-CN"/>
              </w:rPr>
            </w:pPr>
            <w:r w:rsidRPr="00844AAF">
              <w:rPr>
                <w:lang w:eastAsia="zh-CN"/>
              </w:rPr>
              <w:t>Document</w:t>
            </w:r>
          </w:p>
        </w:tc>
        <w:tc>
          <w:tcPr>
            <w:tcW w:w="992" w:type="dxa"/>
            <w:tcMar>
              <w:left w:w="29" w:type="dxa"/>
              <w:right w:w="29" w:type="dxa"/>
            </w:tcMar>
            <w:vAlign w:val="center"/>
          </w:tcPr>
          <w:p w:rsidR="001124E1" w:rsidRPr="00844AAF" w:rsidRDefault="001124E1" w:rsidP="001124E1">
            <w:pPr>
              <w:pStyle w:val="Tablehead"/>
              <w:rPr>
                <w:lang w:eastAsia="zh-CN"/>
              </w:rPr>
            </w:pPr>
            <w:r w:rsidRPr="00844AAF">
              <w:rPr>
                <w:lang w:eastAsia="zh-CN"/>
              </w:rPr>
              <w:t>Pages</w:t>
            </w:r>
          </w:p>
        </w:tc>
        <w:tc>
          <w:tcPr>
            <w:tcW w:w="1132" w:type="dxa"/>
            <w:tcMar>
              <w:left w:w="29" w:type="dxa"/>
              <w:right w:w="29" w:type="dxa"/>
            </w:tcMar>
            <w:vAlign w:val="center"/>
          </w:tcPr>
          <w:p w:rsidR="001124E1" w:rsidRPr="00844AAF" w:rsidRDefault="001124E1" w:rsidP="001124E1">
            <w:pPr>
              <w:pStyle w:val="Tablehead"/>
              <w:rPr>
                <w:lang w:eastAsia="zh-CN"/>
              </w:rPr>
            </w:pPr>
            <w:r w:rsidRPr="00844AAF">
              <w:rPr>
                <w:lang w:eastAsia="zh-CN"/>
              </w:rPr>
              <w:t>Budget</w:t>
            </w:r>
            <w:r w:rsidRPr="00844AAF">
              <w:rPr>
                <w:lang w:eastAsia="zh-CN"/>
              </w:rPr>
              <w:br/>
              <w:t>(milliers CHF)</w:t>
            </w:r>
          </w:p>
        </w:tc>
        <w:tc>
          <w:tcPr>
            <w:tcW w:w="1566" w:type="dxa"/>
            <w:tcMar>
              <w:left w:w="29" w:type="dxa"/>
              <w:right w:w="29" w:type="dxa"/>
            </w:tcMar>
            <w:vAlign w:val="center"/>
          </w:tcPr>
          <w:p w:rsidR="001124E1" w:rsidRPr="00844AAF" w:rsidRDefault="001124E1" w:rsidP="001124E1">
            <w:pPr>
              <w:pStyle w:val="Tablehead"/>
              <w:rPr>
                <w:lang w:eastAsia="zh-CN"/>
              </w:rPr>
            </w:pPr>
            <w:r w:rsidRPr="00844AAF">
              <w:rPr>
                <w:lang w:eastAsia="zh-CN"/>
              </w:rPr>
              <w:t>Période</w:t>
            </w:r>
            <w:r w:rsidRPr="00844AAF">
              <w:rPr>
                <w:lang w:eastAsia="zh-CN"/>
              </w:rPr>
              <w:br/>
            </w:r>
            <w:r w:rsidRPr="00844AAF">
              <w:rPr>
                <w:bCs/>
                <w:lang w:eastAsia="zh-CN"/>
              </w:rPr>
              <w:t>(Suite)</w:t>
            </w:r>
          </w:p>
        </w:tc>
        <w:tc>
          <w:tcPr>
            <w:tcW w:w="1404" w:type="dxa"/>
            <w:tcMar>
              <w:left w:w="29" w:type="dxa"/>
              <w:right w:w="29" w:type="dxa"/>
            </w:tcMar>
            <w:vAlign w:val="center"/>
          </w:tcPr>
          <w:p w:rsidR="001124E1" w:rsidRPr="00844AAF" w:rsidRDefault="001124E1" w:rsidP="001124E1">
            <w:pPr>
              <w:pStyle w:val="Tablehead"/>
              <w:rPr>
                <w:lang w:eastAsia="zh-CN"/>
              </w:rPr>
            </w:pPr>
            <w:r w:rsidRPr="00844AAF">
              <w:rPr>
                <w:lang w:eastAsia="zh-CN"/>
              </w:rPr>
              <w:t>Document</w:t>
            </w:r>
          </w:p>
        </w:tc>
        <w:tc>
          <w:tcPr>
            <w:tcW w:w="1080" w:type="dxa"/>
            <w:tcMar>
              <w:left w:w="29" w:type="dxa"/>
              <w:right w:w="29" w:type="dxa"/>
            </w:tcMar>
            <w:vAlign w:val="center"/>
          </w:tcPr>
          <w:p w:rsidR="001124E1" w:rsidRPr="00844AAF" w:rsidRDefault="001124E1" w:rsidP="001124E1">
            <w:pPr>
              <w:pStyle w:val="Tablehead"/>
              <w:rPr>
                <w:lang w:eastAsia="zh-CN"/>
              </w:rPr>
            </w:pPr>
            <w:r w:rsidRPr="00844AAF">
              <w:rPr>
                <w:lang w:eastAsia="zh-CN"/>
              </w:rPr>
              <w:t>Pages</w:t>
            </w:r>
          </w:p>
        </w:tc>
        <w:tc>
          <w:tcPr>
            <w:tcW w:w="1170" w:type="dxa"/>
            <w:tcMar>
              <w:left w:w="29" w:type="dxa"/>
              <w:right w:w="29" w:type="dxa"/>
            </w:tcMar>
            <w:vAlign w:val="center"/>
          </w:tcPr>
          <w:p w:rsidR="001124E1" w:rsidRPr="00844AAF" w:rsidRDefault="001124E1" w:rsidP="001124E1">
            <w:pPr>
              <w:pStyle w:val="Tablehead"/>
              <w:rPr>
                <w:lang w:eastAsia="zh-CN"/>
              </w:rPr>
            </w:pPr>
            <w:r w:rsidRPr="00844AAF">
              <w:rPr>
                <w:lang w:eastAsia="zh-CN"/>
              </w:rPr>
              <w:t>Budget</w:t>
            </w:r>
            <w:r w:rsidRPr="00844AAF">
              <w:rPr>
                <w:lang w:eastAsia="zh-CN"/>
              </w:rPr>
              <w:br/>
              <w:t>(milliers CHF)</w:t>
            </w:r>
          </w:p>
        </w:tc>
      </w:tr>
      <w:tr w:rsidR="001124E1" w:rsidRPr="00844AAF" w:rsidTr="00013E8A">
        <w:tc>
          <w:tcPr>
            <w:tcW w:w="929"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1996-1997</w:t>
            </w:r>
          </w:p>
        </w:tc>
        <w:tc>
          <w:tcPr>
            <w:tcW w:w="1476" w:type="dxa"/>
            <w:tcMar>
              <w:left w:w="29" w:type="dxa"/>
              <w:right w:w="29" w:type="dxa"/>
            </w:tcMar>
            <w:vAlign w:val="center"/>
          </w:tcPr>
          <w:p w:rsidR="001124E1" w:rsidRPr="00844AAF" w:rsidRDefault="0072071A" w:rsidP="001124E1">
            <w:pPr>
              <w:pStyle w:val="Tabletext"/>
              <w:jc w:val="center"/>
              <w:rPr>
                <w:lang w:eastAsia="zh-CN"/>
              </w:rPr>
            </w:pPr>
            <w:hyperlink r:id="rId8" w:history="1">
              <w:r w:rsidR="001124E1" w:rsidRPr="00844AAF">
                <w:rPr>
                  <w:rStyle w:val="Hyperlink"/>
                  <w:lang w:eastAsia="zh-CN"/>
                </w:rPr>
                <w:t>C2000/11</w:t>
              </w:r>
            </w:hyperlink>
          </w:p>
        </w:tc>
        <w:tc>
          <w:tcPr>
            <w:tcW w:w="99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20-23</w:t>
            </w:r>
          </w:p>
        </w:tc>
        <w:tc>
          <w:tcPr>
            <w:tcW w:w="113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62 196</w:t>
            </w:r>
          </w:p>
        </w:tc>
        <w:tc>
          <w:tcPr>
            <w:tcW w:w="1566"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2008-2009</w:t>
            </w:r>
          </w:p>
        </w:tc>
        <w:tc>
          <w:tcPr>
            <w:tcW w:w="1404" w:type="dxa"/>
            <w:tcMar>
              <w:left w:w="29" w:type="dxa"/>
              <w:right w:w="29" w:type="dxa"/>
            </w:tcMar>
            <w:vAlign w:val="center"/>
          </w:tcPr>
          <w:p w:rsidR="001124E1" w:rsidRPr="00844AAF" w:rsidRDefault="0072071A" w:rsidP="001124E1">
            <w:pPr>
              <w:pStyle w:val="Tabletext"/>
              <w:jc w:val="center"/>
              <w:rPr>
                <w:lang w:eastAsia="zh-CN"/>
              </w:rPr>
            </w:pPr>
            <w:hyperlink r:id="rId9" w:history="1">
              <w:r w:rsidR="00C63FEF" w:rsidRPr="00844AAF">
                <w:rPr>
                  <w:rStyle w:val="Hyperlink"/>
                  <w:lang w:eastAsia="zh-CN"/>
                </w:rPr>
                <w:t>C10/31(Ré</w:t>
              </w:r>
              <w:r w:rsidR="001124E1" w:rsidRPr="00844AAF">
                <w:rPr>
                  <w:rStyle w:val="Hyperlink"/>
                  <w:lang w:eastAsia="zh-CN"/>
                </w:rPr>
                <w:t>v.1)</w:t>
              </w:r>
            </w:hyperlink>
          </w:p>
        </w:tc>
        <w:tc>
          <w:tcPr>
            <w:tcW w:w="108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10, 18-25</w:t>
            </w:r>
          </w:p>
        </w:tc>
        <w:tc>
          <w:tcPr>
            <w:tcW w:w="117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66 728</w:t>
            </w:r>
          </w:p>
        </w:tc>
      </w:tr>
      <w:tr w:rsidR="001124E1" w:rsidRPr="00844AAF" w:rsidTr="00013E8A">
        <w:tc>
          <w:tcPr>
            <w:tcW w:w="929"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1998-1999</w:t>
            </w:r>
          </w:p>
        </w:tc>
        <w:tc>
          <w:tcPr>
            <w:tcW w:w="1476" w:type="dxa"/>
            <w:tcMar>
              <w:left w:w="29" w:type="dxa"/>
              <w:right w:w="29" w:type="dxa"/>
            </w:tcMar>
            <w:vAlign w:val="center"/>
          </w:tcPr>
          <w:p w:rsidR="001124E1" w:rsidRPr="00844AAF" w:rsidRDefault="0072071A" w:rsidP="001124E1">
            <w:pPr>
              <w:pStyle w:val="Tabletext"/>
              <w:jc w:val="center"/>
              <w:rPr>
                <w:lang w:eastAsia="zh-CN"/>
              </w:rPr>
            </w:pPr>
            <w:hyperlink r:id="rId10" w:history="1">
              <w:r w:rsidR="001124E1" w:rsidRPr="00844AAF">
                <w:rPr>
                  <w:rStyle w:val="Hyperlink"/>
                  <w:lang w:eastAsia="zh-CN"/>
                </w:rPr>
                <w:t>C2000/11</w:t>
              </w:r>
            </w:hyperlink>
          </w:p>
        </w:tc>
        <w:tc>
          <w:tcPr>
            <w:tcW w:w="99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20-23</w:t>
            </w:r>
          </w:p>
        </w:tc>
        <w:tc>
          <w:tcPr>
            <w:tcW w:w="113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65 206</w:t>
            </w:r>
          </w:p>
        </w:tc>
        <w:tc>
          <w:tcPr>
            <w:tcW w:w="1566"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2010-2011</w:t>
            </w:r>
          </w:p>
        </w:tc>
        <w:tc>
          <w:tcPr>
            <w:tcW w:w="1404" w:type="dxa"/>
            <w:tcMar>
              <w:left w:w="29" w:type="dxa"/>
              <w:right w:w="29" w:type="dxa"/>
            </w:tcMar>
            <w:vAlign w:val="center"/>
          </w:tcPr>
          <w:p w:rsidR="001124E1" w:rsidRPr="00844AAF" w:rsidRDefault="0072071A" w:rsidP="001124E1">
            <w:pPr>
              <w:pStyle w:val="Tabletext"/>
              <w:jc w:val="center"/>
              <w:rPr>
                <w:lang w:eastAsia="zh-CN"/>
              </w:rPr>
            </w:pPr>
            <w:hyperlink r:id="rId11" w:history="1">
              <w:r w:rsidR="001124E1" w:rsidRPr="00844AAF">
                <w:rPr>
                  <w:rStyle w:val="Hyperlink"/>
                  <w:lang w:eastAsia="zh-CN"/>
                </w:rPr>
                <w:t>C13/10</w:t>
              </w:r>
            </w:hyperlink>
          </w:p>
        </w:tc>
        <w:tc>
          <w:tcPr>
            <w:tcW w:w="108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4</w:t>
            </w:r>
          </w:p>
        </w:tc>
        <w:tc>
          <w:tcPr>
            <w:tcW w:w="117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65 772</w:t>
            </w:r>
          </w:p>
        </w:tc>
      </w:tr>
      <w:tr w:rsidR="001124E1" w:rsidRPr="00844AAF" w:rsidTr="00013E8A">
        <w:tc>
          <w:tcPr>
            <w:tcW w:w="929"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2000-2001</w:t>
            </w:r>
          </w:p>
        </w:tc>
        <w:tc>
          <w:tcPr>
            <w:tcW w:w="1476" w:type="dxa"/>
            <w:tcMar>
              <w:left w:w="29" w:type="dxa"/>
              <w:right w:w="29" w:type="dxa"/>
            </w:tcMar>
            <w:vAlign w:val="center"/>
          </w:tcPr>
          <w:p w:rsidR="001124E1" w:rsidRPr="00844AAF" w:rsidRDefault="0072071A" w:rsidP="001124E1">
            <w:pPr>
              <w:pStyle w:val="Tabletext"/>
              <w:jc w:val="center"/>
              <w:rPr>
                <w:lang w:eastAsia="zh-CN"/>
              </w:rPr>
            </w:pPr>
            <w:hyperlink r:id="rId12" w:history="1">
              <w:r w:rsidR="00C63FEF" w:rsidRPr="00844AAF">
                <w:rPr>
                  <w:rStyle w:val="Hyperlink"/>
                  <w:lang w:eastAsia="zh-CN"/>
                </w:rPr>
                <w:t>C02/13(Ré</w:t>
              </w:r>
              <w:r w:rsidR="001124E1" w:rsidRPr="00844AAF">
                <w:rPr>
                  <w:rStyle w:val="Hyperlink"/>
                  <w:lang w:eastAsia="zh-CN"/>
                </w:rPr>
                <w:t>v.1)</w:t>
              </w:r>
            </w:hyperlink>
          </w:p>
        </w:tc>
        <w:tc>
          <w:tcPr>
            <w:tcW w:w="99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21-24</w:t>
            </w:r>
          </w:p>
        </w:tc>
        <w:tc>
          <w:tcPr>
            <w:tcW w:w="113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67 276</w:t>
            </w:r>
          </w:p>
        </w:tc>
        <w:tc>
          <w:tcPr>
            <w:tcW w:w="1566"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2012-2013</w:t>
            </w:r>
          </w:p>
        </w:tc>
        <w:tc>
          <w:tcPr>
            <w:tcW w:w="1404" w:type="dxa"/>
            <w:tcMar>
              <w:left w:w="29" w:type="dxa"/>
              <w:right w:w="29" w:type="dxa"/>
            </w:tcMar>
            <w:vAlign w:val="center"/>
          </w:tcPr>
          <w:p w:rsidR="001124E1" w:rsidRPr="00844AAF" w:rsidRDefault="0072071A" w:rsidP="001124E1">
            <w:pPr>
              <w:pStyle w:val="Tabletext"/>
              <w:jc w:val="center"/>
              <w:rPr>
                <w:lang w:eastAsia="zh-CN"/>
              </w:rPr>
            </w:pPr>
            <w:hyperlink r:id="rId13" w:history="1">
              <w:r w:rsidR="001124E1" w:rsidRPr="00844AAF">
                <w:rPr>
                  <w:rStyle w:val="Hyperlink"/>
                  <w:lang w:eastAsia="zh-CN"/>
                </w:rPr>
                <w:t>C15/10</w:t>
              </w:r>
            </w:hyperlink>
          </w:p>
        </w:tc>
        <w:tc>
          <w:tcPr>
            <w:tcW w:w="108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5</w:t>
            </w:r>
          </w:p>
        </w:tc>
        <w:tc>
          <w:tcPr>
            <w:tcW w:w="117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61 853</w:t>
            </w:r>
          </w:p>
        </w:tc>
      </w:tr>
      <w:tr w:rsidR="001124E1" w:rsidRPr="00844AAF" w:rsidTr="00013E8A">
        <w:tc>
          <w:tcPr>
            <w:tcW w:w="929"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2002-2003</w:t>
            </w:r>
          </w:p>
        </w:tc>
        <w:tc>
          <w:tcPr>
            <w:tcW w:w="1476" w:type="dxa"/>
            <w:tcMar>
              <w:left w:w="29" w:type="dxa"/>
              <w:right w:w="29" w:type="dxa"/>
            </w:tcMar>
            <w:vAlign w:val="center"/>
          </w:tcPr>
          <w:p w:rsidR="001124E1" w:rsidRPr="00844AAF" w:rsidRDefault="0072071A" w:rsidP="001124E1">
            <w:pPr>
              <w:pStyle w:val="Tabletext"/>
              <w:jc w:val="center"/>
              <w:rPr>
                <w:lang w:eastAsia="zh-CN"/>
              </w:rPr>
            </w:pPr>
            <w:hyperlink r:id="rId14" w:history="1">
              <w:r w:rsidR="001124E1" w:rsidRPr="00844AAF">
                <w:rPr>
                  <w:rStyle w:val="Hyperlink"/>
                  <w:lang w:eastAsia="zh-CN"/>
                </w:rPr>
                <w:t>C04/22</w:t>
              </w:r>
            </w:hyperlink>
          </w:p>
        </w:tc>
        <w:tc>
          <w:tcPr>
            <w:tcW w:w="99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10</w:t>
            </w:r>
          </w:p>
        </w:tc>
        <w:tc>
          <w:tcPr>
            <w:tcW w:w="113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68 708</w:t>
            </w:r>
          </w:p>
        </w:tc>
        <w:tc>
          <w:tcPr>
            <w:tcW w:w="1566"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2014-2015</w:t>
            </w:r>
          </w:p>
        </w:tc>
        <w:tc>
          <w:tcPr>
            <w:tcW w:w="1404" w:type="dxa"/>
            <w:tcMar>
              <w:left w:w="29" w:type="dxa"/>
              <w:right w:w="29" w:type="dxa"/>
            </w:tcMar>
            <w:vAlign w:val="center"/>
          </w:tcPr>
          <w:p w:rsidR="001124E1" w:rsidRPr="00844AAF" w:rsidRDefault="0072071A" w:rsidP="001124E1">
            <w:pPr>
              <w:pStyle w:val="Tabletext"/>
              <w:jc w:val="center"/>
              <w:rPr>
                <w:lang w:eastAsia="zh-CN"/>
              </w:rPr>
            </w:pPr>
            <w:hyperlink r:id="rId15" w:history="1">
              <w:r w:rsidR="001124E1" w:rsidRPr="00844AAF">
                <w:rPr>
                  <w:rStyle w:val="Hyperlink"/>
                  <w:lang w:eastAsia="zh-CN"/>
                </w:rPr>
                <w:t>C17/10</w:t>
              </w:r>
            </w:hyperlink>
          </w:p>
        </w:tc>
        <w:tc>
          <w:tcPr>
            <w:tcW w:w="108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5</w:t>
            </w:r>
          </w:p>
        </w:tc>
        <w:tc>
          <w:tcPr>
            <w:tcW w:w="117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62 202</w:t>
            </w:r>
          </w:p>
        </w:tc>
      </w:tr>
      <w:tr w:rsidR="001124E1" w:rsidRPr="00844AAF" w:rsidTr="00013E8A">
        <w:tc>
          <w:tcPr>
            <w:tcW w:w="929"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2004-2005</w:t>
            </w:r>
          </w:p>
        </w:tc>
        <w:tc>
          <w:tcPr>
            <w:tcW w:w="1476" w:type="dxa"/>
            <w:tcMar>
              <w:left w:w="29" w:type="dxa"/>
              <w:right w:w="29" w:type="dxa"/>
            </w:tcMar>
            <w:vAlign w:val="center"/>
          </w:tcPr>
          <w:p w:rsidR="001124E1" w:rsidRPr="00844AAF" w:rsidRDefault="0072071A" w:rsidP="001124E1">
            <w:pPr>
              <w:pStyle w:val="Tabletext"/>
              <w:jc w:val="center"/>
              <w:rPr>
                <w:lang w:eastAsia="zh-CN"/>
              </w:rPr>
            </w:pPr>
            <w:hyperlink r:id="rId16" w:history="1">
              <w:r w:rsidR="00C63FEF" w:rsidRPr="00844AAF">
                <w:rPr>
                  <w:rStyle w:val="Hyperlink"/>
                  <w:lang w:eastAsia="zh-CN"/>
                </w:rPr>
                <w:t>C06/26(Ré</w:t>
              </w:r>
              <w:r w:rsidR="001124E1" w:rsidRPr="00844AAF">
                <w:rPr>
                  <w:rStyle w:val="Hyperlink"/>
                  <w:lang w:eastAsia="zh-CN"/>
                </w:rPr>
                <w:t>v.1)</w:t>
              </w:r>
            </w:hyperlink>
          </w:p>
        </w:tc>
        <w:tc>
          <w:tcPr>
            <w:tcW w:w="99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18-26</w:t>
            </w:r>
          </w:p>
        </w:tc>
        <w:tc>
          <w:tcPr>
            <w:tcW w:w="113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71 139</w:t>
            </w:r>
          </w:p>
        </w:tc>
        <w:tc>
          <w:tcPr>
            <w:tcW w:w="1566"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2016-2017</w:t>
            </w:r>
          </w:p>
        </w:tc>
        <w:tc>
          <w:tcPr>
            <w:tcW w:w="1404" w:type="dxa"/>
            <w:tcMar>
              <w:left w:w="29" w:type="dxa"/>
              <w:right w:w="29" w:type="dxa"/>
            </w:tcMar>
            <w:vAlign w:val="center"/>
          </w:tcPr>
          <w:p w:rsidR="001124E1" w:rsidRPr="00844AAF" w:rsidRDefault="0072071A" w:rsidP="001124E1">
            <w:pPr>
              <w:pStyle w:val="Tabletext"/>
              <w:jc w:val="center"/>
              <w:rPr>
                <w:lang w:eastAsia="zh-CN"/>
              </w:rPr>
            </w:pPr>
            <w:hyperlink r:id="rId17" w:history="1">
              <w:r w:rsidR="001124E1" w:rsidRPr="00844AAF">
                <w:rPr>
                  <w:rStyle w:val="Hyperlink"/>
                  <w:lang w:eastAsia="zh-CN"/>
                </w:rPr>
                <w:t>C17/10</w:t>
              </w:r>
            </w:hyperlink>
          </w:p>
        </w:tc>
        <w:tc>
          <w:tcPr>
            <w:tcW w:w="108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5</w:t>
            </w:r>
          </w:p>
        </w:tc>
        <w:tc>
          <w:tcPr>
            <w:tcW w:w="117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57 501</w:t>
            </w:r>
          </w:p>
        </w:tc>
      </w:tr>
      <w:tr w:rsidR="001124E1" w:rsidRPr="00844AAF" w:rsidTr="00013E8A">
        <w:tc>
          <w:tcPr>
            <w:tcW w:w="929"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2006-2007</w:t>
            </w:r>
          </w:p>
        </w:tc>
        <w:tc>
          <w:tcPr>
            <w:tcW w:w="1476" w:type="dxa"/>
            <w:tcMar>
              <w:left w:w="29" w:type="dxa"/>
              <w:right w:w="29" w:type="dxa"/>
            </w:tcMar>
            <w:vAlign w:val="center"/>
          </w:tcPr>
          <w:p w:rsidR="001124E1" w:rsidRPr="00844AAF" w:rsidRDefault="0072071A" w:rsidP="001124E1">
            <w:pPr>
              <w:pStyle w:val="Tabletext"/>
              <w:jc w:val="center"/>
              <w:rPr>
                <w:lang w:eastAsia="zh-CN"/>
              </w:rPr>
            </w:pPr>
            <w:hyperlink r:id="rId18" w:history="1">
              <w:r w:rsidR="001124E1" w:rsidRPr="00844AAF">
                <w:rPr>
                  <w:rStyle w:val="Hyperlink"/>
                  <w:lang w:eastAsia="zh-CN"/>
                </w:rPr>
                <w:t>C08/7</w:t>
              </w:r>
            </w:hyperlink>
          </w:p>
        </w:tc>
        <w:tc>
          <w:tcPr>
            <w:tcW w:w="99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12, 18-26</w:t>
            </w:r>
          </w:p>
        </w:tc>
        <w:tc>
          <w:tcPr>
            <w:tcW w:w="1132"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74 698</w:t>
            </w:r>
          </w:p>
        </w:tc>
        <w:tc>
          <w:tcPr>
            <w:tcW w:w="1566"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2018-2019 (projection)</w:t>
            </w:r>
          </w:p>
        </w:tc>
        <w:tc>
          <w:tcPr>
            <w:tcW w:w="1404" w:type="dxa"/>
            <w:tcMar>
              <w:left w:w="29" w:type="dxa"/>
              <w:right w:w="29" w:type="dxa"/>
            </w:tcMar>
            <w:vAlign w:val="center"/>
          </w:tcPr>
          <w:p w:rsidR="001124E1" w:rsidRPr="00844AAF" w:rsidRDefault="0072071A" w:rsidP="001124E1">
            <w:pPr>
              <w:pStyle w:val="Tabletext"/>
              <w:jc w:val="center"/>
              <w:rPr>
                <w:lang w:eastAsia="zh-CN"/>
              </w:rPr>
            </w:pPr>
            <w:hyperlink r:id="rId19" w:history="1">
              <w:r w:rsidR="001124E1" w:rsidRPr="00844AAF">
                <w:rPr>
                  <w:rStyle w:val="Hyperlink"/>
                  <w:lang w:eastAsia="zh-CN"/>
                </w:rPr>
                <w:t>C17/10</w:t>
              </w:r>
            </w:hyperlink>
          </w:p>
        </w:tc>
        <w:tc>
          <w:tcPr>
            <w:tcW w:w="1080" w:type="dxa"/>
            <w:tcMar>
              <w:left w:w="29" w:type="dxa"/>
              <w:right w:w="29" w:type="dxa"/>
            </w:tcMar>
            <w:vAlign w:val="center"/>
          </w:tcPr>
          <w:p w:rsidR="001124E1" w:rsidRPr="00844AAF" w:rsidRDefault="001124E1" w:rsidP="001124E1">
            <w:pPr>
              <w:pStyle w:val="Tabletext"/>
              <w:jc w:val="center"/>
              <w:rPr>
                <w:lang w:eastAsia="zh-CN"/>
              </w:rPr>
            </w:pPr>
            <w:r w:rsidRPr="00844AAF">
              <w:rPr>
                <w:lang w:eastAsia="zh-CN"/>
              </w:rPr>
              <w:t>5</w:t>
            </w:r>
          </w:p>
        </w:tc>
        <w:tc>
          <w:tcPr>
            <w:tcW w:w="1170" w:type="dxa"/>
            <w:tcMar>
              <w:left w:w="29" w:type="dxa"/>
              <w:right w:w="29" w:type="dxa"/>
            </w:tcMar>
            <w:vAlign w:val="center"/>
          </w:tcPr>
          <w:p w:rsidR="001124E1" w:rsidRPr="00844AAF" w:rsidRDefault="001124E1" w:rsidP="001124E1">
            <w:pPr>
              <w:pStyle w:val="Tabletext"/>
              <w:jc w:val="center"/>
              <w:rPr>
                <w:color w:val="FF0000"/>
                <w:lang w:eastAsia="zh-CN"/>
              </w:rPr>
            </w:pPr>
            <w:r w:rsidRPr="00844AAF">
              <w:rPr>
                <w:color w:val="FF0000"/>
                <w:lang w:eastAsia="zh-CN"/>
              </w:rPr>
              <w:t>58 586</w:t>
            </w:r>
          </w:p>
        </w:tc>
      </w:tr>
    </w:tbl>
    <w:p w:rsidR="001124E1" w:rsidRPr="00844AAF" w:rsidRDefault="001124E1" w:rsidP="00EB2006">
      <w:pPr>
        <w:spacing w:before="160"/>
        <w:rPr>
          <w:b/>
          <w:bCs/>
          <w:lang w:eastAsia="zh-CN"/>
        </w:rPr>
      </w:pPr>
      <w:r w:rsidRPr="00844AAF">
        <w:rPr>
          <w:lang w:eastAsia="zh-CN"/>
        </w:rPr>
        <w:t>Il est à noter que l'augmentation du budget pour la période 2018-2019 par rapport au</w:t>
      </w:r>
      <w:r w:rsidR="00CE5E82" w:rsidRPr="00844AAF">
        <w:rPr>
          <w:lang w:eastAsia="zh-CN"/>
        </w:rPr>
        <w:t xml:space="preserve"> budget</w:t>
      </w:r>
      <w:r w:rsidR="00C63FEF" w:rsidRPr="00844AAF">
        <w:rPr>
          <w:lang w:eastAsia="zh-CN"/>
        </w:rPr>
        <w:t xml:space="preserve"> pour la période 2016-</w:t>
      </w:r>
      <w:r w:rsidRPr="00844AAF">
        <w:rPr>
          <w:lang w:eastAsia="zh-CN"/>
        </w:rPr>
        <w:t xml:space="preserve">2017 correspond aux dépenses </w:t>
      </w:r>
      <w:r w:rsidR="00CE5E82" w:rsidRPr="00844AAF">
        <w:rPr>
          <w:lang w:eastAsia="zh-CN"/>
        </w:rPr>
        <w:t>engagées pour</w:t>
      </w:r>
      <w:r w:rsidRPr="00844AAF">
        <w:rPr>
          <w:lang w:eastAsia="zh-CN"/>
        </w:rPr>
        <w:t xml:space="preserve"> la tenue de la CMR et de l'Assemblée des r</w:t>
      </w:r>
      <w:r w:rsidR="00CE5E82" w:rsidRPr="00844AAF">
        <w:rPr>
          <w:lang w:eastAsia="zh-CN"/>
        </w:rPr>
        <w:t>adiocommunications en 2019, ce qui représente</w:t>
      </w:r>
      <w:r w:rsidRPr="00844AAF">
        <w:rPr>
          <w:lang w:eastAsia="zh-CN"/>
        </w:rPr>
        <w:t xml:space="preserve"> un montant de 2 973 000</w:t>
      </w:r>
      <w:r w:rsidR="00C63FEF" w:rsidRPr="00844AAF">
        <w:rPr>
          <w:lang w:eastAsia="zh-CN"/>
        </w:rPr>
        <w:t xml:space="preserve"> CHF</w:t>
      </w:r>
      <w:r w:rsidRPr="00844AAF">
        <w:rPr>
          <w:lang w:eastAsia="zh-CN"/>
        </w:rPr>
        <w:t xml:space="preserve">. </w:t>
      </w:r>
      <w:r w:rsidR="00CE5E82" w:rsidRPr="00844AAF">
        <w:rPr>
          <w:lang w:eastAsia="zh-CN"/>
        </w:rPr>
        <w:t>Compte tenu de ces</w:t>
      </w:r>
      <w:r w:rsidRPr="00844AAF">
        <w:rPr>
          <w:lang w:eastAsia="zh-CN"/>
        </w:rPr>
        <w:t xml:space="preserve"> dépenses, le budget pour les activités ordinaires se chiffre à 55 613 000</w:t>
      </w:r>
      <w:r w:rsidR="00C63FEF" w:rsidRPr="00844AAF">
        <w:rPr>
          <w:lang w:eastAsia="zh-CN"/>
        </w:rPr>
        <w:t xml:space="preserve"> CHF</w:t>
      </w:r>
      <w:r w:rsidRPr="00844AAF">
        <w:rPr>
          <w:lang w:eastAsia="zh-CN"/>
        </w:rPr>
        <w:t xml:space="preserve">, </w:t>
      </w:r>
      <w:r w:rsidRPr="00844AAF">
        <w:rPr>
          <w:b/>
          <w:bCs/>
          <w:lang w:eastAsia="zh-CN"/>
        </w:rPr>
        <w:t>ce qui signifie qu'une nouvelle réduction est prévue dans le financement des activités régulières de l'UIT-R</w:t>
      </w:r>
      <w:r w:rsidRPr="00844AAF">
        <w:t>.</w:t>
      </w:r>
    </w:p>
    <w:p w:rsidR="001124E1" w:rsidRPr="00844AAF" w:rsidRDefault="001124E1" w:rsidP="001124E1">
      <w:pPr>
        <w:pStyle w:val="FigureNoBR"/>
        <w:rPr>
          <w:lang w:eastAsia="zh-CN"/>
        </w:rPr>
      </w:pPr>
      <w:r w:rsidRPr="00844AAF">
        <w:rPr>
          <w:lang w:eastAsia="zh-CN"/>
        </w:rPr>
        <w:lastRenderedPageBreak/>
        <w:t>Figure 1</w:t>
      </w:r>
    </w:p>
    <w:p w:rsidR="001124E1" w:rsidRPr="00844AAF" w:rsidRDefault="001124E1" w:rsidP="001124E1">
      <w:pPr>
        <w:pStyle w:val="FiguretitleBR"/>
        <w:rPr>
          <w:lang w:eastAsia="zh-CN"/>
        </w:rPr>
      </w:pPr>
      <w:r w:rsidRPr="00844AAF">
        <w:rPr>
          <w:lang w:eastAsia="zh-CN"/>
        </w:rPr>
        <w:t xml:space="preserve">Budget de l'UIT-R pendant la période 1996-2017 et projet de budget </w:t>
      </w:r>
      <w:r w:rsidR="005968E8" w:rsidRPr="00844AAF">
        <w:rPr>
          <w:lang w:eastAsia="zh-CN"/>
        </w:rPr>
        <w:br/>
      </w:r>
      <w:r w:rsidRPr="00844AAF">
        <w:rPr>
          <w:lang w:eastAsia="zh-CN"/>
        </w:rPr>
        <w:t>pour la période 2018-2019</w:t>
      </w:r>
      <w:r w:rsidRPr="00844AAF">
        <w:rPr>
          <w:lang w:eastAsia="zh-CN"/>
        </w:rPr>
        <w:br/>
        <w:t>(sous forme graphique)</w:t>
      </w:r>
    </w:p>
    <w:p w:rsidR="001124E1" w:rsidRPr="00844AAF" w:rsidRDefault="00EB2006" w:rsidP="001124E1">
      <w:pPr>
        <w:pStyle w:val="Figurelegend"/>
        <w:jc w:val="right"/>
        <w:rPr>
          <w:b/>
          <w:bCs/>
          <w:lang w:eastAsia="zh-CN"/>
        </w:rPr>
      </w:pPr>
      <w:r>
        <w:rPr>
          <w:b/>
          <w:bCs/>
          <w:lang w:eastAsia="zh-CN"/>
        </w:rPr>
        <w:t>E</w:t>
      </w:r>
      <w:r w:rsidR="001124E1" w:rsidRPr="00844AAF">
        <w:rPr>
          <w:b/>
          <w:bCs/>
          <w:lang w:eastAsia="zh-CN"/>
        </w:rPr>
        <w:t xml:space="preserve">n milliers CHF </w:t>
      </w:r>
    </w:p>
    <w:p w:rsidR="001124E1" w:rsidRPr="00844AAF" w:rsidRDefault="001124E1" w:rsidP="001124E1">
      <w:pPr>
        <w:jc w:val="center"/>
        <w:rPr>
          <w:lang w:eastAsia="zh-CN"/>
        </w:rPr>
      </w:pPr>
      <w:r w:rsidRPr="00844AAF">
        <w:rPr>
          <w:noProof/>
          <w:lang w:val="en-US" w:eastAsia="zh-CN"/>
        </w:rPr>
        <w:drawing>
          <wp:inline distT="0" distB="0" distL="0" distR="0" wp14:anchorId="21C4203C" wp14:editId="7C155B3C">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124E1" w:rsidRPr="00844AAF" w:rsidRDefault="005968E8" w:rsidP="00F41EDC">
      <w:pPr>
        <w:spacing w:before="240"/>
        <w:rPr>
          <w:b/>
          <w:lang w:eastAsia="zh-CN"/>
        </w:rPr>
      </w:pPr>
      <w:r w:rsidRPr="00844AAF">
        <w:rPr>
          <w:lang w:eastAsia="zh-CN"/>
        </w:rPr>
        <w:t>A</w:t>
      </w:r>
      <w:r w:rsidR="001124E1" w:rsidRPr="00844AAF">
        <w:rPr>
          <w:lang w:eastAsia="zh-CN"/>
        </w:rPr>
        <w:t xml:space="preserve"> cet égard, il est </w:t>
      </w:r>
      <w:r w:rsidR="00F41EDC" w:rsidRPr="00844AAF">
        <w:rPr>
          <w:lang w:eastAsia="zh-CN"/>
        </w:rPr>
        <w:t>utile</w:t>
      </w:r>
      <w:r w:rsidR="001124E1" w:rsidRPr="00844AAF">
        <w:rPr>
          <w:lang w:eastAsia="zh-CN"/>
        </w:rPr>
        <w:t xml:space="preserve"> de noter que</w:t>
      </w:r>
      <w:r w:rsidR="00F41EDC" w:rsidRPr="00844AAF">
        <w:rPr>
          <w:lang w:eastAsia="zh-CN"/>
        </w:rPr>
        <w:t>,</w:t>
      </w:r>
      <w:r w:rsidR="001124E1" w:rsidRPr="00844AAF">
        <w:rPr>
          <w:lang w:eastAsia="zh-CN"/>
        </w:rPr>
        <w:t xml:space="preserve"> pendant la période considérée, le Bureau des radiocommunications a engrangé des recettes importantes avec le traitement des fiches de notification des réseaux à satellite. Les données correspondantes sont indiquées dans la Figure 2. En outre, une proportion importante des recettes dans le budget de l'UIT est à mettre au compte des ventes des publications de l'</w:t>
      </w:r>
      <w:r w:rsidR="00443815">
        <w:rPr>
          <w:lang w:eastAsia="zh-CN"/>
        </w:rPr>
        <w:t>UIT-</w:t>
      </w:r>
      <w:r w:rsidR="001124E1" w:rsidRPr="00844AAF">
        <w:rPr>
          <w:lang w:eastAsia="zh-CN"/>
        </w:rPr>
        <w:t>R/BR, recettes qui se chiffrent (selon une estimation très prudente) à plus de 20 million</w:t>
      </w:r>
      <w:r w:rsidR="00F41EDC" w:rsidRPr="00844AAF">
        <w:rPr>
          <w:lang w:eastAsia="zh-CN"/>
        </w:rPr>
        <w:t>s</w:t>
      </w:r>
      <w:r w:rsidR="001124E1" w:rsidRPr="00844AAF">
        <w:rPr>
          <w:lang w:eastAsia="zh-CN"/>
        </w:rPr>
        <w:t xml:space="preserve"> sur l'ensemble de la période biennale. Ainsi, à travers ses activités, l'UIT-R et en particulier le BR apportent à l'UIT des recettes qui représentent plus de la moitié du budget biennal du Secteur, une situation unique dans l'ensemble de l'Union.</w:t>
      </w:r>
    </w:p>
    <w:p w:rsidR="001124E1" w:rsidRPr="00844AAF" w:rsidRDefault="001124E1" w:rsidP="001124E1">
      <w:pPr>
        <w:pStyle w:val="FigureNoBR"/>
        <w:rPr>
          <w:lang w:eastAsia="zh-CN"/>
        </w:rPr>
      </w:pPr>
      <w:r w:rsidRPr="00844AAF">
        <w:rPr>
          <w:lang w:eastAsia="zh-CN"/>
        </w:rPr>
        <w:lastRenderedPageBreak/>
        <w:t>Figure 2</w:t>
      </w:r>
    </w:p>
    <w:p w:rsidR="001124E1" w:rsidRPr="00844AAF" w:rsidRDefault="001124E1" w:rsidP="001124E1">
      <w:pPr>
        <w:pStyle w:val="FiguretitleBR"/>
        <w:keepNext/>
        <w:rPr>
          <w:lang w:eastAsia="zh-CN"/>
        </w:rPr>
      </w:pPr>
      <w:r w:rsidRPr="00844AAF">
        <w:rPr>
          <w:lang w:eastAsia="zh-CN"/>
        </w:rPr>
        <w:t>Recettes provenant du traitement des fiches de notification des</w:t>
      </w:r>
      <w:r w:rsidR="00FD17F9">
        <w:rPr>
          <w:lang w:eastAsia="zh-CN"/>
        </w:rPr>
        <w:t xml:space="preserve"> réseaux à satellite pendant la </w:t>
      </w:r>
      <w:r w:rsidRPr="00844AAF">
        <w:rPr>
          <w:lang w:eastAsia="zh-CN"/>
        </w:rPr>
        <w:t>période 2002-2015, et prévisions pour la période 2016-2019</w:t>
      </w:r>
    </w:p>
    <w:p w:rsidR="001124E1" w:rsidRPr="00844AAF" w:rsidRDefault="00EB2006" w:rsidP="001124E1">
      <w:pPr>
        <w:pStyle w:val="Figurelegend"/>
        <w:jc w:val="right"/>
        <w:rPr>
          <w:b/>
          <w:lang w:eastAsia="zh-CN"/>
        </w:rPr>
      </w:pPr>
      <w:r>
        <w:rPr>
          <w:b/>
          <w:lang w:eastAsia="zh-CN"/>
        </w:rPr>
        <w:t>E</w:t>
      </w:r>
      <w:r w:rsidR="001124E1" w:rsidRPr="00844AAF">
        <w:rPr>
          <w:b/>
          <w:lang w:eastAsia="zh-CN"/>
        </w:rPr>
        <w:t xml:space="preserve">n milliers CHF </w:t>
      </w:r>
    </w:p>
    <w:p w:rsidR="001124E1" w:rsidRPr="00844AAF" w:rsidRDefault="005B084B" w:rsidP="001124E1">
      <w:pPr>
        <w:jc w:val="center"/>
        <w:rPr>
          <w:lang w:eastAsia="zh-CN"/>
        </w:rPr>
      </w:pP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695022</wp:posOffset>
                </wp:positionH>
                <wp:positionV relativeFrom="paragraph">
                  <wp:posOffset>123825</wp:posOffset>
                </wp:positionV>
                <wp:extent cx="5009322"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2" cy="1404620"/>
                        </a:xfrm>
                        <a:prstGeom prst="rect">
                          <a:avLst/>
                        </a:prstGeom>
                        <a:solidFill>
                          <a:srgbClr val="FFFFFF"/>
                        </a:solidFill>
                        <a:ln w="9525">
                          <a:noFill/>
                          <a:miter lim="800000"/>
                          <a:headEnd/>
                          <a:tailEnd/>
                        </a:ln>
                      </wps:spPr>
                      <wps:txbx>
                        <w:txbxContent>
                          <w:p w:rsidR="005B084B" w:rsidRPr="005B084B" w:rsidRDefault="005B084B" w:rsidP="00EB2006">
                            <w:pPr>
                              <w:pStyle w:val="Title4"/>
                              <w:rPr>
                                <w:lang w:val="fr-CH"/>
                              </w:rPr>
                            </w:pPr>
                            <w:r w:rsidRPr="005B084B">
                              <w:rPr>
                                <w:sz w:val="24"/>
                                <w:szCs w:val="18"/>
                              </w:rPr>
                              <w:t xml:space="preserve">Recouvrement des coûts des fiches de </w:t>
                            </w:r>
                            <w:r w:rsidR="00D437C3">
                              <w:rPr>
                                <w:sz w:val="24"/>
                                <w:szCs w:val="18"/>
                              </w:rPr>
                              <w:t>notification de</w:t>
                            </w:r>
                            <w:r w:rsidR="00EB2006">
                              <w:rPr>
                                <w:sz w:val="24"/>
                                <w:szCs w:val="18"/>
                              </w:rPr>
                              <w:t>s</w:t>
                            </w:r>
                            <w:r w:rsidR="00D437C3">
                              <w:rPr>
                                <w:sz w:val="24"/>
                                <w:szCs w:val="18"/>
                              </w:rPr>
                              <w:t xml:space="preserve"> réseaux à sat</w:t>
                            </w:r>
                            <w:r w:rsidRPr="005B084B">
                              <w:rPr>
                                <w:sz w:val="24"/>
                                <w:szCs w:val="18"/>
                              </w:rPr>
                              <w:t>e</w:t>
                            </w:r>
                            <w:r w:rsidR="00D437C3">
                              <w:rPr>
                                <w:sz w:val="24"/>
                                <w:szCs w:val="18"/>
                              </w:rPr>
                              <w:t>l</w:t>
                            </w:r>
                            <w:r w:rsidRPr="005B084B">
                              <w:rPr>
                                <w:sz w:val="24"/>
                                <w:szCs w:val="18"/>
                              </w:rPr>
                              <w:t>lite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9.75pt;width:39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ct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" stroked="f">
                <v:textbox style="mso-fit-shape-to-text:t">
                  <w:txbxContent>
                    <w:p w:rsidR="005B084B" w:rsidRPr="005B084B" w:rsidRDefault="005B084B" w:rsidP="00EB2006">
                      <w:pPr>
                        <w:pStyle w:val="Title4"/>
                        <w:rPr>
                          <w:lang w:val="fr-CH"/>
                        </w:rPr>
                      </w:pPr>
                      <w:r w:rsidRPr="005B084B">
                        <w:rPr>
                          <w:sz w:val="24"/>
                          <w:szCs w:val="18"/>
                        </w:rPr>
                        <w:t xml:space="preserve">Recouvrement des coûts des fiches de </w:t>
                      </w:r>
                      <w:r w:rsidR="00D437C3">
                        <w:rPr>
                          <w:sz w:val="24"/>
                          <w:szCs w:val="18"/>
                        </w:rPr>
                        <w:t>notification de</w:t>
                      </w:r>
                      <w:r w:rsidR="00EB2006">
                        <w:rPr>
                          <w:sz w:val="24"/>
                          <w:szCs w:val="18"/>
                        </w:rPr>
                        <w:t>s</w:t>
                      </w:r>
                      <w:r w:rsidR="00D437C3">
                        <w:rPr>
                          <w:sz w:val="24"/>
                          <w:szCs w:val="18"/>
                        </w:rPr>
                        <w:t xml:space="preserve"> réseaux à sat</w:t>
                      </w:r>
                      <w:r w:rsidRPr="005B084B">
                        <w:rPr>
                          <w:sz w:val="24"/>
                          <w:szCs w:val="18"/>
                        </w:rPr>
                        <w:t>e</w:t>
                      </w:r>
                      <w:r w:rsidR="00D437C3">
                        <w:rPr>
                          <w:sz w:val="24"/>
                          <w:szCs w:val="18"/>
                        </w:rPr>
                        <w:t>l</w:t>
                      </w:r>
                      <w:r w:rsidRPr="005B084B">
                        <w:rPr>
                          <w:sz w:val="24"/>
                          <w:szCs w:val="18"/>
                        </w:rPr>
                        <w:t>lite</w:t>
                      </w:r>
                    </w:p>
                  </w:txbxContent>
                </v:textbox>
              </v:shape>
            </w:pict>
          </mc:Fallback>
        </mc:AlternateContent>
      </w:r>
      <w:r w:rsidR="001124E1" w:rsidRPr="00844AAF">
        <w:rPr>
          <w:noProof/>
          <w:lang w:val="en-US" w:eastAsia="zh-CN"/>
        </w:rPr>
        <w:drawing>
          <wp:inline distT="0" distB="0" distL="0" distR="0" wp14:anchorId="5A5A0AE6" wp14:editId="4B610E5E">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24E1" w:rsidRPr="00844AAF" w:rsidRDefault="001124E1" w:rsidP="009C19A1">
      <w:pPr>
        <w:spacing w:before="480" w:after="120"/>
        <w:rPr>
          <w:lang w:eastAsia="zh-CN"/>
        </w:rPr>
      </w:pPr>
      <w:r w:rsidRPr="00844AAF">
        <w:rPr>
          <w:lang w:eastAsia="zh-CN"/>
        </w:rPr>
        <w:t xml:space="preserve">La baisse des recettes provenant du traitement des fiches de notification des réseaux à </w:t>
      </w:r>
      <w:r w:rsidR="00EB2006">
        <w:rPr>
          <w:lang w:eastAsia="zh-CN"/>
        </w:rPr>
        <w:t>satellite en </w:t>
      </w:r>
      <w:r w:rsidR="009C19A1" w:rsidRPr="00844AAF">
        <w:rPr>
          <w:lang w:eastAsia="zh-CN"/>
        </w:rPr>
        <w:t>2008-</w:t>
      </w:r>
      <w:r w:rsidRPr="00844AAF">
        <w:rPr>
          <w:lang w:eastAsia="zh-CN"/>
        </w:rPr>
        <w:t xml:space="preserve">2009 </w:t>
      </w:r>
      <w:r w:rsidR="009C19A1" w:rsidRPr="00844AAF">
        <w:rPr>
          <w:lang w:eastAsia="zh-CN"/>
        </w:rPr>
        <w:t>a été le résultat d'</w:t>
      </w:r>
      <w:r w:rsidRPr="00844AAF">
        <w:rPr>
          <w:lang w:eastAsia="zh-CN"/>
        </w:rPr>
        <w:t xml:space="preserve">une révision de la méthode de détermination des coûts </w:t>
      </w:r>
      <w:r w:rsidR="009C19A1" w:rsidRPr="00844AAF">
        <w:rPr>
          <w:lang w:eastAsia="zh-CN"/>
        </w:rPr>
        <w:t>liés à</w:t>
      </w:r>
      <w:r w:rsidRPr="00844AAF">
        <w:rPr>
          <w:lang w:eastAsia="zh-CN"/>
        </w:rPr>
        <w:t xml:space="preserve"> ce traitement (Décision 482 adoptée par le Conseil à sa session de 2008) et à la révision correspondante des factures conformément à la Décision 10 (Antalya, 2006) et à la Décision 545 (</w:t>
      </w:r>
      <w:r w:rsidR="009C19A1" w:rsidRPr="00844AAF">
        <w:rPr>
          <w:lang w:eastAsia="zh-CN"/>
        </w:rPr>
        <w:t>s</w:t>
      </w:r>
      <w:r w:rsidRPr="00844AAF">
        <w:rPr>
          <w:lang w:eastAsia="zh-CN"/>
        </w:rPr>
        <w:t>ession de 2007 du Conseil).</w:t>
      </w:r>
    </w:p>
    <w:p w:rsidR="001124E1" w:rsidRPr="00844AAF" w:rsidRDefault="001124E1" w:rsidP="009C19A1">
      <w:pPr>
        <w:rPr>
          <w:lang w:eastAsia="zh-CN"/>
        </w:rPr>
      </w:pPr>
      <w:r w:rsidRPr="00844AAF">
        <w:rPr>
          <w:lang w:eastAsia="zh-CN"/>
        </w:rPr>
        <w:t xml:space="preserve">Si l'on analyse les ressources financières de l'UIT-R pendant la période considérée, il </w:t>
      </w:r>
      <w:r w:rsidR="009C19A1" w:rsidRPr="00844AAF">
        <w:rPr>
          <w:lang w:eastAsia="zh-CN"/>
        </w:rPr>
        <w:t>convient</w:t>
      </w:r>
      <w:r w:rsidRPr="00844AAF">
        <w:rPr>
          <w:lang w:eastAsia="zh-CN"/>
        </w:rPr>
        <w:t xml:space="preserve"> de noter que ces mêmes années ont été caractérisées par une baisse des ressources financières de l'Union dans son ensemble. Il est donc </w:t>
      </w:r>
      <w:r w:rsidR="009C19A1" w:rsidRPr="00844AAF">
        <w:rPr>
          <w:lang w:eastAsia="zh-CN"/>
        </w:rPr>
        <w:t xml:space="preserve">plus </w:t>
      </w:r>
      <w:r w:rsidRPr="00844AAF">
        <w:rPr>
          <w:lang w:eastAsia="zh-CN"/>
        </w:rPr>
        <w:t xml:space="preserve">intéressant </w:t>
      </w:r>
      <w:r w:rsidR="009C19A1" w:rsidRPr="00844AAF">
        <w:rPr>
          <w:lang w:eastAsia="zh-CN"/>
        </w:rPr>
        <w:t>d'évaluer</w:t>
      </w:r>
      <w:r w:rsidRPr="00844AAF">
        <w:rPr>
          <w:lang w:eastAsia="zh-CN"/>
        </w:rPr>
        <w:t xml:space="preserve"> les ressources financières des Secteurs et le Secrétariat général de l'UIT </w:t>
      </w:r>
      <w:r w:rsidR="009C19A1" w:rsidRPr="00844AAF">
        <w:rPr>
          <w:lang w:eastAsia="zh-CN"/>
        </w:rPr>
        <w:t>par rapport au «</w:t>
      </w:r>
      <w:r w:rsidRPr="00844AAF">
        <w:rPr>
          <w:lang w:eastAsia="zh-CN"/>
        </w:rPr>
        <w:t>budget moyen de chaque Secteur et du Secrétariat général po</w:t>
      </w:r>
      <w:r w:rsidR="009C19A1" w:rsidRPr="00844AAF">
        <w:rPr>
          <w:lang w:eastAsia="zh-CN"/>
        </w:rPr>
        <w:t>ur la période 1996-</w:t>
      </w:r>
      <w:r w:rsidRPr="00844AAF">
        <w:rPr>
          <w:lang w:eastAsia="zh-CN"/>
        </w:rPr>
        <w:t>2017», comme indiqué dans le Tableau 2.</w:t>
      </w:r>
    </w:p>
    <w:p w:rsidR="001124E1" w:rsidRPr="00844AAF" w:rsidRDefault="001124E1" w:rsidP="001124E1">
      <w:pPr>
        <w:pStyle w:val="TableNoBR"/>
        <w:keepLines/>
        <w:rPr>
          <w:lang w:eastAsia="zh-CN"/>
        </w:rPr>
      </w:pPr>
      <w:r w:rsidRPr="00844AAF">
        <w:rPr>
          <w:lang w:eastAsia="zh-CN"/>
        </w:rPr>
        <w:lastRenderedPageBreak/>
        <w:t>TableAU 2</w:t>
      </w:r>
    </w:p>
    <w:p w:rsidR="001124E1" w:rsidRPr="00844AAF" w:rsidRDefault="001124E1" w:rsidP="009C19A1">
      <w:pPr>
        <w:pStyle w:val="TabletitleBR"/>
        <w:rPr>
          <w:lang w:eastAsia="zh-CN"/>
        </w:rPr>
      </w:pPr>
      <w:r w:rsidRPr="00844AAF">
        <w:rPr>
          <w:lang w:eastAsia="zh-CN"/>
        </w:rPr>
        <w:t xml:space="preserve">Montant moyen des budgets des Secteurs et du Secrétariat général de l'UIT </w:t>
      </w:r>
      <w:r w:rsidR="009C19A1" w:rsidRPr="00844AAF">
        <w:rPr>
          <w:lang w:eastAsia="zh-CN"/>
        </w:rPr>
        <w:br/>
      </w:r>
      <w:r w:rsidRPr="00844AAF">
        <w:rPr>
          <w:lang w:eastAsia="zh-CN"/>
        </w:rPr>
        <w:t xml:space="preserve">pendant la période 1996-2017 et comparaison en pourcentage </w:t>
      </w:r>
      <w:r w:rsidR="009C19A1" w:rsidRPr="00844AAF">
        <w:rPr>
          <w:lang w:eastAsia="zh-CN"/>
        </w:rPr>
        <w:br/>
      </w:r>
      <w:r w:rsidRPr="00844AAF">
        <w:rPr>
          <w:lang w:eastAsia="zh-CN"/>
        </w:rPr>
        <w:t>avec le projet de budget pour 2018-2019</w:t>
      </w:r>
    </w:p>
    <w:p w:rsidR="001124E1" w:rsidRPr="00844AAF" w:rsidRDefault="00EB2006" w:rsidP="009C19A1">
      <w:pPr>
        <w:pStyle w:val="Tablelegend"/>
        <w:keepNext/>
        <w:keepLines/>
        <w:jc w:val="right"/>
        <w:rPr>
          <w:b/>
          <w:bCs/>
          <w:lang w:eastAsia="zh-CN"/>
        </w:rPr>
      </w:pPr>
      <w:r>
        <w:rPr>
          <w:b/>
          <w:bCs/>
          <w:lang w:eastAsia="zh-CN"/>
        </w:rPr>
        <w:t>E</w:t>
      </w:r>
      <w:r w:rsidR="009C19A1" w:rsidRPr="00844AAF">
        <w:rPr>
          <w:b/>
          <w:bCs/>
          <w:lang w:eastAsia="zh-CN"/>
        </w:rPr>
        <w:t>n milliers CHF</w:t>
      </w:r>
    </w:p>
    <w:tbl>
      <w:tblPr>
        <w:tblStyle w:val="TableGrid"/>
        <w:tblW w:w="0" w:type="auto"/>
        <w:jc w:val="center"/>
        <w:tblLook w:val="04A0" w:firstRow="1" w:lastRow="0" w:firstColumn="1" w:lastColumn="0" w:noHBand="0" w:noVBand="1"/>
      </w:tblPr>
      <w:tblGrid>
        <w:gridCol w:w="3745"/>
        <w:gridCol w:w="1249"/>
        <w:gridCol w:w="1250"/>
        <w:gridCol w:w="1250"/>
        <w:gridCol w:w="1999"/>
      </w:tblGrid>
      <w:tr w:rsidR="00FD17F9" w:rsidRPr="00844AAF" w:rsidTr="00480626">
        <w:trPr>
          <w:jc w:val="center"/>
        </w:trPr>
        <w:tc>
          <w:tcPr>
            <w:tcW w:w="3745" w:type="dxa"/>
            <w:vAlign w:val="center"/>
          </w:tcPr>
          <w:p w:rsidR="00FD17F9" w:rsidRPr="00844AAF" w:rsidRDefault="00FD17F9" w:rsidP="001124E1">
            <w:pPr>
              <w:pStyle w:val="Tablehead"/>
              <w:rPr>
                <w:lang w:eastAsia="zh-CN"/>
              </w:rPr>
            </w:pPr>
            <w:r w:rsidRPr="00844AAF">
              <w:rPr>
                <w:lang w:eastAsia="zh-CN"/>
              </w:rPr>
              <w:t>Secteur</w:t>
            </w:r>
          </w:p>
        </w:tc>
        <w:tc>
          <w:tcPr>
            <w:tcW w:w="1249" w:type="dxa"/>
            <w:vAlign w:val="center"/>
          </w:tcPr>
          <w:p w:rsidR="00FD17F9" w:rsidRPr="00844AAF" w:rsidRDefault="00FD17F9" w:rsidP="001124E1">
            <w:pPr>
              <w:pStyle w:val="Tablehead"/>
              <w:rPr>
                <w:lang w:eastAsia="zh-CN"/>
              </w:rPr>
            </w:pPr>
            <w:r w:rsidRPr="00844AAF">
              <w:rPr>
                <w:lang w:eastAsia="zh-CN"/>
              </w:rPr>
              <w:t>UIT-R</w:t>
            </w:r>
          </w:p>
        </w:tc>
        <w:tc>
          <w:tcPr>
            <w:tcW w:w="1250" w:type="dxa"/>
            <w:vAlign w:val="center"/>
          </w:tcPr>
          <w:p w:rsidR="00FD17F9" w:rsidRPr="00844AAF" w:rsidRDefault="00FD17F9" w:rsidP="001124E1">
            <w:pPr>
              <w:pStyle w:val="Tablehead"/>
              <w:rPr>
                <w:lang w:eastAsia="zh-CN"/>
              </w:rPr>
            </w:pPr>
            <w:r w:rsidRPr="00844AAF">
              <w:rPr>
                <w:lang w:eastAsia="zh-CN"/>
              </w:rPr>
              <w:t>UIT-D</w:t>
            </w:r>
          </w:p>
        </w:tc>
        <w:tc>
          <w:tcPr>
            <w:tcW w:w="1250" w:type="dxa"/>
            <w:vAlign w:val="center"/>
          </w:tcPr>
          <w:p w:rsidR="00FD17F9" w:rsidRPr="00844AAF" w:rsidRDefault="00FD17F9" w:rsidP="001124E1">
            <w:pPr>
              <w:pStyle w:val="Tablehead"/>
              <w:rPr>
                <w:lang w:eastAsia="zh-CN"/>
              </w:rPr>
            </w:pPr>
            <w:r w:rsidRPr="00844AAF">
              <w:rPr>
                <w:lang w:eastAsia="zh-CN"/>
              </w:rPr>
              <w:t>UIT-T</w:t>
            </w:r>
          </w:p>
        </w:tc>
        <w:tc>
          <w:tcPr>
            <w:tcW w:w="1999" w:type="dxa"/>
          </w:tcPr>
          <w:p w:rsidR="00FD17F9" w:rsidRPr="00844AAF" w:rsidRDefault="00FD17F9" w:rsidP="001124E1">
            <w:pPr>
              <w:pStyle w:val="Tablehead"/>
              <w:rPr>
                <w:lang w:eastAsia="zh-CN"/>
              </w:rPr>
            </w:pPr>
            <w:r w:rsidRPr="00844AAF">
              <w:rPr>
                <w:lang w:eastAsia="zh-CN"/>
              </w:rPr>
              <w:t>Secrétariat général</w:t>
            </w:r>
          </w:p>
        </w:tc>
      </w:tr>
      <w:tr w:rsidR="00FD17F9" w:rsidRPr="00844AAF" w:rsidTr="00480626">
        <w:trPr>
          <w:jc w:val="center"/>
        </w:trPr>
        <w:tc>
          <w:tcPr>
            <w:tcW w:w="3745" w:type="dxa"/>
          </w:tcPr>
          <w:p w:rsidR="00FD17F9" w:rsidRPr="00844AAF" w:rsidRDefault="00FD17F9" w:rsidP="001124E1">
            <w:pPr>
              <w:pStyle w:val="Tabletext"/>
              <w:keepNext/>
              <w:rPr>
                <w:lang w:eastAsia="zh-CN"/>
              </w:rPr>
            </w:pPr>
            <w:r w:rsidRPr="00844AAF">
              <w:rPr>
                <w:lang w:eastAsia="zh-CN"/>
              </w:rPr>
              <w:t>Budget biennal moyen</w:t>
            </w:r>
            <w:r w:rsidRPr="00844AAF">
              <w:rPr>
                <w:lang w:eastAsia="zh-CN"/>
              </w:rPr>
              <w:br/>
              <w:t>(1996-2017) – А1</w:t>
            </w:r>
          </w:p>
        </w:tc>
        <w:tc>
          <w:tcPr>
            <w:tcW w:w="1249" w:type="dxa"/>
            <w:vAlign w:val="center"/>
          </w:tcPr>
          <w:p w:rsidR="00FD17F9" w:rsidRPr="00844AAF" w:rsidRDefault="00FD17F9" w:rsidP="001124E1">
            <w:pPr>
              <w:pStyle w:val="Tabletext"/>
              <w:keepNext/>
              <w:jc w:val="center"/>
              <w:rPr>
                <w:lang w:eastAsia="zh-CN"/>
              </w:rPr>
            </w:pPr>
            <w:r w:rsidRPr="00844AAF">
              <w:rPr>
                <w:lang w:eastAsia="zh-CN"/>
              </w:rPr>
              <w:t>65 753</w:t>
            </w:r>
          </w:p>
        </w:tc>
        <w:tc>
          <w:tcPr>
            <w:tcW w:w="1250" w:type="dxa"/>
            <w:vAlign w:val="center"/>
          </w:tcPr>
          <w:p w:rsidR="00FD17F9" w:rsidRPr="00844AAF" w:rsidRDefault="00FD17F9" w:rsidP="001124E1">
            <w:pPr>
              <w:pStyle w:val="Tabletext"/>
              <w:keepNext/>
              <w:jc w:val="center"/>
              <w:rPr>
                <w:lang w:eastAsia="zh-CN"/>
              </w:rPr>
            </w:pPr>
            <w:r w:rsidRPr="00844AAF">
              <w:rPr>
                <w:lang w:eastAsia="zh-CN"/>
              </w:rPr>
              <w:t>59 813</w:t>
            </w:r>
          </w:p>
        </w:tc>
        <w:tc>
          <w:tcPr>
            <w:tcW w:w="1250" w:type="dxa"/>
            <w:vAlign w:val="center"/>
          </w:tcPr>
          <w:p w:rsidR="00FD17F9" w:rsidRPr="00844AAF" w:rsidRDefault="00FD17F9" w:rsidP="001124E1">
            <w:pPr>
              <w:pStyle w:val="Tabletext"/>
              <w:keepNext/>
              <w:jc w:val="center"/>
              <w:rPr>
                <w:lang w:eastAsia="zh-CN"/>
              </w:rPr>
            </w:pPr>
            <w:r w:rsidRPr="00844AAF">
              <w:rPr>
                <w:lang w:eastAsia="zh-CN"/>
              </w:rPr>
              <w:t>25 739</w:t>
            </w:r>
          </w:p>
        </w:tc>
        <w:tc>
          <w:tcPr>
            <w:tcW w:w="1999" w:type="dxa"/>
            <w:vAlign w:val="center"/>
          </w:tcPr>
          <w:p w:rsidR="00FD17F9" w:rsidRPr="00844AAF" w:rsidRDefault="00FD17F9" w:rsidP="001124E1">
            <w:pPr>
              <w:pStyle w:val="Tabletext"/>
              <w:keepNext/>
              <w:jc w:val="center"/>
              <w:rPr>
                <w:lang w:eastAsia="zh-CN"/>
              </w:rPr>
            </w:pPr>
            <w:r w:rsidRPr="00844AAF">
              <w:rPr>
                <w:lang w:eastAsia="zh-CN"/>
              </w:rPr>
              <w:t>179 530</w:t>
            </w:r>
          </w:p>
        </w:tc>
      </w:tr>
      <w:tr w:rsidR="00FD17F9" w:rsidRPr="00844AAF" w:rsidTr="00480626">
        <w:trPr>
          <w:jc w:val="center"/>
        </w:trPr>
        <w:tc>
          <w:tcPr>
            <w:tcW w:w="3745" w:type="dxa"/>
          </w:tcPr>
          <w:p w:rsidR="00FD17F9" w:rsidRPr="00844AAF" w:rsidRDefault="00FD17F9" w:rsidP="001124E1">
            <w:pPr>
              <w:pStyle w:val="Tabletext"/>
              <w:keepNext/>
              <w:rPr>
                <w:lang w:eastAsia="zh-CN"/>
              </w:rPr>
            </w:pPr>
            <w:r w:rsidRPr="00844AAF">
              <w:rPr>
                <w:lang w:eastAsia="zh-CN"/>
              </w:rPr>
              <w:t>Projet de budget pour 2018-2019 – А2</w:t>
            </w:r>
          </w:p>
        </w:tc>
        <w:tc>
          <w:tcPr>
            <w:tcW w:w="1249" w:type="dxa"/>
            <w:vAlign w:val="center"/>
          </w:tcPr>
          <w:p w:rsidR="00FD17F9" w:rsidRPr="00844AAF" w:rsidRDefault="00FD17F9" w:rsidP="001124E1">
            <w:pPr>
              <w:pStyle w:val="Tabletext"/>
              <w:keepNext/>
              <w:jc w:val="center"/>
              <w:rPr>
                <w:lang w:eastAsia="zh-CN"/>
              </w:rPr>
            </w:pPr>
            <w:r w:rsidRPr="00844AAF">
              <w:rPr>
                <w:lang w:eastAsia="zh-CN"/>
              </w:rPr>
              <w:t>58 586</w:t>
            </w:r>
          </w:p>
        </w:tc>
        <w:tc>
          <w:tcPr>
            <w:tcW w:w="1250" w:type="dxa"/>
            <w:vAlign w:val="center"/>
          </w:tcPr>
          <w:p w:rsidR="00FD17F9" w:rsidRPr="00844AAF" w:rsidRDefault="00FD17F9" w:rsidP="001124E1">
            <w:pPr>
              <w:pStyle w:val="Tabletext"/>
              <w:keepNext/>
              <w:jc w:val="center"/>
              <w:rPr>
                <w:lang w:eastAsia="zh-CN"/>
              </w:rPr>
            </w:pPr>
            <w:r w:rsidRPr="00844AAF">
              <w:rPr>
                <w:lang w:eastAsia="zh-CN"/>
              </w:rPr>
              <w:t>55 888</w:t>
            </w:r>
          </w:p>
        </w:tc>
        <w:tc>
          <w:tcPr>
            <w:tcW w:w="1250" w:type="dxa"/>
            <w:vAlign w:val="center"/>
          </w:tcPr>
          <w:p w:rsidR="00FD17F9" w:rsidRPr="00844AAF" w:rsidRDefault="00FD17F9" w:rsidP="001124E1">
            <w:pPr>
              <w:pStyle w:val="Tabletext"/>
              <w:keepNext/>
              <w:jc w:val="center"/>
              <w:rPr>
                <w:lang w:eastAsia="zh-CN"/>
              </w:rPr>
            </w:pPr>
            <w:r w:rsidRPr="00844AAF">
              <w:rPr>
                <w:lang w:eastAsia="zh-CN"/>
              </w:rPr>
              <w:t>25 494</w:t>
            </w:r>
          </w:p>
        </w:tc>
        <w:tc>
          <w:tcPr>
            <w:tcW w:w="1999" w:type="dxa"/>
            <w:vAlign w:val="center"/>
          </w:tcPr>
          <w:p w:rsidR="00FD17F9" w:rsidRPr="00844AAF" w:rsidRDefault="00FD17F9" w:rsidP="001124E1">
            <w:pPr>
              <w:pStyle w:val="Tabletext"/>
              <w:keepNext/>
              <w:jc w:val="center"/>
              <w:rPr>
                <w:lang w:eastAsia="zh-CN"/>
              </w:rPr>
            </w:pPr>
            <w:r w:rsidRPr="00844AAF">
              <w:rPr>
                <w:lang w:eastAsia="zh-CN"/>
              </w:rPr>
              <w:t>180 134</w:t>
            </w:r>
          </w:p>
        </w:tc>
      </w:tr>
      <w:tr w:rsidR="00FD17F9" w:rsidRPr="00844AAF" w:rsidTr="00480626">
        <w:trPr>
          <w:jc w:val="center"/>
        </w:trPr>
        <w:tc>
          <w:tcPr>
            <w:tcW w:w="3745" w:type="dxa"/>
          </w:tcPr>
          <w:p w:rsidR="00FD17F9" w:rsidRPr="00844AAF" w:rsidRDefault="00FD17F9" w:rsidP="001124E1">
            <w:pPr>
              <w:pStyle w:val="Tabletext"/>
              <w:rPr>
                <w:lang w:eastAsia="zh-CN"/>
              </w:rPr>
            </w:pPr>
            <w:r w:rsidRPr="00844AAF">
              <w:rPr>
                <w:lang w:eastAsia="zh-CN"/>
              </w:rPr>
              <w:t>А2/А1×100 (%)</w:t>
            </w:r>
          </w:p>
        </w:tc>
        <w:tc>
          <w:tcPr>
            <w:tcW w:w="1249" w:type="dxa"/>
            <w:vAlign w:val="center"/>
          </w:tcPr>
          <w:p w:rsidR="00FD17F9" w:rsidRPr="00844AAF" w:rsidRDefault="00FD17F9" w:rsidP="001124E1">
            <w:pPr>
              <w:pStyle w:val="Tabletext"/>
              <w:jc w:val="center"/>
              <w:rPr>
                <w:b/>
                <w:bCs/>
                <w:lang w:eastAsia="zh-CN"/>
              </w:rPr>
            </w:pPr>
            <w:r w:rsidRPr="00844AAF">
              <w:rPr>
                <w:b/>
                <w:bCs/>
                <w:color w:val="FF0000"/>
                <w:lang w:eastAsia="zh-CN"/>
              </w:rPr>
              <w:t>89,1%</w:t>
            </w:r>
          </w:p>
        </w:tc>
        <w:tc>
          <w:tcPr>
            <w:tcW w:w="1250" w:type="dxa"/>
            <w:vAlign w:val="center"/>
          </w:tcPr>
          <w:p w:rsidR="00FD17F9" w:rsidRPr="00844AAF" w:rsidRDefault="00FD17F9" w:rsidP="001124E1">
            <w:pPr>
              <w:pStyle w:val="Tabletext"/>
              <w:jc w:val="center"/>
              <w:rPr>
                <w:b/>
                <w:bCs/>
                <w:lang w:eastAsia="zh-CN"/>
              </w:rPr>
            </w:pPr>
            <w:r w:rsidRPr="00844AAF">
              <w:rPr>
                <w:b/>
                <w:bCs/>
                <w:lang w:eastAsia="zh-CN"/>
              </w:rPr>
              <w:t>95,2%</w:t>
            </w:r>
          </w:p>
        </w:tc>
        <w:tc>
          <w:tcPr>
            <w:tcW w:w="1250" w:type="dxa"/>
            <w:vAlign w:val="center"/>
          </w:tcPr>
          <w:p w:rsidR="00FD17F9" w:rsidRPr="00844AAF" w:rsidRDefault="00FD17F9" w:rsidP="001124E1">
            <w:pPr>
              <w:pStyle w:val="Tabletext"/>
              <w:jc w:val="center"/>
              <w:rPr>
                <w:b/>
                <w:bCs/>
                <w:lang w:eastAsia="zh-CN"/>
              </w:rPr>
            </w:pPr>
            <w:r w:rsidRPr="00844AAF">
              <w:rPr>
                <w:b/>
                <w:bCs/>
                <w:lang w:eastAsia="zh-CN"/>
              </w:rPr>
              <w:t>99,0%</w:t>
            </w:r>
          </w:p>
        </w:tc>
        <w:tc>
          <w:tcPr>
            <w:tcW w:w="1999" w:type="dxa"/>
            <w:vAlign w:val="center"/>
          </w:tcPr>
          <w:p w:rsidR="00FD17F9" w:rsidRPr="00844AAF" w:rsidRDefault="00FD17F9" w:rsidP="001124E1">
            <w:pPr>
              <w:pStyle w:val="Tabletext"/>
              <w:jc w:val="center"/>
              <w:rPr>
                <w:b/>
                <w:bCs/>
                <w:lang w:eastAsia="zh-CN"/>
              </w:rPr>
            </w:pPr>
            <w:r w:rsidRPr="00844AAF">
              <w:rPr>
                <w:b/>
                <w:bCs/>
                <w:lang w:eastAsia="zh-CN"/>
              </w:rPr>
              <w:t>100,3</w:t>
            </w:r>
          </w:p>
        </w:tc>
      </w:tr>
    </w:tbl>
    <w:p w:rsidR="001124E1" w:rsidRPr="00844AAF" w:rsidRDefault="001124E1" w:rsidP="009C19A1">
      <w:pPr>
        <w:pStyle w:val="Heading2"/>
        <w:rPr>
          <w:lang w:eastAsia="zh-CN"/>
        </w:rPr>
      </w:pPr>
      <w:r w:rsidRPr="00844AAF">
        <w:rPr>
          <w:lang w:eastAsia="zh-CN"/>
        </w:rPr>
        <w:t>2.2</w:t>
      </w:r>
      <w:r w:rsidRPr="00844AAF">
        <w:rPr>
          <w:lang w:eastAsia="zh-CN"/>
        </w:rPr>
        <w:tab/>
        <w:t>Analyse des ressources humaines du BR pendant la période 2004-2017</w:t>
      </w:r>
    </w:p>
    <w:p w:rsidR="001124E1" w:rsidRPr="00844AAF" w:rsidRDefault="001124E1" w:rsidP="001124E1">
      <w:pPr>
        <w:rPr>
          <w:lang w:eastAsia="zh-CN"/>
        </w:rPr>
      </w:pPr>
      <w:r w:rsidRPr="00844AAF">
        <w:rPr>
          <w:lang w:eastAsia="zh-CN"/>
        </w:rPr>
        <w:t>Le Tableau 3 fournit des données statistiques montrant l'évolution des effectifs du BR (postes bu</w:t>
      </w:r>
      <w:r w:rsidR="00FD17F9">
        <w:rPr>
          <w:lang w:eastAsia="zh-CN"/>
        </w:rPr>
        <w:t>dgétés) pendant la période 2004-</w:t>
      </w:r>
      <w:r w:rsidRPr="00844AAF">
        <w:rPr>
          <w:lang w:eastAsia="zh-CN"/>
        </w:rPr>
        <w:t>2017, avec des projections pour la période 2018-2019.</w:t>
      </w:r>
    </w:p>
    <w:p w:rsidR="001124E1" w:rsidRPr="00844AAF" w:rsidRDefault="001124E1" w:rsidP="001124E1">
      <w:pPr>
        <w:pStyle w:val="TableNoBR"/>
        <w:rPr>
          <w:lang w:eastAsia="zh-CN"/>
        </w:rPr>
      </w:pPr>
      <w:r w:rsidRPr="00844AAF">
        <w:rPr>
          <w:lang w:eastAsia="zh-CN"/>
        </w:rPr>
        <w:t>TableAU 3</w:t>
      </w:r>
    </w:p>
    <w:p w:rsidR="001124E1" w:rsidRPr="00844AAF" w:rsidRDefault="001124E1" w:rsidP="001124E1">
      <w:pPr>
        <w:pStyle w:val="TabletitleBR"/>
        <w:rPr>
          <w:lang w:eastAsia="zh-CN"/>
        </w:rPr>
      </w:pPr>
      <w:r w:rsidRPr="00844AAF">
        <w:rPr>
          <w:lang w:eastAsia="zh-CN"/>
        </w:rPr>
        <w:t>Effectif</w:t>
      </w:r>
      <w:r w:rsidR="00223280" w:rsidRPr="00844AAF">
        <w:rPr>
          <w:lang w:eastAsia="zh-CN"/>
        </w:rPr>
        <w:t>s</w:t>
      </w:r>
      <w:r w:rsidRPr="00844AAF">
        <w:rPr>
          <w:lang w:eastAsia="zh-CN"/>
        </w:rPr>
        <w:t xml:space="preserve"> du Bureau des radiocommunications de l'UIT </w:t>
      </w:r>
      <w:r w:rsidR="00223280" w:rsidRPr="00844AAF">
        <w:rPr>
          <w:lang w:eastAsia="zh-CN"/>
        </w:rPr>
        <w:t>pendant la période 2004-</w:t>
      </w:r>
      <w:r w:rsidRPr="00844AAF">
        <w:rPr>
          <w:lang w:eastAsia="zh-CN"/>
        </w:rPr>
        <w:t xml:space="preserve">2017 </w:t>
      </w:r>
      <w:r w:rsidRPr="00844AAF">
        <w:rPr>
          <w:lang w:eastAsia="zh-CN"/>
        </w:rPr>
        <w:br/>
        <w:t>(Postes budgétés</w:t>
      </w:r>
      <w:r w:rsidR="00223280" w:rsidRPr="00844AAF">
        <w:rPr>
          <w:lang w:eastAsia="zh-CN"/>
        </w:rPr>
        <w:t xml:space="preserve"> </w:t>
      </w:r>
      <w:r w:rsidRPr="00844AAF">
        <w:rPr>
          <w:lang w:eastAsia="zh-CN"/>
        </w:rPr>
        <w:t>–</w:t>
      </w:r>
      <w:r w:rsidR="00223280" w:rsidRPr="00844AAF">
        <w:rPr>
          <w:lang w:eastAsia="zh-CN"/>
        </w:rPr>
        <w:t xml:space="preserve"> </w:t>
      </w:r>
      <w:r w:rsidRPr="00844AAF">
        <w:rPr>
          <w:lang w:eastAsia="zh-CN"/>
        </w:rPr>
        <w:t xml:space="preserve">voir le Tableau 1) </w:t>
      </w: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1124E1" w:rsidRPr="00844AAF" w:rsidTr="00013E8A">
        <w:trPr>
          <w:trHeight w:val="315"/>
          <w:jc w:val="center"/>
        </w:trPr>
        <w:tc>
          <w:tcPr>
            <w:tcW w:w="1339" w:type="dxa"/>
            <w:noWrap/>
            <w:hideMark/>
          </w:tcPr>
          <w:p w:rsidR="001124E1" w:rsidRPr="00844AAF" w:rsidRDefault="001124E1" w:rsidP="001124E1">
            <w:pPr>
              <w:pStyle w:val="Tablehead"/>
              <w:rPr>
                <w:lang w:eastAsia="zh-CN"/>
              </w:rPr>
            </w:pPr>
            <w:r w:rsidRPr="00844AAF">
              <w:rPr>
                <w:lang w:eastAsia="zh-CN"/>
              </w:rPr>
              <w:t>Année</w:t>
            </w:r>
          </w:p>
        </w:tc>
        <w:tc>
          <w:tcPr>
            <w:tcW w:w="1050" w:type="dxa"/>
            <w:noWrap/>
            <w:tcMar>
              <w:left w:w="29" w:type="dxa"/>
              <w:right w:w="29" w:type="dxa"/>
            </w:tcMar>
            <w:hideMark/>
          </w:tcPr>
          <w:p w:rsidR="001124E1" w:rsidRPr="00844AAF" w:rsidRDefault="001124E1" w:rsidP="001124E1">
            <w:pPr>
              <w:pStyle w:val="Tablehead"/>
              <w:rPr>
                <w:lang w:eastAsia="zh-CN"/>
              </w:rPr>
            </w:pPr>
            <w:r w:rsidRPr="00844AAF">
              <w:rPr>
                <w:lang w:eastAsia="zh-CN"/>
              </w:rPr>
              <w:t>2004</w:t>
            </w:r>
          </w:p>
        </w:tc>
        <w:tc>
          <w:tcPr>
            <w:tcW w:w="1051" w:type="dxa"/>
            <w:noWrap/>
            <w:tcMar>
              <w:left w:w="29" w:type="dxa"/>
              <w:right w:w="29" w:type="dxa"/>
            </w:tcMar>
            <w:hideMark/>
          </w:tcPr>
          <w:p w:rsidR="001124E1" w:rsidRPr="00844AAF" w:rsidRDefault="001124E1" w:rsidP="001124E1">
            <w:pPr>
              <w:pStyle w:val="Tablehead"/>
              <w:rPr>
                <w:lang w:eastAsia="zh-CN"/>
              </w:rPr>
            </w:pPr>
            <w:r w:rsidRPr="00844AAF">
              <w:rPr>
                <w:lang w:eastAsia="zh-CN"/>
              </w:rPr>
              <w:t>2005</w:t>
            </w:r>
          </w:p>
        </w:tc>
        <w:tc>
          <w:tcPr>
            <w:tcW w:w="1050" w:type="dxa"/>
            <w:tcMar>
              <w:left w:w="29" w:type="dxa"/>
              <w:right w:w="29" w:type="dxa"/>
            </w:tcMar>
          </w:tcPr>
          <w:p w:rsidR="001124E1" w:rsidRPr="00844AAF" w:rsidRDefault="001124E1" w:rsidP="001124E1">
            <w:pPr>
              <w:pStyle w:val="Tablehead"/>
              <w:rPr>
                <w:lang w:eastAsia="zh-CN"/>
              </w:rPr>
            </w:pPr>
            <w:r w:rsidRPr="00844AAF">
              <w:rPr>
                <w:lang w:eastAsia="zh-CN"/>
              </w:rPr>
              <w:t>2006</w:t>
            </w:r>
          </w:p>
        </w:tc>
        <w:tc>
          <w:tcPr>
            <w:tcW w:w="1051" w:type="dxa"/>
          </w:tcPr>
          <w:p w:rsidR="001124E1" w:rsidRPr="00844AAF" w:rsidRDefault="001124E1" w:rsidP="001124E1">
            <w:pPr>
              <w:pStyle w:val="Tablehead"/>
              <w:rPr>
                <w:lang w:eastAsia="zh-CN"/>
              </w:rPr>
            </w:pPr>
            <w:r w:rsidRPr="00844AAF">
              <w:rPr>
                <w:lang w:eastAsia="zh-CN"/>
              </w:rPr>
              <w:t>2007</w:t>
            </w:r>
          </w:p>
        </w:tc>
        <w:tc>
          <w:tcPr>
            <w:tcW w:w="1050" w:type="dxa"/>
          </w:tcPr>
          <w:p w:rsidR="001124E1" w:rsidRPr="00844AAF" w:rsidRDefault="001124E1" w:rsidP="001124E1">
            <w:pPr>
              <w:pStyle w:val="Tablehead"/>
              <w:rPr>
                <w:lang w:eastAsia="zh-CN"/>
              </w:rPr>
            </w:pPr>
            <w:r w:rsidRPr="00844AAF">
              <w:rPr>
                <w:lang w:eastAsia="zh-CN"/>
              </w:rPr>
              <w:t>2008</w:t>
            </w:r>
          </w:p>
        </w:tc>
        <w:tc>
          <w:tcPr>
            <w:tcW w:w="1051" w:type="dxa"/>
          </w:tcPr>
          <w:p w:rsidR="001124E1" w:rsidRPr="00844AAF" w:rsidRDefault="001124E1" w:rsidP="001124E1">
            <w:pPr>
              <w:pStyle w:val="Tablehead"/>
              <w:rPr>
                <w:lang w:eastAsia="zh-CN"/>
              </w:rPr>
            </w:pPr>
            <w:r w:rsidRPr="00844AAF">
              <w:rPr>
                <w:lang w:eastAsia="zh-CN"/>
              </w:rPr>
              <w:t>2009</w:t>
            </w:r>
          </w:p>
        </w:tc>
        <w:tc>
          <w:tcPr>
            <w:tcW w:w="1050" w:type="dxa"/>
          </w:tcPr>
          <w:p w:rsidR="001124E1" w:rsidRPr="00844AAF" w:rsidRDefault="001124E1" w:rsidP="001124E1">
            <w:pPr>
              <w:pStyle w:val="Tablehead"/>
              <w:rPr>
                <w:lang w:eastAsia="zh-CN"/>
              </w:rPr>
            </w:pPr>
            <w:r w:rsidRPr="00844AAF">
              <w:rPr>
                <w:lang w:eastAsia="zh-CN"/>
              </w:rPr>
              <w:t>2010</w:t>
            </w:r>
          </w:p>
        </w:tc>
        <w:tc>
          <w:tcPr>
            <w:tcW w:w="1051" w:type="dxa"/>
          </w:tcPr>
          <w:p w:rsidR="001124E1" w:rsidRPr="00844AAF" w:rsidRDefault="001124E1" w:rsidP="001124E1">
            <w:pPr>
              <w:pStyle w:val="Tablehead"/>
              <w:rPr>
                <w:lang w:eastAsia="zh-CN"/>
              </w:rPr>
            </w:pPr>
            <w:r w:rsidRPr="00844AAF">
              <w:rPr>
                <w:lang w:eastAsia="zh-CN"/>
              </w:rPr>
              <w:t>2011</w:t>
            </w:r>
          </w:p>
        </w:tc>
      </w:tr>
      <w:tr w:rsidR="001124E1" w:rsidRPr="00844AAF" w:rsidTr="00013E8A">
        <w:trPr>
          <w:trHeight w:val="327"/>
          <w:jc w:val="center"/>
        </w:trPr>
        <w:tc>
          <w:tcPr>
            <w:tcW w:w="1339" w:type="dxa"/>
            <w:noWrap/>
            <w:hideMark/>
          </w:tcPr>
          <w:p w:rsidR="001124E1" w:rsidRPr="00844AAF" w:rsidRDefault="001124E1" w:rsidP="001124E1">
            <w:pPr>
              <w:pStyle w:val="Tabletext"/>
              <w:rPr>
                <w:lang w:eastAsia="zh-CN"/>
              </w:rPr>
            </w:pPr>
            <w:r w:rsidRPr="00844AAF">
              <w:rPr>
                <w:lang w:eastAsia="zh-CN"/>
              </w:rPr>
              <w:t>Document</w:t>
            </w:r>
          </w:p>
        </w:tc>
        <w:tc>
          <w:tcPr>
            <w:tcW w:w="1050" w:type="dxa"/>
            <w:tcMar>
              <w:left w:w="29" w:type="dxa"/>
              <w:right w:w="29" w:type="dxa"/>
            </w:tcMar>
            <w:vAlign w:val="center"/>
            <w:hideMark/>
          </w:tcPr>
          <w:p w:rsidR="001124E1" w:rsidRPr="00844AAF" w:rsidRDefault="0072071A" w:rsidP="001124E1">
            <w:pPr>
              <w:pStyle w:val="Tabletext"/>
              <w:jc w:val="center"/>
              <w:rPr>
                <w:u w:val="single"/>
                <w:lang w:eastAsia="zh-CN"/>
              </w:rPr>
            </w:pPr>
            <w:hyperlink r:id="rId22" w:history="1">
              <w:r w:rsidR="001124E1" w:rsidRPr="00844AAF">
                <w:rPr>
                  <w:rStyle w:val="Hyperlink"/>
                  <w:lang w:eastAsia="zh-CN"/>
                </w:rPr>
                <w:t>C05/10</w:t>
              </w:r>
            </w:hyperlink>
          </w:p>
        </w:tc>
        <w:tc>
          <w:tcPr>
            <w:tcW w:w="1051" w:type="dxa"/>
            <w:tcMar>
              <w:left w:w="29" w:type="dxa"/>
              <w:right w:w="29" w:type="dxa"/>
            </w:tcMar>
            <w:vAlign w:val="center"/>
            <w:hideMark/>
          </w:tcPr>
          <w:p w:rsidR="001124E1" w:rsidRPr="00844AAF" w:rsidRDefault="0072071A" w:rsidP="001124E1">
            <w:pPr>
              <w:pStyle w:val="Tabletext"/>
              <w:jc w:val="center"/>
              <w:rPr>
                <w:u w:val="single"/>
                <w:lang w:eastAsia="zh-CN"/>
              </w:rPr>
            </w:pPr>
            <w:hyperlink r:id="rId23" w:history="1">
              <w:r w:rsidR="001124E1" w:rsidRPr="00844AAF">
                <w:rPr>
                  <w:rStyle w:val="Hyperlink"/>
                  <w:lang w:eastAsia="zh-CN"/>
                </w:rPr>
                <w:t>C05/10</w:t>
              </w:r>
            </w:hyperlink>
          </w:p>
        </w:tc>
        <w:tc>
          <w:tcPr>
            <w:tcW w:w="1050" w:type="dxa"/>
            <w:tcMar>
              <w:left w:w="29" w:type="dxa"/>
              <w:right w:w="29" w:type="dxa"/>
            </w:tcMar>
            <w:vAlign w:val="center"/>
          </w:tcPr>
          <w:p w:rsidR="001124E1" w:rsidRPr="00844AAF" w:rsidRDefault="0072071A" w:rsidP="001124E1">
            <w:pPr>
              <w:pStyle w:val="Tabletext"/>
              <w:jc w:val="center"/>
              <w:rPr>
                <w:u w:val="single"/>
                <w:lang w:eastAsia="zh-CN"/>
              </w:rPr>
            </w:pPr>
            <w:hyperlink r:id="rId24" w:history="1">
              <w:r w:rsidR="001124E1" w:rsidRPr="00844AAF">
                <w:rPr>
                  <w:rStyle w:val="Hyperlink"/>
                  <w:lang w:eastAsia="zh-CN"/>
                </w:rPr>
                <w:t>C07/10</w:t>
              </w:r>
            </w:hyperlink>
          </w:p>
        </w:tc>
        <w:tc>
          <w:tcPr>
            <w:tcW w:w="1051" w:type="dxa"/>
            <w:vAlign w:val="center"/>
          </w:tcPr>
          <w:p w:rsidR="001124E1" w:rsidRPr="00844AAF" w:rsidRDefault="0072071A" w:rsidP="001124E1">
            <w:pPr>
              <w:pStyle w:val="Tabletext"/>
              <w:jc w:val="center"/>
              <w:rPr>
                <w:u w:val="single"/>
                <w:lang w:eastAsia="zh-CN"/>
              </w:rPr>
            </w:pPr>
            <w:hyperlink r:id="rId25" w:history="1">
              <w:r w:rsidR="001124E1" w:rsidRPr="00844AAF">
                <w:rPr>
                  <w:rStyle w:val="Hyperlink"/>
                  <w:lang w:eastAsia="zh-CN"/>
                </w:rPr>
                <w:t>C07/10</w:t>
              </w:r>
            </w:hyperlink>
          </w:p>
        </w:tc>
        <w:tc>
          <w:tcPr>
            <w:tcW w:w="1050" w:type="dxa"/>
            <w:vAlign w:val="center"/>
          </w:tcPr>
          <w:p w:rsidR="001124E1" w:rsidRPr="00844AAF" w:rsidRDefault="0072071A" w:rsidP="001124E1">
            <w:pPr>
              <w:pStyle w:val="Tabletext"/>
              <w:jc w:val="center"/>
              <w:rPr>
                <w:u w:val="single"/>
                <w:lang w:eastAsia="zh-CN"/>
              </w:rPr>
            </w:pPr>
            <w:hyperlink r:id="rId26" w:history="1">
              <w:r w:rsidR="001124E1" w:rsidRPr="00844AAF">
                <w:rPr>
                  <w:rStyle w:val="Hyperlink"/>
                  <w:lang w:eastAsia="zh-CN"/>
                </w:rPr>
                <w:t>C09/10</w:t>
              </w:r>
            </w:hyperlink>
          </w:p>
        </w:tc>
        <w:tc>
          <w:tcPr>
            <w:tcW w:w="1051" w:type="dxa"/>
            <w:vAlign w:val="center"/>
          </w:tcPr>
          <w:p w:rsidR="001124E1" w:rsidRPr="00844AAF" w:rsidRDefault="0072071A" w:rsidP="001124E1">
            <w:pPr>
              <w:pStyle w:val="Tabletext"/>
              <w:jc w:val="center"/>
              <w:rPr>
                <w:u w:val="single"/>
                <w:lang w:eastAsia="zh-CN"/>
              </w:rPr>
            </w:pPr>
            <w:hyperlink r:id="rId27" w:history="1">
              <w:r w:rsidR="001124E1" w:rsidRPr="00844AAF">
                <w:rPr>
                  <w:rStyle w:val="Hyperlink"/>
                  <w:lang w:eastAsia="zh-CN"/>
                </w:rPr>
                <w:t>C09/10</w:t>
              </w:r>
            </w:hyperlink>
          </w:p>
        </w:tc>
        <w:tc>
          <w:tcPr>
            <w:tcW w:w="1050" w:type="dxa"/>
            <w:vAlign w:val="center"/>
          </w:tcPr>
          <w:p w:rsidR="001124E1" w:rsidRPr="00844AAF" w:rsidRDefault="0072071A" w:rsidP="001124E1">
            <w:pPr>
              <w:pStyle w:val="Tabletext"/>
              <w:jc w:val="center"/>
              <w:rPr>
                <w:u w:val="single"/>
                <w:lang w:eastAsia="zh-CN"/>
              </w:rPr>
            </w:pPr>
            <w:hyperlink r:id="rId28" w:history="1">
              <w:r w:rsidR="001124E1" w:rsidRPr="00844AAF">
                <w:rPr>
                  <w:rStyle w:val="Hyperlink"/>
                  <w:lang w:eastAsia="zh-CN"/>
                </w:rPr>
                <w:t>C17/10</w:t>
              </w:r>
            </w:hyperlink>
          </w:p>
        </w:tc>
        <w:tc>
          <w:tcPr>
            <w:tcW w:w="1051" w:type="dxa"/>
            <w:vAlign w:val="center"/>
          </w:tcPr>
          <w:p w:rsidR="001124E1" w:rsidRPr="00844AAF" w:rsidRDefault="0072071A" w:rsidP="001124E1">
            <w:pPr>
              <w:pStyle w:val="Tabletext"/>
              <w:jc w:val="center"/>
              <w:rPr>
                <w:u w:val="single"/>
                <w:lang w:eastAsia="zh-CN"/>
              </w:rPr>
            </w:pPr>
            <w:hyperlink r:id="rId29" w:history="1">
              <w:r w:rsidR="001124E1" w:rsidRPr="00844AAF">
                <w:rPr>
                  <w:rStyle w:val="Hyperlink"/>
                  <w:lang w:eastAsia="zh-CN"/>
                </w:rPr>
                <w:t>C17/10</w:t>
              </w:r>
            </w:hyperlink>
          </w:p>
        </w:tc>
      </w:tr>
      <w:tr w:rsidR="001124E1" w:rsidRPr="00844AAF" w:rsidTr="00013E8A">
        <w:trPr>
          <w:trHeight w:val="300"/>
          <w:jc w:val="center"/>
        </w:trPr>
        <w:tc>
          <w:tcPr>
            <w:tcW w:w="1339" w:type="dxa"/>
            <w:noWrap/>
            <w:hideMark/>
          </w:tcPr>
          <w:p w:rsidR="001124E1" w:rsidRPr="00844AAF" w:rsidRDefault="001124E1" w:rsidP="001124E1">
            <w:pPr>
              <w:pStyle w:val="Tabletext"/>
              <w:rPr>
                <w:lang w:eastAsia="zh-CN"/>
              </w:rPr>
            </w:pPr>
            <w:r w:rsidRPr="00844AAF">
              <w:rPr>
                <w:lang w:eastAsia="zh-CN"/>
              </w:rPr>
              <w:t>Page</w:t>
            </w:r>
          </w:p>
        </w:tc>
        <w:tc>
          <w:tcPr>
            <w:tcW w:w="1050" w:type="dxa"/>
            <w:noWrap/>
            <w:vAlign w:val="center"/>
            <w:hideMark/>
          </w:tcPr>
          <w:p w:rsidR="001124E1" w:rsidRPr="00844AAF" w:rsidRDefault="001124E1" w:rsidP="001124E1">
            <w:pPr>
              <w:pStyle w:val="Tabletext"/>
              <w:jc w:val="center"/>
              <w:rPr>
                <w:lang w:eastAsia="zh-CN"/>
              </w:rPr>
            </w:pPr>
            <w:r w:rsidRPr="00844AAF">
              <w:rPr>
                <w:lang w:eastAsia="zh-CN"/>
              </w:rPr>
              <w:t>205</w:t>
            </w:r>
          </w:p>
        </w:tc>
        <w:tc>
          <w:tcPr>
            <w:tcW w:w="1051" w:type="dxa"/>
            <w:noWrap/>
            <w:vAlign w:val="center"/>
            <w:hideMark/>
          </w:tcPr>
          <w:p w:rsidR="001124E1" w:rsidRPr="00844AAF" w:rsidRDefault="001124E1" w:rsidP="001124E1">
            <w:pPr>
              <w:pStyle w:val="Tabletext"/>
              <w:jc w:val="center"/>
              <w:rPr>
                <w:lang w:eastAsia="zh-CN"/>
              </w:rPr>
            </w:pPr>
            <w:r w:rsidRPr="00844AAF">
              <w:rPr>
                <w:lang w:eastAsia="zh-CN"/>
              </w:rPr>
              <w:t>205</w:t>
            </w:r>
          </w:p>
        </w:tc>
        <w:tc>
          <w:tcPr>
            <w:tcW w:w="1050" w:type="dxa"/>
            <w:vAlign w:val="center"/>
          </w:tcPr>
          <w:p w:rsidR="001124E1" w:rsidRPr="00844AAF" w:rsidRDefault="001124E1" w:rsidP="001124E1">
            <w:pPr>
              <w:pStyle w:val="Tabletext"/>
              <w:jc w:val="center"/>
              <w:rPr>
                <w:lang w:eastAsia="zh-CN"/>
              </w:rPr>
            </w:pPr>
            <w:r w:rsidRPr="00844AAF">
              <w:rPr>
                <w:lang w:eastAsia="zh-CN"/>
              </w:rPr>
              <w:t>226</w:t>
            </w:r>
          </w:p>
        </w:tc>
        <w:tc>
          <w:tcPr>
            <w:tcW w:w="1051" w:type="dxa"/>
            <w:vAlign w:val="center"/>
          </w:tcPr>
          <w:p w:rsidR="001124E1" w:rsidRPr="00844AAF" w:rsidRDefault="001124E1" w:rsidP="001124E1">
            <w:pPr>
              <w:pStyle w:val="Tabletext"/>
              <w:jc w:val="center"/>
              <w:rPr>
                <w:lang w:eastAsia="zh-CN"/>
              </w:rPr>
            </w:pPr>
            <w:r w:rsidRPr="00844AAF">
              <w:rPr>
                <w:lang w:eastAsia="zh-CN"/>
              </w:rPr>
              <w:t>226</w:t>
            </w:r>
          </w:p>
        </w:tc>
        <w:tc>
          <w:tcPr>
            <w:tcW w:w="1050" w:type="dxa"/>
            <w:vAlign w:val="center"/>
          </w:tcPr>
          <w:p w:rsidR="001124E1" w:rsidRPr="00844AAF" w:rsidRDefault="001124E1" w:rsidP="001124E1">
            <w:pPr>
              <w:pStyle w:val="Tabletext"/>
              <w:jc w:val="center"/>
              <w:rPr>
                <w:lang w:eastAsia="zh-CN"/>
              </w:rPr>
            </w:pPr>
            <w:r w:rsidRPr="00844AAF">
              <w:rPr>
                <w:lang w:eastAsia="zh-CN"/>
              </w:rPr>
              <w:t>137</w:t>
            </w:r>
          </w:p>
        </w:tc>
        <w:tc>
          <w:tcPr>
            <w:tcW w:w="1051" w:type="dxa"/>
            <w:vAlign w:val="center"/>
          </w:tcPr>
          <w:p w:rsidR="001124E1" w:rsidRPr="00844AAF" w:rsidRDefault="001124E1" w:rsidP="001124E1">
            <w:pPr>
              <w:pStyle w:val="Tabletext"/>
              <w:jc w:val="center"/>
              <w:rPr>
                <w:lang w:eastAsia="zh-CN"/>
              </w:rPr>
            </w:pPr>
            <w:r w:rsidRPr="00844AAF">
              <w:rPr>
                <w:lang w:eastAsia="zh-CN"/>
              </w:rPr>
              <w:t>137</w:t>
            </w:r>
          </w:p>
        </w:tc>
        <w:tc>
          <w:tcPr>
            <w:tcW w:w="1050" w:type="dxa"/>
            <w:vAlign w:val="center"/>
          </w:tcPr>
          <w:p w:rsidR="001124E1" w:rsidRPr="00844AAF" w:rsidRDefault="001124E1" w:rsidP="001124E1">
            <w:pPr>
              <w:pStyle w:val="Tabletext"/>
              <w:jc w:val="center"/>
              <w:rPr>
                <w:lang w:eastAsia="zh-CN"/>
              </w:rPr>
            </w:pPr>
            <w:r w:rsidRPr="00844AAF">
              <w:rPr>
                <w:lang w:eastAsia="zh-CN"/>
              </w:rPr>
              <w:t>14</w:t>
            </w:r>
          </w:p>
        </w:tc>
        <w:tc>
          <w:tcPr>
            <w:tcW w:w="1051" w:type="dxa"/>
            <w:vAlign w:val="center"/>
          </w:tcPr>
          <w:p w:rsidR="001124E1" w:rsidRPr="00844AAF" w:rsidRDefault="001124E1" w:rsidP="001124E1">
            <w:pPr>
              <w:pStyle w:val="Tabletext"/>
              <w:jc w:val="center"/>
              <w:rPr>
                <w:lang w:eastAsia="zh-CN"/>
              </w:rPr>
            </w:pPr>
            <w:r w:rsidRPr="00844AAF">
              <w:rPr>
                <w:lang w:eastAsia="zh-CN"/>
              </w:rPr>
              <w:t>14</w:t>
            </w:r>
          </w:p>
        </w:tc>
      </w:tr>
      <w:tr w:rsidR="001124E1" w:rsidRPr="00844AAF" w:rsidTr="00013E8A">
        <w:trPr>
          <w:trHeight w:val="300"/>
          <w:jc w:val="center"/>
        </w:trPr>
        <w:tc>
          <w:tcPr>
            <w:tcW w:w="1339" w:type="dxa"/>
            <w:noWrap/>
            <w:vAlign w:val="center"/>
            <w:hideMark/>
          </w:tcPr>
          <w:p w:rsidR="001124E1" w:rsidRPr="00844AAF" w:rsidRDefault="00FD17F9" w:rsidP="001124E1">
            <w:pPr>
              <w:pStyle w:val="Tabletext"/>
              <w:rPr>
                <w:lang w:eastAsia="zh-CN"/>
              </w:rPr>
            </w:pPr>
            <w:r>
              <w:rPr>
                <w:lang w:eastAsia="zh-CN"/>
              </w:rPr>
              <w:t>Nombre de </w:t>
            </w:r>
            <w:r w:rsidR="001124E1" w:rsidRPr="00844AAF">
              <w:rPr>
                <w:lang w:eastAsia="zh-CN"/>
              </w:rPr>
              <w:t>postes</w:t>
            </w:r>
          </w:p>
        </w:tc>
        <w:tc>
          <w:tcPr>
            <w:tcW w:w="1050" w:type="dxa"/>
            <w:noWrap/>
            <w:vAlign w:val="center"/>
            <w:hideMark/>
          </w:tcPr>
          <w:p w:rsidR="001124E1" w:rsidRPr="00844AAF" w:rsidRDefault="001124E1" w:rsidP="001124E1">
            <w:pPr>
              <w:pStyle w:val="Tabletext"/>
              <w:jc w:val="center"/>
              <w:rPr>
                <w:lang w:eastAsia="zh-CN"/>
              </w:rPr>
            </w:pPr>
            <w:r w:rsidRPr="00844AAF">
              <w:rPr>
                <w:lang w:eastAsia="zh-CN"/>
              </w:rPr>
              <w:t>176</w:t>
            </w:r>
          </w:p>
        </w:tc>
        <w:tc>
          <w:tcPr>
            <w:tcW w:w="1051" w:type="dxa"/>
            <w:noWrap/>
            <w:vAlign w:val="center"/>
            <w:hideMark/>
          </w:tcPr>
          <w:p w:rsidR="001124E1" w:rsidRPr="00844AAF" w:rsidRDefault="001124E1" w:rsidP="001124E1">
            <w:pPr>
              <w:pStyle w:val="Tabletext"/>
              <w:jc w:val="center"/>
              <w:rPr>
                <w:lang w:eastAsia="zh-CN"/>
              </w:rPr>
            </w:pPr>
            <w:r w:rsidRPr="00844AAF">
              <w:rPr>
                <w:lang w:eastAsia="zh-CN"/>
              </w:rPr>
              <w:t>176</w:t>
            </w:r>
          </w:p>
        </w:tc>
        <w:tc>
          <w:tcPr>
            <w:tcW w:w="1050" w:type="dxa"/>
            <w:vAlign w:val="center"/>
          </w:tcPr>
          <w:p w:rsidR="001124E1" w:rsidRPr="00844AAF" w:rsidRDefault="001124E1" w:rsidP="001124E1">
            <w:pPr>
              <w:pStyle w:val="Tabletext"/>
              <w:jc w:val="center"/>
              <w:rPr>
                <w:lang w:eastAsia="zh-CN"/>
              </w:rPr>
            </w:pPr>
            <w:r w:rsidRPr="00844AAF">
              <w:rPr>
                <w:lang w:eastAsia="zh-CN"/>
              </w:rPr>
              <w:t>181</w:t>
            </w:r>
          </w:p>
        </w:tc>
        <w:tc>
          <w:tcPr>
            <w:tcW w:w="1051" w:type="dxa"/>
            <w:vAlign w:val="center"/>
          </w:tcPr>
          <w:p w:rsidR="001124E1" w:rsidRPr="00844AAF" w:rsidRDefault="001124E1" w:rsidP="001124E1">
            <w:pPr>
              <w:pStyle w:val="Tabletext"/>
              <w:jc w:val="center"/>
              <w:rPr>
                <w:lang w:eastAsia="zh-CN"/>
              </w:rPr>
            </w:pPr>
            <w:r w:rsidRPr="00844AAF">
              <w:rPr>
                <w:lang w:eastAsia="zh-CN"/>
              </w:rPr>
              <w:t>181</w:t>
            </w:r>
          </w:p>
        </w:tc>
        <w:tc>
          <w:tcPr>
            <w:tcW w:w="1050" w:type="dxa"/>
            <w:vAlign w:val="center"/>
          </w:tcPr>
          <w:p w:rsidR="001124E1" w:rsidRPr="00844AAF" w:rsidRDefault="001124E1" w:rsidP="001124E1">
            <w:pPr>
              <w:pStyle w:val="Tabletext"/>
              <w:jc w:val="center"/>
              <w:rPr>
                <w:lang w:eastAsia="zh-CN"/>
              </w:rPr>
            </w:pPr>
            <w:r w:rsidRPr="00844AAF">
              <w:rPr>
                <w:lang w:eastAsia="zh-CN"/>
              </w:rPr>
              <w:t>175</w:t>
            </w:r>
          </w:p>
        </w:tc>
        <w:tc>
          <w:tcPr>
            <w:tcW w:w="1051" w:type="dxa"/>
            <w:vAlign w:val="center"/>
          </w:tcPr>
          <w:p w:rsidR="001124E1" w:rsidRPr="00844AAF" w:rsidRDefault="001124E1" w:rsidP="001124E1">
            <w:pPr>
              <w:pStyle w:val="Tabletext"/>
              <w:jc w:val="center"/>
              <w:rPr>
                <w:lang w:eastAsia="zh-CN"/>
              </w:rPr>
            </w:pPr>
            <w:r w:rsidRPr="00844AAF">
              <w:rPr>
                <w:lang w:eastAsia="zh-CN"/>
              </w:rPr>
              <w:t>175</w:t>
            </w:r>
          </w:p>
        </w:tc>
        <w:tc>
          <w:tcPr>
            <w:tcW w:w="1050" w:type="dxa"/>
            <w:vAlign w:val="center"/>
          </w:tcPr>
          <w:p w:rsidR="001124E1" w:rsidRPr="00844AAF" w:rsidRDefault="001124E1" w:rsidP="001124E1">
            <w:pPr>
              <w:pStyle w:val="Tabletext"/>
              <w:jc w:val="center"/>
              <w:rPr>
                <w:lang w:eastAsia="zh-CN"/>
              </w:rPr>
            </w:pPr>
            <w:r w:rsidRPr="00844AAF">
              <w:rPr>
                <w:lang w:eastAsia="zh-CN"/>
              </w:rPr>
              <w:t>173</w:t>
            </w:r>
          </w:p>
        </w:tc>
        <w:tc>
          <w:tcPr>
            <w:tcW w:w="1051" w:type="dxa"/>
            <w:vAlign w:val="center"/>
          </w:tcPr>
          <w:p w:rsidR="001124E1" w:rsidRPr="00844AAF" w:rsidRDefault="001124E1" w:rsidP="001124E1">
            <w:pPr>
              <w:pStyle w:val="Tabletext"/>
              <w:jc w:val="center"/>
              <w:rPr>
                <w:lang w:eastAsia="zh-CN"/>
              </w:rPr>
            </w:pPr>
            <w:r w:rsidRPr="00844AAF">
              <w:rPr>
                <w:lang w:eastAsia="zh-CN"/>
              </w:rPr>
              <w:t>173</w:t>
            </w:r>
          </w:p>
        </w:tc>
      </w:tr>
    </w:tbl>
    <w:p w:rsidR="001124E1" w:rsidRPr="00844AAF" w:rsidRDefault="001124E1" w:rsidP="001124E1">
      <w:pPr>
        <w:rPr>
          <w:b/>
          <w:lang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1124E1" w:rsidRPr="00844AAF" w:rsidTr="00013E8A">
        <w:trPr>
          <w:trHeight w:val="315"/>
          <w:jc w:val="center"/>
        </w:trPr>
        <w:tc>
          <w:tcPr>
            <w:tcW w:w="1339" w:type="dxa"/>
            <w:noWrap/>
            <w:hideMark/>
          </w:tcPr>
          <w:p w:rsidR="001124E1" w:rsidRPr="00844AAF" w:rsidRDefault="001124E1" w:rsidP="001124E1">
            <w:pPr>
              <w:pStyle w:val="Tablehead"/>
              <w:rPr>
                <w:lang w:eastAsia="zh-CN"/>
              </w:rPr>
            </w:pPr>
            <w:r w:rsidRPr="00844AAF">
              <w:rPr>
                <w:lang w:eastAsia="zh-CN"/>
              </w:rPr>
              <w:t>Année</w:t>
            </w:r>
          </w:p>
        </w:tc>
        <w:tc>
          <w:tcPr>
            <w:tcW w:w="1050" w:type="dxa"/>
            <w:noWrap/>
            <w:tcMar>
              <w:left w:w="29" w:type="dxa"/>
              <w:right w:w="29" w:type="dxa"/>
            </w:tcMar>
            <w:vAlign w:val="center"/>
            <w:hideMark/>
          </w:tcPr>
          <w:p w:rsidR="001124E1" w:rsidRPr="00844AAF" w:rsidRDefault="001124E1" w:rsidP="001124E1">
            <w:pPr>
              <w:pStyle w:val="Tablehead"/>
              <w:rPr>
                <w:lang w:eastAsia="zh-CN"/>
              </w:rPr>
            </w:pPr>
            <w:r w:rsidRPr="00844AAF">
              <w:rPr>
                <w:lang w:eastAsia="zh-CN"/>
              </w:rPr>
              <w:t>2012</w:t>
            </w:r>
          </w:p>
        </w:tc>
        <w:tc>
          <w:tcPr>
            <w:tcW w:w="1051" w:type="dxa"/>
            <w:noWrap/>
            <w:tcMar>
              <w:left w:w="29" w:type="dxa"/>
              <w:right w:w="29" w:type="dxa"/>
            </w:tcMar>
            <w:vAlign w:val="center"/>
            <w:hideMark/>
          </w:tcPr>
          <w:p w:rsidR="001124E1" w:rsidRPr="00844AAF" w:rsidRDefault="001124E1" w:rsidP="001124E1">
            <w:pPr>
              <w:pStyle w:val="Tablehead"/>
              <w:rPr>
                <w:lang w:eastAsia="zh-CN"/>
              </w:rPr>
            </w:pPr>
            <w:r w:rsidRPr="00844AAF">
              <w:rPr>
                <w:lang w:eastAsia="zh-CN"/>
              </w:rPr>
              <w:t>2013</w:t>
            </w:r>
          </w:p>
        </w:tc>
        <w:tc>
          <w:tcPr>
            <w:tcW w:w="1050" w:type="dxa"/>
            <w:tcMar>
              <w:left w:w="29" w:type="dxa"/>
              <w:right w:w="29" w:type="dxa"/>
            </w:tcMar>
            <w:vAlign w:val="center"/>
          </w:tcPr>
          <w:p w:rsidR="001124E1" w:rsidRPr="00844AAF" w:rsidRDefault="001124E1" w:rsidP="001124E1">
            <w:pPr>
              <w:pStyle w:val="Tablehead"/>
              <w:rPr>
                <w:lang w:eastAsia="zh-CN"/>
              </w:rPr>
            </w:pPr>
            <w:r w:rsidRPr="00844AAF">
              <w:rPr>
                <w:lang w:eastAsia="zh-CN"/>
              </w:rPr>
              <w:t>2014</w:t>
            </w:r>
          </w:p>
        </w:tc>
        <w:tc>
          <w:tcPr>
            <w:tcW w:w="1051" w:type="dxa"/>
            <w:vAlign w:val="center"/>
          </w:tcPr>
          <w:p w:rsidR="001124E1" w:rsidRPr="00844AAF" w:rsidRDefault="001124E1" w:rsidP="001124E1">
            <w:pPr>
              <w:pStyle w:val="Tablehead"/>
              <w:rPr>
                <w:lang w:eastAsia="zh-CN"/>
              </w:rPr>
            </w:pPr>
            <w:r w:rsidRPr="00844AAF">
              <w:rPr>
                <w:lang w:eastAsia="zh-CN"/>
              </w:rPr>
              <w:t>2015</w:t>
            </w:r>
          </w:p>
        </w:tc>
        <w:tc>
          <w:tcPr>
            <w:tcW w:w="1050" w:type="dxa"/>
            <w:vAlign w:val="center"/>
          </w:tcPr>
          <w:p w:rsidR="001124E1" w:rsidRPr="00844AAF" w:rsidRDefault="001124E1" w:rsidP="001124E1">
            <w:pPr>
              <w:pStyle w:val="Tablehead"/>
              <w:rPr>
                <w:lang w:eastAsia="zh-CN"/>
              </w:rPr>
            </w:pPr>
            <w:r w:rsidRPr="00844AAF">
              <w:rPr>
                <w:lang w:eastAsia="zh-CN"/>
              </w:rPr>
              <w:t>2016</w:t>
            </w:r>
          </w:p>
        </w:tc>
        <w:tc>
          <w:tcPr>
            <w:tcW w:w="1051" w:type="dxa"/>
            <w:vAlign w:val="center"/>
          </w:tcPr>
          <w:p w:rsidR="001124E1" w:rsidRPr="00844AAF" w:rsidRDefault="001124E1" w:rsidP="001124E1">
            <w:pPr>
              <w:pStyle w:val="Tablehead"/>
              <w:rPr>
                <w:lang w:eastAsia="zh-CN"/>
              </w:rPr>
            </w:pPr>
            <w:r w:rsidRPr="00844AAF">
              <w:rPr>
                <w:lang w:eastAsia="zh-CN"/>
              </w:rPr>
              <w:t>2017</w:t>
            </w:r>
          </w:p>
        </w:tc>
        <w:tc>
          <w:tcPr>
            <w:tcW w:w="1050" w:type="dxa"/>
            <w:vAlign w:val="center"/>
          </w:tcPr>
          <w:p w:rsidR="001124E1" w:rsidRPr="00844AAF" w:rsidRDefault="001124E1" w:rsidP="001124E1">
            <w:pPr>
              <w:pStyle w:val="Tablehead"/>
              <w:rPr>
                <w:color w:val="FF0000"/>
                <w:lang w:eastAsia="zh-CN"/>
              </w:rPr>
            </w:pPr>
            <w:r w:rsidRPr="00844AAF">
              <w:rPr>
                <w:color w:val="FF0000"/>
                <w:lang w:eastAsia="zh-CN"/>
              </w:rPr>
              <w:t>2018</w:t>
            </w:r>
          </w:p>
        </w:tc>
        <w:tc>
          <w:tcPr>
            <w:tcW w:w="1051" w:type="dxa"/>
            <w:vAlign w:val="center"/>
          </w:tcPr>
          <w:p w:rsidR="001124E1" w:rsidRPr="00844AAF" w:rsidRDefault="001124E1" w:rsidP="001124E1">
            <w:pPr>
              <w:pStyle w:val="Tablehead"/>
              <w:rPr>
                <w:color w:val="FF0000"/>
                <w:lang w:eastAsia="zh-CN"/>
              </w:rPr>
            </w:pPr>
            <w:r w:rsidRPr="00844AAF">
              <w:rPr>
                <w:color w:val="FF0000"/>
                <w:lang w:eastAsia="zh-CN"/>
              </w:rPr>
              <w:t>2019</w:t>
            </w:r>
          </w:p>
        </w:tc>
      </w:tr>
      <w:tr w:rsidR="001124E1" w:rsidRPr="00844AAF" w:rsidTr="00013E8A">
        <w:trPr>
          <w:trHeight w:val="327"/>
          <w:jc w:val="center"/>
        </w:trPr>
        <w:tc>
          <w:tcPr>
            <w:tcW w:w="1339" w:type="dxa"/>
            <w:noWrap/>
            <w:hideMark/>
          </w:tcPr>
          <w:p w:rsidR="001124E1" w:rsidRPr="00844AAF" w:rsidRDefault="001124E1" w:rsidP="001124E1">
            <w:pPr>
              <w:pStyle w:val="Tabletext"/>
              <w:rPr>
                <w:lang w:eastAsia="zh-CN"/>
              </w:rPr>
            </w:pPr>
            <w:r w:rsidRPr="00844AAF">
              <w:rPr>
                <w:lang w:eastAsia="zh-CN"/>
              </w:rPr>
              <w:t>Document</w:t>
            </w:r>
          </w:p>
        </w:tc>
        <w:tc>
          <w:tcPr>
            <w:tcW w:w="1050" w:type="dxa"/>
            <w:tcMar>
              <w:left w:w="29" w:type="dxa"/>
              <w:right w:w="29" w:type="dxa"/>
            </w:tcMar>
            <w:vAlign w:val="center"/>
            <w:hideMark/>
          </w:tcPr>
          <w:p w:rsidR="001124E1" w:rsidRPr="00844AAF" w:rsidRDefault="0072071A" w:rsidP="001124E1">
            <w:pPr>
              <w:pStyle w:val="Tabletext"/>
              <w:jc w:val="center"/>
              <w:rPr>
                <w:u w:val="single"/>
                <w:lang w:eastAsia="zh-CN"/>
              </w:rPr>
            </w:pPr>
            <w:hyperlink r:id="rId30" w:history="1">
              <w:r w:rsidR="001124E1" w:rsidRPr="00844AAF">
                <w:rPr>
                  <w:rStyle w:val="Hyperlink"/>
                  <w:lang w:eastAsia="zh-CN"/>
                </w:rPr>
                <w:t>C17/10</w:t>
              </w:r>
            </w:hyperlink>
          </w:p>
        </w:tc>
        <w:tc>
          <w:tcPr>
            <w:tcW w:w="1051" w:type="dxa"/>
            <w:tcMar>
              <w:left w:w="29" w:type="dxa"/>
              <w:right w:w="29" w:type="dxa"/>
            </w:tcMar>
            <w:vAlign w:val="center"/>
            <w:hideMark/>
          </w:tcPr>
          <w:p w:rsidR="001124E1" w:rsidRPr="00844AAF" w:rsidRDefault="0072071A" w:rsidP="001124E1">
            <w:pPr>
              <w:pStyle w:val="Tabletext"/>
              <w:jc w:val="center"/>
              <w:rPr>
                <w:u w:val="single"/>
                <w:lang w:eastAsia="zh-CN"/>
              </w:rPr>
            </w:pPr>
            <w:hyperlink r:id="rId31" w:history="1">
              <w:r w:rsidR="001124E1" w:rsidRPr="00844AAF">
                <w:rPr>
                  <w:rStyle w:val="Hyperlink"/>
                  <w:lang w:eastAsia="zh-CN"/>
                </w:rPr>
                <w:t>C17/10</w:t>
              </w:r>
            </w:hyperlink>
          </w:p>
        </w:tc>
        <w:tc>
          <w:tcPr>
            <w:tcW w:w="1050" w:type="dxa"/>
            <w:tcMar>
              <w:left w:w="29" w:type="dxa"/>
              <w:right w:w="29" w:type="dxa"/>
            </w:tcMar>
            <w:vAlign w:val="center"/>
          </w:tcPr>
          <w:p w:rsidR="001124E1" w:rsidRPr="00844AAF" w:rsidRDefault="0072071A" w:rsidP="001124E1">
            <w:pPr>
              <w:pStyle w:val="Tabletext"/>
              <w:jc w:val="center"/>
              <w:rPr>
                <w:u w:val="single"/>
                <w:lang w:eastAsia="zh-CN"/>
              </w:rPr>
            </w:pPr>
            <w:hyperlink r:id="rId32" w:history="1">
              <w:r w:rsidR="001124E1" w:rsidRPr="00844AAF">
                <w:rPr>
                  <w:rStyle w:val="Hyperlink"/>
                  <w:lang w:eastAsia="zh-CN"/>
                </w:rPr>
                <w:t>C17/10</w:t>
              </w:r>
            </w:hyperlink>
          </w:p>
        </w:tc>
        <w:tc>
          <w:tcPr>
            <w:tcW w:w="1051" w:type="dxa"/>
            <w:vAlign w:val="center"/>
          </w:tcPr>
          <w:p w:rsidR="001124E1" w:rsidRPr="00844AAF" w:rsidRDefault="0072071A" w:rsidP="001124E1">
            <w:pPr>
              <w:pStyle w:val="Tabletext"/>
              <w:jc w:val="center"/>
              <w:rPr>
                <w:u w:val="single"/>
                <w:lang w:eastAsia="zh-CN"/>
              </w:rPr>
            </w:pPr>
            <w:hyperlink r:id="rId33" w:history="1">
              <w:r w:rsidR="001124E1" w:rsidRPr="00844AAF">
                <w:rPr>
                  <w:rStyle w:val="Hyperlink"/>
                  <w:lang w:eastAsia="zh-CN"/>
                </w:rPr>
                <w:t>C17/10</w:t>
              </w:r>
            </w:hyperlink>
          </w:p>
        </w:tc>
        <w:tc>
          <w:tcPr>
            <w:tcW w:w="1050" w:type="dxa"/>
            <w:vAlign w:val="center"/>
          </w:tcPr>
          <w:p w:rsidR="001124E1" w:rsidRPr="00844AAF" w:rsidRDefault="0072071A" w:rsidP="001124E1">
            <w:pPr>
              <w:pStyle w:val="Tabletext"/>
              <w:jc w:val="center"/>
              <w:rPr>
                <w:u w:val="single"/>
                <w:lang w:eastAsia="zh-CN"/>
              </w:rPr>
            </w:pPr>
            <w:hyperlink r:id="rId34" w:history="1">
              <w:r w:rsidR="001124E1" w:rsidRPr="00844AAF">
                <w:rPr>
                  <w:rStyle w:val="Hyperlink"/>
                  <w:lang w:eastAsia="zh-CN"/>
                </w:rPr>
                <w:t>C17/10</w:t>
              </w:r>
            </w:hyperlink>
          </w:p>
        </w:tc>
        <w:tc>
          <w:tcPr>
            <w:tcW w:w="1051" w:type="dxa"/>
            <w:vAlign w:val="center"/>
          </w:tcPr>
          <w:p w:rsidR="001124E1" w:rsidRPr="00844AAF" w:rsidRDefault="0072071A" w:rsidP="001124E1">
            <w:pPr>
              <w:pStyle w:val="Tabletext"/>
              <w:jc w:val="center"/>
              <w:rPr>
                <w:u w:val="single"/>
                <w:lang w:eastAsia="zh-CN"/>
              </w:rPr>
            </w:pPr>
            <w:hyperlink r:id="rId35" w:history="1">
              <w:r w:rsidR="001124E1" w:rsidRPr="00844AAF">
                <w:rPr>
                  <w:rStyle w:val="Hyperlink"/>
                  <w:lang w:eastAsia="zh-CN"/>
                </w:rPr>
                <w:t>C17/10</w:t>
              </w:r>
            </w:hyperlink>
          </w:p>
        </w:tc>
        <w:tc>
          <w:tcPr>
            <w:tcW w:w="1050" w:type="dxa"/>
            <w:vAlign w:val="center"/>
          </w:tcPr>
          <w:p w:rsidR="001124E1" w:rsidRPr="00844AAF" w:rsidRDefault="0072071A" w:rsidP="001124E1">
            <w:pPr>
              <w:pStyle w:val="Tabletext"/>
              <w:jc w:val="center"/>
              <w:rPr>
                <w:u w:val="single"/>
                <w:lang w:eastAsia="zh-CN"/>
              </w:rPr>
            </w:pPr>
            <w:hyperlink r:id="rId36" w:history="1">
              <w:r w:rsidR="001124E1" w:rsidRPr="00844AAF">
                <w:rPr>
                  <w:rStyle w:val="Hyperlink"/>
                  <w:lang w:eastAsia="zh-CN"/>
                </w:rPr>
                <w:t>C17/10</w:t>
              </w:r>
            </w:hyperlink>
          </w:p>
        </w:tc>
        <w:tc>
          <w:tcPr>
            <w:tcW w:w="1051" w:type="dxa"/>
            <w:vAlign w:val="center"/>
          </w:tcPr>
          <w:p w:rsidR="001124E1" w:rsidRPr="00844AAF" w:rsidRDefault="0072071A" w:rsidP="001124E1">
            <w:pPr>
              <w:pStyle w:val="Tabletext"/>
              <w:jc w:val="center"/>
              <w:rPr>
                <w:u w:val="single"/>
                <w:lang w:eastAsia="zh-CN"/>
              </w:rPr>
            </w:pPr>
            <w:hyperlink r:id="rId37" w:history="1">
              <w:r w:rsidR="001124E1" w:rsidRPr="00844AAF">
                <w:rPr>
                  <w:rStyle w:val="Hyperlink"/>
                  <w:lang w:eastAsia="zh-CN"/>
                </w:rPr>
                <w:t>C17/10</w:t>
              </w:r>
            </w:hyperlink>
          </w:p>
        </w:tc>
      </w:tr>
      <w:tr w:rsidR="001124E1" w:rsidRPr="00844AAF" w:rsidTr="00013E8A">
        <w:trPr>
          <w:trHeight w:val="300"/>
          <w:jc w:val="center"/>
        </w:trPr>
        <w:tc>
          <w:tcPr>
            <w:tcW w:w="1339" w:type="dxa"/>
            <w:noWrap/>
            <w:hideMark/>
          </w:tcPr>
          <w:p w:rsidR="001124E1" w:rsidRPr="00844AAF" w:rsidRDefault="001124E1" w:rsidP="001124E1">
            <w:pPr>
              <w:pStyle w:val="Tabletext"/>
              <w:rPr>
                <w:lang w:eastAsia="zh-CN"/>
              </w:rPr>
            </w:pPr>
            <w:r w:rsidRPr="00844AAF">
              <w:rPr>
                <w:lang w:eastAsia="zh-CN"/>
              </w:rPr>
              <w:t>Page</w:t>
            </w:r>
          </w:p>
        </w:tc>
        <w:tc>
          <w:tcPr>
            <w:tcW w:w="1050" w:type="dxa"/>
            <w:noWrap/>
            <w:vAlign w:val="center"/>
            <w:hideMark/>
          </w:tcPr>
          <w:p w:rsidR="001124E1" w:rsidRPr="00844AAF" w:rsidRDefault="001124E1" w:rsidP="001124E1">
            <w:pPr>
              <w:pStyle w:val="Tabletext"/>
              <w:jc w:val="center"/>
              <w:rPr>
                <w:lang w:eastAsia="zh-CN"/>
              </w:rPr>
            </w:pPr>
            <w:r w:rsidRPr="00844AAF">
              <w:rPr>
                <w:lang w:eastAsia="zh-CN"/>
              </w:rPr>
              <w:t>14</w:t>
            </w:r>
          </w:p>
        </w:tc>
        <w:tc>
          <w:tcPr>
            <w:tcW w:w="1051" w:type="dxa"/>
            <w:noWrap/>
            <w:vAlign w:val="center"/>
            <w:hideMark/>
          </w:tcPr>
          <w:p w:rsidR="001124E1" w:rsidRPr="00844AAF" w:rsidRDefault="001124E1" w:rsidP="001124E1">
            <w:pPr>
              <w:pStyle w:val="Tabletext"/>
              <w:jc w:val="center"/>
              <w:rPr>
                <w:lang w:eastAsia="zh-CN"/>
              </w:rPr>
            </w:pPr>
            <w:r w:rsidRPr="00844AAF">
              <w:rPr>
                <w:lang w:eastAsia="zh-CN"/>
              </w:rPr>
              <w:t>14</w:t>
            </w:r>
          </w:p>
        </w:tc>
        <w:tc>
          <w:tcPr>
            <w:tcW w:w="1050" w:type="dxa"/>
            <w:vAlign w:val="center"/>
          </w:tcPr>
          <w:p w:rsidR="001124E1" w:rsidRPr="00844AAF" w:rsidRDefault="001124E1" w:rsidP="001124E1">
            <w:pPr>
              <w:pStyle w:val="Tabletext"/>
              <w:jc w:val="center"/>
              <w:rPr>
                <w:lang w:eastAsia="zh-CN"/>
              </w:rPr>
            </w:pPr>
            <w:r w:rsidRPr="00844AAF">
              <w:rPr>
                <w:lang w:eastAsia="zh-CN"/>
              </w:rPr>
              <w:t>14</w:t>
            </w:r>
          </w:p>
        </w:tc>
        <w:tc>
          <w:tcPr>
            <w:tcW w:w="1051" w:type="dxa"/>
            <w:vAlign w:val="center"/>
          </w:tcPr>
          <w:p w:rsidR="001124E1" w:rsidRPr="00844AAF" w:rsidRDefault="001124E1" w:rsidP="001124E1">
            <w:pPr>
              <w:pStyle w:val="Tabletext"/>
              <w:jc w:val="center"/>
              <w:rPr>
                <w:lang w:eastAsia="zh-CN"/>
              </w:rPr>
            </w:pPr>
            <w:r w:rsidRPr="00844AAF">
              <w:rPr>
                <w:lang w:eastAsia="zh-CN"/>
              </w:rPr>
              <w:t>14</w:t>
            </w:r>
          </w:p>
        </w:tc>
        <w:tc>
          <w:tcPr>
            <w:tcW w:w="1050" w:type="dxa"/>
            <w:vAlign w:val="center"/>
          </w:tcPr>
          <w:p w:rsidR="001124E1" w:rsidRPr="00844AAF" w:rsidRDefault="001124E1" w:rsidP="001124E1">
            <w:pPr>
              <w:pStyle w:val="Tabletext"/>
              <w:jc w:val="center"/>
              <w:rPr>
                <w:lang w:eastAsia="zh-CN"/>
              </w:rPr>
            </w:pPr>
            <w:r w:rsidRPr="00844AAF">
              <w:rPr>
                <w:lang w:eastAsia="zh-CN"/>
              </w:rPr>
              <w:t>14</w:t>
            </w:r>
          </w:p>
        </w:tc>
        <w:tc>
          <w:tcPr>
            <w:tcW w:w="1051" w:type="dxa"/>
            <w:vAlign w:val="center"/>
          </w:tcPr>
          <w:p w:rsidR="001124E1" w:rsidRPr="00844AAF" w:rsidRDefault="001124E1" w:rsidP="001124E1">
            <w:pPr>
              <w:pStyle w:val="Tabletext"/>
              <w:jc w:val="center"/>
              <w:rPr>
                <w:lang w:eastAsia="zh-CN"/>
              </w:rPr>
            </w:pPr>
            <w:r w:rsidRPr="00844AAF">
              <w:rPr>
                <w:lang w:eastAsia="zh-CN"/>
              </w:rPr>
              <w:t>14</w:t>
            </w:r>
          </w:p>
        </w:tc>
        <w:tc>
          <w:tcPr>
            <w:tcW w:w="1050" w:type="dxa"/>
            <w:vAlign w:val="center"/>
          </w:tcPr>
          <w:p w:rsidR="001124E1" w:rsidRPr="00844AAF" w:rsidRDefault="001124E1" w:rsidP="001124E1">
            <w:pPr>
              <w:pStyle w:val="Tabletext"/>
              <w:jc w:val="center"/>
              <w:rPr>
                <w:lang w:eastAsia="zh-CN"/>
              </w:rPr>
            </w:pPr>
            <w:r w:rsidRPr="00844AAF">
              <w:rPr>
                <w:lang w:eastAsia="zh-CN"/>
              </w:rPr>
              <w:t>14</w:t>
            </w:r>
          </w:p>
        </w:tc>
        <w:tc>
          <w:tcPr>
            <w:tcW w:w="1051" w:type="dxa"/>
            <w:vAlign w:val="center"/>
          </w:tcPr>
          <w:p w:rsidR="001124E1" w:rsidRPr="00844AAF" w:rsidRDefault="001124E1" w:rsidP="001124E1">
            <w:pPr>
              <w:pStyle w:val="Tabletext"/>
              <w:jc w:val="center"/>
              <w:rPr>
                <w:lang w:eastAsia="zh-CN"/>
              </w:rPr>
            </w:pPr>
            <w:r w:rsidRPr="00844AAF">
              <w:rPr>
                <w:lang w:eastAsia="zh-CN"/>
              </w:rPr>
              <w:t>14</w:t>
            </w:r>
          </w:p>
        </w:tc>
      </w:tr>
      <w:tr w:rsidR="001124E1" w:rsidRPr="00844AAF" w:rsidTr="00013E8A">
        <w:trPr>
          <w:trHeight w:val="300"/>
          <w:jc w:val="center"/>
        </w:trPr>
        <w:tc>
          <w:tcPr>
            <w:tcW w:w="1339" w:type="dxa"/>
            <w:noWrap/>
            <w:vAlign w:val="center"/>
            <w:hideMark/>
          </w:tcPr>
          <w:p w:rsidR="001124E1" w:rsidRPr="00844AAF" w:rsidRDefault="00FD17F9" w:rsidP="001124E1">
            <w:pPr>
              <w:pStyle w:val="Tabletext"/>
              <w:rPr>
                <w:lang w:eastAsia="zh-CN"/>
              </w:rPr>
            </w:pPr>
            <w:r>
              <w:rPr>
                <w:lang w:eastAsia="zh-CN"/>
              </w:rPr>
              <w:t>Nombre de </w:t>
            </w:r>
            <w:r w:rsidR="001124E1" w:rsidRPr="00844AAF">
              <w:rPr>
                <w:lang w:eastAsia="zh-CN"/>
              </w:rPr>
              <w:t>postes</w:t>
            </w:r>
          </w:p>
        </w:tc>
        <w:tc>
          <w:tcPr>
            <w:tcW w:w="1050" w:type="dxa"/>
            <w:noWrap/>
            <w:vAlign w:val="center"/>
            <w:hideMark/>
          </w:tcPr>
          <w:p w:rsidR="001124E1" w:rsidRPr="00844AAF" w:rsidRDefault="001124E1" w:rsidP="001124E1">
            <w:pPr>
              <w:pStyle w:val="Tabletext"/>
              <w:jc w:val="center"/>
              <w:rPr>
                <w:lang w:eastAsia="zh-CN"/>
              </w:rPr>
            </w:pPr>
            <w:r w:rsidRPr="00844AAF">
              <w:rPr>
                <w:lang w:eastAsia="zh-CN"/>
              </w:rPr>
              <w:t>158</w:t>
            </w:r>
          </w:p>
        </w:tc>
        <w:tc>
          <w:tcPr>
            <w:tcW w:w="1051" w:type="dxa"/>
            <w:noWrap/>
            <w:vAlign w:val="center"/>
            <w:hideMark/>
          </w:tcPr>
          <w:p w:rsidR="001124E1" w:rsidRPr="00844AAF" w:rsidRDefault="001124E1" w:rsidP="001124E1">
            <w:pPr>
              <w:pStyle w:val="Tabletext"/>
              <w:jc w:val="center"/>
              <w:rPr>
                <w:lang w:eastAsia="zh-CN"/>
              </w:rPr>
            </w:pPr>
            <w:r w:rsidRPr="00844AAF">
              <w:rPr>
                <w:lang w:eastAsia="zh-CN"/>
              </w:rPr>
              <w:t>157</w:t>
            </w:r>
          </w:p>
        </w:tc>
        <w:tc>
          <w:tcPr>
            <w:tcW w:w="1050" w:type="dxa"/>
            <w:vAlign w:val="center"/>
          </w:tcPr>
          <w:p w:rsidR="001124E1" w:rsidRPr="00844AAF" w:rsidRDefault="001124E1" w:rsidP="001124E1">
            <w:pPr>
              <w:pStyle w:val="Tabletext"/>
              <w:jc w:val="center"/>
              <w:rPr>
                <w:lang w:eastAsia="zh-CN"/>
              </w:rPr>
            </w:pPr>
            <w:r w:rsidRPr="00844AAF">
              <w:rPr>
                <w:lang w:eastAsia="zh-CN"/>
              </w:rPr>
              <w:t>158</w:t>
            </w:r>
          </w:p>
        </w:tc>
        <w:tc>
          <w:tcPr>
            <w:tcW w:w="1051" w:type="dxa"/>
            <w:vAlign w:val="center"/>
          </w:tcPr>
          <w:p w:rsidR="001124E1" w:rsidRPr="00844AAF" w:rsidRDefault="001124E1" w:rsidP="001124E1">
            <w:pPr>
              <w:pStyle w:val="Tabletext"/>
              <w:jc w:val="center"/>
              <w:rPr>
                <w:lang w:eastAsia="zh-CN"/>
              </w:rPr>
            </w:pPr>
            <w:r w:rsidRPr="00844AAF">
              <w:rPr>
                <w:lang w:eastAsia="zh-CN"/>
              </w:rPr>
              <w:t>157</w:t>
            </w:r>
          </w:p>
        </w:tc>
        <w:tc>
          <w:tcPr>
            <w:tcW w:w="1050" w:type="dxa"/>
            <w:vAlign w:val="center"/>
          </w:tcPr>
          <w:p w:rsidR="001124E1" w:rsidRPr="00844AAF" w:rsidRDefault="001124E1" w:rsidP="001124E1">
            <w:pPr>
              <w:pStyle w:val="Tabletext"/>
              <w:jc w:val="center"/>
              <w:rPr>
                <w:lang w:eastAsia="zh-CN"/>
              </w:rPr>
            </w:pPr>
            <w:r w:rsidRPr="00844AAF">
              <w:rPr>
                <w:lang w:eastAsia="zh-CN"/>
              </w:rPr>
              <w:t>141</w:t>
            </w:r>
          </w:p>
        </w:tc>
        <w:tc>
          <w:tcPr>
            <w:tcW w:w="1051" w:type="dxa"/>
            <w:vAlign w:val="center"/>
          </w:tcPr>
          <w:p w:rsidR="001124E1" w:rsidRPr="00844AAF" w:rsidRDefault="001124E1" w:rsidP="001124E1">
            <w:pPr>
              <w:pStyle w:val="Tabletext"/>
              <w:jc w:val="center"/>
              <w:rPr>
                <w:lang w:eastAsia="zh-CN"/>
              </w:rPr>
            </w:pPr>
            <w:r w:rsidRPr="00844AAF">
              <w:rPr>
                <w:lang w:eastAsia="zh-CN"/>
              </w:rPr>
              <w:t>141</w:t>
            </w:r>
          </w:p>
        </w:tc>
        <w:tc>
          <w:tcPr>
            <w:tcW w:w="1050" w:type="dxa"/>
            <w:vAlign w:val="center"/>
          </w:tcPr>
          <w:p w:rsidR="001124E1" w:rsidRPr="00844AAF" w:rsidRDefault="001124E1" w:rsidP="001124E1">
            <w:pPr>
              <w:pStyle w:val="Tabletext"/>
              <w:jc w:val="center"/>
              <w:rPr>
                <w:color w:val="FF0000"/>
                <w:lang w:eastAsia="zh-CN"/>
              </w:rPr>
            </w:pPr>
            <w:r w:rsidRPr="00844AAF">
              <w:rPr>
                <w:color w:val="FF0000"/>
                <w:lang w:eastAsia="zh-CN"/>
              </w:rPr>
              <w:t>139</w:t>
            </w:r>
          </w:p>
        </w:tc>
        <w:tc>
          <w:tcPr>
            <w:tcW w:w="1051" w:type="dxa"/>
            <w:vAlign w:val="center"/>
          </w:tcPr>
          <w:p w:rsidR="001124E1" w:rsidRPr="00844AAF" w:rsidRDefault="001124E1" w:rsidP="001124E1">
            <w:pPr>
              <w:pStyle w:val="Tabletext"/>
              <w:jc w:val="center"/>
              <w:rPr>
                <w:color w:val="FF0000"/>
                <w:lang w:eastAsia="zh-CN"/>
              </w:rPr>
            </w:pPr>
            <w:r w:rsidRPr="00844AAF">
              <w:rPr>
                <w:color w:val="FF0000"/>
                <w:lang w:eastAsia="zh-CN"/>
              </w:rPr>
              <w:t>139</w:t>
            </w:r>
          </w:p>
        </w:tc>
      </w:tr>
    </w:tbl>
    <w:p w:rsidR="001124E1" w:rsidRPr="00844AAF" w:rsidRDefault="001124E1" w:rsidP="00FD17F9">
      <w:pPr>
        <w:spacing w:before="240"/>
        <w:rPr>
          <w:lang w:eastAsia="zh-CN"/>
        </w:rPr>
      </w:pPr>
      <w:r w:rsidRPr="00844AAF">
        <w:rPr>
          <w:lang w:eastAsia="zh-CN"/>
        </w:rPr>
        <w:t xml:space="preserve">La Figure 3 illustre l'évolution des effectifs du Bureau des radiocommunications, du Bureau de développement des télécommunications (BDT) et du </w:t>
      </w:r>
      <w:r w:rsidR="00223280" w:rsidRPr="00844AAF">
        <w:rPr>
          <w:lang w:eastAsia="zh-CN"/>
        </w:rPr>
        <w:t>B</w:t>
      </w:r>
      <w:r w:rsidRPr="00844AAF">
        <w:rPr>
          <w:lang w:eastAsia="zh-CN"/>
        </w:rPr>
        <w:t xml:space="preserve">ureau de la normalisation des télécommunications (TSB) pendant la période 2004-2017, avec des </w:t>
      </w:r>
      <w:r w:rsidR="00EB2006">
        <w:rPr>
          <w:lang w:eastAsia="zh-CN"/>
        </w:rPr>
        <w:t>projections pour la période </w:t>
      </w:r>
      <w:r w:rsidRPr="00844AAF">
        <w:rPr>
          <w:lang w:eastAsia="zh-CN"/>
        </w:rPr>
        <w:t>2018-2019.</w:t>
      </w:r>
    </w:p>
    <w:p w:rsidR="001124E1" w:rsidRPr="00844AAF" w:rsidRDefault="001124E1" w:rsidP="001124E1">
      <w:pPr>
        <w:pStyle w:val="FigureNoBR"/>
        <w:rPr>
          <w:lang w:eastAsia="zh-CN"/>
        </w:rPr>
      </w:pPr>
      <w:r w:rsidRPr="00844AAF">
        <w:rPr>
          <w:lang w:eastAsia="zh-CN"/>
        </w:rPr>
        <w:lastRenderedPageBreak/>
        <w:t>Figure 3</w:t>
      </w:r>
    </w:p>
    <w:p w:rsidR="001124E1" w:rsidRPr="00844AAF" w:rsidRDefault="001124E1" w:rsidP="00FD17F9">
      <w:pPr>
        <w:pStyle w:val="FiguretitleBR"/>
        <w:keepNext/>
        <w:spacing w:after="240"/>
        <w:rPr>
          <w:lang w:eastAsia="zh-CN"/>
        </w:rPr>
      </w:pPr>
      <w:r w:rsidRPr="00844AAF">
        <w:rPr>
          <w:lang w:eastAsia="zh-CN"/>
        </w:rPr>
        <w:t>Variation des effectifs (nombre de postes budgétés)</w:t>
      </w:r>
      <w:r w:rsidR="000A1AF6" w:rsidRPr="00844AAF">
        <w:rPr>
          <w:lang w:eastAsia="zh-CN"/>
        </w:rPr>
        <w:t xml:space="preserve"> </w:t>
      </w:r>
      <w:r w:rsidR="00FD17F9">
        <w:rPr>
          <w:lang w:eastAsia="zh-CN"/>
        </w:rPr>
        <w:t xml:space="preserve">pendant </w:t>
      </w:r>
      <w:r w:rsidR="00FD17F9">
        <w:rPr>
          <w:lang w:eastAsia="zh-CN"/>
        </w:rPr>
        <w:br/>
        <w:t>la période </w:t>
      </w:r>
      <w:r w:rsidRPr="00844AAF">
        <w:rPr>
          <w:lang w:eastAsia="zh-CN"/>
        </w:rPr>
        <w:t>2004-2017 au BR, au BDT et au</w:t>
      </w:r>
      <w:r w:rsidR="000A1AF6" w:rsidRPr="00844AAF">
        <w:rPr>
          <w:lang w:eastAsia="zh-CN"/>
        </w:rPr>
        <w:t xml:space="preserve"> </w:t>
      </w:r>
      <w:r w:rsidRPr="00844AAF">
        <w:rPr>
          <w:lang w:eastAsia="zh-CN"/>
        </w:rPr>
        <w:t>TSB</w:t>
      </w:r>
    </w:p>
    <w:p w:rsidR="001124E1" w:rsidRPr="00844AAF" w:rsidRDefault="001124E1" w:rsidP="001124E1">
      <w:pPr>
        <w:jc w:val="center"/>
        <w:rPr>
          <w:lang w:eastAsia="zh-CN"/>
        </w:rPr>
      </w:pPr>
      <w:r w:rsidRPr="00844AAF">
        <w:rPr>
          <w:noProof/>
          <w:lang w:val="en-US" w:eastAsia="zh-CN"/>
        </w:rPr>
        <w:drawing>
          <wp:inline distT="0" distB="0" distL="0" distR="0" wp14:anchorId="65710CCE" wp14:editId="3D0520D0">
            <wp:extent cx="6120765" cy="3918578"/>
            <wp:effectExtent l="0" t="0" r="1333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124E1" w:rsidRPr="00844AAF" w:rsidRDefault="001124E1" w:rsidP="00FD17F9">
      <w:pPr>
        <w:spacing w:before="240"/>
        <w:rPr>
          <w:lang w:eastAsia="zh-CN"/>
        </w:rPr>
      </w:pPr>
      <w:r w:rsidRPr="00844AAF">
        <w:rPr>
          <w:lang w:eastAsia="zh-CN"/>
        </w:rPr>
        <w:t>Au cours des 20 dernières années, les méthodes de travail du BR ont profondément changé:</w:t>
      </w:r>
    </w:p>
    <w:p w:rsidR="001124E1" w:rsidRPr="00844AAF" w:rsidRDefault="001124E1" w:rsidP="00EB2006">
      <w:pPr>
        <w:pStyle w:val="enumlev1"/>
        <w:rPr>
          <w:lang w:eastAsia="zh-CN"/>
        </w:rPr>
      </w:pPr>
      <w:r w:rsidRPr="00844AAF">
        <w:rPr>
          <w:lang w:eastAsia="zh-CN"/>
        </w:rPr>
        <w:sym w:font="Symbol" w:char="F02D"/>
      </w:r>
      <w:r w:rsidRPr="00844AAF">
        <w:rPr>
          <w:lang w:eastAsia="zh-CN"/>
        </w:rPr>
        <w:tab/>
      </w:r>
      <w:r w:rsidR="00EB2006">
        <w:rPr>
          <w:lang w:eastAsia="zh-CN"/>
        </w:rPr>
        <w:t>P</w:t>
      </w:r>
      <w:r w:rsidRPr="00844AAF">
        <w:rPr>
          <w:lang w:eastAsia="zh-CN"/>
        </w:rPr>
        <w:t xml:space="preserve">assage progressif de méthodes manuelles de transfert des données reçues des utilisateurs sous forme papier à une réception directe des données d'utilisateur </w:t>
      </w:r>
      <w:r w:rsidR="000A1AF6" w:rsidRPr="00844AAF">
        <w:rPr>
          <w:lang w:eastAsia="zh-CN"/>
        </w:rPr>
        <w:t>sur support électronique</w:t>
      </w:r>
      <w:r w:rsidR="00EB2006">
        <w:rPr>
          <w:lang w:eastAsia="zh-CN"/>
        </w:rPr>
        <w:t>.</w:t>
      </w:r>
    </w:p>
    <w:p w:rsidR="001124E1" w:rsidRPr="00844AAF" w:rsidRDefault="001124E1" w:rsidP="00EB2006">
      <w:pPr>
        <w:pStyle w:val="enumlev1"/>
        <w:rPr>
          <w:lang w:eastAsia="zh-CN"/>
        </w:rPr>
      </w:pPr>
      <w:r w:rsidRPr="00844AAF">
        <w:rPr>
          <w:lang w:eastAsia="zh-CN"/>
        </w:rPr>
        <w:sym w:font="Symbol" w:char="F02D"/>
      </w:r>
      <w:r w:rsidRPr="00844AAF">
        <w:rPr>
          <w:lang w:eastAsia="zh-CN"/>
        </w:rPr>
        <w:tab/>
      </w:r>
      <w:r w:rsidR="00EB2006">
        <w:rPr>
          <w:lang w:eastAsia="zh-CN"/>
        </w:rPr>
        <w:t>P</w:t>
      </w:r>
      <w:r w:rsidRPr="00844AAF">
        <w:rPr>
          <w:lang w:eastAsia="zh-CN"/>
        </w:rPr>
        <w:t>rès forte augmentation de l'utilisation des technologies de l'information et de la communication (TIC) pour l'examen des fiches de notification d'assignation de fréquence pour les systèmes et stations des services de Terre et des services spatiaux</w:t>
      </w:r>
      <w:r w:rsidR="00EB2006">
        <w:rPr>
          <w:lang w:eastAsia="zh-CN"/>
        </w:rPr>
        <w:t>.</w:t>
      </w:r>
    </w:p>
    <w:p w:rsidR="001124E1" w:rsidRPr="00844AAF" w:rsidRDefault="001124E1" w:rsidP="00EB2006">
      <w:pPr>
        <w:pStyle w:val="enumlev1"/>
        <w:rPr>
          <w:lang w:eastAsia="zh-CN"/>
        </w:rPr>
      </w:pPr>
      <w:r w:rsidRPr="00844AAF">
        <w:rPr>
          <w:lang w:eastAsia="zh-CN"/>
        </w:rPr>
        <w:sym w:font="Symbol" w:char="F02D"/>
      </w:r>
      <w:r w:rsidRPr="00844AAF">
        <w:rPr>
          <w:lang w:eastAsia="zh-CN"/>
        </w:rPr>
        <w:tab/>
      </w:r>
      <w:r w:rsidR="00EB2006">
        <w:rPr>
          <w:lang w:eastAsia="zh-CN"/>
        </w:rPr>
        <w:t>P</w:t>
      </w:r>
      <w:r w:rsidRPr="00844AAF">
        <w:rPr>
          <w:lang w:eastAsia="zh-CN"/>
        </w:rPr>
        <w:t xml:space="preserve">assage à l'utilisation de moyens électroniques pour l'échange de données entre le BR </w:t>
      </w:r>
      <w:r w:rsidR="000A1AF6" w:rsidRPr="00844AAF">
        <w:rPr>
          <w:lang w:eastAsia="zh-CN"/>
        </w:rPr>
        <w:t xml:space="preserve">et les </w:t>
      </w:r>
      <w:proofErr w:type="spellStart"/>
      <w:r w:rsidR="000A1AF6" w:rsidRPr="00844AAF">
        <w:rPr>
          <w:lang w:eastAsia="zh-CN"/>
        </w:rPr>
        <w:t>E</w:t>
      </w:r>
      <w:r w:rsidRPr="00844AAF">
        <w:rPr>
          <w:lang w:eastAsia="zh-CN"/>
        </w:rPr>
        <w:t>tats</w:t>
      </w:r>
      <w:proofErr w:type="spellEnd"/>
      <w:r w:rsidRPr="00844AAF">
        <w:rPr>
          <w:lang w:eastAsia="zh-CN"/>
        </w:rPr>
        <w:t xml:space="preserve"> Membres</w:t>
      </w:r>
      <w:r w:rsidR="00CF1B97" w:rsidRPr="00844AAF">
        <w:rPr>
          <w:lang w:eastAsia="zh-CN"/>
        </w:rPr>
        <w:t xml:space="preserve"> de l'UIT</w:t>
      </w:r>
      <w:r w:rsidRPr="00844AAF">
        <w:rPr>
          <w:lang w:eastAsia="zh-CN"/>
        </w:rPr>
        <w:t xml:space="preserve"> et </w:t>
      </w:r>
      <w:r w:rsidR="00CF1B97" w:rsidRPr="00844AAF">
        <w:rPr>
          <w:lang w:eastAsia="zh-CN"/>
        </w:rPr>
        <w:t xml:space="preserve">les </w:t>
      </w:r>
      <w:r w:rsidRPr="00844AAF">
        <w:rPr>
          <w:lang w:eastAsia="zh-CN"/>
        </w:rPr>
        <w:t>Membres de Secteur</w:t>
      </w:r>
      <w:r w:rsidR="00EB2006">
        <w:rPr>
          <w:lang w:eastAsia="zh-CN"/>
        </w:rPr>
        <w:t>.</w:t>
      </w:r>
    </w:p>
    <w:p w:rsidR="001124E1" w:rsidRPr="00844AAF" w:rsidRDefault="001124E1" w:rsidP="00EB2006">
      <w:pPr>
        <w:pStyle w:val="enumlev1"/>
        <w:rPr>
          <w:lang w:eastAsia="zh-CN"/>
        </w:rPr>
      </w:pPr>
      <w:r w:rsidRPr="00844AAF">
        <w:rPr>
          <w:lang w:eastAsia="zh-CN"/>
        </w:rPr>
        <w:sym w:font="Symbol" w:char="F02D"/>
      </w:r>
      <w:r w:rsidRPr="00844AAF">
        <w:rPr>
          <w:lang w:eastAsia="zh-CN"/>
        </w:rPr>
        <w:tab/>
      </w:r>
      <w:r w:rsidR="00EB2006">
        <w:rPr>
          <w:lang w:eastAsia="zh-CN"/>
        </w:rPr>
        <w:t>P</w:t>
      </w:r>
      <w:r w:rsidRPr="00844AAF">
        <w:rPr>
          <w:lang w:eastAsia="zh-CN"/>
        </w:rPr>
        <w:t>assage à l'utilisation de moyens électroniques pour la publication des documents de l'UIT</w:t>
      </w:r>
      <w:r w:rsidR="000A1AF6" w:rsidRPr="00844AAF">
        <w:rPr>
          <w:lang w:eastAsia="zh-CN"/>
        </w:rPr>
        <w:noBreakHyphen/>
      </w:r>
      <w:r w:rsidRPr="00844AAF">
        <w:rPr>
          <w:lang w:eastAsia="zh-CN"/>
        </w:rPr>
        <w:t xml:space="preserve">R, y compris la publication des conclusions résultant de l'examen réglementaire </w:t>
      </w:r>
      <w:r w:rsidR="00CF1B97" w:rsidRPr="00844AAF">
        <w:rPr>
          <w:lang w:eastAsia="zh-CN"/>
        </w:rPr>
        <w:t>et</w:t>
      </w:r>
      <w:r w:rsidRPr="00844AAF">
        <w:rPr>
          <w:lang w:eastAsia="zh-CN"/>
        </w:rPr>
        <w:t xml:space="preserve"> de l'examen technique des fiches de notification</w:t>
      </w:r>
      <w:r w:rsidR="00EB2006">
        <w:rPr>
          <w:lang w:eastAsia="zh-CN"/>
        </w:rPr>
        <w:t>.</w:t>
      </w:r>
    </w:p>
    <w:p w:rsidR="001124E1" w:rsidRPr="00844AAF" w:rsidRDefault="001124E1" w:rsidP="00EB2006">
      <w:pPr>
        <w:pStyle w:val="enumlev1"/>
        <w:rPr>
          <w:lang w:eastAsia="zh-CN"/>
        </w:rPr>
      </w:pPr>
      <w:r w:rsidRPr="00844AAF">
        <w:rPr>
          <w:lang w:eastAsia="zh-CN"/>
        </w:rPr>
        <w:sym w:font="Symbol" w:char="F02D"/>
      </w:r>
      <w:r w:rsidRPr="00844AAF">
        <w:rPr>
          <w:lang w:eastAsia="zh-CN"/>
        </w:rPr>
        <w:tab/>
      </w:r>
      <w:proofErr w:type="spellStart"/>
      <w:r w:rsidR="00EB2006">
        <w:rPr>
          <w:lang w:eastAsia="zh-CN"/>
        </w:rPr>
        <w:t>E</w:t>
      </w:r>
      <w:r w:rsidRPr="00844AAF">
        <w:rPr>
          <w:lang w:eastAsia="zh-CN"/>
        </w:rPr>
        <w:t>laboration</w:t>
      </w:r>
      <w:proofErr w:type="spellEnd"/>
      <w:r w:rsidRPr="00844AAF">
        <w:rPr>
          <w:lang w:eastAsia="zh-CN"/>
        </w:rPr>
        <w:t xml:space="preserve"> de toute une série de progiciels et de systèmes pour effectuer les tâches susmentionnées.</w:t>
      </w:r>
    </w:p>
    <w:p w:rsidR="001124E1" w:rsidRPr="00844AAF" w:rsidRDefault="001124E1" w:rsidP="00CF1B97">
      <w:pPr>
        <w:rPr>
          <w:lang w:eastAsia="zh-CN"/>
        </w:rPr>
      </w:pPr>
      <w:r w:rsidRPr="00844AAF">
        <w:rPr>
          <w:lang w:eastAsia="zh-CN"/>
        </w:rPr>
        <w:t xml:space="preserve">Ces mesures et bien d'autres ont permis non seulement au </w:t>
      </w:r>
      <w:r w:rsidR="00976EC8" w:rsidRPr="00844AAF">
        <w:rPr>
          <w:lang w:eastAsia="zh-CN"/>
        </w:rPr>
        <w:t xml:space="preserve">personnel du BR mais aussi aux </w:t>
      </w:r>
      <w:proofErr w:type="spellStart"/>
      <w:r w:rsidR="00976EC8" w:rsidRPr="00844AAF">
        <w:rPr>
          <w:lang w:eastAsia="zh-CN"/>
        </w:rPr>
        <w:t>E</w:t>
      </w:r>
      <w:r w:rsidRPr="00844AAF">
        <w:rPr>
          <w:lang w:eastAsia="zh-CN"/>
        </w:rPr>
        <w:t>tats</w:t>
      </w:r>
      <w:proofErr w:type="spellEnd"/>
      <w:r w:rsidRPr="00844AAF">
        <w:rPr>
          <w:lang w:eastAsia="zh-CN"/>
        </w:rPr>
        <w:t xml:space="preserve"> Membres </w:t>
      </w:r>
      <w:r w:rsidR="00CF1B97" w:rsidRPr="00844AAF">
        <w:rPr>
          <w:lang w:eastAsia="zh-CN"/>
        </w:rPr>
        <w:t xml:space="preserve">de l'UIT </w:t>
      </w:r>
      <w:r w:rsidRPr="00844AAF">
        <w:rPr>
          <w:lang w:eastAsia="zh-CN"/>
        </w:rPr>
        <w:t xml:space="preserve">et </w:t>
      </w:r>
      <w:r w:rsidR="00CB2A50">
        <w:rPr>
          <w:lang w:eastAsia="zh-CN"/>
        </w:rPr>
        <w:t>aux</w:t>
      </w:r>
      <w:r w:rsidR="00CF1B97" w:rsidRPr="00844AAF">
        <w:rPr>
          <w:lang w:eastAsia="zh-CN"/>
        </w:rPr>
        <w:t xml:space="preserve"> </w:t>
      </w:r>
      <w:r w:rsidRPr="00844AAF">
        <w:rPr>
          <w:lang w:eastAsia="zh-CN"/>
        </w:rPr>
        <w:t xml:space="preserve">Membres de Secteur d'être </w:t>
      </w:r>
      <w:r w:rsidR="00CF1B97" w:rsidRPr="00844AAF">
        <w:rPr>
          <w:lang w:eastAsia="zh-CN"/>
        </w:rPr>
        <w:t xml:space="preserve">plus efficaces et </w:t>
      </w:r>
      <w:r w:rsidRPr="00844AAF">
        <w:rPr>
          <w:lang w:eastAsia="zh-CN"/>
        </w:rPr>
        <w:t>plus performants</w:t>
      </w:r>
      <w:r w:rsidR="00CF1B97" w:rsidRPr="00844AAF">
        <w:rPr>
          <w:lang w:eastAsia="zh-CN"/>
        </w:rPr>
        <w:t>,</w:t>
      </w:r>
      <w:r w:rsidRPr="00844AAF">
        <w:rPr>
          <w:lang w:eastAsia="zh-CN"/>
        </w:rPr>
        <w:t xml:space="preserve"> grâce à l'utilisation des produits logiciels du BR pour la préparation des fiches de notification d'assignation de fréquence, pour </w:t>
      </w:r>
      <w:r w:rsidR="00CF1B97" w:rsidRPr="00844AAF">
        <w:rPr>
          <w:lang w:eastAsia="zh-CN"/>
        </w:rPr>
        <w:t xml:space="preserve">la </w:t>
      </w:r>
      <w:r w:rsidRPr="00844AAF">
        <w:rPr>
          <w:lang w:eastAsia="zh-CN"/>
        </w:rPr>
        <w:t>vérification ultérieure de ces fiches, ce qui a permis de supprimer un très grand nombre d'échanges avec les experts du BR. Les données étant publiées sur support électronique, elles peuvent être utilisées au stade de la coordination, ce qui rend le processus de coordination plus efficace.</w:t>
      </w:r>
    </w:p>
    <w:p w:rsidR="001124E1" w:rsidRPr="00844AAF" w:rsidRDefault="001124E1" w:rsidP="00CF1B97">
      <w:pPr>
        <w:rPr>
          <w:lang w:eastAsia="zh-CN"/>
        </w:rPr>
      </w:pPr>
      <w:r w:rsidRPr="00844AAF">
        <w:rPr>
          <w:lang w:eastAsia="zh-CN"/>
        </w:rPr>
        <w:lastRenderedPageBreak/>
        <w:t>Les progrès susmentionnés ont permis de réduire de façon significativ</w:t>
      </w:r>
      <w:r w:rsidR="00FD17F9">
        <w:rPr>
          <w:lang w:eastAsia="zh-CN"/>
        </w:rPr>
        <w:t xml:space="preserve">e et justifiée les effectifs du </w:t>
      </w:r>
      <w:r w:rsidRPr="00844AAF">
        <w:rPr>
          <w:lang w:eastAsia="zh-CN"/>
        </w:rPr>
        <w:t xml:space="preserve">BR (voir la Figure 3). Cela étant, toute automatisation d'un processus, </w:t>
      </w:r>
      <w:r w:rsidR="00CF1B97" w:rsidRPr="00844AAF">
        <w:rPr>
          <w:lang w:eastAsia="zh-CN"/>
        </w:rPr>
        <w:t>quel qu'il soit et</w:t>
      </w:r>
      <w:r w:rsidRPr="00844AAF">
        <w:rPr>
          <w:lang w:eastAsia="zh-CN"/>
        </w:rPr>
        <w:t xml:space="preserve"> en particulier lorsqu'</w:t>
      </w:r>
      <w:r w:rsidR="00CF1B97" w:rsidRPr="00844AAF">
        <w:rPr>
          <w:lang w:eastAsia="zh-CN"/>
        </w:rPr>
        <w:t>il s'agit d'</w:t>
      </w:r>
      <w:r w:rsidRPr="00844AAF">
        <w:rPr>
          <w:lang w:eastAsia="zh-CN"/>
        </w:rPr>
        <w:t xml:space="preserve">un processus </w:t>
      </w:r>
      <w:r w:rsidR="00CF1B97" w:rsidRPr="00844AAF">
        <w:rPr>
          <w:lang w:eastAsia="zh-CN"/>
        </w:rPr>
        <w:t>aussi complexe</w:t>
      </w:r>
      <w:r w:rsidRPr="00844AAF">
        <w:rPr>
          <w:lang w:eastAsia="zh-CN"/>
        </w:rPr>
        <w:t xml:space="preserve"> que la gestion du spectre et des orbites de satellites au niveau international</w:t>
      </w:r>
      <w:r w:rsidR="00CF1B97" w:rsidRPr="00844AAF">
        <w:rPr>
          <w:lang w:eastAsia="zh-CN"/>
        </w:rPr>
        <w:t>,</w:t>
      </w:r>
      <w:r w:rsidRPr="00844AAF">
        <w:rPr>
          <w:lang w:eastAsia="zh-CN"/>
        </w:rPr>
        <w:t xml:space="preserve"> a ses limites et la réduction des effec</w:t>
      </w:r>
      <w:r w:rsidR="00FD17F9">
        <w:rPr>
          <w:lang w:eastAsia="zh-CN"/>
        </w:rPr>
        <w:t xml:space="preserve">tifs ne peut se poursuivre sans </w:t>
      </w:r>
      <w:r w:rsidRPr="00844AAF">
        <w:rPr>
          <w:lang w:eastAsia="zh-CN"/>
        </w:rPr>
        <w:t>fin.</w:t>
      </w:r>
    </w:p>
    <w:p w:rsidR="001124E1" w:rsidRPr="00844AAF" w:rsidRDefault="001124E1" w:rsidP="00CF1B97">
      <w:pPr>
        <w:rPr>
          <w:lang w:eastAsia="zh-CN"/>
        </w:rPr>
      </w:pPr>
      <w:r w:rsidRPr="00844AAF">
        <w:rPr>
          <w:lang w:eastAsia="zh-CN"/>
        </w:rPr>
        <w:t xml:space="preserve">Il est intéressant d'observer </w:t>
      </w:r>
      <w:r w:rsidR="00CF1B97" w:rsidRPr="00844AAF">
        <w:rPr>
          <w:lang w:eastAsia="zh-CN"/>
        </w:rPr>
        <w:t>qu'à la fin des</w:t>
      </w:r>
      <w:r w:rsidRPr="00844AAF">
        <w:rPr>
          <w:lang w:eastAsia="zh-CN"/>
        </w:rPr>
        <w:t xml:space="preserve"> années 80, le CCIR</w:t>
      </w:r>
      <w:r w:rsidRPr="00844AAF">
        <w:rPr>
          <w:rStyle w:val="FootnoteReference"/>
        </w:rPr>
        <w:footnoteReference w:id="1"/>
      </w:r>
      <w:r w:rsidRPr="00844AAF">
        <w:rPr>
          <w:lang w:eastAsia="zh-CN"/>
        </w:rPr>
        <w:t xml:space="preserve"> comptait quelque 30 fonctionnaires 30± (le CCITT</w:t>
      </w:r>
      <w:r w:rsidRPr="00844AAF">
        <w:rPr>
          <w:rStyle w:val="FootnoteReference"/>
        </w:rPr>
        <w:footnoteReference w:id="2"/>
      </w:r>
      <w:r w:rsidRPr="00844AAF">
        <w:rPr>
          <w:lang w:eastAsia="zh-CN"/>
        </w:rPr>
        <w:t xml:space="preserve"> un peu plus de 40 fonctionnaires), alors qu'aujourd'hui le Département des commissions d'études du BR</w:t>
      </w:r>
      <w:r w:rsidR="001C7BAD" w:rsidRPr="00844AAF">
        <w:rPr>
          <w:lang w:eastAsia="zh-CN"/>
        </w:rPr>
        <w:t>,</w:t>
      </w:r>
      <w:r w:rsidRPr="00844AAF">
        <w:rPr>
          <w:lang w:eastAsia="zh-CN"/>
        </w:rPr>
        <w:t xml:space="preserve"> qui s'acquitte de fonction</w:t>
      </w:r>
      <w:r w:rsidR="001C7BAD" w:rsidRPr="00844AAF">
        <w:rPr>
          <w:lang w:eastAsia="zh-CN"/>
        </w:rPr>
        <w:t>s</w:t>
      </w:r>
      <w:r w:rsidRPr="00844AAF">
        <w:rPr>
          <w:lang w:eastAsia="zh-CN"/>
        </w:rPr>
        <w:t xml:space="preserve"> comparable</w:t>
      </w:r>
      <w:r w:rsidR="001C7BAD" w:rsidRPr="00844AAF">
        <w:rPr>
          <w:lang w:eastAsia="zh-CN"/>
        </w:rPr>
        <w:t>s,</w:t>
      </w:r>
      <w:r w:rsidRPr="00844AAF">
        <w:rPr>
          <w:lang w:eastAsia="zh-CN"/>
        </w:rPr>
        <w:t xml:space="preserve"> compte </w:t>
      </w:r>
      <w:r w:rsidR="00FD17F9">
        <w:rPr>
          <w:lang w:eastAsia="zh-CN"/>
        </w:rPr>
        <w:t>en tout et pour tout </w:t>
      </w:r>
      <w:r w:rsidRPr="00844AAF">
        <w:rPr>
          <w:lang w:eastAsia="zh-CN"/>
        </w:rPr>
        <w:t>16 fonctionnaires.</w:t>
      </w:r>
    </w:p>
    <w:p w:rsidR="001124E1" w:rsidRPr="00844AAF" w:rsidRDefault="001124E1" w:rsidP="001124E1">
      <w:pPr>
        <w:rPr>
          <w:lang w:eastAsia="zh-CN"/>
        </w:rPr>
      </w:pPr>
      <w:r w:rsidRPr="00844AAF">
        <w:rPr>
          <w:lang w:eastAsia="zh-CN"/>
        </w:rPr>
        <w:t xml:space="preserve">Cette tendance à la baisse dans les effectifs du Secteur a suscité des inquiétudes chez les délégués présents à la session de 2015 du Conseil. Le Rapport du Président de la Commission permanente de l'administration et de la gestion (Document </w:t>
      </w:r>
      <w:hyperlink r:id="rId39" w:history="1">
        <w:r w:rsidR="00CF1B97" w:rsidRPr="00844AAF">
          <w:rPr>
            <w:rStyle w:val="Hyperlink"/>
            <w:lang w:eastAsia="zh-CN"/>
          </w:rPr>
          <w:t>C15/105(Ré</w:t>
        </w:r>
        <w:r w:rsidRPr="00844AAF">
          <w:rPr>
            <w:rStyle w:val="Hyperlink"/>
            <w:lang w:eastAsia="zh-CN"/>
          </w:rPr>
          <w:t>v.1)</w:t>
        </w:r>
      </w:hyperlink>
      <w:r w:rsidRPr="00844AAF">
        <w:t>)</w:t>
      </w:r>
      <w:r w:rsidRPr="00844AAF">
        <w:rPr>
          <w:lang w:eastAsia="zh-CN"/>
        </w:rPr>
        <w:t xml:space="preserve"> comportait le message suivant adressée par le Conseil à la direction du secrétariat de l'UIT:</w:t>
      </w:r>
    </w:p>
    <w:p w:rsidR="001124E1" w:rsidRPr="00844AAF" w:rsidRDefault="00CF1B97" w:rsidP="001124E1">
      <w:pPr>
        <w:rPr>
          <w:lang w:eastAsia="zh-CN"/>
        </w:rPr>
      </w:pPr>
      <w:r w:rsidRPr="00844AAF">
        <w:rPr>
          <w:lang w:eastAsia="zh-CN"/>
        </w:rPr>
        <w:t>«</w:t>
      </w:r>
      <w:r w:rsidR="001124E1" w:rsidRPr="00844AAF">
        <w:rPr>
          <w:lang w:eastAsia="zh-CN"/>
        </w:rPr>
        <w:t>1.12</w:t>
      </w:r>
      <w:r w:rsidR="001124E1" w:rsidRPr="00844AAF">
        <w:rPr>
          <w:lang w:eastAsia="zh-CN"/>
        </w:rPr>
        <w:tab/>
      </w:r>
      <w:r w:rsidR="001124E1" w:rsidRPr="00844AAF">
        <w:rPr>
          <w:color w:val="000000"/>
        </w:rPr>
        <w:t>Certains délégués ont relevé la réduction importante du nombre d'emplois budgétés au Bureau des radiocommunications intervenue en 2011-2015 ainsi que l'importance de son programme de travail conformément au plan stratégique et au plan opérationnel</w:t>
      </w:r>
      <w:r w:rsidR="001124E1" w:rsidRPr="00844AAF">
        <w:rPr>
          <w:lang w:eastAsia="zh-CN"/>
        </w:rPr>
        <w:t xml:space="preserve">. </w:t>
      </w:r>
      <w:r w:rsidR="001124E1" w:rsidRPr="00844AAF">
        <w:rPr>
          <w:color w:val="000000"/>
        </w:rPr>
        <w:t xml:space="preserve">Au vu de ces éléments, les délégués ont demandé à la direction de l'UIT, lorsqu'elle élaborera les projets de budget pour les exercices biennaux futurs, de faire en sorte de ne pas réduire encore le nombre d'emplois budgétés au Bureau des radiocommunications, ce qui compromettrait la pleine mise en </w:t>
      </w:r>
      <w:proofErr w:type="spellStart"/>
      <w:r w:rsidR="001124E1" w:rsidRPr="00844AAF">
        <w:rPr>
          <w:color w:val="000000"/>
        </w:rPr>
        <w:t>oeuvre</w:t>
      </w:r>
      <w:proofErr w:type="spellEnd"/>
      <w:r w:rsidR="001124E1" w:rsidRPr="00844AAF">
        <w:rPr>
          <w:color w:val="000000"/>
        </w:rPr>
        <w:t xml:space="preserve"> de son programme de travail</w:t>
      </w:r>
      <w:r w:rsidRPr="00844AAF">
        <w:rPr>
          <w:lang w:eastAsia="zh-CN"/>
        </w:rPr>
        <w:t>.»</w:t>
      </w:r>
    </w:p>
    <w:p w:rsidR="001124E1" w:rsidRPr="00844AAF" w:rsidRDefault="001124E1" w:rsidP="001C7BAD">
      <w:pPr>
        <w:rPr>
          <w:lang w:eastAsia="zh-CN"/>
        </w:rPr>
      </w:pPr>
      <w:r w:rsidRPr="00844AAF">
        <w:rPr>
          <w:lang w:eastAsia="zh-CN"/>
        </w:rPr>
        <w:t xml:space="preserve">Toutefois, </w:t>
      </w:r>
      <w:r w:rsidR="001C7BAD" w:rsidRPr="00844AAF">
        <w:rPr>
          <w:lang w:eastAsia="zh-CN"/>
        </w:rPr>
        <w:t>comme indiqué dans le</w:t>
      </w:r>
      <w:r w:rsidRPr="00844AAF">
        <w:rPr>
          <w:lang w:eastAsia="zh-CN"/>
        </w:rPr>
        <w:t xml:space="preserve"> Document</w:t>
      </w:r>
      <w:r w:rsidR="001C7BAD" w:rsidRPr="00844AAF">
        <w:rPr>
          <w:lang w:eastAsia="zh-CN"/>
        </w:rPr>
        <w:t xml:space="preserve"> </w:t>
      </w:r>
      <w:hyperlink r:id="rId40" w:history="1">
        <w:r w:rsidRPr="00844AAF">
          <w:rPr>
            <w:rStyle w:val="Hyperlink"/>
            <w:lang w:eastAsia="zh-CN"/>
          </w:rPr>
          <w:t>CWG-FHR-INF 7/3</w:t>
        </w:r>
      </w:hyperlink>
      <w:r w:rsidR="001C7BAD" w:rsidRPr="00844AAF">
        <w:t>,</w:t>
      </w:r>
      <w:r w:rsidRPr="00844AAF">
        <w:rPr>
          <w:lang w:eastAsia="zh-CN"/>
        </w:rPr>
        <w:t xml:space="preserve"> </w:t>
      </w:r>
      <w:r w:rsidR="001C7BAD" w:rsidRPr="00844AAF">
        <w:rPr>
          <w:lang w:eastAsia="zh-CN"/>
        </w:rPr>
        <w:t>il est prévu</w:t>
      </w:r>
      <w:r w:rsidRPr="00844AAF">
        <w:rPr>
          <w:lang w:eastAsia="zh-CN"/>
        </w:rPr>
        <w:t xml:space="preserve"> dans le projet de budget pour la période 2018-2019 de réduire encore le nombre de postes au BR.</w:t>
      </w:r>
    </w:p>
    <w:p w:rsidR="001124E1" w:rsidRPr="00844AAF" w:rsidRDefault="001124E1" w:rsidP="001124E1">
      <w:pPr>
        <w:pStyle w:val="Heading2"/>
        <w:rPr>
          <w:lang w:eastAsia="zh-CN"/>
        </w:rPr>
      </w:pPr>
      <w:r w:rsidRPr="00844AAF">
        <w:rPr>
          <w:lang w:eastAsia="zh-CN"/>
        </w:rPr>
        <w:t>2.3</w:t>
      </w:r>
      <w:r w:rsidRPr="00844AAF">
        <w:rPr>
          <w:lang w:eastAsia="zh-CN"/>
        </w:rPr>
        <w:tab/>
      </w:r>
      <w:proofErr w:type="spellStart"/>
      <w:r w:rsidR="001C7BAD" w:rsidRPr="00844AAF">
        <w:rPr>
          <w:lang w:eastAsia="zh-CN"/>
        </w:rPr>
        <w:t>Evaluation</w:t>
      </w:r>
      <w:proofErr w:type="spellEnd"/>
      <w:r w:rsidRPr="00844AAF">
        <w:rPr>
          <w:lang w:eastAsia="zh-CN"/>
        </w:rPr>
        <w:t xml:space="preserve"> de l'adéquation des ressources financière</w:t>
      </w:r>
      <w:r w:rsidR="00717D93">
        <w:rPr>
          <w:lang w:eastAsia="zh-CN"/>
        </w:rPr>
        <w:t>s et des ressources humaines du </w:t>
      </w:r>
      <w:r w:rsidRPr="00844AAF">
        <w:rPr>
          <w:lang w:eastAsia="zh-CN"/>
        </w:rPr>
        <w:t>BR pour remplir les objectifs fixés au Bureau</w:t>
      </w:r>
    </w:p>
    <w:p w:rsidR="001124E1" w:rsidRPr="00844AAF" w:rsidRDefault="001124E1" w:rsidP="00533F65">
      <w:pPr>
        <w:rPr>
          <w:lang w:eastAsia="zh-CN"/>
        </w:rPr>
      </w:pPr>
      <w:r w:rsidRPr="00844AAF">
        <w:rPr>
          <w:lang w:eastAsia="zh-CN"/>
        </w:rPr>
        <w:t xml:space="preserve">Un des indicateurs les plus objectifs des bons résultats du Bureau </w:t>
      </w:r>
      <w:r w:rsidR="00533F65" w:rsidRPr="00844AAF">
        <w:rPr>
          <w:lang w:eastAsia="zh-CN"/>
        </w:rPr>
        <w:t>est fourni par</w:t>
      </w:r>
      <w:r w:rsidRPr="00844AAF">
        <w:rPr>
          <w:lang w:eastAsia="zh-CN"/>
        </w:rPr>
        <w:t xml:space="preserve"> les données relatives au temps passé pour le traitement des fiches de notification des réseaux à satellite. </w:t>
      </w:r>
      <w:r w:rsidR="00533F65" w:rsidRPr="00844AAF">
        <w:rPr>
          <w:lang w:eastAsia="zh-CN"/>
        </w:rPr>
        <w:t>Il convient de noter que, c</w:t>
      </w:r>
      <w:r w:rsidRPr="00844AAF">
        <w:rPr>
          <w:lang w:eastAsia="zh-CN"/>
        </w:rPr>
        <w:t>onformément au numéro 9.38 du Règlement des radiocommunications, dès réception d'une demande de coordination d'une assignation de fréquence le Bureau publie</w:t>
      </w:r>
      <w:r w:rsidR="001C7BAD" w:rsidRPr="00844AAF">
        <w:rPr>
          <w:lang w:eastAsia="zh-CN"/>
        </w:rPr>
        <w:t xml:space="preserve"> «</w:t>
      </w:r>
      <w:r w:rsidRPr="00844AAF">
        <w:rPr>
          <w:lang w:eastAsia="zh-CN"/>
        </w:rPr>
        <w:t>les renseignements complets, selon qu'il convient, dans la Circulaire internationale d'information sur les fréquences (BR IFIC) dans un délai de quatre mois</w:t>
      </w:r>
      <w:r w:rsidR="001C7BAD" w:rsidRPr="00844AAF">
        <w:rPr>
          <w:lang w:eastAsia="zh-CN"/>
        </w:rPr>
        <w:t>»</w:t>
      </w:r>
      <w:r w:rsidRPr="00844AAF">
        <w:rPr>
          <w:lang w:eastAsia="zh-CN"/>
        </w:rPr>
        <w:t>.</w:t>
      </w:r>
    </w:p>
    <w:p w:rsidR="001124E1" w:rsidRPr="00844AAF" w:rsidRDefault="0006496E" w:rsidP="0006496E">
      <w:pPr>
        <w:rPr>
          <w:lang w:eastAsia="zh-CN"/>
        </w:rPr>
      </w:pPr>
      <w:r w:rsidRPr="00844AAF">
        <w:rPr>
          <w:lang w:eastAsia="zh-CN"/>
        </w:rPr>
        <w:t>Il ressort d'une analyse</w:t>
      </w:r>
      <w:r w:rsidR="001124E1" w:rsidRPr="00844AAF">
        <w:rPr>
          <w:lang w:eastAsia="zh-CN"/>
        </w:rPr>
        <w:t xml:space="preserve"> des données pour la période 2015-2016 et le début de </w:t>
      </w:r>
      <w:r w:rsidR="00CF6F16">
        <w:rPr>
          <w:lang w:eastAsia="zh-CN"/>
        </w:rPr>
        <w:t>2017</w:t>
      </w:r>
      <w:r w:rsidR="001124E1" w:rsidRPr="00844AAF">
        <w:rPr>
          <w:lang w:eastAsia="zh-CN"/>
        </w:rPr>
        <w:t xml:space="preserve"> figur</w:t>
      </w:r>
      <w:r w:rsidRPr="00844AAF">
        <w:rPr>
          <w:lang w:eastAsia="zh-CN"/>
        </w:rPr>
        <w:t>a</w:t>
      </w:r>
      <w:r w:rsidR="001124E1" w:rsidRPr="00844AAF">
        <w:rPr>
          <w:lang w:eastAsia="zh-CN"/>
        </w:rPr>
        <w:t>nt dans les rapports du Directeur du BR aux différentes réunions du Comité du Règlement des radiocommunications (RRB) (Documents </w:t>
      </w:r>
      <w:hyperlink r:id="rId41" w:history="1">
        <w:r w:rsidR="001124E1" w:rsidRPr="00844AAF">
          <w:rPr>
            <w:rStyle w:val="Hyperlink"/>
            <w:lang w:eastAsia="zh-CN"/>
          </w:rPr>
          <w:t>RRB15-3/4</w:t>
        </w:r>
      </w:hyperlink>
      <w:r w:rsidR="001124E1" w:rsidRPr="00844AAF">
        <w:rPr>
          <w:lang w:eastAsia="zh-CN"/>
        </w:rPr>
        <w:t xml:space="preserve">, </w:t>
      </w:r>
      <w:hyperlink r:id="rId42" w:history="1">
        <w:r w:rsidR="001124E1" w:rsidRPr="00844AAF">
          <w:rPr>
            <w:rStyle w:val="Hyperlink"/>
            <w:lang w:eastAsia="zh-CN"/>
          </w:rPr>
          <w:t>RRB16-1/5</w:t>
        </w:r>
      </w:hyperlink>
      <w:r w:rsidR="001124E1" w:rsidRPr="00844AAF">
        <w:rPr>
          <w:lang w:eastAsia="zh-CN"/>
        </w:rPr>
        <w:t xml:space="preserve"> et </w:t>
      </w:r>
      <w:hyperlink r:id="rId43" w:history="1">
        <w:r w:rsidR="001124E1" w:rsidRPr="00844AAF">
          <w:rPr>
            <w:rStyle w:val="Hyperlink"/>
            <w:lang w:eastAsia="zh-CN"/>
          </w:rPr>
          <w:t>RRB17-1/3</w:t>
        </w:r>
      </w:hyperlink>
      <w:r w:rsidR="001124E1" w:rsidRPr="00844AAF">
        <w:rPr>
          <w:lang w:eastAsia="zh-CN"/>
        </w:rPr>
        <w:t xml:space="preserve">) ainsi que des données statistiques postées par le Département des services spatiaux du BR à l'adresse </w:t>
      </w:r>
      <w:hyperlink r:id="rId44" w:history="1">
        <w:r w:rsidR="001124E1" w:rsidRPr="00844AAF">
          <w:rPr>
            <w:rStyle w:val="Hyperlink"/>
            <w:lang w:eastAsia="zh-CN"/>
          </w:rPr>
          <w:t>https://www.itu.int/ITU-R/go/space-statistics/en</w:t>
        </w:r>
      </w:hyperlink>
      <w:r w:rsidR="001124E1" w:rsidRPr="00844AAF">
        <w:rPr>
          <w:lang w:eastAsia="zh-CN"/>
        </w:rPr>
        <w:t xml:space="preserve">, </w:t>
      </w:r>
      <w:r w:rsidRPr="00844AAF">
        <w:rPr>
          <w:lang w:eastAsia="zh-CN"/>
        </w:rPr>
        <w:t xml:space="preserve">que, </w:t>
      </w:r>
      <w:r w:rsidR="001124E1" w:rsidRPr="00844AAF">
        <w:rPr>
          <w:lang w:eastAsia="zh-CN"/>
        </w:rPr>
        <w:t>pendant une gra</w:t>
      </w:r>
      <w:r w:rsidR="00717D93">
        <w:rPr>
          <w:lang w:eastAsia="zh-CN"/>
        </w:rPr>
        <w:t>nde partie de cette période, le </w:t>
      </w:r>
      <w:r w:rsidR="001124E1" w:rsidRPr="00844AAF">
        <w:rPr>
          <w:lang w:eastAsia="zh-CN"/>
        </w:rPr>
        <w:t xml:space="preserve">BR n'a pas été en mesure de respecter les exigences du numéro 9.38 du RR. En outre, le retard dans le traitement des fiches de notification de réseaux à satellite a tendance à augmenter. </w:t>
      </w:r>
      <w:proofErr w:type="spellStart"/>
      <w:r w:rsidRPr="00844AAF">
        <w:rPr>
          <w:lang w:eastAsia="zh-CN"/>
        </w:rPr>
        <w:t>A</w:t>
      </w:r>
      <w:proofErr w:type="spellEnd"/>
      <w:r w:rsidR="001124E1" w:rsidRPr="00844AAF">
        <w:rPr>
          <w:lang w:eastAsia="zh-CN"/>
        </w:rPr>
        <w:t xml:space="preserve"> titre d'exemple, la Figure 4 contient des données relatives au traitement des demandes de coordination au titre de l'Article 9 du RR ainsi que des demandes au titre de l'Art</w:t>
      </w:r>
      <w:r w:rsidR="00717D93">
        <w:rPr>
          <w:lang w:eastAsia="zh-CN"/>
        </w:rPr>
        <w:t>icle 4 des Appendices 30/30A du </w:t>
      </w:r>
      <w:r w:rsidR="001124E1" w:rsidRPr="00844AAF">
        <w:rPr>
          <w:lang w:eastAsia="zh-CN"/>
        </w:rPr>
        <w:t>RR et des Articles 6 et 7 de l'Appendice 30B du RR.</w:t>
      </w:r>
    </w:p>
    <w:p w:rsidR="001124E1" w:rsidRPr="00844AAF" w:rsidRDefault="0006496E" w:rsidP="0006496E">
      <w:pPr>
        <w:rPr>
          <w:lang w:eastAsia="zh-CN"/>
        </w:rPr>
      </w:pPr>
      <w:r w:rsidRPr="00844AAF">
        <w:rPr>
          <w:lang w:eastAsia="zh-CN"/>
        </w:rPr>
        <w:lastRenderedPageBreak/>
        <w:t>A</w:t>
      </w:r>
      <w:r w:rsidR="001124E1" w:rsidRPr="00844AAF">
        <w:rPr>
          <w:lang w:eastAsia="zh-CN"/>
        </w:rPr>
        <w:t xml:space="preserve"> des fins de comparaison, la Figure 5 contient des données équivalentes pour la période 2007</w:t>
      </w:r>
      <w:r w:rsidRPr="00844AAF">
        <w:rPr>
          <w:lang w:eastAsia="zh-CN"/>
        </w:rPr>
        <w:noBreakHyphen/>
      </w:r>
      <w:r w:rsidR="001124E1" w:rsidRPr="00844AAF">
        <w:rPr>
          <w:lang w:eastAsia="zh-CN"/>
        </w:rPr>
        <w:t xml:space="preserve">2008, exception faite des données au titre de l'Appendice 30B, étant donné qu'à cette époque le traitement des fiches de notification au titre de l'Appendice 30B était </w:t>
      </w:r>
      <w:r w:rsidRPr="00844AAF">
        <w:rPr>
          <w:lang w:eastAsia="zh-CN"/>
        </w:rPr>
        <w:t>assujetti à des</w:t>
      </w:r>
      <w:r w:rsidR="001124E1" w:rsidRPr="00844AAF">
        <w:rPr>
          <w:lang w:eastAsia="zh-CN"/>
        </w:rPr>
        <w:t xml:space="preserve"> dispositions réglementaires très précises selon lesquelles le BR </w:t>
      </w:r>
      <w:r w:rsidRPr="00844AAF">
        <w:rPr>
          <w:lang w:eastAsia="zh-CN"/>
        </w:rPr>
        <w:t xml:space="preserve">ne </w:t>
      </w:r>
      <w:r w:rsidR="001124E1" w:rsidRPr="00844AAF">
        <w:rPr>
          <w:lang w:eastAsia="zh-CN"/>
        </w:rPr>
        <w:t xml:space="preserve">pouvait </w:t>
      </w:r>
      <w:r w:rsidRPr="00844AAF">
        <w:rPr>
          <w:lang w:eastAsia="zh-CN"/>
        </w:rPr>
        <w:t xml:space="preserve">pas </w:t>
      </w:r>
      <w:r w:rsidR="001124E1" w:rsidRPr="00844AAF">
        <w:rPr>
          <w:lang w:eastAsia="zh-CN"/>
        </w:rPr>
        <w:t xml:space="preserve">traiter </w:t>
      </w:r>
      <w:r w:rsidRPr="00844AAF">
        <w:rPr>
          <w:lang w:eastAsia="zh-CN"/>
        </w:rPr>
        <w:t>plus</w:t>
      </w:r>
      <w:r w:rsidR="001124E1" w:rsidRPr="00844AAF">
        <w:rPr>
          <w:lang w:eastAsia="zh-CN"/>
        </w:rPr>
        <w:t xml:space="preserve"> de </w:t>
      </w:r>
      <w:r w:rsidRPr="00844AAF">
        <w:rPr>
          <w:lang w:eastAsia="zh-CN"/>
        </w:rPr>
        <w:t>6</w:t>
      </w:r>
      <w:r w:rsidR="001124E1" w:rsidRPr="00844AAF">
        <w:rPr>
          <w:lang w:eastAsia="zh-CN"/>
        </w:rPr>
        <w:t xml:space="preserve"> à 10 fiches de notification par an et </w:t>
      </w:r>
      <w:r w:rsidRPr="00844AAF">
        <w:rPr>
          <w:lang w:eastAsia="zh-CN"/>
        </w:rPr>
        <w:t xml:space="preserve">aujourd'hui </w:t>
      </w:r>
      <w:r w:rsidR="001124E1" w:rsidRPr="00844AAF">
        <w:rPr>
          <w:lang w:eastAsia="zh-CN"/>
        </w:rPr>
        <w:t xml:space="preserve">ces données ne correspondent pas aux données reçues en application du Règlement des radiocommunications actuellement en vigueur. La période 2007-2008 a été choisie car, </w:t>
      </w:r>
      <w:r w:rsidRPr="00844AAF">
        <w:rPr>
          <w:lang w:eastAsia="zh-CN"/>
        </w:rPr>
        <w:t>pendant cette période s'est tenu</w:t>
      </w:r>
      <w:r w:rsidR="00260326">
        <w:rPr>
          <w:lang w:eastAsia="zh-CN"/>
        </w:rPr>
        <w:t>e</w:t>
      </w:r>
      <w:r w:rsidRPr="00844AAF">
        <w:rPr>
          <w:lang w:eastAsia="zh-CN"/>
        </w:rPr>
        <w:t xml:space="preserve"> une CMR, </w:t>
      </w:r>
      <w:r w:rsidR="001124E1" w:rsidRPr="00844AAF">
        <w:rPr>
          <w:lang w:eastAsia="zh-CN"/>
        </w:rPr>
        <w:t>comme la période 2015-2016. Les données source sont extraites de documents du RRB (Doc</w:t>
      </w:r>
      <w:bookmarkStart w:id="5" w:name="_GoBack"/>
      <w:bookmarkEnd w:id="5"/>
      <w:r w:rsidR="001124E1" w:rsidRPr="00844AAF">
        <w:rPr>
          <w:lang w:eastAsia="zh-CN"/>
        </w:rPr>
        <w:t xml:space="preserve">uments </w:t>
      </w:r>
      <w:hyperlink r:id="rId45" w:history="1">
        <w:r w:rsidR="001124E1" w:rsidRPr="00844AAF">
          <w:rPr>
            <w:rStyle w:val="Hyperlink"/>
            <w:lang w:eastAsia="zh-CN"/>
          </w:rPr>
          <w:t>RRB07-3/2</w:t>
        </w:r>
      </w:hyperlink>
      <w:r w:rsidR="001124E1" w:rsidRPr="00844AAF">
        <w:rPr>
          <w:lang w:eastAsia="zh-CN"/>
        </w:rPr>
        <w:t xml:space="preserve">, </w:t>
      </w:r>
      <w:hyperlink r:id="rId46" w:history="1">
        <w:r w:rsidR="001124E1" w:rsidRPr="00844AAF">
          <w:rPr>
            <w:rStyle w:val="Hyperlink"/>
            <w:lang w:eastAsia="zh-CN"/>
          </w:rPr>
          <w:t>RRB</w:t>
        </w:r>
        <w:r w:rsidR="001124E1" w:rsidRPr="00844AAF">
          <w:rPr>
            <w:rStyle w:val="Hyperlink"/>
            <w:lang w:eastAsia="zh-CN"/>
          </w:rPr>
          <w:t>0</w:t>
        </w:r>
        <w:r w:rsidR="001124E1" w:rsidRPr="00844AAF">
          <w:rPr>
            <w:rStyle w:val="Hyperlink"/>
            <w:lang w:eastAsia="zh-CN"/>
          </w:rPr>
          <w:t>8-1/1</w:t>
        </w:r>
      </w:hyperlink>
      <w:r w:rsidR="001124E1" w:rsidRPr="00844AAF">
        <w:rPr>
          <w:lang w:eastAsia="zh-CN"/>
        </w:rPr>
        <w:t xml:space="preserve"> et</w:t>
      </w:r>
      <w:r w:rsidR="00717D93">
        <w:rPr>
          <w:lang w:eastAsia="zh-CN"/>
        </w:rPr>
        <w:t> </w:t>
      </w:r>
      <w:hyperlink r:id="rId47" w:history="1">
        <w:r w:rsidR="001124E1" w:rsidRPr="00844AAF">
          <w:rPr>
            <w:rStyle w:val="Hyperlink"/>
            <w:lang w:eastAsia="zh-CN"/>
          </w:rPr>
          <w:t>RRB09-1/1</w:t>
        </w:r>
      </w:hyperlink>
      <w:r w:rsidR="001124E1" w:rsidRPr="00844AAF">
        <w:rPr>
          <w:lang w:eastAsia="zh-CN"/>
        </w:rPr>
        <w:t>).</w:t>
      </w:r>
    </w:p>
    <w:p w:rsidR="001124E1" w:rsidRPr="00844AAF" w:rsidRDefault="001124E1" w:rsidP="001124E1">
      <w:pPr>
        <w:rPr>
          <w:lang w:eastAsia="zh-CN"/>
        </w:rPr>
      </w:pPr>
      <w:r w:rsidRPr="00844AAF">
        <w:rPr>
          <w:lang w:eastAsia="zh-CN"/>
        </w:rPr>
        <w:t>Le problème du non-respect des délais a également été soulevé en</w:t>
      </w:r>
      <w:r w:rsidR="00717D93">
        <w:rPr>
          <w:lang w:eastAsia="zh-CN"/>
        </w:rPr>
        <w:t xml:space="preserve"> février cette année par le RRB </w:t>
      </w:r>
      <w:r w:rsidRPr="00844AAF">
        <w:rPr>
          <w:lang w:eastAsia="zh-CN"/>
        </w:rPr>
        <w:t xml:space="preserve">qui </w:t>
      </w:r>
      <w:r w:rsidR="00A90515" w:rsidRPr="00844AAF">
        <w:rPr>
          <w:lang w:eastAsia="zh-CN"/>
        </w:rPr>
        <w:t>a inclus</w:t>
      </w:r>
      <w:r w:rsidRPr="00844AAF">
        <w:rPr>
          <w:lang w:eastAsia="zh-CN"/>
        </w:rPr>
        <w:t xml:space="preserve"> la note suivante dans le résumé des décisions de sa 74</w:t>
      </w:r>
      <w:r w:rsidR="0006496E" w:rsidRPr="00844AAF">
        <w:t>ème</w:t>
      </w:r>
      <w:r w:rsidRPr="00844AAF">
        <w:rPr>
          <w:lang w:eastAsia="zh-CN"/>
        </w:rPr>
        <w:t xml:space="preserve"> réunion (Document</w:t>
      </w:r>
      <w:r w:rsidR="00717D93">
        <w:rPr>
          <w:lang w:eastAsia="zh-CN"/>
        </w:rPr>
        <w:t> </w:t>
      </w:r>
      <w:hyperlink r:id="rId48" w:history="1">
        <w:r w:rsidRPr="00844AAF">
          <w:rPr>
            <w:rStyle w:val="Hyperlink"/>
            <w:lang w:eastAsia="zh-CN"/>
          </w:rPr>
          <w:t>RRB17</w:t>
        </w:r>
        <w:r w:rsidRPr="00844AAF">
          <w:rPr>
            <w:rStyle w:val="Hyperlink"/>
            <w:lang w:eastAsia="zh-CN"/>
          </w:rPr>
          <w:noBreakHyphen/>
          <w:t>1/8</w:t>
        </w:r>
      </w:hyperlink>
      <w:r w:rsidRPr="00844AAF">
        <w:rPr>
          <w:lang w:eastAsia="zh-CN"/>
        </w:rPr>
        <w:t>):</w:t>
      </w:r>
    </w:p>
    <w:p w:rsidR="001124E1" w:rsidRPr="00844AAF" w:rsidRDefault="0006496E" w:rsidP="001124E1">
      <w:pPr>
        <w:rPr>
          <w:lang w:eastAsia="zh-CN"/>
        </w:rPr>
      </w:pPr>
      <w:r w:rsidRPr="00844AAF">
        <w:rPr>
          <w:lang w:eastAsia="zh-CN"/>
        </w:rPr>
        <w:t>«</w:t>
      </w:r>
      <w:r w:rsidR="001124E1" w:rsidRPr="00844AAF">
        <w:rPr>
          <w:color w:val="000000"/>
        </w:rPr>
        <w:t>Le Comité a constaté que la charge du travail du BR avait augmenté en raison de l'accroissement du nombre et de la complexité des fiches de notification de réseaux à satellite reçues au cours des quinze derniers mois</w:t>
      </w:r>
      <w:r w:rsidR="001124E1" w:rsidRPr="00844AAF">
        <w:rPr>
          <w:lang w:eastAsia="zh-CN"/>
        </w:rPr>
        <w:t xml:space="preserve">. </w:t>
      </w:r>
      <w:r w:rsidR="001124E1" w:rsidRPr="00844AAF">
        <w:rPr>
          <w:color w:val="000000"/>
        </w:rPr>
        <w:t xml:space="preserve">Le Comité s'est déclaré préoccupé par le fait que cette situation avait entraîné le non-respect du délai réglementaire de quatre mois prévu pour le traitement des demandes de coordination. Le Comité a demandé au Directeur de tout mettre en </w:t>
      </w:r>
      <w:proofErr w:type="spellStart"/>
      <w:r w:rsidR="00FD17F9">
        <w:rPr>
          <w:color w:val="000000"/>
        </w:rPr>
        <w:t>oe</w:t>
      </w:r>
      <w:r w:rsidR="001124E1" w:rsidRPr="00844AAF">
        <w:rPr>
          <w:color w:val="000000"/>
        </w:rPr>
        <w:t>uvre</w:t>
      </w:r>
      <w:proofErr w:type="spellEnd"/>
      <w:r w:rsidR="001124E1" w:rsidRPr="00844AAF">
        <w:rPr>
          <w:color w:val="000000"/>
        </w:rPr>
        <w:t xml:space="preserve"> pour revenir dès que possible au délai réglementaire.</w:t>
      </w:r>
      <w:r w:rsidR="001124E1" w:rsidRPr="00844AAF">
        <w:rPr>
          <w:lang w:eastAsia="zh-CN"/>
        </w:rPr>
        <w:t xml:space="preserve"> </w:t>
      </w:r>
      <w:r w:rsidR="001124E1" w:rsidRPr="00844AAF">
        <w:rPr>
          <w:color w:val="000000"/>
        </w:rPr>
        <w:t>En outre, le Comité a noté que le règlement de ce problème aurait peut-être des incidences financières qui relèvent de la responsabilité du Conseil</w:t>
      </w:r>
      <w:r w:rsidRPr="00844AAF">
        <w:rPr>
          <w:color w:val="000000"/>
        </w:rPr>
        <w:t>.</w:t>
      </w:r>
      <w:r w:rsidRPr="00844AAF">
        <w:rPr>
          <w:lang w:eastAsia="zh-CN"/>
        </w:rPr>
        <w:t>»</w:t>
      </w:r>
    </w:p>
    <w:p w:rsidR="001124E1" w:rsidRPr="00844AAF" w:rsidRDefault="001124E1" w:rsidP="00A90515">
      <w:pPr>
        <w:rPr>
          <w:lang w:eastAsia="zh-CN"/>
        </w:rPr>
      </w:pPr>
      <w:r w:rsidRPr="00844AAF">
        <w:rPr>
          <w:lang w:eastAsia="zh-CN"/>
        </w:rPr>
        <w:t xml:space="preserve">Tout en appuyant la déclaration du RRB, il convient de noter que même </w:t>
      </w:r>
      <w:r w:rsidR="00A90515" w:rsidRPr="00844AAF">
        <w:rPr>
          <w:lang w:eastAsia="zh-CN"/>
        </w:rPr>
        <w:t xml:space="preserve">si aucun délai réglementaire </w:t>
      </w:r>
      <w:r w:rsidR="00717D93">
        <w:rPr>
          <w:lang w:eastAsia="zh-CN"/>
        </w:rPr>
        <w:t xml:space="preserve">n'est </w:t>
      </w:r>
      <w:r w:rsidR="00A90515" w:rsidRPr="00844AAF">
        <w:rPr>
          <w:lang w:eastAsia="zh-CN"/>
        </w:rPr>
        <w:t>fixé pour le traitement</w:t>
      </w:r>
      <w:r w:rsidRPr="00844AAF">
        <w:rPr>
          <w:lang w:eastAsia="zh-CN"/>
        </w:rPr>
        <w:t xml:space="preserve"> de</w:t>
      </w:r>
      <w:r w:rsidR="00A90515" w:rsidRPr="00844AAF">
        <w:rPr>
          <w:lang w:eastAsia="zh-CN"/>
        </w:rPr>
        <w:t>s</w:t>
      </w:r>
      <w:r w:rsidRPr="00844AAF">
        <w:rPr>
          <w:lang w:eastAsia="zh-CN"/>
        </w:rPr>
        <w:t xml:space="preserve"> fiches de notification conformément aux dispositions des Appendices 30, 30A et 30B (plans pour les services </w:t>
      </w:r>
      <w:r w:rsidR="00A90515" w:rsidRPr="00844AAF">
        <w:rPr>
          <w:lang w:eastAsia="zh-CN"/>
        </w:rPr>
        <w:t>spatiaux</w:t>
      </w:r>
      <w:r w:rsidRPr="00844AAF">
        <w:rPr>
          <w:lang w:eastAsia="zh-CN"/>
        </w:rPr>
        <w:t>), une nouvelle augmentation du temps de traitement n'incite pas à l'optimisme.</w:t>
      </w:r>
    </w:p>
    <w:p w:rsidR="001124E1" w:rsidRPr="00844AAF" w:rsidRDefault="001124E1" w:rsidP="00A90515">
      <w:r w:rsidRPr="00844AAF">
        <w:rPr>
          <w:lang w:eastAsia="zh-CN"/>
        </w:rPr>
        <w:t xml:space="preserve">Il apparaît que, </w:t>
      </w:r>
      <w:r w:rsidR="00A90515" w:rsidRPr="00844AAF">
        <w:rPr>
          <w:lang w:eastAsia="zh-CN"/>
        </w:rPr>
        <w:t>pour économiser les</w:t>
      </w:r>
      <w:r w:rsidRPr="00844AAF">
        <w:rPr>
          <w:lang w:eastAsia="zh-CN"/>
        </w:rPr>
        <w:t xml:space="preserve"> ressources, aucune réunion de </w:t>
      </w:r>
      <w:r w:rsidR="00A90515" w:rsidRPr="00844AAF">
        <w:rPr>
          <w:lang w:eastAsia="zh-CN"/>
        </w:rPr>
        <w:t>P</w:t>
      </w:r>
      <w:r w:rsidRPr="00844AAF">
        <w:rPr>
          <w:lang w:eastAsia="zh-CN"/>
        </w:rPr>
        <w:t xml:space="preserve">résidents et </w:t>
      </w:r>
      <w:r w:rsidR="00A90515" w:rsidRPr="00844AAF">
        <w:rPr>
          <w:lang w:eastAsia="zh-CN"/>
        </w:rPr>
        <w:t>V</w:t>
      </w:r>
      <w:r w:rsidRPr="00844AAF">
        <w:rPr>
          <w:lang w:eastAsia="zh-CN"/>
        </w:rPr>
        <w:t>ice</w:t>
      </w:r>
      <w:r w:rsidR="00A90515" w:rsidRPr="00844AAF">
        <w:rPr>
          <w:lang w:eastAsia="zh-CN"/>
        </w:rPr>
        <w:noBreakHyphen/>
        <w:t>P</w:t>
      </w:r>
      <w:r w:rsidRPr="00844AAF">
        <w:rPr>
          <w:lang w:eastAsia="zh-CN"/>
        </w:rPr>
        <w:t>résidents des commissions d'études n'a été programmé</w:t>
      </w:r>
      <w:r w:rsidR="00A90515" w:rsidRPr="00844AAF">
        <w:rPr>
          <w:lang w:eastAsia="zh-CN"/>
        </w:rPr>
        <w:t>e</w:t>
      </w:r>
      <w:r w:rsidRPr="00844AAF">
        <w:rPr>
          <w:lang w:eastAsia="zh-CN"/>
        </w:rPr>
        <w:t xml:space="preserve"> pendant de nombreuses années</w:t>
      </w:r>
      <w:r w:rsidR="00A90515" w:rsidRPr="00844AAF">
        <w:rPr>
          <w:lang w:eastAsia="zh-CN"/>
        </w:rPr>
        <w:t>,</w:t>
      </w:r>
      <w:r w:rsidRPr="00844AAF">
        <w:rPr>
          <w:lang w:eastAsia="zh-CN"/>
        </w:rPr>
        <w:t xml:space="preserve"> ce qui est contraire aux exigences énoncées au § A1.6.1.1 de la Résolution UIT</w:t>
      </w:r>
      <w:r w:rsidR="00A90515" w:rsidRPr="00844AAF">
        <w:rPr>
          <w:lang w:eastAsia="zh-CN"/>
        </w:rPr>
        <w:t>-R 1-7</w:t>
      </w:r>
      <w:r w:rsidRPr="00844AAF">
        <w:rPr>
          <w:lang w:eastAsia="zh-CN"/>
        </w:rPr>
        <w:t xml:space="preserve">; par ailleurs la durée des réunions du Groupe consultatif des radiocommunications a été ramenée à </w:t>
      </w:r>
      <w:r w:rsidR="00A90515" w:rsidRPr="00844AAF">
        <w:rPr>
          <w:lang w:eastAsia="zh-CN"/>
        </w:rPr>
        <w:t>3</w:t>
      </w:r>
      <w:r w:rsidRPr="00844AAF">
        <w:rPr>
          <w:lang w:eastAsia="zh-CN"/>
        </w:rPr>
        <w:t xml:space="preserve"> jours alors que</w:t>
      </w:r>
      <w:r w:rsidR="00A90515" w:rsidRPr="00844AAF">
        <w:rPr>
          <w:lang w:eastAsia="zh-CN"/>
        </w:rPr>
        <w:t>,</w:t>
      </w:r>
      <w:r w:rsidRPr="00844AAF">
        <w:rPr>
          <w:lang w:eastAsia="zh-CN"/>
        </w:rPr>
        <w:t xml:space="preserve"> dans le même temps</w:t>
      </w:r>
      <w:r w:rsidR="00A90515" w:rsidRPr="00844AAF">
        <w:rPr>
          <w:lang w:eastAsia="zh-CN"/>
        </w:rPr>
        <w:t>,</w:t>
      </w:r>
      <w:r w:rsidRPr="00844AAF">
        <w:rPr>
          <w:lang w:eastAsia="zh-CN"/>
        </w:rPr>
        <w:t xml:space="preserve"> les réunions de groupes équivalents dans les autres Secteurs ainsi que les réunions physiques des groupes de travail par correspondance et des </w:t>
      </w:r>
      <w:r w:rsidR="00A90515" w:rsidRPr="00844AAF">
        <w:rPr>
          <w:lang w:eastAsia="zh-CN"/>
        </w:rPr>
        <w:t>équipes</w:t>
      </w:r>
      <w:r w:rsidRPr="00844AAF">
        <w:rPr>
          <w:lang w:eastAsia="zh-CN"/>
        </w:rPr>
        <w:t xml:space="preserve"> de direction du GCNT et du GCDT se déroulent sur des périodes beaucoup plus longues </w:t>
      </w:r>
      <w:r w:rsidRPr="00844AAF">
        <w:t>(ces réunions dans certains cas ayant lieu deux fois par an) etc.</w:t>
      </w:r>
    </w:p>
    <w:p w:rsidR="001124E1" w:rsidRPr="00844AAF" w:rsidRDefault="001124E1" w:rsidP="001124E1">
      <w:r w:rsidRPr="00844AAF">
        <w:t>De l'analyse précédente, on peut conclure que le BR ne dispose pas des ressources suffisantes pour remplir ses objectifs.</w:t>
      </w:r>
    </w:p>
    <w:p w:rsidR="001124E1" w:rsidRPr="00844AAF" w:rsidRDefault="001124E1" w:rsidP="001124E1">
      <w:pPr>
        <w:pStyle w:val="FigureNoBR"/>
        <w:rPr>
          <w:lang w:eastAsia="zh-CN"/>
        </w:rPr>
      </w:pPr>
      <w:r w:rsidRPr="00844AAF">
        <w:rPr>
          <w:lang w:eastAsia="zh-CN"/>
        </w:rPr>
        <w:lastRenderedPageBreak/>
        <w:t>Figure 4</w:t>
      </w:r>
    </w:p>
    <w:p w:rsidR="001124E1" w:rsidRPr="00844AAF" w:rsidRDefault="001124E1" w:rsidP="00D15C78">
      <w:pPr>
        <w:pStyle w:val="FiguretitleBR"/>
        <w:keepNext/>
        <w:rPr>
          <w:lang w:eastAsia="zh-CN"/>
        </w:rPr>
      </w:pPr>
      <w:r w:rsidRPr="00844AAF">
        <w:rPr>
          <w:lang w:eastAsia="zh-CN"/>
        </w:rPr>
        <w:t>Données statistiques relatives au traitement des fiches de notification d'assignation de fréquence pour les services spatiaux pendant la période 2015-2016</w:t>
      </w:r>
    </w:p>
    <w:p w:rsidR="001124E1" w:rsidRPr="00844AAF" w:rsidRDefault="001124E1" w:rsidP="005C44D9">
      <w:pPr>
        <w:pStyle w:val="Figurelegend"/>
        <w:jc w:val="right"/>
        <w:rPr>
          <w:b/>
          <w:bCs/>
          <w:lang w:eastAsia="zh-CN"/>
        </w:rPr>
      </w:pPr>
      <w:r w:rsidRPr="00844AAF">
        <w:rPr>
          <w:b/>
          <w:bCs/>
          <w:lang w:eastAsia="zh-CN"/>
        </w:rPr>
        <w:t>Mo</w:t>
      </w:r>
      <w:r w:rsidR="005C44D9" w:rsidRPr="00844AAF">
        <w:rPr>
          <w:b/>
          <w:bCs/>
          <w:lang w:eastAsia="zh-CN"/>
        </w:rPr>
        <w:t>i</w:t>
      </w:r>
      <w:r w:rsidRPr="00844AAF">
        <w:rPr>
          <w:b/>
          <w:bCs/>
          <w:lang w:eastAsia="zh-CN"/>
        </w:rPr>
        <w:t>s</w:t>
      </w:r>
    </w:p>
    <w:p w:rsidR="001124E1" w:rsidRPr="00844AAF" w:rsidRDefault="001124E1" w:rsidP="001124E1">
      <w:pPr>
        <w:jc w:val="center"/>
        <w:rPr>
          <w:lang w:eastAsia="zh-CN"/>
        </w:rPr>
      </w:pPr>
      <w:r w:rsidRPr="00844AAF">
        <w:rPr>
          <w:noProof/>
          <w:lang w:val="en-US" w:eastAsia="zh-CN"/>
        </w:rPr>
        <w:drawing>
          <wp:inline distT="0" distB="0" distL="0" distR="0" wp14:anchorId="08C8AD93" wp14:editId="15B783FF">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124E1" w:rsidRPr="00844AAF" w:rsidRDefault="005C44D9" w:rsidP="00717D93">
      <w:pPr>
        <w:pStyle w:val="Figurelegend"/>
        <w:keepNext w:val="0"/>
        <w:spacing w:before="240"/>
        <w:jc w:val="center"/>
        <w:rPr>
          <w:b/>
          <w:lang w:eastAsia="zh-CN"/>
        </w:rPr>
      </w:pPr>
      <w:r w:rsidRPr="00844AAF">
        <w:rPr>
          <w:lang w:eastAsia="zh-CN"/>
        </w:rPr>
        <w:t xml:space="preserve">Délai réglementaire conformément au numéro </w:t>
      </w:r>
      <w:r w:rsidRPr="00844AAF">
        <w:rPr>
          <w:b/>
          <w:bCs/>
          <w:lang w:eastAsia="zh-CN"/>
        </w:rPr>
        <w:t>9.38</w:t>
      </w:r>
      <w:r w:rsidRPr="00844AAF">
        <w:rPr>
          <w:lang w:eastAsia="zh-CN"/>
        </w:rPr>
        <w:t xml:space="preserve"> du RR: quatre mois</w:t>
      </w:r>
    </w:p>
    <w:p w:rsidR="001124E1" w:rsidRPr="00844AAF" w:rsidRDefault="001124E1" w:rsidP="001124E1">
      <w:pPr>
        <w:pStyle w:val="FigureNoBR"/>
        <w:rPr>
          <w:lang w:eastAsia="zh-CN"/>
        </w:rPr>
      </w:pPr>
      <w:r w:rsidRPr="00844AAF">
        <w:rPr>
          <w:lang w:eastAsia="zh-CN"/>
        </w:rPr>
        <w:lastRenderedPageBreak/>
        <w:t>Figure 5</w:t>
      </w:r>
    </w:p>
    <w:p w:rsidR="001124E1" w:rsidRPr="00844AAF" w:rsidRDefault="001124E1" w:rsidP="0049116B">
      <w:pPr>
        <w:pStyle w:val="FiguretitleBR"/>
        <w:keepNext/>
        <w:rPr>
          <w:lang w:eastAsia="zh-CN"/>
        </w:rPr>
      </w:pPr>
      <w:r w:rsidRPr="00844AAF">
        <w:rPr>
          <w:lang w:eastAsia="zh-CN"/>
        </w:rPr>
        <w:t>Données statistiques relatives au traitement des fiches de notification d'assignation de fréquence pour les services spatiaux pendant la période 2007-2008</w:t>
      </w:r>
    </w:p>
    <w:p w:rsidR="001124E1" w:rsidRPr="00844AAF" w:rsidRDefault="001124E1" w:rsidP="0080212D">
      <w:pPr>
        <w:pStyle w:val="Figurelegend"/>
        <w:jc w:val="right"/>
        <w:rPr>
          <w:b/>
          <w:lang w:eastAsia="zh-CN"/>
        </w:rPr>
      </w:pPr>
      <w:r w:rsidRPr="00844AAF">
        <w:rPr>
          <w:b/>
          <w:bCs/>
          <w:lang w:eastAsia="zh-CN"/>
        </w:rPr>
        <w:t>Mo</w:t>
      </w:r>
      <w:r w:rsidR="0080212D" w:rsidRPr="00844AAF">
        <w:rPr>
          <w:b/>
          <w:bCs/>
          <w:lang w:eastAsia="zh-CN"/>
        </w:rPr>
        <w:t>i</w:t>
      </w:r>
      <w:r w:rsidRPr="00844AAF">
        <w:rPr>
          <w:b/>
          <w:bCs/>
          <w:lang w:eastAsia="zh-CN"/>
        </w:rPr>
        <w:t>s</w:t>
      </w:r>
    </w:p>
    <w:p w:rsidR="001124E1" w:rsidRPr="00844AAF" w:rsidRDefault="001124E1" w:rsidP="001124E1">
      <w:pPr>
        <w:jc w:val="center"/>
        <w:rPr>
          <w:lang w:eastAsia="zh-CN"/>
        </w:rPr>
      </w:pPr>
      <w:r w:rsidRPr="00844AAF">
        <w:rPr>
          <w:noProof/>
          <w:lang w:val="en-US" w:eastAsia="zh-CN"/>
        </w:rPr>
        <w:drawing>
          <wp:inline distT="0" distB="0" distL="0" distR="0" wp14:anchorId="3C4F8BD4" wp14:editId="52B414B6">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124E1" w:rsidRPr="00844AAF" w:rsidRDefault="0080212D" w:rsidP="00717D93">
      <w:pPr>
        <w:pStyle w:val="Figurelegend"/>
        <w:keepNext w:val="0"/>
        <w:spacing w:before="240"/>
        <w:jc w:val="center"/>
        <w:rPr>
          <w:lang w:eastAsia="zh-CN"/>
        </w:rPr>
      </w:pPr>
      <w:r w:rsidRPr="00844AAF">
        <w:rPr>
          <w:lang w:eastAsia="zh-CN"/>
        </w:rPr>
        <w:t xml:space="preserve">Délai réglementaire conformément au numéro </w:t>
      </w:r>
      <w:r w:rsidRPr="00844AAF">
        <w:rPr>
          <w:b/>
          <w:bCs/>
          <w:lang w:eastAsia="zh-CN"/>
        </w:rPr>
        <w:t>9.38</w:t>
      </w:r>
      <w:r w:rsidRPr="00844AAF">
        <w:rPr>
          <w:lang w:eastAsia="zh-CN"/>
        </w:rPr>
        <w:t xml:space="preserve"> du Règlement des radiocommunications: quatre mois</w:t>
      </w:r>
    </w:p>
    <w:p w:rsidR="001124E1" w:rsidRPr="00844AAF" w:rsidRDefault="001124E1" w:rsidP="001124E1">
      <w:pPr>
        <w:pStyle w:val="Heading1"/>
        <w:rPr>
          <w:lang w:eastAsia="zh-CN"/>
        </w:rPr>
      </w:pPr>
      <w:r w:rsidRPr="00844AAF">
        <w:rPr>
          <w:lang w:eastAsia="zh-CN"/>
        </w:rPr>
        <w:t>3</w:t>
      </w:r>
      <w:r w:rsidRPr="00844AAF">
        <w:rPr>
          <w:lang w:eastAsia="zh-CN"/>
        </w:rPr>
        <w:tab/>
        <w:t>Conclusions</w:t>
      </w:r>
    </w:p>
    <w:p w:rsidR="001124E1" w:rsidRPr="00844AAF" w:rsidRDefault="00785166" w:rsidP="00785166">
      <w:r w:rsidRPr="00844AAF">
        <w:t>L</w:t>
      </w:r>
      <w:r w:rsidR="001124E1" w:rsidRPr="00844AAF">
        <w:t>'</w:t>
      </w:r>
      <w:r w:rsidRPr="00844AAF">
        <w:t>analyse effectuée</w:t>
      </w:r>
      <w:r w:rsidR="001124E1" w:rsidRPr="00844AAF">
        <w:t xml:space="preserve"> </w:t>
      </w:r>
      <w:r w:rsidRPr="00844AAF">
        <w:t>montre</w:t>
      </w:r>
      <w:r w:rsidR="001124E1" w:rsidRPr="00844AAF">
        <w:t xml:space="preserve"> que les problèmes susmentionnés sont dus, dans une large mesure, à une réduction des ressources financières et des ressources humaines </w:t>
      </w:r>
      <w:r w:rsidRPr="00844AAF">
        <w:t xml:space="preserve">mises </w:t>
      </w:r>
      <w:r w:rsidR="001124E1" w:rsidRPr="00844AAF">
        <w:t xml:space="preserve">à la disposition du Secteur des radiocommunications au cours des dernières années (y compris une réduction </w:t>
      </w:r>
      <w:r w:rsidRPr="00844AAF">
        <w:t xml:space="preserve">très </w:t>
      </w:r>
      <w:r w:rsidR="001124E1" w:rsidRPr="00844AAF">
        <w:t>importante des effectifs du BR), de sorte qu'il faut prendre rapidement des mesures pour que les objectifs de plus en plus complexes du Bureau soient atteints.</w:t>
      </w:r>
    </w:p>
    <w:p w:rsidR="00785166" w:rsidRPr="00844AAF" w:rsidRDefault="00785166" w:rsidP="00717D93"/>
    <w:p w:rsidR="00785166" w:rsidRPr="00844AAF" w:rsidRDefault="00785166">
      <w:pPr>
        <w:jc w:val="center"/>
      </w:pPr>
      <w:r w:rsidRPr="00844AAF">
        <w:t>______________</w:t>
      </w:r>
    </w:p>
    <w:sectPr w:rsidR="00785166" w:rsidRPr="00844AAF">
      <w:headerReference w:type="even" r:id="rId51"/>
      <w:headerReference w:type="default" r:id="rId52"/>
      <w:footerReference w:type="even" r:id="rId53"/>
      <w:footerReference w:type="default" r:id="rId54"/>
      <w:footerReference w:type="first" r:id="rId5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E1" w:rsidRDefault="001124E1">
      <w:r>
        <w:separator/>
      </w:r>
    </w:p>
  </w:endnote>
  <w:endnote w:type="continuationSeparator" w:id="0">
    <w:p w:rsidR="001124E1" w:rsidRDefault="0011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DD2E25">
      <w:rPr>
        <w:lang w:val="en-US"/>
      </w:rPr>
      <w:t>P:\FRA\ITU-R\AG\RAG\RAG17\000\010F.docx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364B4C">
      <w:t>24.04.17</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DD2E25">
      <w:t>24.04.17</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844AAF" w:rsidRDefault="0072071A" w:rsidP="00844AAF">
    <w:pPr>
      <w:pStyle w:val="Footer"/>
    </w:pPr>
    <w:r>
      <w:fldChar w:fldCharType="begin"/>
    </w:r>
    <w:r>
      <w:instrText xml:space="preserve"> FILENAME \p  \* MERGEFORMAT </w:instrText>
    </w:r>
    <w:r>
      <w:fldChar w:fldCharType="separate"/>
    </w:r>
    <w:r w:rsidR="00DD2E25">
      <w:t>P:\FRA\ITU-R\AG\RAG\RAG17\000\010F.docx</w:t>
    </w:r>
    <w:r>
      <w:fldChar w:fldCharType="end"/>
    </w:r>
    <w:r w:rsidR="00844AAF">
      <w:t xml:space="preserve"> (416580)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478AD">
    <w:pPr>
      <w:pStyle w:val="Footer"/>
      <w:rPr>
        <w:lang w:val="en-US"/>
      </w:rPr>
    </w:pPr>
    <w:r>
      <w:fldChar w:fldCharType="begin"/>
    </w:r>
    <w:r w:rsidRPr="00A9055C">
      <w:rPr>
        <w:lang w:val="en-US"/>
      </w:rPr>
      <w:instrText xml:space="preserve"> FILENAME \p \* MERGEFORMAT </w:instrText>
    </w:r>
    <w:r>
      <w:fldChar w:fldCharType="separate"/>
    </w:r>
    <w:r w:rsidR="00DD2E25">
      <w:rPr>
        <w:lang w:val="en-US"/>
      </w:rPr>
      <w:t>P:\FRA\ITU-R\AG\RAG\RAG17\000\010F.docx</w:t>
    </w:r>
    <w:r>
      <w:rPr>
        <w:lang w:val="en-US"/>
      </w:rPr>
      <w:fldChar w:fldCharType="end"/>
    </w:r>
    <w:r w:rsidR="009478AD">
      <w:rPr>
        <w:lang w:val="en-US"/>
      </w:rPr>
      <w:t xml:space="preserve"> (416580)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E1" w:rsidRDefault="001124E1">
      <w:r>
        <w:t>____________________</w:t>
      </w:r>
    </w:p>
  </w:footnote>
  <w:footnote w:type="continuationSeparator" w:id="0">
    <w:p w:rsidR="001124E1" w:rsidRDefault="001124E1">
      <w:r>
        <w:continuationSeparator/>
      </w:r>
    </w:p>
  </w:footnote>
  <w:footnote w:id="1">
    <w:p w:rsidR="001124E1" w:rsidRPr="00FC4208" w:rsidRDefault="001124E1" w:rsidP="001124E1">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CCIR – Comité consultatif international des radiocommunications. En 1992</w:t>
      </w:r>
      <w:r w:rsidR="00FD17F9">
        <w:rPr>
          <w:lang w:val="fr-CH"/>
        </w:rPr>
        <w:t>,</w:t>
      </w:r>
      <w:r w:rsidRPr="00FC4208">
        <w:rPr>
          <w:lang w:val="fr-CH"/>
        </w:rPr>
        <w:t xml:space="preserve"> il a été intégré au Secteur des radiocommunications et son secrétariat est devenu le Bureau des radiocommunications.</w:t>
      </w:r>
    </w:p>
  </w:footnote>
  <w:footnote w:id="2">
    <w:p w:rsidR="001124E1" w:rsidRPr="00FC4208" w:rsidRDefault="001124E1" w:rsidP="001124E1">
      <w:pPr>
        <w:pStyle w:val="FootnoteText"/>
        <w:rPr>
          <w:lang w:val="fr-CH"/>
        </w:rPr>
      </w:pPr>
      <w:r w:rsidRPr="00D12278">
        <w:rPr>
          <w:rStyle w:val="FootnoteReference"/>
          <w:rFonts w:asciiTheme="majorBidi" w:hAnsiTheme="majorBidi" w:cstheme="majorBidi"/>
          <w:sz w:val="20"/>
          <w:lang w:val="en-US"/>
        </w:rPr>
        <w:footnoteRef/>
      </w:r>
      <w:r w:rsidRPr="00FC4208">
        <w:rPr>
          <w:lang w:val="fr-CH"/>
        </w:rPr>
        <w:t xml:space="preserve"> </w:t>
      </w:r>
      <w:r w:rsidRPr="00FC4208">
        <w:rPr>
          <w:lang w:val="fr-CH"/>
        </w:rPr>
        <w:tab/>
        <w:t xml:space="preserve">CCITT – </w:t>
      </w:r>
      <w:r>
        <w:rPr>
          <w:lang w:val="fr-CH"/>
        </w:rPr>
        <w:t xml:space="preserve">Comité consultatif </w:t>
      </w:r>
      <w:r w:rsidR="001D64C3">
        <w:rPr>
          <w:lang w:val="fr-CH"/>
        </w:rPr>
        <w:t xml:space="preserve">international </w:t>
      </w:r>
      <w:r>
        <w:rPr>
          <w:lang w:val="fr-CH"/>
        </w:rPr>
        <w:t>télégraphique et téléphonique. En 1992, il est devenu le Secteur de la normalisation des télécommunications qui comprend le Bureau de la normalisation des télécommunications constitué sur la base du Secrétariat du CCITT</w:t>
      </w:r>
      <w:r w:rsidRPr="00FC4208">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rsidP="00925627">
    <w:pPr>
      <w:pStyle w:val="Header"/>
      <w:rPr>
        <w:lang w:val="es-ES"/>
      </w:rPr>
    </w:pPr>
    <w:r>
      <w:fldChar w:fldCharType="begin"/>
    </w:r>
    <w:r>
      <w:instrText xml:space="preserve"> PAGE </w:instrText>
    </w:r>
    <w:r>
      <w:fldChar w:fldCharType="separate"/>
    </w:r>
    <w:r w:rsidR="0072071A">
      <w:rPr>
        <w:noProof/>
      </w:rPr>
      <w:t>9</w:t>
    </w:r>
    <w:r>
      <w:rPr>
        <w:noProof/>
      </w:rPr>
      <w:fldChar w:fldCharType="end"/>
    </w:r>
  </w:p>
  <w:p w:rsidR="00847AAC" w:rsidRDefault="0097156E" w:rsidP="006A1D18">
    <w:pPr>
      <w:pStyle w:val="Header"/>
      <w:rPr>
        <w:lang w:val="es-ES"/>
      </w:rPr>
    </w:pPr>
    <w:r>
      <w:rPr>
        <w:lang w:val="es-ES"/>
      </w:rPr>
      <w:t>RAG</w:t>
    </w:r>
    <w:r w:rsidR="00925627">
      <w:rPr>
        <w:lang w:val="es-ES"/>
      </w:rPr>
      <w:t>1</w:t>
    </w:r>
    <w:r w:rsidR="00222A1C">
      <w:rPr>
        <w:lang w:val="es-ES"/>
      </w:rPr>
      <w:t>7</w:t>
    </w:r>
    <w:r w:rsidR="00847AAC">
      <w:rPr>
        <w:lang w:val="es-ES"/>
      </w:rPr>
      <w:t>/</w:t>
    </w:r>
    <w:r w:rsidR="006A1D18">
      <w:rPr>
        <w:lang w:val="es-ES"/>
      </w:rPr>
      <w:t>10</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E1"/>
    <w:rsid w:val="0006496E"/>
    <w:rsid w:val="0007345D"/>
    <w:rsid w:val="000A1AF6"/>
    <w:rsid w:val="000A6554"/>
    <w:rsid w:val="000C06D8"/>
    <w:rsid w:val="001111D7"/>
    <w:rsid w:val="001124E1"/>
    <w:rsid w:val="00140AE6"/>
    <w:rsid w:val="001C7BAD"/>
    <w:rsid w:val="001D64C3"/>
    <w:rsid w:val="00222A1C"/>
    <w:rsid w:val="00223280"/>
    <w:rsid w:val="00260326"/>
    <w:rsid w:val="002D238A"/>
    <w:rsid w:val="00364B4C"/>
    <w:rsid w:val="003A6CEE"/>
    <w:rsid w:val="00405FBE"/>
    <w:rsid w:val="00443261"/>
    <w:rsid w:val="00443815"/>
    <w:rsid w:val="00473C96"/>
    <w:rsid w:val="00480626"/>
    <w:rsid w:val="0049116B"/>
    <w:rsid w:val="004E1CCF"/>
    <w:rsid w:val="005207F5"/>
    <w:rsid w:val="00533F65"/>
    <w:rsid w:val="005430E4"/>
    <w:rsid w:val="005968E8"/>
    <w:rsid w:val="005B084B"/>
    <w:rsid w:val="005C44D9"/>
    <w:rsid w:val="0067019B"/>
    <w:rsid w:val="00677EE5"/>
    <w:rsid w:val="00694DEF"/>
    <w:rsid w:val="006A1D18"/>
    <w:rsid w:val="00717D93"/>
    <w:rsid w:val="0072071A"/>
    <w:rsid w:val="00773E5E"/>
    <w:rsid w:val="00785166"/>
    <w:rsid w:val="0080212D"/>
    <w:rsid w:val="00844AAF"/>
    <w:rsid w:val="00847AAC"/>
    <w:rsid w:val="00925627"/>
    <w:rsid w:val="0093101F"/>
    <w:rsid w:val="009478AD"/>
    <w:rsid w:val="0097156E"/>
    <w:rsid w:val="00976EC8"/>
    <w:rsid w:val="009C19A1"/>
    <w:rsid w:val="00A24A63"/>
    <w:rsid w:val="00A90515"/>
    <w:rsid w:val="00A9055C"/>
    <w:rsid w:val="00AB7F92"/>
    <w:rsid w:val="00AC39EE"/>
    <w:rsid w:val="00B41D84"/>
    <w:rsid w:val="00BA0C7B"/>
    <w:rsid w:val="00BC4591"/>
    <w:rsid w:val="00BE07FE"/>
    <w:rsid w:val="00C174FE"/>
    <w:rsid w:val="00C63FEF"/>
    <w:rsid w:val="00C72A86"/>
    <w:rsid w:val="00CB2A50"/>
    <w:rsid w:val="00CC5B9E"/>
    <w:rsid w:val="00CC7208"/>
    <w:rsid w:val="00CE5E82"/>
    <w:rsid w:val="00CE6184"/>
    <w:rsid w:val="00CF1B97"/>
    <w:rsid w:val="00CF6F16"/>
    <w:rsid w:val="00D15C78"/>
    <w:rsid w:val="00D228F7"/>
    <w:rsid w:val="00D34E1C"/>
    <w:rsid w:val="00D437C3"/>
    <w:rsid w:val="00D82D07"/>
    <w:rsid w:val="00D95965"/>
    <w:rsid w:val="00DD2E25"/>
    <w:rsid w:val="00DD55EB"/>
    <w:rsid w:val="00DE3AD3"/>
    <w:rsid w:val="00E2659D"/>
    <w:rsid w:val="00EB2006"/>
    <w:rsid w:val="00EC0F12"/>
    <w:rsid w:val="00ED59FA"/>
    <w:rsid w:val="00EF4ECD"/>
    <w:rsid w:val="00F41EDC"/>
    <w:rsid w:val="00F775D5"/>
    <w:rsid w:val="00F9387C"/>
    <w:rsid w:val="00FD17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4C8B99-7596-40BD-851D-73907299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rsid w:val="001124E1"/>
    <w:rPr>
      <w:rFonts w:ascii="Times New Roman" w:hAnsi="Times New Roman"/>
      <w:sz w:val="24"/>
      <w:lang w:val="fr-FR" w:eastAsia="en-US"/>
    </w:rPr>
  </w:style>
  <w:style w:type="table" w:styleId="TableGrid">
    <w:name w:val="Table Grid"/>
    <w:basedOn w:val="TableNormal"/>
    <w:rsid w:val="00112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124E1"/>
    <w:rPr>
      <w:color w:val="0000FF" w:themeColor="hyperlink"/>
      <w:u w:val="single"/>
    </w:rPr>
  </w:style>
  <w:style w:type="paragraph" w:customStyle="1" w:styleId="Reasons">
    <w:name w:val="Reasons"/>
    <w:basedOn w:val="Normal"/>
    <w:qFormat/>
    <w:rsid w:val="001124E1"/>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844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15-CL-C-0010" TargetMode="External"/><Relationship Id="rId18" Type="http://schemas.openxmlformats.org/officeDocument/2006/relationships/hyperlink" Target="https://www.itu.int/md/meetingdoc.asp?lang=en&amp;parent=S08-CL-C-0007" TargetMode="External"/><Relationship Id="rId26" Type="http://schemas.openxmlformats.org/officeDocument/2006/relationships/hyperlink" Target="https://www.itu.int/md/meetingdoc.asp?lang=en&amp;parent=S09-CL-C-0010" TargetMode="External"/><Relationship Id="rId39" Type="http://schemas.openxmlformats.org/officeDocument/2006/relationships/hyperlink" Target="https://www.itu.int/md/meetingdoc.asp?lang=en&amp;parent=S15-CL-C-0105" TargetMode="External"/><Relationship Id="rId21" Type="http://schemas.openxmlformats.org/officeDocument/2006/relationships/chart" Target="charts/chart2.xml"/><Relationship Id="rId34" Type="http://schemas.openxmlformats.org/officeDocument/2006/relationships/hyperlink" Target="https://www.itu.int/md/meetingdoc.asp?lang=en&amp;parent=S17-CL-C-0010" TargetMode="External"/><Relationship Id="rId42" Type="http://schemas.openxmlformats.org/officeDocument/2006/relationships/hyperlink" Target="https://www.itu.int/md/meetingdoc.asp?lang=en&amp;parent=R16-RRB16.1-C-0005" TargetMode="External"/><Relationship Id="rId47" Type="http://schemas.openxmlformats.org/officeDocument/2006/relationships/hyperlink" Target="https://www.itu.int/md/meetingdoc.asp?lang=en&amp;parent=R09-RRB.09-C-0001" TargetMode="External"/><Relationship Id="rId50" Type="http://schemas.openxmlformats.org/officeDocument/2006/relationships/chart" Target="charts/chart5.xml"/><Relationship Id="rId55" Type="http://schemas.openxmlformats.org/officeDocument/2006/relationships/footer" Target="footer3.xml"/><Relationship Id="rId7" Type="http://schemas.openxmlformats.org/officeDocument/2006/relationships/hyperlink" Target="https://www.itu.int/md/meetingdoc.asp?lang=en&amp;parent=S17-CL-C-0010" TargetMode="External"/><Relationship Id="rId12" Type="http://schemas.openxmlformats.org/officeDocument/2006/relationships/hyperlink" Target="https://www.itu.int/md/meetingdoc.asp?lang=en&amp;parent=S02-CL-C-0013" TargetMode="External"/><Relationship Id="rId17" Type="http://schemas.openxmlformats.org/officeDocument/2006/relationships/hyperlink" Target="https://www.itu.int/md/meetingdoc.asp?lang=en&amp;parent=S17-CL-C-0010" TargetMode="External"/><Relationship Id="rId25" Type="http://schemas.openxmlformats.org/officeDocument/2006/relationships/hyperlink" Target="https://www.itu.int/md/meetingdoc.asp?lang=en&amp;parent=S07-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chart" Target="charts/chart3.xml"/><Relationship Id="rId46" Type="http://schemas.openxmlformats.org/officeDocument/2006/relationships/hyperlink" Target="https://www.itu.int/md/R08-RRB.08.01-C-0001/en" TargetMode="External"/><Relationship Id="rId2" Type="http://schemas.openxmlformats.org/officeDocument/2006/relationships/settings" Target="settings.xml"/><Relationship Id="rId16" Type="http://schemas.openxmlformats.org/officeDocument/2006/relationships/hyperlink" Target="https://www.itu.int/md/meetingdoc.asp?lang=en&amp;parent=S06-CL-C-0026" TargetMode="External"/><Relationship Id="rId20" Type="http://schemas.openxmlformats.org/officeDocument/2006/relationships/chart" Target="charts/chart1.xml"/><Relationship Id="rId29" Type="http://schemas.openxmlformats.org/officeDocument/2006/relationships/hyperlink" Target="https://www.itu.int/md/meetingdoc.asp?lang=en&amp;parent=S17-CL-C-0010" TargetMode="External"/><Relationship Id="rId41" Type="http://schemas.openxmlformats.org/officeDocument/2006/relationships/hyperlink" Target="https://www.itu.int/md/meetingdoc.asp?lang=en&amp;parent=R15-RRB15.3-C-0004"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meetingdoc.asp?lang=en&amp;parent=S13-CL-C-0010" TargetMode="External"/><Relationship Id="rId24" Type="http://schemas.openxmlformats.org/officeDocument/2006/relationships/hyperlink" Target="https://www.itu.int/md/meetingdoc.asp?lang=en&amp;parent=S07-CL-C-0010" TargetMode="External"/><Relationship Id="rId32" Type="http://schemas.openxmlformats.org/officeDocument/2006/relationships/hyperlink" Target="https://www.itu.int/md/meetingdoc.asp?lang=en&amp;parent=S17-CL-C-0010" TargetMode="External"/><Relationship Id="rId37" Type="http://schemas.openxmlformats.org/officeDocument/2006/relationships/hyperlink" Target="https://www.itu.int/md/meetingdoc.asp?lang=en&amp;parent=S17-CL-C-0010" TargetMode="External"/><Relationship Id="rId40" Type="http://schemas.openxmlformats.org/officeDocument/2006/relationships/hyperlink" Target="https://www.itu.int/dms_pub/itu-s/md/17/clcwgfhrm7/inf/S17-CLCWGFHRM7-INF-0003!!PDF-E.pdf" TargetMode="External"/><Relationship Id="rId45" Type="http://schemas.openxmlformats.org/officeDocument/2006/relationships/hyperlink" Target="https://www.itu.int/md/meetingdoc.asp?lang=en&amp;parent=R07-RRB.07.3-C-0002"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tu.int/md/meetingdoc.asp?lang=en&amp;parent=S17-CL-C-0010" TargetMode="External"/><Relationship Id="rId23" Type="http://schemas.openxmlformats.org/officeDocument/2006/relationships/hyperlink" Target="https://www.itu.int/md/meetingdoc.asp?lang=en&amp;parent=S05-CL-C-0010" TargetMode="External"/><Relationship Id="rId28" Type="http://schemas.openxmlformats.org/officeDocument/2006/relationships/hyperlink" Target="https://www.itu.int/md/meetingdoc.asp?lang=en&amp;parent=S17-CL-C-0010" TargetMode="External"/><Relationship Id="rId36" Type="http://schemas.openxmlformats.org/officeDocument/2006/relationships/hyperlink" Target="https://www.itu.int/md/meetingdoc.asp?lang=en&amp;parent=S17-CL-C-0010" TargetMode="External"/><Relationship Id="rId49" Type="http://schemas.openxmlformats.org/officeDocument/2006/relationships/chart" Target="charts/chart4.xml"/><Relationship Id="rId57" Type="http://schemas.openxmlformats.org/officeDocument/2006/relationships/theme" Target="theme/theme1.xml"/><Relationship Id="rId10" Type="http://schemas.openxmlformats.org/officeDocument/2006/relationships/hyperlink" Target="https://www.itu.int/itudoc/gs/council/c00/docs/11.html"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ITU-R/go/space-statistics/en"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md/meetingdoc.asp?lang=en&amp;parent=S10-CL-C-0031" TargetMode="External"/><Relationship Id="rId14" Type="http://schemas.openxmlformats.org/officeDocument/2006/relationships/hyperlink" Target="https://www.itu.int/md/meetingdoc.asp?lang=en&amp;parent=S04-CL-C-0022" TargetMode="External"/><Relationship Id="rId22" Type="http://schemas.openxmlformats.org/officeDocument/2006/relationships/hyperlink" Target="https://www.itu.int/md/meetingdoc.asp?lang=en&amp;parent=S05-CL-C-0010" TargetMode="External"/><Relationship Id="rId27" Type="http://schemas.openxmlformats.org/officeDocument/2006/relationships/hyperlink" Target="https://www.itu.int/md/meetingdoc.asp?lang=en&amp;parent=S09-CL-C-0010" TargetMode="External"/><Relationship Id="rId30" Type="http://schemas.openxmlformats.org/officeDocument/2006/relationships/hyperlink" Target="https://www.itu.int/md/meetingdoc.asp?lang=en&amp;parent=S17-CL-C-0010" TargetMode="External"/><Relationship Id="rId35" Type="http://schemas.openxmlformats.org/officeDocument/2006/relationships/hyperlink" Target="https://www.itu.int/md/meetingdoc.asp?lang=en&amp;parent=S17-CL-C-0010" TargetMode="External"/><Relationship Id="rId43" Type="http://schemas.openxmlformats.org/officeDocument/2006/relationships/hyperlink" Target="https://www.itu.int/md/meetingdoc.asp?lang=en&amp;parent=R17-RRB17.1-C-0003" TargetMode="External"/><Relationship Id="rId48" Type="http://schemas.openxmlformats.org/officeDocument/2006/relationships/hyperlink" Target="https://www.itu.int/md/meetingdoc.asp?lang=en&amp;parent=R17-RRB17.1-C-0008" TargetMode="External"/><Relationship Id="rId56" Type="http://schemas.openxmlformats.org/officeDocument/2006/relationships/fontTable" Target="fontTable.xml"/><Relationship Id="rId8" Type="http://schemas.openxmlformats.org/officeDocument/2006/relationships/hyperlink" Target="https://www.itu.int/itudoc/gs/council/c00/docs/11.html" TargetMode="External"/><Relationship Id="rId51" Type="http://schemas.openxmlformats.org/officeDocument/2006/relationships/header" Target="header1.xml"/><Relationship Id="rId3"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192836432"/>
        <c:axId val="192835256"/>
      </c:barChart>
      <c:catAx>
        <c:axId val="192836432"/>
        <c:scaling>
          <c:orientation val="minMax"/>
        </c:scaling>
        <c:delete val="0"/>
        <c:axPos val="b"/>
        <c:numFmt formatCode="General" sourceLinked="0"/>
        <c:majorTickMark val="out"/>
        <c:minorTickMark val="none"/>
        <c:tickLblPos val="nextTo"/>
        <c:crossAx val="192835256"/>
        <c:crosses val="autoZero"/>
        <c:auto val="1"/>
        <c:lblAlgn val="ctr"/>
        <c:lblOffset val="100"/>
        <c:noMultiLvlLbl val="0"/>
      </c:catAx>
      <c:valAx>
        <c:axId val="192835256"/>
        <c:scaling>
          <c:orientation val="minMax"/>
          <c:min val="50000"/>
        </c:scaling>
        <c:delete val="0"/>
        <c:axPos val="l"/>
        <c:majorGridlines/>
        <c:numFmt formatCode="General" sourceLinked="1"/>
        <c:majorTickMark val="out"/>
        <c:minorTickMark val="none"/>
        <c:tickLblPos val="nextTo"/>
        <c:crossAx val="1928364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192833296"/>
        <c:axId val="192832904"/>
      </c:lineChart>
      <c:dateAx>
        <c:axId val="192833296"/>
        <c:scaling>
          <c:orientation val="minMax"/>
        </c:scaling>
        <c:delete val="0"/>
        <c:axPos val="b"/>
        <c:numFmt formatCode="General" sourceLinked="1"/>
        <c:majorTickMark val="out"/>
        <c:minorTickMark val="none"/>
        <c:tickLblPos val="nextTo"/>
        <c:crossAx val="192832904"/>
        <c:crosses val="autoZero"/>
        <c:auto val="0"/>
        <c:lblOffset val="100"/>
        <c:baseTimeUnit val="days"/>
      </c:dateAx>
      <c:valAx>
        <c:axId val="192832904"/>
        <c:scaling>
          <c:orientation val="minMax"/>
          <c:max val="29000"/>
          <c:min val="10000"/>
        </c:scaling>
        <c:delete val="0"/>
        <c:axPos val="l"/>
        <c:majorGridlines/>
        <c:numFmt formatCode="General" sourceLinked="1"/>
        <c:majorTickMark val="out"/>
        <c:minorTickMark val="none"/>
        <c:tickLblPos val="nextTo"/>
        <c:crossAx val="192833296"/>
        <c:crosses val="autoZero"/>
        <c:crossBetween val="midCat"/>
        <c:majorUnit val="2000"/>
      </c:valAx>
    </c:plotArea>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287924616"/>
        <c:axId val="287923440"/>
      </c:lineChart>
      <c:catAx>
        <c:axId val="287924616"/>
        <c:scaling>
          <c:orientation val="minMax"/>
        </c:scaling>
        <c:delete val="0"/>
        <c:axPos val="b"/>
        <c:numFmt formatCode="General" sourceLinked="1"/>
        <c:majorTickMark val="out"/>
        <c:minorTickMark val="none"/>
        <c:tickLblPos val="nextTo"/>
        <c:crossAx val="287923440"/>
        <c:crosses val="autoZero"/>
        <c:auto val="1"/>
        <c:lblAlgn val="ctr"/>
        <c:lblOffset val="100"/>
        <c:noMultiLvlLbl val="0"/>
      </c:catAx>
      <c:valAx>
        <c:axId val="287923440"/>
        <c:scaling>
          <c:orientation val="minMax"/>
          <c:max val="190"/>
          <c:min val="40"/>
        </c:scaling>
        <c:delete val="0"/>
        <c:axPos val="l"/>
        <c:majorGridlines/>
        <c:numFmt formatCode="General" sourceLinked="1"/>
        <c:majorTickMark val="out"/>
        <c:minorTickMark val="none"/>
        <c:tickLblPos val="nextTo"/>
        <c:crossAx val="287924616"/>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287923832"/>
        <c:axId val="287925400"/>
      </c:lineChart>
      <c:catAx>
        <c:axId val="287923832"/>
        <c:scaling>
          <c:orientation val="minMax"/>
        </c:scaling>
        <c:delete val="0"/>
        <c:axPos val="b"/>
        <c:numFmt formatCode="General" sourceLinked="0"/>
        <c:majorTickMark val="out"/>
        <c:minorTickMark val="none"/>
        <c:tickLblPos val="nextTo"/>
        <c:crossAx val="287925400"/>
        <c:crosses val="autoZero"/>
        <c:auto val="1"/>
        <c:lblAlgn val="ctr"/>
        <c:lblOffset val="100"/>
        <c:noMultiLvlLbl val="0"/>
      </c:catAx>
      <c:valAx>
        <c:axId val="287925400"/>
        <c:scaling>
          <c:orientation val="minMax"/>
          <c:max val="10"/>
          <c:min val="2"/>
        </c:scaling>
        <c:delete val="0"/>
        <c:axPos val="l"/>
        <c:majorGridlines/>
        <c:numFmt formatCode="General" sourceLinked="1"/>
        <c:majorTickMark val="out"/>
        <c:minorTickMark val="none"/>
        <c:tickLblPos val="nextTo"/>
        <c:crossAx val="287923832"/>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195834608"/>
        <c:axId val="195836960"/>
      </c:lineChart>
      <c:catAx>
        <c:axId val="195834608"/>
        <c:scaling>
          <c:orientation val="minMax"/>
        </c:scaling>
        <c:delete val="0"/>
        <c:axPos val="b"/>
        <c:numFmt formatCode="General" sourceLinked="0"/>
        <c:majorTickMark val="out"/>
        <c:minorTickMark val="none"/>
        <c:tickLblPos val="nextTo"/>
        <c:crossAx val="195836960"/>
        <c:crosses val="autoZero"/>
        <c:auto val="1"/>
        <c:lblAlgn val="ctr"/>
        <c:lblOffset val="100"/>
        <c:noMultiLvlLbl val="0"/>
      </c:catAx>
      <c:valAx>
        <c:axId val="195836960"/>
        <c:scaling>
          <c:orientation val="minMax"/>
          <c:max val="10"/>
          <c:min val="2"/>
        </c:scaling>
        <c:delete val="0"/>
        <c:axPos val="l"/>
        <c:majorGridlines/>
        <c:numFmt formatCode="General" sourceLinked="1"/>
        <c:majorTickMark val="out"/>
        <c:minorTickMark val="none"/>
        <c:tickLblPos val="nextTo"/>
        <c:crossAx val="195834608"/>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PF_RAG17.dotm</Template>
  <TotalTime>260</TotalTime>
  <Pages>10</Pages>
  <Words>2671</Words>
  <Characters>17917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PROPOSITIONS RELATIVES AU PROJET DE BUDGET DU SECTEUR DES RADIOCOMMUNICATIONS POUR LA PÉRIODE 2018-2019, SUR LA BASE D'UNE ANALYSE DES RESSOURCES FINANCIÈRES ET DES RESSOURCES HUMAINES DE L'UIT-R PENDANT LA PÉRIODE 1996-2017</vt:lpstr>
    </vt:vector>
  </TitlesOfParts>
  <Manager>General Secretariat - Pool</Manager>
  <Company>International Telecommunication Union (ITU)</Company>
  <LinksUpToDate>false</LinksUpToDate>
  <CharactersWithSpaces>20547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RELATIVES AU PROJET DE BUDGET DU SECTEUR DES RADIOCOMMUNICATIONS POUR LA PÉRIODE 2018-2019, SUR LA BASE D'UNE ANALYSE DES RESSOURCES FINANCIÈRES ET DES RESSOURCES HUMAINES DE L'UIT-R PENDANT LA PÉRIODE 1996-2017</dc:title>
  <dc:subject>GROUPE CONSULTATIF DES RADIOCOMMUNICATIONS</dc:subject>
  <dc:creator>Fédération de Russie</dc:creator>
  <cp:keywords>RAG03-1</cp:keywords>
  <dc:description>Document RAG17/10-F  For: _x000d_Document date: 11 avril 2017_x000d_Saved by ITU51007810 at 15:50:28 on 24/04/2017</dc:description>
  <cp:lastModifiedBy>Royer, Veronique</cp:lastModifiedBy>
  <cp:revision>45</cp:revision>
  <cp:lastPrinted>2017-04-24T12:46:00Z</cp:lastPrinted>
  <dcterms:created xsi:type="dcterms:W3CDTF">2017-04-24T10:04:00Z</dcterms:created>
  <dcterms:modified xsi:type="dcterms:W3CDTF">2017-04-25T06:19:00Z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RAG17/10-F</vt:lpwstr>
  </property>
  <property fmtid="{D5CDD505-2E9C-101B-9397-08002B2CF9AE}" pid="3" name="Docdate">
    <vt:lpwstr>11 avril 2017</vt:lpwstr>
  </property>
  <property fmtid="{D5CDD505-2E9C-101B-9397-08002B2CF9AE}" pid="4" name="Docorlang">
    <vt:lpwstr>Original: russe</vt:lpwstr>
  </property>
  <property fmtid="{D5CDD505-2E9C-101B-9397-08002B2CF9AE}" pid="5" name="Docauthor">
    <vt:lpwstr>Fédération de Russie</vt:lpwstr>
  </property>
</Properties>
</file>