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CC19D2" w:rsidTr="00A9247B">
        <w:trPr>
          <w:cantSplit/>
        </w:trPr>
        <w:tc>
          <w:tcPr>
            <w:tcW w:w="6772" w:type="dxa"/>
            <w:vAlign w:val="center"/>
          </w:tcPr>
          <w:p w:rsidR="0057336B" w:rsidRPr="00CC19D2" w:rsidRDefault="0057336B" w:rsidP="00A9247B">
            <w:pPr>
              <w:shd w:val="solid" w:color="FFFFFF" w:fill="FFFFFF"/>
              <w:tabs>
                <w:tab w:val="left" w:pos="568"/>
              </w:tabs>
              <w:spacing w:before="360" w:after="240"/>
              <w:rPr>
                <w:b/>
                <w:caps/>
                <w:sz w:val="32"/>
              </w:rPr>
            </w:pPr>
            <w:r w:rsidRPr="00CC19D2">
              <w:rPr>
                <w:rFonts w:ascii="Verdana" w:hAnsi="Verdana" w:cs="Times New Roman Bold"/>
                <w:b/>
                <w:sz w:val="26"/>
                <w:szCs w:val="26"/>
              </w:rPr>
              <w:t>Grupo Asesor de Radiocomunicaciones</w:t>
            </w:r>
            <w:r w:rsidRPr="00CC19D2">
              <w:rPr>
                <w:b/>
                <w:caps/>
                <w:sz w:val="32"/>
              </w:rPr>
              <w:br/>
            </w:r>
            <w:r w:rsidRPr="00CC19D2">
              <w:rPr>
                <w:rFonts w:ascii="Verdana" w:hAnsi="Verdana" w:cs="Times New Roman Bold"/>
                <w:b/>
                <w:bCs/>
                <w:sz w:val="20"/>
              </w:rPr>
              <w:t>Ginebra, 26-28 de abril de 2017</w:t>
            </w:r>
          </w:p>
        </w:tc>
        <w:tc>
          <w:tcPr>
            <w:tcW w:w="3117" w:type="dxa"/>
            <w:vAlign w:val="center"/>
          </w:tcPr>
          <w:p w:rsidR="0057336B" w:rsidRPr="00CC19D2" w:rsidRDefault="0057336B" w:rsidP="00A9247B">
            <w:pPr>
              <w:shd w:val="solid" w:color="FFFFFF" w:fill="FFFFFF"/>
              <w:spacing w:before="0"/>
              <w:jc w:val="right"/>
            </w:pPr>
            <w:r w:rsidRPr="00CC19D2">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CC19D2" w:rsidTr="00A9247B">
        <w:trPr>
          <w:cantSplit/>
        </w:trPr>
        <w:tc>
          <w:tcPr>
            <w:tcW w:w="6772" w:type="dxa"/>
            <w:tcBorders>
              <w:bottom w:val="single" w:sz="12" w:space="0" w:color="auto"/>
            </w:tcBorders>
          </w:tcPr>
          <w:p w:rsidR="006E291F" w:rsidRPr="00CC19D2" w:rsidRDefault="006E291F" w:rsidP="00D24B9F">
            <w:pPr>
              <w:shd w:val="solid" w:color="FFFFFF" w:fill="FFFFFF"/>
              <w:spacing w:before="0"/>
              <w:rPr>
                <w:rFonts w:ascii="Verdana" w:hAnsi="Verdana" w:cs="Times New Roman Bold"/>
                <w:b/>
                <w:sz w:val="22"/>
                <w:szCs w:val="22"/>
              </w:rPr>
            </w:pPr>
          </w:p>
        </w:tc>
        <w:tc>
          <w:tcPr>
            <w:tcW w:w="3117" w:type="dxa"/>
            <w:tcBorders>
              <w:bottom w:val="single" w:sz="12" w:space="0" w:color="auto"/>
            </w:tcBorders>
          </w:tcPr>
          <w:p w:rsidR="006E291F" w:rsidRPr="00CC19D2" w:rsidRDefault="006E291F" w:rsidP="00910DF8">
            <w:pPr>
              <w:shd w:val="solid" w:color="FFFFFF" w:fill="FFFFFF"/>
              <w:spacing w:before="0"/>
              <w:rPr>
                <w:sz w:val="22"/>
                <w:szCs w:val="22"/>
              </w:rPr>
            </w:pPr>
          </w:p>
        </w:tc>
      </w:tr>
      <w:tr w:rsidR="006E291F" w:rsidRPr="00CC19D2" w:rsidTr="00A9247B">
        <w:trPr>
          <w:cantSplit/>
        </w:trPr>
        <w:tc>
          <w:tcPr>
            <w:tcW w:w="6772" w:type="dxa"/>
            <w:tcBorders>
              <w:top w:val="single" w:sz="12" w:space="0" w:color="auto"/>
            </w:tcBorders>
          </w:tcPr>
          <w:p w:rsidR="006E291F" w:rsidRPr="00CC19D2" w:rsidRDefault="006E291F" w:rsidP="00D24B9F">
            <w:pPr>
              <w:shd w:val="solid" w:color="FFFFFF" w:fill="FFFFFF"/>
              <w:spacing w:before="0"/>
              <w:rPr>
                <w:rFonts w:ascii="Verdana" w:hAnsi="Verdana" w:cs="Times New Roman Bold"/>
                <w:bCs/>
                <w:sz w:val="22"/>
                <w:szCs w:val="22"/>
              </w:rPr>
            </w:pPr>
          </w:p>
        </w:tc>
        <w:tc>
          <w:tcPr>
            <w:tcW w:w="3117" w:type="dxa"/>
            <w:tcBorders>
              <w:top w:val="single" w:sz="12" w:space="0" w:color="auto"/>
            </w:tcBorders>
          </w:tcPr>
          <w:p w:rsidR="006E291F" w:rsidRPr="00CC19D2" w:rsidRDefault="006E291F" w:rsidP="00910DF8">
            <w:pPr>
              <w:shd w:val="solid" w:color="FFFFFF" w:fill="FFFFFF"/>
              <w:spacing w:before="0"/>
              <w:rPr>
                <w:rFonts w:ascii="Verdana" w:hAnsi="Verdana"/>
                <w:sz w:val="22"/>
                <w:szCs w:val="22"/>
              </w:rPr>
            </w:pPr>
          </w:p>
        </w:tc>
      </w:tr>
      <w:tr w:rsidR="006E291F" w:rsidRPr="00CC19D2" w:rsidTr="00A9247B">
        <w:trPr>
          <w:cantSplit/>
        </w:trPr>
        <w:tc>
          <w:tcPr>
            <w:tcW w:w="6772" w:type="dxa"/>
            <w:vMerge w:val="restart"/>
          </w:tcPr>
          <w:p w:rsidR="006E291F" w:rsidRPr="00CC19D2" w:rsidRDefault="006E291F" w:rsidP="00A9247B">
            <w:pPr>
              <w:shd w:val="solid" w:color="FFFFFF" w:fill="FFFFFF"/>
              <w:spacing w:after="240"/>
              <w:rPr>
                <w:sz w:val="20"/>
              </w:rPr>
            </w:pPr>
            <w:bookmarkStart w:id="0" w:name="dnum" w:colFirst="1" w:colLast="1"/>
          </w:p>
        </w:tc>
        <w:tc>
          <w:tcPr>
            <w:tcW w:w="3117" w:type="dxa"/>
          </w:tcPr>
          <w:p w:rsidR="006E291F" w:rsidRPr="00CC19D2" w:rsidRDefault="004A7124" w:rsidP="00D90214">
            <w:pPr>
              <w:shd w:val="solid" w:color="FFFFFF" w:fill="FFFFFF"/>
              <w:spacing w:before="0"/>
              <w:rPr>
                <w:rFonts w:ascii="Verdana" w:hAnsi="Verdana"/>
                <w:sz w:val="20"/>
              </w:rPr>
            </w:pPr>
            <w:r w:rsidRPr="00CC19D2">
              <w:rPr>
                <w:rFonts w:ascii="Verdana" w:hAnsi="Verdana"/>
                <w:b/>
                <w:sz w:val="20"/>
              </w:rPr>
              <w:t>Documento RAG17/</w:t>
            </w:r>
            <w:r w:rsidR="00D90214" w:rsidRPr="00CC19D2">
              <w:rPr>
                <w:rFonts w:ascii="Verdana" w:hAnsi="Verdana"/>
                <w:b/>
                <w:sz w:val="20"/>
              </w:rPr>
              <w:t>7</w:t>
            </w:r>
            <w:r w:rsidRPr="00CC19D2">
              <w:rPr>
                <w:rFonts w:ascii="Verdana" w:hAnsi="Verdana"/>
                <w:b/>
                <w:sz w:val="20"/>
              </w:rPr>
              <w:t>-S</w:t>
            </w:r>
          </w:p>
        </w:tc>
      </w:tr>
      <w:tr w:rsidR="006E291F" w:rsidRPr="00CC19D2" w:rsidTr="00A9247B">
        <w:trPr>
          <w:cantSplit/>
        </w:trPr>
        <w:tc>
          <w:tcPr>
            <w:tcW w:w="6772" w:type="dxa"/>
            <w:vMerge/>
          </w:tcPr>
          <w:p w:rsidR="006E291F" w:rsidRPr="00CC19D2" w:rsidRDefault="006E291F" w:rsidP="00A9247B">
            <w:pPr>
              <w:spacing w:before="60"/>
              <w:jc w:val="center"/>
              <w:rPr>
                <w:b/>
                <w:smallCaps/>
                <w:sz w:val="32"/>
              </w:rPr>
            </w:pPr>
            <w:bookmarkStart w:id="1" w:name="ddate" w:colFirst="1" w:colLast="1"/>
            <w:bookmarkEnd w:id="0"/>
          </w:p>
        </w:tc>
        <w:tc>
          <w:tcPr>
            <w:tcW w:w="3117" w:type="dxa"/>
          </w:tcPr>
          <w:p w:rsidR="006E291F" w:rsidRPr="00CC19D2" w:rsidRDefault="00D90214" w:rsidP="00D90214">
            <w:pPr>
              <w:shd w:val="solid" w:color="FFFFFF" w:fill="FFFFFF"/>
              <w:spacing w:before="0"/>
              <w:rPr>
                <w:rFonts w:ascii="Verdana" w:hAnsi="Verdana"/>
                <w:sz w:val="20"/>
              </w:rPr>
            </w:pPr>
            <w:r w:rsidRPr="00CC19D2">
              <w:rPr>
                <w:rFonts w:ascii="Verdana" w:hAnsi="Verdana"/>
                <w:b/>
                <w:sz w:val="20"/>
              </w:rPr>
              <w:t>5</w:t>
            </w:r>
            <w:r w:rsidR="004A7124" w:rsidRPr="00CC19D2">
              <w:rPr>
                <w:rFonts w:ascii="Verdana" w:hAnsi="Verdana"/>
                <w:b/>
                <w:sz w:val="20"/>
              </w:rPr>
              <w:t xml:space="preserve"> de </w:t>
            </w:r>
            <w:r w:rsidRPr="00CC19D2">
              <w:rPr>
                <w:rFonts w:ascii="Verdana" w:hAnsi="Verdana"/>
                <w:b/>
                <w:sz w:val="20"/>
              </w:rPr>
              <w:t>abril</w:t>
            </w:r>
            <w:r w:rsidR="004A7124" w:rsidRPr="00CC19D2">
              <w:rPr>
                <w:rFonts w:ascii="Verdana" w:hAnsi="Verdana"/>
                <w:b/>
                <w:sz w:val="20"/>
              </w:rPr>
              <w:t xml:space="preserve"> de 2017</w:t>
            </w:r>
          </w:p>
        </w:tc>
      </w:tr>
      <w:tr w:rsidR="006E291F" w:rsidRPr="00CC19D2" w:rsidTr="00A9247B">
        <w:trPr>
          <w:cantSplit/>
        </w:trPr>
        <w:tc>
          <w:tcPr>
            <w:tcW w:w="6772" w:type="dxa"/>
            <w:vMerge/>
          </w:tcPr>
          <w:p w:rsidR="006E291F" w:rsidRPr="00CC19D2" w:rsidRDefault="006E291F" w:rsidP="00A9247B">
            <w:pPr>
              <w:spacing w:before="60"/>
              <w:jc w:val="center"/>
              <w:rPr>
                <w:b/>
                <w:smallCaps/>
                <w:sz w:val="32"/>
              </w:rPr>
            </w:pPr>
            <w:bookmarkStart w:id="2" w:name="dorlang" w:colFirst="1" w:colLast="1"/>
            <w:bookmarkEnd w:id="1"/>
          </w:p>
        </w:tc>
        <w:tc>
          <w:tcPr>
            <w:tcW w:w="3117" w:type="dxa"/>
          </w:tcPr>
          <w:p w:rsidR="006E291F" w:rsidRPr="00CC19D2" w:rsidRDefault="004A7124" w:rsidP="00D90214">
            <w:pPr>
              <w:shd w:val="solid" w:color="FFFFFF" w:fill="FFFFFF"/>
              <w:spacing w:before="0"/>
              <w:rPr>
                <w:rFonts w:ascii="Verdana" w:hAnsi="Verdana"/>
                <w:sz w:val="20"/>
              </w:rPr>
            </w:pPr>
            <w:r w:rsidRPr="00CC19D2">
              <w:rPr>
                <w:rFonts w:ascii="Verdana" w:hAnsi="Verdana"/>
                <w:b/>
                <w:sz w:val="20"/>
              </w:rPr>
              <w:t xml:space="preserve">Original: </w:t>
            </w:r>
            <w:r w:rsidR="00D90214" w:rsidRPr="00CC19D2">
              <w:rPr>
                <w:rFonts w:ascii="Verdana" w:hAnsi="Verdana"/>
                <w:b/>
                <w:sz w:val="20"/>
              </w:rPr>
              <w:t>chino</w:t>
            </w:r>
          </w:p>
        </w:tc>
      </w:tr>
      <w:tr w:rsidR="006E291F" w:rsidRPr="00CC19D2" w:rsidTr="008F0106">
        <w:trPr>
          <w:cantSplit/>
        </w:trPr>
        <w:tc>
          <w:tcPr>
            <w:tcW w:w="9889" w:type="dxa"/>
            <w:gridSpan w:val="2"/>
          </w:tcPr>
          <w:p w:rsidR="006E291F" w:rsidRPr="00CC19D2" w:rsidRDefault="00D90214" w:rsidP="00C86857">
            <w:pPr>
              <w:pStyle w:val="Source"/>
            </w:pPr>
            <w:bookmarkStart w:id="3" w:name="dsource" w:colFirst="0" w:colLast="0"/>
            <w:bookmarkEnd w:id="2"/>
            <w:r w:rsidRPr="00CC19D2">
              <w:t>China (República Popular de)</w:t>
            </w:r>
          </w:p>
        </w:tc>
      </w:tr>
      <w:tr w:rsidR="006E291F" w:rsidRPr="00CC19D2" w:rsidTr="008F0106">
        <w:trPr>
          <w:cantSplit/>
        </w:trPr>
        <w:tc>
          <w:tcPr>
            <w:tcW w:w="9889" w:type="dxa"/>
            <w:gridSpan w:val="2"/>
          </w:tcPr>
          <w:p w:rsidR="006E291F" w:rsidRPr="00CC19D2" w:rsidRDefault="00D90214" w:rsidP="00D90214">
            <w:pPr>
              <w:pStyle w:val="Title1"/>
            </w:pPr>
            <w:bookmarkStart w:id="4" w:name="dtitle1" w:colFirst="0" w:colLast="0"/>
            <w:bookmarkEnd w:id="3"/>
            <w:r w:rsidRPr="00CC19D2">
              <w:t>examen de las decisiones de las conferencias regionales de radiocomunicaciones</w:t>
            </w:r>
          </w:p>
        </w:tc>
      </w:tr>
      <w:bookmarkEnd w:id="4"/>
    </w:tbl>
    <w:p w:rsidR="00F36051" w:rsidRDefault="00F36051" w:rsidP="00CC19D2"/>
    <w:p w:rsidR="003E5EE1" w:rsidRPr="00CC19D2" w:rsidRDefault="00D90214" w:rsidP="004B5FA8">
      <w:r w:rsidRPr="00CC19D2">
        <w:t>El Sector de Radiocomunicaciones (UIT-R) desarrolla sus actividades a través de: las Conferencias Regionales y Mundiales de Radiocomunicaciones, la Junta del Reglamento de Radiocomunicaciones, las As</w:t>
      </w:r>
      <w:r w:rsidR="0010564B">
        <w:t>ambleas de Radiocomunicaciones,</w:t>
      </w:r>
      <w:r w:rsidRPr="00CC19D2">
        <w:t xml:space="preserve"> las Comisiones de Estudio de Radiocomunicaciones, el Grupo Asesor de Radiocomunicaciones y la Oficina de Radiocomunicaciones dirigida por su Director electo. Ha llegado a nuestros oídos que las fechas de aplicación efectivas de ciertas decisiones tomadas por las Conferencias Regionales de Radiocomunicaciones (por ejemplo</w:t>
      </w:r>
      <w:r w:rsidR="0010564B">
        <w:t>,</w:t>
      </w:r>
      <w:r w:rsidRPr="00CC19D2">
        <w:t xml:space="preserve"> los casos de ST61 y de GE75) se remontan a muchos años. A lo largo de muchos decenios desde la adopción de estos acuerdos regionales, la UIT ha convocado numerosas Conferencias Administrativas Mundiales de Radiocomunicaciones y Conferencias Mundiales de Radiocomunicaciones para revisar el Reglamento de Radiocomunicaciones. Con arreglo al § 4 del Artículo 13 de la Constitución, </w:t>
      </w:r>
      <w:r w:rsidR="004B5FA8">
        <w:t>«</w:t>
      </w:r>
      <w:r w:rsidRPr="00CC19D2">
        <w:t xml:space="preserve">las decisiones de … las Conferencias Regionales de Radiocomunicaciones se ajustarán </w:t>
      </w:r>
      <w:r w:rsidR="003E5EE1" w:rsidRPr="00CC19D2">
        <w:t>…</w:t>
      </w:r>
      <w:r w:rsidRPr="00CC19D2">
        <w:t xml:space="preserve"> también en todos los casos al Reglamento de Radiocomunicaciones</w:t>
      </w:r>
      <w:r w:rsidR="004B5FA8">
        <w:t>»</w:t>
      </w:r>
      <w:r w:rsidRPr="00CC19D2">
        <w:t xml:space="preserve">. </w:t>
      </w:r>
      <w:r w:rsidR="003E5EE1" w:rsidRPr="00CC19D2">
        <w:t>Cuando un punto del orden del día de una Conferencia Mundial de Radiocomunicaciones implica a un acuerdo regional (por</w:t>
      </w:r>
      <w:r w:rsidR="0010564B">
        <w:t xml:space="preserve"> ejemplo,</w:t>
      </w:r>
      <w:r w:rsidR="003E5EE1" w:rsidRPr="00CC19D2">
        <w:t xml:space="preserve"> el punto 1.2 del orden del día de la CMR-15 y el punto 1.1 del orden del día de la CMR-19 se refieren a GE06 y ST61, respectivamente), la</w:t>
      </w:r>
      <w:r w:rsidR="0010564B">
        <w:t>s</w:t>
      </w:r>
      <w:r w:rsidR="003E5EE1" w:rsidRPr="00CC19D2">
        <w:t xml:space="preserve"> revisiones del Reglamento de Radiocomunicaciones en el marco de estos puntos del orden del día se basan de hecho en el requisito previo de que no se introducirán modificaciones a las decisiones de las Conferencias Regionales de Radiocomunicaciones. </w:t>
      </w:r>
      <w:bookmarkStart w:id="5" w:name="lt_pId016"/>
      <w:r w:rsidR="003E5EE1" w:rsidRPr="00CC19D2">
        <w:t>Aun así, no hay garantía de que las decisiones existentes de las Conferencias Regionales de Radiocomunicaciones sean totalmente compatibles con las disposiciones del Reglamento de Radiocomunicaciones. Además, con los avances en las tecnologías y aplicaciones de radiocomunicaciones, en ocasiones resulta inevitable modificar las decisiones de una Conferencia Regional de Radiocomunicaciones. En ciertos casos, en aras de la rapidez, puede invitarse a la Junta del Reglamento de Radiocomunic</w:t>
      </w:r>
      <w:r w:rsidR="00433C5A">
        <w:t>aciones a crear una nueva Regla</w:t>
      </w:r>
      <w:r w:rsidR="003E5EE1" w:rsidRPr="00CC19D2">
        <w:t xml:space="preserve"> de Procedimiento para dar cabida a nuevos requisitos y ampliar el alcance de los acuerdos regionales (por ejemplo, la introducción de la radiodifusión digital en el Plan del GE75). Sin embargo, sólo la Conferencia Regional de Radiocomunicaciones correspondiente tiene la prerrogativa de convertir </w:t>
      </w:r>
      <w:bookmarkStart w:id="6" w:name="lt_pId019"/>
      <w:bookmarkEnd w:id="5"/>
      <w:r w:rsidR="003E5EE1" w:rsidRPr="00CC19D2">
        <w:t xml:space="preserve">la regla en una disposición del acuerdo regional. A diferencia de las Conferencias Mundiales de Radiocomunicaciones, </w:t>
      </w:r>
      <w:r w:rsidR="00CC19D2" w:rsidRPr="00CC19D2">
        <w:t>ni en la Constitución ni en el Convenio se especifica</w:t>
      </w:r>
      <w:r w:rsidR="00433C5A">
        <w:t>n</w:t>
      </w:r>
      <w:r w:rsidR="00CC19D2" w:rsidRPr="00CC19D2">
        <w:t xml:space="preserve"> </w:t>
      </w:r>
      <w:bookmarkStart w:id="7" w:name="lt_pId020"/>
      <w:bookmarkEnd w:id="6"/>
      <w:r w:rsidR="00CC19D2" w:rsidRPr="00CC19D2">
        <w:t>la frecuencia y las condiciones para convocar una Conferencia Regional de Radiocomunicacion</w:t>
      </w:r>
      <w:r w:rsidR="00CC19D2">
        <w:t>es</w:t>
      </w:r>
      <w:r w:rsidR="003E5EE1" w:rsidRPr="00CC19D2">
        <w:t>.</w:t>
      </w:r>
      <w:bookmarkEnd w:id="7"/>
      <w:r w:rsidR="00CC19D2">
        <w:t xml:space="preserve"> Mientras tanto, habida cuenta de las implicaciones financieras y de otros factores, es muy poco probable que se convoque una</w:t>
      </w:r>
      <w:r w:rsidR="004B5FA8">
        <w:t xml:space="preserve"> </w:t>
      </w:r>
      <w:bookmarkStart w:id="8" w:name="lt_pId021"/>
      <w:r w:rsidR="00CC19D2" w:rsidRPr="00CC19D2">
        <w:t>Conferencia Regional de Radiocomunicaciones</w:t>
      </w:r>
      <w:r w:rsidR="00CC19D2">
        <w:t xml:space="preserve"> en el próximo futuro. </w:t>
      </w:r>
      <w:bookmarkEnd w:id="8"/>
    </w:p>
    <w:p w:rsidR="003E5EE1" w:rsidRPr="00CC19D2" w:rsidRDefault="00CC19D2" w:rsidP="00CC19D2">
      <w:bookmarkStart w:id="9" w:name="lt_pId022"/>
      <w:r>
        <w:t>Habida cuenta de que es muy probable que no s</w:t>
      </w:r>
      <w:bookmarkStart w:id="10" w:name="_GoBack"/>
      <w:bookmarkEnd w:id="10"/>
      <w:r>
        <w:t>e convoquen periódicamente Conferencias Regionales de Radiocomunicaciones, supone un verdadero reto asegurar que las decisiones de las Conferencias Regionales de Ra</w:t>
      </w:r>
      <w:r w:rsidR="00433C5A">
        <w:t>diocomunicaciones se corresponda</w:t>
      </w:r>
      <w:r>
        <w:t xml:space="preserve">n con el Reglamento de </w:t>
      </w:r>
      <w:r>
        <w:lastRenderedPageBreak/>
        <w:t>Radiocomunicaciones, que sí se actu</w:t>
      </w:r>
      <w:r w:rsidR="00433C5A">
        <w:t>aliza periódicamente, y refleja</w:t>
      </w:r>
      <w:r>
        <w:t xml:space="preserve"> las tecnologías y aplicaciones de radiocomunicaciones más recientes</w:t>
      </w:r>
      <w:r w:rsidR="003E5EE1" w:rsidRPr="00CC19D2">
        <w:t>.</w:t>
      </w:r>
      <w:bookmarkEnd w:id="9"/>
      <w:r w:rsidR="003E5EE1" w:rsidRPr="00CC19D2">
        <w:t xml:space="preserve"> </w:t>
      </w:r>
      <w:bookmarkStart w:id="11" w:name="lt_pId023"/>
      <w:r>
        <w:t xml:space="preserve">Se podrían examinar varias opciones. Por ejemplo, convertir por los medios apropiados ciertos acuerdos regionales adoptados por las Conferencias Regionales de Radiocomunicaciones en un apéndice del Reglamento de Radiocomunicaciones para que se puedan revisar periódicamente; o estudiar posibles revisiones de la </w:t>
      </w:r>
      <w:bookmarkStart w:id="12" w:name="lt_pId025"/>
      <w:bookmarkEnd w:id="11"/>
      <w:r w:rsidRPr="00CC19D2">
        <w:t>Resolución</w:t>
      </w:r>
      <w:r w:rsidR="003E5EE1" w:rsidRPr="00CC19D2">
        <w:t xml:space="preserve"> 95 (Rev. </w:t>
      </w:r>
      <w:r>
        <w:t>CMR</w:t>
      </w:r>
      <w:r w:rsidR="003E5EE1" w:rsidRPr="00CC19D2">
        <w:t xml:space="preserve">-07) </w:t>
      </w:r>
      <w:r>
        <w:t xml:space="preserve">a fin de incluir disposiciones relativas al examen general de las Resoluciones y Recomendaciones de las Conferencias Regionales de Radiocomunicaciones. No cabe duda de que esto representa una tarea muy complicada, y se someten ahora a consideración algunas ideas preliminares destinadas a plantear los debates en la próxima reunión del GAR. </w:t>
      </w:r>
      <w:bookmarkEnd w:id="12"/>
    </w:p>
    <w:p w:rsidR="003E5EE1" w:rsidRPr="00CC19D2" w:rsidRDefault="003E5EE1" w:rsidP="003E5EE1"/>
    <w:p w:rsidR="009C7D3A" w:rsidRPr="00CC19D2" w:rsidRDefault="009C7D3A" w:rsidP="009C7D3A"/>
    <w:p w:rsidR="00D24B9F" w:rsidRPr="00CC19D2" w:rsidRDefault="00D24B9F">
      <w:pPr>
        <w:jc w:val="center"/>
      </w:pPr>
      <w:r w:rsidRPr="00CC19D2">
        <w:t>______________</w:t>
      </w:r>
    </w:p>
    <w:sectPr w:rsidR="00D24B9F" w:rsidRPr="00CC19D2"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EF" w:rsidRDefault="000D59EF">
      <w:r>
        <w:separator/>
      </w:r>
    </w:p>
  </w:endnote>
  <w:endnote w:type="continuationSeparator" w:id="0">
    <w:p w:rsidR="000D59EF" w:rsidRDefault="000D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Default="004B5FA8" w:rsidP="00F36051">
    <w:pPr>
      <w:pStyle w:val="Footer"/>
      <w:rPr>
        <w:lang w:val="en-US"/>
      </w:rPr>
    </w:pPr>
    <w:r>
      <w:fldChar w:fldCharType="begin"/>
    </w:r>
    <w:r>
      <w:instrText xml:space="preserve"> FILENAME \p  \* MERGEFORMAT </w:instrText>
    </w:r>
    <w:r>
      <w:fldChar w:fldCharType="separate"/>
    </w:r>
    <w:r w:rsidR="00F36051">
      <w:t>P:\ESP\ITU-R\AG\RAG\RAG17\000\007S.docx</w:t>
    </w:r>
    <w:r>
      <w:fldChar w:fldCharType="end"/>
    </w:r>
    <w:r w:rsidR="00EA0182">
      <w:t xml:space="preserve"> (</w:t>
    </w:r>
    <w:r w:rsidR="00F36051">
      <w:t>416200</w:t>
    </w:r>
    <w:r w:rsidR="00EA0182">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Pr="00EA0182" w:rsidRDefault="00F93600" w:rsidP="00E87F24">
    <w:pPr>
      <w:pStyle w:val="Footer"/>
      <w:rPr>
        <w:lang w:val="en-US"/>
      </w:rPr>
    </w:pPr>
    <w:fldSimple w:instr=" FILENAME \p  \* MERGEFORMAT ">
      <w:r w:rsidR="00E87F24">
        <w:t>P:\ESP\ITU-R\AG\RAG\RAG17\000\007S.docx</w:t>
      </w:r>
    </w:fldSimple>
    <w:r w:rsidR="00E87F24">
      <w:t xml:space="preserve"> (416200</w:t>
    </w:r>
    <w:r w:rsidR="00EA018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EF" w:rsidRDefault="000D59EF">
      <w:r>
        <w:t>____________________</w:t>
      </w:r>
    </w:p>
  </w:footnote>
  <w:footnote w:type="continuationSeparator" w:id="0">
    <w:p w:rsidR="000D59EF" w:rsidRDefault="000D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Default="000D59EF">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4B5FA8">
      <w:rPr>
        <w:rStyle w:val="PageNumber"/>
        <w:noProof/>
      </w:rPr>
      <w:t>2</w:t>
    </w:r>
    <w:r>
      <w:rPr>
        <w:rStyle w:val="PageNumber"/>
      </w:rPr>
      <w:fldChar w:fldCharType="end"/>
    </w:r>
  </w:p>
  <w:p w:rsidR="000D59EF" w:rsidRDefault="000D59EF" w:rsidP="00CC19D2">
    <w:pPr>
      <w:pStyle w:val="Header"/>
      <w:rPr>
        <w:lang w:val="es-ES"/>
      </w:rPr>
    </w:pPr>
    <w:r>
      <w:rPr>
        <w:lang w:val="es-ES"/>
      </w:rPr>
      <w:t>RAG17/</w:t>
    </w:r>
    <w:r w:rsidR="00CC19D2">
      <w:rPr>
        <w:lang w:val="es-ES"/>
      </w:rPr>
      <w:t>7</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72F9"/>
    <w:multiLevelType w:val="hybridMultilevel"/>
    <w:tmpl w:val="FB6ACDE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36B86F08"/>
    <w:multiLevelType w:val="hybridMultilevel"/>
    <w:tmpl w:val="A25E989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abstractNum w:abstractNumId="3" w15:restartNumberingAfterBreak="0">
    <w:nsid w:val="3B7242E1"/>
    <w:multiLevelType w:val="hybridMultilevel"/>
    <w:tmpl w:val="E2E038A6"/>
    <w:lvl w:ilvl="0" w:tplc="83361C30">
      <w:start w:val="1"/>
      <w:numFmt w:val="lowerLetter"/>
      <w:lvlText w:val="%1)"/>
      <w:lvlJc w:val="left"/>
      <w:pPr>
        <w:ind w:left="1184" w:hanging="3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7E7C2ADA"/>
    <w:multiLevelType w:val="hybridMultilevel"/>
    <w:tmpl w:val="64FECBE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24"/>
    <w:rsid w:val="00057D11"/>
    <w:rsid w:val="000C62BA"/>
    <w:rsid w:val="000D59EF"/>
    <w:rsid w:val="000D756D"/>
    <w:rsid w:val="0010564B"/>
    <w:rsid w:val="0012592F"/>
    <w:rsid w:val="00135393"/>
    <w:rsid w:val="00157BF9"/>
    <w:rsid w:val="001B673B"/>
    <w:rsid w:val="001C198F"/>
    <w:rsid w:val="001E734F"/>
    <w:rsid w:val="001F2F50"/>
    <w:rsid w:val="001F5034"/>
    <w:rsid w:val="002D022A"/>
    <w:rsid w:val="00302A7F"/>
    <w:rsid w:val="0031432E"/>
    <w:rsid w:val="0034043B"/>
    <w:rsid w:val="00356159"/>
    <w:rsid w:val="003E3431"/>
    <w:rsid w:val="003E5EE1"/>
    <w:rsid w:val="00404ACD"/>
    <w:rsid w:val="00414D8B"/>
    <w:rsid w:val="00416B3E"/>
    <w:rsid w:val="00433C5A"/>
    <w:rsid w:val="00482905"/>
    <w:rsid w:val="004A7124"/>
    <w:rsid w:val="004B5FA8"/>
    <w:rsid w:val="004D6C09"/>
    <w:rsid w:val="004E4028"/>
    <w:rsid w:val="004E578C"/>
    <w:rsid w:val="004E73F6"/>
    <w:rsid w:val="00515800"/>
    <w:rsid w:val="0057336B"/>
    <w:rsid w:val="00591575"/>
    <w:rsid w:val="005A2195"/>
    <w:rsid w:val="005D3E02"/>
    <w:rsid w:val="00610642"/>
    <w:rsid w:val="00616601"/>
    <w:rsid w:val="006240FD"/>
    <w:rsid w:val="00646EEF"/>
    <w:rsid w:val="00663829"/>
    <w:rsid w:val="006748EF"/>
    <w:rsid w:val="006A42AB"/>
    <w:rsid w:val="006E291F"/>
    <w:rsid w:val="006E4AD7"/>
    <w:rsid w:val="00704789"/>
    <w:rsid w:val="00761EC0"/>
    <w:rsid w:val="00767A5C"/>
    <w:rsid w:val="00794AB5"/>
    <w:rsid w:val="007B0634"/>
    <w:rsid w:val="007D05D2"/>
    <w:rsid w:val="008506C9"/>
    <w:rsid w:val="00862A3A"/>
    <w:rsid w:val="00864DE8"/>
    <w:rsid w:val="008B60AE"/>
    <w:rsid w:val="008F0106"/>
    <w:rsid w:val="009049B6"/>
    <w:rsid w:val="00910DF8"/>
    <w:rsid w:val="00924B63"/>
    <w:rsid w:val="009746BD"/>
    <w:rsid w:val="00982618"/>
    <w:rsid w:val="009C205E"/>
    <w:rsid w:val="009C7D3A"/>
    <w:rsid w:val="00A0579C"/>
    <w:rsid w:val="00A25C00"/>
    <w:rsid w:val="00A42203"/>
    <w:rsid w:val="00A4484A"/>
    <w:rsid w:val="00A54DBC"/>
    <w:rsid w:val="00A73316"/>
    <w:rsid w:val="00A9247B"/>
    <w:rsid w:val="00AA246D"/>
    <w:rsid w:val="00B32E51"/>
    <w:rsid w:val="00B9090D"/>
    <w:rsid w:val="00C536FE"/>
    <w:rsid w:val="00C549DD"/>
    <w:rsid w:val="00C837F0"/>
    <w:rsid w:val="00C86857"/>
    <w:rsid w:val="00CB033E"/>
    <w:rsid w:val="00CB7405"/>
    <w:rsid w:val="00CB7A43"/>
    <w:rsid w:val="00CC19D2"/>
    <w:rsid w:val="00CF4CAC"/>
    <w:rsid w:val="00D24B9F"/>
    <w:rsid w:val="00D2661D"/>
    <w:rsid w:val="00D42853"/>
    <w:rsid w:val="00D90214"/>
    <w:rsid w:val="00DE77E6"/>
    <w:rsid w:val="00E56AD3"/>
    <w:rsid w:val="00E6199B"/>
    <w:rsid w:val="00E72EA7"/>
    <w:rsid w:val="00E7410F"/>
    <w:rsid w:val="00E87F24"/>
    <w:rsid w:val="00E938CF"/>
    <w:rsid w:val="00EA0182"/>
    <w:rsid w:val="00EA4101"/>
    <w:rsid w:val="00F23715"/>
    <w:rsid w:val="00F36051"/>
    <w:rsid w:val="00F93600"/>
    <w:rsid w:val="00FA5142"/>
    <w:rsid w:val="00FD4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7B8B6B-FCC3-449C-9C4D-046E2E5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A9247B"/>
    <w:rPr>
      <w:rFonts w:ascii="Times New Roman" w:hAnsi="Times New Roman"/>
      <w:sz w:val="24"/>
      <w:lang w:val="es-ES_tradnl" w:eastAsia="en-US"/>
    </w:rPr>
  </w:style>
  <w:style w:type="paragraph" w:customStyle="1" w:styleId="AnnexNo">
    <w:name w:val="Annex_No"/>
    <w:basedOn w:val="Normal"/>
    <w:next w:val="Normal"/>
    <w:rsid w:val="00A9247B"/>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A9247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Hyperlink">
    <w:name w:val="Hyperlink"/>
    <w:basedOn w:val="DefaultParagraphFont"/>
    <w:unhideWhenUsed/>
    <w:rsid w:val="00A9247B"/>
    <w:rPr>
      <w:color w:val="0000FF" w:themeColor="hyperlink"/>
      <w:u w:val="single"/>
    </w:rPr>
  </w:style>
  <w:style w:type="table" w:styleId="TableGrid">
    <w:name w:val="Table Grid"/>
    <w:basedOn w:val="TableNormal"/>
    <w:rsid w:val="00A9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924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A9247B"/>
    <w:rPr>
      <w:rFonts w:ascii="Times New Roman" w:hAnsi="Times New Roman"/>
      <w:i/>
      <w:sz w:val="24"/>
      <w:lang w:val="es-ES_tradnl" w:eastAsia="en-US"/>
    </w:rPr>
  </w:style>
  <w:style w:type="character" w:customStyle="1" w:styleId="RestitleChar">
    <w:name w:val="Res_title Char"/>
    <w:basedOn w:val="DefaultParagraphFont"/>
    <w:link w:val="Restitle"/>
    <w:locked/>
    <w:rsid w:val="00A9247B"/>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A9247B"/>
    <w:rPr>
      <w:rFonts w:ascii="Times New Roman" w:hAnsi="Times New Roman"/>
      <w:sz w:val="24"/>
      <w:lang w:val="es-ES_tradnl" w:eastAsia="en-US"/>
    </w:rPr>
  </w:style>
  <w:style w:type="character" w:customStyle="1" w:styleId="enumlev1Char">
    <w:name w:val="enumlev1 Char"/>
    <w:basedOn w:val="DefaultParagraphFont"/>
    <w:link w:val="enumlev1"/>
    <w:rsid w:val="00A9247B"/>
    <w:rPr>
      <w:rFonts w:ascii="Times New Roman" w:hAnsi="Times New Roman"/>
      <w:sz w:val="24"/>
      <w:lang w:val="es-ES_tradnl" w:eastAsia="en-US"/>
    </w:rPr>
  </w:style>
  <w:style w:type="character" w:styleId="FollowedHyperlink">
    <w:name w:val="FollowedHyperlink"/>
    <w:basedOn w:val="DefaultParagraphFont"/>
    <w:semiHidden/>
    <w:unhideWhenUsed/>
    <w:rsid w:val="009746BD"/>
    <w:rPr>
      <w:color w:val="800080" w:themeColor="followedHyperlink"/>
      <w:u w:val="single"/>
    </w:rPr>
  </w:style>
  <w:style w:type="paragraph" w:customStyle="1" w:styleId="Reasons">
    <w:name w:val="Reasons"/>
    <w:basedOn w:val="Normal"/>
    <w:qFormat/>
    <w:rsid w:val="00D24B9F"/>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9C7D3A"/>
    <w:rPr>
      <w:rFonts w:ascii="Times New Roman" w:hAnsi="Times New Roman"/>
      <w:sz w:val="18"/>
      <w:lang w:val="es-ES_tradnl" w:eastAsia="en-US"/>
    </w:rPr>
  </w:style>
  <w:style w:type="paragraph" w:styleId="ListParagraph">
    <w:name w:val="List Paragraph"/>
    <w:basedOn w:val="Normal"/>
    <w:uiPriority w:val="34"/>
    <w:qFormat/>
    <w:rsid w:val="009C7D3A"/>
    <w:pPr>
      <w:tabs>
        <w:tab w:val="clear" w:pos="794"/>
        <w:tab w:val="clear" w:pos="1191"/>
        <w:tab w:val="clear" w:pos="1588"/>
        <w:tab w:val="clear" w:pos="1985"/>
      </w:tabs>
      <w:overflowPunct/>
      <w:autoSpaceDE/>
      <w:autoSpaceDN/>
      <w:adjustRightInd/>
      <w:spacing w:before="0"/>
      <w:ind w:left="720"/>
      <w:contextualSpacing/>
      <w:textAlignment w:val="auto"/>
    </w:pPr>
    <w:rPr>
      <w:rFonts w:ascii="Calibri" w:eastAsia="SimSun" w:hAnsi="Calibri"/>
      <w:sz w:val="22"/>
      <w:szCs w:val="22"/>
      <w:lang w:val="en-US" w:eastAsia="zh-CN"/>
    </w:rPr>
  </w:style>
  <w:style w:type="paragraph" w:styleId="BalloonText">
    <w:name w:val="Balloon Text"/>
    <w:basedOn w:val="Normal"/>
    <w:link w:val="BalloonTextChar"/>
    <w:semiHidden/>
    <w:unhideWhenUsed/>
    <w:rsid w:val="00CC19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9D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5A352-19C9-403B-8446-9D352D46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3</TotalTime>
  <Pages>2</Pages>
  <Words>600</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CAMPAÑA DE IMAGEN Y PLAN DE COMUNICACIÓN PARA EL 90º ANIVERSARIO DE LAS COMISIONES DE ESTUDIO DEL UIT-R (1927-2017)</vt:lpstr>
    </vt:vector>
  </TitlesOfParts>
  <Manager>General Secretariat - Pool</Manager>
  <Company>International Telecommunication Union (ITU)</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CAMPAÑA DE IMAGEN Y PLAN DE COMUNICACIÓN PARA EL 90º ANIVERSARIO DE LAS COMISIONES DE ESTUDIO DEL UIT-R (1927-2017)</dc:title>
  <dc:subject>GRUPO ASESOR DE RADIOCOMUNICACIONES</dc:subject>
  <dc:creator>Director, Oficina de Radiocomunicaciones</dc:creator>
  <cp:keywords>RAG03-1</cp:keywords>
  <dc:description>Documento RAG17/4-S  For: _x000d_Document date: 17 de febrero de 2017_x000d_Saved by ITU51007829 at 16:05:22 on 08/03/2017</dc:description>
  <cp:lastModifiedBy>Ayala Martinez, Beatriz</cp:lastModifiedBy>
  <cp:revision>6</cp:revision>
  <cp:lastPrinted>2017-04-20T08:59:00Z</cp:lastPrinted>
  <dcterms:created xsi:type="dcterms:W3CDTF">2017-04-20T09:08:00Z</dcterms:created>
  <dcterms:modified xsi:type="dcterms:W3CDTF">2017-04-20T09:12:00Z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RAG17/4-S</vt:lpwstr>
  </property>
  <property fmtid="{D5CDD505-2E9C-101B-9397-08002B2CF9AE}" pid="3" name="Docdate">
    <vt:lpwstr>17 de febrero de 2017</vt:lpwstr>
  </property>
  <property fmtid="{D5CDD505-2E9C-101B-9397-08002B2CF9AE}" pid="4" name="Docorlang">
    <vt:lpwstr>Original: inglés</vt:lpwstr>
  </property>
  <property fmtid="{D5CDD505-2E9C-101B-9397-08002B2CF9AE}" pid="5" name="Docauthor">
    <vt:lpwstr>Director, Oficina de Radiocomunicaciones</vt:lpwstr>
  </property>
</Properties>
</file>