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6520"/>
        <w:gridCol w:w="3119"/>
      </w:tblGrid>
      <w:tr w:rsidR="00034CD2" w:rsidRPr="00034CD2" w:rsidTr="00B50C09">
        <w:trPr>
          <w:cantSplit/>
          <w:trHeight w:val="1276"/>
        </w:trPr>
        <w:tc>
          <w:tcPr>
            <w:tcW w:w="3382" w:type="pct"/>
            <w:vAlign w:val="center"/>
          </w:tcPr>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034CD2">
              <w:rPr>
                <w:rFonts w:ascii="Verdana Bold" w:eastAsiaTheme="minorEastAsia" w:hAnsi="Verdana Bold" w:hint="cs"/>
                <w:b/>
                <w:bCs/>
                <w:sz w:val="24"/>
                <w:szCs w:val="40"/>
                <w:rtl/>
                <w:lang w:eastAsia="zh-CN" w:bidi="ar-EG"/>
              </w:rPr>
              <w:t>الفريق الاستشاري للاتصالات الراديوية</w:t>
            </w:r>
          </w:p>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Pr>
                <w:rFonts w:ascii="Verdana Bold" w:eastAsiaTheme="minorEastAsia" w:hAnsi="Verdana Bold"/>
                <w:b/>
                <w:bCs/>
                <w:sz w:val="20"/>
                <w:szCs w:val="34"/>
                <w:lang w:eastAsia="zh-CN" w:bidi="ar-SY"/>
              </w:rPr>
              <w:t>28-26</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hint="cs"/>
                <w:b/>
                <w:bCs/>
                <w:sz w:val="18"/>
                <w:szCs w:val="32"/>
                <w:rtl/>
                <w:lang w:eastAsia="zh-CN" w:bidi="ar-SY"/>
              </w:rPr>
              <w:t>أبريل</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b/>
                <w:bCs/>
                <w:sz w:val="20"/>
                <w:szCs w:val="34"/>
                <w:lang w:eastAsia="zh-CN" w:bidi="ar-SY"/>
              </w:rPr>
              <w:t>2017</w:t>
            </w:r>
          </w:p>
        </w:tc>
        <w:tc>
          <w:tcPr>
            <w:tcW w:w="1618" w:type="pct"/>
            <w:vAlign w:val="center"/>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034CD2">
        <w:trPr>
          <w:cantSplit/>
          <w:trHeight w:val="20"/>
        </w:trPr>
        <w:tc>
          <w:tcPr>
            <w:tcW w:w="3382"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034CD2">
        <w:trPr>
          <w:cantSplit/>
          <w:trHeight w:val="20"/>
        </w:trPr>
        <w:tc>
          <w:tcPr>
            <w:tcW w:w="3382" w:type="pct"/>
            <w:tcBorders>
              <w:top w:val="single" w:sz="12" w:space="0" w:color="auto"/>
            </w:tcBorders>
          </w:tcPr>
          <w:p w:rsidR="00034CD2" w:rsidRPr="00034CD2" w:rsidRDefault="00034CD2" w:rsidP="008B182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8B182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ascii="Verdana Bold" w:eastAsiaTheme="minorEastAsia" w:hAnsi="Verdana Bold" w:hint="eastAsia"/>
                <w:b/>
                <w:bCs/>
                <w:sz w:val="19"/>
                <w:lang w:eastAsia="zh-CN" w:bidi="ar-SY"/>
              </w:rPr>
            </w:pPr>
          </w:p>
        </w:tc>
      </w:tr>
      <w:tr w:rsidR="00034CD2" w:rsidRPr="00034CD2" w:rsidTr="00034CD2">
        <w:trPr>
          <w:cantSplit/>
        </w:trPr>
        <w:tc>
          <w:tcPr>
            <w:tcW w:w="3382" w:type="pct"/>
          </w:tcPr>
          <w:p w:rsidR="00034CD2" w:rsidRPr="00034CD2" w:rsidRDefault="00034CD2" w:rsidP="008B182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8B182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rPr>
                <w:rFonts w:ascii="Verdana Bold" w:eastAsiaTheme="minorEastAsia" w:hAnsi="Verdana Bold" w:hint="eastAsia"/>
                <w:b/>
                <w:bCs/>
                <w:sz w:val="19"/>
                <w:rtl/>
                <w:lang w:eastAsia="zh-CN" w:bidi="ar-EG"/>
              </w:rPr>
            </w:pPr>
            <w:r w:rsidRPr="00034CD2">
              <w:rPr>
                <w:rFonts w:ascii="Verdana Bold" w:eastAsiaTheme="minorEastAsia" w:hAnsi="Verdana Bold"/>
                <w:b/>
                <w:bCs/>
                <w:sz w:val="19"/>
                <w:rtl/>
                <w:lang w:eastAsia="zh-CN" w:bidi="ar-EG"/>
              </w:rPr>
              <w:t>ا</w:t>
            </w:r>
            <w:r w:rsidRPr="00034CD2">
              <w:rPr>
                <w:rFonts w:ascii="Verdana Bold" w:eastAsiaTheme="minorEastAsia" w:hAnsi="Verdana Bold" w:hint="cs"/>
                <w:b/>
                <w:bCs/>
                <w:sz w:val="19"/>
                <w:rtl/>
                <w:lang w:eastAsia="zh-CN" w:bidi="ar-EG"/>
              </w:rPr>
              <w:t>ل</w:t>
            </w:r>
            <w:r w:rsidRPr="00034CD2">
              <w:rPr>
                <w:rFonts w:ascii="Verdana Bold" w:eastAsiaTheme="minorEastAsia" w:hAnsi="Verdana Bold"/>
                <w:b/>
                <w:bCs/>
                <w:sz w:val="19"/>
                <w:rtl/>
                <w:lang w:eastAsia="zh-CN" w:bidi="ar-EG"/>
              </w:rPr>
              <w:t>و</w:t>
            </w:r>
            <w:r w:rsidRPr="00034CD2">
              <w:rPr>
                <w:rFonts w:ascii="Verdana Bold" w:eastAsiaTheme="minorEastAsia" w:hAnsi="Verdana Bold" w:hint="cs"/>
                <w:b/>
                <w:bCs/>
                <w:sz w:val="19"/>
                <w:rtl/>
                <w:lang w:eastAsia="zh-CN" w:bidi="ar-EG"/>
              </w:rPr>
              <w:t xml:space="preserve">ثيقة </w:t>
            </w:r>
            <w:r w:rsidRPr="00034CD2">
              <w:rPr>
                <w:rFonts w:ascii="Verdana Bold" w:eastAsiaTheme="minorEastAsia" w:hAnsi="Verdana Bold"/>
                <w:b/>
                <w:bCs/>
                <w:sz w:val="19"/>
                <w:lang w:eastAsia="zh-CN" w:bidi="ar-SY"/>
              </w:rPr>
              <w:t>RAG1</w:t>
            </w:r>
            <w:r>
              <w:rPr>
                <w:rFonts w:ascii="Verdana Bold" w:eastAsiaTheme="minorEastAsia" w:hAnsi="Verdana Bold"/>
                <w:b/>
                <w:bCs/>
                <w:sz w:val="19"/>
                <w:lang w:eastAsia="zh-CN" w:bidi="ar-SY"/>
              </w:rPr>
              <w:t>7</w:t>
            </w:r>
            <w:r w:rsidRPr="00034CD2">
              <w:rPr>
                <w:rFonts w:ascii="Verdana Bold" w:eastAsiaTheme="minorEastAsia" w:hAnsi="Verdana Bold"/>
                <w:b/>
                <w:bCs/>
                <w:sz w:val="19"/>
                <w:lang w:eastAsia="zh-CN" w:bidi="ar-SY"/>
              </w:rPr>
              <w:t>/</w:t>
            </w:r>
            <w:r w:rsidR="00EE5F69">
              <w:rPr>
                <w:rFonts w:ascii="Verdana Bold" w:eastAsiaTheme="minorEastAsia" w:hAnsi="Verdana Bold"/>
                <w:b/>
                <w:bCs/>
                <w:sz w:val="19"/>
                <w:lang w:eastAsia="zh-CN" w:bidi="ar-SY"/>
              </w:rPr>
              <w:t>7</w:t>
            </w:r>
            <w:r w:rsidRPr="00034CD2">
              <w:rPr>
                <w:rFonts w:ascii="Verdana Bold" w:eastAsiaTheme="minorEastAsia" w:hAnsi="Verdana Bold"/>
                <w:b/>
                <w:bCs/>
                <w:sz w:val="19"/>
                <w:lang w:eastAsia="zh-CN" w:bidi="ar-SY"/>
              </w:rPr>
              <w:t>-A</w:t>
            </w:r>
          </w:p>
        </w:tc>
      </w:tr>
      <w:tr w:rsidR="00034CD2" w:rsidRPr="00034CD2" w:rsidTr="00034CD2">
        <w:trPr>
          <w:cantSplit/>
        </w:trPr>
        <w:tc>
          <w:tcPr>
            <w:tcW w:w="3382" w:type="pct"/>
          </w:tcPr>
          <w:p w:rsidR="00034CD2" w:rsidRPr="00034CD2" w:rsidRDefault="00034CD2" w:rsidP="008B182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rPr>
                <w:rFonts w:asciiTheme="minorHAnsi" w:eastAsiaTheme="minorEastAsia" w:hAnsiTheme="minorHAnsi"/>
                <w:b/>
                <w:bCs/>
                <w:sz w:val="19"/>
                <w:rtl/>
                <w:lang w:eastAsia="zh-CN" w:bidi="ar-EG"/>
              </w:rPr>
            </w:pPr>
          </w:p>
        </w:tc>
        <w:tc>
          <w:tcPr>
            <w:tcW w:w="1618" w:type="pct"/>
            <w:vAlign w:val="center"/>
          </w:tcPr>
          <w:p w:rsidR="00034CD2" w:rsidRPr="00034CD2" w:rsidRDefault="00EE5F69" w:rsidP="008B182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rPr>
                <w:rFonts w:ascii="Verdana Bold" w:eastAsiaTheme="minorEastAsia" w:hAnsi="Verdana Bold" w:hint="eastAsia"/>
                <w:b/>
                <w:bCs/>
                <w:sz w:val="19"/>
                <w:rtl/>
                <w:lang w:eastAsia="zh-CN" w:bidi="ar-EG"/>
              </w:rPr>
            </w:pPr>
            <w:r w:rsidRPr="00EE5F69">
              <w:rPr>
                <w:rFonts w:ascii="Verdana Bold" w:eastAsiaTheme="minorEastAsia" w:hAnsi="Verdana Bold"/>
                <w:b/>
                <w:bCs/>
                <w:sz w:val="19"/>
                <w:lang w:eastAsia="zh-CN" w:bidi="ar-SY"/>
              </w:rPr>
              <w:t>5</w:t>
            </w:r>
            <w:r w:rsidRPr="00EE5F69">
              <w:rPr>
                <w:rFonts w:ascii="Verdana Bold" w:eastAsiaTheme="minorEastAsia" w:hAnsi="Verdana Bold" w:hint="cs"/>
                <w:b/>
                <w:bCs/>
                <w:sz w:val="19"/>
                <w:rtl/>
                <w:lang w:eastAsia="zh-CN" w:bidi="ar-EG"/>
              </w:rPr>
              <w:t xml:space="preserve"> أبريل </w:t>
            </w:r>
            <w:r w:rsidRPr="00EE5F69">
              <w:rPr>
                <w:rFonts w:ascii="Verdana Bold" w:eastAsiaTheme="minorEastAsia" w:hAnsi="Verdana Bold"/>
                <w:b/>
                <w:bCs/>
                <w:sz w:val="19"/>
                <w:lang w:eastAsia="zh-CN" w:bidi="ar-SY"/>
              </w:rPr>
              <w:t>2017</w:t>
            </w:r>
          </w:p>
        </w:tc>
      </w:tr>
      <w:tr w:rsidR="00034CD2" w:rsidRPr="00034CD2" w:rsidTr="00034CD2">
        <w:trPr>
          <w:cantSplit/>
        </w:trPr>
        <w:tc>
          <w:tcPr>
            <w:tcW w:w="3382" w:type="pct"/>
          </w:tcPr>
          <w:p w:rsidR="00034CD2" w:rsidRPr="00034CD2" w:rsidRDefault="00034CD2" w:rsidP="008B182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rPr>
                <w:rFonts w:ascii="Verdana Bold" w:eastAsiaTheme="minorEastAsia" w:hAnsi="Verdana Bold" w:hint="cs"/>
                <w:b/>
                <w:bCs/>
                <w:sz w:val="19"/>
                <w:rtl/>
                <w:lang w:eastAsia="zh-CN" w:bidi="ar-EG"/>
              </w:rPr>
            </w:pPr>
          </w:p>
        </w:tc>
        <w:tc>
          <w:tcPr>
            <w:tcW w:w="1618" w:type="pct"/>
            <w:vAlign w:val="center"/>
          </w:tcPr>
          <w:p w:rsidR="00034CD2" w:rsidRPr="00034CD2" w:rsidRDefault="00EE5F69" w:rsidP="008B182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rPr>
                <w:rFonts w:ascii="Verdana Bold" w:eastAsiaTheme="minorEastAsia" w:hAnsi="Verdana Bold" w:hint="eastAsia"/>
                <w:b/>
                <w:bCs/>
                <w:sz w:val="19"/>
                <w:lang w:eastAsia="zh-CN" w:bidi="ar-SY"/>
              </w:rPr>
            </w:pPr>
            <w:r w:rsidRPr="00EE5F69">
              <w:rPr>
                <w:rFonts w:ascii="Verdana Bold" w:eastAsiaTheme="minorEastAsia" w:hAnsi="Verdana Bold" w:hint="cs"/>
                <w:b/>
                <w:bCs/>
                <w:sz w:val="19"/>
                <w:rtl/>
                <w:lang w:eastAsia="zh-CN" w:bidi="ar-EG"/>
              </w:rPr>
              <w:t>الأصل: بالصينية</w:t>
            </w:r>
          </w:p>
        </w:tc>
      </w:tr>
      <w:tr w:rsidR="00034CD2" w:rsidRPr="00034CD2" w:rsidTr="004270DC">
        <w:trPr>
          <w:cantSplit/>
          <w:trHeight w:val="1159"/>
        </w:trPr>
        <w:tc>
          <w:tcPr>
            <w:tcW w:w="5000" w:type="pct"/>
            <w:gridSpan w:val="2"/>
          </w:tcPr>
          <w:p w:rsidR="00034CD2" w:rsidRPr="00034CD2" w:rsidRDefault="00DB142A" w:rsidP="00DB142A">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40"/>
              <w:jc w:val="center"/>
              <w:rPr>
                <w:rFonts w:eastAsiaTheme="minorEastAsia"/>
                <w:b/>
                <w:bCs/>
                <w:sz w:val="32"/>
                <w:szCs w:val="44"/>
                <w:rtl/>
                <w:lang w:eastAsia="zh-CN" w:bidi="ar-SY"/>
              </w:rPr>
            </w:pPr>
            <w:r w:rsidRPr="00DB142A">
              <w:rPr>
                <w:rFonts w:eastAsiaTheme="minorEastAsia" w:hint="cs"/>
                <w:b/>
                <w:bCs/>
                <w:sz w:val="32"/>
                <w:szCs w:val="44"/>
                <w:rtl/>
                <w:lang w:eastAsia="zh-CN" w:bidi="ar-SY"/>
              </w:rPr>
              <w:t>جمهورية الصين الشعبية</w:t>
            </w:r>
          </w:p>
        </w:tc>
      </w:tr>
      <w:tr w:rsidR="00034CD2" w:rsidRPr="00034CD2" w:rsidTr="004270DC">
        <w:trPr>
          <w:cantSplit/>
        </w:trPr>
        <w:tc>
          <w:tcPr>
            <w:tcW w:w="5000" w:type="pct"/>
            <w:gridSpan w:val="2"/>
          </w:tcPr>
          <w:p w:rsidR="00A330E2" w:rsidRPr="00034CD2" w:rsidRDefault="00EE5F69" w:rsidP="00DB142A">
            <w:pPr>
              <w:pStyle w:val="Title1"/>
              <w:rPr>
                <w:rFonts w:eastAsiaTheme="minorEastAsia"/>
                <w:rtl/>
                <w:lang w:eastAsia="zh-CN" w:bidi="ar-SY"/>
              </w:rPr>
            </w:pPr>
            <w:r w:rsidRPr="00DB142A">
              <w:rPr>
                <w:rFonts w:eastAsiaTheme="minorEastAsia" w:hint="cs"/>
                <w:rtl/>
                <w:lang w:eastAsia="zh-CN"/>
              </w:rPr>
              <w:t>استعراض قرارات المؤتمرات الإقليمية</w:t>
            </w:r>
            <w:r w:rsidR="00A330E2" w:rsidRPr="00DB142A">
              <w:rPr>
                <w:rFonts w:eastAsiaTheme="minorEastAsia"/>
                <w:lang w:eastAsia="zh-CN" w:bidi="ar-SY"/>
              </w:rPr>
              <w:br/>
            </w:r>
            <w:r w:rsidRPr="00DB142A">
              <w:rPr>
                <w:rFonts w:eastAsiaTheme="minorEastAsia" w:hint="cs"/>
                <w:rtl/>
                <w:lang w:eastAsia="zh-CN"/>
              </w:rPr>
              <w:t>للاتصالات الراديوية</w:t>
            </w:r>
          </w:p>
        </w:tc>
      </w:tr>
    </w:tbl>
    <w:p w:rsidR="00EE5F69" w:rsidRPr="00EE5F69" w:rsidRDefault="00EE5F69" w:rsidP="00725BDA">
      <w:pPr>
        <w:rPr>
          <w:rtl/>
        </w:rPr>
      </w:pPr>
      <w:bookmarkStart w:id="0" w:name="lt_pId014"/>
      <w:r w:rsidRPr="00EE5F69">
        <w:rPr>
          <w:rFonts w:hint="cs"/>
          <w:rtl/>
        </w:rPr>
        <w:t>يضطلع</w:t>
      </w:r>
      <w:r w:rsidRPr="00EE5F69">
        <w:rPr>
          <w:rtl/>
        </w:rPr>
        <w:t xml:space="preserve"> </w:t>
      </w:r>
      <w:r w:rsidRPr="00EE5F69">
        <w:rPr>
          <w:rFonts w:hint="cs"/>
          <w:rtl/>
        </w:rPr>
        <w:t>قطاع</w:t>
      </w:r>
      <w:r w:rsidRPr="00EE5F69">
        <w:rPr>
          <w:rtl/>
        </w:rPr>
        <w:t xml:space="preserve"> </w:t>
      </w:r>
      <w:r w:rsidRPr="00EE5F69">
        <w:rPr>
          <w:rFonts w:hint="cs"/>
          <w:rtl/>
        </w:rPr>
        <w:t>الاتصالات</w:t>
      </w:r>
      <w:r w:rsidRPr="00EE5F69">
        <w:rPr>
          <w:rtl/>
        </w:rPr>
        <w:t xml:space="preserve"> </w:t>
      </w:r>
      <w:r w:rsidRPr="00EE5F69">
        <w:rPr>
          <w:rFonts w:hint="cs"/>
          <w:rtl/>
        </w:rPr>
        <w:t>الراديوية</w:t>
      </w:r>
      <w:r w:rsidRPr="00EE5F69">
        <w:rPr>
          <w:rtl/>
        </w:rPr>
        <w:t xml:space="preserve"> </w:t>
      </w:r>
      <w:r w:rsidR="00A330E2">
        <w:t>(</w:t>
      </w:r>
      <w:r w:rsidRPr="00EE5F69">
        <w:rPr>
          <w:lang w:bidi="ar-EG"/>
        </w:rPr>
        <w:t>ITU-R</w:t>
      </w:r>
      <w:r w:rsidR="00A330E2">
        <w:t>)</w:t>
      </w:r>
      <w:r w:rsidRPr="00EE5F69">
        <w:rPr>
          <w:rFonts w:hint="cs"/>
          <w:rtl/>
        </w:rPr>
        <w:t xml:space="preserve"> بأنشطته من</w:t>
      </w:r>
      <w:r w:rsidRPr="00EE5F69">
        <w:rPr>
          <w:rtl/>
        </w:rPr>
        <w:t xml:space="preserve"> </w:t>
      </w:r>
      <w:r w:rsidRPr="00EE5F69">
        <w:rPr>
          <w:rFonts w:hint="cs"/>
          <w:rtl/>
        </w:rPr>
        <w:t>خلال:</w:t>
      </w:r>
      <w:r w:rsidRPr="00EE5F69">
        <w:rPr>
          <w:rtl/>
        </w:rPr>
        <w:t xml:space="preserve"> </w:t>
      </w:r>
      <w:r w:rsidRPr="00EE5F69">
        <w:rPr>
          <w:rFonts w:hint="cs"/>
          <w:rtl/>
        </w:rPr>
        <w:t>المؤتمرات</w:t>
      </w:r>
      <w:r w:rsidRPr="00EE5F69">
        <w:rPr>
          <w:rtl/>
        </w:rPr>
        <w:t xml:space="preserve"> </w:t>
      </w:r>
      <w:r w:rsidRPr="00EE5F69">
        <w:rPr>
          <w:rFonts w:hint="cs"/>
          <w:rtl/>
        </w:rPr>
        <w:t>العالمية</w:t>
      </w:r>
      <w:r w:rsidRPr="00EE5F69">
        <w:rPr>
          <w:rtl/>
        </w:rPr>
        <w:t xml:space="preserve"> </w:t>
      </w:r>
      <w:r w:rsidRPr="00EE5F69">
        <w:rPr>
          <w:rFonts w:hint="cs"/>
          <w:rtl/>
        </w:rPr>
        <w:t>والإقليمية</w:t>
      </w:r>
      <w:r w:rsidRPr="00EE5F69">
        <w:rPr>
          <w:rtl/>
        </w:rPr>
        <w:t xml:space="preserve"> </w:t>
      </w:r>
      <w:r w:rsidRPr="00EE5F69">
        <w:rPr>
          <w:rFonts w:hint="cs"/>
          <w:rtl/>
        </w:rPr>
        <w:t>للاتصالات</w:t>
      </w:r>
      <w:r w:rsidRPr="00EE5F69">
        <w:rPr>
          <w:rtl/>
        </w:rPr>
        <w:t xml:space="preserve"> </w:t>
      </w:r>
      <w:r w:rsidRPr="00EE5F69">
        <w:rPr>
          <w:rFonts w:hint="cs"/>
          <w:rtl/>
        </w:rPr>
        <w:t>الراديوية،</w:t>
      </w:r>
      <w:r w:rsidRPr="00EE5F69">
        <w:rPr>
          <w:rtl/>
        </w:rPr>
        <w:t xml:space="preserve"> </w:t>
      </w:r>
      <w:r w:rsidRPr="00EE5F69">
        <w:rPr>
          <w:rFonts w:hint="cs"/>
          <w:rtl/>
        </w:rPr>
        <w:t>ولجنة</w:t>
      </w:r>
      <w:r w:rsidRPr="00EE5F69">
        <w:rPr>
          <w:rtl/>
        </w:rPr>
        <w:t xml:space="preserve"> </w:t>
      </w:r>
      <w:r w:rsidRPr="00EE5F69">
        <w:rPr>
          <w:rFonts w:hint="cs"/>
          <w:rtl/>
        </w:rPr>
        <w:t>لوائح</w:t>
      </w:r>
      <w:r w:rsidRPr="00EE5F69">
        <w:rPr>
          <w:rtl/>
        </w:rPr>
        <w:t xml:space="preserve"> </w:t>
      </w:r>
      <w:r w:rsidRPr="00EE5F69">
        <w:rPr>
          <w:rFonts w:hint="cs"/>
          <w:rtl/>
        </w:rPr>
        <w:t>الراديو،</w:t>
      </w:r>
      <w:r w:rsidRPr="00EE5F69">
        <w:rPr>
          <w:rtl/>
        </w:rPr>
        <w:t xml:space="preserve"> </w:t>
      </w:r>
      <w:r w:rsidRPr="00EE5F69">
        <w:rPr>
          <w:rFonts w:hint="cs"/>
          <w:rtl/>
        </w:rPr>
        <w:t>وجمعيات</w:t>
      </w:r>
      <w:r w:rsidRPr="00EE5F69">
        <w:rPr>
          <w:rtl/>
        </w:rPr>
        <w:t xml:space="preserve"> </w:t>
      </w:r>
      <w:r w:rsidRPr="00EE5F69">
        <w:rPr>
          <w:rFonts w:hint="cs"/>
          <w:rtl/>
        </w:rPr>
        <w:t>الاتصالات</w:t>
      </w:r>
      <w:r w:rsidRPr="00EE5F69">
        <w:rPr>
          <w:rtl/>
        </w:rPr>
        <w:t xml:space="preserve"> </w:t>
      </w:r>
      <w:r w:rsidRPr="00EE5F69">
        <w:rPr>
          <w:rFonts w:hint="cs"/>
          <w:rtl/>
        </w:rPr>
        <w:t>الراديوية،</w:t>
      </w:r>
      <w:r w:rsidRPr="00EE5F69">
        <w:rPr>
          <w:rtl/>
        </w:rPr>
        <w:t xml:space="preserve"> </w:t>
      </w:r>
      <w:r w:rsidRPr="00EE5F69">
        <w:rPr>
          <w:rFonts w:hint="cs"/>
          <w:rtl/>
        </w:rPr>
        <w:t>ولجان</w:t>
      </w:r>
      <w:r w:rsidRPr="00EE5F69">
        <w:rPr>
          <w:rtl/>
        </w:rPr>
        <w:t xml:space="preserve"> </w:t>
      </w:r>
      <w:r w:rsidRPr="00EE5F69">
        <w:rPr>
          <w:rFonts w:hint="cs"/>
          <w:rtl/>
        </w:rPr>
        <w:t>دراسات</w:t>
      </w:r>
      <w:r w:rsidRPr="00EE5F69">
        <w:rPr>
          <w:rtl/>
        </w:rPr>
        <w:t xml:space="preserve"> </w:t>
      </w:r>
      <w:r w:rsidRPr="00EE5F69">
        <w:rPr>
          <w:rFonts w:hint="cs"/>
          <w:rtl/>
        </w:rPr>
        <w:t>الاتصالات</w:t>
      </w:r>
      <w:r w:rsidRPr="00EE5F69">
        <w:rPr>
          <w:rtl/>
        </w:rPr>
        <w:t xml:space="preserve"> </w:t>
      </w:r>
      <w:r w:rsidRPr="00EE5F69">
        <w:rPr>
          <w:rFonts w:hint="cs"/>
          <w:rtl/>
        </w:rPr>
        <w:t>الراديوية،</w:t>
      </w:r>
      <w:r w:rsidRPr="00EE5F69">
        <w:rPr>
          <w:rtl/>
        </w:rPr>
        <w:t xml:space="preserve"> </w:t>
      </w:r>
      <w:r w:rsidRPr="00EE5F69">
        <w:rPr>
          <w:rFonts w:hint="cs"/>
          <w:rtl/>
        </w:rPr>
        <w:t>والفريق</w:t>
      </w:r>
      <w:r w:rsidRPr="00EE5F69">
        <w:rPr>
          <w:rtl/>
        </w:rPr>
        <w:t xml:space="preserve"> </w:t>
      </w:r>
      <w:r w:rsidRPr="00EE5F69">
        <w:rPr>
          <w:rFonts w:hint="cs"/>
          <w:rtl/>
        </w:rPr>
        <w:t>الاستشاري</w:t>
      </w:r>
      <w:r w:rsidRPr="00EE5F69">
        <w:rPr>
          <w:rtl/>
        </w:rPr>
        <w:t xml:space="preserve"> </w:t>
      </w:r>
      <w:r w:rsidRPr="00EE5F69">
        <w:rPr>
          <w:rFonts w:hint="cs"/>
          <w:rtl/>
        </w:rPr>
        <w:t>للاتصالات</w:t>
      </w:r>
      <w:r w:rsidRPr="00EE5F69">
        <w:rPr>
          <w:rtl/>
        </w:rPr>
        <w:t xml:space="preserve"> </w:t>
      </w:r>
      <w:r w:rsidRPr="00EE5F69">
        <w:rPr>
          <w:rFonts w:hint="cs"/>
          <w:rtl/>
        </w:rPr>
        <w:t>الراديوية</w:t>
      </w:r>
      <w:r w:rsidRPr="00EE5F69">
        <w:rPr>
          <w:rFonts w:hint="cs"/>
          <w:rtl/>
          <w:lang w:bidi="ar-EG"/>
        </w:rPr>
        <w:t xml:space="preserve">، </w:t>
      </w:r>
      <w:r w:rsidRPr="00EE5F69">
        <w:rPr>
          <w:rFonts w:hint="cs"/>
          <w:rtl/>
        </w:rPr>
        <w:t>ومكتب</w:t>
      </w:r>
      <w:r w:rsidRPr="00EE5F69">
        <w:rPr>
          <w:rtl/>
        </w:rPr>
        <w:t xml:space="preserve"> </w:t>
      </w:r>
      <w:r w:rsidRPr="00EE5F69">
        <w:rPr>
          <w:rFonts w:hint="cs"/>
          <w:rtl/>
        </w:rPr>
        <w:t>الاتصالات</w:t>
      </w:r>
      <w:r w:rsidRPr="00EE5F69">
        <w:rPr>
          <w:rtl/>
        </w:rPr>
        <w:t xml:space="preserve"> </w:t>
      </w:r>
      <w:r w:rsidRPr="00EE5F69">
        <w:rPr>
          <w:rFonts w:hint="cs"/>
          <w:rtl/>
        </w:rPr>
        <w:t>الراديوية برئاسة</w:t>
      </w:r>
      <w:r w:rsidRPr="00EE5F69">
        <w:rPr>
          <w:rtl/>
        </w:rPr>
        <w:t xml:space="preserve"> </w:t>
      </w:r>
      <w:r w:rsidRPr="00EE5F69">
        <w:rPr>
          <w:rFonts w:hint="cs"/>
          <w:rtl/>
        </w:rPr>
        <w:t>المدير</w:t>
      </w:r>
      <w:r w:rsidRPr="00EE5F69">
        <w:rPr>
          <w:rtl/>
        </w:rPr>
        <w:t xml:space="preserve"> </w:t>
      </w:r>
      <w:r w:rsidRPr="00EE5F69">
        <w:rPr>
          <w:rFonts w:hint="cs"/>
          <w:rtl/>
        </w:rPr>
        <w:t>المنتخب</w:t>
      </w:r>
      <w:r w:rsidRPr="00EE5F69">
        <w:rPr>
          <w:rtl/>
        </w:rPr>
        <w:t xml:space="preserve">. </w:t>
      </w:r>
      <w:r w:rsidRPr="00EE5F69">
        <w:rPr>
          <w:rFonts w:hint="cs"/>
          <w:rtl/>
        </w:rPr>
        <w:t>ولاحظنا أن التواري</w:t>
      </w:r>
      <w:r w:rsidRPr="00EE5F69">
        <w:rPr>
          <w:rFonts w:hint="eastAsia"/>
          <w:rtl/>
        </w:rPr>
        <w:t>خ</w:t>
      </w:r>
      <w:r w:rsidRPr="00EE5F69">
        <w:rPr>
          <w:rFonts w:hint="cs"/>
          <w:rtl/>
        </w:rPr>
        <w:t xml:space="preserve"> الفعلية لتطبيق بعض القرارات الصادرة عن المؤتمرات الإقليمية للاتصالات الراديوية (مثلاً الاتفاق </w:t>
      </w:r>
      <w:r w:rsidRPr="00EE5F69">
        <w:rPr>
          <w:lang w:bidi="ar-EG"/>
        </w:rPr>
        <w:t>ST61</w:t>
      </w:r>
      <w:r w:rsidRPr="00EE5F69">
        <w:rPr>
          <w:rFonts w:hint="cs"/>
          <w:rtl/>
        </w:rPr>
        <w:t xml:space="preserve"> والاتفاق </w:t>
      </w:r>
      <w:r w:rsidRPr="00EE5F69">
        <w:rPr>
          <w:lang w:bidi="ar-EG"/>
        </w:rPr>
        <w:t>GE75</w:t>
      </w:r>
      <w:r w:rsidRPr="00EE5F69">
        <w:rPr>
          <w:rFonts w:hint="cs"/>
          <w:rtl/>
        </w:rPr>
        <w:t xml:space="preserve">) ترجع إلى عهد بعيد. وعلى مدى عقود عديدة منذ اعتماد هذين الاتفاقين الإقليميين، عقد الاتحاد الدولي للاتصالات عدداً كبيراً من المؤتمرات الإدارية العالمية للاتصالات الراديوية أو المؤتمرات العالمية للاتصالات الراديوية بهدف مراجعة لوائح الراديو. وبموجب الفقرة </w:t>
      </w:r>
      <w:r w:rsidRPr="00EE5F69">
        <w:rPr>
          <w:lang w:bidi="ar-EG"/>
        </w:rPr>
        <w:t>4</w:t>
      </w:r>
      <w:r w:rsidRPr="00EE5F69">
        <w:rPr>
          <w:rFonts w:hint="cs"/>
          <w:rtl/>
        </w:rPr>
        <w:t xml:space="preserve"> من المادة </w:t>
      </w:r>
      <w:r w:rsidRPr="00EE5F69">
        <w:rPr>
          <w:lang w:bidi="ar-EG"/>
        </w:rPr>
        <w:t>13</w:t>
      </w:r>
      <w:r w:rsidR="00A330E2">
        <w:rPr>
          <w:rFonts w:hint="cs"/>
          <w:rtl/>
          <w:lang w:bidi="ar-EG"/>
        </w:rPr>
        <w:t xml:space="preserve"> </w:t>
      </w:r>
      <w:r w:rsidRPr="00EE5F69">
        <w:rPr>
          <w:rFonts w:hint="cs"/>
          <w:rtl/>
        </w:rPr>
        <w:t>من دستور الاتحاد، "</w:t>
      </w:r>
      <w:r w:rsidRPr="00EE5F69">
        <w:rPr>
          <w:rtl/>
        </w:rPr>
        <w:t xml:space="preserve">يجب أن تتوافق مقررات </w:t>
      </w:r>
      <w:r w:rsidRPr="00EE5F69">
        <w:rPr>
          <w:rFonts w:hint="cs"/>
          <w:rtl/>
        </w:rPr>
        <w:t xml:space="preserve">... </w:t>
      </w:r>
      <w:r w:rsidRPr="00EE5F69">
        <w:rPr>
          <w:rtl/>
        </w:rPr>
        <w:t>المؤتمرات الإقليمية للاتصالات الراديوية في جميع الأحوال مع أحكام لوائح الراديو</w:t>
      </w:r>
      <w:r w:rsidRPr="00EE5F69">
        <w:rPr>
          <w:rFonts w:hint="cs"/>
          <w:rtl/>
        </w:rPr>
        <w:t xml:space="preserve">". وعندما ينطوي بند من جدول أعمال مؤتمر عالمي للاتصالات الراديوية على اتفاق إقليمي (مثلاً البند </w:t>
      </w:r>
      <w:r w:rsidR="00D60B34">
        <w:rPr>
          <w:lang w:bidi="ar-EG"/>
        </w:rPr>
        <w:t>2.1</w:t>
      </w:r>
      <w:r w:rsidRPr="00EE5F69">
        <w:rPr>
          <w:rFonts w:hint="cs"/>
          <w:rtl/>
        </w:rPr>
        <w:t xml:space="preserve"> من جدول أعمال المؤتمر العالمي للاتصالات الراديوية لعام</w:t>
      </w:r>
      <w:r w:rsidR="00A330E2">
        <w:rPr>
          <w:rFonts w:hint="eastAsia"/>
          <w:rtl/>
        </w:rPr>
        <w:t> </w:t>
      </w:r>
      <w:r w:rsidRPr="00EE5F69">
        <w:rPr>
          <w:lang w:bidi="ar-EG"/>
        </w:rPr>
        <w:t>2015</w:t>
      </w:r>
      <w:r w:rsidRPr="00EE5F69">
        <w:rPr>
          <w:rFonts w:hint="cs"/>
          <w:rtl/>
        </w:rPr>
        <w:t xml:space="preserve"> والبند</w:t>
      </w:r>
      <w:r w:rsidR="00E666F7">
        <w:rPr>
          <w:rFonts w:hint="eastAsia"/>
          <w:rtl/>
        </w:rPr>
        <w:t> </w:t>
      </w:r>
      <w:r w:rsidRPr="00EE5F69">
        <w:rPr>
          <w:lang w:bidi="ar-EG"/>
        </w:rPr>
        <w:t>1.1</w:t>
      </w:r>
      <w:r w:rsidRPr="00EE5F69">
        <w:rPr>
          <w:rFonts w:hint="cs"/>
          <w:rtl/>
        </w:rPr>
        <w:t xml:space="preserve"> من جدول أعمال المؤتمر العالمي للاتصالات الراديوية لعام </w:t>
      </w:r>
      <w:r w:rsidRPr="00EE5F69">
        <w:rPr>
          <w:lang w:bidi="ar-EG"/>
        </w:rPr>
        <w:t>2019</w:t>
      </w:r>
      <w:r w:rsidRPr="00EE5F69">
        <w:rPr>
          <w:rFonts w:hint="cs"/>
          <w:rtl/>
        </w:rPr>
        <w:t xml:space="preserve"> المتعلقين بالاتفاقين </w:t>
      </w:r>
      <w:r w:rsidRPr="00EE5F69">
        <w:rPr>
          <w:lang w:bidi="ar-EG"/>
        </w:rPr>
        <w:t>GE06</w:t>
      </w:r>
      <w:r w:rsidRPr="00EE5F69">
        <w:rPr>
          <w:rFonts w:hint="cs"/>
          <w:rtl/>
        </w:rPr>
        <w:t xml:space="preserve"> و</w:t>
      </w:r>
      <w:r w:rsidRPr="00EE5F69">
        <w:rPr>
          <w:lang w:bidi="ar-EG"/>
        </w:rPr>
        <w:t xml:space="preserve"> ST61</w:t>
      </w:r>
      <w:r w:rsidRPr="00EE5F69">
        <w:rPr>
          <w:rFonts w:hint="cs"/>
          <w:rtl/>
        </w:rPr>
        <w:t xml:space="preserve"> على التوالي)، فإن مراجعات لوائح الراديو بموجب هذين البندين من جدوليْ الأعمال تستند فعلياً إلى الشرط المسبق الذي يقضي بعدم إدخال أيّ تعديلات على قرارات المؤتمرات الإقليمية</w:t>
      </w:r>
      <w:r w:rsidR="00325910">
        <w:rPr>
          <w:rFonts w:hint="cs"/>
          <w:rtl/>
        </w:rPr>
        <w:t xml:space="preserve"> للاتصالات الراديوية</w:t>
      </w:r>
      <w:r w:rsidRPr="00EE5F69">
        <w:rPr>
          <w:rFonts w:hint="cs"/>
          <w:rtl/>
        </w:rPr>
        <w:t>. ومع ذلك، ليس هناك ما يضمن أن تكون القرارات الحالية للمؤتمرات الإقليمية للاتصالات الراديوية متسقة تماماً مع أحكام لوائح الراديو. وعلاوة</w:t>
      </w:r>
      <w:r w:rsidR="00C643C4">
        <w:rPr>
          <w:rFonts w:hint="cs"/>
          <w:rtl/>
        </w:rPr>
        <w:t>ً</w:t>
      </w:r>
      <w:r w:rsidRPr="00EE5F69">
        <w:rPr>
          <w:rFonts w:hint="cs"/>
          <w:rtl/>
        </w:rPr>
        <w:t xml:space="preserve"> على ذلك، يحتّم التطور الذي تشهده تكنولوجيات الاتصالات الراديوية وتطبيقاتها أحياناً ضرورة تعديل قرارات مؤتمر إقليمي للاتصالات الراديوية. وكنهج مناسب في بعض الحالات، يمكن أن تُدعى لجنة لوائح الراديو إلى وضع قاعدة إجرائية جديدة لاستيعاب المتطلبات الجديدة وتوسيع نطاق الاتفاقات الإقليمية (مثلاً إدراج الإذاعة الرقمية في خطة الاتفاق </w:t>
      </w:r>
      <w:r w:rsidRPr="00EE5F69">
        <w:rPr>
          <w:lang w:bidi="ar-EG"/>
        </w:rPr>
        <w:t>GE75</w:t>
      </w:r>
      <w:r w:rsidRPr="00EE5F69">
        <w:rPr>
          <w:rFonts w:hint="cs"/>
          <w:rtl/>
        </w:rPr>
        <w:t>). بيد أن المؤتمر الإقليمي للاتصالات الراديوية ذي الصلة، وحده، يملك صلاحية تحويل القاعدة إلى حُكم من الاتفاق الإقليمي. وبخلاف المؤتمرات العالمية للاتصالات الراديوية، لا</w:t>
      </w:r>
      <w:r w:rsidR="00725BDA">
        <w:rPr>
          <w:rFonts w:hint="eastAsia"/>
          <w:rtl/>
        </w:rPr>
        <w:t> </w:t>
      </w:r>
      <w:r w:rsidRPr="00EE5F69">
        <w:rPr>
          <w:rFonts w:hint="cs"/>
          <w:rtl/>
        </w:rPr>
        <w:t>ينص الدستور ولا</w:t>
      </w:r>
      <w:r w:rsidR="000715DA">
        <w:rPr>
          <w:rFonts w:hint="eastAsia"/>
          <w:rtl/>
        </w:rPr>
        <w:t> </w:t>
      </w:r>
      <w:r w:rsidRPr="00EE5F69">
        <w:rPr>
          <w:rFonts w:hint="cs"/>
          <w:rtl/>
        </w:rPr>
        <w:t xml:space="preserve">الاتفاقية على تواتر مؤتمر إقليمي للاتصالات الراديوية وشروط عقده. وفي الوقت نفسه، من المستبعد جداً أن يُعقد مؤتمر إقليمي للاتصالات الراديوية </w:t>
      </w:r>
      <w:r w:rsidR="00A330E2">
        <w:rPr>
          <w:rFonts w:hint="cs"/>
          <w:rtl/>
        </w:rPr>
        <w:t>في</w:t>
      </w:r>
      <w:r w:rsidR="00A330E2">
        <w:rPr>
          <w:rFonts w:hint="eastAsia"/>
          <w:rtl/>
        </w:rPr>
        <w:t> </w:t>
      </w:r>
      <w:r w:rsidRPr="00EE5F69">
        <w:rPr>
          <w:rFonts w:hint="cs"/>
          <w:rtl/>
        </w:rPr>
        <w:t>المستقبل القريب، بالنظر إلى الآثار المالية وعوامل أخرى.</w:t>
      </w:r>
      <w:bookmarkStart w:id="1" w:name="_GoBack"/>
      <w:bookmarkEnd w:id="1"/>
    </w:p>
    <w:p w:rsidR="00EE5F69" w:rsidRPr="008B182F" w:rsidRDefault="00EE5F69" w:rsidP="00EB6CF9">
      <w:pPr>
        <w:rPr>
          <w:rFonts w:hint="cs"/>
          <w:spacing w:val="-2"/>
          <w:rtl/>
          <w:lang w:bidi="ar-EG"/>
        </w:rPr>
      </w:pPr>
      <w:r w:rsidRPr="008B182F">
        <w:rPr>
          <w:rFonts w:hint="cs"/>
          <w:spacing w:val="-2"/>
          <w:rtl/>
        </w:rPr>
        <w:t>وبالنظر إلى أن المؤتمرات الإقليمية للاتصالا</w:t>
      </w:r>
      <w:r w:rsidRPr="008B182F">
        <w:rPr>
          <w:rFonts w:hint="eastAsia"/>
          <w:spacing w:val="-2"/>
          <w:rtl/>
        </w:rPr>
        <w:t>ت</w:t>
      </w:r>
      <w:r w:rsidRPr="008B182F">
        <w:rPr>
          <w:rFonts w:hint="cs"/>
          <w:spacing w:val="-2"/>
          <w:rtl/>
        </w:rPr>
        <w:t xml:space="preserve"> الراديوي</w:t>
      </w:r>
      <w:r w:rsidRPr="008B182F">
        <w:rPr>
          <w:rFonts w:hint="eastAsia"/>
          <w:spacing w:val="-2"/>
          <w:rtl/>
        </w:rPr>
        <w:t>ة</w:t>
      </w:r>
      <w:r w:rsidRPr="008B182F">
        <w:rPr>
          <w:rFonts w:hint="cs"/>
          <w:spacing w:val="-2"/>
          <w:rtl/>
        </w:rPr>
        <w:t xml:space="preserve"> لن تعقد في الغالب على أساس منتظم، فقد أصبح من الصعب ضمان أن تكون قرارات المؤتمرات الإقليمية للاتصالات الراديوية متسقة مع لوائح الراديو التي تحدَّث بانتظام وأن تشمل أحدث تكنولوجيات الاتصالات الراديوية وتطبيقاتها. ويمكن أن تكون هناك عدة خيارات. مثلاً، تحويل بعض الاتفاقات الإقليمية التي اعتمدتها مؤتمرات إقليمية للاتصالات الراديوية إلى تذييل في لوائح الراديو بطريقة مناسبة تسمح باستعراضها على أساس منتظم؛ أو النظر في إمكانية مراجعة القرار</w:t>
      </w:r>
      <w:r w:rsidR="00A330E2" w:rsidRPr="008B182F">
        <w:rPr>
          <w:rFonts w:hint="cs"/>
          <w:spacing w:val="-2"/>
          <w:rtl/>
        </w:rPr>
        <w:t xml:space="preserve"> </w:t>
      </w:r>
      <w:r w:rsidRPr="008B182F">
        <w:rPr>
          <w:spacing w:val="-2"/>
          <w:lang w:bidi="ar-EG"/>
        </w:rPr>
        <w:t>95</w:t>
      </w:r>
      <w:r w:rsidR="002F7763">
        <w:rPr>
          <w:spacing w:val="-2"/>
          <w:lang w:bidi="ar-EG"/>
        </w:rPr>
        <w:t> (Rev.WRC-07)</w:t>
      </w:r>
      <w:r w:rsidR="00A330E2" w:rsidRPr="008B182F">
        <w:rPr>
          <w:rFonts w:hint="cs"/>
          <w:spacing w:val="-2"/>
          <w:rtl/>
          <w:lang w:bidi="ar-EG"/>
        </w:rPr>
        <w:t xml:space="preserve"> </w:t>
      </w:r>
      <w:r w:rsidRPr="008B182F">
        <w:rPr>
          <w:rFonts w:hint="cs"/>
          <w:spacing w:val="-2"/>
          <w:rtl/>
        </w:rPr>
        <w:t>لإدراج أحكام تتعلق بالاستعراض العام لقرارات المؤتمرات الإقليمية للاتصالات الراديوية وتوصياتها. ولا</w:t>
      </w:r>
      <w:r w:rsidR="00DA554F">
        <w:rPr>
          <w:rFonts w:hint="eastAsia"/>
          <w:spacing w:val="-2"/>
          <w:rtl/>
        </w:rPr>
        <w:t> </w:t>
      </w:r>
      <w:r w:rsidRPr="008B182F">
        <w:rPr>
          <w:rFonts w:hint="cs"/>
          <w:spacing w:val="-2"/>
          <w:rtl/>
        </w:rPr>
        <w:t>شك في أن هذا الخيار يشكّل مهمة معقدة جداً وأنّ الأفكار الأولية الواردة في هذه المساهمة والرامية إلى تحفيز المناقشة في</w:t>
      </w:r>
      <w:r w:rsidR="00EB6CF9">
        <w:rPr>
          <w:rFonts w:hint="eastAsia"/>
          <w:spacing w:val="-2"/>
          <w:rtl/>
        </w:rPr>
        <w:t> </w:t>
      </w:r>
      <w:r w:rsidRPr="008B182F">
        <w:rPr>
          <w:rFonts w:hint="cs"/>
          <w:spacing w:val="-2"/>
          <w:rtl/>
        </w:rPr>
        <w:t>الاجتماع المقبل للفريق الاستشاري للاتصالات الراديو</w:t>
      </w:r>
      <w:r w:rsidR="008B182F" w:rsidRPr="008B182F">
        <w:rPr>
          <w:rFonts w:hint="cs"/>
          <w:spacing w:val="-2"/>
          <w:rtl/>
        </w:rPr>
        <w:t>ية تُعرض الآن لكي يُنظر فيها.</w:t>
      </w:r>
    </w:p>
    <w:p w:rsidR="00A330E2" w:rsidRPr="00A330E2" w:rsidRDefault="00A330E2" w:rsidP="008B182F">
      <w:pPr>
        <w:spacing w:before="60" w:line="168" w:lineRule="auto"/>
        <w:jc w:val="center"/>
        <w:rPr>
          <w:spacing w:val="2"/>
          <w:rtl/>
        </w:rPr>
      </w:pPr>
      <w:r>
        <w:rPr>
          <w:spacing w:val="2"/>
          <w:rtl/>
        </w:rPr>
        <w:t>___________</w:t>
      </w:r>
      <w:bookmarkEnd w:id="0"/>
    </w:p>
    <w:sectPr w:rsidR="00A330E2" w:rsidRPr="00A330E2"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F69" w:rsidRDefault="00EE5F69" w:rsidP="00E07379">
      <w:pPr>
        <w:spacing w:before="0" w:line="240" w:lineRule="auto"/>
      </w:pPr>
      <w:r>
        <w:separator/>
      </w:r>
    </w:p>
  </w:endnote>
  <w:endnote w:type="continuationSeparator" w:id="0">
    <w:p w:rsidR="00EE5F69" w:rsidRDefault="00EE5F6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A330E2">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DB142A">
      <w:rPr>
        <w:rFonts w:eastAsiaTheme="minorEastAsia" w:cs="Calibri"/>
        <w:noProof/>
        <w:sz w:val="16"/>
        <w:szCs w:val="16"/>
        <w:lang w:eastAsia="zh-CN"/>
      </w:rPr>
      <w:t>P:\ARA\ITU-R\AG\RAG\RAG17\000\007A.docx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A330E2">
      <w:rPr>
        <w:rFonts w:eastAsiaTheme="minorEastAsia" w:cs="Calibri"/>
        <w:sz w:val="16"/>
        <w:szCs w:val="16"/>
        <w:lang w:eastAsia="zh-CN"/>
      </w:rPr>
      <w:t>416200</w:t>
    </w:r>
    <w:r w:rsidRPr="00034CD2">
      <w:rPr>
        <w:rFonts w:eastAsiaTheme="minorEastAsia" w:cs="Calibri"/>
        <w:sz w:val="16"/>
        <w:szCs w:val="16"/>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8B182F">
    <w:pPr>
      <w:tabs>
        <w:tab w:val="clear" w:pos="1134"/>
        <w:tab w:val="left" w:pos="5103"/>
        <w:tab w:val="right" w:pos="9639"/>
      </w:tabs>
      <w:bidi w:val="0"/>
      <w:spacing w:before="0"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DB142A">
      <w:rPr>
        <w:rFonts w:eastAsiaTheme="minorEastAsia" w:cs="Calibri"/>
        <w:noProof/>
        <w:sz w:val="16"/>
        <w:szCs w:val="16"/>
        <w:lang w:eastAsia="zh-CN"/>
      </w:rPr>
      <w:t>P:\ARA\ITU-R\AG\RAG\RAG17\000\007A.docx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A330E2">
      <w:rPr>
        <w:rFonts w:eastAsiaTheme="minorEastAsia" w:cs="Calibri"/>
        <w:sz w:val="16"/>
        <w:szCs w:val="16"/>
        <w:lang w:eastAsia="zh-CN"/>
      </w:rPr>
      <w:t>416200</w:t>
    </w:r>
    <w:r w:rsidRPr="00034CD2">
      <w:rPr>
        <w:rFonts w:eastAsiaTheme="minorEastAsia" w:cs="Calibri"/>
        <w:sz w:val="16"/>
        <w:szCs w:val="16"/>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F69" w:rsidRDefault="00EE5F69" w:rsidP="00E07379">
      <w:pPr>
        <w:spacing w:before="0" w:line="240" w:lineRule="auto"/>
      </w:pPr>
      <w:r>
        <w:separator/>
      </w:r>
    </w:p>
  </w:footnote>
  <w:footnote w:type="continuationSeparator" w:id="0">
    <w:p w:rsidR="00EE5F69" w:rsidRDefault="00EE5F69"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A330E2">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215F6F">
      <w:rPr>
        <w:rFonts w:eastAsiaTheme="minorEastAsia" w:cs="Calibri"/>
        <w:noProof/>
        <w:sz w:val="20"/>
        <w:szCs w:val="20"/>
        <w:lang w:val="en-GB" w:eastAsia="zh-CN"/>
      </w:rPr>
      <w:t>2</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Pr>
        <w:rFonts w:eastAsiaTheme="minorEastAsia" w:cs="Calibri"/>
        <w:sz w:val="20"/>
        <w:szCs w:val="20"/>
        <w:lang w:val="en-GB" w:eastAsia="zh-CN"/>
      </w:rPr>
      <w:t>7</w:t>
    </w:r>
    <w:r w:rsidRPr="00034CD2">
      <w:rPr>
        <w:rFonts w:eastAsiaTheme="minorEastAsia" w:cs="Calibri"/>
        <w:sz w:val="20"/>
        <w:szCs w:val="20"/>
        <w:lang w:val="en-GB" w:eastAsia="zh-CN"/>
      </w:rPr>
      <w:t>/</w:t>
    </w:r>
    <w:r w:rsidR="00A330E2">
      <w:rPr>
        <w:rFonts w:eastAsiaTheme="minorEastAsia" w:cs="Calibri"/>
        <w:sz w:val="20"/>
        <w:szCs w:val="20"/>
        <w:lang w:val="en-GB" w:eastAsia="zh-CN"/>
      </w:rPr>
      <w:t>7</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69"/>
    <w:rsid w:val="000124CC"/>
    <w:rsid w:val="00034CD2"/>
    <w:rsid w:val="00041F8B"/>
    <w:rsid w:val="00046444"/>
    <w:rsid w:val="0006023B"/>
    <w:rsid w:val="000715DA"/>
    <w:rsid w:val="0008638B"/>
    <w:rsid w:val="00090574"/>
    <w:rsid w:val="00092FC2"/>
    <w:rsid w:val="000A1677"/>
    <w:rsid w:val="000B407F"/>
    <w:rsid w:val="000C13C2"/>
    <w:rsid w:val="000F0B1C"/>
    <w:rsid w:val="000F1D42"/>
    <w:rsid w:val="000F4D07"/>
    <w:rsid w:val="00102A03"/>
    <w:rsid w:val="001040A3"/>
    <w:rsid w:val="00173915"/>
    <w:rsid w:val="00215F6F"/>
    <w:rsid w:val="0022345D"/>
    <w:rsid w:val="00225854"/>
    <w:rsid w:val="0023283D"/>
    <w:rsid w:val="00252E0C"/>
    <w:rsid w:val="00276881"/>
    <w:rsid w:val="002916BE"/>
    <w:rsid w:val="002978F4"/>
    <w:rsid w:val="002B028D"/>
    <w:rsid w:val="002B435E"/>
    <w:rsid w:val="002C4DAE"/>
    <w:rsid w:val="002D6669"/>
    <w:rsid w:val="002E6541"/>
    <w:rsid w:val="002F5560"/>
    <w:rsid w:val="002F7763"/>
    <w:rsid w:val="0030486B"/>
    <w:rsid w:val="003231B9"/>
    <w:rsid w:val="00325910"/>
    <w:rsid w:val="003275AC"/>
    <w:rsid w:val="00333D29"/>
    <w:rsid w:val="003409F4"/>
    <w:rsid w:val="00357185"/>
    <w:rsid w:val="003C475F"/>
    <w:rsid w:val="003E4132"/>
    <w:rsid w:val="003F678F"/>
    <w:rsid w:val="0042686F"/>
    <w:rsid w:val="004367CE"/>
    <w:rsid w:val="00443869"/>
    <w:rsid w:val="004712C6"/>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5BDA"/>
    <w:rsid w:val="00726AEC"/>
    <w:rsid w:val="007530CA"/>
    <w:rsid w:val="0079553D"/>
    <w:rsid w:val="007B01CC"/>
    <w:rsid w:val="007E7C6C"/>
    <w:rsid w:val="007F6238"/>
    <w:rsid w:val="007F646C"/>
    <w:rsid w:val="00801FCD"/>
    <w:rsid w:val="00803D7E"/>
    <w:rsid w:val="00803F08"/>
    <w:rsid w:val="008235CD"/>
    <w:rsid w:val="00823A07"/>
    <w:rsid w:val="00835FEC"/>
    <w:rsid w:val="008513CB"/>
    <w:rsid w:val="00874D9C"/>
    <w:rsid w:val="008A1810"/>
    <w:rsid w:val="008B182F"/>
    <w:rsid w:val="008B5B5D"/>
    <w:rsid w:val="00917694"/>
    <w:rsid w:val="009263CD"/>
    <w:rsid w:val="00930E6D"/>
    <w:rsid w:val="00972CA2"/>
    <w:rsid w:val="00982B28"/>
    <w:rsid w:val="009837B8"/>
    <w:rsid w:val="00984EA5"/>
    <w:rsid w:val="00992593"/>
    <w:rsid w:val="009C17E1"/>
    <w:rsid w:val="009C35ED"/>
    <w:rsid w:val="009F1C12"/>
    <w:rsid w:val="00A124CB"/>
    <w:rsid w:val="00A2167A"/>
    <w:rsid w:val="00A25A43"/>
    <w:rsid w:val="00A3295B"/>
    <w:rsid w:val="00A330E2"/>
    <w:rsid w:val="00A42AE5"/>
    <w:rsid w:val="00A52B61"/>
    <w:rsid w:val="00A64820"/>
    <w:rsid w:val="00A71DD6"/>
    <w:rsid w:val="00A723C7"/>
    <w:rsid w:val="00A80E11"/>
    <w:rsid w:val="00A97F94"/>
    <w:rsid w:val="00AB1309"/>
    <w:rsid w:val="00AC2C52"/>
    <w:rsid w:val="00AD1503"/>
    <w:rsid w:val="00AE7244"/>
    <w:rsid w:val="00AF3FEE"/>
    <w:rsid w:val="00B02F46"/>
    <w:rsid w:val="00B10C10"/>
    <w:rsid w:val="00B2000C"/>
    <w:rsid w:val="00B20ADE"/>
    <w:rsid w:val="00B30303"/>
    <w:rsid w:val="00B50C09"/>
    <w:rsid w:val="00B66B9A"/>
    <w:rsid w:val="00B82089"/>
    <w:rsid w:val="00B823E0"/>
    <w:rsid w:val="00B970AE"/>
    <w:rsid w:val="00BA1427"/>
    <w:rsid w:val="00BE49D0"/>
    <w:rsid w:val="00BF2C38"/>
    <w:rsid w:val="00C23331"/>
    <w:rsid w:val="00C265DA"/>
    <w:rsid w:val="00C442F2"/>
    <w:rsid w:val="00C643C4"/>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60B34"/>
    <w:rsid w:val="00D77D0F"/>
    <w:rsid w:val="00DA1CF0"/>
    <w:rsid w:val="00DA554F"/>
    <w:rsid w:val="00DB142A"/>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666F7"/>
    <w:rsid w:val="00E7380C"/>
    <w:rsid w:val="00E74BE7"/>
    <w:rsid w:val="00E86CC9"/>
    <w:rsid w:val="00E96624"/>
    <w:rsid w:val="00EB6CF9"/>
    <w:rsid w:val="00EE5F69"/>
    <w:rsid w:val="00F126F1"/>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F39E966-CDAF-4B4F-BC6B-3CAB3613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R%20(BR)\PA_RAG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purl.org/dc/terms/"/>
    <ds:schemaRef ds:uri="http://purl.org/dc/dcmitype/"/>
    <ds:schemaRef ds:uri="de10a323-94a9-4e93-88b4-ea964576960d"/>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9A3F5-6FE4-42F4-BA97-02FCDE61E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PA_RAG17.dotx</Template>
  <TotalTime>33</TotalTime>
  <Pages>1</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Awad, Samy</cp:lastModifiedBy>
  <cp:revision>16</cp:revision>
  <cp:lastPrinted>2017-04-20T14:12:00Z</cp:lastPrinted>
  <dcterms:created xsi:type="dcterms:W3CDTF">2017-04-20T14:01:00Z</dcterms:created>
  <dcterms:modified xsi:type="dcterms:W3CDTF">2017-04-20T15:52:00Z</dcterms:modified>
  <cp:category>Conference document</cp:category>
</cp:coreProperties>
</file>