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Pr>
                <w:rFonts w:ascii="Verdana Bold" w:eastAsiaTheme="minorEastAsia" w:hAnsi="Verdana Bold"/>
                <w:b/>
                <w:bCs/>
                <w:sz w:val="20"/>
                <w:szCs w:val="34"/>
                <w:lang w:eastAsia="zh-CN" w:bidi="ar-SY"/>
              </w:rPr>
              <w:t>28-26</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Pr>
                <w:rFonts w:ascii="Verdana Bold" w:eastAsiaTheme="minorEastAsia" w:hAnsi="Verdana Bold"/>
                <w:b/>
                <w:bCs/>
                <w:sz w:val="20"/>
                <w:szCs w:val="34"/>
                <w:lang w:eastAsia="zh-CN" w:bidi="ar-SY"/>
              </w:rPr>
              <w:t>2017</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2679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2679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034CD2" w:rsidRDefault="00034CD2" w:rsidP="002679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Verdana Bold" w:eastAsiaTheme="minorEastAsia" w:hAnsi="Verdana Bold" w:hint="eastAsia"/>
                <w:b/>
                <w:bCs/>
                <w:sz w:val="19"/>
                <w:rtl/>
                <w:lang w:eastAsia="zh-CN" w:bidi="ar-EG"/>
              </w:rPr>
            </w:pPr>
          </w:p>
        </w:tc>
        <w:tc>
          <w:tcPr>
            <w:tcW w:w="1618" w:type="pct"/>
            <w:vAlign w:val="center"/>
          </w:tcPr>
          <w:p w:rsidR="00034CD2" w:rsidRPr="00034CD2" w:rsidRDefault="00034CD2" w:rsidP="002679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sidRPr="00034CD2">
              <w:rPr>
                <w:rFonts w:ascii="Verdana Bold" w:eastAsiaTheme="minorEastAsia" w:hAnsi="Verdana Bold"/>
                <w:b/>
                <w:bCs/>
                <w:sz w:val="19"/>
                <w:lang w:eastAsia="zh-CN" w:bidi="ar-SY"/>
              </w:rPr>
              <w:t>RAG1</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w:t>
            </w:r>
            <w:r w:rsidR="002B0DB7">
              <w:rPr>
                <w:rFonts w:ascii="Verdana Bold" w:eastAsiaTheme="minorEastAsia" w:hAnsi="Verdana Bold"/>
                <w:b/>
                <w:bCs/>
                <w:sz w:val="19"/>
                <w:lang w:eastAsia="zh-CN" w:bidi="ar-SY"/>
              </w:rPr>
              <w:t>5</w:t>
            </w:r>
            <w:r w:rsidRPr="00034CD2">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034CD2" w:rsidRDefault="00034CD2" w:rsidP="002679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Theme="minorHAnsi" w:eastAsiaTheme="minorEastAsia" w:hAnsiTheme="minorHAnsi"/>
                <w:b/>
                <w:bCs/>
                <w:sz w:val="19"/>
                <w:rtl/>
                <w:lang w:eastAsia="zh-CN" w:bidi="ar-EG"/>
              </w:rPr>
            </w:pPr>
          </w:p>
        </w:tc>
        <w:tc>
          <w:tcPr>
            <w:tcW w:w="1618" w:type="pct"/>
            <w:vAlign w:val="center"/>
          </w:tcPr>
          <w:p w:rsidR="00034CD2" w:rsidRPr="00034CD2" w:rsidRDefault="002B0DB7" w:rsidP="002679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3</w:t>
            </w:r>
            <w:r w:rsidR="00034CD2"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أبريل</w:t>
            </w:r>
            <w:r w:rsidR="00034CD2" w:rsidRPr="00034CD2">
              <w:rPr>
                <w:rFonts w:ascii="Verdana Bold" w:eastAsiaTheme="minorEastAsia" w:hAnsi="Verdana Bold" w:hint="cs"/>
                <w:b/>
                <w:bCs/>
                <w:sz w:val="19"/>
                <w:rtl/>
                <w:lang w:eastAsia="zh-CN" w:bidi="ar-EG"/>
              </w:rPr>
              <w:t xml:space="preserve"> </w:t>
            </w:r>
            <w:r w:rsidR="00034CD2">
              <w:rPr>
                <w:rFonts w:ascii="Verdana Bold" w:eastAsiaTheme="minorEastAsia" w:hAnsi="Verdana Bold"/>
                <w:b/>
                <w:bCs/>
                <w:sz w:val="19"/>
                <w:lang w:eastAsia="zh-CN" w:bidi="ar-SY"/>
              </w:rPr>
              <w:t>2017</w:t>
            </w:r>
          </w:p>
        </w:tc>
      </w:tr>
      <w:tr w:rsidR="00034CD2" w:rsidRPr="00034CD2" w:rsidTr="00034CD2">
        <w:trPr>
          <w:cantSplit/>
        </w:trPr>
        <w:tc>
          <w:tcPr>
            <w:tcW w:w="3382" w:type="pct"/>
          </w:tcPr>
          <w:p w:rsidR="00034CD2" w:rsidRPr="00034CD2" w:rsidRDefault="00034CD2" w:rsidP="002679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Verdana Bold" w:eastAsiaTheme="minorEastAsia" w:hAnsi="Verdana Bold" w:hint="eastAsia"/>
                <w:b/>
                <w:bCs/>
                <w:sz w:val="19"/>
                <w:rtl/>
                <w:lang w:eastAsia="zh-CN" w:bidi="ar-EG"/>
              </w:rPr>
            </w:pPr>
          </w:p>
        </w:tc>
        <w:tc>
          <w:tcPr>
            <w:tcW w:w="1618" w:type="pct"/>
            <w:vAlign w:val="center"/>
          </w:tcPr>
          <w:p w:rsidR="00034CD2" w:rsidRPr="002B0DB7" w:rsidRDefault="00034CD2" w:rsidP="002679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asciiTheme="minorHAnsi" w:eastAsiaTheme="minorEastAsia" w:hAnsiTheme="minorHAnsi"/>
                <w:b/>
                <w:bCs/>
                <w:sz w:val="19"/>
                <w:lang w:eastAsia="zh-CN" w:bidi="ar-SY"/>
              </w:rPr>
            </w:pPr>
            <w:r w:rsidRPr="00034CD2">
              <w:rPr>
                <w:rFonts w:ascii="Verdana Bold" w:eastAsiaTheme="minorEastAsia" w:hAnsi="Verdana Bold" w:hint="cs"/>
                <w:b/>
                <w:bCs/>
                <w:sz w:val="19"/>
                <w:rtl/>
                <w:lang w:eastAsia="zh-CN" w:bidi="ar-EG"/>
              </w:rPr>
              <w:t xml:space="preserve">الأصل: </w:t>
            </w:r>
            <w:r w:rsidRPr="002B0DB7">
              <w:rPr>
                <w:rFonts w:ascii="Verdana Bold" w:eastAsiaTheme="minorEastAsia" w:hAnsi="Verdana Bold" w:hint="cs"/>
                <w:b/>
                <w:bCs/>
                <w:sz w:val="19"/>
                <w:rtl/>
                <w:lang w:eastAsia="zh-CN" w:bidi="ar-EG"/>
              </w:rPr>
              <w:t>بالإنكليزية</w:t>
            </w:r>
          </w:p>
        </w:tc>
      </w:tr>
      <w:tr w:rsidR="00034CD2" w:rsidRPr="00034CD2" w:rsidTr="004270DC">
        <w:trPr>
          <w:cantSplit/>
        </w:trPr>
        <w:tc>
          <w:tcPr>
            <w:tcW w:w="5000" w:type="pct"/>
            <w:gridSpan w:val="2"/>
          </w:tcPr>
          <w:p w:rsidR="00034CD2" w:rsidRPr="00034CD2" w:rsidRDefault="00034CD2" w:rsidP="002679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rPr>
                <w:rFonts w:ascii="Verdana Bold" w:eastAsiaTheme="minorEastAsia" w:hAnsi="Verdana Bold" w:hint="eastAsia"/>
                <w:b/>
                <w:bCs/>
                <w:sz w:val="19"/>
                <w:lang w:eastAsia="zh-CN" w:bidi="ar-SY"/>
              </w:rPr>
            </w:pPr>
          </w:p>
        </w:tc>
      </w:tr>
      <w:tr w:rsidR="00034CD2" w:rsidRPr="00034CD2" w:rsidTr="004270DC">
        <w:trPr>
          <w:cantSplit/>
          <w:trHeight w:val="1159"/>
        </w:trPr>
        <w:tc>
          <w:tcPr>
            <w:tcW w:w="5000" w:type="pct"/>
            <w:gridSpan w:val="2"/>
          </w:tcPr>
          <w:p w:rsidR="00034CD2" w:rsidRPr="00034CD2" w:rsidRDefault="00AE331E" w:rsidP="00034CD2">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40"/>
              <w:jc w:val="center"/>
              <w:rPr>
                <w:rFonts w:eastAsiaTheme="minorEastAsia"/>
                <w:b/>
                <w:bCs/>
                <w:sz w:val="32"/>
                <w:szCs w:val="44"/>
                <w:rtl/>
                <w:lang w:eastAsia="zh-CN" w:bidi="ar-EG"/>
              </w:rPr>
            </w:pPr>
            <w:r>
              <w:rPr>
                <w:rFonts w:eastAsiaTheme="minorEastAsia" w:hint="cs"/>
                <w:b/>
                <w:bCs/>
                <w:sz w:val="32"/>
                <w:szCs w:val="44"/>
                <w:rtl/>
                <w:lang w:eastAsia="zh-CN" w:bidi="ar-SY"/>
              </w:rPr>
              <w:t>رئيسة لجنة الدراسات </w:t>
            </w:r>
            <w:r>
              <w:rPr>
                <w:rFonts w:eastAsiaTheme="minorEastAsia"/>
                <w:b/>
                <w:bCs/>
                <w:sz w:val="32"/>
                <w:szCs w:val="44"/>
                <w:lang w:eastAsia="zh-CN" w:bidi="ar-SY"/>
              </w:rPr>
              <w:t>1</w:t>
            </w:r>
          </w:p>
        </w:tc>
      </w:tr>
      <w:tr w:rsidR="00034CD2" w:rsidRPr="00034CD2" w:rsidTr="004270DC">
        <w:trPr>
          <w:cantSplit/>
        </w:trPr>
        <w:tc>
          <w:tcPr>
            <w:tcW w:w="5000" w:type="pct"/>
            <w:gridSpan w:val="2"/>
          </w:tcPr>
          <w:p w:rsidR="00034CD2" w:rsidRPr="00034CD2" w:rsidRDefault="00AE331E" w:rsidP="00AE331E">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rFonts w:eastAsiaTheme="minorEastAsia"/>
                <w:w w:val="120"/>
                <w:sz w:val="28"/>
                <w:szCs w:val="40"/>
                <w:rtl/>
                <w:lang w:eastAsia="zh-CN" w:bidi="ar-EG"/>
              </w:rPr>
            </w:pPr>
            <w:r>
              <w:rPr>
                <w:rFonts w:eastAsiaTheme="minorEastAsia" w:hint="cs"/>
                <w:w w:val="120"/>
                <w:sz w:val="28"/>
                <w:szCs w:val="40"/>
                <w:rtl/>
                <w:lang w:eastAsia="zh-CN" w:bidi="ar-SY"/>
              </w:rPr>
              <w:t>التعاون والتنسيق بين لجنتي الدراسات </w:t>
            </w:r>
            <w:r>
              <w:rPr>
                <w:rFonts w:eastAsiaTheme="minorEastAsia"/>
                <w:w w:val="120"/>
                <w:sz w:val="28"/>
                <w:szCs w:val="40"/>
                <w:lang w:eastAsia="zh-CN" w:bidi="ar-SY"/>
              </w:rPr>
              <w:t>1</w:t>
            </w:r>
            <w:r>
              <w:rPr>
                <w:rFonts w:eastAsiaTheme="minorEastAsia" w:hint="cs"/>
                <w:w w:val="120"/>
                <w:sz w:val="28"/>
                <w:szCs w:val="40"/>
                <w:rtl/>
                <w:lang w:eastAsia="zh-CN" w:bidi="ar-EG"/>
              </w:rPr>
              <w:t xml:space="preserve"> لقطاع الاتصالات الراديوية </w:t>
            </w:r>
            <w:r>
              <w:rPr>
                <w:rFonts w:eastAsiaTheme="minorEastAsia"/>
                <w:w w:val="120"/>
                <w:sz w:val="28"/>
                <w:szCs w:val="40"/>
                <w:rtl/>
                <w:lang w:eastAsia="zh-CN" w:bidi="ar-EG"/>
              </w:rPr>
              <w:br/>
            </w:r>
            <w:r>
              <w:rPr>
                <w:rFonts w:eastAsiaTheme="minorEastAsia" w:hint="cs"/>
                <w:w w:val="120"/>
                <w:sz w:val="28"/>
                <w:szCs w:val="40"/>
                <w:rtl/>
                <w:lang w:eastAsia="zh-CN" w:bidi="ar-EG"/>
              </w:rPr>
              <w:t>و</w:t>
            </w:r>
            <w:r>
              <w:rPr>
                <w:rFonts w:eastAsiaTheme="minorEastAsia"/>
                <w:w w:val="120"/>
                <w:sz w:val="28"/>
                <w:szCs w:val="40"/>
                <w:lang w:eastAsia="zh-CN" w:bidi="ar-EG"/>
              </w:rPr>
              <w:t>1</w:t>
            </w:r>
            <w:r>
              <w:rPr>
                <w:rFonts w:eastAsiaTheme="minorEastAsia" w:hint="cs"/>
                <w:w w:val="120"/>
                <w:sz w:val="28"/>
                <w:szCs w:val="40"/>
                <w:rtl/>
                <w:lang w:eastAsia="zh-CN" w:bidi="ar-EG"/>
              </w:rPr>
              <w:t xml:space="preserve"> لقطاع تنمية الاتصالات بشأن القرار </w:t>
            </w:r>
            <w:r>
              <w:rPr>
                <w:rFonts w:eastAsiaTheme="minorEastAsia"/>
                <w:w w:val="120"/>
                <w:sz w:val="28"/>
                <w:szCs w:val="40"/>
                <w:lang w:eastAsia="zh-CN" w:bidi="ar-EG"/>
              </w:rPr>
              <w:t>9</w:t>
            </w:r>
            <w:r>
              <w:rPr>
                <w:rFonts w:eastAsiaTheme="minorEastAsia" w:hint="cs"/>
                <w:w w:val="120"/>
                <w:sz w:val="28"/>
                <w:szCs w:val="40"/>
                <w:rtl/>
                <w:lang w:eastAsia="zh-CN" w:bidi="ar-EG"/>
              </w:rPr>
              <w:t xml:space="preserve"> (المراجَع في دبي، </w:t>
            </w:r>
            <w:r>
              <w:rPr>
                <w:rFonts w:eastAsiaTheme="minorEastAsia"/>
                <w:w w:val="120"/>
                <w:sz w:val="28"/>
                <w:szCs w:val="40"/>
                <w:lang w:eastAsia="zh-CN" w:bidi="ar-EG"/>
              </w:rPr>
              <w:t>2014</w:t>
            </w:r>
            <w:r>
              <w:rPr>
                <w:rFonts w:eastAsiaTheme="minorEastAsia" w:hint="cs"/>
                <w:w w:val="120"/>
                <w:sz w:val="28"/>
                <w:szCs w:val="40"/>
                <w:rtl/>
                <w:lang w:eastAsia="zh-CN" w:bidi="ar-EG"/>
              </w:rPr>
              <w:t xml:space="preserve">) </w:t>
            </w:r>
            <w:r>
              <w:rPr>
                <w:rFonts w:eastAsiaTheme="minorEastAsia"/>
                <w:w w:val="120"/>
                <w:sz w:val="28"/>
                <w:szCs w:val="40"/>
                <w:rtl/>
                <w:lang w:eastAsia="zh-CN" w:bidi="ar-EG"/>
              </w:rPr>
              <w:br/>
            </w:r>
            <w:r>
              <w:rPr>
                <w:rFonts w:eastAsiaTheme="minorEastAsia" w:hint="cs"/>
                <w:w w:val="120"/>
                <w:sz w:val="28"/>
                <w:szCs w:val="40"/>
                <w:rtl/>
                <w:lang w:eastAsia="zh-CN" w:bidi="ar-EG"/>
              </w:rPr>
              <w:t>الصادر عن المؤتمر العالمي لتنمية الاتصالات</w:t>
            </w:r>
          </w:p>
        </w:tc>
      </w:tr>
      <w:tr w:rsidR="00AE331E" w:rsidRPr="00034CD2" w:rsidTr="004270DC">
        <w:trPr>
          <w:cantSplit/>
        </w:trPr>
        <w:tc>
          <w:tcPr>
            <w:tcW w:w="5000" w:type="pct"/>
            <w:gridSpan w:val="2"/>
          </w:tcPr>
          <w:p w:rsidR="00AE331E" w:rsidRDefault="00AE331E" w:rsidP="00AE331E">
            <w:pPr>
              <w:pStyle w:val="Title2"/>
              <w:rPr>
                <w:rFonts w:eastAsiaTheme="minorEastAsia"/>
                <w:w w:val="120"/>
                <w:rtl/>
                <w:lang w:eastAsia="zh-CN"/>
              </w:rPr>
            </w:pPr>
            <w:r>
              <w:rPr>
                <w:rFonts w:eastAsiaTheme="minorEastAsia" w:hint="cs"/>
                <w:w w:val="120"/>
                <w:rtl/>
                <w:lang w:eastAsia="zh-CN"/>
              </w:rPr>
              <w:t>مشاركة البلدان لا سيما البلدان النامية في إدارة الطيف</w:t>
            </w:r>
          </w:p>
        </w:tc>
      </w:tr>
    </w:tbl>
    <w:p w:rsidR="006157A3" w:rsidRDefault="00AE331E" w:rsidP="00AE331E">
      <w:pPr>
        <w:pStyle w:val="Headingb"/>
        <w:rPr>
          <w:rtl/>
        </w:rPr>
      </w:pPr>
      <w:r>
        <w:rPr>
          <w:rFonts w:hint="cs"/>
          <w:rtl/>
        </w:rPr>
        <w:t>مقدمة</w:t>
      </w:r>
    </w:p>
    <w:p w:rsidR="00AE331E" w:rsidRDefault="00AE331E" w:rsidP="00AE331E">
      <w:pPr>
        <w:rPr>
          <w:rtl/>
          <w:lang w:bidi="ar-EG"/>
        </w:rPr>
      </w:pPr>
      <w:r>
        <w:rPr>
          <w:rFonts w:hint="cs"/>
          <w:rtl/>
          <w:lang w:bidi="ar-EG"/>
        </w:rPr>
        <w:t>يدعو مدير مكتب تنمية الاتصالات</w:t>
      </w:r>
      <w:r w:rsidR="00BF19F7">
        <w:rPr>
          <w:rFonts w:hint="cs"/>
          <w:rtl/>
          <w:lang w:bidi="ar-EG"/>
        </w:rPr>
        <w:t xml:space="preserve"> </w:t>
      </w:r>
      <w:r w:rsidR="00BF19F7">
        <w:rPr>
          <w:lang w:bidi="ar-EG"/>
        </w:rPr>
        <w:t>(BDT)</w:t>
      </w:r>
      <w:r>
        <w:rPr>
          <w:rFonts w:hint="cs"/>
          <w:rtl/>
          <w:lang w:bidi="ar-EG"/>
        </w:rPr>
        <w:t xml:space="preserve"> في </w:t>
      </w:r>
      <w:hyperlink r:id="rId11" w:history="1">
        <w:r w:rsidRPr="00AE331E">
          <w:rPr>
            <w:rStyle w:val="Hyperlink"/>
            <w:rFonts w:hint="cs"/>
            <w:rtl/>
            <w:lang w:bidi="ar-EG"/>
          </w:rPr>
          <w:t xml:space="preserve">وثيقته </w:t>
        </w:r>
        <w:r w:rsidRPr="00AE331E">
          <w:rPr>
            <w:rStyle w:val="Hyperlink"/>
            <w:lang w:bidi="ar-EG"/>
          </w:rPr>
          <w:t>1/110</w:t>
        </w:r>
      </w:hyperlink>
      <w:r>
        <w:rPr>
          <w:rFonts w:hint="cs"/>
          <w:rtl/>
          <w:lang w:bidi="ar-EG"/>
        </w:rPr>
        <w:t xml:space="preserve"> بتاريخ </w:t>
      </w:r>
      <w:r>
        <w:rPr>
          <w:lang w:bidi="ar-EG"/>
        </w:rPr>
        <w:t>11</w:t>
      </w:r>
      <w:r>
        <w:rPr>
          <w:rFonts w:hint="cs"/>
          <w:rtl/>
          <w:lang w:bidi="ar-EG"/>
        </w:rPr>
        <w:t xml:space="preserve"> يونيو </w:t>
      </w:r>
      <w:r>
        <w:rPr>
          <w:lang w:bidi="ar-EG"/>
        </w:rPr>
        <w:t>2014</w:t>
      </w:r>
      <w:r>
        <w:rPr>
          <w:rFonts w:hint="cs"/>
          <w:rtl/>
          <w:lang w:bidi="ar-EG"/>
        </w:rPr>
        <w:t xml:space="preserve"> مدير مكتب الاتصالات الراديوية إلى التأكد من استمرار تعاون قطاع الاتصالات الراديوية مع قطاع تنمية الاتصالات من أجل تنفيذ </w:t>
      </w:r>
      <w:r w:rsidRPr="00AE331E">
        <w:rPr>
          <w:rFonts w:hint="cs"/>
          <w:rtl/>
          <w:lang w:bidi="ar-EG"/>
        </w:rPr>
        <w:t>القرار </w:t>
      </w:r>
      <w:r w:rsidRPr="00AE331E">
        <w:rPr>
          <w:lang w:bidi="ar-EG"/>
        </w:rPr>
        <w:t>9</w:t>
      </w:r>
      <w:r w:rsidRPr="00AE331E">
        <w:rPr>
          <w:rFonts w:hint="cs"/>
          <w:rtl/>
          <w:lang w:bidi="ar-EG"/>
        </w:rPr>
        <w:t xml:space="preserve"> (المراجَع في دبي، </w:t>
      </w:r>
      <w:r w:rsidRPr="00AE331E">
        <w:rPr>
          <w:lang w:bidi="ar-EG"/>
        </w:rPr>
        <w:t>2014</w:t>
      </w:r>
      <w:r w:rsidRPr="00AE331E">
        <w:rPr>
          <w:rFonts w:hint="cs"/>
          <w:rtl/>
          <w:lang w:bidi="ar-EG"/>
        </w:rPr>
        <w:t>) الصادر عن المؤتمر العالمي لتنمية الاتصالات</w:t>
      </w:r>
      <w:r>
        <w:rPr>
          <w:rFonts w:hint="cs"/>
          <w:rtl/>
          <w:lang w:bidi="ar-EG"/>
        </w:rPr>
        <w:t xml:space="preserve"> لعام </w:t>
      </w:r>
      <w:r>
        <w:rPr>
          <w:lang w:bidi="ar-EG"/>
        </w:rPr>
        <w:t>2014</w:t>
      </w:r>
      <w:r>
        <w:rPr>
          <w:rFonts w:hint="cs"/>
          <w:rtl/>
          <w:lang w:bidi="ar-EG"/>
        </w:rPr>
        <w:t xml:space="preserve"> </w:t>
      </w:r>
      <w:r>
        <w:rPr>
          <w:lang w:bidi="ar-EG"/>
        </w:rPr>
        <w:t>(WTDC</w:t>
      </w:r>
      <w:r>
        <w:rPr>
          <w:lang w:bidi="ar-EG"/>
        </w:rPr>
        <w:noBreakHyphen/>
        <w:t>14)</w:t>
      </w:r>
      <w:r>
        <w:rPr>
          <w:rFonts w:hint="cs"/>
          <w:rtl/>
          <w:lang w:bidi="ar-EG"/>
        </w:rPr>
        <w:t>.</w:t>
      </w:r>
    </w:p>
    <w:p w:rsidR="00AE331E" w:rsidRDefault="00AE331E" w:rsidP="00F505D1">
      <w:pPr>
        <w:rPr>
          <w:rFonts w:hint="cs"/>
          <w:rtl/>
          <w:lang w:bidi="ar-EG"/>
        </w:rPr>
      </w:pPr>
      <w:r>
        <w:rPr>
          <w:rFonts w:hint="cs"/>
          <w:rtl/>
          <w:lang w:bidi="ar-EG"/>
        </w:rPr>
        <w:t>ودُعيت لجنة الدراسات </w:t>
      </w:r>
      <w:r>
        <w:rPr>
          <w:lang w:bidi="ar-EG"/>
        </w:rPr>
        <w:t>1</w:t>
      </w:r>
      <w:r>
        <w:rPr>
          <w:rFonts w:hint="cs"/>
          <w:rtl/>
          <w:lang w:bidi="ar-EG"/>
        </w:rPr>
        <w:t xml:space="preserve"> لقطاع الاتصالات الراديوية في هذا الصدد إلى النظر في مواصلة دعمها لعمل الفريق المشترك بين قطاعي تنمية الاتصالات والاتصالات الراديوية بشأن </w:t>
      </w:r>
      <w:r w:rsidRPr="00AE331E">
        <w:rPr>
          <w:rFonts w:hint="cs"/>
          <w:rtl/>
          <w:lang w:bidi="ar-EG"/>
        </w:rPr>
        <w:t>القرار </w:t>
      </w:r>
      <w:r w:rsidRPr="00AE331E">
        <w:rPr>
          <w:lang w:bidi="ar-EG"/>
        </w:rPr>
        <w:t>9</w:t>
      </w:r>
      <w:r w:rsidRPr="00AE331E">
        <w:rPr>
          <w:rFonts w:hint="cs"/>
          <w:rtl/>
          <w:lang w:bidi="ar-EG"/>
        </w:rPr>
        <w:t xml:space="preserve"> (المراجَع في دبي، </w:t>
      </w:r>
      <w:r w:rsidRPr="00AE331E">
        <w:rPr>
          <w:lang w:bidi="ar-EG"/>
        </w:rPr>
        <w:t>2014</w:t>
      </w:r>
      <w:r w:rsidRPr="00AE331E">
        <w:rPr>
          <w:rFonts w:hint="cs"/>
          <w:rtl/>
          <w:lang w:bidi="ar-EG"/>
        </w:rPr>
        <w:t>) الصادر عن المؤتمر العالمي لتنمية الاتصالات</w:t>
      </w:r>
      <w:r>
        <w:rPr>
          <w:rFonts w:hint="cs"/>
          <w:rtl/>
          <w:lang w:bidi="ar-EG"/>
        </w:rPr>
        <w:t xml:space="preserve"> لفترة الدراسة </w:t>
      </w:r>
      <w:r>
        <w:rPr>
          <w:lang w:bidi="ar-EG"/>
        </w:rPr>
        <w:t>2018-2014</w:t>
      </w:r>
      <w:r>
        <w:rPr>
          <w:rStyle w:val="FootnoteReference"/>
          <w:rtl/>
          <w:lang w:bidi="ar-EG"/>
        </w:rPr>
        <w:footnoteReference w:customMarkFollows="1" w:id="1"/>
        <w:t>*</w:t>
      </w:r>
      <w:r>
        <w:rPr>
          <w:rFonts w:hint="cs"/>
          <w:rtl/>
          <w:lang w:bidi="ar-EG"/>
        </w:rPr>
        <w:t xml:space="preserve"> (أي الفريق المعني بالقرار </w:t>
      </w:r>
      <w:r>
        <w:rPr>
          <w:lang w:bidi="ar-EG"/>
        </w:rPr>
        <w:t>9</w:t>
      </w:r>
      <w:r>
        <w:rPr>
          <w:rFonts w:hint="cs"/>
          <w:rtl/>
          <w:lang w:bidi="ar-EG"/>
        </w:rPr>
        <w:t>) وتعيين رئيس مشارك عن قطاع الاتصالات الراديوية للفريق المعني بالقرار </w:t>
      </w:r>
      <w:r>
        <w:rPr>
          <w:lang w:bidi="ar-EG"/>
        </w:rPr>
        <w:t>9</w:t>
      </w:r>
      <w:r>
        <w:rPr>
          <w:rFonts w:hint="cs"/>
          <w:rtl/>
          <w:lang w:bidi="ar-EG"/>
        </w:rPr>
        <w:t xml:space="preserve"> هذا، كما كان الحال عليه في فترة الدراسة السابقة، وذلك من أجل مواصلة العمل المشترك تحقيقاً لصالح الأعضاء.</w:t>
      </w:r>
    </w:p>
    <w:p w:rsidR="00AE331E" w:rsidRDefault="00AE331E" w:rsidP="006B1333">
      <w:pPr>
        <w:pStyle w:val="Headingb"/>
        <w:rPr>
          <w:rtl/>
        </w:rPr>
      </w:pPr>
      <w:r>
        <w:rPr>
          <w:rFonts w:hint="cs"/>
          <w:rtl/>
        </w:rPr>
        <w:t>خبرة لجنة الدراسات </w:t>
      </w:r>
      <w:r>
        <w:t>1</w:t>
      </w:r>
      <w:r>
        <w:rPr>
          <w:rFonts w:hint="cs"/>
          <w:rtl/>
        </w:rPr>
        <w:t xml:space="preserve"> لقطاع الاتصالات الراديوية واقتراحاتها</w:t>
      </w:r>
    </w:p>
    <w:p w:rsidR="00AE331E" w:rsidRDefault="00AE331E" w:rsidP="007A41F4">
      <w:pPr>
        <w:rPr>
          <w:rtl/>
          <w:lang w:bidi="ar-EG"/>
        </w:rPr>
      </w:pPr>
      <w:r>
        <w:rPr>
          <w:rFonts w:hint="cs"/>
          <w:rtl/>
          <w:lang w:bidi="ar-EG"/>
        </w:rPr>
        <w:t>مع أخذ الفقرة </w:t>
      </w:r>
      <w:r>
        <w:rPr>
          <w:lang w:bidi="ar-EG"/>
        </w:rPr>
        <w:t>1</w:t>
      </w:r>
      <w:r>
        <w:rPr>
          <w:rFonts w:hint="cs"/>
          <w:rtl/>
          <w:lang w:bidi="ar-EG"/>
        </w:rPr>
        <w:t xml:space="preserve"> من </w:t>
      </w:r>
      <w:r w:rsidRPr="00AE331E">
        <w:rPr>
          <w:rFonts w:hint="cs"/>
          <w:i/>
          <w:iCs/>
          <w:rtl/>
          <w:lang w:bidi="ar-EG"/>
        </w:rPr>
        <w:t>تقرر</w:t>
      </w:r>
      <w:r>
        <w:rPr>
          <w:rFonts w:hint="cs"/>
          <w:rtl/>
          <w:lang w:bidi="ar-EG"/>
        </w:rPr>
        <w:t xml:space="preserve"> من القرار</w:t>
      </w:r>
      <w:r>
        <w:rPr>
          <w:rFonts w:hint="eastAsia"/>
          <w:rtl/>
          <w:lang w:bidi="ar-EG"/>
        </w:rPr>
        <w:t> </w:t>
      </w:r>
      <w:r>
        <w:rPr>
          <w:lang w:bidi="ar-EG"/>
        </w:rPr>
        <w:t>ITU</w:t>
      </w:r>
      <w:r>
        <w:rPr>
          <w:lang w:bidi="ar-EG"/>
        </w:rPr>
        <w:noBreakHyphen/>
        <w:t>R 22</w:t>
      </w:r>
      <w:r>
        <w:rPr>
          <w:lang w:bidi="ar-EG"/>
        </w:rPr>
        <w:noBreakHyphen/>
        <w:t>4</w:t>
      </w:r>
      <w:r>
        <w:rPr>
          <w:rStyle w:val="FootnoteReference"/>
          <w:rtl/>
          <w:lang w:bidi="ar-EG"/>
        </w:rPr>
        <w:footnoteReference w:customMarkFollows="1" w:id="2"/>
        <w:t>**</w:t>
      </w:r>
      <w:r>
        <w:rPr>
          <w:rFonts w:hint="cs"/>
          <w:rtl/>
          <w:lang w:bidi="ar-EG"/>
        </w:rPr>
        <w:t xml:space="preserve"> في الاعتبار، واصل الرئيس المشارك المعين من لجنة الدراسات </w:t>
      </w:r>
      <w:r>
        <w:rPr>
          <w:lang w:bidi="ar-EG"/>
        </w:rPr>
        <w:t>1</w:t>
      </w:r>
      <w:r>
        <w:rPr>
          <w:rFonts w:hint="cs"/>
          <w:rtl/>
          <w:lang w:bidi="ar-EG"/>
        </w:rPr>
        <w:t xml:space="preserve"> لقطاع الاتصالات الراديوية، أي رئيس لجنة الدراسات </w:t>
      </w:r>
      <w:r>
        <w:rPr>
          <w:lang w:bidi="ar-EG"/>
        </w:rPr>
        <w:t>1</w:t>
      </w:r>
      <w:r>
        <w:rPr>
          <w:rFonts w:hint="cs"/>
          <w:rtl/>
          <w:lang w:bidi="ar-EG"/>
        </w:rPr>
        <w:t xml:space="preserve">، أو من يمثله، المشاركة بنشاط في اجتماعات الفريق </w:t>
      </w:r>
      <w:r w:rsidR="00EC023F">
        <w:rPr>
          <w:rFonts w:hint="cs"/>
          <w:rtl/>
          <w:lang w:bidi="ar-EG"/>
        </w:rPr>
        <w:t>المعني</w:t>
      </w:r>
      <w:r>
        <w:rPr>
          <w:rFonts w:hint="cs"/>
          <w:rtl/>
          <w:lang w:bidi="ar-EG"/>
        </w:rPr>
        <w:t xml:space="preserve"> بالقرار </w:t>
      </w:r>
      <w:r>
        <w:rPr>
          <w:lang w:bidi="ar-EG"/>
        </w:rPr>
        <w:t>9</w:t>
      </w:r>
      <w:r>
        <w:rPr>
          <w:rFonts w:hint="cs"/>
          <w:rtl/>
          <w:lang w:bidi="ar-EG"/>
        </w:rPr>
        <w:t xml:space="preserve"> من أجل تقديم معلومات عن المنشورات الموافق عليها مؤخراً للجنة الدراسات </w:t>
      </w:r>
      <w:r>
        <w:rPr>
          <w:lang w:bidi="ar-EG"/>
        </w:rPr>
        <w:t>1</w:t>
      </w:r>
      <w:r>
        <w:rPr>
          <w:rFonts w:hint="cs"/>
          <w:rtl/>
          <w:lang w:bidi="ar-EG"/>
        </w:rPr>
        <w:t xml:space="preserve"> لقطاع الاتصالات الراديوية وعن الدراسات </w:t>
      </w:r>
      <w:r w:rsidR="007A41F4">
        <w:rPr>
          <w:rFonts w:hint="cs"/>
          <w:rtl/>
          <w:lang w:bidi="ar-EG"/>
        </w:rPr>
        <w:t>الجارية</w:t>
      </w:r>
      <w:r>
        <w:rPr>
          <w:rFonts w:hint="cs"/>
          <w:rtl/>
          <w:lang w:bidi="ar-EG"/>
        </w:rPr>
        <w:t>، بما في ذلك الدراسات الجارية في فرقة العمل </w:t>
      </w:r>
      <w:r>
        <w:rPr>
          <w:lang w:bidi="ar-EG"/>
        </w:rPr>
        <w:t>1B</w:t>
      </w:r>
      <w:r>
        <w:rPr>
          <w:rFonts w:hint="cs"/>
          <w:rtl/>
          <w:lang w:bidi="ar-EG"/>
        </w:rPr>
        <w:t xml:space="preserve"> لقطاع الاتصالات الراديوية بشأن مبادئ إدارة الطيف والتحديات والقضايا المتعلقة بالنفاذ الدينامي إلى نطاقات التردد بواسطة أنظمة راديوية تستخدم قدرات إدراكية.</w:t>
      </w:r>
    </w:p>
    <w:p w:rsidR="006B1333" w:rsidRPr="00525FF7" w:rsidRDefault="006B1333" w:rsidP="00525FF7">
      <w:pPr>
        <w:rPr>
          <w:rtl/>
          <w:lang w:bidi="ar-EG"/>
        </w:rPr>
      </w:pPr>
      <w:r w:rsidRPr="00525FF7">
        <w:rPr>
          <w:rFonts w:hint="cs"/>
          <w:rtl/>
          <w:lang w:bidi="ar-EG"/>
        </w:rPr>
        <w:lastRenderedPageBreak/>
        <w:t>ومنذ أبريل </w:t>
      </w:r>
      <w:r w:rsidRPr="00525FF7">
        <w:rPr>
          <w:lang w:bidi="ar-EG"/>
        </w:rPr>
        <w:t>2016</w:t>
      </w:r>
      <w:r w:rsidRPr="00525FF7">
        <w:rPr>
          <w:rFonts w:hint="cs"/>
          <w:rtl/>
          <w:lang w:bidi="ar-EG"/>
        </w:rPr>
        <w:t>، تم تبادل العديد من بيا</w:t>
      </w:r>
      <w:r w:rsidR="00B721D3" w:rsidRPr="00525FF7">
        <w:rPr>
          <w:rFonts w:hint="cs"/>
          <w:rtl/>
          <w:lang w:bidi="ar-EG"/>
        </w:rPr>
        <w:t>نات الاتصال بين فرق عمل مختلفة ل</w:t>
      </w:r>
      <w:r w:rsidRPr="00525FF7">
        <w:rPr>
          <w:rFonts w:hint="cs"/>
          <w:rtl/>
          <w:lang w:bidi="ar-EG"/>
        </w:rPr>
        <w:t>قطاع الاتصالات الراديوية (أي فرقة العمل </w:t>
      </w:r>
      <w:r w:rsidRPr="00525FF7">
        <w:rPr>
          <w:lang w:bidi="ar-EG"/>
        </w:rPr>
        <w:t>1B</w:t>
      </w:r>
      <w:r w:rsidRPr="00525FF7">
        <w:rPr>
          <w:rFonts w:hint="cs"/>
          <w:rtl/>
          <w:lang w:bidi="ar-EG"/>
        </w:rPr>
        <w:t xml:space="preserve"> (بمشاركة فرقة العمل </w:t>
      </w:r>
      <w:r w:rsidRPr="00525FF7">
        <w:rPr>
          <w:lang w:bidi="ar-EG"/>
        </w:rPr>
        <w:t>1C</w:t>
      </w:r>
      <w:r w:rsidRPr="00525FF7">
        <w:rPr>
          <w:rFonts w:hint="cs"/>
          <w:rtl/>
          <w:lang w:bidi="ar-EG"/>
        </w:rPr>
        <w:t xml:space="preserve">) وفرقة العمل </w:t>
      </w:r>
      <w:r w:rsidRPr="00525FF7">
        <w:rPr>
          <w:lang w:bidi="ar-EG"/>
        </w:rPr>
        <w:t>5D</w:t>
      </w:r>
      <w:r w:rsidRPr="00525FF7">
        <w:rPr>
          <w:rFonts w:hint="cs"/>
          <w:rtl/>
          <w:lang w:bidi="ar-EG"/>
        </w:rPr>
        <w:t>)، كما يقوم الفريق المعني بالقرار </w:t>
      </w:r>
      <w:r w:rsidRPr="00525FF7">
        <w:rPr>
          <w:lang w:bidi="ar-EG"/>
        </w:rPr>
        <w:t>9</w:t>
      </w:r>
      <w:r w:rsidRPr="00525FF7">
        <w:rPr>
          <w:rFonts w:hint="cs"/>
          <w:rtl/>
          <w:lang w:bidi="ar-EG"/>
        </w:rPr>
        <w:t>، داخل لجنة الدراسات </w:t>
      </w:r>
      <w:r w:rsidRPr="00525FF7">
        <w:rPr>
          <w:lang w:bidi="ar-EG"/>
        </w:rPr>
        <w:t>1</w:t>
      </w:r>
      <w:r w:rsidRPr="00525FF7">
        <w:rPr>
          <w:rFonts w:hint="cs"/>
          <w:rtl/>
          <w:lang w:bidi="ar-EG"/>
        </w:rPr>
        <w:t xml:space="preserve"> لقطاع تنمية الاتصالات بإعداد مشروع تقرير المؤتمر العالمي لتنمية الاتصالات لعام </w:t>
      </w:r>
      <w:r w:rsidRPr="00525FF7">
        <w:rPr>
          <w:lang w:bidi="ar-EG"/>
        </w:rPr>
        <w:t>2017</w:t>
      </w:r>
      <w:r w:rsidRPr="00525FF7">
        <w:rPr>
          <w:rFonts w:hint="cs"/>
          <w:rtl/>
          <w:lang w:bidi="ar-EG"/>
        </w:rPr>
        <w:t xml:space="preserve"> </w:t>
      </w:r>
      <w:r w:rsidRPr="00525FF7">
        <w:rPr>
          <w:lang w:bidi="ar-EG"/>
        </w:rPr>
        <w:t>(WTDC</w:t>
      </w:r>
      <w:r w:rsidRPr="00525FF7">
        <w:rPr>
          <w:lang w:bidi="ar-EG"/>
        </w:rPr>
        <w:noBreakHyphen/>
        <w:t>17)</w:t>
      </w:r>
      <w:r w:rsidR="009172D1" w:rsidRPr="00525FF7">
        <w:rPr>
          <w:rFonts w:hint="cs"/>
          <w:rtl/>
          <w:lang w:bidi="ar-EG"/>
        </w:rPr>
        <w:t xml:space="preserve"> </w:t>
      </w:r>
      <w:r w:rsidRPr="00525FF7">
        <w:rPr>
          <w:rFonts w:hint="cs"/>
          <w:rtl/>
          <w:lang w:bidi="ar-EG"/>
        </w:rPr>
        <w:t>استجابة</w:t>
      </w:r>
      <w:r w:rsidR="00B721D3" w:rsidRPr="00525FF7">
        <w:rPr>
          <w:rFonts w:hint="cs"/>
          <w:rtl/>
          <w:lang w:bidi="ar-EG"/>
        </w:rPr>
        <w:t>ً</w:t>
      </w:r>
      <w:r w:rsidRPr="00525FF7">
        <w:rPr>
          <w:rFonts w:hint="cs"/>
          <w:rtl/>
          <w:lang w:bidi="ar-EG"/>
        </w:rPr>
        <w:t xml:space="preserve"> للقرار </w:t>
      </w:r>
      <w:r w:rsidRPr="00525FF7">
        <w:rPr>
          <w:lang w:bidi="ar-EG"/>
        </w:rPr>
        <w:t>9</w:t>
      </w:r>
      <w:r w:rsidRPr="00525FF7">
        <w:rPr>
          <w:rFonts w:hint="cs"/>
          <w:rtl/>
          <w:lang w:bidi="ar-EG"/>
        </w:rPr>
        <w:t xml:space="preserve"> (المراجَع في دبي، </w:t>
      </w:r>
      <w:r w:rsidRPr="00525FF7">
        <w:rPr>
          <w:lang w:bidi="ar-EG"/>
        </w:rPr>
        <w:t>2014</w:t>
      </w:r>
      <w:r w:rsidRPr="00525FF7">
        <w:rPr>
          <w:rFonts w:hint="cs"/>
          <w:rtl/>
          <w:lang w:bidi="ar-EG"/>
        </w:rPr>
        <w:t>) (تقرير القرار </w:t>
      </w:r>
      <w:r w:rsidRPr="00525FF7">
        <w:rPr>
          <w:lang w:bidi="ar-EG"/>
        </w:rPr>
        <w:t>9</w:t>
      </w:r>
      <w:r w:rsidRPr="00525FF7">
        <w:rPr>
          <w:rFonts w:hint="cs"/>
          <w:rtl/>
          <w:lang w:bidi="ar-EG"/>
        </w:rPr>
        <w:t>). وقد روجع مشروع تقرير القرار </w:t>
      </w:r>
      <w:r w:rsidRPr="00525FF7">
        <w:rPr>
          <w:lang w:bidi="ar-EG"/>
        </w:rPr>
        <w:t>9</w:t>
      </w:r>
      <w:r w:rsidRPr="00525FF7">
        <w:rPr>
          <w:rFonts w:hint="cs"/>
          <w:rtl/>
          <w:lang w:bidi="ar-EG"/>
        </w:rPr>
        <w:t xml:space="preserve"> هذا بعناية من جانب فرق العمل المعنية </w:t>
      </w:r>
      <w:r w:rsidR="00B721D3" w:rsidRPr="00525FF7">
        <w:rPr>
          <w:rFonts w:hint="cs"/>
          <w:rtl/>
          <w:lang w:bidi="ar-EG"/>
        </w:rPr>
        <w:t>ل</w:t>
      </w:r>
      <w:r w:rsidRPr="00525FF7">
        <w:rPr>
          <w:rFonts w:hint="cs"/>
          <w:rtl/>
          <w:lang w:bidi="ar-EG"/>
        </w:rPr>
        <w:t>قطاع الاتصالات الراديوية، وهو ما تمخض عنه طلبات إلى كل من لجنة الدراسات </w:t>
      </w:r>
      <w:r w:rsidRPr="00525FF7">
        <w:rPr>
          <w:lang w:bidi="ar-EG"/>
        </w:rPr>
        <w:t>1</w:t>
      </w:r>
      <w:r w:rsidRPr="00525FF7">
        <w:rPr>
          <w:rFonts w:hint="cs"/>
          <w:rtl/>
          <w:lang w:bidi="ar-EG"/>
        </w:rPr>
        <w:t xml:space="preserve"> لقطاع تنمية الاتصالات والفريق المعني بالقرار </w:t>
      </w:r>
      <w:r w:rsidRPr="00525FF7">
        <w:rPr>
          <w:lang w:bidi="ar-EG"/>
        </w:rPr>
        <w:t>9</w:t>
      </w:r>
      <w:r w:rsidRPr="00525FF7">
        <w:rPr>
          <w:rFonts w:hint="cs"/>
          <w:rtl/>
          <w:lang w:bidi="ar-EG"/>
        </w:rPr>
        <w:t xml:space="preserve"> بتعديل </w:t>
      </w:r>
      <w:r w:rsidR="00A23EF7">
        <w:rPr>
          <w:rFonts w:hint="cs"/>
          <w:rtl/>
          <w:lang w:bidi="ar-EG"/>
        </w:rPr>
        <w:t xml:space="preserve">مشروع </w:t>
      </w:r>
      <w:r w:rsidRPr="00525FF7">
        <w:rPr>
          <w:rFonts w:hint="cs"/>
          <w:rtl/>
          <w:lang w:bidi="ar-EG"/>
        </w:rPr>
        <w:t>تقرير القرار </w:t>
      </w:r>
      <w:r w:rsidRPr="00525FF7">
        <w:rPr>
          <w:lang w:bidi="ar-EG"/>
        </w:rPr>
        <w:t>9</w:t>
      </w:r>
      <w:r w:rsidRPr="00525FF7">
        <w:rPr>
          <w:rFonts w:hint="cs"/>
          <w:rtl/>
          <w:lang w:bidi="ar-EG"/>
        </w:rPr>
        <w:t xml:space="preserve"> من أجل ضمان الاتساق مع نتائج دراسات قطاع الاتصالات الراديوية ذات الصلة وتفادي الازدواجية في المعلومات المتاحة لقطاع الاتصالات</w:t>
      </w:r>
      <w:r w:rsidR="00525FF7">
        <w:rPr>
          <w:rFonts w:hint="eastAsia"/>
          <w:rtl/>
          <w:lang w:bidi="ar-EG"/>
        </w:rPr>
        <w:t> </w:t>
      </w:r>
      <w:r w:rsidRPr="00525FF7">
        <w:rPr>
          <w:rFonts w:hint="cs"/>
          <w:rtl/>
          <w:lang w:bidi="ar-EG"/>
        </w:rPr>
        <w:t>الراديوية.</w:t>
      </w:r>
    </w:p>
    <w:p w:rsidR="00506684" w:rsidRDefault="006B1333" w:rsidP="00525FF7">
      <w:pPr>
        <w:rPr>
          <w:rtl/>
          <w:lang w:bidi="ar-EG"/>
        </w:rPr>
      </w:pPr>
      <w:r>
        <w:rPr>
          <w:rFonts w:hint="cs"/>
          <w:rtl/>
          <w:lang w:bidi="ar-EG"/>
        </w:rPr>
        <w:t>والقدر المحدود من الوقت المتاح في الاجتماع</w:t>
      </w:r>
      <w:r w:rsidR="00506684">
        <w:rPr>
          <w:rFonts w:hint="cs"/>
          <w:rtl/>
          <w:lang w:bidi="ar-EG"/>
        </w:rPr>
        <w:t>ات</w:t>
      </w:r>
      <w:r>
        <w:rPr>
          <w:rFonts w:hint="cs"/>
          <w:rtl/>
          <w:lang w:bidi="ar-EG"/>
        </w:rPr>
        <w:t xml:space="preserve"> التالية </w:t>
      </w:r>
      <w:r w:rsidR="00506684">
        <w:rPr>
          <w:rFonts w:hint="cs"/>
          <w:rtl/>
          <w:lang w:bidi="ar-EG"/>
        </w:rPr>
        <w:t>للفريق المعني بالقرار </w:t>
      </w:r>
      <w:r w:rsidR="00506684">
        <w:rPr>
          <w:lang w:bidi="ar-EG"/>
        </w:rPr>
        <w:t>9</w:t>
      </w:r>
      <w:r w:rsidR="00506684">
        <w:rPr>
          <w:rFonts w:hint="cs"/>
          <w:rtl/>
          <w:lang w:bidi="ar-EG"/>
        </w:rPr>
        <w:t xml:space="preserve"> (نصف يوم أثناء اجتماع سبتمبر </w:t>
      </w:r>
      <w:r w:rsidR="00506684">
        <w:rPr>
          <w:lang w:bidi="ar-EG"/>
        </w:rPr>
        <w:t>2016</w:t>
      </w:r>
      <w:r w:rsidR="00506684">
        <w:rPr>
          <w:rFonts w:hint="cs"/>
          <w:rtl/>
          <w:lang w:bidi="ar-EG"/>
        </w:rPr>
        <w:t xml:space="preserve"> للجنة الدراسات </w:t>
      </w:r>
      <w:r w:rsidR="00506684">
        <w:rPr>
          <w:lang w:bidi="ar-EG"/>
        </w:rPr>
        <w:t>1</w:t>
      </w:r>
      <w:r w:rsidR="00506684">
        <w:rPr>
          <w:rFonts w:hint="cs"/>
          <w:rtl/>
          <w:lang w:bidi="ar-EG"/>
        </w:rPr>
        <w:t xml:space="preserve"> لقطاع تنمية الاتصالات، ويوم واحد في اجتماع يناير </w:t>
      </w:r>
      <w:r w:rsidR="00506684">
        <w:rPr>
          <w:lang w:bidi="ar-EG"/>
        </w:rPr>
        <w:t>2017</w:t>
      </w:r>
      <w:r w:rsidR="00506684">
        <w:rPr>
          <w:rFonts w:hint="cs"/>
          <w:rtl/>
          <w:lang w:bidi="ar-EG"/>
        </w:rPr>
        <w:t xml:space="preserve"> ونصف يوم في اجتماع مارس </w:t>
      </w:r>
      <w:r w:rsidR="00506684">
        <w:rPr>
          <w:lang w:bidi="ar-EG"/>
        </w:rPr>
        <w:t>2017</w:t>
      </w:r>
      <w:r w:rsidR="00175494">
        <w:rPr>
          <w:rFonts w:hint="cs"/>
          <w:rtl/>
          <w:lang w:bidi="ar-EG"/>
        </w:rPr>
        <w:t xml:space="preserve"> للجنة الدراسات </w:t>
      </w:r>
      <w:r w:rsidR="00175494">
        <w:rPr>
          <w:lang w:bidi="ar-EG"/>
        </w:rPr>
        <w:t>1</w:t>
      </w:r>
      <w:r w:rsidR="00175494">
        <w:rPr>
          <w:rFonts w:hint="cs"/>
          <w:rtl/>
          <w:lang w:bidi="ar-EG"/>
        </w:rPr>
        <w:t xml:space="preserve"> لقطاع تنمية الاتصالات</w:t>
      </w:r>
      <w:r w:rsidR="00506684">
        <w:rPr>
          <w:rFonts w:hint="cs"/>
          <w:rtl/>
          <w:lang w:bidi="ar-EG"/>
        </w:rPr>
        <w:t>) والمشاركة المحدودة من جانب خبراء قطاع الاتصالات الراديوية، كلها أمور لم تمكن من إيلاء العناية المناسبة لجميع التعديلات المطلوبة من قطاع الاتصالات الراديوية. وتمت الموافقة على النسخة النهائية من تقرير القرار </w:t>
      </w:r>
      <w:r w:rsidR="00506684">
        <w:rPr>
          <w:lang w:bidi="ar-EG"/>
        </w:rPr>
        <w:t>9</w:t>
      </w:r>
      <w:r w:rsidR="00506684">
        <w:rPr>
          <w:rFonts w:hint="cs"/>
          <w:rtl/>
          <w:lang w:bidi="ar-EG"/>
        </w:rPr>
        <w:t xml:space="preserve"> في اجتماع مارس </w:t>
      </w:r>
      <w:r w:rsidR="00506684">
        <w:rPr>
          <w:lang w:bidi="ar-EG"/>
        </w:rPr>
        <w:t>2017</w:t>
      </w:r>
      <w:r w:rsidR="00506684">
        <w:rPr>
          <w:rFonts w:hint="cs"/>
          <w:rtl/>
          <w:lang w:bidi="ar-EG"/>
        </w:rPr>
        <w:t xml:space="preserve"> للجنة الدراسات </w:t>
      </w:r>
      <w:r w:rsidR="00506684">
        <w:rPr>
          <w:lang w:bidi="ar-EG"/>
        </w:rPr>
        <w:t>1</w:t>
      </w:r>
      <w:r w:rsidR="00506684">
        <w:rPr>
          <w:rFonts w:hint="cs"/>
          <w:rtl/>
          <w:lang w:bidi="ar-EG"/>
        </w:rPr>
        <w:t xml:space="preserve"> لقطاع تنمية</w:t>
      </w:r>
      <w:r w:rsidR="00525FF7">
        <w:rPr>
          <w:rFonts w:hint="eastAsia"/>
          <w:rtl/>
          <w:lang w:bidi="ar-EG"/>
        </w:rPr>
        <w:t> </w:t>
      </w:r>
      <w:r w:rsidR="00506684">
        <w:rPr>
          <w:rFonts w:hint="cs"/>
          <w:rtl/>
          <w:lang w:bidi="ar-EG"/>
        </w:rPr>
        <w:t>الاتصالات.</w:t>
      </w:r>
    </w:p>
    <w:p w:rsidR="00506684" w:rsidRDefault="00506684" w:rsidP="00B721D3">
      <w:pPr>
        <w:rPr>
          <w:rtl/>
          <w:lang w:bidi="ar-EG"/>
        </w:rPr>
      </w:pPr>
      <w:r>
        <w:rPr>
          <w:rFonts w:hint="cs"/>
          <w:rtl/>
          <w:lang w:bidi="ar-EG"/>
        </w:rPr>
        <w:t>ولزيادة وتعزيز التعاون والتنسيق بين قطاعي الاتصالات الراديوية وتنمية الاتصالات بشأن الموضوعات المتعلقة بإدارة الطيف، يمكن للمؤتمر العالمي المقبل لتنمية الاتصالات أن ينظر، عند مراجعته للقرار </w:t>
      </w:r>
      <w:r>
        <w:rPr>
          <w:lang w:bidi="ar-EG"/>
        </w:rPr>
        <w:t>9</w:t>
      </w:r>
      <w:r>
        <w:rPr>
          <w:rFonts w:hint="cs"/>
          <w:rtl/>
          <w:lang w:bidi="ar-EG"/>
        </w:rPr>
        <w:t>، في إدراج تدابير لتسهيل لفت انتباه لجنة الدراسات </w:t>
      </w:r>
      <w:r>
        <w:rPr>
          <w:lang w:bidi="ar-EG"/>
        </w:rPr>
        <w:t>1</w:t>
      </w:r>
      <w:r>
        <w:rPr>
          <w:rFonts w:hint="cs"/>
          <w:rtl/>
          <w:lang w:bidi="ar-EG"/>
        </w:rPr>
        <w:t xml:space="preserve"> لقطاع الاتصالات الراديوية وفرق العمل ذات الصلة التابعة لها إلى دراسات الحالة والاحتياجات الخاصة للمنظمات الوطنية لإدارة الطيف من البلدان النامية. وسيكون بمقدور لجنة الدراسات </w:t>
      </w:r>
      <w:r>
        <w:rPr>
          <w:lang w:bidi="ar-EG"/>
        </w:rPr>
        <w:t>1</w:t>
      </w:r>
      <w:r>
        <w:rPr>
          <w:rFonts w:hint="cs"/>
          <w:rtl/>
          <w:lang w:bidi="ar-EG"/>
        </w:rPr>
        <w:t xml:space="preserve"> لقطاع الاتصالات الراديوية وفرق العمل ذات الصلة التابعة لها بعد ذلك تكريس اهتمام خاص بهذه القضايا أثناء اجتماعاتها العادية وسيكون بمقدورها أيضاً الاتصال بلجان الدراسات أو فرق عمل قطاع الاتصالات الراديوية الأخرى، حسب الاقتضاء. والمشاركة الناتجة عن ذلك للعديد من خبراء قطاع الاتصالات الراديوية ستسهل النظر في الاحتياجات الخاصة بالبلدان النامية عند إعداد أفضل الممارسات الجديدة المحتملة في وثائق قطاع الاتصالات الراديوية بشأن إدارة الطيف، مثل توصيات وتقارير السلسلة </w:t>
      </w:r>
      <w:r>
        <w:rPr>
          <w:lang w:bidi="ar-EG"/>
        </w:rPr>
        <w:t>SM</w:t>
      </w:r>
      <w:r>
        <w:rPr>
          <w:rFonts w:hint="cs"/>
          <w:rtl/>
          <w:lang w:bidi="ar-EG"/>
        </w:rPr>
        <w:t xml:space="preserve"> لقطاع الاتصالات الراديوية، وفي الطبعات المقبلة من كتيبات قطاع الاتصالات الراديوية بشأن مراقب</w:t>
      </w:r>
      <w:r w:rsidR="00A03042">
        <w:rPr>
          <w:rFonts w:hint="cs"/>
          <w:rtl/>
          <w:lang w:bidi="ar-EG"/>
        </w:rPr>
        <w:t>ة الطيف والإدارة الوطنية للطيف.</w:t>
      </w:r>
    </w:p>
    <w:p w:rsidR="00506684" w:rsidRDefault="00506684" w:rsidP="00506684">
      <w:pPr>
        <w:rPr>
          <w:rtl/>
          <w:lang w:bidi="ar-EG"/>
        </w:rPr>
      </w:pPr>
      <w:r>
        <w:rPr>
          <w:rFonts w:hint="cs"/>
          <w:rtl/>
          <w:lang w:bidi="ar-EG"/>
        </w:rPr>
        <w:t>وإضافة</w:t>
      </w:r>
      <w:r w:rsidR="00332072">
        <w:rPr>
          <w:rFonts w:hint="cs"/>
          <w:rtl/>
          <w:lang w:bidi="ar-EG"/>
        </w:rPr>
        <w:t>ً</w:t>
      </w:r>
      <w:bookmarkStart w:id="1" w:name="_GoBack"/>
      <w:bookmarkEnd w:id="1"/>
      <w:r>
        <w:rPr>
          <w:rFonts w:hint="cs"/>
          <w:rtl/>
          <w:lang w:bidi="ar-EG"/>
        </w:rPr>
        <w:t xml:space="preserve"> إلى ما سبق، يمكن تنظيم الحلقات الدراسية و/أو ورش العمل الخاصة بالاتحاد بشأن موضوعات إدارة الطيف بالاقتران مع اجتماعات لجنة الدراسات </w:t>
      </w:r>
      <w:r>
        <w:rPr>
          <w:lang w:bidi="ar-EG"/>
        </w:rPr>
        <w:t>1</w:t>
      </w:r>
      <w:r>
        <w:rPr>
          <w:rFonts w:hint="cs"/>
          <w:rtl/>
          <w:lang w:bidi="ar-EG"/>
        </w:rPr>
        <w:t xml:space="preserve"> لقطاع الاتصالات الراديوية أو فرق العمل التابعة لها وبدعم من مكتب تنمية الاتصالات لتسهيل مشاركة البلدان النامية. ومشاركة ممثلين عن البلدان النامية في هذه الفعاليات سيوفر لهم الفرصة أيضاً لتبادل المعلومات مع خبراء إدارة الطيف لقطاع الاتصالات الراديوية والانخراط بفعالية في دراسات لجنة الدراسات </w:t>
      </w:r>
      <w:r>
        <w:rPr>
          <w:lang w:bidi="ar-EG"/>
        </w:rPr>
        <w:t>1</w:t>
      </w:r>
      <w:r>
        <w:rPr>
          <w:rFonts w:hint="cs"/>
          <w:rtl/>
          <w:lang w:bidi="ar-EG"/>
        </w:rPr>
        <w:t xml:space="preserve"> لقطاع الاتصالات الراديوية.</w:t>
      </w:r>
    </w:p>
    <w:p w:rsidR="00506684" w:rsidRDefault="00506684" w:rsidP="00506684">
      <w:pPr>
        <w:pStyle w:val="Headingb"/>
        <w:rPr>
          <w:rtl/>
        </w:rPr>
      </w:pPr>
      <w:r>
        <w:rPr>
          <w:rFonts w:hint="cs"/>
          <w:rtl/>
        </w:rPr>
        <w:t>المقترح</w:t>
      </w:r>
    </w:p>
    <w:p w:rsidR="00506684" w:rsidRDefault="00506684" w:rsidP="00B721D3">
      <w:pPr>
        <w:rPr>
          <w:rtl/>
          <w:lang w:bidi="ar-EG"/>
        </w:rPr>
      </w:pPr>
      <w:r>
        <w:rPr>
          <w:rFonts w:hint="cs"/>
          <w:rtl/>
          <w:lang w:bidi="ar-EG"/>
        </w:rPr>
        <w:t>يُدعى الفريق الاستشاري للاتصالات الراديوية إلى النظر في التجارب والاقتراحات المطروحة أعلاه وتوفير المعلومات المناسبة لعناية الفريق الاستشاري لتنمية الاتصالات لكي ينظر فيها إبان التحضير للمؤتمر </w:t>
      </w:r>
      <w:r>
        <w:rPr>
          <w:lang w:bidi="ar-EG"/>
        </w:rPr>
        <w:t>WTDC</w:t>
      </w:r>
      <w:r>
        <w:rPr>
          <w:lang w:bidi="ar-EG"/>
        </w:rPr>
        <w:noBreakHyphen/>
        <w:t>17</w:t>
      </w:r>
      <w:r>
        <w:rPr>
          <w:rFonts w:hint="cs"/>
          <w:rtl/>
          <w:lang w:bidi="ar-EG"/>
        </w:rPr>
        <w:t xml:space="preserve">، مثل التدابير المحتملة لتعزيز التعاون والتنسيق بين قطاعي تنمية </w:t>
      </w:r>
      <w:r w:rsidR="00B721D3">
        <w:rPr>
          <w:rFonts w:hint="cs"/>
          <w:rtl/>
          <w:lang w:bidi="ar-EG"/>
        </w:rPr>
        <w:t>الاتصالات</w:t>
      </w:r>
      <w:r>
        <w:rPr>
          <w:rFonts w:hint="cs"/>
          <w:rtl/>
          <w:lang w:bidi="ar-EG"/>
        </w:rPr>
        <w:t xml:space="preserve"> والاتصالات الراديوية (انظر الرقم </w:t>
      </w:r>
      <w:r w:rsidR="00B721D3">
        <w:rPr>
          <w:lang w:bidi="ar-EG"/>
        </w:rPr>
        <w:t>215H</w:t>
      </w:r>
      <w:r>
        <w:rPr>
          <w:rFonts w:hint="cs"/>
          <w:rtl/>
          <w:lang w:bidi="ar-EG"/>
        </w:rPr>
        <w:t xml:space="preserve"> من اتفاقية الاتحاد).</w:t>
      </w:r>
    </w:p>
    <w:p w:rsidR="00F505D1" w:rsidRDefault="00F505D1" w:rsidP="00F505D1">
      <w:pPr>
        <w:spacing w:before="600"/>
        <w:jc w:val="center"/>
        <w:rPr>
          <w:rtl/>
          <w:lang w:bidi="ar-EG"/>
        </w:rPr>
      </w:pPr>
      <w:r>
        <w:rPr>
          <w:rFonts w:hint="cs"/>
          <w:rtl/>
          <w:lang w:bidi="ar-EG"/>
        </w:rPr>
        <w:t>___________</w:t>
      </w:r>
    </w:p>
    <w:sectPr w:rsidR="00F505D1"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DB7" w:rsidRDefault="002B0DB7" w:rsidP="00E07379">
      <w:pPr>
        <w:spacing w:before="0" w:line="240" w:lineRule="auto"/>
      </w:pPr>
      <w:r>
        <w:separator/>
      </w:r>
    </w:p>
  </w:endnote>
  <w:endnote w:type="continuationSeparator" w:id="0">
    <w:p w:rsidR="002B0DB7" w:rsidRDefault="002B0DB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6B1333">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6B1333">
      <w:rPr>
        <w:rFonts w:eastAsiaTheme="minorEastAsia" w:cs="Calibri"/>
        <w:noProof/>
        <w:sz w:val="16"/>
        <w:szCs w:val="16"/>
        <w:lang w:eastAsia="zh-CN"/>
      </w:rPr>
      <w:t>P:\ARA\ITU-R\AG\RAG\RAG17\000\005A.docx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6B1333">
      <w:rPr>
        <w:rFonts w:eastAsiaTheme="minorEastAsia" w:cs="Calibri"/>
        <w:sz w:val="16"/>
        <w:szCs w:val="16"/>
        <w:lang w:eastAsia="zh-CN"/>
      </w:rPr>
      <w:t>415966</w:t>
    </w:r>
    <w:r w:rsidRPr="00034CD2">
      <w:rPr>
        <w:rFonts w:eastAsiaTheme="minorEastAsia" w:cs="Calibri"/>
        <w:sz w:val="16"/>
        <w:szCs w:val="16"/>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AE331E">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AE331E">
      <w:rPr>
        <w:rFonts w:eastAsiaTheme="minorEastAsia" w:cs="Calibri"/>
        <w:noProof/>
        <w:sz w:val="16"/>
        <w:szCs w:val="16"/>
        <w:lang w:eastAsia="zh-CN"/>
      </w:rPr>
      <w:t>P:\ARA\ITU-R\AG\RAG\RAG17\000\005A.docx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AE331E">
      <w:rPr>
        <w:rFonts w:eastAsiaTheme="minorEastAsia" w:cs="Calibri"/>
        <w:sz w:val="16"/>
        <w:szCs w:val="16"/>
        <w:lang w:eastAsia="zh-CN"/>
      </w:rPr>
      <w:t>415966</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DB7" w:rsidRDefault="002B0DB7" w:rsidP="00E07379">
      <w:pPr>
        <w:spacing w:before="0" w:line="240" w:lineRule="auto"/>
      </w:pPr>
      <w:r>
        <w:separator/>
      </w:r>
    </w:p>
  </w:footnote>
  <w:footnote w:type="continuationSeparator" w:id="0">
    <w:p w:rsidR="002B0DB7" w:rsidRDefault="002B0DB7" w:rsidP="00E07379">
      <w:pPr>
        <w:spacing w:before="0" w:line="240" w:lineRule="auto"/>
      </w:pPr>
      <w:r>
        <w:continuationSeparator/>
      </w:r>
    </w:p>
  </w:footnote>
  <w:footnote w:id="1">
    <w:p w:rsidR="00AE331E" w:rsidRDefault="00AE331E" w:rsidP="00AE331E">
      <w:pPr>
        <w:pStyle w:val="FootnoteText"/>
        <w:rPr>
          <w:rtl/>
        </w:rPr>
      </w:pPr>
      <w:r>
        <w:rPr>
          <w:rStyle w:val="FootnoteReference"/>
          <w:rtl/>
        </w:rPr>
        <w:t>*</w:t>
      </w:r>
      <w:r>
        <w:rPr>
          <w:rtl/>
        </w:rPr>
        <w:tab/>
      </w:r>
      <w:r>
        <w:rPr>
          <w:rFonts w:hint="cs"/>
          <w:rtl/>
        </w:rPr>
        <w:t>كان من المفترض في ذلك الوقت أن يُعقد المؤتمر العالمي التالي لتنمية الاتصالات في </w:t>
      </w:r>
      <w:r>
        <w:t>2018</w:t>
      </w:r>
      <w:r>
        <w:rPr>
          <w:rFonts w:hint="cs"/>
          <w:rtl/>
        </w:rPr>
        <w:t>. بيد أن المؤتمر العالمي المقبل لتنمية الاتصالات سيُعقد في الفترة </w:t>
      </w:r>
      <w:r>
        <w:t>20</w:t>
      </w:r>
      <w:r>
        <w:noBreakHyphen/>
        <w:t>9</w:t>
      </w:r>
      <w:r>
        <w:rPr>
          <w:rFonts w:hint="eastAsia"/>
          <w:rtl/>
        </w:rPr>
        <w:t> أكتوبر</w:t>
      </w:r>
      <w:r>
        <w:rPr>
          <w:rFonts w:hint="cs"/>
          <w:rtl/>
        </w:rPr>
        <w:t> </w:t>
      </w:r>
      <w:r>
        <w:t>2017</w:t>
      </w:r>
      <w:r>
        <w:rPr>
          <w:rFonts w:hint="cs"/>
          <w:rtl/>
        </w:rPr>
        <w:t>.</w:t>
      </w:r>
    </w:p>
  </w:footnote>
  <w:footnote w:id="2">
    <w:p w:rsidR="00AE331E" w:rsidRDefault="00AE331E" w:rsidP="00D7474E">
      <w:pPr>
        <w:pStyle w:val="FootnoteText"/>
        <w:rPr>
          <w:rtl/>
        </w:rPr>
      </w:pPr>
      <w:r>
        <w:rPr>
          <w:rStyle w:val="FootnoteReference"/>
          <w:rtl/>
        </w:rPr>
        <w:t>**</w:t>
      </w:r>
      <w:r>
        <w:rPr>
          <w:rtl/>
        </w:rPr>
        <w:tab/>
      </w:r>
      <w:hyperlink r:id="rId1" w:history="1">
        <w:r w:rsidRPr="00AE331E">
          <w:rPr>
            <w:rStyle w:val="Hyperlink"/>
            <w:rFonts w:hint="cs"/>
            <w:sz w:val="20"/>
            <w:szCs w:val="26"/>
            <w:rtl/>
          </w:rPr>
          <w:t>القرار </w:t>
        </w:r>
        <w:r w:rsidRPr="00AE331E">
          <w:rPr>
            <w:rStyle w:val="Hyperlink"/>
            <w:sz w:val="20"/>
            <w:szCs w:val="26"/>
          </w:rPr>
          <w:t>ITU</w:t>
        </w:r>
        <w:r w:rsidRPr="00AE331E">
          <w:rPr>
            <w:rStyle w:val="Hyperlink"/>
            <w:sz w:val="20"/>
            <w:szCs w:val="26"/>
          </w:rPr>
          <w:noBreakHyphen/>
          <w:t>R 22</w:t>
        </w:r>
        <w:r w:rsidRPr="00AE331E">
          <w:rPr>
            <w:rStyle w:val="Hyperlink"/>
            <w:sz w:val="20"/>
            <w:szCs w:val="26"/>
          </w:rPr>
          <w:noBreakHyphen/>
          <w:t>4</w:t>
        </w:r>
      </w:hyperlink>
      <w:r>
        <w:rPr>
          <w:rFonts w:hint="cs"/>
          <w:rtl/>
        </w:rPr>
        <w:t xml:space="preserve"> "</w:t>
      </w:r>
      <w:bookmarkStart w:id="0" w:name="_Toc321147756"/>
      <w:r w:rsidR="006B1333" w:rsidRPr="006B1333">
        <w:rPr>
          <w:rFonts w:hint="cs"/>
          <w:rtl/>
          <w:lang w:bidi="ar-SA"/>
        </w:rPr>
        <w:t>تحسين ممارسات وتقنيات الإدارة الوطنية للطيف الراديوي</w:t>
      </w:r>
      <w:bookmarkEnd w:id="0"/>
      <w:r w:rsidR="006B1333">
        <w:rPr>
          <w:rFonts w:hint="cs"/>
          <w:rtl/>
          <w:lang w:bidi="ar-SA"/>
        </w:rPr>
        <w:t>"، الفقرة </w:t>
      </w:r>
      <w:r w:rsidR="006B1333">
        <w:rPr>
          <w:lang w:bidi="ar-SA"/>
        </w:rPr>
        <w:t>1</w:t>
      </w:r>
      <w:r w:rsidR="006B1333">
        <w:rPr>
          <w:rFonts w:hint="cs"/>
          <w:rtl/>
        </w:rPr>
        <w:t xml:space="preserve"> من </w:t>
      </w:r>
      <w:r w:rsidR="006B1333" w:rsidRPr="006B1333">
        <w:rPr>
          <w:rFonts w:hint="cs"/>
          <w:i/>
          <w:iCs/>
          <w:rtl/>
        </w:rPr>
        <w:t>تقرر</w:t>
      </w:r>
      <w:r w:rsidR="006B1333">
        <w:rPr>
          <w:rFonts w:hint="cs"/>
          <w:rtl/>
        </w:rPr>
        <w:t>: "</w:t>
      </w:r>
      <w:r w:rsidR="006B1333" w:rsidRPr="006B1333">
        <w:rPr>
          <w:rFonts w:hint="cs"/>
          <w:rtl/>
          <w:lang w:bidi="ar-SA"/>
        </w:rPr>
        <w:t>أنه ينبغي للجنة الدراسات</w:t>
      </w:r>
      <w:r w:rsidR="00D7474E">
        <w:rPr>
          <w:rFonts w:hint="eastAsia"/>
          <w:rtl/>
          <w:lang w:bidi="ar-SA"/>
        </w:rPr>
        <w:t> </w:t>
      </w:r>
      <w:r w:rsidR="006B1333" w:rsidRPr="006B1333">
        <w:t>1</w:t>
      </w:r>
      <w:r w:rsidR="006B1333" w:rsidRPr="006B1333">
        <w:rPr>
          <w:rFonts w:hint="cs"/>
          <w:rtl/>
          <w:lang w:bidi="ar-SA"/>
        </w:rPr>
        <w:t xml:space="preserve"> للاتصالات الراديوية أن تواصل مراعاة المتطلبات الخاصة لدى الهيئات الوطنية لإدارة الطيف في البلدان النامية، كما جاء في القرار </w:t>
      </w:r>
      <w:r w:rsidR="006B1333" w:rsidRPr="006B1333">
        <w:rPr>
          <w:lang w:val="fr-CH"/>
        </w:rPr>
        <w:t>9</w:t>
      </w:r>
      <w:r w:rsidR="006B1333" w:rsidRPr="006B1333">
        <w:rPr>
          <w:rFonts w:hint="cs"/>
          <w:rtl/>
          <w:lang w:bidi="ar-SA"/>
        </w:rPr>
        <w:t xml:space="preserve"> (المراجَع في دبي، </w:t>
      </w:r>
      <w:r w:rsidR="006B1333" w:rsidRPr="006B1333">
        <w:t>2014</w:t>
      </w:r>
      <w:r w:rsidR="006B1333" w:rsidRPr="006B1333">
        <w:rPr>
          <w:rFonts w:hint="cs"/>
          <w:rtl/>
          <w:lang w:bidi="ar-SA"/>
        </w:rPr>
        <w:t xml:space="preserve">) والقرار </w:t>
      </w:r>
      <w:r w:rsidR="006B1333" w:rsidRPr="006B1333">
        <w:rPr>
          <w:lang w:val="fr-CH"/>
        </w:rPr>
        <w:t>10</w:t>
      </w:r>
      <w:r w:rsidR="006B1333" w:rsidRPr="006B1333">
        <w:rPr>
          <w:rFonts w:hint="cs"/>
          <w:rtl/>
          <w:lang w:bidi="ar-SA"/>
        </w:rPr>
        <w:t xml:space="preserve"> (المراجَع في حيدر</w:t>
      </w:r>
      <w:r w:rsidR="006B1333" w:rsidRPr="006B1333">
        <w:rPr>
          <w:rFonts w:hint="eastAsia"/>
          <w:rtl/>
          <w:lang w:bidi="ar-SA"/>
        </w:rPr>
        <w:t> </w:t>
      </w:r>
      <w:r w:rsidR="006B1333" w:rsidRPr="006B1333">
        <w:rPr>
          <w:rFonts w:hint="cs"/>
          <w:rtl/>
          <w:lang w:bidi="ar-SA"/>
        </w:rPr>
        <w:t xml:space="preserve">آباد، </w:t>
      </w:r>
      <w:r w:rsidR="006B1333" w:rsidRPr="006B1333">
        <w:t>2010</w:t>
      </w:r>
      <w:r w:rsidR="006B1333" w:rsidRPr="006B1333">
        <w:rPr>
          <w:rFonts w:hint="cs"/>
          <w:rtl/>
          <w:lang w:bidi="ar-SA"/>
        </w:rPr>
        <w:t>) الصادرين عن المؤتمر العالمي لتنمية الاتصالات، وأن تولي اهتماماً خاصاً لهذه الأمور خلال الاجتماعات الدورية للجنة الدراسات وفرق</w:t>
      </w:r>
      <w:r w:rsidR="006B1333" w:rsidRPr="006B1333">
        <w:rPr>
          <w:rFonts w:hint="eastAsia"/>
          <w:rtl/>
          <w:lang w:bidi="ar-SA"/>
        </w:rPr>
        <w:t> </w:t>
      </w:r>
      <w:r w:rsidR="006B1333" w:rsidRPr="006B1333">
        <w:rPr>
          <w:rFonts w:hint="cs"/>
          <w:rtl/>
          <w:lang w:bidi="ar-SA"/>
        </w:rPr>
        <w:t>عملها</w:t>
      </w:r>
      <w:r w:rsidR="006B133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6B1333">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332072">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Pr>
        <w:rFonts w:eastAsiaTheme="minorEastAsia" w:cs="Calibri"/>
        <w:sz w:val="20"/>
        <w:szCs w:val="20"/>
        <w:lang w:val="en-GB" w:eastAsia="zh-CN"/>
      </w:rPr>
      <w:t>7</w:t>
    </w:r>
    <w:r w:rsidRPr="00034CD2">
      <w:rPr>
        <w:rFonts w:eastAsiaTheme="minorEastAsia" w:cs="Calibri"/>
        <w:sz w:val="20"/>
        <w:szCs w:val="20"/>
        <w:lang w:val="en-GB" w:eastAsia="zh-CN"/>
      </w:rPr>
      <w:t>/</w:t>
    </w:r>
    <w:r w:rsidR="006B1333">
      <w:rPr>
        <w:rFonts w:eastAsiaTheme="minorEastAsia" w:cs="Calibri"/>
        <w:sz w:val="20"/>
        <w:szCs w:val="20"/>
        <w:lang w:val="en-GB" w:eastAsia="zh-CN"/>
      </w:rPr>
      <w:t>5</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DB7"/>
    <w:rsid w:val="000124CC"/>
    <w:rsid w:val="00034CD2"/>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175494"/>
    <w:rsid w:val="0022345D"/>
    <w:rsid w:val="00225854"/>
    <w:rsid w:val="0023283D"/>
    <w:rsid w:val="00252E0C"/>
    <w:rsid w:val="00267962"/>
    <w:rsid w:val="00276881"/>
    <w:rsid w:val="002916BE"/>
    <w:rsid w:val="002978F4"/>
    <w:rsid w:val="002B028D"/>
    <w:rsid w:val="002B0DB7"/>
    <w:rsid w:val="002B435E"/>
    <w:rsid w:val="002C4DAE"/>
    <w:rsid w:val="002D6669"/>
    <w:rsid w:val="002E6541"/>
    <w:rsid w:val="002F5560"/>
    <w:rsid w:val="0030486B"/>
    <w:rsid w:val="003231B9"/>
    <w:rsid w:val="003275AC"/>
    <w:rsid w:val="00332072"/>
    <w:rsid w:val="00333D29"/>
    <w:rsid w:val="003409F4"/>
    <w:rsid w:val="00357185"/>
    <w:rsid w:val="003C475F"/>
    <w:rsid w:val="003E4132"/>
    <w:rsid w:val="003F678F"/>
    <w:rsid w:val="0042686F"/>
    <w:rsid w:val="004367CE"/>
    <w:rsid w:val="00443869"/>
    <w:rsid w:val="004712C6"/>
    <w:rsid w:val="00497703"/>
    <w:rsid w:val="004F0F06"/>
    <w:rsid w:val="00501E0E"/>
    <w:rsid w:val="00506684"/>
    <w:rsid w:val="005204D7"/>
    <w:rsid w:val="00525FF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B1333"/>
    <w:rsid w:val="006C1556"/>
    <w:rsid w:val="006F267F"/>
    <w:rsid w:val="006F63F7"/>
    <w:rsid w:val="006F6F03"/>
    <w:rsid w:val="00706D7A"/>
    <w:rsid w:val="00726AEC"/>
    <w:rsid w:val="007530CA"/>
    <w:rsid w:val="0079553D"/>
    <w:rsid w:val="007A41F4"/>
    <w:rsid w:val="007B01CC"/>
    <w:rsid w:val="007E7C6C"/>
    <w:rsid w:val="007F6238"/>
    <w:rsid w:val="007F646C"/>
    <w:rsid w:val="00801FCD"/>
    <w:rsid w:val="00803D7E"/>
    <w:rsid w:val="00803F08"/>
    <w:rsid w:val="008235CD"/>
    <w:rsid w:val="00823A07"/>
    <w:rsid w:val="00835FEC"/>
    <w:rsid w:val="008513CB"/>
    <w:rsid w:val="00874D9C"/>
    <w:rsid w:val="008A1810"/>
    <w:rsid w:val="008B5B5D"/>
    <w:rsid w:val="009172D1"/>
    <w:rsid w:val="00917694"/>
    <w:rsid w:val="009263CD"/>
    <w:rsid w:val="00930E6D"/>
    <w:rsid w:val="00972CA2"/>
    <w:rsid w:val="00982B28"/>
    <w:rsid w:val="00984EA5"/>
    <w:rsid w:val="00992593"/>
    <w:rsid w:val="009C17E1"/>
    <w:rsid w:val="009C35ED"/>
    <w:rsid w:val="009F1C12"/>
    <w:rsid w:val="00A03042"/>
    <w:rsid w:val="00A124CB"/>
    <w:rsid w:val="00A2167A"/>
    <w:rsid w:val="00A23EF7"/>
    <w:rsid w:val="00A25A43"/>
    <w:rsid w:val="00A3295B"/>
    <w:rsid w:val="00A42AE5"/>
    <w:rsid w:val="00A52B61"/>
    <w:rsid w:val="00A64820"/>
    <w:rsid w:val="00A71DD6"/>
    <w:rsid w:val="00A723C7"/>
    <w:rsid w:val="00A80E11"/>
    <w:rsid w:val="00A97F94"/>
    <w:rsid w:val="00AB1309"/>
    <w:rsid w:val="00AC2C52"/>
    <w:rsid w:val="00AD1503"/>
    <w:rsid w:val="00AE331E"/>
    <w:rsid w:val="00AE7244"/>
    <w:rsid w:val="00AF3FEE"/>
    <w:rsid w:val="00B02F46"/>
    <w:rsid w:val="00B10C10"/>
    <w:rsid w:val="00B2000C"/>
    <w:rsid w:val="00B20ADE"/>
    <w:rsid w:val="00B30303"/>
    <w:rsid w:val="00B50C09"/>
    <w:rsid w:val="00B66B9A"/>
    <w:rsid w:val="00B721D3"/>
    <w:rsid w:val="00B82089"/>
    <w:rsid w:val="00B823E0"/>
    <w:rsid w:val="00B970AE"/>
    <w:rsid w:val="00BA1427"/>
    <w:rsid w:val="00BE49D0"/>
    <w:rsid w:val="00BF19F7"/>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474E"/>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C023F"/>
    <w:rsid w:val="00EC2707"/>
    <w:rsid w:val="00F126F1"/>
    <w:rsid w:val="00F2106A"/>
    <w:rsid w:val="00F24AFD"/>
    <w:rsid w:val="00F36D8B"/>
    <w:rsid w:val="00F401D0"/>
    <w:rsid w:val="00F45F2B"/>
    <w:rsid w:val="00F505D1"/>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15EA69C-5C8E-42D4-8796-CCDE7129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character" w:customStyle="1" w:styleId="-">
    <w:name w:val="Интернет-ссылка"/>
    <w:uiPriority w:val="99"/>
    <w:unhideWhenUsed/>
    <w:rsid w:val="00AE33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R12-SG01-C-0110/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S-R.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ITU-R%20(BR)\PA_RAG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57213-683E-4D42-A3AE-4A2EF373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PA_RAG17.dotx</Template>
  <TotalTime>75</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17</cp:revision>
  <cp:lastPrinted>2016-06-07T13:25:00Z</cp:lastPrinted>
  <dcterms:created xsi:type="dcterms:W3CDTF">2017-04-05T15:51:00Z</dcterms:created>
  <dcterms:modified xsi:type="dcterms:W3CDTF">2017-04-06T07:44:00Z</dcterms:modified>
  <cp:category>Conference document</cp:category>
</cp:coreProperties>
</file>