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E01336" w:rsidTr="00443261">
        <w:trPr>
          <w:cantSplit/>
        </w:trPr>
        <w:tc>
          <w:tcPr>
            <w:tcW w:w="6771" w:type="dxa"/>
            <w:vAlign w:val="center"/>
          </w:tcPr>
          <w:p w:rsidR="00443261" w:rsidRPr="00E01336" w:rsidRDefault="00443261" w:rsidP="00967677">
            <w:pPr>
              <w:shd w:val="solid" w:color="FFFFFF" w:fill="FFFFFF"/>
              <w:spacing w:before="360" w:after="240"/>
              <w:rPr>
                <w:rFonts w:ascii="Verdana" w:hAnsi="Verdana"/>
                <w:b/>
                <w:bCs/>
              </w:rPr>
            </w:pPr>
            <w:r w:rsidRPr="00E01336">
              <w:rPr>
                <w:rFonts w:ascii="Verdana" w:hAnsi="Verdana" w:cs="Times New Roman Bold"/>
                <w:b/>
                <w:sz w:val="25"/>
                <w:szCs w:val="25"/>
              </w:rPr>
              <w:t>Groupe Consultatif des Radiocommunications</w:t>
            </w:r>
            <w:r w:rsidRPr="00E01336">
              <w:rPr>
                <w:rFonts w:ascii="Verdana" w:hAnsi="Verdana"/>
                <w:b/>
                <w:sz w:val="25"/>
                <w:szCs w:val="25"/>
              </w:rPr>
              <w:br/>
            </w:r>
            <w:r w:rsidRPr="00E01336">
              <w:rPr>
                <w:rFonts w:ascii="Verdana" w:hAnsi="Verdana" w:cs="Times New Roman Bold"/>
                <w:b/>
                <w:bCs/>
                <w:sz w:val="20"/>
              </w:rPr>
              <w:t>Genève,</w:t>
            </w:r>
            <w:r w:rsidRPr="00E01336">
              <w:rPr>
                <w:rFonts w:ascii="Verdana" w:hAnsi="Verdana"/>
                <w:b/>
                <w:bCs/>
                <w:sz w:val="20"/>
              </w:rPr>
              <w:t xml:space="preserve"> 26-28 avril 2017</w:t>
            </w:r>
          </w:p>
        </w:tc>
        <w:tc>
          <w:tcPr>
            <w:tcW w:w="3118" w:type="dxa"/>
          </w:tcPr>
          <w:p w:rsidR="00443261" w:rsidRPr="00E01336" w:rsidRDefault="00443261" w:rsidP="00967677">
            <w:pPr>
              <w:shd w:val="solid" w:color="FFFFFF" w:fill="FFFFFF"/>
              <w:spacing w:before="0"/>
              <w:jc w:val="right"/>
            </w:pPr>
            <w:r w:rsidRPr="00E01336">
              <w:rPr>
                <w:rFonts w:cstheme="minorHAnsi"/>
                <w:b/>
                <w:bCs/>
                <w:noProof/>
                <w:lang w:val="en-US"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E01336">
        <w:trPr>
          <w:cantSplit/>
        </w:trPr>
        <w:tc>
          <w:tcPr>
            <w:tcW w:w="6771" w:type="dxa"/>
            <w:tcBorders>
              <w:bottom w:val="single" w:sz="12" w:space="0" w:color="auto"/>
            </w:tcBorders>
          </w:tcPr>
          <w:p w:rsidR="002D238A" w:rsidRPr="00E01336" w:rsidRDefault="002D238A" w:rsidP="00967677">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E01336" w:rsidRDefault="002D238A" w:rsidP="00967677">
            <w:pPr>
              <w:shd w:val="solid" w:color="FFFFFF" w:fill="FFFFFF"/>
              <w:spacing w:before="0" w:after="48"/>
              <w:rPr>
                <w:sz w:val="22"/>
                <w:szCs w:val="22"/>
              </w:rPr>
            </w:pPr>
          </w:p>
        </w:tc>
      </w:tr>
      <w:tr w:rsidR="002D238A" w:rsidRPr="00E01336">
        <w:trPr>
          <w:cantSplit/>
        </w:trPr>
        <w:tc>
          <w:tcPr>
            <w:tcW w:w="6771" w:type="dxa"/>
            <w:tcBorders>
              <w:top w:val="single" w:sz="12" w:space="0" w:color="auto"/>
            </w:tcBorders>
          </w:tcPr>
          <w:p w:rsidR="002D238A" w:rsidRPr="00E01336" w:rsidRDefault="002D238A" w:rsidP="00967677">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E01336" w:rsidRDefault="002D238A" w:rsidP="00967677">
            <w:pPr>
              <w:shd w:val="solid" w:color="FFFFFF" w:fill="FFFFFF"/>
              <w:spacing w:before="0" w:after="48"/>
              <w:rPr>
                <w:rFonts w:ascii="Verdana" w:hAnsi="Verdana"/>
                <w:sz w:val="22"/>
                <w:szCs w:val="22"/>
              </w:rPr>
            </w:pPr>
          </w:p>
        </w:tc>
      </w:tr>
      <w:tr w:rsidR="002D238A" w:rsidRPr="00E01336">
        <w:trPr>
          <w:cantSplit/>
        </w:trPr>
        <w:tc>
          <w:tcPr>
            <w:tcW w:w="6771" w:type="dxa"/>
            <w:vMerge w:val="restart"/>
          </w:tcPr>
          <w:p w:rsidR="002D238A" w:rsidRPr="00E01336" w:rsidRDefault="002D238A" w:rsidP="00967677">
            <w:pPr>
              <w:shd w:val="solid" w:color="FFFFFF" w:fill="FFFFFF"/>
              <w:spacing w:after="240"/>
              <w:rPr>
                <w:sz w:val="20"/>
              </w:rPr>
            </w:pPr>
            <w:bookmarkStart w:id="0" w:name="dnum" w:colFirst="1" w:colLast="1"/>
          </w:p>
        </w:tc>
        <w:tc>
          <w:tcPr>
            <w:tcW w:w="3118" w:type="dxa"/>
          </w:tcPr>
          <w:p w:rsidR="002D238A" w:rsidRPr="00E01336" w:rsidRDefault="00947B44" w:rsidP="00967677">
            <w:pPr>
              <w:shd w:val="solid" w:color="FFFFFF" w:fill="FFFFFF"/>
              <w:spacing w:before="0"/>
              <w:rPr>
                <w:rFonts w:ascii="Verdana" w:hAnsi="Verdana"/>
                <w:sz w:val="20"/>
              </w:rPr>
            </w:pPr>
            <w:r w:rsidRPr="00E01336">
              <w:rPr>
                <w:rFonts w:ascii="Verdana" w:hAnsi="Verdana"/>
                <w:b/>
                <w:sz w:val="20"/>
              </w:rPr>
              <w:t>Document RAG17/</w:t>
            </w:r>
            <w:r w:rsidR="00E445D1" w:rsidRPr="00E01336">
              <w:rPr>
                <w:rFonts w:ascii="Verdana" w:hAnsi="Verdana"/>
                <w:b/>
                <w:sz w:val="20"/>
              </w:rPr>
              <w:t>3</w:t>
            </w:r>
            <w:r w:rsidRPr="00E01336">
              <w:rPr>
                <w:rFonts w:ascii="Verdana" w:hAnsi="Verdana"/>
                <w:b/>
                <w:sz w:val="20"/>
              </w:rPr>
              <w:t>-F</w:t>
            </w:r>
          </w:p>
        </w:tc>
      </w:tr>
      <w:tr w:rsidR="002D238A" w:rsidRPr="00E01336">
        <w:trPr>
          <w:cantSplit/>
        </w:trPr>
        <w:tc>
          <w:tcPr>
            <w:tcW w:w="6771" w:type="dxa"/>
            <w:vMerge/>
          </w:tcPr>
          <w:p w:rsidR="002D238A" w:rsidRPr="00E01336" w:rsidRDefault="002D238A" w:rsidP="00967677">
            <w:pPr>
              <w:spacing w:before="60"/>
              <w:jc w:val="center"/>
              <w:rPr>
                <w:b/>
                <w:smallCaps/>
                <w:sz w:val="32"/>
              </w:rPr>
            </w:pPr>
            <w:bookmarkStart w:id="1" w:name="ddate" w:colFirst="1" w:colLast="1"/>
            <w:bookmarkEnd w:id="0"/>
          </w:p>
        </w:tc>
        <w:tc>
          <w:tcPr>
            <w:tcW w:w="3118" w:type="dxa"/>
          </w:tcPr>
          <w:p w:rsidR="002D238A" w:rsidRPr="00E01336" w:rsidRDefault="00E445D1" w:rsidP="00967677">
            <w:pPr>
              <w:shd w:val="solid" w:color="FFFFFF" w:fill="FFFFFF"/>
              <w:spacing w:before="0"/>
              <w:rPr>
                <w:rFonts w:ascii="Verdana" w:hAnsi="Verdana"/>
                <w:sz w:val="20"/>
              </w:rPr>
            </w:pPr>
            <w:r w:rsidRPr="00E01336">
              <w:rPr>
                <w:rFonts w:ascii="Verdana" w:hAnsi="Verdana"/>
                <w:b/>
                <w:sz w:val="20"/>
              </w:rPr>
              <w:t>16 février</w:t>
            </w:r>
            <w:r w:rsidR="00947B44" w:rsidRPr="00E01336">
              <w:rPr>
                <w:rFonts w:ascii="Verdana" w:hAnsi="Verdana"/>
                <w:b/>
                <w:sz w:val="20"/>
              </w:rPr>
              <w:t xml:space="preserve"> 2017</w:t>
            </w:r>
          </w:p>
        </w:tc>
      </w:tr>
      <w:tr w:rsidR="002D238A" w:rsidRPr="00E01336">
        <w:trPr>
          <w:cantSplit/>
        </w:trPr>
        <w:tc>
          <w:tcPr>
            <w:tcW w:w="6771" w:type="dxa"/>
            <w:vMerge/>
          </w:tcPr>
          <w:p w:rsidR="002D238A" w:rsidRPr="00E01336" w:rsidRDefault="002D238A" w:rsidP="00967677">
            <w:pPr>
              <w:spacing w:before="60"/>
              <w:jc w:val="center"/>
              <w:rPr>
                <w:b/>
                <w:smallCaps/>
                <w:sz w:val="32"/>
              </w:rPr>
            </w:pPr>
            <w:bookmarkStart w:id="2" w:name="dorlang" w:colFirst="1" w:colLast="1"/>
            <w:bookmarkEnd w:id="1"/>
          </w:p>
        </w:tc>
        <w:tc>
          <w:tcPr>
            <w:tcW w:w="3118" w:type="dxa"/>
          </w:tcPr>
          <w:p w:rsidR="002D238A" w:rsidRPr="00E01336" w:rsidRDefault="00947B44" w:rsidP="00967677">
            <w:pPr>
              <w:shd w:val="solid" w:color="FFFFFF" w:fill="FFFFFF"/>
              <w:spacing w:before="0" w:after="120"/>
              <w:rPr>
                <w:rFonts w:ascii="Verdana" w:hAnsi="Verdana"/>
                <w:sz w:val="20"/>
              </w:rPr>
            </w:pPr>
            <w:r w:rsidRPr="00E01336">
              <w:rPr>
                <w:rFonts w:ascii="Verdana" w:hAnsi="Verdana"/>
                <w:b/>
                <w:sz w:val="20"/>
              </w:rPr>
              <w:t>Original: anglais</w:t>
            </w:r>
          </w:p>
        </w:tc>
      </w:tr>
      <w:tr w:rsidR="002D238A" w:rsidRPr="00E01336">
        <w:trPr>
          <w:cantSplit/>
        </w:trPr>
        <w:tc>
          <w:tcPr>
            <w:tcW w:w="9889" w:type="dxa"/>
            <w:gridSpan w:val="2"/>
          </w:tcPr>
          <w:p w:rsidR="002D238A" w:rsidRPr="00C11B8D" w:rsidRDefault="00E445D1" w:rsidP="00967677">
            <w:pPr>
              <w:pStyle w:val="Source"/>
            </w:pPr>
            <w:bookmarkStart w:id="3" w:name="dsource" w:colFirst="0" w:colLast="0"/>
            <w:bookmarkEnd w:id="2"/>
            <w:r w:rsidRPr="00C11B8D">
              <w:t>Directeur du Bureau des radiocommunications</w:t>
            </w:r>
          </w:p>
        </w:tc>
      </w:tr>
      <w:tr w:rsidR="002D238A" w:rsidRPr="00E01336">
        <w:trPr>
          <w:cantSplit/>
        </w:trPr>
        <w:tc>
          <w:tcPr>
            <w:tcW w:w="9889" w:type="dxa"/>
            <w:gridSpan w:val="2"/>
          </w:tcPr>
          <w:p w:rsidR="00E445D1" w:rsidRPr="00D22C4A" w:rsidRDefault="00E445D1" w:rsidP="00967677">
            <w:pPr>
              <w:pStyle w:val="Title1"/>
            </w:pPr>
            <w:bookmarkStart w:id="4" w:name="dtitle1" w:colFirst="0" w:colLast="0"/>
            <w:bookmarkEnd w:id="3"/>
            <w:r w:rsidRPr="00D22C4A">
              <w:t>110</w:t>
            </w:r>
            <w:r w:rsidR="00C11B8D" w:rsidRPr="00D22C4A">
              <w:rPr>
                <w:caps w:val="0"/>
              </w:rPr>
              <w:t>ème</w:t>
            </w:r>
            <w:r w:rsidRPr="00D22C4A">
              <w:t xml:space="preserve"> anniversaire du Règlement des radiocommunications de </w:t>
            </w:r>
            <w:r w:rsidR="00173C08" w:rsidRPr="00D22C4A">
              <w:t>L</w:t>
            </w:r>
            <w:r w:rsidR="004C6912" w:rsidRPr="00D22C4A">
              <w:t>'</w:t>
            </w:r>
            <w:r w:rsidR="00173C08" w:rsidRPr="00D22C4A">
              <w:t xml:space="preserve">UIT </w:t>
            </w:r>
            <w:r w:rsidR="00D22C4A" w:rsidRPr="00D22C4A">
              <w:t>(1906</w:t>
            </w:r>
            <w:r w:rsidRPr="00D22C4A">
              <w:t>-2016)</w:t>
            </w:r>
          </w:p>
        </w:tc>
      </w:tr>
    </w:tbl>
    <w:bookmarkEnd w:id="4"/>
    <w:p w:rsidR="00E445D1" w:rsidRPr="00E01336" w:rsidRDefault="0015292A" w:rsidP="00967677">
      <w:pPr>
        <w:pStyle w:val="Heading1"/>
        <w:rPr>
          <w:rFonts w:asciiTheme="majorBidi" w:hAnsiTheme="majorBidi" w:cstheme="majorBidi"/>
          <w:szCs w:val="24"/>
          <w:lang w:eastAsia="zh-CN"/>
        </w:rPr>
      </w:pPr>
      <w:r w:rsidRPr="00E01336">
        <w:rPr>
          <w:rFonts w:asciiTheme="majorBidi" w:hAnsiTheme="majorBidi" w:cstheme="majorBidi"/>
          <w:szCs w:val="24"/>
          <w:lang w:eastAsia="zh-CN"/>
        </w:rPr>
        <w:t>1</w:t>
      </w:r>
      <w:r w:rsidRPr="00E01336">
        <w:rPr>
          <w:rFonts w:asciiTheme="majorBidi" w:hAnsiTheme="majorBidi" w:cstheme="majorBidi"/>
          <w:szCs w:val="24"/>
          <w:lang w:eastAsia="zh-CN"/>
        </w:rPr>
        <w:tab/>
        <w:t>Généralités</w:t>
      </w:r>
    </w:p>
    <w:p w:rsidR="00E445D1" w:rsidRPr="00E01336" w:rsidRDefault="00027081" w:rsidP="00967677">
      <w:pPr>
        <w:rPr>
          <w:rFonts w:asciiTheme="majorBidi" w:hAnsiTheme="majorBidi" w:cstheme="majorBidi"/>
          <w:szCs w:val="24"/>
        </w:rPr>
      </w:pPr>
      <w:r w:rsidRPr="00E01336">
        <w:rPr>
          <w:rFonts w:asciiTheme="majorBidi" w:hAnsiTheme="majorBidi" w:cstheme="majorBidi"/>
          <w:szCs w:val="24"/>
        </w:rPr>
        <w:t>L</w:t>
      </w:r>
      <w:r w:rsidR="004C6912" w:rsidRPr="00E01336">
        <w:rPr>
          <w:rFonts w:asciiTheme="majorBidi" w:hAnsiTheme="majorBidi" w:cstheme="majorBidi"/>
          <w:szCs w:val="24"/>
        </w:rPr>
        <w:t>'</w:t>
      </w:r>
      <w:r w:rsidRPr="00E01336">
        <w:rPr>
          <w:rFonts w:asciiTheme="majorBidi" w:hAnsiTheme="majorBidi" w:cstheme="majorBidi"/>
          <w:szCs w:val="24"/>
        </w:rPr>
        <w:t>année dernière, l</w:t>
      </w:r>
      <w:r w:rsidR="004C6912" w:rsidRPr="00E01336">
        <w:rPr>
          <w:rFonts w:asciiTheme="majorBidi" w:hAnsiTheme="majorBidi" w:cstheme="majorBidi"/>
          <w:szCs w:val="24"/>
        </w:rPr>
        <w:t>'</w:t>
      </w:r>
      <w:r w:rsidRPr="00E01336">
        <w:rPr>
          <w:rFonts w:asciiTheme="majorBidi" w:hAnsiTheme="majorBidi" w:cstheme="majorBidi"/>
          <w:szCs w:val="24"/>
        </w:rPr>
        <w:t>UIT a célébré le 110</w:t>
      </w:r>
      <w:r w:rsidRPr="00E01336">
        <w:t>ème</w:t>
      </w:r>
      <w:r w:rsidRPr="00E01336">
        <w:rPr>
          <w:rFonts w:asciiTheme="majorBidi" w:hAnsiTheme="majorBidi" w:cstheme="majorBidi"/>
          <w:szCs w:val="24"/>
        </w:rPr>
        <w:t xml:space="preserve"> anniversaire du Règle</w:t>
      </w:r>
      <w:r w:rsidR="00DA2CB8" w:rsidRPr="00E01336">
        <w:rPr>
          <w:rFonts w:asciiTheme="majorBidi" w:hAnsiTheme="majorBidi" w:cstheme="majorBidi"/>
          <w:szCs w:val="24"/>
        </w:rPr>
        <w:t>ment des radiocommunications</w:t>
      </w:r>
      <w:r w:rsidR="001A7DFD" w:rsidRPr="00E01336">
        <w:rPr>
          <w:rFonts w:asciiTheme="majorBidi" w:hAnsiTheme="majorBidi" w:cstheme="majorBidi"/>
          <w:szCs w:val="24"/>
        </w:rPr>
        <w:t xml:space="preserve"> (RR)</w:t>
      </w:r>
      <w:r w:rsidRPr="00E01336">
        <w:rPr>
          <w:rFonts w:asciiTheme="majorBidi" w:hAnsiTheme="majorBidi" w:cstheme="majorBidi"/>
          <w:szCs w:val="24"/>
        </w:rPr>
        <w:t xml:space="preserve">. </w:t>
      </w:r>
      <w:r w:rsidR="00E445D1" w:rsidRPr="00E01336">
        <w:rPr>
          <w:rFonts w:asciiTheme="majorBidi" w:hAnsiTheme="majorBidi" w:cstheme="majorBidi"/>
          <w:szCs w:val="24"/>
        </w:rPr>
        <w:t xml:space="preserve">En 1906, la première Conférence radiotélégraphique internationale a rassemblé à Berlin </w:t>
      </w:r>
      <w:r w:rsidRPr="00E01336">
        <w:rPr>
          <w:rFonts w:asciiTheme="majorBidi" w:hAnsiTheme="majorBidi" w:cstheme="majorBidi"/>
          <w:szCs w:val="24"/>
        </w:rPr>
        <w:t>29</w:t>
      </w:r>
      <w:r w:rsidR="00B5313B" w:rsidRPr="00E01336">
        <w:rPr>
          <w:rFonts w:asciiTheme="majorBidi" w:hAnsiTheme="majorBidi" w:cstheme="majorBidi"/>
          <w:szCs w:val="24"/>
        </w:rPr>
        <w:t> </w:t>
      </w:r>
      <w:r w:rsidR="00E445D1" w:rsidRPr="00E01336">
        <w:rPr>
          <w:rFonts w:asciiTheme="majorBidi" w:hAnsiTheme="majorBidi" w:cstheme="majorBidi"/>
          <w:szCs w:val="24"/>
        </w:rPr>
        <w:t>Etats venus signer la «</w:t>
      </w:r>
      <w:hyperlink r:id="rId9" w:history="1">
        <w:r w:rsidR="00E445D1" w:rsidRPr="00E01336">
          <w:rPr>
            <w:rStyle w:val="Hyperlink"/>
            <w:rFonts w:asciiTheme="majorBidi" w:hAnsiTheme="majorBidi" w:cstheme="majorBidi"/>
            <w:szCs w:val="24"/>
          </w:rPr>
          <w:t>Convention radiotélégraphique internationale</w:t>
        </w:r>
      </w:hyperlink>
      <w:r w:rsidR="00E445D1" w:rsidRPr="00E01336">
        <w:rPr>
          <w:rFonts w:asciiTheme="majorBidi" w:hAnsiTheme="majorBidi" w:cstheme="majorBidi"/>
          <w:szCs w:val="24"/>
        </w:rPr>
        <w:t>», établissant le principe de l'obligation de communication entre les navires en mer et la terre ferme.</w:t>
      </w:r>
    </w:p>
    <w:p w:rsidR="009138B5" w:rsidRPr="00E01336" w:rsidRDefault="009138B5" w:rsidP="00967677">
      <w:pPr>
        <w:rPr>
          <w:rFonts w:asciiTheme="majorBidi" w:hAnsiTheme="majorBidi" w:cstheme="majorBidi"/>
          <w:b/>
          <w:bCs/>
          <w:szCs w:val="24"/>
        </w:rPr>
      </w:pPr>
      <w:r w:rsidRPr="00E01336">
        <w:rPr>
          <w:rFonts w:asciiTheme="majorBidi" w:hAnsiTheme="majorBidi" w:cstheme="majorBidi"/>
          <w:szCs w:val="24"/>
        </w:rPr>
        <w:t>Depuis 1906, 38 Conférences mondiales des radiocommunications ont révisé le Règlement des radiocommunications de l'UIT pour tenir compte des évolutions techni</w:t>
      </w:r>
      <w:r w:rsidR="00C11B8D">
        <w:rPr>
          <w:rFonts w:asciiTheme="majorBidi" w:hAnsiTheme="majorBidi" w:cstheme="majorBidi"/>
          <w:szCs w:val="24"/>
        </w:rPr>
        <w:t>ques et sociales. La version de </w:t>
      </w:r>
      <w:r w:rsidRPr="00E01336">
        <w:rPr>
          <w:rFonts w:asciiTheme="majorBidi" w:hAnsiTheme="majorBidi" w:cstheme="majorBidi"/>
          <w:szCs w:val="24"/>
        </w:rPr>
        <w:t>2016 du Règlement a été adoptée par la Conférence mondiale des radiocommunicati</w:t>
      </w:r>
      <w:r w:rsidR="00B5313B" w:rsidRPr="00E01336">
        <w:rPr>
          <w:rFonts w:asciiTheme="majorBidi" w:hAnsiTheme="majorBidi" w:cstheme="majorBidi"/>
          <w:szCs w:val="24"/>
        </w:rPr>
        <w:t>ons tenue en </w:t>
      </w:r>
      <w:r w:rsidRPr="00E01336">
        <w:rPr>
          <w:rFonts w:asciiTheme="majorBidi" w:hAnsiTheme="majorBidi" w:cstheme="majorBidi"/>
          <w:szCs w:val="24"/>
        </w:rPr>
        <w:t>2015 (CMR</w:t>
      </w:r>
      <w:r w:rsidRPr="00E01336">
        <w:rPr>
          <w:rFonts w:asciiTheme="majorBidi" w:hAnsiTheme="majorBidi" w:cstheme="majorBidi"/>
          <w:szCs w:val="24"/>
        </w:rPr>
        <w:noBreakHyphen/>
        <w:t>15). Comme les éditions précédentes, cette version a été adoptée par voie de consensus, ce qui garantit que le traité, au fur et à mesure de son évolution, continuera d'être pris en compte dans les législations nationales et d'être mis en application par les gouvernements nationaux.</w:t>
      </w:r>
    </w:p>
    <w:p w:rsidR="009138B5" w:rsidRPr="00E01336" w:rsidRDefault="00B5313B" w:rsidP="00967677">
      <w:pPr>
        <w:rPr>
          <w:rStyle w:val="wysiwyg-font-size-medium"/>
          <w:rFonts w:asciiTheme="majorBidi" w:hAnsiTheme="majorBidi" w:cstheme="majorBidi"/>
          <w:szCs w:val="24"/>
        </w:rPr>
      </w:pPr>
      <w:r w:rsidRPr="00E01336">
        <w:rPr>
          <w:rFonts w:asciiTheme="majorBidi" w:hAnsiTheme="majorBidi" w:cstheme="majorBidi"/>
          <w:szCs w:val="24"/>
        </w:rPr>
        <w:t xml:space="preserve">Le </w:t>
      </w:r>
      <w:r w:rsidR="003E4A9A" w:rsidRPr="00E01336">
        <w:rPr>
          <w:rFonts w:asciiTheme="majorBidi" w:hAnsiTheme="majorBidi" w:cstheme="majorBidi"/>
          <w:szCs w:val="24"/>
        </w:rPr>
        <w:t xml:space="preserve">Règlement des radiocommunications </w:t>
      </w:r>
      <w:r w:rsidRPr="00E01336">
        <w:rPr>
          <w:rFonts w:asciiTheme="majorBidi" w:hAnsiTheme="majorBidi" w:cstheme="majorBidi"/>
          <w:szCs w:val="24"/>
        </w:rPr>
        <w:t>constitue</w:t>
      </w:r>
      <w:r w:rsidR="003E4A9A" w:rsidRPr="00E01336">
        <w:rPr>
          <w:rFonts w:asciiTheme="majorBidi" w:hAnsiTheme="majorBidi" w:cstheme="majorBidi"/>
          <w:szCs w:val="24"/>
        </w:rPr>
        <w:t xml:space="preserve"> un exemple de coopération internationale réussie </w:t>
      </w:r>
      <w:r w:rsidR="003E4A9A" w:rsidRPr="00E01336">
        <w:rPr>
          <w:rStyle w:val="wysiwyg-font-size-medium"/>
          <w:rFonts w:asciiTheme="majorBidi" w:hAnsiTheme="majorBidi" w:cstheme="majorBidi"/>
          <w:szCs w:val="24"/>
        </w:rPr>
        <w:t xml:space="preserve">entre les Etats Membres, </w:t>
      </w:r>
      <w:r w:rsidRPr="00E01336">
        <w:rPr>
          <w:rStyle w:val="wysiwyg-font-size-medium"/>
          <w:rFonts w:asciiTheme="majorBidi" w:hAnsiTheme="majorBidi" w:cstheme="majorBidi"/>
          <w:szCs w:val="24"/>
        </w:rPr>
        <w:t>qui a bénéficié du</w:t>
      </w:r>
      <w:r w:rsidR="003E4A9A" w:rsidRPr="00E01336">
        <w:rPr>
          <w:rStyle w:val="wysiwyg-font-size-medium"/>
          <w:rFonts w:asciiTheme="majorBidi" w:hAnsiTheme="majorBidi" w:cstheme="majorBidi"/>
          <w:szCs w:val="24"/>
        </w:rPr>
        <w:t xml:space="preserve"> soutien précieux des partenaires du secteur des télécommunications.</w:t>
      </w:r>
    </w:p>
    <w:p w:rsidR="003E4A9A" w:rsidRPr="00E01336" w:rsidRDefault="003E4A9A" w:rsidP="00967677">
      <w:pPr>
        <w:pStyle w:val="Heading1"/>
        <w:rPr>
          <w:rFonts w:asciiTheme="majorBidi" w:hAnsiTheme="majorBidi" w:cstheme="majorBidi"/>
          <w:szCs w:val="24"/>
          <w:lang w:eastAsia="zh-CN"/>
        </w:rPr>
      </w:pPr>
      <w:r w:rsidRPr="00E01336">
        <w:rPr>
          <w:rFonts w:asciiTheme="majorBidi" w:hAnsiTheme="majorBidi" w:cstheme="majorBidi"/>
          <w:szCs w:val="24"/>
          <w:lang w:eastAsia="zh-CN"/>
        </w:rPr>
        <w:t>2</w:t>
      </w:r>
      <w:r w:rsidRPr="00E01336">
        <w:rPr>
          <w:rFonts w:asciiTheme="majorBidi" w:hAnsiTheme="majorBidi" w:cstheme="majorBidi"/>
          <w:szCs w:val="24"/>
          <w:lang w:eastAsia="zh-CN"/>
        </w:rPr>
        <w:tab/>
      </w:r>
      <w:r w:rsidR="00DA2CB8" w:rsidRPr="00E01336">
        <w:rPr>
          <w:rFonts w:asciiTheme="majorBidi" w:hAnsiTheme="majorBidi" w:cstheme="majorBidi"/>
          <w:bCs/>
          <w:szCs w:val="24"/>
        </w:rPr>
        <w:t>Célébrations du 110</w:t>
      </w:r>
      <w:r w:rsidR="00DA2CB8" w:rsidRPr="00E01336">
        <w:t>ème</w:t>
      </w:r>
      <w:r w:rsidR="00DA2CB8" w:rsidRPr="00E01336">
        <w:rPr>
          <w:rFonts w:asciiTheme="majorBidi" w:hAnsiTheme="majorBidi" w:cstheme="majorBidi"/>
          <w:bCs/>
          <w:szCs w:val="24"/>
        </w:rPr>
        <w:t xml:space="preserve"> anniversaire</w:t>
      </w:r>
    </w:p>
    <w:p w:rsidR="0040053B" w:rsidRPr="00E01336" w:rsidRDefault="00DA2CB8" w:rsidP="00967677">
      <w:pPr>
        <w:rPr>
          <w:rFonts w:asciiTheme="majorBidi" w:hAnsiTheme="majorBidi" w:cstheme="majorBidi"/>
          <w:szCs w:val="24"/>
        </w:rPr>
      </w:pPr>
      <w:bookmarkStart w:id="5" w:name="lt_pId030"/>
      <w:r w:rsidRPr="00E01336">
        <w:rPr>
          <w:rFonts w:asciiTheme="majorBidi" w:hAnsiTheme="majorBidi" w:cstheme="majorBidi"/>
          <w:szCs w:val="24"/>
        </w:rPr>
        <w:t xml:space="preserve">Cet anniversaire a été célébré le 12 décembre 2016 au CICG, à Genève, parallèlement au </w:t>
      </w:r>
      <w:r w:rsidRPr="00E01336">
        <w:rPr>
          <w:rFonts w:asciiTheme="majorBidi" w:hAnsiTheme="majorBidi" w:cstheme="majorBidi"/>
          <w:color w:val="000000"/>
          <w:szCs w:val="24"/>
        </w:rPr>
        <w:t>Séminaire mondial des radiocommunications de l</w:t>
      </w:r>
      <w:r w:rsidR="004C6912" w:rsidRPr="00E01336">
        <w:rPr>
          <w:rFonts w:asciiTheme="majorBidi" w:hAnsiTheme="majorBidi" w:cstheme="majorBidi"/>
          <w:color w:val="000000"/>
          <w:szCs w:val="24"/>
        </w:rPr>
        <w:t>'</w:t>
      </w:r>
      <w:r w:rsidRPr="00E01336">
        <w:rPr>
          <w:rFonts w:asciiTheme="majorBidi" w:hAnsiTheme="majorBidi" w:cstheme="majorBidi"/>
          <w:color w:val="000000"/>
          <w:szCs w:val="24"/>
        </w:rPr>
        <w:t xml:space="preserve">UIT. Des allocutions ont notamment été prononcées </w:t>
      </w:r>
      <w:bookmarkEnd w:id="5"/>
      <w:r w:rsidRPr="00E01336">
        <w:rPr>
          <w:rFonts w:asciiTheme="majorBidi" w:hAnsiTheme="majorBidi" w:cstheme="majorBidi"/>
          <w:szCs w:val="24"/>
        </w:rPr>
        <w:t xml:space="preserve">par M. Malcolm Johnson, Vice-Secrétaire général de l'UIT, et par M. François Rancy, Directeur du BR. </w:t>
      </w:r>
      <w:r w:rsidR="0040053B" w:rsidRPr="00E01336">
        <w:rPr>
          <w:rFonts w:asciiTheme="majorBidi" w:hAnsiTheme="majorBidi" w:cstheme="majorBidi"/>
          <w:szCs w:val="24"/>
        </w:rPr>
        <w:t>Deux tables rondes consacrées aux incidences du Règlement des radiocommunications de l'UIT pour le secteur des TIC ainsi qu'aux enjeux, aux perspectives et à l'avenir dudit Règlement, ont été organisées en présence de plus de 540 participants in</w:t>
      </w:r>
      <w:r w:rsidR="00C11B8D">
        <w:rPr>
          <w:rFonts w:asciiTheme="majorBidi" w:hAnsiTheme="majorBidi" w:cstheme="majorBidi"/>
          <w:szCs w:val="24"/>
        </w:rPr>
        <w:t>scrits issus de 106 pays et de M</w:t>
      </w:r>
      <w:r w:rsidR="0040053B" w:rsidRPr="00E01336">
        <w:rPr>
          <w:rFonts w:asciiTheme="majorBidi" w:hAnsiTheme="majorBidi" w:cstheme="majorBidi"/>
          <w:szCs w:val="24"/>
        </w:rPr>
        <w:t xml:space="preserve">embres du Secteur des radiocommunications ainsi que d'Associés et d'universitaires participant aux travaux de ce Secteur. </w:t>
      </w:r>
      <w:r w:rsidR="0040053B" w:rsidRPr="00E01336">
        <w:rPr>
          <w:rStyle w:val="wysiwyg-font-size-medium"/>
          <w:rFonts w:asciiTheme="majorBidi" w:hAnsiTheme="majorBidi" w:cstheme="majorBidi"/>
          <w:szCs w:val="24"/>
        </w:rPr>
        <w:t>Parmi les partenaires du secteur privé qui étaient présents aux tables rondes organisées à l'occasion de la cérémonie figuraient des représentants de la GSMA, de l'ESOA, de l'UER, de la GSA, de BAKOM, de OneWeb, de Facebook, de la BBC et du Département d'Etat des Etats-Unis.</w:t>
      </w:r>
      <w:r w:rsidR="00967677">
        <w:rPr>
          <w:rStyle w:val="wysiwyg-font-size-medium"/>
          <w:rFonts w:asciiTheme="majorBidi" w:hAnsiTheme="majorBidi" w:cstheme="majorBidi"/>
          <w:szCs w:val="24"/>
        </w:rPr>
        <w:t xml:space="preserve"> </w:t>
      </w:r>
      <w:r w:rsidR="007A437C" w:rsidRPr="00E01336">
        <w:rPr>
          <w:rStyle w:val="wysiwyg-font-size-medium"/>
          <w:rFonts w:asciiTheme="majorBidi" w:hAnsiTheme="majorBidi" w:cstheme="majorBidi"/>
          <w:szCs w:val="24"/>
        </w:rPr>
        <w:t>Le programme complet de la cérémonie, qui comprend des résumés des discussions tenues pendant les deux tables rondes, peut être consulté à l</w:t>
      </w:r>
      <w:r w:rsidR="004C6912" w:rsidRPr="00E01336">
        <w:rPr>
          <w:rStyle w:val="wysiwyg-font-size-medium"/>
          <w:rFonts w:asciiTheme="majorBidi" w:hAnsiTheme="majorBidi" w:cstheme="majorBidi"/>
          <w:szCs w:val="24"/>
        </w:rPr>
        <w:t>'</w:t>
      </w:r>
      <w:r w:rsidR="007A437C" w:rsidRPr="00E01336">
        <w:rPr>
          <w:rStyle w:val="wysiwyg-font-size-medium"/>
          <w:rFonts w:asciiTheme="majorBidi" w:hAnsiTheme="majorBidi" w:cstheme="majorBidi"/>
          <w:szCs w:val="24"/>
        </w:rPr>
        <w:t xml:space="preserve">adresse suivante: </w:t>
      </w:r>
      <w:bookmarkStart w:id="6" w:name="lt_pId034"/>
      <w:r w:rsidR="00967677">
        <w:rPr>
          <w:rFonts w:asciiTheme="majorBidi" w:hAnsiTheme="majorBidi" w:cstheme="majorBidi"/>
          <w:szCs w:val="24"/>
        </w:rPr>
        <w:fldChar w:fldCharType="begin"/>
      </w:r>
      <w:r w:rsidR="00967677">
        <w:rPr>
          <w:rFonts w:asciiTheme="majorBidi" w:hAnsiTheme="majorBidi" w:cstheme="majorBidi"/>
          <w:szCs w:val="24"/>
        </w:rPr>
        <w:instrText xml:space="preserve"> HYPERLINK "</w:instrText>
      </w:r>
      <w:r w:rsidR="00967677" w:rsidRPr="00967677">
        <w:rPr>
          <w:rFonts w:asciiTheme="majorBidi" w:hAnsiTheme="majorBidi" w:cstheme="majorBidi"/>
          <w:szCs w:val="24"/>
        </w:rPr>
        <w:instrText>http://www.itu.int/en/ITU</w:instrText>
      </w:r>
      <w:r w:rsidR="00967677" w:rsidRPr="00967677">
        <w:rPr>
          <w:rFonts w:asciiTheme="majorBidi" w:hAnsiTheme="majorBidi" w:cstheme="majorBidi"/>
          <w:szCs w:val="24"/>
        </w:rPr>
        <w:noBreakHyphen/>
        <w:instrText>R/RR110/Documents/RR110-Programme.pdf</w:instrText>
      </w:r>
      <w:r w:rsidR="00967677">
        <w:rPr>
          <w:rFonts w:asciiTheme="majorBidi" w:hAnsiTheme="majorBidi" w:cstheme="majorBidi"/>
          <w:szCs w:val="24"/>
        </w:rPr>
        <w:instrText xml:space="preserve">" </w:instrText>
      </w:r>
      <w:r w:rsidR="00967677">
        <w:rPr>
          <w:rFonts w:asciiTheme="majorBidi" w:hAnsiTheme="majorBidi" w:cstheme="majorBidi"/>
          <w:szCs w:val="24"/>
        </w:rPr>
        <w:fldChar w:fldCharType="separate"/>
      </w:r>
      <w:r w:rsidR="00967677" w:rsidRPr="00DB0994">
        <w:rPr>
          <w:rStyle w:val="Hyperlink"/>
          <w:rFonts w:asciiTheme="majorBidi" w:hAnsiTheme="majorBidi" w:cstheme="majorBidi"/>
          <w:szCs w:val="24"/>
        </w:rPr>
        <w:t>http://www.itu.int/en/ITU</w:t>
      </w:r>
      <w:r w:rsidR="00967677" w:rsidRPr="00DB0994">
        <w:rPr>
          <w:rStyle w:val="Hyperlink"/>
          <w:rFonts w:asciiTheme="majorBidi" w:hAnsiTheme="majorBidi" w:cstheme="majorBidi"/>
          <w:szCs w:val="24"/>
        </w:rPr>
        <w:noBreakHyphen/>
        <w:t>R/RR110/Documents/RR110-Programme.pdf</w:t>
      </w:r>
      <w:bookmarkEnd w:id="6"/>
      <w:r w:rsidR="00967677">
        <w:rPr>
          <w:rFonts w:asciiTheme="majorBidi" w:hAnsiTheme="majorBidi" w:cstheme="majorBidi"/>
          <w:szCs w:val="24"/>
        </w:rPr>
        <w:fldChar w:fldCharType="end"/>
      </w:r>
      <w:r w:rsidR="007A437C" w:rsidRPr="00E01336">
        <w:rPr>
          <w:rFonts w:asciiTheme="majorBidi" w:hAnsiTheme="majorBidi" w:cstheme="majorBidi"/>
          <w:szCs w:val="24"/>
        </w:rPr>
        <w:t>.</w:t>
      </w:r>
    </w:p>
    <w:p w:rsidR="00C164D6" w:rsidRPr="00E01336" w:rsidRDefault="00C164D6" w:rsidP="00967677">
      <w:pPr>
        <w:rPr>
          <w:rFonts w:asciiTheme="majorBidi" w:hAnsiTheme="majorBidi" w:cstheme="majorBidi"/>
          <w:szCs w:val="24"/>
        </w:rPr>
      </w:pPr>
      <w:r w:rsidRPr="00E01336">
        <w:rPr>
          <w:rFonts w:asciiTheme="majorBidi" w:hAnsiTheme="majorBidi" w:cstheme="majorBidi"/>
          <w:szCs w:val="24"/>
        </w:rPr>
        <w:lastRenderedPageBreak/>
        <w:t>D</w:t>
      </w:r>
      <w:r w:rsidR="004C6912" w:rsidRPr="00E01336">
        <w:rPr>
          <w:rFonts w:asciiTheme="majorBidi" w:hAnsiTheme="majorBidi" w:cstheme="majorBidi"/>
          <w:szCs w:val="24"/>
        </w:rPr>
        <w:t>'</w:t>
      </w:r>
      <w:r w:rsidRPr="00E01336">
        <w:rPr>
          <w:rFonts w:asciiTheme="majorBidi" w:hAnsiTheme="majorBidi" w:cstheme="majorBidi"/>
          <w:szCs w:val="24"/>
        </w:rPr>
        <w:t>anciens fonctionnaires de l</w:t>
      </w:r>
      <w:r w:rsidR="004C6912" w:rsidRPr="00E01336">
        <w:rPr>
          <w:rFonts w:asciiTheme="majorBidi" w:hAnsiTheme="majorBidi" w:cstheme="majorBidi"/>
          <w:szCs w:val="24"/>
        </w:rPr>
        <w:t>'</w:t>
      </w:r>
      <w:r w:rsidRPr="00E01336">
        <w:rPr>
          <w:rFonts w:asciiTheme="majorBidi" w:hAnsiTheme="majorBidi" w:cstheme="majorBidi"/>
          <w:szCs w:val="24"/>
        </w:rPr>
        <w:t>Union, des membres actuels ou d</w:t>
      </w:r>
      <w:r w:rsidR="004C6912" w:rsidRPr="00E01336">
        <w:rPr>
          <w:rFonts w:asciiTheme="majorBidi" w:hAnsiTheme="majorBidi" w:cstheme="majorBidi"/>
          <w:szCs w:val="24"/>
        </w:rPr>
        <w:t>'</w:t>
      </w:r>
      <w:r w:rsidRPr="00E01336">
        <w:rPr>
          <w:rFonts w:asciiTheme="majorBidi" w:hAnsiTheme="majorBidi" w:cstheme="majorBidi"/>
          <w:szCs w:val="24"/>
        </w:rPr>
        <w:t>anciens membres du Comité du Règlement des radiocommunications (</w:t>
      </w:r>
      <w:hyperlink r:id="rId10" w:history="1">
        <w:r w:rsidRPr="00E01336">
          <w:rPr>
            <w:rStyle w:val="Hyperlink"/>
            <w:rFonts w:asciiTheme="majorBidi" w:hAnsiTheme="majorBidi" w:cstheme="majorBidi"/>
            <w:szCs w:val="24"/>
          </w:rPr>
          <w:t>RRB</w:t>
        </w:r>
      </w:hyperlink>
      <w:r w:rsidRPr="00E01336">
        <w:rPr>
          <w:rFonts w:asciiTheme="majorBidi" w:hAnsiTheme="majorBidi" w:cstheme="majorBidi"/>
          <w:szCs w:val="24"/>
        </w:rPr>
        <w:t>), ainsi que d</w:t>
      </w:r>
      <w:r w:rsidR="004C6912" w:rsidRPr="00E01336">
        <w:rPr>
          <w:rFonts w:asciiTheme="majorBidi" w:hAnsiTheme="majorBidi" w:cstheme="majorBidi"/>
          <w:szCs w:val="24"/>
        </w:rPr>
        <w:t>'</w:t>
      </w:r>
      <w:r w:rsidRPr="00E01336">
        <w:rPr>
          <w:rFonts w:asciiTheme="majorBidi" w:hAnsiTheme="majorBidi" w:cstheme="majorBidi"/>
          <w:szCs w:val="24"/>
        </w:rPr>
        <w:t>anciens membres de l</w:t>
      </w:r>
      <w:r w:rsidR="004C6912" w:rsidRPr="00E01336">
        <w:rPr>
          <w:rFonts w:asciiTheme="majorBidi" w:hAnsiTheme="majorBidi" w:cstheme="majorBidi"/>
          <w:szCs w:val="24"/>
        </w:rPr>
        <w:t>'</w:t>
      </w:r>
      <w:r w:rsidRPr="00E01336">
        <w:rPr>
          <w:rFonts w:asciiTheme="majorBidi" w:hAnsiTheme="majorBidi" w:cstheme="majorBidi"/>
          <w:szCs w:val="24"/>
        </w:rPr>
        <w:t>IFRB, des présidents et vice-présidents actuels des Commissions d</w:t>
      </w:r>
      <w:r w:rsidR="004C6912" w:rsidRPr="00E01336">
        <w:rPr>
          <w:rFonts w:asciiTheme="majorBidi" w:hAnsiTheme="majorBidi" w:cstheme="majorBidi"/>
          <w:szCs w:val="24"/>
        </w:rPr>
        <w:t>'</w:t>
      </w:r>
      <w:r w:rsidRPr="00E01336">
        <w:rPr>
          <w:rFonts w:asciiTheme="majorBidi" w:hAnsiTheme="majorBidi" w:cstheme="majorBidi"/>
          <w:szCs w:val="24"/>
        </w:rPr>
        <w:t xml:space="preserve">études de </w:t>
      </w:r>
      <w:hyperlink r:id="rId11" w:history="1">
        <w:r w:rsidR="00C71BBD" w:rsidRPr="00967677">
          <w:rPr>
            <w:rStyle w:val="Hyperlink"/>
            <w:rFonts w:asciiTheme="majorBidi" w:hAnsiTheme="majorBidi" w:cstheme="majorBidi"/>
            <w:color w:val="auto"/>
            <w:szCs w:val="24"/>
            <w:u w:val="none"/>
          </w:rPr>
          <w:t>l'</w:t>
        </w:r>
        <w:r w:rsidR="00C71BBD">
          <w:rPr>
            <w:rStyle w:val="Hyperlink"/>
            <w:rFonts w:asciiTheme="majorBidi" w:hAnsiTheme="majorBidi" w:cstheme="majorBidi"/>
            <w:szCs w:val="24"/>
          </w:rPr>
          <w:t>U</w:t>
        </w:r>
        <w:r w:rsidRPr="00C71BBD">
          <w:rPr>
            <w:rStyle w:val="Hyperlink"/>
            <w:rFonts w:asciiTheme="majorBidi" w:hAnsiTheme="majorBidi" w:cstheme="majorBidi"/>
            <w:szCs w:val="24"/>
          </w:rPr>
          <w:t>IT-R</w:t>
        </w:r>
      </w:hyperlink>
      <w:r w:rsidRPr="00E01336">
        <w:rPr>
          <w:rFonts w:asciiTheme="majorBidi" w:hAnsiTheme="majorBidi" w:cstheme="majorBidi"/>
          <w:szCs w:val="24"/>
        </w:rPr>
        <w:t xml:space="preserve"> et d</w:t>
      </w:r>
      <w:r w:rsidR="004C6912" w:rsidRPr="00E01336">
        <w:rPr>
          <w:rFonts w:asciiTheme="majorBidi" w:hAnsiTheme="majorBidi" w:cstheme="majorBidi"/>
          <w:szCs w:val="24"/>
        </w:rPr>
        <w:t>'</w:t>
      </w:r>
      <w:r w:rsidRPr="00E01336">
        <w:rPr>
          <w:rFonts w:asciiTheme="majorBidi" w:hAnsiTheme="majorBidi" w:cstheme="majorBidi"/>
          <w:szCs w:val="24"/>
        </w:rPr>
        <w:t>anciens présidents des Commissions d</w:t>
      </w:r>
      <w:r w:rsidR="004C6912" w:rsidRPr="00E01336">
        <w:rPr>
          <w:rFonts w:asciiTheme="majorBidi" w:hAnsiTheme="majorBidi" w:cstheme="majorBidi"/>
          <w:szCs w:val="24"/>
        </w:rPr>
        <w:t>'</w:t>
      </w:r>
      <w:r w:rsidRPr="00E01336">
        <w:rPr>
          <w:rFonts w:asciiTheme="majorBidi" w:hAnsiTheme="majorBidi" w:cstheme="majorBidi"/>
          <w:szCs w:val="24"/>
        </w:rPr>
        <w:t>études du CCIR ont également assisté aux célébrations</w:t>
      </w:r>
      <w:r w:rsidR="007A437C" w:rsidRPr="00E01336">
        <w:rPr>
          <w:rFonts w:asciiTheme="majorBidi" w:hAnsiTheme="majorBidi" w:cstheme="majorBidi"/>
          <w:szCs w:val="24"/>
        </w:rPr>
        <w:t>.</w:t>
      </w:r>
    </w:p>
    <w:p w:rsidR="0040053B" w:rsidRPr="00E01336" w:rsidRDefault="0040053B" w:rsidP="00967677">
      <w:pPr>
        <w:pStyle w:val="Heading1"/>
      </w:pPr>
      <w:r w:rsidRPr="00E01336">
        <w:t>3</w:t>
      </w:r>
      <w:r w:rsidRPr="00E01336">
        <w:tab/>
      </w:r>
      <w:r w:rsidR="007A437C" w:rsidRPr="00E01336">
        <w:t>Plan de promotion et de communication pour le 110ème anniversaire du Règlement des radiocommunications</w:t>
      </w:r>
    </w:p>
    <w:p w:rsidR="007A437C" w:rsidRPr="00E01336" w:rsidRDefault="007A437C" w:rsidP="00967677">
      <w:pPr>
        <w:rPr>
          <w:rFonts w:asciiTheme="majorBidi" w:hAnsiTheme="majorBidi" w:cstheme="majorBidi"/>
          <w:szCs w:val="24"/>
        </w:rPr>
      </w:pPr>
      <w:r w:rsidRPr="00E01336">
        <w:rPr>
          <w:rFonts w:asciiTheme="majorBidi" w:hAnsiTheme="majorBidi" w:cstheme="majorBidi"/>
          <w:szCs w:val="24"/>
        </w:rPr>
        <w:t>Comme indiqué lors de la session du GCR de 2016 (voir le Document RAG16/9), le plan de promotion et de communication établi pour le 110</w:t>
      </w:r>
      <w:r w:rsidRPr="00E01336">
        <w:t>ème</w:t>
      </w:r>
      <w:r w:rsidRPr="00E01336">
        <w:rPr>
          <w:rFonts w:asciiTheme="majorBidi" w:hAnsiTheme="majorBidi" w:cstheme="majorBidi"/>
          <w:szCs w:val="24"/>
          <w:vertAlign w:val="superscript"/>
        </w:rPr>
        <w:t> </w:t>
      </w:r>
      <w:r w:rsidRPr="00E01336">
        <w:rPr>
          <w:rFonts w:asciiTheme="majorBidi" w:hAnsiTheme="majorBidi" w:cstheme="majorBidi"/>
          <w:szCs w:val="24"/>
        </w:rPr>
        <w:t>anniversaire du RR a comporté une série d</w:t>
      </w:r>
      <w:r w:rsidR="004C6912" w:rsidRPr="00E01336">
        <w:rPr>
          <w:rFonts w:asciiTheme="majorBidi" w:hAnsiTheme="majorBidi" w:cstheme="majorBidi"/>
          <w:szCs w:val="24"/>
        </w:rPr>
        <w:t>'</w:t>
      </w:r>
      <w:r w:rsidRPr="00E01336">
        <w:rPr>
          <w:rFonts w:asciiTheme="majorBidi" w:hAnsiTheme="majorBidi" w:cstheme="majorBidi"/>
          <w:szCs w:val="24"/>
        </w:rPr>
        <w:t>éléments de communication exploités tout au long de l</w:t>
      </w:r>
      <w:r w:rsidR="004C6912" w:rsidRPr="00E01336">
        <w:rPr>
          <w:rFonts w:asciiTheme="majorBidi" w:hAnsiTheme="majorBidi" w:cstheme="majorBidi"/>
          <w:szCs w:val="24"/>
        </w:rPr>
        <w:t>'</w:t>
      </w:r>
      <w:r w:rsidRPr="00E01336">
        <w:rPr>
          <w:rFonts w:asciiTheme="majorBidi" w:hAnsiTheme="majorBidi" w:cstheme="majorBidi"/>
          <w:szCs w:val="24"/>
        </w:rPr>
        <w:t>année 2016, destinés principalement aux Membres de l</w:t>
      </w:r>
      <w:r w:rsidR="004C6912" w:rsidRPr="00E01336">
        <w:rPr>
          <w:rFonts w:asciiTheme="majorBidi" w:hAnsiTheme="majorBidi" w:cstheme="majorBidi"/>
          <w:szCs w:val="24"/>
        </w:rPr>
        <w:t>'</w:t>
      </w:r>
      <w:r w:rsidRPr="00E01336">
        <w:rPr>
          <w:rFonts w:asciiTheme="majorBidi" w:hAnsiTheme="majorBidi" w:cstheme="majorBidi"/>
          <w:szCs w:val="24"/>
        </w:rPr>
        <w:t>UIT-R, à des magazines et à des médias techniques spécialisés, au personnel de l</w:t>
      </w:r>
      <w:r w:rsidR="004C6912" w:rsidRPr="00E01336">
        <w:rPr>
          <w:rFonts w:asciiTheme="majorBidi" w:hAnsiTheme="majorBidi" w:cstheme="majorBidi"/>
          <w:szCs w:val="24"/>
        </w:rPr>
        <w:t>'</w:t>
      </w:r>
      <w:r w:rsidRPr="00E01336">
        <w:rPr>
          <w:rFonts w:asciiTheme="majorBidi" w:hAnsiTheme="majorBidi" w:cstheme="majorBidi"/>
          <w:szCs w:val="24"/>
        </w:rPr>
        <w:t>UIT et au grand public.</w:t>
      </w:r>
    </w:p>
    <w:p w:rsidR="0040053B" w:rsidRPr="00E01336" w:rsidRDefault="0040053B" w:rsidP="00967677">
      <w:pPr>
        <w:pStyle w:val="Heading2"/>
      </w:pPr>
      <w:r w:rsidRPr="00E01336">
        <w:t>3.1</w:t>
      </w:r>
      <w:r w:rsidRPr="00E01336">
        <w:tab/>
      </w:r>
      <w:r w:rsidR="007A437C" w:rsidRPr="00E01336">
        <w:t>Promotion</w:t>
      </w:r>
    </w:p>
    <w:p w:rsidR="00785C78" w:rsidRPr="00E01336" w:rsidRDefault="00785C78" w:rsidP="00967677">
      <w:pPr>
        <w:spacing w:after="120"/>
        <w:rPr>
          <w:rFonts w:asciiTheme="majorBidi" w:hAnsiTheme="majorBidi" w:cstheme="majorBidi"/>
          <w:szCs w:val="24"/>
        </w:rPr>
      </w:pPr>
      <w:r w:rsidRPr="00E01336">
        <w:rPr>
          <w:rFonts w:asciiTheme="majorBidi" w:hAnsiTheme="majorBidi" w:cstheme="majorBidi"/>
          <w:szCs w:val="24"/>
        </w:rPr>
        <w:t>Le modèle suivant a été retenu pour le logo et le pin</w:t>
      </w:r>
      <w:r w:rsidR="004C6912" w:rsidRPr="00E01336">
        <w:rPr>
          <w:rFonts w:asciiTheme="majorBidi" w:hAnsiTheme="majorBidi" w:cstheme="majorBidi"/>
          <w:szCs w:val="24"/>
        </w:rPr>
        <w:t>'</w:t>
      </w:r>
      <w:r w:rsidRPr="00E01336">
        <w:rPr>
          <w:rFonts w:asciiTheme="majorBidi" w:hAnsiTheme="majorBidi" w:cstheme="majorBidi"/>
          <w:szCs w:val="24"/>
        </w:rPr>
        <w:t>s associés à l</w:t>
      </w:r>
      <w:r w:rsidR="004C6912" w:rsidRPr="00E01336">
        <w:rPr>
          <w:rFonts w:asciiTheme="majorBidi" w:hAnsiTheme="majorBidi" w:cstheme="majorBidi"/>
          <w:szCs w:val="24"/>
        </w:rPr>
        <w:t>'</w:t>
      </w:r>
      <w:r w:rsidRPr="00E01336">
        <w:rPr>
          <w:rFonts w:asciiTheme="majorBidi" w:hAnsiTheme="majorBidi" w:cstheme="majorBidi"/>
          <w:szCs w:val="24"/>
        </w:rPr>
        <w:t>anniversaire; il a été affiché sur la couverture de toutes les publications de l</w:t>
      </w:r>
      <w:r w:rsidR="004C6912" w:rsidRPr="00E01336">
        <w:rPr>
          <w:rFonts w:asciiTheme="majorBidi" w:hAnsiTheme="majorBidi" w:cstheme="majorBidi"/>
          <w:szCs w:val="24"/>
        </w:rPr>
        <w:t>'</w:t>
      </w:r>
      <w:r w:rsidRPr="00E01336">
        <w:rPr>
          <w:rFonts w:asciiTheme="majorBidi" w:hAnsiTheme="majorBidi" w:cstheme="majorBidi"/>
          <w:szCs w:val="24"/>
        </w:rPr>
        <w:t>UIT-R destinées à être publiées ou diffusées en 2016, ainsi que sur les objets promotionnels, les dépliants, les panneaux et les affiches en ligne relatifs à tou</w:t>
      </w:r>
      <w:r w:rsidR="009415AB" w:rsidRPr="00E01336">
        <w:rPr>
          <w:rFonts w:asciiTheme="majorBidi" w:hAnsiTheme="majorBidi" w:cstheme="majorBidi"/>
          <w:szCs w:val="24"/>
        </w:rPr>
        <w:t>te</w:t>
      </w:r>
      <w:r w:rsidRPr="00E01336">
        <w:rPr>
          <w:rFonts w:asciiTheme="majorBidi" w:hAnsiTheme="majorBidi" w:cstheme="majorBidi"/>
          <w:szCs w:val="24"/>
        </w:rPr>
        <w:t xml:space="preserve">s les </w:t>
      </w:r>
      <w:r w:rsidR="009415AB" w:rsidRPr="00E01336">
        <w:rPr>
          <w:rFonts w:asciiTheme="majorBidi" w:hAnsiTheme="majorBidi" w:cstheme="majorBidi"/>
          <w:szCs w:val="24"/>
        </w:rPr>
        <w:t>manifestation</w:t>
      </w:r>
      <w:r w:rsidRPr="00E01336">
        <w:rPr>
          <w:rFonts w:asciiTheme="majorBidi" w:hAnsiTheme="majorBidi" w:cstheme="majorBidi"/>
          <w:szCs w:val="24"/>
        </w:rPr>
        <w:t>s du BR organisé</w:t>
      </w:r>
      <w:r w:rsidR="009415AB" w:rsidRPr="00E01336">
        <w:rPr>
          <w:rFonts w:asciiTheme="majorBidi" w:hAnsiTheme="majorBidi" w:cstheme="majorBidi"/>
          <w:szCs w:val="24"/>
        </w:rPr>
        <w:t>e</w:t>
      </w:r>
      <w:r w:rsidRPr="00E01336">
        <w:rPr>
          <w:rFonts w:asciiTheme="majorBidi" w:hAnsiTheme="majorBidi" w:cstheme="majorBidi"/>
          <w:szCs w:val="24"/>
        </w:rPr>
        <w:t>s en 2016:</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410"/>
        <w:gridCol w:w="2410"/>
      </w:tblGrid>
      <w:tr w:rsidR="00967677" w:rsidRPr="00E01336" w:rsidTr="00967677">
        <w:trPr>
          <w:trHeight w:val="4120"/>
        </w:trPr>
        <w:tc>
          <w:tcPr>
            <w:tcW w:w="4819" w:type="dxa"/>
            <w:tcBorders>
              <w:top w:val="nil"/>
              <w:left w:val="nil"/>
              <w:bottom w:val="nil"/>
              <w:right w:val="nil"/>
            </w:tcBorders>
            <w:shd w:val="clear" w:color="auto" w:fill="auto"/>
          </w:tcPr>
          <w:p w:rsidR="00967677" w:rsidRPr="00E01336" w:rsidRDefault="00967677" w:rsidP="00967677">
            <w:pPr>
              <w:jc w:val="both"/>
              <w:rPr>
                <w:rFonts w:asciiTheme="majorBidi" w:hAnsiTheme="majorBidi" w:cstheme="majorBidi"/>
                <w:szCs w:val="24"/>
              </w:rPr>
            </w:pPr>
            <w:r w:rsidRPr="00E01336">
              <w:rPr>
                <w:rFonts w:asciiTheme="majorBidi" w:hAnsiTheme="majorBidi" w:cstheme="majorBidi"/>
                <w:noProof/>
                <w:szCs w:val="24"/>
                <w:lang w:val="en-US" w:eastAsia="zh-CN"/>
              </w:rPr>
              <w:drawing>
                <wp:inline distT="0" distB="0" distL="0" distR="0" wp14:anchorId="76D7A964" wp14:editId="4A8A4FFF">
                  <wp:extent cx="2922270" cy="265366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2270" cy="2653665"/>
                          </a:xfrm>
                          <a:prstGeom prst="rect">
                            <a:avLst/>
                          </a:prstGeom>
                          <a:noFill/>
                          <a:ln>
                            <a:noFill/>
                          </a:ln>
                        </pic:spPr>
                      </pic:pic>
                    </a:graphicData>
                  </a:graphic>
                </wp:inline>
              </w:drawing>
            </w:r>
          </w:p>
        </w:tc>
        <w:tc>
          <w:tcPr>
            <w:tcW w:w="2410" w:type="dxa"/>
            <w:tcBorders>
              <w:top w:val="nil"/>
              <w:left w:val="nil"/>
              <w:bottom w:val="nil"/>
              <w:right w:val="nil"/>
            </w:tcBorders>
          </w:tcPr>
          <w:p w:rsidR="00967677" w:rsidRPr="00E01336" w:rsidRDefault="00967677" w:rsidP="00967677">
            <w:pPr>
              <w:jc w:val="both"/>
              <w:rPr>
                <w:rFonts w:asciiTheme="majorBidi" w:hAnsiTheme="majorBidi" w:cstheme="majorBidi"/>
                <w:szCs w:val="24"/>
              </w:rPr>
            </w:pPr>
          </w:p>
        </w:tc>
        <w:tc>
          <w:tcPr>
            <w:tcW w:w="2410" w:type="dxa"/>
            <w:tcBorders>
              <w:top w:val="nil"/>
              <w:left w:val="nil"/>
              <w:bottom w:val="nil"/>
              <w:right w:val="nil"/>
            </w:tcBorders>
            <w:shd w:val="clear" w:color="auto" w:fill="auto"/>
          </w:tcPr>
          <w:p w:rsidR="00967677" w:rsidRPr="00E01336" w:rsidRDefault="00967677" w:rsidP="00967677">
            <w:pPr>
              <w:jc w:val="both"/>
              <w:rPr>
                <w:rFonts w:asciiTheme="majorBidi" w:hAnsiTheme="majorBidi" w:cstheme="majorBidi"/>
                <w:szCs w:val="24"/>
              </w:rPr>
            </w:pPr>
          </w:p>
        </w:tc>
      </w:tr>
    </w:tbl>
    <w:p w:rsidR="00785C78" w:rsidRPr="00E01336" w:rsidRDefault="00785C78" w:rsidP="00967677">
      <w:pPr>
        <w:spacing w:before="360" w:after="120"/>
        <w:rPr>
          <w:rFonts w:asciiTheme="majorBidi" w:hAnsiTheme="majorBidi" w:cstheme="majorBidi"/>
          <w:b/>
          <w:bCs/>
          <w:szCs w:val="24"/>
        </w:rPr>
      </w:pPr>
      <w:r w:rsidRPr="00E01336">
        <w:rPr>
          <w:rFonts w:asciiTheme="majorBidi" w:hAnsiTheme="majorBidi" w:cstheme="majorBidi"/>
          <w:szCs w:val="24"/>
        </w:rPr>
        <w:t>Le logo a été imprimé sur un pin</w:t>
      </w:r>
      <w:r w:rsidR="004C6912" w:rsidRPr="00E01336">
        <w:rPr>
          <w:rFonts w:asciiTheme="majorBidi" w:hAnsiTheme="majorBidi" w:cstheme="majorBidi"/>
          <w:szCs w:val="24"/>
        </w:rPr>
        <w:t>'</w:t>
      </w:r>
      <w:r w:rsidRPr="00E01336">
        <w:rPr>
          <w:rFonts w:asciiTheme="majorBidi" w:hAnsiTheme="majorBidi" w:cstheme="majorBidi"/>
          <w:szCs w:val="24"/>
        </w:rPr>
        <w:t>s, qui a été distribué lors de tou</w:t>
      </w:r>
      <w:r w:rsidR="009415AB" w:rsidRPr="00E01336">
        <w:rPr>
          <w:rFonts w:asciiTheme="majorBidi" w:hAnsiTheme="majorBidi" w:cstheme="majorBidi"/>
          <w:szCs w:val="24"/>
        </w:rPr>
        <w:t>te</w:t>
      </w:r>
      <w:r w:rsidRPr="00E01336">
        <w:rPr>
          <w:rFonts w:asciiTheme="majorBidi" w:hAnsiTheme="majorBidi" w:cstheme="majorBidi"/>
          <w:szCs w:val="24"/>
        </w:rPr>
        <w:t xml:space="preserve">s les </w:t>
      </w:r>
      <w:r w:rsidR="009415AB" w:rsidRPr="00E01336">
        <w:rPr>
          <w:rFonts w:asciiTheme="majorBidi" w:hAnsiTheme="majorBidi" w:cstheme="majorBidi"/>
          <w:szCs w:val="24"/>
        </w:rPr>
        <w:t>manifestation</w:t>
      </w:r>
      <w:r w:rsidRPr="00E01336">
        <w:rPr>
          <w:rFonts w:asciiTheme="majorBidi" w:hAnsiTheme="majorBidi" w:cstheme="majorBidi"/>
          <w:szCs w:val="24"/>
        </w:rPr>
        <w:t>s organisé</w:t>
      </w:r>
      <w:r w:rsidR="009415AB" w:rsidRPr="00E01336">
        <w:rPr>
          <w:rFonts w:asciiTheme="majorBidi" w:hAnsiTheme="majorBidi" w:cstheme="majorBidi"/>
          <w:szCs w:val="24"/>
        </w:rPr>
        <w:t>e</w:t>
      </w:r>
      <w:r w:rsidRPr="00E01336">
        <w:rPr>
          <w:rFonts w:asciiTheme="majorBidi" w:hAnsiTheme="majorBidi" w:cstheme="majorBidi"/>
          <w:szCs w:val="24"/>
        </w:rPr>
        <w:t>s par l</w:t>
      </w:r>
      <w:r w:rsidR="004C6912" w:rsidRPr="00E01336">
        <w:rPr>
          <w:rFonts w:asciiTheme="majorBidi" w:hAnsiTheme="majorBidi" w:cstheme="majorBidi"/>
          <w:szCs w:val="24"/>
        </w:rPr>
        <w:t>'</w:t>
      </w:r>
      <w:r w:rsidRPr="00E01336">
        <w:rPr>
          <w:rFonts w:asciiTheme="majorBidi" w:hAnsiTheme="majorBidi" w:cstheme="majorBidi"/>
          <w:szCs w:val="24"/>
        </w:rPr>
        <w:t>UIT en 2016.</w:t>
      </w:r>
    </w:p>
    <w:p w:rsidR="0040053B" w:rsidRPr="00E01336" w:rsidRDefault="0040053B" w:rsidP="00967677">
      <w:pPr>
        <w:pStyle w:val="Heading2"/>
      </w:pPr>
      <w:r w:rsidRPr="00E01336">
        <w:t>3.2</w:t>
      </w:r>
      <w:r w:rsidRPr="00E01336">
        <w:tab/>
      </w:r>
      <w:bookmarkStart w:id="7" w:name="lt_pId035"/>
      <w:r w:rsidRPr="00E01336">
        <w:t>Communication</w:t>
      </w:r>
      <w:bookmarkEnd w:id="7"/>
    </w:p>
    <w:p w:rsidR="00785C78" w:rsidRPr="00E01336" w:rsidRDefault="00785C78" w:rsidP="00967677">
      <w:r w:rsidRPr="00E01336">
        <w:t>Comme mentionné plus haut, la campagne de communication visait en priorité les Membres de l</w:t>
      </w:r>
      <w:r w:rsidR="004C6912" w:rsidRPr="00E01336">
        <w:t>'</w:t>
      </w:r>
      <w:r w:rsidRPr="00E01336">
        <w:t>UIT</w:t>
      </w:r>
      <w:r w:rsidR="009415AB" w:rsidRPr="00E01336">
        <w:noBreakHyphen/>
      </w:r>
      <w:r w:rsidRPr="00E01336">
        <w:t>R, des magazines et des médias techniques spécialisés, le personnel de l</w:t>
      </w:r>
      <w:r w:rsidR="004C6912" w:rsidRPr="00E01336">
        <w:t>'</w:t>
      </w:r>
      <w:r w:rsidRPr="00E01336">
        <w:t>UIT et le grand public. Parmi les principales actions de communication entreprises tout au long de l</w:t>
      </w:r>
      <w:r w:rsidR="004C6912" w:rsidRPr="00E01336">
        <w:t>'</w:t>
      </w:r>
      <w:r w:rsidRPr="00E01336">
        <w:t>année 2016, on peut notamment citer les réalisations suivantes:</w:t>
      </w:r>
    </w:p>
    <w:p w:rsidR="0040053B" w:rsidRPr="00E01336" w:rsidRDefault="009415AB" w:rsidP="00967677">
      <w:pPr>
        <w:pStyle w:val="enumlev1"/>
      </w:pPr>
      <w:r w:rsidRPr="00E01336">
        <w:rPr>
          <w:b/>
          <w:bCs/>
        </w:rPr>
        <w:t>•</w:t>
      </w:r>
      <w:r w:rsidRPr="00E01336">
        <w:rPr>
          <w:b/>
          <w:bCs/>
        </w:rPr>
        <w:tab/>
        <w:t>Page</w:t>
      </w:r>
      <w:r w:rsidR="00785C78" w:rsidRPr="00E01336">
        <w:rPr>
          <w:b/>
          <w:bCs/>
        </w:rPr>
        <w:t xml:space="preserve"> web </w:t>
      </w:r>
      <w:r w:rsidRPr="00E01336">
        <w:rPr>
          <w:b/>
          <w:bCs/>
        </w:rPr>
        <w:t>spéciale</w:t>
      </w:r>
      <w:r w:rsidR="00785C78" w:rsidRPr="00E01336">
        <w:rPr>
          <w:b/>
          <w:bCs/>
        </w:rPr>
        <w:t xml:space="preserve"> et salle de presse en ligne – lien: </w:t>
      </w:r>
      <w:hyperlink r:id="rId13" w:history="1">
        <w:r w:rsidR="00C71BBD">
          <w:rPr>
            <w:rStyle w:val="Hyperlink"/>
            <w:rFonts w:asciiTheme="majorBidi" w:hAnsiTheme="majorBidi" w:cstheme="majorBidi"/>
            <w:szCs w:val="24"/>
          </w:rPr>
          <w:t>http://www.itu.int/en/ITU-R/RR110/</w:t>
        </w:r>
      </w:hyperlink>
    </w:p>
    <w:p w:rsidR="0040053B" w:rsidRPr="00E01336" w:rsidRDefault="00785C78" w:rsidP="00967677">
      <w:pPr>
        <w:tabs>
          <w:tab w:val="left" w:pos="709"/>
        </w:tabs>
        <w:ind w:right="-284"/>
        <w:rPr>
          <w:rFonts w:asciiTheme="majorBidi" w:hAnsiTheme="majorBidi" w:cstheme="majorBidi"/>
          <w:szCs w:val="24"/>
        </w:rPr>
      </w:pPr>
      <w:r w:rsidRPr="00E01336">
        <w:rPr>
          <w:rFonts w:asciiTheme="majorBidi" w:hAnsiTheme="majorBidi" w:cstheme="majorBidi"/>
          <w:szCs w:val="24"/>
        </w:rPr>
        <w:t>Ce</w:t>
      </w:r>
      <w:r w:rsidR="001F4881">
        <w:rPr>
          <w:rFonts w:asciiTheme="majorBidi" w:hAnsiTheme="majorBidi" w:cstheme="majorBidi"/>
          <w:szCs w:val="24"/>
        </w:rPr>
        <w:t>tte</w:t>
      </w:r>
      <w:r w:rsidRPr="00E01336">
        <w:rPr>
          <w:rFonts w:asciiTheme="majorBidi" w:hAnsiTheme="majorBidi" w:cstheme="majorBidi"/>
          <w:szCs w:val="24"/>
        </w:rPr>
        <w:t xml:space="preserve"> </w:t>
      </w:r>
      <w:r w:rsidR="009415AB" w:rsidRPr="00E01336">
        <w:rPr>
          <w:rFonts w:asciiTheme="majorBidi" w:hAnsiTheme="majorBidi" w:cstheme="majorBidi"/>
          <w:szCs w:val="24"/>
        </w:rPr>
        <w:t>pag</w:t>
      </w:r>
      <w:r w:rsidRPr="00E01336">
        <w:rPr>
          <w:rFonts w:asciiTheme="majorBidi" w:hAnsiTheme="majorBidi" w:cstheme="majorBidi"/>
          <w:szCs w:val="24"/>
        </w:rPr>
        <w:t>e web comprend des liens vers, entre autres, les communications et informations suivantes:</w:t>
      </w:r>
    </w:p>
    <w:p w:rsidR="0040053B" w:rsidRPr="00E01336" w:rsidRDefault="009415AB" w:rsidP="00967677">
      <w:pPr>
        <w:pStyle w:val="enumlev2"/>
      </w:pPr>
      <w:r w:rsidRPr="00E01336">
        <w:t>•</w:t>
      </w:r>
      <w:r w:rsidRPr="00E01336">
        <w:tab/>
      </w:r>
      <w:r w:rsidR="00785C78" w:rsidRPr="00E01336">
        <w:rPr>
          <w:b/>
          <w:bCs/>
        </w:rPr>
        <w:t>Edition spéciale du magazine en ligne de l</w:t>
      </w:r>
      <w:r w:rsidR="004C6912" w:rsidRPr="00E01336">
        <w:rPr>
          <w:b/>
          <w:bCs/>
        </w:rPr>
        <w:t>'</w:t>
      </w:r>
      <w:r w:rsidR="00785C78" w:rsidRPr="00E01336">
        <w:rPr>
          <w:b/>
          <w:bCs/>
        </w:rPr>
        <w:t>UIT consacrée au 110ème anniversaire du RR</w:t>
      </w:r>
      <w:r w:rsidRPr="00E01336">
        <w:rPr>
          <w:b/>
          <w:bCs/>
        </w:rPr>
        <w:t>.</w:t>
      </w:r>
    </w:p>
    <w:p w:rsidR="0040053B" w:rsidRPr="00E01336" w:rsidRDefault="009415AB" w:rsidP="00967677">
      <w:pPr>
        <w:pStyle w:val="enumlev2"/>
      </w:pPr>
      <w:r w:rsidRPr="00E01336">
        <w:lastRenderedPageBreak/>
        <w:t>•</w:t>
      </w:r>
      <w:r w:rsidRPr="00E01336">
        <w:tab/>
      </w:r>
      <w:r w:rsidR="00785C78" w:rsidRPr="00E01336">
        <w:rPr>
          <w:b/>
          <w:bCs/>
        </w:rPr>
        <w:t>Message vidéo du Directeur du Bureau des radiocommunications</w:t>
      </w:r>
      <w:r w:rsidRPr="00E01336">
        <w:rPr>
          <w:b/>
          <w:bCs/>
        </w:rPr>
        <w:t>.</w:t>
      </w:r>
    </w:p>
    <w:p w:rsidR="0040053B" w:rsidRPr="00E01336" w:rsidRDefault="009415AB" w:rsidP="00967677">
      <w:pPr>
        <w:pStyle w:val="enumlev2"/>
      </w:pPr>
      <w:r w:rsidRPr="00E01336">
        <w:t>•</w:t>
      </w:r>
      <w:r w:rsidRPr="00E01336">
        <w:tab/>
      </w:r>
      <w:r w:rsidR="00785C78" w:rsidRPr="00E01336">
        <w:rPr>
          <w:b/>
          <w:bCs/>
        </w:rPr>
        <w:t>Moments forts, vidéos et photos des célébrations de l</w:t>
      </w:r>
      <w:r w:rsidR="004C6912" w:rsidRPr="00E01336">
        <w:rPr>
          <w:b/>
          <w:bCs/>
        </w:rPr>
        <w:t>'</w:t>
      </w:r>
      <w:r w:rsidR="00785C78" w:rsidRPr="00E01336">
        <w:rPr>
          <w:b/>
          <w:bCs/>
        </w:rPr>
        <w:t>anniversaire</w:t>
      </w:r>
      <w:r w:rsidRPr="00E01336">
        <w:rPr>
          <w:b/>
          <w:bCs/>
        </w:rPr>
        <w:t>.</w:t>
      </w:r>
    </w:p>
    <w:p w:rsidR="0040053B" w:rsidRPr="00E01336" w:rsidRDefault="009415AB" w:rsidP="00967677">
      <w:pPr>
        <w:pStyle w:val="enumlev2"/>
      </w:pPr>
      <w:r w:rsidRPr="00E01336">
        <w:t>•</w:t>
      </w:r>
      <w:r w:rsidRPr="00E01336">
        <w:tab/>
      </w:r>
      <w:r w:rsidR="00785C78" w:rsidRPr="00E01336">
        <w:rPr>
          <w:b/>
          <w:bCs/>
        </w:rPr>
        <w:t>Salle de presse en ligne</w:t>
      </w:r>
      <w:r w:rsidR="00785C78" w:rsidRPr="00E01336">
        <w:rPr>
          <w:bCs/>
        </w:rPr>
        <w:t>: communiqués de presse, avis aux médias, allocutions, vidéos, etc.</w:t>
      </w:r>
    </w:p>
    <w:p w:rsidR="0040053B" w:rsidRPr="00E01336" w:rsidRDefault="009415AB" w:rsidP="00967677">
      <w:pPr>
        <w:pStyle w:val="enumlev2"/>
      </w:pPr>
      <w:r w:rsidRPr="00E01336">
        <w:t>•</w:t>
      </w:r>
      <w:r w:rsidRPr="00E01336">
        <w:tab/>
      </w:r>
      <w:r w:rsidR="00785C78" w:rsidRPr="00E01336">
        <w:rPr>
          <w:b/>
          <w:bCs/>
        </w:rPr>
        <w:t>Communication promotionnelle</w:t>
      </w:r>
      <w:r w:rsidR="00785C78" w:rsidRPr="00E01336">
        <w:rPr>
          <w:bCs/>
        </w:rPr>
        <w:t>: images, affiche en ligne, logo, pin</w:t>
      </w:r>
      <w:r w:rsidR="004C6912" w:rsidRPr="00E01336">
        <w:rPr>
          <w:bCs/>
        </w:rPr>
        <w:t>'</w:t>
      </w:r>
      <w:r w:rsidR="00785C78" w:rsidRPr="00E01336">
        <w:rPr>
          <w:bCs/>
        </w:rPr>
        <w:t>s, etc.</w:t>
      </w:r>
    </w:p>
    <w:p w:rsidR="0040053B" w:rsidRPr="00E01336" w:rsidRDefault="009415AB" w:rsidP="00967677">
      <w:pPr>
        <w:pStyle w:val="enumlev2"/>
      </w:pPr>
      <w:r w:rsidRPr="00E01336">
        <w:t>•</w:t>
      </w:r>
      <w:r w:rsidRPr="00E01336">
        <w:tab/>
      </w:r>
      <w:r w:rsidRPr="00E01336">
        <w:rPr>
          <w:b/>
          <w:bCs/>
        </w:rPr>
        <w:t>Questions fréquemment posées (</w:t>
      </w:r>
      <w:r w:rsidR="00785C78" w:rsidRPr="00E01336">
        <w:rPr>
          <w:b/>
          <w:bCs/>
        </w:rPr>
        <w:t>FAQ</w:t>
      </w:r>
      <w:r w:rsidRPr="00E01336">
        <w:rPr>
          <w:b/>
          <w:bCs/>
        </w:rPr>
        <w:t>)</w:t>
      </w:r>
      <w:r w:rsidR="00785C78" w:rsidRPr="00E01336">
        <w:rPr>
          <w:b/>
          <w:bCs/>
        </w:rPr>
        <w:t xml:space="preserve"> sur le RR</w:t>
      </w:r>
      <w:r w:rsidR="00785C78" w:rsidRPr="00E01336">
        <w:rPr>
          <w:bCs/>
        </w:rPr>
        <w:t>:</w:t>
      </w:r>
      <w:r w:rsidRPr="00E01336">
        <w:rPr>
          <w:bCs/>
        </w:rPr>
        <w:t xml:space="preserve"> </w:t>
      </w:r>
      <w:r w:rsidR="001F4881">
        <w:rPr>
          <w:bCs/>
        </w:rPr>
        <w:t>(</w:t>
      </w:r>
      <w:r w:rsidRPr="00E01336">
        <w:rPr>
          <w:bCs/>
        </w:rPr>
        <w:t>rappel historique complétant les</w:t>
      </w:r>
      <w:r w:rsidR="00785C78" w:rsidRPr="00E01336">
        <w:rPr>
          <w:bCs/>
        </w:rPr>
        <w:t xml:space="preserve"> FAQ existante</w:t>
      </w:r>
      <w:r w:rsidRPr="00E01336">
        <w:rPr>
          <w:bCs/>
        </w:rPr>
        <w:t>s</w:t>
      </w:r>
      <w:r w:rsidR="001F4881">
        <w:rPr>
          <w:bCs/>
        </w:rPr>
        <w:t>)</w:t>
      </w:r>
      <w:r w:rsidRPr="00E01336">
        <w:rPr>
          <w:bCs/>
        </w:rPr>
        <w:t>.</w:t>
      </w:r>
    </w:p>
    <w:p w:rsidR="0040053B" w:rsidRPr="00E01336" w:rsidRDefault="009415AB" w:rsidP="00967677">
      <w:pPr>
        <w:pStyle w:val="enumlev1"/>
      </w:pPr>
      <w:r w:rsidRPr="00E01336">
        <w:t>•</w:t>
      </w:r>
      <w:r w:rsidRPr="00E01336">
        <w:tab/>
      </w:r>
      <w:r w:rsidR="00785C78" w:rsidRPr="00E01336">
        <w:rPr>
          <w:b/>
          <w:bCs/>
        </w:rPr>
        <w:t>Couverture sur les médias sociaux</w:t>
      </w:r>
      <w:r w:rsidR="00785C78" w:rsidRPr="00E01336">
        <w:t>: à l</w:t>
      </w:r>
      <w:r w:rsidR="004C6912" w:rsidRPr="00E01336">
        <w:t>'</w:t>
      </w:r>
      <w:r w:rsidR="00785C78" w:rsidRPr="00E01336">
        <w:t>aide des mots-dièse twitter de</w:t>
      </w:r>
      <w:bookmarkStart w:id="8" w:name="_GoBack"/>
      <w:bookmarkEnd w:id="8"/>
      <w:r w:rsidR="00785C78" w:rsidRPr="00E01336">
        <w:t xml:space="preserve"> l</w:t>
      </w:r>
      <w:r w:rsidR="004C6912" w:rsidRPr="00E01336">
        <w:t>'</w:t>
      </w:r>
      <w:r w:rsidR="00785C78" w:rsidRPr="00E01336">
        <w:t xml:space="preserve">UIT-R </w:t>
      </w:r>
      <w:r w:rsidR="00785C78" w:rsidRPr="00E01336">
        <w:rPr>
          <w:b/>
          <w:bCs/>
        </w:rPr>
        <w:t>#RR110</w:t>
      </w:r>
      <w:r w:rsidR="00785C78" w:rsidRPr="00E01336">
        <w:t xml:space="preserve"> et </w:t>
      </w:r>
      <w:r w:rsidR="00785C78" w:rsidRPr="00E01336">
        <w:rPr>
          <w:b/>
          <w:bCs/>
        </w:rPr>
        <w:t>#ITU Radio Regulations</w:t>
      </w:r>
      <w:r w:rsidR="00785C78" w:rsidRPr="00E01336">
        <w:t>.</w:t>
      </w:r>
    </w:p>
    <w:p w:rsidR="009415AB" w:rsidRPr="00E01336" w:rsidRDefault="009415AB" w:rsidP="0032202E">
      <w:pPr>
        <w:pStyle w:val="Reasons"/>
        <w:rPr>
          <w:lang w:val="fr-FR"/>
        </w:rPr>
      </w:pPr>
    </w:p>
    <w:p w:rsidR="009415AB" w:rsidRPr="00E01336" w:rsidRDefault="009415AB">
      <w:pPr>
        <w:jc w:val="center"/>
      </w:pPr>
      <w:r w:rsidRPr="00E01336">
        <w:t>______________</w:t>
      </w:r>
    </w:p>
    <w:p w:rsidR="0040053B" w:rsidRPr="00E01336" w:rsidRDefault="0040053B" w:rsidP="00560B5C">
      <w:pPr>
        <w:spacing w:line="276" w:lineRule="auto"/>
        <w:rPr>
          <w:lang w:eastAsia="zh-CN"/>
        </w:rPr>
      </w:pPr>
    </w:p>
    <w:sectPr w:rsidR="0040053B" w:rsidRPr="00E01336">
      <w:headerReference w:type="even" r:id="rId14"/>
      <w:headerReference w:type="default" r:id="rId15"/>
      <w:footerReference w:type="even"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F" w:rsidRDefault="00922DFF">
      <w:r>
        <w:separator/>
      </w:r>
    </w:p>
  </w:endnote>
  <w:endnote w:type="continuationSeparator" w:id="0">
    <w:p w:rsidR="00922DFF" w:rsidRDefault="0092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FF" w:rsidRDefault="00922DFF">
    <w:pPr>
      <w:pStyle w:val="Footer"/>
      <w:rPr>
        <w:lang w:val="en-US"/>
      </w:rPr>
    </w:pPr>
    <w:r>
      <w:fldChar w:fldCharType="begin"/>
    </w:r>
    <w:r w:rsidRPr="00A9055C">
      <w:rPr>
        <w:lang w:val="en-US"/>
      </w:rPr>
      <w:instrText xml:space="preserve"> FILENAME \p \* MERGEFORMAT </w:instrText>
    </w:r>
    <w:r>
      <w:fldChar w:fldCharType="separate"/>
    </w:r>
    <w:r w:rsidR="00C71BBD">
      <w:rPr>
        <w:lang w:val="en-US"/>
      </w:rPr>
      <w:t>P:\FRA\ITU-R\AG\RAG\RAG17\000\003F.docx</w:t>
    </w:r>
    <w:r>
      <w:rPr>
        <w:lang w:val="en-US"/>
      </w:rPr>
      <w:fldChar w:fldCharType="end"/>
    </w:r>
    <w:r>
      <w:rPr>
        <w:lang w:val="en-US"/>
      </w:rPr>
      <w:tab/>
    </w:r>
    <w:r>
      <w:fldChar w:fldCharType="begin"/>
    </w:r>
    <w:r>
      <w:instrText xml:space="preserve"> savedate \@ dd.MM.yy </w:instrText>
    </w:r>
    <w:r>
      <w:fldChar w:fldCharType="separate"/>
    </w:r>
    <w:r w:rsidR="00C11B8D">
      <w:t>21.02.17</w:t>
    </w:r>
    <w:r>
      <w:fldChar w:fldCharType="end"/>
    </w:r>
    <w:r>
      <w:rPr>
        <w:lang w:val="en-US"/>
      </w:rPr>
      <w:tab/>
    </w:r>
    <w:r>
      <w:fldChar w:fldCharType="begin"/>
    </w:r>
    <w:r>
      <w:instrText xml:space="preserve"> printdate \@ dd.MM.yy </w:instrText>
    </w:r>
    <w:r>
      <w:fldChar w:fldCharType="separate"/>
    </w:r>
    <w:r w:rsidR="00C71BBD">
      <w:t>21.02.17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FF" w:rsidRPr="005E0FF8" w:rsidRDefault="00922DFF" w:rsidP="009415AB">
    <w:pPr>
      <w:pStyle w:val="Footer"/>
      <w:rPr>
        <w:lang w:val="en-US"/>
      </w:rPr>
    </w:pPr>
    <w:r>
      <w:fldChar w:fldCharType="begin"/>
    </w:r>
    <w:r w:rsidRPr="005E0FF8">
      <w:rPr>
        <w:lang w:val="en-US"/>
      </w:rPr>
      <w:instrText xml:space="preserve"> FILENAME \p  \* MERGEFORMAT </w:instrText>
    </w:r>
    <w:r>
      <w:fldChar w:fldCharType="separate"/>
    </w:r>
    <w:r w:rsidR="00C71BBD">
      <w:rPr>
        <w:lang w:val="en-US"/>
      </w:rPr>
      <w:t>P:\FRA\ITU-R\AG\RAG\RAG17\000\003F.docx</w:t>
    </w:r>
    <w:r>
      <w:fldChar w:fldCharType="end"/>
    </w:r>
    <w:r>
      <w:rPr>
        <w:lang w:val="en-US"/>
      </w:rPr>
      <w:t xml:space="preserve"> (41</w:t>
    </w:r>
    <w:r w:rsidR="009415AB">
      <w:rPr>
        <w:lang w:val="en-US"/>
      </w:rPr>
      <w:t>2938</w:t>
    </w:r>
    <w:r w:rsidRPr="005E0FF8">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FF" w:rsidRPr="005E0FF8" w:rsidRDefault="00922DFF" w:rsidP="009415AB">
    <w:pPr>
      <w:pStyle w:val="Footer"/>
      <w:rPr>
        <w:lang w:val="en-US"/>
      </w:rPr>
    </w:pPr>
    <w:r>
      <w:fldChar w:fldCharType="begin"/>
    </w:r>
    <w:r w:rsidRPr="005E0FF8">
      <w:rPr>
        <w:lang w:val="en-US"/>
      </w:rPr>
      <w:instrText xml:space="preserve"> FILENAME \p  \* MERGEFORMAT </w:instrText>
    </w:r>
    <w:r>
      <w:fldChar w:fldCharType="separate"/>
    </w:r>
    <w:r w:rsidR="00C71BBD">
      <w:rPr>
        <w:lang w:val="en-US"/>
      </w:rPr>
      <w:t>P:\FRA\ITU-R\AG\RAG\RAG17\000\003F.docx</w:t>
    </w:r>
    <w:r>
      <w:fldChar w:fldCharType="end"/>
    </w:r>
    <w:r>
      <w:rPr>
        <w:lang w:val="en-US"/>
      </w:rPr>
      <w:t xml:space="preserve"> (41</w:t>
    </w:r>
    <w:r w:rsidR="009415AB">
      <w:rPr>
        <w:lang w:val="en-US"/>
      </w:rPr>
      <w:t>2938</w:t>
    </w:r>
    <w:r w:rsidRPr="005E0FF8">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F" w:rsidRDefault="00922DFF">
      <w:r>
        <w:t>____________________</w:t>
      </w:r>
    </w:p>
  </w:footnote>
  <w:footnote w:type="continuationSeparator" w:id="0">
    <w:p w:rsidR="00922DFF" w:rsidRDefault="00922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FF" w:rsidRDefault="00922DFF">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FF" w:rsidRDefault="00922DFF" w:rsidP="00925627">
    <w:pPr>
      <w:pStyle w:val="Header"/>
      <w:rPr>
        <w:lang w:val="es-ES"/>
      </w:rPr>
    </w:pPr>
    <w:r>
      <w:fldChar w:fldCharType="begin"/>
    </w:r>
    <w:r>
      <w:instrText xml:space="preserve"> PAGE </w:instrText>
    </w:r>
    <w:r>
      <w:fldChar w:fldCharType="separate"/>
    </w:r>
    <w:r w:rsidR="000156DC">
      <w:rPr>
        <w:noProof/>
      </w:rPr>
      <w:t>3</w:t>
    </w:r>
    <w:r>
      <w:rPr>
        <w:noProof/>
      </w:rPr>
      <w:fldChar w:fldCharType="end"/>
    </w:r>
  </w:p>
  <w:p w:rsidR="00922DFF" w:rsidRDefault="009415AB" w:rsidP="00E06247">
    <w:pPr>
      <w:pStyle w:val="Header"/>
      <w:rPr>
        <w:lang w:val="es-ES"/>
      </w:rPr>
    </w:pPr>
    <w:r>
      <w:rPr>
        <w:lang w:val="es-ES"/>
      </w:rPr>
      <w:t>RAG17/3</w:t>
    </w:r>
    <w:r w:rsidR="00922DFF">
      <w:rPr>
        <w:lang w:val="es-E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16EF2"/>
    <w:multiLevelType w:val="hybridMultilevel"/>
    <w:tmpl w:val="F7A04570"/>
    <w:lvl w:ilvl="0" w:tplc="A404C488">
      <w:start w:val="1"/>
      <w:numFmt w:val="bullet"/>
      <w:lvlText w:val=""/>
      <w:lvlJc w:val="left"/>
      <w:pPr>
        <w:ind w:left="360" w:hanging="360"/>
      </w:pPr>
      <w:rPr>
        <w:rFonts w:ascii="Symbol" w:hAnsi="Symbol" w:hint="default"/>
      </w:rPr>
    </w:lvl>
    <w:lvl w:ilvl="1" w:tplc="0F28D2AE">
      <w:start w:val="1"/>
      <w:numFmt w:val="bullet"/>
      <w:lvlText w:val="o"/>
      <w:lvlJc w:val="left"/>
      <w:pPr>
        <w:ind w:left="1080" w:hanging="360"/>
      </w:pPr>
      <w:rPr>
        <w:rFonts w:ascii="Courier New" w:hAnsi="Courier New" w:cs="Courier New" w:hint="default"/>
      </w:rPr>
    </w:lvl>
    <w:lvl w:ilvl="2" w:tplc="E9B0A92A" w:tentative="1">
      <w:start w:val="1"/>
      <w:numFmt w:val="bullet"/>
      <w:lvlText w:val=""/>
      <w:lvlJc w:val="left"/>
      <w:pPr>
        <w:ind w:left="1800" w:hanging="360"/>
      </w:pPr>
      <w:rPr>
        <w:rFonts w:ascii="Wingdings" w:hAnsi="Wingdings" w:hint="default"/>
      </w:rPr>
    </w:lvl>
    <w:lvl w:ilvl="3" w:tplc="3F10B780" w:tentative="1">
      <w:start w:val="1"/>
      <w:numFmt w:val="bullet"/>
      <w:lvlText w:val=""/>
      <w:lvlJc w:val="left"/>
      <w:pPr>
        <w:ind w:left="2520" w:hanging="360"/>
      </w:pPr>
      <w:rPr>
        <w:rFonts w:ascii="Symbol" w:hAnsi="Symbol" w:hint="default"/>
      </w:rPr>
    </w:lvl>
    <w:lvl w:ilvl="4" w:tplc="5D56442C" w:tentative="1">
      <w:start w:val="1"/>
      <w:numFmt w:val="bullet"/>
      <w:lvlText w:val="o"/>
      <w:lvlJc w:val="left"/>
      <w:pPr>
        <w:ind w:left="3240" w:hanging="360"/>
      </w:pPr>
      <w:rPr>
        <w:rFonts w:ascii="Courier New" w:hAnsi="Courier New" w:cs="Courier New" w:hint="default"/>
      </w:rPr>
    </w:lvl>
    <w:lvl w:ilvl="5" w:tplc="E17A95D6" w:tentative="1">
      <w:start w:val="1"/>
      <w:numFmt w:val="bullet"/>
      <w:lvlText w:val=""/>
      <w:lvlJc w:val="left"/>
      <w:pPr>
        <w:ind w:left="3960" w:hanging="360"/>
      </w:pPr>
      <w:rPr>
        <w:rFonts w:ascii="Wingdings" w:hAnsi="Wingdings" w:hint="default"/>
      </w:rPr>
    </w:lvl>
    <w:lvl w:ilvl="6" w:tplc="AFE21622" w:tentative="1">
      <w:start w:val="1"/>
      <w:numFmt w:val="bullet"/>
      <w:lvlText w:val=""/>
      <w:lvlJc w:val="left"/>
      <w:pPr>
        <w:ind w:left="4680" w:hanging="360"/>
      </w:pPr>
      <w:rPr>
        <w:rFonts w:ascii="Symbol" w:hAnsi="Symbol" w:hint="default"/>
      </w:rPr>
    </w:lvl>
    <w:lvl w:ilvl="7" w:tplc="57585454" w:tentative="1">
      <w:start w:val="1"/>
      <w:numFmt w:val="bullet"/>
      <w:lvlText w:val="o"/>
      <w:lvlJc w:val="left"/>
      <w:pPr>
        <w:ind w:left="5400" w:hanging="360"/>
      </w:pPr>
      <w:rPr>
        <w:rFonts w:ascii="Courier New" w:hAnsi="Courier New" w:cs="Courier New" w:hint="default"/>
      </w:rPr>
    </w:lvl>
    <w:lvl w:ilvl="8" w:tplc="99AE244A"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6A0B1B-38FB-43E4-A395-5672B77978FE}"/>
    <w:docVar w:name="dgnword-eventsink" w:val="478880464"/>
  </w:docVars>
  <w:rsids>
    <w:rsidRoot w:val="00947B44"/>
    <w:rsid w:val="000156DC"/>
    <w:rsid w:val="00027081"/>
    <w:rsid w:val="00031004"/>
    <w:rsid w:val="000C06D8"/>
    <w:rsid w:val="000D6E76"/>
    <w:rsid w:val="00140AE6"/>
    <w:rsid w:val="0015292A"/>
    <w:rsid w:val="00173C08"/>
    <w:rsid w:val="001A7DFD"/>
    <w:rsid w:val="001C25F8"/>
    <w:rsid w:val="001F4881"/>
    <w:rsid w:val="00222A1C"/>
    <w:rsid w:val="002D238A"/>
    <w:rsid w:val="002E69F8"/>
    <w:rsid w:val="0035608F"/>
    <w:rsid w:val="003753CE"/>
    <w:rsid w:val="003A6CEE"/>
    <w:rsid w:val="003A7375"/>
    <w:rsid w:val="003B0EC9"/>
    <w:rsid w:val="003E4A9A"/>
    <w:rsid w:val="0040053B"/>
    <w:rsid w:val="00405FBE"/>
    <w:rsid w:val="004233FC"/>
    <w:rsid w:val="00426AFE"/>
    <w:rsid w:val="00443261"/>
    <w:rsid w:val="00454CBE"/>
    <w:rsid w:val="0049083A"/>
    <w:rsid w:val="004C6912"/>
    <w:rsid w:val="004E1CCF"/>
    <w:rsid w:val="005076BC"/>
    <w:rsid w:val="005207F5"/>
    <w:rsid w:val="0053415B"/>
    <w:rsid w:val="005430E4"/>
    <w:rsid w:val="00560B5C"/>
    <w:rsid w:val="005D3FDC"/>
    <w:rsid w:val="005E0FF8"/>
    <w:rsid w:val="00654619"/>
    <w:rsid w:val="0067019B"/>
    <w:rsid w:val="00677EE5"/>
    <w:rsid w:val="00694DEF"/>
    <w:rsid w:val="006C16FE"/>
    <w:rsid w:val="006D5A56"/>
    <w:rsid w:val="006E67CF"/>
    <w:rsid w:val="007428A0"/>
    <w:rsid w:val="00773E5E"/>
    <w:rsid w:val="00785C78"/>
    <w:rsid w:val="007A437C"/>
    <w:rsid w:val="00847AAC"/>
    <w:rsid w:val="00861B8D"/>
    <w:rsid w:val="008C5730"/>
    <w:rsid w:val="008E0222"/>
    <w:rsid w:val="009138B5"/>
    <w:rsid w:val="00922DFF"/>
    <w:rsid w:val="00925627"/>
    <w:rsid w:val="0093101F"/>
    <w:rsid w:val="009415AB"/>
    <w:rsid w:val="00947B44"/>
    <w:rsid w:val="00964A59"/>
    <w:rsid w:val="00967677"/>
    <w:rsid w:val="0097156E"/>
    <w:rsid w:val="009B4322"/>
    <w:rsid w:val="009F3F5F"/>
    <w:rsid w:val="009F6D79"/>
    <w:rsid w:val="00A047DE"/>
    <w:rsid w:val="00A9055C"/>
    <w:rsid w:val="00AB7F92"/>
    <w:rsid w:val="00AC39EE"/>
    <w:rsid w:val="00AC54B4"/>
    <w:rsid w:val="00AF5AF1"/>
    <w:rsid w:val="00B41D84"/>
    <w:rsid w:val="00B46EDA"/>
    <w:rsid w:val="00B5313B"/>
    <w:rsid w:val="00BA0C7B"/>
    <w:rsid w:val="00BA4A4E"/>
    <w:rsid w:val="00BC4591"/>
    <w:rsid w:val="00BE7E67"/>
    <w:rsid w:val="00C11B8D"/>
    <w:rsid w:val="00C164D6"/>
    <w:rsid w:val="00C71BBD"/>
    <w:rsid w:val="00C72A86"/>
    <w:rsid w:val="00C74AD9"/>
    <w:rsid w:val="00CC5B9E"/>
    <w:rsid w:val="00CC7208"/>
    <w:rsid w:val="00CE6184"/>
    <w:rsid w:val="00CF231F"/>
    <w:rsid w:val="00D228F7"/>
    <w:rsid w:val="00D22C4A"/>
    <w:rsid w:val="00D34E1C"/>
    <w:rsid w:val="00D95965"/>
    <w:rsid w:val="00DA2CB8"/>
    <w:rsid w:val="00DD55EB"/>
    <w:rsid w:val="00E01336"/>
    <w:rsid w:val="00E06247"/>
    <w:rsid w:val="00E2659D"/>
    <w:rsid w:val="00E445D1"/>
    <w:rsid w:val="00E75BB4"/>
    <w:rsid w:val="00EC0F12"/>
    <w:rsid w:val="00ED59FA"/>
    <w:rsid w:val="00EF5CF3"/>
    <w:rsid w:val="00F24D0E"/>
    <w:rsid w:val="00F775D5"/>
    <w:rsid w:val="00FA28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0B2F09-087D-4441-9BF9-3D3F4F3D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basedOn w:val="DefaultParagraphFont"/>
    <w:link w:val="FootnoteText"/>
    <w:uiPriority w:val="99"/>
    <w:rsid w:val="006E67CF"/>
    <w:rPr>
      <w:rFonts w:ascii="Times New Roman" w:hAnsi="Times New Roman"/>
      <w:sz w:val="24"/>
      <w:lang w:val="fr-FR" w:eastAsia="en-US"/>
    </w:rPr>
  </w:style>
  <w:style w:type="character" w:styleId="Hyperlink">
    <w:name w:val="Hyperlink"/>
    <w:basedOn w:val="DefaultParagraphFont"/>
    <w:unhideWhenUsed/>
    <w:rsid w:val="006E67CF"/>
    <w:rPr>
      <w:color w:val="0000FF" w:themeColor="hyperlink"/>
      <w:u w:val="single"/>
    </w:rPr>
  </w:style>
  <w:style w:type="paragraph" w:customStyle="1" w:styleId="AnnexNo">
    <w:name w:val="Annex_No"/>
    <w:basedOn w:val="Normal"/>
    <w:next w:val="Normal"/>
    <w:rsid w:val="00E06247"/>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E0624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table" w:styleId="TableGrid">
    <w:name w:val="Table Grid"/>
    <w:basedOn w:val="TableNormal"/>
    <w:rsid w:val="00E06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0"/>
    <w:rsid w:val="00E06247"/>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rsid w:val="00E06247"/>
    <w:rPr>
      <w:rFonts w:ascii="Times New Roman" w:hAnsi="Times New Roman"/>
      <w:b/>
      <w:sz w:val="28"/>
      <w:lang w:val="fr-FR" w:eastAsia="en-US"/>
    </w:rPr>
  </w:style>
  <w:style w:type="character" w:customStyle="1" w:styleId="CallChar">
    <w:name w:val="Call Char"/>
    <w:basedOn w:val="DefaultParagraphFont"/>
    <w:link w:val="Call"/>
    <w:locked/>
    <w:rsid w:val="00E06247"/>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E06247"/>
    <w:rPr>
      <w:rFonts w:ascii="Times New Roman" w:hAnsi="Times New Roman"/>
      <w:sz w:val="24"/>
      <w:lang w:val="fr-FR" w:eastAsia="en-US"/>
    </w:rPr>
  </w:style>
  <w:style w:type="character" w:customStyle="1" w:styleId="NormalaftertitleChar">
    <w:name w:val="Normal_after_title Char"/>
    <w:basedOn w:val="DefaultParagraphFont"/>
    <w:link w:val="Normalaftertitle"/>
    <w:locked/>
    <w:rsid w:val="00E06247"/>
    <w:rPr>
      <w:rFonts w:ascii="Times New Roman" w:hAnsi="Times New Roman"/>
      <w:sz w:val="24"/>
      <w:lang w:val="fr-FR" w:eastAsia="en-US"/>
    </w:rPr>
  </w:style>
  <w:style w:type="character" w:customStyle="1" w:styleId="enumlev1Char">
    <w:name w:val="enumlev1 Char"/>
    <w:basedOn w:val="DefaultParagraphFont"/>
    <w:link w:val="enumlev1"/>
    <w:rsid w:val="000D6E76"/>
    <w:rPr>
      <w:rFonts w:ascii="Times New Roman" w:hAnsi="Times New Roman"/>
      <w:sz w:val="24"/>
      <w:lang w:val="fr-FR" w:eastAsia="en-US"/>
    </w:rPr>
  </w:style>
  <w:style w:type="character" w:customStyle="1" w:styleId="Heading1Char">
    <w:name w:val="Heading 1 Char"/>
    <w:aliases w:val="título 1 Char"/>
    <w:basedOn w:val="DefaultParagraphFont"/>
    <w:link w:val="Heading1"/>
    <w:rsid w:val="005E0FF8"/>
    <w:rPr>
      <w:rFonts w:ascii="Times New Roman" w:hAnsi="Times New Roman"/>
      <w:b/>
      <w:sz w:val="24"/>
      <w:lang w:val="fr-FR" w:eastAsia="en-US"/>
    </w:rPr>
  </w:style>
  <w:style w:type="character" w:customStyle="1" w:styleId="Heading2Char">
    <w:name w:val="Heading 2 Char"/>
    <w:basedOn w:val="DefaultParagraphFont"/>
    <w:link w:val="Heading2"/>
    <w:rsid w:val="005E0FF8"/>
    <w:rPr>
      <w:rFonts w:ascii="Times New Roman" w:hAnsi="Times New Roman"/>
      <w:b/>
      <w:sz w:val="24"/>
      <w:lang w:val="fr-FR" w:eastAsia="en-US"/>
    </w:rPr>
  </w:style>
  <w:style w:type="paragraph" w:customStyle="1" w:styleId="Reasons">
    <w:name w:val="Reasons"/>
    <w:basedOn w:val="Normal"/>
    <w:qFormat/>
    <w:rsid w:val="005E0FF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6C16FE"/>
    <w:rPr>
      <w:color w:val="800080" w:themeColor="followedHyperlink"/>
      <w:u w:val="single"/>
    </w:rPr>
  </w:style>
  <w:style w:type="character" w:customStyle="1" w:styleId="wysiwyg-font-size-medium">
    <w:name w:val="wysiwyg-font-size-medium"/>
    <w:basedOn w:val="DefaultParagraphFont"/>
    <w:rsid w:val="003E4A9A"/>
  </w:style>
  <w:style w:type="character" w:styleId="CommentReference">
    <w:name w:val="annotation reference"/>
    <w:basedOn w:val="DefaultParagraphFont"/>
    <w:semiHidden/>
    <w:unhideWhenUsed/>
    <w:rsid w:val="00DA2CB8"/>
    <w:rPr>
      <w:sz w:val="16"/>
      <w:szCs w:val="16"/>
    </w:rPr>
  </w:style>
  <w:style w:type="paragraph" w:styleId="CommentText">
    <w:name w:val="annotation text"/>
    <w:basedOn w:val="Normal"/>
    <w:link w:val="CommentTextChar"/>
    <w:semiHidden/>
    <w:unhideWhenUsed/>
    <w:rsid w:val="00DA2CB8"/>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customStyle="1" w:styleId="CommentTextChar">
    <w:name w:val="Comment Text Char"/>
    <w:basedOn w:val="DefaultParagraphFont"/>
    <w:link w:val="CommentText"/>
    <w:semiHidden/>
    <w:rsid w:val="00DA2CB8"/>
    <w:rPr>
      <w:rFonts w:ascii="Calibri" w:hAnsi="Calibri"/>
      <w:lang w:val="fr-FR" w:eastAsia="en-US"/>
    </w:rPr>
  </w:style>
  <w:style w:type="paragraph" w:styleId="BalloonText">
    <w:name w:val="Balloon Text"/>
    <w:basedOn w:val="Normal"/>
    <w:link w:val="BalloonTextChar"/>
    <w:semiHidden/>
    <w:unhideWhenUsed/>
    <w:rsid w:val="00DA2C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2CB8"/>
    <w:rPr>
      <w:rFonts w:ascii="Segoe UI" w:hAnsi="Segoe UI" w:cs="Segoe UI"/>
      <w:sz w:val="18"/>
      <w:szCs w:val="18"/>
      <w:lang w:val="fr-FR" w:eastAsia="en-US"/>
    </w:rPr>
  </w:style>
  <w:style w:type="paragraph" w:styleId="ListParagraph">
    <w:name w:val="List Paragraph"/>
    <w:basedOn w:val="Normal"/>
    <w:uiPriority w:val="34"/>
    <w:qFormat/>
    <w:rsid w:val="00785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fr/ITU-R/RR110/Pages/default.aspx"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fr/ITU-R/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history/Pages/RRB.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dms_pub/itu-s/oth/02/01/S02010000104003PDFF.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FF53-7596-4A6E-B97A-C5609813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PF_RAG17.dotm</Template>
  <TotalTime>54</TotalTime>
  <Pages>3</Pages>
  <Words>745</Words>
  <Characters>4762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110ÈME ANNIVERSAIRE DU RÈGLEMENT DES RADIOCOMMUNICATIONS DE L'UIT (1906-2016)</vt:lpstr>
    </vt:vector>
  </TitlesOfParts>
  <Manager>General Secretariat - Pool</Manager>
  <Company>International Telecommunication Union (ITU)</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110ÈME ANNIVERSAIRE DU RÈGLEMENT DES RADIOCOMMUNICATIONS DE L'UIT (1906-2016)</dc:title>
  <dc:subject>GROUPE CONSULTATIF DES RADIOCOMMUNICATIONS</dc:subject>
  <dc:creator>Directeur du Bureau des radiocommunications</dc:creator>
  <cp:keywords>RAG03-1</cp:keywords>
  <dc:description>Document RAG17/3-F  For: _x000d_Document date: 16 février 2017_x000d_Saved by ITU51007810 at 11:14:39 on 21/02/2017</dc:description>
  <cp:lastModifiedBy>Royer, Veronique</cp:lastModifiedBy>
  <cp:revision>9</cp:revision>
  <cp:lastPrinted>2017-02-21T10:07:00Z</cp:lastPrinted>
  <dcterms:created xsi:type="dcterms:W3CDTF">2017-02-21T09:51:00Z</dcterms:created>
  <dcterms:modified xsi:type="dcterms:W3CDTF">2017-02-22T09:10:00Z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RAG17/3-F</vt:lpwstr>
  </property>
  <property fmtid="{D5CDD505-2E9C-101B-9397-08002B2CF9AE}" pid="3" name="Docdate">
    <vt:lpwstr>16 février 2017</vt:lpwstr>
  </property>
  <property fmtid="{D5CDD505-2E9C-101B-9397-08002B2CF9AE}" pid="4" name="Docorlang">
    <vt:lpwstr>Original: anglais</vt:lpwstr>
  </property>
  <property fmtid="{D5CDD505-2E9C-101B-9397-08002B2CF9AE}" pid="5" name="Docauthor">
    <vt:lpwstr>Directeur du Bureau des radiocommunications</vt:lpwstr>
  </property>
</Properties>
</file>