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15"/>
        <w:tblW w:w="9889" w:type="dxa"/>
        <w:tblLayout w:type="fixed"/>
        <w:tblLook w:val="0000" w:firstRow="0" w:lastRow="0" w:firstColumn="0" w:lastColumn="0" w:noHBand="0" w:noVBand="0"/>
      </w:tblPr>
      <w:tblGrid>
        <w:gridCol w:w="6477"/>
        <w:gridCol w:w="10"/>
        <w:gridCol w:w="3402"/>
      </w:tblGrid>
      <w:tr w:rsidR="00EC0BE3" w:rsidTr="00EC0BE3">
        <w:trPr>
          <w:cantSplit/>
        </w:trPr>
        <w:tc>
          <w:tcPr>
            <w:tcW w:w="6477" w:type="dxa"/>
            <w:vAlign w:val="center"/>
          </w:tcPr>
          <w:p w:rsidR="00EC0BE3" w:rsidRPr="0051782D" w:rsidRDefault="00EC0BE3" w:rsidP="002F4DA3">
            <w:pPr>
              <w:shd w:val="solid" w:color="FFFFFF" w:fill="FFFFFF"/>
              <w:tabs>
                <w:tab w:val="clear" w:pos="794"/>
                <w:tab w:val="left" w:pos="601"/>
              </w:tabs>
              <w:spacing w:before="360" w:after="240"/>
              <w:rPr>
                <w:rFonts w:ascii="Verdana" w:hAnsi="Verdana" w:cs="Times New Roman Bold"/>
                <w:b/>
                <w:bCs/>
              </w:rPr>
            </w:pPr>
            <w:bookmarkStart w:id="0" w:name="_GoBack"/>
            <w:bookmarkEnd w:id="0"/>
            <w:r w:rsidRPr="0051782D">
              <w:rPr>
                <w:rFonts w:ascii="Verdana" w:hAnsi="Verdana" w:cs="Times New Roman Bold"/>
                <w:b/>
                <w:sz w:val="26"/>
                <w:szCs w:val="26"/>
              </w:rPr>
              <w:t>Radiocommunication Advisory Group</w:t>
            </w:r>
            <w:r>
              <w:rPr>
                <w:rFonts w:ascii="Verdana" w:hAnsi="Verdana" w:cs="Times New Roman Bold"/>
                <w:b/>
                <w:sz w:val="26"/>
                <w:szCs w:val="26"/>
              </w:rPr>
              <w:br/>
            </w:r>
            <w:r w:rsidRPr="0051782D">
              <w:rPr>
                <w:rFonts w:ascii="Verdana" w:hAnsi="Verdana" w:cs="Times New Roman Bold"/>
                <w:b/>
                <w:bCs/>
                <w:sz w:val="20"/>
              </w:rPr>
              <w:t xml:space="preserve">Geneva, </w:t>
            </w:r>
            <w:r w:rsidR="002F4DA3">
              <w:rPr>
                <w:rFonts w:ascii="Verdana" w:hAnsi="Verdana" w:cs="Times New Roman Bold"/>
                <w:b/>
                <w:bCs/>
                <w:sz w:val="20"/>
              </w:rPr>
              <w:t>26</w:t>
            </w:r>
            <w:r>
              <w:rPr>
                <w:rFonts w:ascii="Verdana" w:hAnsi="Verdana" w:cs="Times New Roman Bold"/>
                <w:b/>
                <w:bCs/>
                <w:sz w:val="20"/>
              </w:rPr>
              <w:t>-</w:t>
            </w:r>
            <w:r w:rsidR="002F4DA3">
              <w:rPr>
                <w:rFonts w:ascii="Verdana" w:hAnsi="Verdana" w:cs="Times New Roman Bold"/>
                <w:b/>
                <w:bCs/>
                <w:sz w:val="20"/>
              </w:rPr>
              <w:t>28</w:t>
            </w:r>
            <w:r>
              <w:rPr>
                <w:rFonts w:ascii="Verdana" w:hAnsi="Verdana" w:cs="Times New Roman Bold"/>
                <w:b/>
                <w:bCs/>
                <w:sz w:val="20"/>
              </w:rPr>
              <w:t xml:space="preserve"> </w:t>
            </w:r>
            <w:r w:rsidR="002F4DA3">
              <w:rPr>
                <w:rFonts w:ascii="Verdana" w:hAnsi="Verdana" w:cs="Times New Roman Bold"/>
                <w:b/>
                <w:bCs/>
                <w:sz w:val="20"/>
              </w:rPr>
              <w:t>April</w:t>
            </w:r>
            <w:r>
              <w:rPr>
                <w:rFonts w:ascii="Verdana" w:hAnsi="Verdana" w:cs="Times New Roman Bold"/>
                <w:b/>
                <w:bCs/>
                <w:sz w:val="20"/>
              </w:rPr>
              <w:t xml:space="preserve"> 201</w:t>
            </w:r>
            <w:r w:rsidR="002F4DA3">
              <w:rPr>
                <w:rFonts w:ascii="Verdana" w:hAnsi="Verdana" w:cs="Times New Roman Bold"/>
                <w:b/>
                <w:bCs/>
                <w:sz w:val="20"/>
              </w:rPr>
              <w:t>7</w:t>
            </w:r>
          </w:p>
        </w:tc>
        <w:tc>
          <w:tcPr>
            <w:tcW w:w="3412" w:type="dxa"/>
            <w:gridSpan w:val="2"/>
            <w:vAlign w:val="center"/>
          </w:tcPr>
          <w:p w:rsidR="00EC0BE3" w:rsidRDefault="00EC0BE3" w:rsidP="009D27EC">
            <w:pPr>
              <w:shd w:val="solid" w:color="FFFFFF" w:fill="FFFFFF"/>
              <w:spacing w:before="0" w:line="240" w:lineRule="atLeast"/>
              <w:jc w:val="right"/>
            </w:pPr>
            <w:r w:rsidRPr="00F21593">
              <w:rPr>
                <w:rFonts w:ascii="Verdana" w:hAnsi="Verdana"/>
                <w:noProof/>
                <w:color w:val="FFFFFF"/>
                <w:sz w:val="26"/>
                <w:szCs w:val="26"/>
                <w:lang w:val="en-US" w:eastAsia="zh-CN"/>
              </w:rPr>
              <w:drawing>
                <wp:inline distT="0" distB="0" distL="0" distR="0" wp14:anchorId="058C15E6" wp14:editId="6A30D1B9">
                  <wp:extent cx="1765300" cy="7429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65300" cy="742950"/>
                          </a:xfrm>
                          <a:prstGeom prst="rect">
                            <a:avLst/>
                          </a:prstGeom>
                          <a:noFill/>
                          <a:ln>
                            <a:noFill/>
                          </a:ln>
                        </pic:spPr>
                      </pic:pic>
                    </a:graphicData>
                  </a:graphic>
                </wp:inline>
              </w:drawing>
            </w:r>
          </w:p>
        </w:tc>
      </w:tr>
      <w:tr w:rsidR="0051782D" w:rsidRPr="0051782D" w:rsidTr="00B35BE4">
        <w:trPr>
          <w:cantSplit/>
        </w:trPr>
        <w:tc>
          <w:tcPr>
            <w:tcW w:w="6487" w:type="dxa"/>
            <w:gridSpan w:val="2"/>
            <w:tcBorders>
              <w:bottom w:val="single" w:sz="12" w:space="0" w:color="auto"/>
            </w:tcBorders>
          </w:tcPr>
          <w:p w:rsidR="0051782D" w:rsidRPr="0051782D" w:rsidRDefault="0051782D" w:rsidP="00B35BE4">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51782D" w:rsidRPr="0051782D" w:rsidRDefault="0051782D" w:rsidP="00B35BE4">
            <w:pPr>
              <w:shd w:val="solid" w:color="FFFFFF" w:fill="FFFFFF"/>
              <w:spacing w:before="0" w:after="48" w:line="240" w:lineRule="atLeast"/>
              <w:rPr>
                <w:sz w:val="22"/>
                <w:szCs w:val="22"/>
                <w:lang w:val="en-US"/>
              </w:rPr>
            </w:pPr>
          </w:p>
        </w:tc>
      </w:tr>
      <w:tr w:rsidR="0051782D" w:rsidTr="00B35BE4">
        <w:trPr>
          <w:cantSplit/>
        </w:trPr>
        <w:tc>
          <w:tcPr>
            <w:tcW w:w="6487" w:type="dxa"/>
            <w:gridSpan w:val="2"/>
            <w:tcBorders>
              <w:top w:val="single" w:sz="12" w:space="0" w:color="auto"/>
            </w:tcBorders>
          </w:tcPr>
          <w:p w:rsidR="0051782D" w:rsidRPr="0051782D" w:rsidRDefault="0051782D" w:rsidP="00B35BE4">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51782D" w:rsidRPr="00710D66" w:rsidRDefault="0051782D" w:rsidP="00B35BE4">
            <w:pPr>
              <w:shd w:val="solid" w:color="FFFFFF" w:fill="FFFFFF"/>
              <w:spacing w:before="0" w:after="48" w:line="240" w:lineRule="atLeast"/>
              <w:rPr>
                <w:lang w:val="en-US"/>
              </w:rPr>
            </w:pPr>
          </w:p>
        </w:tc>
      </w:tr>
      <w:tr w:rsidR="0051782D" w:rsidTr="00B35BE4">
        <w:trPr>
          <w:cantSplit/>
        </w:trPr>
        <w:tc>
          <w:tcPr>
            <w:tcW w:w="6487" w:type="dxa"/>
            <w:gridSpan w:val="2"/>
            <w:vMerge w:val="restart"/>
          </w:tcPr>
          <w:p w:rsidR="0051782D" w:rsidRDefault="0051782D" w:rsidP="00B35BE4">
            <w:pPr>
              <w:shd w:val="solid" w:color="FFFFFF" w:fill="FFFFFF"/>
              <w:spacing w:after="240"/>
              <w:rPr>
                <w:sz w:val="20"/>
              </w:rPr>
            </w:pPr>
            <w:bookmarkStart w:id="1" w:name="dnum" w:colFirst="1" w:colLast="1"/>
          </w:p>
        </w:tc>
        <w:tc>
          <w:tcPr>
            <w:tcW w:w="3402" w:type="dxa"/>
          </w:tcPr>
          <w:p w:rsidR="00D26A65" w:rsidRDefault="001F5EDB" w:rsidP="006B63C0">
            <w:pPr>
              <w:shd w:val="solid" w:color="FFFFFF" w:fill="FFFFFF"/>
              <w:spacing w:before="0" w:line="240" w:lineRule="atLeast"/>
              <w:rPr>
                <w:rFonts w:ascii="Verdana" w:hAnsi="Verdana"/>
                <w:b/>
                <w:sz w:val="20"/>
              </w:rPr>
            </w:pPr>
            <w:r>
              <w:rPr>
                <w:rFonts w:ascii="Verdana" w:hAnsi="Verdana"/>
                <w:b/>
                <w:sz w:val="20"/>
              </w:rPr>
              <w:t>Revision 1 to</w:t>
            </w:r>
          </w:p>
          <w:p w:rsidR="0051782D" w:rsidRPr="006B63C0" w:rsidRDefault="006B63C0" w:rsidP="006B63C0">
            <w:pPr>
              <w:shd w:val="solid" w:color="FFFFFF" w:fill="FFFFFF"/>
              <w:spacing w:before="0" w:line="240" w:lineRule="atLeast"/>
              <w:rPr>
                <w:rFonts w:ascii="Verdana" w:hAnsi="Verdana"/>
                <w:sz w:val="20"/>
              </w:rPr>
            </w:pPr>
            <w:r>
              <w:rPr>
                <w:rFonts w:ascii="Verdana" w:hAnsi="Verdana"/>
                <w:b/>
                <w:sz w:val="20"/>
              </w:rPr>
              <w:t>Document RAG17/1-E</w:t>
            </w:r>
          </w:p>
        </w:tc>
      </w:tr>
      <w:tr w:rsidR="0051782D" w:rsidTr="00B35BE4">
        <w:trPr>
          <w:cantSplit/>
        </w:trPr>
        <w:tc>
          <w:tcPr>
            <w:tcW w:w="6487" w:type="dxa"/>
            <w:gridSpan w:val="2"/>
            <w:vMerge/>
          </w:tcPr>
          <w:p w:rsidR="0051782D" w:rsidRDefault="0051782D" w:rsidP="00B35BE4">
            <w:pPr>
              <w:spacing w:before="60"/>
              <w:jc w:val="center"/>
              <w:rPr>
                <w:b/>
                <w:smallCaps/>
                <w:sz w:val="32"/>
              </w:rPr>
            </w:pPr>
            <w:bookmarkStart w:id="2" w:name="ddate" w:colFirst="1" w:colLast="1"/>
            <w:bookmarkEnd w:id="1"/>
          </w:p>
        </w:tc>
        <w:tc>
          <w:tcPr>
            <w:tcW w:w="3402" w:type="dxa"/>
          </w:tcPr>
          <w:p w:rsidR="0051782D" w:rsidRPr="006B63C0" w:rsidRDefault="00332710" w:rsidP="00332710">
            <w:pPr>
              <w:shd w:val="solid" w:color="FFFFFF" w:fill="FFFFFF"/>
              <w:spacing w:before="0" w:line="240" w:lineRule="atLeast"/>
              <w:rPr>
                <w:rFonts w:ascii="Verdana" w:hAnsi="Verdana"/>
                <w:sz w:val="20"/>
              </w:rPr>
            </w:pPr>
            <w:r>
              <w:rPr>
                <w:rFonts w:ascii="Verdana" w:hAnsi="Verdana"/>
                <w:b/>
                <w:sz w:val="20"/>
              </w:rPr>
              <w:t>21 March</w:t>
            </w:r>
            <w:r w:rsidR="001F5EDB">
              <w:rPr>
                <w:rFonts w:ascii="Verdana" w:hAnsi="Verdana"/>
                <w:b/>
                <w:sz w:val="20"/>
              </w:rPr>
              <w:t xml:space="preserve"> 2017</w:t>
            </w:r>
          </w:p>
        </w:tc>
      </w:tr>
      <w:tr w:rsidR="0051782D" w:rsidTr="00B35BE4">
        <w:trPr>
          <w:cantSplit/>
        </w:trPr>
        <w:tc>
          <w:tcPr>
            <w:tcW w:w="6487" w:type="dxa"/>
            <w:gridSpan w:val="2"/>
            <w:vMerge/>
          </w:tcPr>
          <w:p w:rsidR="0051782D" w:rsidRDefault="0051782D" w:rsidP="00B35BE4">
            <w:pPr>
              <w:spacing w:before="60"/>
              <w:jc w:val="center"/>
              <w:rPr>
                <w:b/>
                <w:smallCaps/>
                <w:sz w:val="32"/>
              </w:rPr>
            </w:pPr>
            <w:bookmarkStart w:id="3" w:name="dorlang" w:colFirst="1" w:colLast="1"/>
            <w:bookmarkEnd w:id="2"/>
          </w:p>
        </w:tc>
        <w:tc>
          <w:tcPr>
            <w:tcW w:w="3402" w:type="dxa"/>
          </w:tcPr>
          <w:p w:rsidR="0051782D" w:rsidRPr="006B63C0" w:rsidRDefault="006B63C0" w:rsidP="006B63C0">
            <w:pPr>
              <w:shd w:val="solid" w:color="FFFFFF" w:fill="FFFFFF"/>
              <w:spacing w:before="0" w:after="120" w:line="240" w:lineRule="atLeast"/>
              <w:rPr>
                <w:rFonts w:ascii="Verdana" w:hAnsi="Verdana"/>
                <w:sz w:val="20"/>
              </w:rPr>
            </w:pPr>
            <w:r>
              <w:rPr>
                <w:rFonts w:ascii="Verdana" w:hAnsi="Verdana"/>
                <w:b/>
                <w:sz w:val="20"/>
              </w:rPr>
              <w:t>Original: English</w:t>
            </w:r>
          </w:p>
        </w:tc>
      </w:tr>
      <w:tr w:rsidR="00093C73" w:rsidTr="00B35BE4">
        <w:trPr>
          <w:cantSplit/>
        </w:trPr>
        <w:tc>
          <w:tcPr>
            <w:tcW w:w="9889" w:type="dxa"/>
            <w:gridSpan w:val="3"/>
          </w:tcPr>
          <w:p w:rsidR="00093C73" w:rsidRDefault="006B63C0" w:rsidP="005B2C58">
            <w:pPr>
              <w:pStyle w:val="Source"/>
            </w:pPr>
            <w:bookmarkStart w:id="4" w:name="dsource" w:colFirst="0" w:colLast="0"/>
            <w:bookmarkEnd w:id="3"/>
            <w:r w:rsidRPr="00B46EBC">
              <w:t>Director, Radiocommunication Bureau</w:t>
            </w:r>
          </w:p>
        </w:tc>
      </w:tr>
      <w:tr w:rsidR="00093C73" w:rsidTr="00B35BE4">
        <w:trPr>
          <w:cantSplit/>
        </w:trPr>
        <w:tc>
          <w:tcPr>
            <w:tcW w:w="9889" w:type="dxa"/>
            <w:gridSpan w:val="3"/>
          </w:tcPr>
          <w:p w:rsidR="00093C73" w:rsidRDefault="006B63C0" w:rsidP="005B2C58">
            <w:pPr>
              <w:pStyle w:val="Title1"/>
            </w:pPr>
            <w:bookmarkStart w:id="5" w:name="dtitle1" w:colFirst="0" w:colLast="0"/>
            <w:bookmarkEnd w:id="4"/>
            <w:r w:rsidRPr="00B46EBC">
              <w:t>report TO the twenty-</w:t>
            </w:r>
            <w:r>
              <w:t>FOURTH</w:t>
            </w:r>
            <w:r w:rsidRPr="00B46EBC">
              <w:t xml:space="preserve"> meeting of the radiocommunication advisory group</w:t>
            </w:r>
          </w:p>
        </w:tc>
      </w:tr>
    </w:tbl>
    <w:p w:rsidR="005B3B8B" w:rsidRPr="005B3B8B" w:rsidRDefault="001F5EDB" w:rsidP="005B3B8B">
      <w:pPr>
        <w:pStyle w:val="Heading1"/>
        <w:spacing w:before="600"/>
        <w:rPr>
          <w:b w:val="0"/>
          <w:bCs/>
        </w:rPr>
      </w:pPr>
      <w:bookmarkStart w:id="6" w:name="_Toc446060751"/>
      <w:bookmarkEnd w:id="5"/>
      <w:r w:rsidRPr="00332710">
        <w:rPr>
          <w:b w:val="0"/>
          <w:bCs/>
          <w:u w:val="single"/>
        </w:rPr>
        <w:t>Note</w:t>
      </w:r>
      <w:r w:rsidRPr="00332710">
        <w:rPr>
          <w:b w:val="0"/>
          <w:bCs/>
        </w:rPr>
        <w:t xml:space="preserve">: </w:t>
      </w:r>
      <w:r w:rsidRPr="00332710">
        <w:rPr>
          <w:b w:val="0"/>
          <w:bCs/>
        </w:rPr>
        <w:tab/>
        <w:t>This revision concerns the English version only.</w:t>
      </w:r>
    </w:p>
    <w:p w:rsidR="006B63C0" w:rsidRPr="006D01FE" w:rsidRDefault="006B63C0" w:rsidP="009A53E2">
      <w:pPr>
        <w:pStyle w:val="Heading1"/>
        <w:spacing w:before="600"/>
      </w:pPr>
      <w:r w:rsidRPr="00ED04B0">
        <w:t>1</w:t>
      </w:r>
      <w:r w:rsidRPr="00ED04B0">
        <w:tab/>
      </w:r>
      <w:r w:rsidRPr="00D71F76">
        <w:t>Introduction</w:t>
      </w:r>
      <w:bookmarkEnd w:id="6"/>
    </w:p>
    <w:p w:rsidR="006B63C0" w:rsidRPr="006D01FE" w:rsidRDefault="006B63C0" w:rsidP="006B63C0">
      <w:r w:rsidRPr="006D01FE">
        <w:t>This document provides status reports and background information on some of the issues that appear on the draft agenda for the 2</w:t>
      </w:r>
      <w:r>
        <w:t>4</w:t>
      </w:r>
      <w:r w:rsidRPr="0009395D">
        <w:rPr>
          <w:vertAlign w:val="superscript"/>
        </w:rPr>
        <w:t>th</w:t>
      </w:r>
      <w:r>
        <w:t xml:space="preserve"> </w:t>
      </w:r>
      <w:r w:rsidRPr="006D01FE">
        <w:t xml:space="preserve">meeting of RAG </w:t>
      </w:r>
      <w:r w:rsidRPr="001D242B">
        <w:t xml:space="preserve">(see </w:t>
      </w:r>
      <w:hyperlink r:id="rId8" w:history="1">
        <w:r w:rsidRPr="00DE4421">
          <w:rPr>
            <w:rStyle w:val="Hyperlink"/>
            <w:rFonts w:asciiTheme="majorBidi" w:hAnsiTheme="majorBidi" w:cstheme="majorBidi"/>
            <w:szCs w:val="24"/>
          </w:rPr>
          <w:t>CA/</w:t>
        </w:r>
        <w:r w:rsidRPr="00DE4421">
          <w:rPr>
            <w:rStyle w:val="Hyperlink"/>
            <w:rFonts w:asciiTheme="majorBidi" w:hAnsiTheme="majorBidi" w:cstheme="majorBidi"/>
            <w:szCs w:val="24"/>
            <w:lang w:val="en-US"/>
          </w:rPr>
          <w:t>232</w:t>
        </w:r>
      </w:hyperlink>
      <w:r>
        <w:t xml:space="preserve"> o</w:t>
      </w:r>
      <w:r w:rsidRPr="00394C09">
        <w:t>f 02.12.2016</w:t>
      </w:r>
      <w:r w:rsidRPr="006D01FE">
        <w:t>). This document is intended to assist the meeting in considering the relevant agenda items.</w:t>
      </w:r>
    </w:p>
    <w:p w:rsidR="006B63C0" w:rsidRPr="006D01FE" w:rsidRDefault="006B63C0" w:rsidP="006B63C0">
      <w:r w:rsidRPr="006D01FE">
        <w:t>Separate reports will be submitted for some of the agenda items.</w:t>
      </w:r>
    </w:p>
    <w:p w:rsidR="006B63C0" w:rsidRPr="006D01FE" w:rsidRDefault="006B63C0" w:rsidP="006B63C0">
      <w:pPr>
        <w:pStyle w:val="Heading1"/>
      </w:pPr>
      <w:bookmarkStart w:id="7" w:name="_Toc446060752"/>
      <w:r w:rsidRPr="00ED04B0">
        <w:t>2</w:t>
      </w:r>
      <w:r w:rsidRPr="00ED04B0">
        <w:tab/>
      </w:r>
      <w:r w:rsidRPr="006B63C0">
        <w:t>Council</w:t>
      </w:r>
      <w:r w:rsidRPr="00ED04B0">
        <w:t xml:space="preserve"> issues</w:t>
      </w:r>
      <w:bookmarkEnd w:id="7"/>
    </w:p>
    <w:p w:rsidR="006B63C0" w:rsidRPr="006D01FE" w:rsidRDefault="006B63C0" w:rsidP="006B63C0">
      <w:r w:rsidRPr="006D01FE">
        <w:t>This section covers and updates the issues addressed by the 201</w:t>
      </w:r>
      <w:r>
        <w:t>6</w:t>
      </w:r>
      <w:r w:rsidRPr="006D01FE">
        <w:t xml:space="preserve"> session of the Council (see:</w:t>
      </w:r>
      <w:r>
        <w:t> </w:t>
      </w:r>
      <w:hyperlink r:id="rId9" w:history="1">
        <w:r w:rsidRPr="00B46EBC">
          <w:rPr>
            <w:rStyle w:val="Hyperlink"/>
            <w:rFonts w:asciiTheme="majorBidi" w:hAnsiTheme="majorBidi" w:cstheme="majorBidi"/>
            <w:szCs w:val="24"/>
          </w:rPr>
          <w:t>http://www.itu.int/council/</w:t>
        </w:r>
      </w:hyperlink>
      <w:r w:rsidRPr="006D01FE">
        <w:t>).</w:t>
      </w:r>
    </w:p>
    <w:p w:rsidR="006B63C0" w:rsidRPr="00840F08" w:rsidRDefault="006B63C0" w:rsidP="006B63C0">
      <w:pPr>
        <w:pStyle w:val="Heading2"/>
      </w:pPr>
      <w:bookmarkStart w:id="8" w:name="_Toc446060753"/>
      <w:r w:rsidRPr="00ED04B0">
        <w:t>2.1</w:t>
      </w:r>
      <w:r w:rsidRPr="00ED04B0">
        <w:tab/>
        <w:t>Free on-line access to ITU-R Publications</w:t>
      </w:r>
      <w:bookmarkEnd w:id="8"/>
    </w:p>
    <w:p w:rsidR="006B63C0" w:rsidRPr="006937A1" w:rsidRDefault="006B63C0" w:rsidP="006B63C0">
      <w:r w:rsidRPr="006937A1">
        <w:t>The free online access policy continues to provide a very large diss</w:t>
      </w:r>
      <w:r>
        <w:t>emination of ITU standards to a </w:t>
      </w:r>
      <w:r w:rsidRPr="006937A1">
        <w:t xml:space="preserve">broader public, especially in developing countries with financial </w:t>
      </w:r>
      <w:r w:rsidRPr="00620CAF">
        <w:t>and technical</w:t>
      </w:r>
      <w:r>
        <w:t xml:space="preserve"> constraints. This </w:t>
      </w:r>
      <w:r w:rsidRPr="006937A1">
        <w:t>wide outreach via free online access is helping to build the visibility of ITU’s mission and mandate and reinforce ITU as a global telecommunication authority.</w:t>
      </w:r>
    </w:p>
    <w:p w:rsidR="006B63C0" w:rsidRDefault="006B63C0" w:rsidP="006B63C0">
      <w:r w:rsidRPr="006937A1">
        <w:t xml:space="preserve">By Decision 12 (Guadalajara, 2010), PP-10 </w:t>
      </w:r>
      <w:r>
        <w:t xml:space="preserve">adopted a </w:t>
      </w:r>
      <w:r w:rsidRPr="006937A1">
        <w:t>free online access policy to include, inter alia, ITU</w:t>
      </w:r>
      <w:r w:rsidRPr="006937A1">
        <w:noBreakHyphen/>
        <w:t xml:space="preserve">R Recommendations and Reports. </w:t>
      </w:r>
      <w:r>
        <w:t xml:space="preserve">This policy was expanded by </w:t>
      </w:r>
      <w:r w:rsidRPr="006937A1">
        <w:t>Council 2012 Decision 571</w:t>
      </w:r>
      <w:r>
        <w:t>,</w:t>
      </w:r>
      <w:r w:rsidRPr="006937A1">
        <w:t xml:space="preserve"> </w:t>
      </w:r>
      <w:r>
        <w:t xml:space="preserve">revised by </w:t>
      </w:r>
      <w:r w:rsidRPr="006937A1">
        <w:t xml:space="preserve">Council 2013 </w:t>
      </w:r>
      <w:r>
        <w:t xml:space="preserve">and 2014 , and confirmed by </w:t>
      </w:r>
      <w:r w:rsidRPr="00AE384B">
        <w:t>PP-14 revised Decision 12</w:t>
      </w:r>
      <w:r>
        <w:t>, which</w:t>
      </w:r>
      <w:r w:rsidRPr="00AE384B">
        <w:t xml:space="preserve"> provide</w:t>
      </w:r>
      <w:r>
        <w:t>s</w:t>
      </w:r>
      <w:r w:rsidRPr="00AE384B">
        <w:t xml:space="preserve"> free online access for the general public, on a permanent basis, to ITU</w:t>
      </w:r>
      <w:r w:rsidRPr="00AE384B">
        <w:noBreakHyphen/>
        <w:t>R, ITU</w:t>
      </w:r>
      <w:r w:rsidRPr="00AE384B">
        <w:noBreakHyphen/>
        <w:t>T and ITU</w:t>
      </w:r>
      <w:r w:rsidRPr="00AE384B">
        <w:noBreakHyphen/>
        <w:t>D Recommendations and Reports; ITU</w:t>
      </w:r>
      <w:r w:rsidRPr="00AE384B">
        <w:noBreakHyphen/>
        <w:t>R handbooks on radio-frequency spectrum management</w:t>
      </w:r>
      <w:r w:rsidRPr="00D05EDC">
        <w:rPr>
          <w:vertAlign w:val="superscript"/>
        </w:rPr>
        <w:footnoteReference w:id="1"/>
      </w:r>
      <w:r>
        <w:t>; ITU </w:t>
      </w:r>
      <w:r w:rsidRPr="00AE384B">
        <w:t xml:space="preserve">publications concerning the use of telecommunications/ICTs for ensuring disaster preparedness, early warning, rescue, mitigation, relief and response; the International </w:t>
      </w:r>
      <w:r w:rsidRPr="00AE384B">
        <w:lastRenderedPageBreak/>
        <w:t xml:space="preserve">Telecommunication Regulations (ITRs); the Radio Regulations; the Rules of Procedure; the basic texts of the Union (Constitution, Convention, General Rules of conferences, assemblies and meetings of the Union, decisions, resolutions and Recommendations); the final acts of </w:t>
      </w:r>
    </w:p>
    <w:p w:rsidR="006B63C0" w:rsidRDefault="006B63C0" w:rsidP="006B63C0">
      <w:r w:rsidRPr="00AE384B">
        <w:t>plenipotentiary conferences; the final reports of WTDCs; the ITU Council resolutions and decisions; the final acts of world and regional radiocommunication conferences; and the final acts of world conferences on international telecommunications.</w:t>
      </w:r>
    </w:p>
    <w:p w:rsidR="006B63C0" w:rsidRDefault="006B63C0" w:rsidP="006B63C0">
      <w:r>
        <w:t xml:space="preserve">Additionally, in response </w:t>
      </w:r>
      <w:r w:rsidRPr="00727F18">
        <w:t>to requests by members, in particular from developing countries, the free access policy has been extended by the BR Director to include all ITU-R Handbooks</w:t>
      </w:r>
      <w:r>
        <w:t xml:space="preserve">. </w:t>
      </w:r>
    </w:p>
    <w:p w:rsidR="006B63C0" w:rsidRPr="006937A1" w:rsidRDefault="006B63C0" w:rsidP="006B63C0">
      <w:r w:rsidRPr="006937A1">
        <w:t xml:space="preserve">The impact of these Decisions is well reflected </w:t>
      </w:r>
      <w:r>
        <w:t>by</w:t>
      </w:r>
      <w:r w:rsidRPr="006937A1">
        <w:t xml:space="preserve"> the </w:t>
      </w:r>
      <w:r>
        <w:t xml:space="preserve">large </w:t>
      </w:r>
      <w:r w:rsidRPr="006937A1">
        <w:t xml:space="preserve">number of </w:t>
      </w:r>
      <w:r>
        <w:t xml:space="preserve">downloads </w:t>
      </w:r>
      <w:r w:rsidRPr="006937A1">
        <w:t xml:space="preserve">of </w:t>
      </w:r>
      <w:r>
        <w:t>these</w:t>
      </w:r>
      <w:r w:rsidRPr="006937A1">
        <w:t xml:space="preserve"> publications, as shown </w:t>
      </w:r>
      <w:r>
        <w:t xml:space="preserve">in </w:t>
      </w:r>
      <w:r w:rsidRPr="00AA3453">
        <w:t>Section 8.1.4</w:t>
      </w:r>
      <w:r w:rsidRPr="006937A1">
        <w:t xml:space="preserve">. </w:t>
      </w:r>
    </w:p>
    <w:p w:rsidR="006B63C0" w:rsidRPr="00B46EBC" w:rsidRDefault="006B63C0" w:rsidP="006B63C0">
      <w:pPr>
        <w:pStyle w:val="Heading2"/>
      </w:pPr>
      <w:bookmarkStart w:id="9" w:name="_Toc446060754"/>
      <w:r w:rsidRPr="00ED04B0">
        <w:t>2.2</w:t>
      </w:r>
      <w:r w:rsidRPr="00ED04B0">
        <w:tab/>
        <w:t>Cost recovery for satellite network filings</w:t>
      </w:r>
      <w:bookmarkEnd w:id="9"/>
      <w:r w:rsidRPr="00B46EBC">
        <w:rPr>
          <w:color w:val="548DD4" w:themeColor="text2" w:themeTint="99"/>
        </w:rPr>
        <w:t xml:space="preserve"> </w:t>
      </w:r>
    </w:p>
    <w:p w:rsidR="006B63C0" w:rsidRPr="006D01FE" w:rsidRDefault="006B63C0" w:rsidP="006B63C0">
      <w:r w:rsidRPr="006D01FE">
        <w:t>The application by the Radiocommunication Bureau of Decision 4</w:t>
      </w:r>
      <w:r>
        <w:t>82 (modified 2012) and Decision </w:t>
      </w:r>
      <w:r w:rsidRPr="006D01FE">
        <w:t>482 (modified 2013) has not given rise to any difficulty or created any problems either internally or with administrations notifying satellite networks.</w:t>
      </w:r>
    </w:p>
    <w:p w:rsidR="006B63C0" w:rsidRDefault="006B63C0" w:rsidP="006B63C0">
      <w:pPr>
        <w:pStyle w:val="Heading2"/>
      </w:pPr>
      <w:bookmarkStart w:id="10" w:name="_Toc446060755"/>
      <w:r w:rsidRPr="00ED04B0">
        <w:t>2.3</w:t>
      </w:r>
      <w:r w:rsidRPr="00ED04B0">
        <w:tab/>
        <w:t>Conformance and interoperability (C&amp;I)</w:t>
      </w:r>
      <w:bookmarkEnd w:id="10"/>
    </w:p>
    <w:p w:rsidR="006B63C0" w:rsidRDefault="006B63C0" w:rsidP="006B63C0">
      <w:r w:rsidRPr="00073888">
        <w:t>Resolution 177 (Rev. Busan, 2014) endorsed the objectives of WTSA-12 Resolution 76, RA-12 Resolution 62, WTDC-14 Resolution 47, recognizing that “widespread conformance and interoperability of telecommunication/ ICT equipment and systems through the implementation of relevant programmes, policies and decisions can increase market opportunities and reliability and encourage global integration and trade”, and resolved to continue implementing the ITU C&amp;I Action Plan reviewed by the ITU Council.</w:t>
      </w:r>
    </w:p>
    <w:p w:rsidR="006B63C0" w:rsidRDefault="006B63C0" w:rsidP="006B63C0">
      <w:r w:rsidRPr="00A10C77">
        <w:t>The ITU C&amp;I programme mandated by Resolution 177 (Rev. Busan, 2014) is still based on four pillars: Pillar 1: Conformity assessment (CA); Pillar 2: Interoperability events; Pillar 3: Human resource capacity building; and Pillar 4: Assistance in the establishment of test centers and C&amp;I programmes in developing countries.</w:t>
      </w:r>
    </w:p>
    <w:p w:rsidR="006B63C0" w:rsidRPr="006A7075" w:rsidRDefault="006B63C0" w:rsidP="006B63C0">
      <w:r w:rsidRPr="00A10C77">
        <w:t xml:space="preserve">Actions under Pillars 1 and 2 are led by the Telecommunication Standardization Bureau (TSB), actions under Pillars 3 and 4 by the Telecommunication </w:t>
      </w:r>
      <w:r>
        <w:t>Development Bureau (BDT). ITU</w:t>
      </w:r>
      <w:r>
        <w:noBreakHyphen/>
        <w:t>R </w:t>
      </w:r>
      <w:r w:rsidRPr="00A10C77">
        <w:t>continues to collaborate with, and provide information when requested by, ITU</w:t>
      </w:r>
      <w:r w:rsidRPr="00A10C77">
        <w:noBreakHyphen/>
        <w:t>T and ITU</w:t>
      </w:r>
      <w:r w:rsidRPr="00A10C77">
        <w:noBreakHyphen/>
        <w:t>D on C&amp;I testing, as indicated in the resolves section of Resolution ITU</w:t>
      </w:r>
      <w:r w:rsidRPr="00A10C77">
        <w:noBreakHyphen/>
        <w:t>R 62. There have been no inputs to the ITU-R Study Groups on this topic since the last RAG.</w:t>
      </w:r>
    </w:p>
    <w:p w:rsidR="006B63C0" w:rsidRPr="00621EC7" w:rsidRDefault="006B63C0" w:rsidP="006B63C0">
      <w:pPr>
        <w:pStyle w:val="Heading2"/>
      </w:pPr>
      <w:bookmarkStart w:id="11" w:name="_Toc446060756"/>
      <w:r w:rsidRPr="00ED04B0">
        <w:t>2.4</w:t>
      </w:r>
      <w:r w:rsidRPr="00ED04B0">
        <w:tab/>
        <w:t>Space Protocol</w:t>
      </w:r>
      <w:bookmarkEnd w:id="11"/>
      <w:r w:rsidRPr="00621EC7">
        <w:t xml:space="preserve"> </w:t>
      </w:r>
    </w:p>
    <w:p w:rsidR="006B63C0" w:rsidRDefault="006B63C0" w:rsidP="006B63C0">
      <w:pPr>
        <w:rPr>
          <w:lang w:val="en-US"/>
        </w:rPr>
      </w:pPr>
      <w:r w:rsidRPr="00B53151">
        <w:rPr>
          <w:lang w:val="en-US"/>
        </w:rPr>
        <w:t>Council 2016 noted that there were no objections of principle to the ITU becoming the Supervisory Authority of the International Registration System for Space Asset</w:t>
      </w:r>
      <w:r>
        <w:rPr>
          <w:lang w:val="en-US"/>
        </w:rPr>
        <w:t>s under the Space Protocol, but </w:t>
      </w:r>
      <w:r w:rsidRPr="00B53151">
        <w:rPr>
          <w:lang w:val="en-US"/>
        </w:rPr>
        <w:t>that the Council decision should not appear to pre-empt the plenipotentiary conference decision in 2018. Council 2016 also instructed the Secretary General to address the issues raised during Council 2016, in particular the conditions and limitations that may be necessary should the ITU assume the role of supervisory authority and any other matter that may need to be addressed in order for Council 2017 to make a decision on a recommended course of action to PP-18.</w:t>
      </w:r>
    </w:p>
    <w:p w:rsidR="006B63C0" w:rsidRPr="00827FB1" w:rsidRDefault="006B63C0" w:rsidP="006B63C0">
      <w:pPr>
        <w:rPr>
          <w:rFonts w:asciiTheme="majorBidi" w:hAnsiTheme="majorBidi" w:cstheme="majorBidi"/>
          <w:szCs w:val="24"/>
          <w:lang w:val="en-US"/>
        </w:rPr>
      </w:pPr>
      <w:r w:rsidRPr="002C037D">
        <w:t>Regarding the</w:t>
      </w:r>
      <w:r>
        <w:t>se</w:t>
      </w:r>
      <w:r w:rsidRPr="002C037D">
        <w:t xml:space="preserve"> questions</w:t>
      </w:r>
      <w:r w:rsidRPr="00827FB1">
        <w:rPr>
          <w:rFonts w:asciiTheme="majorBidi" w:hAnsiTheme="majorBidi" w:cstheme="majorBidi"/>
          <w:szCs w:val="24"/>
          <w:lang w:val="en-US"/>
        </w:rPr>
        <w:t xml:space="preserve">, </w:t>
      </w:r>
      <w:r w:rsidRPr="002C037D">
        <w:t>it is important to recall certain fundamental points.</w:t>
      </w:r>
    </w:p>
    <w:p w:rsidR="006B63C0" w:rsidRPr="002C037D" w:rsidRDefault="006B63C0" w:rsidP="006B63C0">
      <w:r w:rsidRPr="002C037D">
        <w:t>Firstly, it should be emphasized that ITU's acceptance of that role would not give rise to any obligation or liability (direct or indirect) for the Union's Member States since, in legal terms, only ratification of the Space Protocol by a Member State can give rise to legal obligations incumbent on that State.</w:t>
      </w:r>
    </w:p>
    <w:p w:rsidR="006B63C0" w:rsidRPr="002C037D" w:rsidRDefault="006B63C0" w:rsidP="006B63C0">
      <w:r w:rsidRPr="002C037D">
        <w:lastRenderedPageBreak/>
        <w:t xml:space="preserve">Secondly, regarding ITU's role in relation to the Protocol, it would be very limited since ITU would not be the Depositary of the Protocol, nor would it be the guarantor of its implementation, application or interpretation, still less so with regard to the </w:t>
      </w:r>
      <w:r w:rsidRPr="002C037D">
        <w:rPr>
          <w:color w:val="000000"/>
        </w:rPr>
        <w:t>Convention on International Interests in Mobile Equipment</w:t>
      </w:r>
      <w:r w:rsidRPr="002C037D">
        <w:t>. On the other hand, as the Supervisory Authority, it would be in a position if necessary to communicate the needs of the ITU parties and to prevent divergences arising between the Protocol and the Union's basic texts, in so far as, by virtue of Art</w:t>
      </w:r>
      <w:r>
        <w:t>icle XLVII of the Protocol, the </w:t>
      </w:r>
      <w:r w:rsidRPr="002C037D">
        <w:t>Supervisory Authority plays an active part in drawing up the annual reports prepared by the Protocol Depositary and an important advisory role in the Review Conferences responsible for amending or revising the Protocol.</w:t>
      </w:r>
    </w:p>
    <w:p w:rsidR="006B63C0" w:rsidRPr="002C037D" w:rsidRDefault="006B63C0" w:rsidP="006B63C0">
      <w:r w:rsidRPr="002C037D">
        <w:t>Nevertheless if ITU were to accept the role of Supervisory Authority, it</w:t>
      </w:r>
      <w:r w:rsidRPr="002A6E06">
        <w:t xml:space="preserve"> </w:t>
      </w:r>
      <w:r>
        <w:t>should also make it a </w:t>
      </w:r>
      <w:r w:rsidRPr="002A6E06">
        <w:t>condition of acceptance</w:t>
      </w:r>
      <w:r w:rsidRPr="002C037D">
        <w:t xml:space="preserve"> that it reserves the full right to renounce that role at any time if, in the Union's opinion, that role were to become incompatible or come into conflict with the Union's basic texts as a result in particular of amendments to the Protocol. In that regard it is important to emphasize that ITU, not being a Party to the Protocol, could not be bound by any amendment made to the Protocol in the future without its express agreement. On this point too, </w:t>
      </w:r>
      <w:r w:rsidRPr="002A6E06">
        <w:t>it is recommended</w:t>
      </w:r>
      <w:r w:rsidRPr="002C037D">
        <w:t xml:space="preserve"> that this condition be stated explicitly in any agreement by which ITU accepts the role of Supervisory Authority.</w:t>
      </w:r>
    </w:p>
    <w:p w:rsidR="006B63C0" w:rsidRPr="002C037D" w:rsidRDefault="006B63C0" w:rsidP="006B63C0">
      <w:r w:rsidRPr="002C037D">
        <w:t xml:space="preserve">Similarly, even if Article XXXV of the Protocol establishes a hierarchy of standards between the </w:t>
      </w:r>
      <w:r w:rsidRPr="002C037D">
        <w:rPr>
          <w:color w:val="000000"/>
        </w:rPr>
        <w:t xml:space="preserve">Convention on International Interests in Mobile Equipment and ITU's own legal instruments such that, in the event of divergence, the Union's instruments take precedence, </w:t>
      </w:r>
      <w:r w:rsidRPr="005E6082">
        <w:rPr>
          <w:color w:val="000000"/>
        </w:rPr>
        <w:t>it is important</w:t>
      </w:r>
      <w:r w:rsidRPr="002C037D">
        <w:rPr>
          <w:b/>
          <w:bCs/>
          <w:color w:val="000000"/>
        </w:rPr>
        <w:t xml:space="preserve"> </w:t>
      </w:r>
      <w:r w:rsidRPr="002C037D">
        <w:rPr>
          <w:color w:val="000000"/>
        </w:rPr>
        <w:t>to make ITU's acceptance subject to the following conditions:</w:t>
      </w:r>
    </w:p>
    <w:p w:rsidR="006B63C0" w:rsidRPr="002C037D" w:rsidRDefault="006B63C0" w:rsidP="006B63C0">
      <w:pPr>
        <w:pStyle w:val="enumlev1"/>
      </w:pPr>
      <w:r w:rsidRPr="002C037D">
        <w:t>•</w:t>
      </w:r>
      <w:r w:rsidRPr="002C037D">
        <w:tab/>
        <w:t>In the event of a divergence between the provisions of the Protocol and those of ITU's basic texts, the latter shall take precedence.</w:t>
      </w:r>
    </w:p>
    <w:p w:rsidR="006B63C0" w:rsidRPr="002C037D" w:rsidRDefault="006B63C0" w:rsidP="006B63C0">
      <w:pPr>
        <w:pStyle w:val="enumlev1"/>
      </w:pPr>
      <w:r w:rsidRPr="002C037D">
        <w:t>•</w:t>
      </w:r>
      <w:r w:rsidRPr="002C037D">
        <w:tab/>
        <w:t>ITU reserves the right, without incurring any liability, not to undertake any action as Supervisory Authority that would be in conflict with the Union's basic texts.</w:t>
      </w:r>
    </w:p>
    <w:p w:rsidR="006B63C0" w:rsidRPr="002C037D" w:rsidRDefault="006B63C0" w:rsidP="006B63C0">
      <w:r w:rsidRPr="002C037D">
        <w:t>With regard to the actual role of Supervisory Authority, it is limited to establishing the International Registry, appointing the Registrar and overseeing the latter's activities, approving and amending the Registry regulations, as well as setting registration fees and the level of insurance required for the Registrar, all of which would be done with the help of a Commission of Experts.</w:t>
      </w:r>
    </w:p>
    <w:p w:rsidR="006B63C0" w:rsidRPr="002C037D" w:rsidRDefault="006B63C0" w:rsidP="006B63C0">
      <w:r w:rsidRPr="002C037D">
        <w:t>ITU would thus not take on the role of Registrar and would not assume the liabilities associated with that function. Similarly ITU would not manage or administer the Registry or keep it up to date. It is thus the Registrar who will bear objective liability and will, if necessary, be responsible for paying compensation for any losses incurred by a person (physical or moral) where those losses arise directly as a result of an error or omission on the part of the Registrar or of a failure in the international registration system (and the Registrar will be required to take out appropriate insurance against that eventuality).</w:t>
      </w:r>
    </w:p>
    <w:p w:rsidR="006B63C0" w:rsidRPr="002C037D" w:rsidRDefault="006B63C0" w:rsidP="006B63C0">
      <w:r w:rsidRPr="002C037D">
        <w:t xml:space="preserve">The above considerations notwithstanding, it should be recalled </w:t>
      </w:r>
      <w:r>
        <w:t>that in accordance with Article </w:t>
      </w:r>
      <w:r w:rsidRPr="002C037D">
        <w:t>XXVII (2) of the Protocol, the Supervisory Authority, it</w:t>
      </w:r>
      <w:r>
        <w:t>s officers and employees, enjoy </w:t>
      </w:r>
      <w:r w:rsidRPr="002C037D">
        <w:t>immunity from any legal or administrative process, under the terms of the international agreements applicable to them as an international entity or otherwise.</w:t>
      </w:r>
    </w:p>
    <w:p w:rsidR="006B63C0" w:rsidRPr="002C037D" w:rsidRDefault="006B63C0" w:rsidP="006B63C0">
      <w:r w:rsidRPr="002C037D">
        <w:t xml:space="preserve">Nevertheless </w:t>
      </w:r>
      <w:r w:rsidRPr="002A6E06">
        <w:t>it is important to</w:t>
      </w:r>
      <w:r w:rsidRPr="002C037D">
        <w:t xml:space="preserve"> make it a condition that ITU's acceptance of the role of Supervisory Authority shall not constitute or be interpreted as a derogation or renuncia</w:t>
      </w:r>
      <w:r>
        <w:t>tion, express or tacit, of </w:t>
      </w:r>
      <w:r w:rsidRPr="002C037D">
        <w:t>the privileges, immunities and facilities enjoyed by ITU and its staff under the applicable international agreements, or as subjecting ITU to any national legislation or jurisdiction.</w:t>
      </w:r>
    </w:p>
    <w:p w:rsidR="006B63C0" w:rsidRPr="00D71F76" w:rsidRDefault="006B63C0" w:rsidP="006B63C0">
      <w:pPr>
        <w:rPr>
          <w:rFonts w:asciiTheme="majorBidi" w:hAnsiTheme="majorBidi" w:cstheme="majorBidi"/>
          <w:szCs w:val="24"/>
          <w:lang w:val="en-US"/>
        </w:rPr>
      </w:pPr>
      <w:r w:rsidRPr="002C037D">
        <w:t>Lastly,</w:t>
      </w:r>
      <w:r w:rsidRPr="002A6E06">
        <w:t xml:space="preserve"> it would be desirable</w:t>
      </w:r>
      <w:r w:rsidRPr="002C037D">
        <w:t xml:space="preserve"> for any formal ITU agreement to act as Supervisory Authority to be of a reasonable and limited duration (for example, four years, the period between plenipotentiary conferences), and to be not tacitly renewable but renewable only with the express agreement of </w:t>
      </w:r>
      <w:r w:rsidRPr="002C037D">
        <w:lastRenderedPageBreak/>
        <w:t>ITU. This would allow PP-22 to decide, without undue pressure and on an informed basis, whether ITU should or should not continue that activity.</w:t>
      </w:r>
    </w:p>
    <w:p w:rsidR="006B63C0" w:rsidRDefault="006B63C0" w:rsidP="006B63C0">
      <w:r w:rsidRPr="00B53151">
        <w:rPr>
          <w:lang w:val="en-US"/>
        </w:rPr>
        <w:t>The Preparatory Commission for the establishment of the International Registry for Space Assets to the Space Protocol held its 5</w:t>
      </w:r>
      <w:r w:rsidRPr="00B53151">
        <w:rPr>
          <w:vertAlign w:val="superscript"/>
          <w:lang w:val="en-US"/>
        </w:rPr>
        <w:t>th</w:t>
      </w:r>
      <w:r w:rsidRPr="00B53151">
        <w:rPr>
          <w:lang w:val="en-US"/>
        </w:rPr>
        <w:t xml:space="preserve"> meeting on 6 December 2016 (teleconference). The </w:t>
      </w:r>
      <w:r>
        <w:rPr>
          <w:lang w:val="en-US"/>
        </w:rPr>
        <w:t>meeting</w:t>
      </w:r>
      <w:r w:rsidRPr="00B53151">
        <w:rPr>
          <w:lang w:val="en-US"/>
        </w:rPr>
        <w:t xml:space="preserve"> focused on the open issues </w:t>
      </w:r>
      <w:r>
        <w:rPr>
          <w:lang w:val="en-US"/>
        </w:rPr>
        <w:t>relating to</w:t>
      </w:r>
      <w:r w:rsidRPr="00B53151">
        <w:rPr>
          <w:lang w:val="en-US"/>
        </w:rPr>
        <w:t xml:space="preserve"> the implementation of the Space Protocol to the Cape Town Convention. As was recalled by participants, the Space Preparatory Commission greatly advanced its work during the time of its operation, with the final adoption of the baseline Registry Regulations as well as the Rules for appointment and functioning of the future Space CESAIR (Commissions of Experts). Participants pointed out that the Space</w:t>
      </w:r>
      <w:r>
        <w:rPr>
          <w:lang w:val="en-US"/>
        </w:rPr>
        <w:t xml:space="preserve"> industry is changing towards a </w:t>
      </w:r>
      <w:r w:rsidRPr="00B53151">
        <w:rPr>
          <w:lang w:val="en-US"/>
        </w:rPr>
        <w:t>more open market and participation of smaller actors with an increase in the volume of assets, which may lead to increased industry support in the future. While many questions including the appointment of the registrar are strictly interrelated, the Preparatory Commission agreed to concentrate on the short term strategy towards the appointment of a Supervisory Authority on the one hand, and gaining Governmental and industry support on the other</w:t>
      </w:r>
      <w:r w:rsidRPr="00FF605C">
        <w:t>.</w:t>
      </w:r>
    </w:p>
    <w:p w:rsidR="006B63C0" w:rsidRDefault="006B63C0" w:rsidP="006B63C0">
      <w:bookmarkStart w:id="12" w:name="_Toc446060757"/>
      <w:r>
        <w:t>Taking the above into account, the Council will be invited to consider endorsing the matter of ITU becoming Supervisory Authority upon or after the entry into force of the Protocol, and to recommend such course of action to PP-18, noting that the final decision on the matter of whether or not ITU could become the Supervisory Authority would be taken at the next Plenipotentiary Conference.</w:t>
      </w:r>
    </w:p>
    <w:p w:rsidR="006B63C0" w:rsidRPr="00D36C53" w:rsidRDefault="006B63C0" w:rsidP="006B63C0">
      <w:pPr>
        <w:rPr>
          <w:highlight w:val="yellow"/>
        </w:rPr>
      </w:pPr>
      <w:r>
        <w:t>The Council will also be invited to authorize the Secretary-General or his representative to continue to participate in the work of the Preparatory Commission and its Working Groups as an observer.</w:t>
      </w:r>
    </w:p>
    <w:p w:rsidR="006B63C0" w:rsidRPr="006D01FE" w:rsidRDefault="006B63C0" w:rsidP="006B63C0">
      <w:pPr>
        <w:pStyle w:val="Heading2"/>
      </w:pPr>
      <w:r w:rsidRPr="00392D1F">
        <w:t>2.5</w:t>
      </w:r>
      <w:r w:rsidRPr="00392D1F">
        <w:tab/>
        <w:t>Budget for 2018-2019 period</w:t>
      </w:r>
      <w:bookmarkEnd w:id="12"/>
    </w:p>
    <w:p w:rsidR="006B63C0" w:rsidRDefault="006B63C0" w:rsidP="006B63C0">
      <w:r w:rsidRPr="003B2D5E">
        <w:t>Pending the approval of the 2018-2019 budget by Council-17, the following is the proposed budget for the ITU-R in the 2018-2019 timeframe:</w:t>
      </w:r>
    </w:p>
    <w:p w:rsidR="006B63C0" w:rsidRDefault="006B63C0" w:rsidP="006B63C0">
      <w:pPr>
        <w:rPr>
          <w:color w:val="1F497D"/>
        </w:rPr>
      </w:pPr>
    </w:p>
    <w:tbl>
      <w:tblPr>
        <w:tblW w:w="5000" w:type="pct"/>
        <w:tblLayout w:type="fixed"/>
        <w:tblCellMar>
          <w:left w:w="0" w:type="dxa"/>
          <w:right w:w="0" w:type="dxa"/>
        </w:tblCellMar>
        <w:tblLook w:val="04A0" w:firstRow="1" w:lastRow="0" w:firstColumn="1" w:lastColumn="0" w:noHBand="0" w:noVBand="1"/>
      </w:tblPr>
      <w:tblGrid>
        <w:gridCol w:w="990"/>
        <w:gridCol w:w="2838"/>
        <w:gridCol w:w="993"/>
        <w:gridCol w:w="991"/>
        <w:gridCol w:w="709"/>
        <w:gridCol w:w="991"/>
        <w:gridCol w:w="993"/>
        <w:gridCol w:w="1134"/>
      </w:tblGrid>
      <w:tr w:rsidR="006B63C0" w:rsidTr="009A53E2">
        <w:trPr>
          <w:trHeight w:val="405"/>
        </w:trPr>
        <w:tc>
          <w:tcPr>
            <w:tcW w:w="5000" w:type="pct"/>
            <w:gridSpan w:val="8"/>
            <w:tcBorders>
              <w:top w:val="nil"/>
              <w:left w:val="nil"/>
              <w:bottom w:val="single" w:sz="8" w:space="0" w:color="auto"/>
              <w:right w:val="nil"/>
            </w:tcBorders>
            <w:shd w:val="clear" w:color="auto" w:fill="FFFFFF"/>
            <w:noWrap/>
            <w:tcMar>
              <w:top w:w="0" w:type="dxa"/>
              <w:left w:w="108" w:type="dxa"/>
              <w:bottom w:w="0" w:type="dxa"/>
              <w:right w:w="108" w:type="dxa"/>
            </w:tcMar>
            <w:vAlign w:val="center"/>
            <w:hideMark/>
          </w:tcPr>
          <w:p w:rsidR="006B63C0" w:rsidRDefault="006B63C0" w:rsidP="009A53E2">
            <w:pPr>
              <w:jc w:val="center"/>
              <w:rPr>
                <w:b/>
                <w:bCs/>
                <w:color w:val="000099"/>
                <w:sz w:val="28"/>
                <w:szCs w:val="28"/>
              </w:rPr>
            </w:pPr>
            <w:r w:rsidRPr="003B2D5E">
              <w:rPr>
                <w:b/>
                <w:color w:val="0070C0"/>
                <w:sz w:val="16"/>
                <w:szCs w:val="14"/>
              </w:rPr>
              <w:t>Budget 2018-2019 - Radiocommunication Sector</w:t>
            </w:r>
          </w:p>
        </w:tc>
      </w:tr>
      <w:tr w:rsidR="006B63C0" w:rsidTr="009A53E2">
        <w:trPr>
          <w:trHeight w:val="240"/>
        </w:trPr>
        <w:tc>
          <w:tcPr>
            <w:tcW w:w="514" w:type="pct"/>
            <w:shd w:val="clear" w:color="auto" w:fill="DCE6F1"/>
            <w:noWrap/>
            <w:tcMar>
              <w:top w:w="0" w:type="dxa"/>
              <w:left w:w="108" w:type="dxa"/>
              <w:bottom w:w="0" w:type="dxa"/>
              <w:right w:w="108" w:type="dxa"/>
            </w:tcMar>
            <w:vAlign w:val="center"/>
          </w:tcPr>
          <w:p w:rsidR="006B63C0" w:rsidRDefault="006B63C0" w:rsidP="009A53E2">
            <w:pPr>
              <w:rPr>
                <w:b/>
                <w:bCs/>
                <w:color w:val="000099"/>
                <w:sz w:val="20"/>
              </w:rPr>
            </w:pPr>
          </w:p>
        </w:tc>
        <w:tc>
          <w:tcPr>
            <w:tcW w:w="1472" w:type="pct"/>
            <w:shd w:val="clear" w:color="auto" w:fill="DCE6F1"/>
            <w:noWrap/>
            <w:tcMar>
              <w:top w:w="0" w:type="dxa"/>
              <w:left w:w="108" w:type="dxa"/>
              <w:bottom w:w="0" w:type="dxa"/>
              <w:right w:w="108" w:type="dxa"/>
            </w:tcMar>
            <w:vAlign w:val="center"/>
          </w:tcPr>
          <w:p w:rsidR="006B63C0" w:rsidRDefault="006B63C0" w:rsidP="009A53E2">
            <w:pPr>
              <w:rPr>
                <w:b/>
                <w:bCs/>
                <w:color w:val="000099"/>
                <w:sz w:val="20"/>
                <w:u w:val="single"/>
              </w:rPr>
            </w:pPr>
          </w:p>
        </w:tc>
        <w:tc>
          <w:tcPr>
            <w:tcW w:w="3014" w:type="pct"/>
            <w:gridSpan w:val="6"/>
            <w:shd w:val="clear" w:color="auto" w:fill="DCE6F1"/>
            <w:noWrap/>
            <w:tcMar>
              <w:top w:w="0" w:type="dxa"/>
              <w:left w:w="108" w:type="dxa"/>
              <w:bottom w:w="0" w:type="dxa"/>
              <w:right w:w="108" w:type="dxa"/>
            </w:tcMar>
            <w:vAlign w:val="bottom"/>
            <w:hideMark/>
          </w:tcPr>
          <w:p w:rsidR="006B63C0" w:rsidRPr="003B2D5E" w:rsidRDefault="006B63C0" w:rsidP="009A53E2">
            <w:pPr>
              <w:jc w:val="center"/>
              <w:rPr>
                <w:b/>
                <w:color w:val="0070C0"/>
                <w:sz w:val="16"/>
                <w:szCs w:val="14"/>
              </w:rPr>
            </w:pPr>
            <w:r w:rsidRPr="003B2D5E">
              <w:rPr>
                <w:b/>
                <w:color w:val="0070C0"/>
                <w:sz w:val="16"/>
                <w:szCs w:val="14"/>
              </w:rPr>
              <w:t>In thousands of Swiss francs</w:t>
            </w:r>
          </w:p>
        </w:tc>
      </w:tr>
      <w:tr w:rsidR="006B63C0" w:rsidTr="009A53E2">
        <w:trPr>
          <w:trHeight w:val="300"/>
        </w:trPr>
        <w:tc>
          <w:tcPr>
            <w:tcW w:w="1986" w:type="pct"/>
            <w:gridSpan w:val="2"/>
            <w:shd w:val="clear" w:color="auto" w:fill="DCE6F1"/>
            <w:noWrap/>
            <w:tcMar>
              <w:top w:w="0" w:type="dxa"/>
              <w:left w:w="108" w:type="dxa"/>
              <w:bottom w:w="0" w:type="dxa"/>
              <w:right w:w="108" w:type="dxa"/>
            </w:tcMar>
            <w:vAlign w:val="center"/>
            <w:hideMark/>
          </w:tcPr>
          <w:p w:rsidR="006B63C0" w:rsidRDefault="006B63C0" w:rsidP="009A53E2">
            <w:pPr>
              <w:keepNext/>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b/>
                <w:bCs/>
                <w:color w:val="000099"/>
                <w:sz w:val="20"/>
              </w:rPr>
            </w:pPr>
            <w:r w:rsidRPr="003B2D5E">
              <w:rPr>
                <w:b/>
                <w:color w:val="0070C0"/>
                <w:sz w:val="16"/>
                <w:szCs w:val="14"/>
              </w:rPr>
              <w:t>Operating expenses by section</w:t>
            </w:r>
          </w:p>
        </w:tc>
        <w:tc>
          <w:tcPr>
            <w:tcW w:w="515" w:type="pct"/>
            <w:shd w:val="clear" w:color="auto" w:fill="DCE6F1"/>
            <w:noWrap/>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Actual</w:t>
            </w:r>
          </w:p>
        </w:tc>
        <w:tc>
          <w:tcPr>
            <w:tcW w:w="514" w:type="pct"/>
            <w:shd w:val="clear" w:color="auto" w:fill="DCE6F1"/>
            <w:noWrap/>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Budget</w:t>
            </w:r>
          </w:p>
        </w:tc>
        <w:tc>
          <w:tcPr>
            <w:tcW w:w="368" w:type="pct"/>
            <w:shd w:val="clear" w:color="auto" w:fill="DCE6F1"/>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Actual</w:t>
            </w:r>
          </w:p>
        </w:tc>
        <w:tc>
          <w:tcPr>
            <w:tcW w:w="514" w:type="pct"/>
            <w:shd w:val="clear" w:color="auto" w:fill="DCE6F1"/>
            <w:noWrap/>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Estimates</w:t>
            </w:r>
          </w:p>
        </w:tc>
        <w:tc>
          <w:tcPr>
            <w:tcW w:w="515" w:type="pct"/>
            <w:shd w:val="clear" w:color="auto" w:fill="DCE6F1"/>
            <w:noWrap/>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Estimates</w:t>
            </w:r>
          </w:p>
        </w:tc>
        <w:tc>
          <w:tcPr>
            <w:tcW w:w="588" w:type="pct"/>
            <w:shd w:val="clear" w:color="auto" w:fill="DCE6F1"/>
            <w:noWrap/>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Estimates</w:t>
            </w:r>
          </w:p>
        </w:tc>
      </w:tr>
      <w:tr w:rsidR="006B63C0" w:rsidTr="009A53E2">
        <w:trPr>
          <w:trHeight w:val="240"/>
        </w:trPr>
        <w:tc>
          <w:tcPr>
            <w:tcW w:w="514"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Default="006B63C0" w:rsidP="009A53E2">
            <w:pPr>
              <w:jc w:val="right"/>
              <w:rPr>
                <w:b/>
                <w:bCs/>
                <w:color w:val="000099"/>
                <w:sz w:val="20"/>
              </w:rPr>
            </w:pPr>
            <w:r>
              <w:rPr>
                <w:b/>
                <w:bCs/>
                <w:color w:val="000099"/>
                <w:sz w:val="20"/>
              </w:rPr>
              <w:t> </w:t>
            </w:r>
          </w:p>
        </w:tc>
        <w:tc>
          <w:tcPr>
            <w:tcW w:w="1472"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Default="006B63C0" w:rsidP="009A53E2">
            <w:pPr>
              <w:jc w:val="right"/>
              <w:rPr>
                <w:b/>
                <w:bCs/>
                <w:color w:val="000099"/>
                <w:sz w:val="20"/>
              </w:rPr>
            </w:pPr>
            <w:r>
              <w:rPr>
                <w:b/>
                <w:bCs/>
                <w:color w:val="000099"/>
                <w:sz w:val="20"/>
              </w:rPr>
              <w:t> </w:t>
            </w:r>
          </w:p>
        </w:tc>
        <w:tc>
          <w:tcPr>
            <w:tcW w:w="515"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2014-2015</w:t>
            </w:r>
          </w:p>
        </w:tc>
        <w:tc>
          <w:tcPr>
            <w:tcW w:w="514"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2016-2017</w:t>
            </w:r>
          </w:p>
        </w:tc>
        <w:tc>
          <w:tcPr>
            <w:tcW w:w="368"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2016 *</w:t>
            </w:r>
          </w:p>
        </w:tc>
        <w:tc>
          <w:tcPr>
            <w:tcW w:w="514"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2018</w:t>
            </w:r>
          </w:p>
        </w:tc>
        <w:tc>
          <w:tcPr>
            <w:tcW w:w="515"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2019</w:t>
            </w:r>
          </w:p>
        </w:tc>
        <w:tc>
          <w:tcPr>
            <w:tcW w:w="588"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6B63C0" w:rsidRPr="003B2D5E" w:rsidRDefault="006B63C0" w:rsidP="009A53E2">
            <w:pPr>
              <w:jc w:val="center"/>
              <w:rPr>
                <w:b/>
                <w:color w:val="0070C0"/>
                <w:sz w:val="16"/>
                <w:szCs w:val="14"/>
              </w:rPr>
            </w:pPr>
            <w:r w:rsidRPr="003B2D5E">
              <w:rPr>
                <w:b/>
                <w:color w:val="0070C0"/>
                <w:sz w:val="16"/>
                <w:szCs w:val="14"/>
              </w:rPr>
              <w:t>2018-2019</w:t>
            </w:r>
          </w:p>
        </w:tc>
      </w:tr>
      <w:tr w:rsidR="006B63C0" w:rsidTr="009A53E2">
        <w:trPr>
          <w:trHeight w:val="199"/>
        </w:trPr>
        <w:tc>
          <w:tcPr>
            <w:tcW w:w="514" w:type="pct"/>
            <w:noWrap/>
            <w:tcMar>
              <w:top w:w="0" w:type="dxa"/>
              <w:left w:w="108" w:type="dxa"/>
              <w:bottom w:w="0" w:type="dxa"/>
              <w:right w:w="108" w:type="dxa"/>
            </w:tcMar>
            <w:vAlign w:val="center"/>
            <w:hideMark/>
          </w:tcPr>
          <w:p w:rsidR="006B63C0" w:rsidRDefault="006B63C0" w:rsidP="009A53E2">
            <w:pPr>
              <w:rPr>
                <w:b/>
                <w:bCs/>
                <w:color w:val="000099"/>
                <w:sz w:val="20"/>
              </w:rPr>
            </w:pPr>
          </w:p>
        </w:tc>
        <w:tc>
          <w:tcPr>
            <w:tcW w:w="1472" w:type="pct"/>
            <w:noWrap/>
            <w:tcMar>
              <w:top w:w="0" w:type="dxa"/>
              <w:left w:w="108" w:type="dxa"/>
              <w:bottom w:w="0" w:type="dxa"/>
              <w:right w:w="108" w:type="dxa"/>
            </w:tcMar>
            <w:vAlign w:val="center"/>
            <w:hideMark/>
          </w:tcPr>
          <w:p w:rsidR="006B63C0" w:rsidRDefault="006B63C0" w:rsidP="009A53E2">
            <w:pPr>
              <w:rPr>
                <w:sz w:val="20"/>
              </w:rPr>
            </w:pPr>
          </w:p>
        </w:tc>
        <w:tc>
          <w:tcPr>
            <w:tcW w:w="515" w:type="pct"/>
            <w:noWrap/>
            <w:tcMar>
              <w:top w:w="0" w:type="dxa"/>
              <w:left w:w="108" w:type="dxa"/>
              <w:bottom w:w="0" w:type="dxa"/>
              <w:right w:w="108" w:type="dxa"/>
            </w:tcMar>
            <w:vAlign w:val="center"/>
            <w:hideMark/>
          </w:tcPr>
          <w:p w:rsidR="006B63C0" w:rsidRDefault="006B63C0" w:rsidP="009A53E2">
            <w:pPr>
              <w:rPr>
                <w:sz w:val="20"/>
              </w:rPr>
            </w:pPr>
          </w:p>
        </w:tc>
        <w:tc>
          <w:tcPr>
            <w:tcW w:w="514" w:type="pct"/>
            <w:noWrap/>
            <w:tcMar>
              <w:top w:w="0" w:type="dxa"/>
              <w:left w:w="108" w:type="dxa"/>
              <w:bottom w:w="0" w:type="dxa"/>
              <w:right w:w="108" w:type="dxa"/>
            </w:tcMar>
            <w:vAlign w:val="center"/>
            <w:hideMark/>
          </w:tcPr>
          <w:p w:rsidR="006B63C0" w:rsidRDefault="006B63C0" w:rsidP="009A53E2">
            <w:pPr>
              <w:rPr>
                <w:sz w:val="20"/>
              </w:rPr>
            </w:pPr>
          </w:p>
        </w:tc>
        <w:tc>
          <w:tcPr>
            <w:tcW w:w="368" w:type="pct"/>
            <w:noWrap/>
            <w:tcMar>
              <w:top w:w="0" w:type="dxa"/>
              <w:left w:w="108" w:type="dxa"/>
              <w:bottom w:w="0" w:type="dxa"/>
              <w:right w:w="108" w:type="dxa"/>
            </w:tcMar>
            <w:vAlign w:val="center"/>
            <w:hideMark/>
          </w:tcPr>
          <w:p w:rsidR="006B63C0" w:rsidRDefault="006B63C0" w:rsidP="009A53E2">
            <w:pPr>
              <w:rPr>
                <w:sz w:val="20"/>
              </w:rPr>
            </w:pPr>
          </w:p>
        </w:tc>
        <w:tc>
          <w:tcPr>
            <w:tcW w:w="514" w:type="pct"/>
            <w:noWrap/>
            <w:tcMar>
              <w:top w:w="0" w:type="dxa"/>
              <w:left w:w="108" w:type="dxa"/>
              <w:bottom w:w="0" w:type="dxa"/>
              <w:right w:w="108" w:type="dxa"/>
            </w:tcMar>
            <w:vAlign w:val="center"/>
            <w:hideMark/>
          </w:tcPr>
          <w:p w:rsidR="006B63C0" w:rsidRDefault="006B63C0" w:rsidP="009A53E2">
            <w:pPr>
              <w:rPr>
                <w:sz w:val="20"/>
              </w:rPr>
            </w:pPr>
          </w:p>
        </w:tc>
        <w:tc>
          <w:tcPr>
            <w:tcW w:w="515" w:type="pct"/>
            <w:noWrap/>
            <w:tcMar>
              <w:top w:w="0" w:type="dxa"/>
              <w:left w:w="108" w:type="dxa"/>
              <w:bottom w:w="0" w:type="dxa"/>
              <w:right w:w="108" w:type="dxa"/>
            </w:tcMar>
            <w:vAlign w:val="center"/>
            <w:hideMark/>
          </w:tcPr>
          <w:p w:rsidR="006B63C0" w:rsidRDefault="006B63C0" w:rsidP="009A53E2">
            <w:pPr>
              <w:rPr>
                <w:sz w:val="20"/>
              </w:rPr>
            </w:pPr>
          </w:p>
        </w:tc>
        <w:tc>
          <w:tcPr>
            <w:tcW w:w="588" w:type="pct"/>
            <w:noWrap/>
            <w:tcMar>
              <w:top w:w="0" w:type="dxa"/>
              <w:left w:w="108" w:type="dxa"/>
              <w:bottom w:w="0" w:type="dxa"/>
              <w:right w:w="108" w:type="dxa"/>
            </w:tcMar>
            <w:vAlign w:val="center"/>
            <w:hideMark/>
          </w:tcPr>
          <w:p w:rsidR="006B63C0" w:rsidRDefault="006B63C0" w:rsidP="009A53E2">
            <w:pPr>
              <w:rPr>
                <w:sz w:val="20"/>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3.1</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World radiocommunication conferences</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2,167</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2,638</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2,638</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3.2</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Radiocommunication assemblies</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211</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335</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335</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4.1</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Regional radiocommunication conferences</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0</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5.1</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Radio Regulations Board</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904</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1,410</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373</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406</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405</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811</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5.2</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Radiocommunication Advisory Group</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85</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149</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36</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53</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53</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106</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6</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 xml:space="preserve">Study groups </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1,114</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1,470</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164</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585</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892</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1,477</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7</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Activities and programmes</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514</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1,200</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300</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595</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605</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1,200</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8</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Seminars</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278</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876</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263</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390</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390</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780</w:t>
            </w:r>
          </w:p>
        </w:tc>
      </w:tr>
      <w:tr w:rsidR="006B63C0" w:rsidTr="009A53E2">
        <w:trPr>
          <w:trHeight w:val="199"/>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368"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15"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588" w:type="pct"/>
            <w:noWrap/>
            <w:tcMar>
              <w:top w:w="0" w:type="dxa"/>
              <w:left w:w="108" w:type="dxa"/>
              <w:bottom w:w="0" w:type="dxa"/>
              <w:right w:w="108" w:type="dxa"/>
            </w:tcMar>
            <w:vAlign w:val="center"/>
            <w:hideMark/>
          </w:tcPr>
          <w:p w:rsidR="006B63C0" w:rsidRPr="003B2D5E" w:rsidRDefault="006B63C0" w:rsidP="009A53E2">
            <w:pPr>
              <w:rPr>
                <w:sz w:val="16"/>
                <w:szCs w:val="14"/>
              </w:rPr>
            </w:pP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Section 9</w:t>
            </w: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Bureau</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50,627</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52,396</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25,393</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25,</w:t>
            </w:r>
            <w:r>
              <w:rPr>
                <w:sz w:val="16"/>
                <w:szCs w:val="14"/>
              </w:rPr>
              <w:t>4</w:t>
            </w:r>
            <w:r w:rsidRPr="003B2D5E">
              <w:rPr>
                <w:sz w:val="16"/>
                <w:szCs w:val="14"/>
              </w:rPr>
              <w:t>59</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25,</w:t>
            </w:r>
            <w:r>
              <w:rPr>
                <w:sz w:val="16"/>
                <w:szCs w:val="14"/>
              </w:rPr>
              <w:t>7</w:t>
            </w:r>
            <w:r w:rsidRPr="003B2D5E">
              <w:rPr>
                <w:sz w:val="16"/>
                <w:szCs w:val="14"/>
              </w:rPr>
              <w:t>80</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w:t>
            </w:r>
            <w:r>
              <w:rPr>
                <w:sz w:val="16"/>
                <w:szCs w:val="14"/>
              </w:rPr>
              <w:t>1</w:t>
            </w:r>
            <w:r w:rsidRPr="003B2D5E">
              <w:rPr>
                <w:sz w:val="16"/>
                <w:szCs w:val="14"/>
              </w:rPr>
              <w:t>,</w:t>
            </w:r>
            <w:r>
              <w:rPr>
                <w:sz w:val="16"/>
                <w:szCs w:val="14"/>
              </w:rPr>
              <w:t>2</w:t>
            </w:r>
            <w:r w:rsidRPr="003B2D5E">
              <w:rPr>
                <w:sz w:val="16"/>
                <w:szCs w:val="14"/>
              </w:rPr>
              <w:t>39</w:t>
            </w:r>
          </w:p>
        </w:tc>
      </w:tr>
      <w:tr w:rsidR="006B63C0" w:rsidTr="009A53E2">
        <w:trPr>
          <w:trHeight w:val="252"/>
        </w:trPr>
        <w:tc>
          <w:tcPr>
            <w:tcW w:w="514" w:type="pct"/>
            <w:noWrap/>
            <w:tcMar>
              <w:top w:w="0" w:type="dxa"/>
              <w:left w:w="108" w:type="dxa"/>
              <w:bottom w:w="0" w:type="dxa"/>
              <w:right w:w="108" w:type="dxa"/>
            </w:tcMar>
            <w:vAlign w:val="center"/>
            <w:hideMark/>
          </w:tcPr>
          <w:p w:rsidR="006B63C0" w:rsidRPr="003B2D5E" w:rsidRDefault="006B63C0" w:rsidP="009A53E2">
            <w:pPr>
              <w:rPr>
                <w:sz w:val="16"/>
                <w:szCs w:val="14"/>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   - Common expenditure</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1,227</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1,792</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201</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1,035</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1,035</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2,070</w:t>
            </w:r>
          </w:p>
        </w:tc>
      </w:tr>
      <w:tr w:rsidR="006B63C0" w:rsidTr="009A53E2">
        <w:trPr>
          <w:trHeight w:val="252"/>
        </w:trPr>
        <w:tc>
          <w:tcPr>
            <w:tcW w:w="514" w:type="pct"/>
            <w:noWrap/>
            <w:tcMar>
              <w:top w:w="0" w:type="dxa"/>
              <w:left w:w="108" w:type="dxa"/>
              <w:bottom w:w="0" w:type="dxa"/>
              <w:right w:w="108" w:type="dxa"/>
            </w:tcMar>
            <w:vAlign w:val="center"/>
            <w:hideMark/>
          </w:tcPr>
          <w:p w:rsidR="006B63C0" w:rsidRDefault="006B63C0" w:rsidP="009A53E2">
            <w:pPr>
              <w:rPr>
                <w:b/>
                <w:bCs/>
                <w:sz w:val="20"/>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   - Office of the Director</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1,292</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1,309</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721</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773</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776</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1,549</w:t>
            </w:r>
          </w:p>
        </w:tc>
      </w:tr>
      <w:tr w:rsidR="006B63C0" w:rsidTr="009A53E2">
        <w:trPr>
          <w:trHeight w:val="252"/>
        </w:trPr>
        <w:tc>
          <w:tcPr>
            <w:tcW w:w="514" w:type="pct"/>
            <w:noWrap/>
            <w:tcMar>
              <w:top w:w="0" w:type="dxa"/>
              <w:left w:w="108" w:type="dxa"/>
              <w:bottom w:w="0" w:type="dxa"/>
              <w:right w:w="108" w:type="dxa"/>
            </w:tcMar>
            <w:vAlign w:val="center"/>
            <w:hideMark/>
          </w:tcPr>
          <w:p w:rsidR="006B63C0" w:rsidRDefault="006B63C0" w:rsidP="009A53E2">
            <w:pPr>
              <w:rPr>
                <w:b/>
                <w:bCs/>
                <w:sz w:val="20"/>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   - Study Groups Department</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5,754</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5,684</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2,966</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2,675</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2,767</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5,442</w:t>
            </w:r>
          </w:p>
        </w:tc>
      </w:tr>
      <w:tr w:rsidR="006B63C0" w:rsidTr="009A53E2">
        <w:trPr>
          <w:trHeight w:val="252"/>
        </w:trPr>
        <w:tc>
          <w:tcPr>
            <w:tcW w:w="514" w:type="pct"/>
            <w:noWrap/>
            <w:tcMar>
              <w:top w:w="0" w:type="dxa"/>
              <w:left w:w="108" w:type="dxa"/>
              <w:bottom w:w="0" w:type="dxa"/>
              <w:right w:w="108" w:type="dxa"/>
            </w:tcMar>
            <w:vAlign w:val="center"/>
            <w:hideMark/>
          </w:tcPr>
          <w:p w:rsidR="006B63C0" w:rsidRDefault="006B63C0" w:rsidP="009A53E2">
            <w:pPr>
              <w:rPr>
                <w:b/>
                <w:bCs/>
                <w:sz w:val="20"/>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   - Space Services Department</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16,502</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16,049</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8,510</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w:t>
            </w:r>
            <w:r>
              <w:rPr>
                <w:sz w:val="16"/>
                <w:szCs w:val="14"/>
              </w:rPr>
              <w:t>9</w:t>
            </w:r>
            <w:r w:rsidRPr="003B2D5E">
              <w:rPr>
                <w:sz w:val="16"/>
                <w:szCs w:val="14"/>
              </w:rPr>
              <w:t>08</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w:t>
            </w:r>
            <w:r>
              <w:rPr>
                <w:sz w:val="16"/>
                <w:szCs w:val="14"/>
              </w:rPr>
              <w:t>9</w:t>
            </w:r>
            <w:r w:rsidRPr="003B2D5E">
              <w:rPr>
                <w:sz w:val="16"/>
                <w:szCs w:val="14"/>
              </w:rPr>
              <w:t>58</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15,</w:t>
            </w:r>
            <w:r>
              <w:rPr>
                <w:sz w:val="16"/>
                <w:szCs w:val="14"/>
              </w:rPr>
              <w:t>8</w:t>
            </w:r>
            <w:r w:rsidRPr="003B2D5E">
              <w:rPr>
                <w:sz w:val="16"/>
                <w:szCs w:val="14"/>
              </w:rPr>
              <w:t>66</w:t>
            </w:r>
          </w:p>
        </w:tc>
      </w:tr>
      <w:tr w:rsidR="006B63C0" w:rsidTr="009A53E2">
        <w:trPr>
          <w:trHeight w:val="252"/>
        </w:trPr>
        <w:tc>
          <w:tcPr>
            <w:tcW w:w="514" w:type="pct"/>
            <w:noWrap/>
            <w:tcMar>
              <w:top w:w="0" w:type="dxa"/>
              <w:left w:w="108" w:type="dxa"/>
              <w:bottom w:w="0" w:type="dxa"/>
              <w:right w:w="108" w:type="dxa"/>
            </w:tcMar>
            <w:vAlign w:val="center"/>
            <w:hideMark/>
          </w:tcPr>
          <w:p w:rsidR="006B63C0" w:rsidRDefault="006B63C0" w:rsidP="009A53E2">
            <w:pPr>
              <w:rPr>
                <w:b/>
                <w:bCs/>
                <w:sz w:val="20"/>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   - Terrestrial Services Department</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12,272</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12,520</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6,033</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5,771</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5,883</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11,654</w:t>
            </w:r>
          </w:p>
        </w:tc>
      </w:tr>
      <w:tr w:rsidR="006B63C0" w:rsidTr="009A53E2">
        <w:trPr>
          <w:trHeight w:val="252"/>
        </w:trPr>
        <w:tc>
          <w:tcPr>
            <w:tcW w:w="514" w:type="pct"/>
            <w:noWrap/>
            <w:tcMar>
              <w:top w:w="0" w:type="dxa"/>
              <w:left w:w="108" w:type="dxa"/>
              <w:bottom w:w="0" w:type="dxa"/>
              <w:right w:w="108" w:type="dxa"/>
            </w:tcMar>
            <w:vAlign w:val="center"/>
            <w:hideMark/>
          </w:tcPr>
          <w:p w:rsidR="006B63C0" w:rsidRDefault="006B63C0" w:rsidP="009A53E2">
            <w:pPr>
              <w:rPr>
                <w:b/>
                <w:bCs/>
                <w:sz w:val="20"/>
              </w:rPr>
            </w:pPr>
          </w:p>
        </w:tc>
        <w:tc>
          <w:tcPr>
            <w:tcW w:w="1472" w:type="pct"/>
            <w:noWrap/>
            <w:tcMar>
              <w:top w:w="0" w:type="dxa"/>
              <w:left w:w="108" w:type="dxa"/>
              <w:bottom w:w="0" w:type="dxa"/>
              <w:right w:w="108" w:type="dxa"/>
            </w:tcMar>
            <w:vAlign w:val="center"/>
            <w:hideMark/>
          </w:tcPr>
          <w:p w:rsidR="006B63C0" w:rsidRPr="003B2D5E" w:rsidRDefault="006B63C0" w:rsidP="009A53E2">
            <w:pPr>
              <w:rPr>
                <w:sz w:val="16"/>
                <w:szCs w:val="14"/>
              </w:rPr>
            </w:pPr>
            <w:r w:rsidRPr="003B2D5E">
              <w:rPr>
                <w:sz w:val="16"/>
                <w:szCs w:val="14"/>
              </w:rPr>
              <w:t>   - Informatics, Administration &amp; Publications Department</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13,580</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15,042</w:t>
            </w:r>
          </w:p>
        </w:tc>
        <w:tc>
          <w:tcPr>
            <w:tcW w:w="36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6,962</w:t>
            </w:r>
          </w:p>
        </w:tc>
        <w:tc>
          <w:tcPr>
            <w:tcW w:w="514"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7,297</w:t>
            </w:r>
          </w:p>
        </w:tc>
        <w:tc>
          <w:tcPr>
            <w:tcW w:w="515"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7,361</w:t>
            </w:r>
          </w:p>
        </w:tc>
        <w:tc>
          <w:tcPr>
            <w:tcW w:w="588" w:type="pct"/>
            <w:noWrap/>
            <w:tcMar>
              <w:top w:w="0" w:type="dxa"/>
              <w:left w:w="108" w:type="dxa"/>
              <w:bottom w:w="0" w:type="dxa"/>
              <w:right w:w="108" w:type="dxa"/>
            </w:tcMar>
            <w:vAlign w:val="center"/>
            <w:hideMark/>
          </w:tcPr>
          <w:p w:rsidR="006B63C0" w:rsidRPr="003B2D5E" w:rsidRDefault="006B63C0" w:rsidP="009A53E2">
            <w:pPr>
              <w:jc w:val="right"/>
              <w:rPr>
                <w:sz w:val="16"/>
                <w:szCs w:val="14"/>
              </w:rPr>
            </w:pPr>
            <w:r w:rsidRPr="003B2D5E">
              <w:rPr>
                <w:sz w:val="16"/>
                <w:szCs w:val="14"/>
              </w:rPr>
              <w:t>14,658</w:t>
            </w:r>
          </w:p>
        </w:tc>
      </w:tr>
      <w:tr w:rsidR="006B63C0" w:rsidTr="009A53E2">
        <w:trPr>
          <w:trHeight w:val="199"/>
        </w:trPr>
        <w:tc>
          <w:tcPr>
            <w:tcW w:w="514"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rPr>
                <w:color w:val="000099"/>
                <w:sz w:val="20"/>
              </w:rPr>
            </w:pPr>
            <w:r>
              <w:rPr>
                <w:color w:val="000099"/>
                <w:sz w:val="20"/>
              </w:rPr>
              <w:t> </w:t>
            </w:r>
          </w:p>
        </w:tc>
        <w:tc>
          <w:tcPr>
            <w:tcW w:w="1472"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rPr>
                <w:color w:val="000099"/>
                <w:sz w:val="20"/>
              </w:rPr>
            </w:pPr>
            <w:r>
              <w:rPr>
                <w:color w:val="000099"/>
                <w:sz w:val="20"/>
              </w:rPr>
              <w:t> </w:t>
            </w:r>
          </w:p>
        </w:tc>
        <w:tc>
          <w:tcPr>
            <w:tcW w:w="515"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jc w:val="right"/>
              <w:rPr>
                <w:color w:val="000099"/>
                <w:sz w:val="20"/>
              </w:rPr>
            </w:pPr>
            <w:r>
              <w:rPr>
                <w:color w:val="000099"/>
                <w:sz w:val="20"/>
              </w:rPr>
              <w:t> </w:t>
            </w:r>
          </w:p>
        </w:tc>
        <w:tc>
          <w:tcPr>
            <w:tcW w:w="514"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jc w:val="right"/>
              <w:rPr>
                <w:color w:val="000099"/>
                <w:sz w:val="20"/>
              </w:rPr>
            </w:pPr>
            <w:r>
              <w:rPr>
                <w:color w:val="000099"/>
                <w:sz w:val="20"/>
              </w:rPr>
              <w:t> </w:t>
            </w:r>
          </w:p>
        </w:tc>
        <w:tc>
          <w:tcPr>
            <w:tcW w:w="368"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jc w:val="right"/>
              <w:rPr>
                <w:color w:val="000099"/>
                <w:sz w:val="18"/>
                <w:szCs w:val="18"/>
              </w:rPr>
            </w:pPr>
            <w:r>
              <w:rPr>
                <w:color w:val="000099"/>
                <w:sz w:val="18"/>
                <w:szCs w:val="18"/>
              </w:rPr>
              <w:t> </w:t>
            </w:r>
          </w:p>
        </w:tc>
        <w:tc>
          <w:tcPr>
            <w:tcW w:w="514"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jc w:val="right"/>
              <w:rPr>
                <w:color w:val="000099"/>
                <w:sz w:val="20"/>
                <w:lang w:val="en-US" w:eastAsia="zh-CN"/>
              </w:rPr>
            </w:pPr>
            <w:r>
              <w:rPr>
                <w:color w:val="000099"/>
                <w:sz w:val="20"/>
              </w:rPr>
              <w:t> </w:t>
            </w:r>
          </w:p>
        </w:tc>
        <w:tc>
          <w:tcPr>
            <w:tcW w:w="515"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jc w:val="right"/>
              <w:rPr>
                <w:color w:val="000099"/>
                <w:sz w:val="20"/>
              </w:rPr>
            </w:pPr>
            <w:r>
              <w:rPr>
                <w:color w:val="000099"/>
                <w:sz w:val="20"/>
              </w:rPr>
              <w:t> </w:t>
            </w:r>
          </w:p>
        </w:tc>
        <w:tc>
          <w:tcPr>
            <w:tcW w:w="588"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6B63C0" w:rsidRDefault="006B63C0" w:rsidP="009A53E2">
            <w:pPr>
              <w:jc w:val="right"/>
              <w:rPr>
                <w:color w:val="000099"/>
                <w:sz w:val="20"/>
              </w:rPr>
            </w:pPr>
            <w:r>
              <w:rPr>
                <w:color w:val="000099"/>
                <w:sz w:val="20"/>
              </w:rPr>
              <w:t> </w:t>
            </w:r>
          </w:p>
        </w:tc>
      </w:tr>
      <w:tr w:rsidR="006B63C0" w:rsidTr="009A53E2">
        <w:trPr>
          <w:trHeight w:val="285"/>
        </w:trPr>
        <w:tc>
          <w:tcPr>
            <w:tcW w:w="514"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TOTAL</w:t>
            </w:r>
          </w:p>
        </w:tc>
        <w:tc>
          <w:tcPr>
            <w:tcW w:w="1472"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 </w:t>
            </w:r>
          </w:p>
        </w:tc>
        <w:tc>
          <w:tcPr>
            <w:tcW w:w="515"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55,900</w:t>
            </w:r>
          </w:p>
        </w:tc>
        <w:tc>
          <w:tcPr>
            <w:tcW w:w="514"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57,501</w:t>
            </w:r>
          </w:p>
        </w:tc>
        <w:tc>
          <w:tcPr>
            <w:tcW w:w="368"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26,529</w:t>
            </w:r>
          </w:p>
        </w:tc>
        <w:tc>
          <w:tcPr>
            <w:tcW w:w="514"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27,</w:t>
            </w:r>
            <w:r>
              <w:rPr>
                <w:b/>
                <w:bCs/>
                <w:color w:val="0070C0"/>
                <w:sz w:val="16"/>
                <w:szCs w:val="14"/>
              </w:rPr>
              <w:t>4</w:t>
            </w:r>
            <w:r w:rsidRPr="003B2D5E">
              <w:rPr>
                <w:b/>
                <w:bCs/>
                <w:color w:val="0070C0"/>
                <w:sz w:val="16"/>
                <w:szCs w:val="14"/>
              </w:rPr>
              <w:t>88</w:t>
            </w:r>
          </w:p>
        </w:tc>
        <w:tc>
          <w:tcPr>
            <w:tcW w:w="515"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3</w:t>
            </w:r>
            <w:r>
              <w:rPr>
                <w:b/>
                <w:bCs/>
                <w:color w:val="0070C0"/>
                <w:sz w:val="16"/>
                <w:szCs w:val="14"/>
              </w:rPr>
              <w:t>1</w:t>
            </w:r>
            <w:r w:rsidRPr="003B2D5E">
              <w:rPr>
                <w:b/>
                <w:bCs/>
                <w:color w:val="0070C0"/>
                <w:sz w:val="16"/>
                <w:szCs w:val="14"/>
              </w:rPr>
              <w:t>,</w:t>
            </w:r>
            <w:r>
              <w:rPr>
                <w:b/>
                <w:bCs/>
                <w:color w:val="0070C0"/>
                <w:sz w:val="16"/>
                <w:szCs w:val="14"/>
              </w:rPr>
              <w:t>0</w:t>
            </w:r>
            <w:r w:rsidRPr="003B2D5E">
              <w:rPr>
                <w:b/>
                <w:bCs/>
                <w:color w:val="0070C0"/>
                <w:sz w:val="16"/>
                <w:szCs w:val="14"/>
              </w:rPr>
              <w:t>98</w:t>
            </w:r>
          </w:p>
        </w:tc>
        <w:tc>
          <w:tcPr>
            <w:tcW w:w="588"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6B63C0" w:rsidRPr="003B2D5E" w:rsidRDefault="006B63C0" w:rsidP="009A53E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right"/>
              <w:rPr>
                <w:b/>
                <w:bCs/>
                <w:color w:val="0070C0"/>
                <w:sz w:val="16"/>
                <w:szCs w:val="14"/>
              </w:rPr>
            </w:pPr>
            <w:r w:rsidRPr="003B2D5E">
              <w:rPr>
                <w:b/>
                <w:bCs/>
                <w:color w:val="0070C0"/>
                <w:sz w:val="16"/>
                <w:szCs w:val="14"/>
              </w:rPr>
              <w:t>58,</w:t>
            </w:r>
            <w:r>
              <w:rPr>
                <w:b/>
                <w:bCs/>
                <w:color w:val="0070C0"/>
                <w:sz w:val="16"/>
                <w:szCs w:val="14"/>
              </w:rPr>
              <w:t>5</w:t>
            </w:r>
            <w:r w:rsidRPr="003B2D5E">
              <w:rPr>
                <w:b/>
                <w:bCs/>
                <w:color w:val="0070C0"/>
                <w:sz w:val="16"/>
                <w:szCs w:val="14"/>
              </w:rPr>
              <w:t>86</w:t>
            </w:r>
          </w:p>
        </w:tc>
      </w:tr>
    </w:tbl>
    <w:p w:rsidR="006B63C0" w:rsidRDefault="006B63C0" w:rsidP="006B63C0">
      <w:pPr>
        <w:rPr>
          <w:rFonts w:ascii="Calibri" w:eastAsiaTheme="minorEastAsia" w:hAnsi="Calibri"/>
          <w:color w:val="1F497D"/>
          <w:sz w:val="22"/>
          <w:szCs w:val="22"/>
        </w:rPr>
      </w:pPr>
    </w:p>
    <w:p w:rsidR="006B63C0" w:rsidRPr="006D01FE" w:rsidRDefault="006B63C0" w:rsidP="006B63C0">
      <w:pPr>
        <w:pStyle w:val="Heading2"/>
      </w:pPr>
      <w:bookmarkStart w:id="13" w:name="_Toc446060758"/>
      <w:r w:rsidRPr="00ED04B0">
        <w:t>2.6</w:t>
      </w:r>
      <w:r w:rsidRPr="00ED04B0">
        <w:tab/>
        <w:t>WRC-19 agenda; RA-19 and WRC-19 dates and venue</w:t>
      </w:r>
    </w:p>
    <w:p w:rsidR="006B63C0" w:rsidRDefault="006B63C0" w:rsidP="006B63C0">
      <w:pPr>
        <w:rPr>
          <w:rFonts w:eastAsia="SimSun"/>
          <w:lang w:val="en-US" w:eastAsia="zh-CN"/>
        </w:rPr>
      </w:pPr>
      <w:r>
        <w:rPr>
          <w:rFonts w:eastAsia="SimSun"/>
          <w:lang w:val="en-US" w:eastAsia="zh-CN"/>
        </w:rPr>
        <w:t xml:space="preserve">The </w:t>
      </w:r>
      <w:r w:rsidRPr="001D08AC">
        <w:rPr>
          <w:rFonts w:eastAsia="SimSun"/>
          <w:lang w:val="en-US" w:eastAsia="zh-CN"/>
        </w:rPr>
        <w:t xml:space="preserve">Council </w:t>
      </w:r>
      <w:r>
        <w:rPr>
          <w:rFonts w:eastAsia="SimSun"/>
          <w:lang w:val="en-US" w:eastAsia="zh-CN"/>
        </w:rPr>
        <w:t xml:space="preserve">considered the WRC-19 agenda in </w:t>
      </w:r>
      <w:r w:rsidRPr="00B2255F">
        <w:t xml:space="preserve">Resolution </w:t>
      </w:r>
      <w:r w:rsidRPr="000F7C92">
        <w:rPr>
          <w:b/>
          <w:bCs/>
        </w:rPr>
        <w:t>809 (WRC-15)</w:t>
      </w:r>
      <w:r w:rsidRPr="00B2255F">
        <w:t xml:space="preserve"> </w:t>
      </w:r>
      <w:r>
        <w:rPr>
          <w:rFonts w:eastAsia="SimSun"/>
          <w:lang w:val="en-US" w:eastAsia="zh-CN"/>
        </w:rPr>
        <w:t xml:space="preserve">and </w:t>
      </w:r>
      <w:r w:rsidRPr="001D08AC">
        <w:rPr>
          <w:rFonts w:eastAsia="SimSun"/>
          <w:lang w:val="en-US" w:eastAsia="zh-CN"/>
        </w:rPr>
        <w:t>approved Resolution 13</w:t>
      </w:r>
      <w:r>
        <w:rPr>
          <w:rFonts w:eastAsia="SimSun"/>
          <w:lang w:val="en-US" w:eastAsia="zh-CN"/>
        </w:rPr>
        <w:t>80</w:t>
      </w:r>
      <w:r w:rsidRPr="001D08AC">
        <w:rPr>
          <w:rFonts w:eastAsia="SimSun"/>
          <w:lang w:val="en-US" w:eastAsia="zh-CN"/>
        </w:rPr>
        <w:t xml:space="preserve"> </w:t>
      </w:r>
      <w:r>
        <w:rPr>
          <w:rFonts w:eastAsia="SimSun"/>
          <w:lang w:val="en-US" w:eastAsia="zh-CN"/>
        </w:rPr>
        <w:t>(</w:t>
      </w:r>
      <w:bookmarkStart w:id="14" w:name="_Hlk351970741"/>
      <w:r>
        <w:rPr>
          <w:rFonts w:eastAsia="SimSun"/>
          <w:lang w:val="en-US" w:eastAsia="zh-CN"/>
        </w:rPr>
        <w:t xml:space="preserve">see </w:t>
      </w:r>
      <w:hyperlink r:id="rId10" w:history="1">
        <w:r w:rsidRPr="00C16ED2">
          <w:rPr>
            <w:rStyle w:val="Hyperlink"/>
            <w:rFonts w:eastAsia="SimSun"/>
            <w:szCs w:val="24"/>
            <w:lang w:val="en-US" w:eastAsia="zh-CN"/>
          </w:rPr>
          <w:t>Document C16/130</w:t>
        </w:r>
        <w:bookmarkEnd w:id="14"/>
      </w:hyperlink>
      <w:r w:rsidRPr="001D08AC">
        <w:rPr>
          <w:rFonts w:eastAsia="SimSun"/>
          <w:lang w:val="en-US" w:eastAsia="zh-CN"/>
        </w:rPr>
        <w:t xml:space="preserve">) containing the </w:t>
      </w:r>
      <w:r>
        <w:rPr>
          <w:rFonts w:eastAsia="SimSun"/>
          <w:lang w:val="en-US" w:eastAsia="zh-CN"/>
        </w:rPr>
        <w:t xml:space="preserve">same WRC-19 </w:t>
      </w:r>
      <w:r w:rsidRPr="001D08AC">
        <w:rPr>
          <w:rFonts w:eastAsia="SimSun"/>
          <w:lang w:val="en-US" w:eastAsia="zh-CN"/>
        </w:rPr>
        <w:t>agenda</w:t>
      </w:r>
      <w:r>
        <w:rPr>
          <w:rFonts w:eastAsia="SimSun"/>
          <w:lang w:val="en-US" w:eastAsia="zh-CN"/>
        </w:rPr>
        <w:t>,</w:t>
      </w:r>
      <w:r w:rsidRPr="001D08AC">
        <w:rPr>
          <w:rFonts w:eastAsia="SimSun"/>
          <w:lang w:val="en-US" w:eastAsia="zh-CN"/>
        </w:rPr>
        <w:t xml:space="preserve"> as well as the dates and venue for WRC-1</w:t>
      </w:r>
      <w:r>
        <w:rPr>
          <w:rFonts w:eastAsia="SimSun"/>
          <w:lang w:val="en-US" w:eastAsia="zh-CN"/>
        </w:rPr>
        <w:t>9</w:t>
      </w:r>
      <w:r w:rsidRPr="001D08AC">
        <w:rPr>
          <w:rFonts w:eastAsia="SimSun"/>
          <w:lang w:val="en-US" w:eastAsia="zh-CN"/>
        </w:rPr>
        <w:t xml:space="preserve"> (Geneva, </w:t>
      </w:r>
      <w:r>
        <w:t>28 October to 22</w:t>
      </w:r>
      <w:r w:rsidRPr="009A2B70">
        <w:t xml:space="preserve"> November </w:t>
      </w:r>
      <w:r w:rsidRPr="001D08AC">
        <w:rPr>
          <w:rFonts w:eastAsia="SimSun"/>
          <w:lang w:val="en-US" w:eastAsia="zh-CN"/>
        </w:rPr>
        <w:t>201</w:t>
      </w:r>
      <w:r>
        <w:rPr>
          <w:rFonts w:eastAsia="SimSun"/>
          <w:lang w:val="en-US" w:eastAsia="zh-CN"/>
        </w:rPr>
        <w:t>9</w:t>
      </w:r>
      <w:r w:rsidRPr="001D08AC">
        <w:rPr>
          <w:rFonts w:eastAsia="SimSun"/>
          <w:lang w:val="en-US" w:eastAsia="zh-CN"/>
        </w:rPr>
        <w:t xml:space="preserve">) </w:t>
      </w:r>
      <w:r>
        <w:rPr>
          <w:rFonts w:eastAsia="SimSun"/>
          <w:lang w:val="en-US" w:eastAsia="zh-CN"/>
        </w:rPr>
        <w:t xml:space="preserve">and </w:t>
      </w:r>
      <w:r w:rsidRPr="001D08AC">
        <w:rPr>
          <w:rFonts w:eastAsia="SimSun"/>
          <w:lang w:val="en-US" w:eastAsia="zh-CN"/>
        </w:rPr>
        <w:t>for RA-1</w:t>
      </w:r>
      <w:r>
        <w:rPr>
          <w:rFonts w:eastAsia="SimSun"/>
          <w:lang w:val="en-US" w:eastAsia="zh-CN"/>
        </w:rPr>
        <w:t>9</w:t>
      </w:r>
      <w:r w:rsidRPr="001D08AC">
        <w:rPr>
          <w:rFonts w:eastAsia="SimSun"/>
          <w:lang w:val="en-US" w:eastAsia="zh-CN"/>
        </w:rPr>
        <w:t xml:space="preserve"> (Geneva, </w:t>
      </w:r>
      <w:r>
        <w:t>21 to 25 </w:t>
      </w:r>
      <w:r w:rsidRPr="001D08AC">
        <w:rPr>
          <w:rFonts w:eastAsia="SimSun"/>
          <w:lang w:val="en-US" w:eastAsia="zh-CN"/>
        </w:rPr>
        <w:t xml:space="preserve">October 2015). </w:t>
      </w:r>
      <w:r>
        <w:rPr>
          <w:rFonts w:eastAsia="SimSun"/>
          <w:lang w:val="en-US" w:eastAsia="zh-CN"/>
        </w:rPr>
        <w:t>In accordance with CV 42 and CV 118, t</w:t>
      </w:r>
      <w:r w:rsidRPr="001D08AC">
        <w:rPr>
          <w:rFonts w:eastAsia="SimSun"/>
          <w:lang w:val="en-US" w:eastAsia="zh-CN"/>
        </w:rPr>
        <w:t xml:space="preserve">his Council Resolution was </w:t>
      </w:r>
      <w:r>
        <w:rPr>
          <w:rFonts w:eastAsia="SimSun"/>
          <w:lang w:val="en-US" w:eastAsia="zh-CN"/>
        </w:rPr>
        <w:t xml:space="preserve">the object of a consultation to Member States, and it received the agreement of the required majority of the Member States of ITU (see </w:t>
      </w:r>
      <w:hyperlink r:id="rId11" w:history="1">
        <w:r w:rsidRPr="00C16ED2">
          <w:rPr>
            <w:rStyle w:val="Hyperlink"/>
            <w:rFonts w:eastAsia="SimSun"/>
            <w:lang w:val="en-US" w:eastAsia="zh-CN"/>
          </w:rPr>
          <w:t>CL-16/57</w:t>
        </w:r>
      </w:hyperlink>
      <w:r>
        <w:rPr>
          <w:rFonts w:eastAsia="SimSun"/>
          <w:lang w:val="en-US" w:eastAsia="zh-CN"/>
        </w:rPr>
        <w:t xml:space="preserve"> of </w:t>
      </w:r>
      <w:r w:rsidRPr="00C16ED2">
        <w:rPr>
          <w:rFonts w:eastAsia="SimSun"/>
          <w:lang w:val="en-US" w:eastAsia="zh-CN"/>
        </w:rPr>
        <w:t>8 December 2016</w:t>
      </w:r>
      <w:r>
        <w:rPr>
          <w:rFonts w:eastAsia="SimSun"/>
          <w:lang w:val="en-US" w:eastAsia="zh-CN"/>
        </w:rPr>
        <w:t>)</w:t>
      </w:r>
      <w:r w:rsidRPr="001D08AC">
        <w:rPr>
          <w:rFonts w:eastAsia="SimSun"/>
          <w:lang w:val="en-US" w:eastAsia="zh-CN"/>
        </w:rPr>
        <w:t xml:space="preserve">. </w:t>
      </w:r>
    </w:p>
    <w:p w:rsidR="006B63C0" w:rsidRDefault="006B63C0" w:rsidP="006B63C0">
      <w:pPr>
        <w:rPr>
          <w:rFonts w:eastAsia="SimSun"/>
          <w:lang w:val="en-US" w:eastAsia="zh-CN"/>
        </w:rPr>
      </w:pPr>
      <w:r w:rsidRPr="00FD2C82">
        <w:rPr>
          <w:rFonts w:eastAsia="SimSun"/>
          <w:lang w:val="en-US" w:eastAsia="zh-CN"/>
        </w:rPr>
        <w:t>In view of the Arab Republic of Egypt’s expression of interest to host the WRC</w:t>
      </w:r>
      <w:r w:rsidRPr="00FD2C82">
        <w:rPr>
          <w:rFonts w:ascii="Cambria Math" w:eastAsia="SimSun" w:hAnsi="Cambria Math" w:cs="Cambria Math"/>
          <w:lang w:val="en-US" w:eastAsia="zh-CN"/>
        </w:rPr>
        <w:t>‐</w:t>
      </w:r>
      <w:r w:rsidRPr="00FD2C82">
        <w:rPr>
          <w:rFonts w:eastAsia="SimSun"/>
          <w:lang w:val="en-US" w:eastAsia="zh-CN"/>
        </w:rPr>
        <w:t>19 on the dates</w:t>
      </w:r>
      <w:r>
        <w:rPr>
          <w:rFonts w:eastAsia="SimSun"/>
          <w:lang w:val="en-US" w:eastAsia="zh-CN"/>
        </w:rPr>
        <w:t xml:space="preserve"> </w:t>
      </w:r>
      <w:r w:rsidRPr="00FD2C82">
        <w:rPr>
          <w:rFonts w:eastAsia="SimSun"/>
          <w:lang w:val="en-US" w:eastAsia="zh-CN"/>
        </w:rPr>
        <w:t>proposed in Resolution 1380, the Council further instructed the Secretary</w:t>
      </w:r>
      <w:r w:rsidRPr="00FD2C82">
        <w:rPr>
          <w:rFonts w:ascii="Cambria Math" w:eastAsia="SimSun" w:hAnsi="Cambria Math" w:cs="Cambria Math"/>
          <w:lang w:val="en-US" w:eastAsia="zh-CN"/>
        </w:rPr>
        <w:t>‐</w:t>
      </w:r>
      <w:r w:rsidRPr="00FD2C82">
        <w:rPr>
          <w:rFonts w:eastAsia="SimSun"/>
          <w:lang w:val="en-US" w:eastAsia="zh-CN"/>
        </w:rPr>
        <w:t>General to continue</w:t>
      </w:r>
      <w:r>
        <w:rPr>
          <w:rFonts w:eastAsia="SimSun"/>
          <w:lang w:val="en-US" w:eastAsia="zh-CN"/>
        </w:rPr>
        <w:t xml:space="preserve"> </w:t>
      </w:r>
      <w:r w:rsidRPr="00FD2C82">
        <w:rPr>
          <w:rFonts w:eastAsia="SimSun"/>
          <w:lang w:val="en-US" w:eastAsia="zh-CN"/>
        </w:rPr>
        <w:t>consultations with Egypt to explore the possibility of an alternative place for WRC</w:t>
      </w:r>
      <w:r w:rsidRPr="00FD2C82">
        <w:rPr>
          <w:rFonts w:ascii="Cambria Math" w:eastAsia="SimSun" w:hAnsi="Cambria Math" w:cs="Cambria Math"/>
          <w:lang w:val="en-US" w:eastAsia="zh-CN"/>
        </w:rPr>
        <w:t>‐</w:t>
      </w:r>
      <w:r w:rsidRPr="00FD2C82">
        <w:rPr>
          <w:rFonts w:eastAsia="SimSun"/>
          <w:lang w:val="en-US" w:eastAsia="zh-CN"/>
        </w:rPr>
        <w:t>19.</w:t>
      </w:r>
    </w:p>
    <w:p w:rsidR="006B63C0" w:rsidRPr="001D08AC" w:rsidRDefault="006B63C0" w:rsidP="006B63C0">
      <w:pPr>
        <w:rPr>
          <w:rFonts w:eastAsia="SimSun"/>
          <w:lang w:val="en-US" w:eastAsia="zh-CN"/>
        </w:rPr>
      </w:pPr>
      <w:r>
        <w:rPr>
          <w:rFonts w:eastAsia="SimSun"/>
          <w:lang w:val="en-US" w:eastAsia="zh-CN"/>
        </w:rPr>
        <w:t xml:space="preserve">Taking into account the CICG availability as well as the different views expressed on the time needed between the </w:t>
      </w:r>
      <w:r w:rsidRPr="001D08AC">
        <w:rPr>
          <w:rFonts w:eastAsia="SimSun"/>
          <w:lang w:val="en-US" w:eastAsia="zh-CN"/>
        </w:rPr>
        <w:t xml:space="preserve">Second Session of the CPM </w:t>
      </w:r>
      <w:r>
        <w:rPr>
          <w:rFonts w:eastAsia="SimSun"/>
          <w:lang w:val="en-US" w:eastAsia="zh-CN"/>
        </w:rPr>
        <w:t xml:space="preserve">(i.e. CPM19-2) and WRC-19, </w:t>
      </w:r>
      <w:r w:rsidRPr="001D08AC">
        <w:rPr>
          <w:rFonts w:eastAsia="SimSun"/>
          <w:lang w:val="en-US" w:eastAsia="zh-CN"/>
        </w:rPr>
        <w:t>Council noted the dates and venue proposed for CPM1</w:t>
      </w:r>
      <w:r>
        <w:rPr>
          <w:rFonts w:eastAsia="SimSun"/>
          <w:lang w:val="en-US" w:eastAsia="zh-CN"/>
        </w:rPr>
        <w:t>9</w:t>
      </w:r>
      <w:r>
        <w:rPr>
          <w:rFonts w:eastAsia="SimSun"/>
          <w:lang w:val="en-US" w:eastAsia="zh-CN"/>
        </w:rPr>
        <w:noBreakHyphen/>
      </w:r>
      <w:r w:rsidRPr="001D08AC">
        <w:rPr>
          <w:rFonts w:eastAsia="SimSun"/>
          <w:lang w:val="en-US" w:eastAsia="zh-CN"/>
        </w:rPr>
        <w:t>2</w:t>
      </w:r>
      <w:r>
        <w:rPr>
          <w:rFonts w:eastAsia="SimSun"/>
          <w:lang w:val="en-US" w:eastAsia="zh-CN"/>
        </w:rPr>
        <w:t xml:space="preserve"> (</w:t>
      </w:r>
      <w:r w:rsidRPr="001D08AC">
        <w:rPr>
          <w:lang w:val="en-US"/>
        </w:rPr>
        <w:t xml:space="preserve">Geneva, </w:t>
      </w:r>
      <w:r>
        <w:rPr>
          <w:lang w:val="en-US"/>
        </w:rPr>
        <w:t xml:space="preserve">15 February to 1 </w:t>
      </w:r>
      <w:r w:rsidRPr="001D08AC">
        <w:rPr>
          <w:lang w:val="en-US"/>
        </w:rPr>
        <w:t>March</w:t>
      </w:r>
      <w:r>
        <w:rPr>
          <w:lang w:val="en-US"/>
        </w:rPr>
        <w:t xml:space="preserve"> </w:t>
      </w:r>
      <w:r w:rsidRPr="001D08AC">
        <w:rPr>
          <w:lang w:val="en-US"/>
        </w:rPr>
        <w:t>201</w:t>
      </w:r>
      <w:r>
        <w:rPr>
          <w:lang w:val="en-US"/>
        </w:rPr>
        <w:t>9, see </w:t>
      </w:r>
      <w:hyperlink r:id="rId12" w:history="1">
        <w:r>
          <w:rPr>
            <w:rStyle w:val="Hyperlink"/>
            <w:rFonts w:eastAsia="SimSun"/>
            <w:szCs w:val="24"/>
            <w:lang w:val="en-US" w:eastAsia="zh-CN"/>
          </w:rPr>
          <w:t>Document </w:t>
        </w:r>
        <w:r w:rsidRPr="00C16ED2">
          <w:rPr>
            <w:rStyle w:val="Hyperlink"/>
            <w:rFonts w:eastAsia="SimSun"/>
            <w:szCs w:val="24"/>
            <w:lang w:val="en-US" w:eastAsia="zh-CN"/>
          </w:rPr>
          <w:t>C16/</w:t>
        </w:r>
        <w:r>
          <w:rPr>
            <w:rStyle w:val="Hyperlink"/>
            <w:rFonts w:eastAsia="SimSun"/>
            <w:szCs w:val="24"/>
            <w:lang w:val="en-US" w:eastAsia="zh-CN"/>
          </w:rPr>
          <w:t>37(Rev.1)</w:t>
        </w:r>
      </w:hyperlink>
      <w:r w:rsidRPr="001D08AC">
        <w:rPr>
          <w:lang w:val="en-US"/>
        </w:rPr>
        <w:t>)</w:t>
      </w:r>
      <w:r>
        <w:rPr>
          <w:lang w:val="en-US"/>
        </w:rPr>
        <w:t>.</w:t>
      </w:r>
    </w:p>
    <w:p w:rsidR="006B63C0" w:rsidRPr="00ED04B0" w:rsidRDefault="006B63C0" w:rsidP="006B63C0">
      <w:pPr>
        <w:pStyle w:val="Heading1"/>
      </w:pPr>
      <w:r w:rsidRPr="00ED04B0">
        <w:t>3</w:t>
      </w:r>
      <w:r w:rsidRPr="00ED04B0">
        <w:tab/>
      </w:r>
      <w:bookmarkEnd w:id="13"/>
      <w:r w:rsidRPr="00E94CD2">
        <w:t>Implementation</w:t>
      </w:r>
      <w:r>
        <w:t xml:space="preserve"> of WRC-15 decisions</w:t>
      </w:r>
    </w:p>
    <w:p w:rsidR="006B63C0" w:rsidRPr="006A2D77" w:rsidRDefault="006B63C0" w:rsidP="006B63C0">
      <w:pPr>
        <w:pStyle w:val="Heading2"/>
      </w:pPr>
      <w:bookmarkStart w:id="15" w:name="_Toc446060759"/>
      <w:r w:rsidRPr="00ED04B0">
        <w:t>3.1</w:t>
      </w:r>
      <w:r w:rsidRPr="00ED04B0">
        <w:tab/>
      </w:r>
      <w:bookmarkStart w:id="16" w:name="_Toc446060764"/>
      <w:bookmarkEnd w:id="15"/>
      <w:r w:rsidRPr="00ED04B0">
        <w:t>Software development to implement WRC-15 decisions</w:t>
      </w:r>
      <w:bookmarkEnd w:id="16"/>
    </w:p>
    <w:p w:rsidR="006B63C0" w:rsidRDefault="006B63C0" w:rsidP="006B63C0">
      <w:pPr>
        <w:tabs>
          <w:tab w:val="left" w:pos="7655"/>
        </w:tabs>
        <w:spacing w:after="120"/>
        <w:rPr>
          <w:szCs w:val="24"/>
        </w:rPr>
      </w:pPr>
      <w:r>
        <w:rPr>
          <w:szCs w:val="24"/>
        </w:rPr>
        <w:t xml:space="preserve">During 2016, the </w:t>
      </w:r>
      <w:r w:rsidRPr="00FD777A">
        <w:rPr>
          <w:szCs w:val="24"/>
        </w:rPr>
        <w:t xml:space="preserve">BR </w:t>
      </w:r>
      <w:r>
        <w:rPr>
          <w:szCs w:val="24"/>
        </w:rPr>
        <w:t xml:space="preserve">pursued </w:t>
      </w:r>
      <w:r w:rsidRPr="00FD777A">
        <w:rPr>
          <w:szCs w:val="24"/>
        </w:rPr>
        <w:t>software design and development to i</w:t>
      </w:r>
      <w:r>
        <w:rPr>
          <w:szCs w:val="24"/>
        </w:rPr>
        <w:t>mplement WRC-15 decisions. The t</w:t>
      </w:r>
      <w:r w:rsidRPr="00FD777A">
        <w:rPr>
          <w:szCs w:val="24"/>
        </w:rPr>
        <w:t>able below presents a summary of the main tasks under consideration.</w:t>
      </w:r>
    </w:p>
    <w:p w:rsidR="006B63C0" w:rsidRPr="00FD777A" w:rsidRDefault="006B63C0" w:rsidP="006B63C0">
      <w:pPr>
        <w:tabs>
          <w:tab w:val="left" w:pos="7655"/>
        </w:tabs>
        <w:spacing w:before="240" w:after="120"/>
        <w:jc w:val="center"/>
        <w:rPr>
          <w:b/>
          <w:bCs/>
          <w:szCs w:val="24"/>
        </w:rPr>
      </w:pPr>
      <w:r w:rsidRPr="00FD777A">
        <w:rPr>
          <w:b/>
          <w:bCs/>
          <w:szCs w:val="24"/>
        </w:rPr>
        <w:t>Software developm</w:t>
      </w:r>
      <w:r>
        <w:rPr>
          <w:b/>
          <w:bCs/>
          <w:szCs w:val="24"/>
        </w:rPr>
        <w:t>ent activities to implement WRC-</w:t>
      </w:r>
      <w:r w:rsidRPr="00FD777A">
        <w:rPr>
          <w:b/>
          <w:bCs/>
          <w:szCs w:val="24"/>
        </w:rPr>
        <w:t>15 decisions</w:t>
      </w:r>
    </w:p>
    <w:tbl>
      <w:tblPr>
        <w:tblStyle w:val="TableGrid"/>
        <w:tblW w:w="0" w:type="auto"/>
        <w:tblLook w:val="04A0" w:firstRow="1" w:lastRow="0" w:firstColumn="1" w:lastColumn="0" w:noHBand="0" w:noVBand="1"/>
      </w:tblPr>
      <w:tblGrid>
        <w:gridCol w:w="9629"/>
      </w:tblGrid>
      <w:tr w:rsidR="006B63C0" w:rsidTr="009A53E2">
        <w:tc>
          <w:tcPr>
            <w:tcW w:w="9350" w:type="dxa"/>
          </w:tcPr>
          <w:p w:rsidR="006B63C0" w:rsidRPr="00B53151" w:rsidRDefault="006B63C0" w:rsidP="009A53E2">
            <w:pPr>
              <w:tabs>
                <w:tab w:val="left" w:pos="7655"/>
              </w:tabs>
              <w:spacing w:after="120"/>
              <w:rPr>
                <w:b/>
                <w:bCs/>
              </w:rPr>
            </w:pPr>
            <w:r w:rsidRPr="00B53151">
              <w:rPr>
                <w:b/>
                <w:bCs/>
              </w:rPr>
              <w:t xml:space="preserve">Resolution 907 (Rev. WRC-15): Use of modern electronic means of communication for satellite network –related administrative correspondence </w:t>
            </w:r>
          </w:p>
          <w:p w:rsidR="006B63C0" w:rsidRPr="00B53151" w:rsidRDefault="006B63C0" w:rsidP="009A53E2">
            <w:pPr>
              <w:tabs>
                <w:tab w:val="left" w:pos="7655"/>
              </w:tabs>
              <w:spacing w:after="120"/>
              <w:rPr>
                <w:sz w:val="22"/>
                <w:szCs w:val="22"/>
              </w:rPr>
            </w:pPr>
            <w:r w:rsidRPr="00B53151">
              <w:rPr>
                <w:sz w:val="22"/>
                <w:szCs w:val="22"/>
              </w:rPr>
              <w:t xml:space="preserve">Following WRC-15, a project to address the definition, design and implementation of the toolset to cover the implementation of Resolution </w:t>
            </w:r>
            <w:r w:rsidRPr="009A53E2">
              <w:rPr>
                <w:b/>
                <w:bCs/>
                <w:sz w:val="22"/>
                <w:szCs w:val="22"/>
              </w:rPr>
              <w:t>907 (WRC-15)</w:t>
            </w:r>
            <w:r w:rsidRPr="00B53151">
              <w:rPr>
                <w:sz w:val="22"/>
                <w:szCs w:val="22"/>
              </w:rPr>
              <w:t xml:space="preserve"> was initiated under the coordination of the Space Services Department.</w:t>
            </w:r>
          </w:p>
          <w:p w:rsidR="006B63C0" w:rsidRPr="00B53151" w:rsidRDefault="006B63C0" w:rsidP="009A53E2">
            <w:pPr>
              <w:tabs>
                <w:tab w:val="left" w:pos="7655"/>
              </w:tabs>
              <w:spacing w:after="120"/>
              <w:rPr>
                <w:sz w:val="22"/>
                <w:szCs w:val="22"/>
              </w:rPr>
            </w:pPr>
            <w:r w:rsidRPr="00B53151">
              <w:rPr>
                <w:sz w:val="22"/>
                <w:szCs w:val="22"/>
              </w:rPr>
              <w:t>The following goals were set in order to define a secure online system to modernize and enhance the current system processing correspondence to and between Administrations with ITU:</w:t>
            </w:r>
          </w:p>
          <w:p w:rsidR="006B63C0" w:rsidRPr="00B53151" w:rsidRDefault="006B63C0" w:rsidP="009A53E2">
            <w:pPr>
              <w:numPr>
                <w:ilvl w:val="0"/>
                <w:numId w:val="31"/>
              </w:numPr>
              <w:tabs>
                <w:tab w:val="left" w:pos="7655"/>
              </w:tabs>
              <w:spacing w:after="120"/>
              <w:rPr>
                <w:sz w:val="22"/>
                <w:szCs w:val="22"/>
                <w:lang w:val="en-US"/>
              </w:rPr>
            </w:pPr>
            <w:r w:rsidRPr="00B53151">
              <w:rPr>
                <w:sz w:val="22"/>
                <w:szCs w:val="22"/>
                <w:lang w:val="en-US"/>
              </w:rPr>
              <w:lastRenderedPageBreak/>
              <w:t>Simple, intuitive user interface to address a worldwide community of ITU member administrations and ensure the maximum possible acceptance</w:t>
            </w:r>
          </w:p>
          <w:p w:rsidR="006B63C0" w:rsidRPr="00B53151" w:rsidRDefault="006B63C0" w:rsidP="009A53E2">
            <w:pPr>
              <w:numPr>
                <w:ilvl w:val="0"/>
                <w:numId w:val="31"/>
              </w:numPr>
              <w:tabs>
                <w:tab w:val="left" w:pos="7655"/>
              </w:tabs>
              <w:spacing w:after="120"/>
              <w:rPr>
                <w:sz w:val="22"/>
                <w:szCs w:val="22"/>
                <w:lang w:val="en-US"/>
              </w:rPr>
            </w:pPr>
            <w:r w:rsidRPr="00B53151">
              <w:rPr>
                <w:sz w:val="22"/>
                <w:szCs w:val="22"/>
                <w:lang w:val="en-US"/>
              </w:rPr>
              <w:t>Web-based and self-contained online system hosted in ITU IT infrastructure, relaying online submissions of correspondence to a destination (ITU, Administrations)</w:t>
            </w:r>
          </w:p>
          <w:p w:rsidR="006B63C0" w:rsidRPr="00B53151" w:rsidRDefault="006B63C0" w:rsidP="009A53E2">
            <w:pPr>
              <w:numPr>
                <w:ilvl w:val="0"/>
                <w:numId w:val="31"/>
              </w:numPr>
              <w:tabs>
                <w:tab w:val="left" w:pos="7655"/>
              </w:tabs>
              <w:spacing w:after="120"/>
              <w:rPr>
                <w:sz w:val="22"/>
                <w:szCs w:val="22"/>
                <w:lang w:val="en-US"/>
              </w:rPr>
            </w:pPr>
            <w:r w:rsidRPr="00B53151">
              <w:rPr>
                <w:sz w:val="22"/>
                <w:szCs w:val="22"/>
                <w:lang w:val="en-US"/>
              </w:rPr>
              <w:t>Provide high security and trust in relaying, timestamping, forwarding correspondence while monitoring the information flow</w:t>
            </w:r>
          </w:p>
          <w:p w:rsidR="006B63C0" w:rsidRPr="00B53151" w:rsidRDefault="006B63C0" w:rsidP="009A53E2">
            <w:pPr>
              <w:numPr>
                <w:ilvl w:val="0"/>
                <w:numId w:val="31"/>
              </w:numPr>
              <w:tabs>
                <w:tab w:val="left" w:pos="7655"/>
              </w:tabs>
              <w:spacing w:after="120"/>
              <w:rPr>
                <w:sz w:val="22"/>
                <w:szCs w:val="22"/>
                <w:lang w:val="en-US"/>
              </w:rPr>
            </w:pPr>
            <w:r w:rsidRPr="00B53151">
              <w:rPr>
                <w:sz w:val="22"/>
                <w:szCs w:val="22"/>
                <w:lang w:val="en-US"/>
              </w:rPr>
              <w:t>Provide the necessary elements to track submission and delivery, as well as successful reception of expedited data</w:t>
            </w:r>
          </w:p>
          <w:p w:rsidR="006B63C0" w:rsidRPr="00B53151" w:rsidRDefault="006B63C0" w:rsidP="009A53E2">
            <w:pPr>
              <w:numPr>
                <w:ilvl w:val="0"/>
                <w:numId w:val="31"/>
              </w:numPr>
              <w:tabs>
                <w:tab w:val="left" w:pos="7655"/>
              </w:tabs>
              <w:spacing w:after="120"/>
              <w:rPr>
                <w:sz w:val="22"/>
                <w:szCs w:val="22"/>
                <w:lang w:val="en-US"/>
              </w:rPr>
            </w:pPr>
            <w:r w:rsidRPr="00B53151">
              <w:rPr>
                <w:sz w:val="22"/>
                <w:szCs w:val="22"/>
                <w:lang w:val="en-US"/>
              </w:rPr>
              <w:t>Seamlessly integrate to existing correspondence processing system and ITU IT infrastructure</w:t>
            </w:r>
          </w:p>
          <w:p w:rsidR="006B63C0" w:rsidRPr="00B53151" w:rsidRDefault="006B63C0" w:rsidP="009A53E2">
            <w:pPr>
              <w:tabs>
                <w:tab w:val="left" w:pos="7655"/>
              </w:tabs>
              <w:spacing w:after="120"/>
              <w:rPr>
                <w:sz w:val="22"/>
                <w:szCs w:val="22"/>
              </w:rPr>
            </w:pPr>
            <w:r w:rsidRPr="00B53151">
              <w:rPr>
                <w:sz w:val="22"/>
                <w:szCs w:val="22"/>
              </w:rPr>
              <w:t xml:space="preserve">The collection of functionality requirements was initiated during the project start up in order to collect information on the expectations of such a system. During the second and third quarter of 2016 a prototype tool was developed by an ITU Academia member -CTU Prague, Czech republic. This tool was used to make a technological demonstration of the basic functionality and steer the choices for the future project evolution. </w:t>
            </w:r>
          </w:p>
          <w:p w:rsidR="006B63C0" w:rsidRPr="00B53151" w:rsidRDefault="006B63C0" w:rsidP="009A53E2">
            <w:pPr>
              <w:tabs>
                <w:tab w:val="left" w:pos="7655"/>
              </w:tabs>
              <w:spacing w:after="120"/>
              <w:rPr>
                <w:sz w:val="22"/>
                <w:szCs w:val="22"/>
              </w:rPr>
            </w:pPr>
            <w:r w:rsidRPr="00B53151">
              <w:rPr>
                <w:sz w:val="22"/>
                <w:szCs w:val="22"/>
              </w:rPr>
              <w:t>The activities continued up to the end of 2016 with a refinement of the functionality. The BR decided to develop the tool internally with the assistance of the CTU Prague. The timeframe for the delivery of a tool that would demonstrate the technical readiness to be in production was set for end-June 2017, with the following project phases:</w:t>
            </w:r>
          </w:p>
          <w:p w:rsidR="006B63C0" w:rsidRPr="00B53151" w:rsidRDefault="006B63C0" w:rsidP="009A53E2">
            <w:pPr>
              <w:numPr>
                <w:ilvl w:val="0"/>
                <w:numId w:val="31"/>
              </w:numPr>
              <w:tabs>
                <w:tab w:val="left" w:pos="7655"/>
              </w:tabs>
              <w:spacing w:after="120"/>
              <w:rPr>
                <w:sz w:val="22"/>
                <w:szCs w:val="22"/>
                <w:lang w:val="en-US"/>
              </w:rPr>
            </w:pPr>
            <w:r w:rsidRPr="00B53151">
              <w:rPr>
                <w:sz w:val="22"/>
                <w:szCs w:val="22"/>
                <w:lang w:val="en-US"/>
              </w:rPr>
              <w:t>end-April, release of a b</w:t>
            </w:r>
            <w:r>
              <w:rPr>
                <w:sz w:val="22"/>
                <w:szCs w:val="22"/>
                <w:lang w:val="en-US"/>
              </w:rPr>
              <w:t>eta version;</w:t>
            </w:r>
          </w:p>
          <w:p w:rsidR="006B63C0" w:rsidRPr="00B53151" w:rsidRDefault="006B63C0" w:rsidP="009A53E2">
            <w:pPr>
              <w:numPr>
                <w:ilvl w:val="0"/>
                <w:numId w:val="31"/>
              </w:numPr>
              <w:tabs>
                <w:tab w:val="left" w:pos="7655"/>
              </w:tabs>
              <w:spacing w:after="120"/>
              <w:rPr>
                <w:sz w:val="22"/>
                <w:szCs w:val="22"/>
                <w:lang w:val="en-US"/>
              </w:rPr>
            </w:pPr>
            <w:r w:rsidRPr="00B53151">
              <w:rPr>
                <w:sz w:val="22"/>
                <w:szCs w:val="22"/>
                <w:lang w:val="en-US"/>
              </w:rPr>
              <w:t>May-June: testing;</w:t>
            </w:r>
          </w:p>
          <w:p w:rsidR="006B63C0" w:rsidRDefault="006B63C0" w:rsidP="009A53E2">
            <w:pPr>
              <w:numPr>
                <w:ilvl w:val="0"/>
                <w:numId w:val="31"/>
              </w:numPr>
              <w:tabs>
                <w:tab w:val="left" w:pos="7655"/>
              </w:tabs>
              <w:spacing w:after="120"/>
            </w:pPr>
            <w:r w:rsidRPr="00B53151">
              <w:rPr>
                <w:sz w:val="22"/>
                <w:szCs w:val="22"/>
                <w:lang w:val="en-US"/>
              </w:rPr>
              <w:t>End-June: tool ready for production.</w:t>
            </w:r>
          </w:p>
        </w:tc>
      </w:tr>
      <w:tr w:rsidR="006B63C0" w:rsidTr="009A53E2">
        <w:tc>
          <w:tcPr>
            <w:tcW w:w="9350" w:type="dxa"/>
          </w:tcPr>
          <w:p w:rsidR="006B63C0" w:rsidRPr="00B53151" w:rsidRDefault="009A53E2" w:rsidP="009A53E2">
            <w:pPr>
              <w:tabs>
                <w:tab w:val="left" w:pos="7655"/>
              </w:tabs>
              <w:spacing w:after="120"/>
              <w:rPr>
                <w:b/>
                <w:bCs/>
              </w:rPr>
            </w:pPr>
            <w:r>
              <w:rPr>
                <w:b/>
                <w:bCs/>
              </w:rPr>
              <w:lastRenderedPageBreak/>
              <w:t>Resolution 908 (Rev.</w:t>
            </w:r>
            <w:r w:rsidR="006B63C0" w:rsidRPr="00B53151">
              <w:rPr>
                <w:b/>
                <w:bCs/>
              </w:rPr>
              <w:t xml:space="preserve">WRC-15): Electronic submission of satellite network filings </w:t>
            </w:r>
          </w:p>
          <w:p w:rsidR="006B63C0" w:rsidRPr="00B53151" w:rsidRDefault="009A53E2" w:rsidP="009A53E2">
            <w:pPr>
              <w:tabs>
                <w:tab w:val="left" w:pos="7797"/>
              </w:tabs>
              <w:spacing w:after="120"/>
              <w:rPr>
                <w:sz w:val="22"/>
                <w:szCs w:val="22"/>
              </w:rPr>
            </w:pPr>
            <w:r>
              <w:rPr>
                <w:sz w:val="22"/>
                <w:szCs w:val="22"/>
              </w:rPr>
              <w:t xml:space="preserve">Resolution </w:t>
            </w:r>
            <w:r w:rsidRPr="009A53E2">
              <w:rPr>
                <w:b/>
                <w:bCs/>
                <w:sz w:val="22"/>
                <w:szCs w:val="22"/>
              </w:rPr>
              <w:t>908 (Rev.</w:t>
            </w:r>
            <w:r w:rsidR="006B63C0" w:rsidRPr="009A53E2">
              <w:rPr>
                <w:b/>
                <w:bCs/>
                <w:sz w:val="22"/>
                <w:szCs w:val="22"/>
              </w:rPr>
              <w:t>WRC-15)</w:t>
            </w:r>
            <w:r w:rsidR="006B63C0" w:rsidRPr="00B53151">
              <w:rPr>
                <w:sz w:val="22"/>
                <w:szCs w:val="22"/>
              </w:rPr>
              <w:t xml:space="preserve"> resolves that administrations shall submit all satellite network filings and comments, if required, using a secure paperless electronic approach upon being advised that the means for such electronic submission of a satellite network filing for satellite networks or systems has been implemented and upon receiving assurances that such means are indeed secure.</w:t>
            </w:r>
          </w:p>
          <w:p w:rsidR="006B63C0" w:rsidRPr="00B53151" w:rsidRDefault="006B63C0" w:rsidP="009A53E2">
            <w:pPr>
              <w:tabs>
                <w:tab w:val="left" w:pos="7797"/>
              </w:tabs>
              <w:spacing w:after="120"/>
              <w:rPr>
                <w:sz w:val="22"/>
                <w:szCs w:val="22"/>
              </w:rPr>
            </w:pPr>
            <w:r w:rsidRPr="00B53151">
              <w:rPr>
                <w:sz w:val="22"/>
                <w:szCs w:val="22"/>
              </w:rPr>
              <w:t xml:space="preserve">To meet the requirements of Resolution </w:t>
            </w:r>
            <w:r w:rsidRPr="009A53E2">
              <w:rPr>
                <w:b/>
                <w:bCs/>
                <w:sz w:val="22"/>
                <w:szCs w:val="22"/>
              </w:rPr>
              <w:t>908 (Rev.WRC-15)</w:t>
            </w:r>
            <w:r w:rsidRPr="00B53151">
              <w:rPr>
                <w:sz w:val="22"/>
                <w:szCs w:val="22"/>
              </w:rPr>
              <w:t>, the Bureau is developing a consolidated approach for the electronic submission, processing and publication of all satellite network notices and comments. To assist in the RES-908 development and testing, the Administration of Japan decided to contribute to the Resolution 908 project and made available a space regulatory/software expert in Geneva for a period of 2 years. At the same time, internal BR processes for the treatment of satellite network notices will be streamlined, and some software rewritten in more modern languages to accommodate the new web based technology.</w:t>
            </w:r>
          </w:p>
          <w:p w:rsidR="006B63C0" w:rsidRPr="00B53151" w:rsidRDefault="006B63C0" w:rsidP="009A53E2">
            <w:pPr>
              <w:tabs>
                <w:tab w:val="left" w:pos="7797"/>
              </w:tabs>
              <w:spacing w:after="120"/>
              <w:rPr>
                <w:sz w:val="22"/>
                <w:szCs w:val="22"/>
              </w:rPr>
            </w:pPr>
            <w:r w:rsidRPr="00B53151">
              <w:rPr>
                <w:sz w:val="22"/>
                <w:szCs w:val="22"/>
              </w:rPr>
              <w:t>The following out</w:t>
            </w:r>
            <w:r w:rsidR="009A53E2">
              <w:rPr>
                <w:sz w:val="22"/>
                <w:szCs w:val="22"/>
              </w:rPr>
              <w:t xml:space="preserve">puts under Resolution </w:t>
            </w:r>
            <w:r w:rsidR="009A53E2" w:rsidRPr="009A53E2">
              <w:rPr>
                <w:b/>
                <w:bCs/>
                <w:sz w:val="22"/>
                <w:szCs w:val="22"/>
              </w:rPr>
              <w:t>908 (Rev.</w:t>
            </w:r>
            <w:r w:rsidRPr="009A53E2">
              <w:rPr>
                <w:b/>
                <w:bCs/>
                <w:sz w:val="22"/>
                <w:szCs w:val="22"/>
              </w:rPr>
              <w:t>WRC-15)</w:t>
            </w:r>
            <w:r w:rsidRPr="00B53151">
              <w:rPr>
                <w:sz w:val="22"/>
                <w:szCs w:val="22"/>
              </w:rPr>
              <w:t xml:space="preserve"> are foreseen:</w:t>
            </w:r>
          </w:p>
          <w:p w:rsidR="006B63C0" w:rsidRPr="00B53151" w:rsidRDefault="006B63C0" w:rsidP="009A53E2">
            <w:pPr>
              <w:tabs>
                <w:tab w:val="left" w:pos="7797"/>
              </w:tabs>
              <w:spacing w:after="120"/>
              <w:rPr>
                <w:sz w:val="22"/>
                <w:szCs w:val="22"/>
              </w:rPr>
            </w:pPr>
            <w:r w:rsidRPr="00B53151">
              <w:rPr>
                <w:sz w:val="22"/>
                <w:szCs w:val="22"/>
              </w:rPr>
              <w:t>1. A consolidated approach for the electronic submission of all satellite network filings, related comments and publication.</w:t>
            </w:r>
          </w:p>
          <w:p w:rsidR="006B63C0" w:rsidRDefault="006B63C0" w:rsidP="009A53E2">
            <w:pPr>
              <w:tabs>
                <w:tab w:val="left" w:pos="7797"/>
              </w:tabs>
              <w:spacing w:after="120"/>
              <w:rPr>
                <w:sz w:val="22"/>
                <w:szCs w:val="22"/>
              </w:rPr>
            </w:pPr>
            <w:r w:rsidRPr="00B53151">
              <w:rPr>
                <w:sz w:val="22"/>
                <w:szCs w:val="22"/>
              </w:rPr>
              <w:t>2. An improved internal BR processing system for the treatment of satellite network filings and comments.</w:t>
            </w:r>
          </w:p>
          <w:p w:rsidR="006B63C0" w:rsidRDefault="006B63C0" w:rsidP="009A53E2">
            <w:pPr>
              <w:tabs>
                <w:tab w:val="left" w:pos="7797"/>
              </w:tabs>
              <w:spacing w:after="120"/>
              <w:rPr>
                <w:lang w:val="en-US"/>
              </w:rPr>
            </w:pPr>
          </w:p>
          <w:p w:rsidR="006B63C0" w:rsidRDefault="006B63C0" w:rsidP="009A53E2">
            <w:pPr>
              <w:tabs>
                <w:tab w:val="left" w:pos="7797"/>
              </w:tabs>
              <w:spacing w:after="120"/>
              <w:rPr>
                <w:lang w:val="en-US"/>
              </w:rPr>
            </w:pPr>
          </w:p>
          <w:p w:rsidR="006B63C0" w:rsidRDefault="006B63C0" w:rsidP="009A53E2">
            <w:pPr>
              <w:tabs>
                <w:tab w:val="left" w:pos="7797"/>
              </w:tabs>
              <w:spacing w:after="120"/>
              <w:rPr>
                <w:lang w:val="en-US"/>
              </w:rPr>
            </w:pPr>
          </w:p>
          <w:p w:rsidR="006B63C0" w:rsidRDefault="006B63C0" w:rsidP="009A53E2">
            <w:pPr>
              <w:tabs>
                <w:tab w:val="left" w:pos="7797"/>
              </w:tabs>
              <w:spacing w:after="120"/>
              <w:rPr>
                <w:lang w:val="en-US"/>
              </w:rPr>
            </w:pPr>
          </w:p>
          <w:p w:rsidR="006B63C0" w:rsidRDefault="006B63C0" w:rsidP="009A53E2">
            <w:pPr>
              <w:tabs>
                <w:tab w:val="left" w:pos="7797"/>
              </w:tabs>
              <w:spacing w:after="120"/>
              <w:rPr>
                <w:lang w:val="en-US"/>
              </w:rPr>
            </w:pPr>
          </w:p>
          <w:p w:rsidR="006B63C0" w:rsidRDefault="006B63C0" w:rsidP="009A53E2">
            <w:pPr>
              <w:tabs>
                <w:tab w:val="left" w:pos="7797"/>
              </w:tabs>
              <w:spacing w:after="120"/>
              <w:rPr>
                <w:lang w:val="en-US"/>
              </w:rPr>
            </w:pPr>
          </w:p>
          <w:p w:rsidR="006B63C0" w:rsidRDefault="006B63C0" w:rsidP="009A53E2">
            <w:pPr>
              <w:tabs>
                <w:tab w:val="left" w:pos="7797"/>
              </w:tabs>
              <w:spacing w:after="120"/>
              <w:rPr>
                <w:lang w:val="en-US"/>
              </w:rPr>
            </w:pPr>
          </w:p>
          <w:p w:rsidR="006B63C0" w:rsidRPr="001013A8" w:rsidRDefault="006B63C0" w:rsidP="009A53E2">
            <w:pPr>
              <w:tabs>
                <w:tab w:val="left" w:pos="7797"/>
              </w:tabs>
              <w:spacing w:after="120"/>
              <w:rPr>
                <w:sz w:val="22"/>
                <w:szCs w:val="22"/>
                <w:lang w:val="en-US"/>
              </w:rPr>
            </w:pPr>
            <w:r w:rsidRPr="001013A8">
              <w:rPr>
                <w:sz w:val="22"/>
                <w:szCs w:val="22"/>
                <w:lang w:val="en-US"/>
              </w:rPr>
              <w:t>The preliminary work plan to achieve these objective is the following:</w:t>
            </w:r>
          </w:p>
          <w:p w:rsidR="006B63C0" w:rsidRDefault="005A5A95" w:rsidP="009A53E2">
            <w:pPr>
              <w:tabs>
                <w:tab w:val="left" w:pos="7797"/>
              </w:tabs>
              <w:spacing w:after="120"/>
              <w:jc w:val="center"/>
              <w:rPr>
                <w:sz w:val="22"/>
                <w:szCs w:val="22"/>
              </w:rPr>
            </w:pPr>
            <w:r>
              <w:rPr>
                <w:sz w:val="22"/>
                <w:szCs w:val="22"/>
              </w:rPr>
              <w:t>Preliminar</w:t>
            </w:r>
            <w:r w:rsidR="006B63C0">
              <w:rPr>
                <w:sz w:val="22"/>
                <w:szCs w:val="22"/>
              </w:rPr>
              <w:t>y Draft Work Plan</w:t>
            </w:r>
          </w:p>
          <w:p w:rsidR="006B63C0" w:rsidRDefault="006B63C0" w:rsidP="009A53E2">
            <w:pPr>
              <w:tabs>
                <w:tab w:val="left" w:pos="7797"/>
              </w:tabs>
              <w:spacing w:after="120"/>
              <w:rPr>
                <w:sz w:val="22"/>
                <w:szCs w:val="22"/>
              </w:rPr>
            </w:pPr>
            <w:r w:rsidRPr="00AD5379">
              <w:rPr>
                <w:noProof/>
                <w:sz w:val="22"/>
                <w:szCs w:val="22"/>
                <w:lang w:val="en-US" w:eastAsia="zh-CN"/>
              </w:rPr>
              <w:drawing>
                <wp:inline distT="0" distB="0" distL="0" distR="0" wp14:anchorId="7321C8AD" wp14:editId="721C7C79">
                  <wp:extent cx="6017260" cy="409702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17260" cy="4097020"/>
                          </a:xfrm>
                          <a:prstGeom prst="rect">
                            <a:avLst/>
                          </a:prstGeom>
                          <a:noFill/>
                        </pic:spPr>
                      </pic:pic>
                    </a:graphicData>
                  </a:graphic>
                </wp:inline>
              </w:drawing>
            </w:r>
          </w:p>
          <w:p w:rsidR="006B63C0" w:rsidRPr="00B53151" w:rsidRDefault="006B63C0" w:rsidP="009A53E2">
            <w:pPr>
              <w:tabs>
                <w:tab w:val="left" w:pos="7797"/>
              </w:tabs>
              <w:spacing w:after="120"/>
              <w:rPr>
                <w:lang w:val="en-US"/>
              </w:rPr>
            </w:pPr>
          </w:p>
        </w:tc>
      </w:tr>
      <w:tr w:rsidR="006B63C0" w:rsidTr="009A53E2">
        <w:tc>
          <w:tcPr>
            <w:tcW w:w="9350" w:type="dxa"/>
          </w:tcPr>
          <w:p w:rsidR="006B63C0" w:rsidRDefault="006B63C0" w:rsidP="009A53E2">
            <w:pPr>
              <w:tabs>
                <w:tab w:val="left" w:pos="7655"/>
              </w:tabs>
              <w:spacing w:after="120"/>
              <w:rPr>
                <w:b/>
                <w:bCs/>
              </w:rPr>
            </w:pPr>
            <w:r w:rsidRPr="00B53151">
              <w:rPr>
                <w:b/>
                <w:bCs/>
              </w:rPr>
              <w:lastRenderedPageBreak/>
              <w:t>Implementation of WRC-15 decisions</w:t>
            </w:r>
            <w:r>
              <w:rPr>
                <w:b/>
                <w:bCs/>
              </w:rPr>
              <w:t xml:space="preserve"> relating to space services</w:t>
            </w:r>
          </w:p>
          <w:p w:rsidR="006B63C0" w:rsidRPr="00B53151" w:rsidRDefault="006B63C0" w:rsidP="009A53E2">
            <w:pPr>
              <w:tabs>
                <w:tab w:val="left" w:pos="7655"/>
              </w:tabs>
              <w:spacing w:after="120"/>
              <w:rPr>
                <w:sz w:val="22"/>
                <w:szCs w:val="22"/>
              </w:rPr>
            </w:pPr>
            <w:r w:rsidRPr="00B53151">
              <w:rPr>
                <w:sz w:val="22"/>
                <w:szCs w:val="22"/>
              </w:rPr>
              <w:t>The implementation is taking place in two phases:</w:t>
            </w:r>
          </w:p>
          <w:p w:rsidR="006B63C0" w:rsidRPr="00B53151" w:rsidRDefault="006B63C0" w:rsidP="009A53E2">
            <w:pPr>
              <w:tabs>
                <w:tab w:val="left" w:pos="7797"/>
              </w:tabs>
              <w:spacing w:after="120"/>
              <w:rPr>
                <w:sz w:val="22"/>
                <w:szCs w:val="22"/>
              </w:rPr>
            </w:pPr>
            <w:r w:rsidRPr="00B53151">
              <w:rPr>
                <w:sz w:val="22"/>
                <w:szCs w:val="22"/>
              </w:rPr>
              <w:t>Phase 1: Implementing the decisions that entered into force at the end of WRC-15 and the related RoP. Production date: April 1, 2016, as described in CR/393 and CR/394.</w:t>
            </w:r>
          </w:p>
          <w:p w:rsidR="006B63C0" w:rsidRDefault="006B63C0" w:rsidP="009A53E2">
            <w:pPr>
              <w:tabs>
                <w:tab w:val="left" w:pos="7655"/>
              </w:tabs>
              <w:spacing w:after="120"/>
            </w:pPr>
            <w:r w:rsidRPr="00B53151">
              <w:rPr>
                <w:sz w:val="22"/>
                <w:szCs w:val="22"/>
              </w:rPr>
              <w:t>Phase 2: Implementing the remainder of WRC-15 decisions, entering into force on January 1, 2017. Production date: January 1, 2017, as described in CR/403 and CR/411. The software and database changes were presented to membership at WRS-16. These involved the delivery of new and/or improved versions of all space services processing software applications for external use (BR IFIC (Space)).</w:t>
            </w:r>
          </w:p>
        </w:tc>
      </w:tr>
      <w:tr w:rsidR="006B63C0" w:rsidRPr="00085E3A" w:rsidTr="009A53E2">
        <w:trPr>
          <w:trHeight w:val="4172"/>
        </w:trPr>
        <w:tc>
          <w:tcPr>
            <w:tcW w:w="9350" w:type="dxa"/>
          </w:tcPr>
          <w:p w:rsidR="006B63C0" w:rsidRDefault="006B63C0" w:rsidP="009A53E2">
            <w:pPr>
              <w:tabs>
                <w:tab w:val="left" w:pos="7655"/>
              </w:tabs>
              <w:spacing w:after="120"/>
              <w:rPr>
                <w:b/>
                <w:bCs/>
              </w:rPr>
            </w:pPr>
            <w:r w:rsidRPr="00B53151">
              <w:rPr>
                <w:b/>
                <w:bCs/>
              </w:rPr>
              <w:lastRenderedPageBreak/>
              <w:t>Implementation of WRC-15 decisions</w:t>
            </w:r>
            <w:r>
              <w:rPr>
                <w:b/>
                <w:bCs/>
              </w:rPr>
              <w:t xml:space="preserve"> relating to terrestrial services</w:t>
            </w:r>
          </w:p>
          <w:p w:rsidR="006B63C0" w:rsidRPr="00B53151" w:rsidRDefault="006B63C0" w:rsidP="009A53E2">
            <w:pPr>
              <w:tabs>
                <w:tab w:val="left" w:pos="7655"/>
              </w:tabs>
              <w:spacing w:after="120"/>
              <w:rPr>
                <w:sz w:val="22"/>
                <w:szCs w:val="22"/>
              </w:rPr>
            </w:pPr>
            <w:r w:rsidRPr="00B53151">
              <w:rPr>
                <w:sz w:val="22"/>
                <w:szCs w:val="22"/>
                <w:lang w:val="en-US"/>
              </w:rPr>
              <w:t>New and/or updated versions of all terrestrial services processing software, both for internal (</w:t>
            </w:r>
            <w:r w:rsidRPr="00B53151">
              <w:rPr>
                <w:i/>
                <w:iCs/>
                <w:sz w:val="22"/>
                <w:szCs w:val="22"/>
                <w:lang w:val="en-US"/>
              </w:rPr>
              <w:t>TerRaSys</w:t>
            </w:r>
            <w:r w:rsidRPr="00B53151">
              <w:rPr>
                <w:sz w:val="22"/>
                <w:szCs w:val="22"/>
                <w:lang w:val="en-US"/>
              </w:rPr>
              <w:t xml:space="preserve">) and external (BR IFIC (Terrestrial)) use, including improved database schemas and updated validation and examination software modules, matching the changes in Appendix </w:t>
            </w:r>
            <w:r w:rsidRPr="009A53E2">
              <w:rPr>
                <w:b/>
                <w:bCs/>
                <w:sz w:val="22"/>
                <w:szCs w:val="22"/>
                <w:lang w:val="en-US"/>
              </w:rPr>
              <w:t>4</w:t>
            </w:r>
            <w:r w:rsidRPr="00B53151">
              <w:rPr>
                <w:sz w:val="22"/>
                <w:szCs w:val="22"/>
                <w:lang w:val="en-US"/>
              </w:rPr>
              <w:t xml:space="preserve"> notified data elements, for the submission of terrestrial frequency notifications, as a consequence of WRC-15 and RRB decisions.</w:t>
            </w:r>
          </w:p>
          <w:p w:rsidR="006B63C0" w:rsidRPr="00B53151" w:rsidRDefault="006B63C0" w:rsidP="009A53E2">
            <w:pPr>
              <w:tabs>
                <w:tab w:val="left" w:pos="7797"/>
              </w:tabs>
              <w:spacing w:after="120"/>
              <w:rPr>
                <w:sz w:val="22"/>
                <w:szCs w:val="22"/>
              </w:rPr>
            </w:pPr>
            <w:r w:rsidRPr="00B53151">
              <w:rPr>
                <w:sz w:val="22"/>
                <w:szCs w:val="22"/>
              </w:rPr>
              <w:t>New and/or updated versions of the reference databases (including new data and schemes) and associated software modules needed for the technical and regulatory examinations by the BR of terrestrial frequency assignments in the bands shared between terrestrial and space services, taking into account WRC-15 and RRB decisions.</w:t>
            </w:r>
          </w:p>
          <w:p w:rsidR="006B63C0" w:rsidRPr="00B53151" w:rsidRDefault="006B63C0" w:rsidP="009A53E2">
            <w:pPr>
              <w:tabs>
                <w:tab w:val="left" w:pos="7797"/>
              </w:tabs>
              <w:spacing w:after="120"/>
              <w:rPr>
                <w:sz w:val="22"/>
                <w:szCs w:val="22"/>
              </w:rPr>
            </w:pPr>
            <w:r w:rsidRPr="00B53151">
              <w:rPr>
                <w:sz w:val="22"/>
                <w:szCs w:val="22"/>
              </w:rPr>
              <w:t>Starting of the development of the software modules, reference databases and associated tools for terrestrial services, aiming to automate the processing of the needs and req</w:t>
            </w:r>
            <w:r w:rsidR="009A53E2">
              <w:rPr>
                <w:sz w:val="22"/>
                <w:szCs w:val="22"/>
              </w:rPr>
              <w:t xml:space="preserve">uests for coordination under RR No. </w:t>
            </w:r>
            <w:r w:rsidRPr="009A53E2">
              <w:rPr>
                <w:b/>
                <w:bCs/>
                <w:sz w:val="22"/>
                <w:szCs w:val="22"/>
              </w:rPr>
              <w:t>9.21</w:t>
            </w:r>
            <w:r w:rsidRPr="00B53151">
              <w:rPr>
                <w:sz w:val="22"/>
                <w:szCs w:val="22"/>
              </w:rPr>
              <w:t>, taking into account WRC-15 and RRB decisions.</w:t>
            </w:r>
          </w:p>
        </w:tc>
      </w:tr>
    </w:tbl>
    <w:p w:rsidR="006B63C0" w:rsidRDefault="006B63C0" w:rsidP="006B63C0">
      <w:bookmarkStart w:id="17" w:name="_Toc446060765"/>
    </w:p>
    <w:p w:rsidR="006B63C0" w:rsidRPr="006A2D77" w:rsidRDefault="006B63C0" w:rsidP="006B63C0">
      <w:pPr>
        <w:pStyle w:val="Heading3"/>
      </w:pPr>
      <w:r w:rsidRPr="00ED04B0">
        <w:t>3.2</w:t>
      </w:r>
      <w:r w:rsidRPr="00ED04B0">
        <w:tab/>
        <w:t>Other actions to implement WRC-15 decisions</w:t>
      </w:r>
      <w:bookmarkEnd w:id="17"/>
    </w:p>
    <w:p w:rsidR="006B63C0" w:rsidRPr="000C18B2" w:rsidRDefault="006B63C0" w:rsidP="006B63C0">
      <w:pPr>
        <w:rPr>
          <w:lang w:val="en-US"/>
        </w:rPr>
      </w:pPr>
      <w:r w:rsidRPr="000C18B2">
        <w:rPr>
          <w:lang w:val="en-US"/>
        </w:rPr>
        <w:t xml:space="preserve">The Bureau developed </w:t>
      </w:r>
      <w:r>
        <w:rPr>
          <w:lang w:val="en-US"/>
        </w:rPr>
        <w:t xml:space="preserve">drafts for </w:t>
      </w:r>
      <w:r w:rsidRPr="000C18B2">
        <w:rPr>
          <w:lang w:val="en-US"/>
        </w:rPr>
        <w:t xml:space="preserve">new or modified Rules of Procedure </w:t>
      </w:r>
      <w:r>
        <w:rPr>
          <w:lang w:val="en-US"/>
        </w:rPr>
        <w:t>in order to reflect the WRC</w:t>
      </w:r>
      <w:r>
        <w:rPr>
          <w:lang w:val="en-US"/>
        </w:rPr>
        <w:noBreakHyphen/>
      </w:r>
      <w:r w:rsidRPr="000C18B2">
        <w:rPr>
          <w:lang w:val="en-US"/>
        </w:rPr>
        <w:t xml:space="preserve">15 decisions. </w:t>
      </w:r>
      <w:r>
        <w:rPr>
          <w:lang w:val="en-US"/>
        </w:rPr>
        <w:t>These drafts were considered by the RRB together with comments received from administrations and the corresponding</w:t>
      </w:r>
      <w:r w:rsidRPr="000C18B2">
        <w:rPr>
          <w:lang w:val="en-US"/>
        </w:rPr>
        <w:t xml:space="preserve"> Rules of Procedure were approved by the RRB at </w:t>
      </w:r>
      <w:r>
        <w:rPr>
          <w:lang w:val="en-US"/>
        </w:rPr>
        <w:t xml:space="preserve">its </w:t>
      </w:r>
      <w:r w:rsidRPr="000C18B2">
        <w:rPr>
          <w:lang w:val="en-US"/>
        </w:rPr>
        <w:t>73</w:t>
      </w:r>
      <w:r w:rsidRPr="000C18B2">
        <w:rPr>
          <w:vertAlign w:val="superscript"/>
          <w:lang w:val="en-US"/>
        </w:rPr>
        <w:t>rd</w:t>
      </w:r>
      <w:r w:rsidRPr="000C18B2">
        <w:rPr>
          <w:lang w:val="en-US"/>
        </w:rPr>
        <w:t xml:space="preserve"> and 74</w:t>
      </w:r>
      <w:r w:rsidRPr="000C18B2">
        <w:rPr>
          <w:vertAlign w:val="superscript"/>
          <w:lang w:val="en-US"/>
        </w:rPr>
        <w:t>th</w:t>
      </w:r>
      <w:r w:rsidRPr="000C18B2">
        <w:rPr>
          <w:lang w:val="en-US"/>
        </w:rPr>
        <w:t xml:space="preserve"> meetings.</w:t>
      </w:r>
    </w:p>
    <w:p w:rsidR="006B63C0" w:rsidRPr="000C18B2" w:rsidRDefault="006B63C0" w:rsidP="006B63C0">
      <w:pPr>
        <w:rPr>
          <w:lang w:val="en-US"/>
        </w:rPr>
      </w:pPr>
      <w:r w:rsidRPr="000C18B2">
        <w:rPr>
          <w:lang w:val="en-US"/>
        </w:rPr>
        <w:t xml:space="preserve">With respect to the terrestrial services, the Bureau made changes reflecting the WRC-15 decisions in the relevant documentation, including validation and examination rules, guidelines for administrations on the submission of frequency assignments and allotments and the Preface to the terrestrial BR IFIC. </w:t>
      </w:r>
    </w:p>
    <w:p w:rsidR="006B63C0" w:rsidRPr="000C18B2" w:rsidRDefault="006B63C0" w:rsidP="006B63C0">
      <w:pPr>
        <w:rPr>
          <w:lang w:val="en-US"/>
        </w:rPr>
      </w:pPr>
      <w:r w:rsidRPr="000C18B2">
        <w:rPr>
          <w:lang w:val="en-US"/>
        </w:rPr>
        <w:t xml:space="preserve">In order to inform the administrations of the Conference decisions and their impact, the Bureau issued Circular Letters CR/389 dealing with the Minutes of Plenary meetings, CR/391 describing the notification of IMT stations, Circular Letter CR/406 consolidating the conference decisions related to terrestrial services, </w:t>
      </w:r>
      <w:r w:rsidRPr="006B2173">
        <w:rPr>
          <w:lang w:val="en-US"/>
        </w:rPr>
        <w:t>CR/393 on the Introduction of a new Cla</w:t>
      </w:r>
      <w:r>
        <w:rPr>
          <w:lang w:val="en-US"/>
        </w:rPr>
        <w:t>ss of station symbol UF, for </w:t>
      </w:r>
      <w:r w:rsidRPr="006B2173">
        <w:rPr>
          <w:lang w:val="en-US"/>
        </w:rPr>
        <w:t xml:space="preserve">an earth station in motion communicating with geostationary space stations in the fixed-satellite service in the frequency bands referred to under provision No. </w:t>
      </w:r>
      <w:r w:rsidRPr="00B42690">
        <w:rPr>
          <w:b/>
          <w:bCs/>
          <w:lang w:val="en-US"/>
        </w:rPr>
        <w:t>5.527A</w:t>
      </w:r>
      <w:r w:rsidRPr="006B2173">
        <w:rPr>
          <w:lang w:val="en-US"/>
        </w:rPr>
        <w:t xml:space="preserve"> , CR/394 on the Introduction of new Class of station symbols for a station in the Aeronautical Mobile Satellite (AMS) (R) service and the AMS (OR) service, CR/396 on the Use of one space station to bring frequency assignments to geostationary-satellite networks at different orbital locations into use within a short period of time, CR/400 on the Implementation of revised Appendices </w:t>
      </w:r>
      <w:r w:rsidRPr="00B42690">
        <w:rPr>
          <w:b/>
          <w:bCs/>
          <w:lang w:val="en-US"/>
        </w:rPr>
        <w:t>30</w:t>
      </w:r>
      <w:r w:rsidRPr="006B2173">
        <w:rPr>
          <w:lang w:val="en-US"/>
        </w:rPr>
        <w:t xml:space="preserve"> and </w:t>
      </w:r>
      <w:r w:rsidRPr="00B42690">
        <w:rPr>
          <w:b/>
          <w:bCs/>
          <w:lang w:val="en-US"/>
        </w:rPr>
        <w:t>30A</w:t>
      </w:r>
      <w:r w:rsidR="009A53E2">
        <w:rPr>
          <w:lang w:val="en-US"/>
        </w:rPr>
        <w:t xml:space="preserve"> (Rev.</w:t>
      </w:r>
      <w:r w:rsidRPr="006B2173">
        <w:rPr>
          <w:lang w:val="en-US"/>
        </w:rPr>
        <w:t xml:space="preserve">WRC-15) and Resolution </w:t>
      </w:r>
      <w:r w:rsidRPr="00B42690">
        <w:rPr>
          <w:b/>
          <w:bCs/>
          <w:lang w:val="en-US"/>
        </w:rPr>
        <w:t>556 (WRC-15)</w:t>
      </w:r>
      <w:r w:rsidRPr="006B2173">
        <w:rPr>
          <w:lang w:val="en-US"/>
        </w:rPr>
        <w:t xml:space="preserve"> , CRCR/401 on the Transitional measures for the elimination of advance publication filings by administrations for frequency assignments to satellite networks and systems subject to Section II of Article </w:t>
      </w:r>
      <w:r w:rsidRPr="00B42690">
        <w:rPr>
          <w:b/>
          <w:bCs/>
          <w:lang w:val="en-US"/>
        </w:rPr>
        <w:t>9</w:t>
      </w:r>
      <w:r w:rsidRPr="006B2173">
        <w:rPr>
          <w:lang w:val="en-US"/>
        </w:rPr>
        <w:t xml:space="preserve">, CR/403 on the Implementation of decisions of the World Radiocommunication Conference, Geneva, 2015 (WRC-15) and associated transitional arrangements related to space services , CR/404 on the Submission of typical earth stations in the fixed-satellite service, CR/407 on the Implementation of decisions of the World Radiocommunication Conference, Geneva 2015 (WRC-15), related to earth stations on board unmanned aircraft (Resolution </w:t>
      </w:r>
      <w:r w:rsidRPr="00B42690">
        <w:rPr>
          <w:b/>
          <w:bCs/>
          <w:lang w:val="en-US"/>
        </w:rPr>
        <w:t>155 (WRC-15)</w:t>
      </w:r>
      <w:r w:rsidRPr="006B2173">
        <w:rPr>
          <w:lang w:val="en-US"/>
        </w:rPr>
        <w:t xml:space="preserve">), CR/411 on the Submission of Appendix </w:t>
      </w:r>
      <w:r w:rsidRPr="00B42690">
        <w:rPr>
          <w:b/>
          <w:bCs/>
          <w:lang w:val="en-US"/>
        </w:rPr>
        <w:t>4</w:t>
      </w:r>
      <w:r w:rsidRPr="006B2173">
        <w:rPr>
          <w:lang w:val="en-US"/>
        </w:rPr>
        <w:t xml:space="preserve"> information for space services to the Radiocommunication Bureau and the update of related BR space software and Databases, CR/414 on the Examinations under Resolution </w:t>
      </w:r>
      <w:r w:rsidRPr="00B42690">
        <w:rPr>
          <w:b/>
          <w:bCs/>
          <w:lang w:val="en-US"/>
        </w:rPr>
        <w:t>85 (WRC-03)</w:t>
      </w:r>
      <w:r w:rsidRPr="006B2173">
        <w:rPr>
          <w:lang w:val="en-US"/>
        </w:rPr>
        <w:t xml:space="preserve"> and CR/415 on the Application of No. </w:t>
      </w:r>
      <w:r w:rsidRPr="00B42690">
        <w:rPr>
          <w:b/>
          <w:bCs/>
          <w:lang w:val="en-US"/>
        </w:rPr>
        <w:t>9.1A</w:t>
      </w:r>
      <w:r w:rsidRPr="006B2173">
        <w:rPr>
          <w:lang w:val="en-US"/>
        </w:rPr>
        <w:t xml:space="preserve"> of the Radio Regulations for the publication of advance publication information for frequency assignments to satellite networks and systems subject to coordination procedure under Section II of Article </w:t>
      </w:r>
      <w:r w:rsidRPr="00B42690">
        <w:rPr>
          <w:b/>
          <w:bCs/>
          <w:lang w:val="en-US"/>
        </w:rPr>
        <w:t>9</w:t>
      </w:r>
      <w:r w:rsidRPr="006B2173">
        <w:rPr>
          <w:lang w:val="en-US"/>
        </w:rPr>
        <w:t>.</w:t>
      </w:r>
      <w:r w:rsidRPr="000C18B2">
        <w:rPr>
          <w:lang w:val="en-US"/>
        </w:rPr>
        <w:t xml:space="preserve"> </w:t>
      </w:r>
    </w:p>
    <w:p w:rsidR="006B63C0" w:rsidRPr="000C18B2" w:rsidRDefault="006B63C0" w:rsidP="006B63C0">
      <w:pPr>
        <w:rPr>
          <w:lang w:val="en-US"/>
        </w:rPr>
      </w:pPr>
      <w:r w:rsidRPr="000C18B2">
        <w:rPr>
          <w:lang w:val="en-US"/>
        </w:rPr>
        <w:lastRenderedPageBreak/>
        <w:t>With respect to the implementation of the WRC-15 resolutions, the following actions were taken:</w:t>
      </w:r>
    </w:p>
    <w:p w:rsidR="006B63C0" w:rsidRDefault="006B63C0" w:rsidP="006B63C0">
      <w:pPr>
        <w:pStyle w:val="enumlev1"/>
        <w:rPr>
          <w:lang w:val="en-US"/>
        </w:rPr>
      </w:pPr>
      <w:r>
        <w:rPr>
          <w:lang w:val="en-US"/>
        </w:rPr>
        <w:t>–</w:t>
      </w:r>
      <w:r>
        <w:rPr>
          <w:lang w:val="en-US"/>
        </w:rPr>
        <w:tab/>
      </w:r>
      <w:r w:rsidRPr="000C18B2">
        <w:rPr>
          <w:lang w:val="en-US"/>
        </w:rPr>
        <w:t xml:space="preserve">In response to Resolution </w:t>
      </w:r>
      <w:r w:rsidRPr="000C18B2">
        <w:rPr>
          <w:b/>
          <w:bCs/>
          <w:lang w:val="en-US"/>
        </w:rPr>
        <w:t>205 (Rev.WRC-15),</w:t>
      </w:r>
      <w:r w:rsidRPr="000C18B2">
        <w:rPr>
          <w:lang w:val="en-US"/>
        </w:rPr>
        <w:t xml:space="preserve"> the Bureau implemented validation checks that identify the assignments notified in the bands 405.9-406.0 MHz and 406.1-406.2 MHz in order to request the notifying administration to refrain from assigning these frequencies, as per resolves 1 of this Resolution. As for the instructions of the Director of the BR to organize monitoring programmes on the impact of syste</w:t>
      </w:r>
      <w:r>
        <w:rPr>
          <w:lang w:val="en-US"/>
        </w:rPr>
        <w:t>ms operating in the bands 405.9</w:t>
      </w:r>
      <w:r>
        <w:rPr>
          <w:lang w:val="en-US"/>
        </w:rPr>
        <w:noBreakHyphen/>
      </w:r>
      <w:r w:rsidRPr="000C18B2">
        <w:rPr>
          <w:lang w:val="en-US"/>
        </w:rPr>
        <w:t>406 MHz and 406.1-406.2 MHz on MSS reception</w:t>
      </w:r>
      <w:r>
        <w:rPr>
          <w:lang w:val="en-US"/>
        </w:rPr>
        <w:t xml:space="preserve"> in the band 406-406.1 MHz, the </w:t>
      </w:r>
      <w:r w:rsidRPr="000C18B2">
        <w:rPr>
          <w:lang w:val="en-US"/>
        </w:rPr>
        <w:t>Bureau initiated consultations with ITU-R Working Party 1C and Cospas-Sarsat concerning the content and methodology for these programmes.</w:t>
      </w:r>
    </w:p>
    <w:p w:rsidR="006B63C0" w:rsidRPr="006B2173" w:rsidRDefault="006B63C0" w:rsidP="006B63C0">
      <w:pPr>
        <w:pStyle w:val="enumlev1"/>
        <w:rPr>
          <w:lang w:val="en-US"/>
        </w:rPr>
      </w:pPr>
      <w:r>
        <w:rPr>
          <w:lang w:val="en-US"/>
        </w:rPr>
        <w:t>–</w:t>
      </w:r>
      <w:r>
        <w:rPr>
          <w:lang w:val="en-US"/>
        </w:rPr>
        <w:tab/>
      </w:r>
      <w:r w:rsidRPr="006B2173">
        <w:rPr>
          <w:lang w:val="en-US"/>
        </w:rPr>
        <w:t xml:space="preserve">In response to the adoption of the new provisions No. </w:t>
      </w:r>
      <w:r w:rsidRPr="006B2173">
        <w:rPr>
          <w:b/>
          <w:bCs/>
          <w:lang w:val="en-US"/>
        </w:rPr>
        <w:t>5.499C</w:t>
      </w:r>
      <w:r w:rsidRPr="006B2173">
        <w:rPr>
          <w:lang w:val="en-US"/>
        </w:rPr>
        <w:t xml:space="preserve"> and No. </w:t>
      </w:r>
      <w:r w:rsidRPr="006B2173">
        <w:rPr>
          <w:b/>
          <w:bCs/>
          <w:lang w:val="en-US"/>
        </w:rPr>
        <w:t>5.509G</w:t>
      </w:r>
      <w:r w:rsidRPr="006B2173">
        <w:rPr>
          <w:lang w:val="en-US"/>
        </w:rPr>
        <w:t xml:space="preserve"> upgrading the status of the space research service for certain application</w:t>
      </w:r>
      <w:r>
        <w:rPr>
          <w:lang w:val="en-US"/>
        </w:rPr>
        <w:t>s to primary in the bands 13.40</w:t>
      </w:r>
      <w:r>
        <w:rPr>
          <w:lang w:val="en-US"/>
        </w:rPr>
        <w:noBreakHyphen/>
      </w:r>
      <w:r w:rsidRPr="006B2173">
        <w:rPr>
          <w:lang w:val="en-US"/>
        </w:rPr>
        <w:t xml:space="preserve">13.65 GHz and 14.5-14.8 GHz, with entry into force on 1 January 2017, the Bureau took the necessary actions in accordance with the Rules of procedure on No. </w:t>
      </w:r>
      <w:r w:rsidRPr="006B2173">
        <w:rPr>
          <w:b/>
          <w:bCs/>
          <w:lang w:val="en-US"/>
        </w:rPr>
        <w:t>11.50</w:t>
      </w:r>
      <w:r w:rsidRPr="006B2173">
        <w:rPr>
          <w:lang w:val="en-US"/>
        </w:rPr>
        <w:t xml:space="preserve"> with the concerned administrations</w:t>
      </w:r>
      <w:r w:rsidRPr="006B2173">
        <w:rPr>
          <w:i/>
          <w:iCs/>
          <w:lang w:val="en-US"/>
        </w:rPr>
        <w:t>.</w:t>
      </w:r>
    </w:p>
    <w:p w:rsidR="006B63C0" w:rsidRPr="00FD777A" w:rsidRDefault="006B63C0" w:rsidP="006B63C0">
      <w:r w:rsidRPr="000C18B2">
        <w:rPr>
          <w:lang w:val="en-US"/>
        </w:rPr>
        <w:t>The Bureau also started the review of findings of the frequency assignments recorded in the Master Register in the frequency bands for which the allocation situation was changed as a result of the WRC-15 decisions entered into force on 1 January 2017.</w:t>
      </w:r>
    </w:p>
    <w:p w:rsidR="006B63C0" w:rsidRPr="00840F08" w:rsidRDefault="006B63C0" w:rsidP="006B63C0">
      <w:pPr>
        <w:pStyle w:val="Heading1"/>
      </w:pPr>
      <w:bookmarkStart w:id="18" w:name="_Toc446060766"/>
      <w:r w:rsidRPr="00ED04B0">
        <w:t>4</w:t>
      </w:r>
      <w:r w:rsidRPr="00ED04B0">
        <w:tab/>
        <w:t>Study Groups activities</w:t>
      </w:r>
      <w:bookmarkEnd w:id="18"/>
    </w:p>
    <w:p w:rsidR="006B63C0" w:rsidRPr="00FD777A" w:rsidRDefault="006B63C0" w:rsidP="006B63C0">
      <w:pPr>
        <w:rPr>
          <w:rFonts w:eastAsia="SimSun"/>
        </w:rPr>
      </w:pPr>
      <w:r w:rsidRPr="00EF27CA">
        <w:rPr>
          <w:rFonts w:eastAsia="SimSun"/>
        </w:rPr>
        <w:t>This topic is presented in A</w:t>
      </w:r>
      <w:r>
        <w:rPr>
          <w:rFonts w:eastAsia="SimSun"/>
        </w:rPr>
        <w:t>ddendum 1</w:t>
      </w:r>
      <w:r w:rsidRPr="00EF27CA">
        <w:rPr>
          <w:rFonts w:eastAsia="SimSun"/>
        </w:rPr>
        <w:t xml:space="preserve"> to this document.</w:t>
      </w:r>
    </w:p>
    <w:p w:rsidR="006B63C0" w:rsidRPr="00B2255F" w:rsidRDefault="006B63C0" w:rsidP="006B63C0">
      <w:pPr>
        <w:pStyle w:val="Heading1"/>
        <w:rPr>
          <w:lang w:val="en-US"/>
        </w:rPr>
      </w:pPr>
      <w:bookmarkStart w:id="19" w:name="_Toc446060767"/>
      <w:r w:rsidRPr="00ED04B0">
        <w:rPr>
          <w:lang w:val="en-US"/>
        </w:rPr>
        <w:t>5</w:t>
      </w:r>
      <w:r w:rsidRPr="00ED04B0">
        <w:rPr>
          <w:lang w:val="en-US"/>
        </w:rPr>
        <w:tab/>
      </w:r>
      <w:r w:rsidRPr="00B42690">
        <w:t>WRC</w:t>
      </w:r>
      <w:r w:rsidRPr="00ED04B0">
        <w:rPr>
          <w:lang w:val="en-US"/>
        </w:rPr>
        <w:t>-19 preparation</w:t>
      </w:r>
      <w:bookmarkEnd w:id="19"/>
    </w:p>
    <w:p w:rsidR="006B63C0" w:rsidRPr="00202F30" w:rsidRDefault="006B63C0" w:rsidP="00D26A65">
      <w:pPr>
        <w:rPr>
          <w:lang w:val="en-US"/>
        </w:rPr>
      </w:pPr>
      <w:r>
        <w:rPr>
          <w:lang w:val="en-US"/>
        </w:rPr>
        <w:t xml:space="preserve">Further to </w:t>
      </w:r>
      <w:r w:rsidRPr="00202F30">
        <w:rPr>
          <w:lang w:val="en-US"/>
        </w:rPr>
        <w:t xml:space="preserve">the adoption of Council Resolution 1380 (see section </w:t>
      </w:r>
      <w:r>
        <w:rPr>
          <w:lang w:val="en-US"/>
        </w:rPr>
        <w:t>2.6</w:t>
      </w:r>
      <w:r w:rsidRPr="00202F30">
        <w:rPr>
          <w:lang w:val="en-US"/>
        </w:rPr>
        <w:t xml:space="preserve"> above), the CPM-19 Steering Committee met on 1 September 2016 to review the preparation of the draft CPM Report to WRC</w:t>
      </w:r>
      <w:r w:rsidRPr="00202F30">
        <w:rPr>
          <w:lang w:val="en-US"/>
        </w:rPr>
        <w:noBreakHyphen/>
        <w:t>19. The Chairmen of the ITU</w:t>
      </w:r>
      <w:r w:rsidRPr="00202F30">
        <w:rPr>
          <w:lang w:val="en-US"/>
        </w:rPr>
        <w:noBreakHyphen/>
        <w:t>R Study Groups and of the ITU</w:t>
      </w:r>
      <w:r w:rsidRPr="00202F30">
        <w:rPr>
          <w:lang w:val="en-US"/>
        </w:rPr>
        <w:noBreakHyphen/>
        <w:t xml:space="preserve">R responsible groups were also invited to attend this meeting for which remote participation facilities </w:t>
      </w:r>
      <w:r>
        <w:rPr>
          <w:lang w:val="en-US"/>
        </w:rPr>
        <w:t xml:space="preserve">became </w:t>
      </w:r>
      <w:r w:rsidRPr="00202F30">
        <w:rPr>
          <w:lang w:val="en-US"/>
        </w:rPr>
        <w:t>very useful. Based on Resolution 1380 (C16), Resolution ITU</w:t>
      </w:r>
      <w:r w:rsidRPr="00202F30">
        <w:rPr>
          <w:lang w:val="en-US"/>
        </w:rPr>
        <w:noBreakHyphen/>
        <w:t>R 2-7, the availability of the CICG, the Second Session of CPM-19 (CPM19-2) was agreed to be planned in Genev</w:t>
      </w:r>
      <w:r>
        <w:rPr>
          <w:lang w:val="en-US"/>
        </w:rPr>
        <w:t>a from Monday 18 to Thursday 28 </w:t>
      </w:r>
      <w:r w:rsidRPr="00202F30">
        <w:rPr>
          <w:lang w:val="en-US"/>
        </w:rPr>
        <w:t>February 2019. It was further decided that the final draft CPM texts from the responsible groups must be received by the respective CPM-19 Chapter Rapporteurs, with a copy to the Bureau by 31</w:t>
      </w:r>
      <w:r>
        <w:rPr>
          <w:lang w:val="en-US"/>
        </w:rPr>
        <w:t> </w:t>
      </w:r>
      <w:r w:rsidRPr="00202F30">
        <w:rPr>
          <w:lang w:val="en-US"/>
        </w:rPr>
        <w:t>August 2018, at the latest. The meeting of the CPM-19 Management Team has been planned to be held in Geneva on 13 and 14 September 201</w:t>
      </w:r>
      <w:r w:rsidR="00D26A65">
        <w:rPr>
          <w:lang w:val="en-US"/>
        </w:rPr>
        <w:t>8</w:t>
      </w:r>
      <w:r w:rsidRPr="00202F30">
        <w:rPr>
          <w:lang w:val="en-US"/>
        </w:rPr>
        <w:t xml:space="preserve"> to consolidate the draft CPM texts from the responsible groups into the draft CPM Report. The information above and useful references and </w:t>
      </w:r>
      <w:r w:rsidRPr="00202F30">
        <w:t xml:space="preserve">guidelines for the preparation of the draft CPM Report </w:t>
      </w:r>
      <w:r>
        <w:rPr>
          <w:lang w:val="en-US"/>
        </w:rPr>
        <w:t>were published on 19 </w:t>
      </w:r>
      <w:r w:rsidRPr="00202F30">
        <w:rPr>
          <w:lang w:val="en-US"/>
        </w:rPr>
        <w:t xml:space="preserve">September 2016 in Addendum 1 to </w:t>
      </w:r>
      <w:hyperlink r:id="rId14" w:history="1">
        <w:r w:rsidRPr="00202F30">
          <w:rPr>
            <w:rStyle w:val="Hyperlink"/>
            <w:lang w:val="en-US"/>
          </w:rPr>
          <w:t>Administrative Circular CA/226</w:t>
        </w:r>
      </w:hyperlink>
      <w:r w:rsidRPr="00202F30">
        <w:rPr>
          <w:lang w:val="en-US"/>
        </w:rPr>
        <w:t xml:space="preserve">. </w:t>
      </w:r>
    </w:p>
    <w:p w:rsidR="006B63C0" w:rsidRPr="00202F30" w:rsidRDefault="006B63C0" w:rsidP="00D26A65">
      <w:pPr>
        <w:rPr>
          <w:lang w:val="en-US"/>
        </w:rPr>
      </w:pPr>
      <w:r w:rsidRPr="00202F30">
        <w:rPr>
          <w:lang w:val="en-US"/>
        </w:rPr>
        <w:t>Based on the information received from the Study Groups,</w:t>
      </w:r>
      <w:r w:rsidRPr="00202F30">
        <w:rPr>
          <w:b/>
          <w:bCs/>
          <w:lang w:val="en-US"/>
        </w:rPr>
        <w:t xml:space="preserve"> </w:t>
      </w:r>
      <w:r w:rsidRPr="00202F30">
        <w:rPr>
          <w:lang w:val="en-US"/>
        </w:rPr>
        <w:t>the CPM-19 Steering Committee meeting updated the list of the concerned ITU-R working parties in the allocation of ITU</w:t>
      </w:r>
      <w:r w:rsidRPr="00202F30">
        <w:rPr>
          <w:lang w:val="en-US"/>
        </w:rPr>
        <w:noBreakHyphen/>
        <w:t>R preparatory work for WRC</w:t>
      </w:r>
      <w:r w:rsidRPr="00202F30">
        <w:rPr>
          <w:lang w:val="en-US"/>
        </w:rPr>
        <w:noBreakHyphen/>
        <w:t xml:space="preserve">19. A subsequent update was made </w:t>
      </w:r>
      <w:r>
        <w:rPr>
          <w:lang w:val="en-US"/>
        </w:rPr>
        <w:t>after the September to November </w:t>
      </w:r>
      <w:r w:rsidRPr="00202F30">
        <w:rPr>
          <w:lang w:val="en-US"/>
        </w:rPr>
        <w:t>201</w:t>
      </w:r>
      <w:r w:rsidR="00D26A65">
        <w:rPr>
          <w:lang w:val="en-US"/>
        </w:rPr>
        <w:t>6</w:t>
      </w:r>
      <w:r w:rsidRPr="00202F30">
        <w:rPr>
          <w:lang w:val="en-US"/>
        </w:rPr>
        <w:t xml:space="preserve"> blocks of ITU-R meetings, in consultation with the CPM-19 Steering Committee members and the Chairmen of the ITU</w:t>
      </w:r>
      <w:r w:rsidRPr="00202F30">
        <w:rPr>
          <w:lang w:val="en-US"/>
        </w:rPr>
        <w:noBreakHyphen/>
        <w:t>R Study Groups and of the</w:t>
      </w:r>
      <w:r>
        <w:rPr>
          <w:lang w:val="en-US"/>
        </w:rPr>
        <w:t xml:space="preserve"> ITU</w:t>
      </w:r>
      <w:r>
        <w:rPr>
          <w:lang w:val="en-US"/>
        </w:rPr>
        <w:noBreakHyphen/>
        <w:t>R responsible groups. This </w:t>
      </w:r>
      <w:r w:rsidRPr="00202F30">
        <w:rPr>
          <w:lang w:val="en-US"/>
        </w:rPr>
        <w:t>sub-sequent update was published on 20 December 2016 in Corrigendum 1 to Addendum 1 of CA/226.</w:t>
      </w:r>
    </w:p>
    <w:p w:rsidR="006B63C0" w:rsidRPr="00202F30" w:rsidRDefault="006B63C0" w:rsidP="006B63C0">
      <w:pPr>
        <w:rPr>
          <w:lang w:val="en-US"/>
        </w:rPr>
      </w:pPr>
      <w:r w:rsidRPr="00202F30">
        <w:t>Taking into account Resolution 80 (Rev. Marrakesh, 2002), preparations for WRC</w:t>
      </w:r>
      <w:r w:rsidRPr="00202F30">
        <w:noBreakHyphen/>
        <w:t xml:space="preserve">19 have been initiated through BR’s active participation in the preparatory meetings of the regional groups, including APT, ASMG, ATU, CEPT, CITEL and RCC. ITU has been assisting these preparations wherever possible, noting, in particular, Resolution </w:t>
      </w:r>
      <w:r w:rsidR="009A53E2">
        <w:rPr>
          <w:b/>
          <w:bCs/>
        </w:rPr>
        <w:t>72 (Rev.</w:t>
      </w:r>
      <w:r w:rsidRPr="00202F30">
        <w:rPr>
          <w:b/>
          <w:bCs/>
        </w:rPr>
        <w:t>WRC-07)</w:t>
      </w:r>
      <w:r w:rsidRPr="00202F30">
        <w:t>.</w:t>
      </w:r>
    </w:p>
    <w:p w:rsidR="006B63C0" w:rsidRPr="00202F30" w:rsidRDefault="006B63C0" w:rsidP="006B63C0">
      <w:pPr>
        <w:rPr>
          <w:lang w:val="en-US"/>
        </w:rPr>
      </w:pPr>
      <w:r w:rsidRPr="00202F30">
        <w:rPr>
          <w:lang w:val="en-US"/>
        </w:rPr>
        <w:lastRenderedPageBreak/>
        <w:t>The Bureau is planning to organize three ITU Inter-regional Workshops on WRC-19 Preparation, with the first one in Geneva on 22-23 November 2017 in order to review the progress made halfway through the preparatory cycle on the ITU</w:t>
      </w:r>
      <w:r w:rsidRPr="00202F30">
        <w:rPr>
          <w:lang w:val="en-US"/>
        </w:rPr>
        <w:noBreakHyphen/>
        <w:t xml:space="preserve">R studies related to the WRC-19 agenda items and to provide opportunities for exchanging information and have a better understanding of the preliminary draft common proposals, positions and/or views on the WRC-19 issues from the concerned entities such as the main regional groups and international organizations. </w:t>
      </w:r>
    </w:p>
    <w:p w:rsidR="006B63C0" w:rsidRPr="000606D3" w:rsidRDefault="006B63C0" w:rsidP="006B63C0">
      <w:pPr>
        <w:rPr>
          <w:lang w:val="en-US"/>
        </w:rPr>
      </w:pPr>
      <w:r w:rsidRPr="00202F30">
        <w:rPr>
          <w:lang w:val="en-US"/>
        </w:rPr>
        <w:t>The ITU</w:t>
      </w:r>
      <w:r w:rsidRPr="00202F30">
        <w:rPr>
          <w:lang w:val="en-US"/>
        </w:rPr>
        <w:noBreakHyphen/>
        <w:t xml:space="preserve">R webpage for WRC-19 has been set up at: </w:t>
      </w:r>
      <w:hyperlink r:id="rId15" w:history="1">
        <w:r w:rsidRPr="00202F30">
          <w:rPr>
            <w:rStyle w:val="Hyperlink"/>
            <w:lang w:val="en-US"/>
          </w:rPr>
          <w:t>www.itu.int/go/wrc-19</w:t>
        </w:r>
      </w:hyperlink>
      <w:r w:rsidRPr="00202F30">
        <w:rPr>
          <w:lang w:val="en-US"/>
        </w:rPr>
        <w:t>. Detailed information regarding the ITU</w:t>
      </w:r>
      <w:r w:rsidRPr="00202F30">
        <w:rPr>
          <w:lang w:val="en-US"/>
        </w:rPr>
        <w:noBreakHyphen/>
        <w:t xml:space="preserve">R preparatory studies for the WRC-19 agenda items and issues can be found on the regularly updated ITU webpage: </w:t>
      </w:r>
      <w:hyperlink r:id="rId16" w:history="1">
        <w:r w:rsidRPr="00202F30">
          <w:rPr>
            <w:rStyle w:val="Hyperlink"/>
            <w:lang w:val="en-US"/>
          </w:rPr>
          <w:t>www.itu.int/go/rcpm-wrc-19-studies</w:t>
        </w:r>
      </w:hyperlink>
      <w:r>
        <w:rPr>
          <w:lang w:val="en-US"/>
        </w:rPr>
        <w:t>, which includes also a </w:t>
      </w:r>
      <w:r w:rsidRPr="00202F30">
        <w:rPr>
          <w:lang w:val="en-US"/>
        </w:rPr>
        <w:t xml:space="preserve">link to the </w:t>
      </w:r>
      <w:hyperlink r:id="rId17" w:tgtFrame="_blank" w:history="1">
        <w:r w:rsidRPr="00202F30">
          <w:rPr>
            <w:rStyle w:val="Hyperlink"/>
          </w:rPr>
          <w:t>studies on WRC-23 preliminary agenda items</w:t>
        </w:r>
      </w:hyperlink>
      <w:r w:rsidRPr="00202F30">
        <w:t>​</w:t>
      </w:r>
      <w:r w:rsidRPr="00202F30">
        <w:rPr>
          <w:lang w:val="en-US"/>
        </w:rPr>
        <w:t>. Further information on the ITU Inter-regional Workshops on WRC-19 Preparation will be provided on the webpage at [</w:t>
      </w:r>
      <w:hyperlink r:id="rId18" w:history="1">
        <w:r w:rsidRPr="00202F30">
          <w:rPr>
            <w:rStyle w:val="Hyperlink"/>
            <w:lang w:val="en-US"/>
          </w:rPr>
          <w:t>www.itu.int/en/ITU-R/conferences/wrc/2019/irwsp/Pages/default.aspx</w:t>
        </w:r>
      </w:hyperlink>
      <w:r w:rsidRPr="00202F30">
        <w:rPr>
          <w:lang w:val="en-US"/>
        </w:rPr>
        <w:t xml:space="preserve">]. Information on the regional groups’ preparation for WRC-19 can be found at: </w:t>
      </w:r>
      <w:hyperlink r:id="rId19" w:history="1">
        <w:r w:rsidRPr="00202F30">
          <w:rPr>
            <w:rStyle w:val="Hyperlink"/>
            <w:lang w:val="en-US"/>
          </w:rPr>
          <w:t>www.itu.int/go/wrc-19-regional</w:t>
        </w:r>
      </w:hyperlink>
      <w:r w:rsidRPr="00202F30">
        <w:rPr>
          <w:lang w:val="en-US"/>
        </w:rPr>
        <w:t>.</w:t>
      </w:r>
    </w:p>
    <w:p w:rsidR="006B63C0" w:rsidRPr="00FD777A" w:rsidRDefault="006B63C0" w:rsidP="006B63C0">
      <w:pPr>
        <w:pStyle w:val="Heading1"/>
        <w:rPr>
          <w:lang w:val="en-US"/>
        </w:rPr>
      </w:pPr>
      <w:bookmarkStart w:id="20" w:name="_Toc446060768"/>
      <w:r w:rsidRPr="00ED04B0">
        <w:rPr>
          <w:lang w:val="en-US"/>
        </w:rPr>
        <w:t>6</w:t>
      </w:r>
      <w:r w:rsidRPr="00ED04B0">
        <w:rPr>
          <w:lang w:val="en-US"/>
        </w:rPr>
        <w:tab/>
      </w:r>
      <w:r w:rsidRPr="00B42690">
        <w:t>Operational</w:t>
      </w:r>
      <w:r w:rsidRPr="00ED04B0">
        <w:rPr>
          <w:lang w:val="en-US"/>
        </w:rPr>
        <w:t xml:space="preserve"> planning</w:t>
      </w:r>
      <w:bookmarkEnd w:id="20"/>
    </w:p>
    <w:p w:rsidR="006B63C0" w:rsidRPr="00FD777A" w:rsidRDefault="006B63C0" w:rsidP="006B63C0">
      <w:pPr>
        <w:rPr>
          <w:szCs w:val="24"/>
        </w:rPr>
      </w:pPr>
      <w:r w:rsidRPr="00840F08">
        <w:t>As reported to the 2</w:t>
      </w:r>
      <w:r>
        <w:t>3</w:t>
      </w:r>
      <w:r w:rsidRPr="00D06A94">
        <w:rPr>
          <w:vertAlign w:val="superscript"/>
        </w:rPr>
        <w:t>rd</w:t>
      </w:r>
      <w:r>
        <w:t xml:space="preserve"> </w:t>
      </w:r>
      <w:r w:rsidRPr="00840F08">
        <w:t xml:space="preserve">meeting of the RAG, </w:t>
      </w:r>
      <w:r>
        <w:t xml:space="preserve">in accordance with the provisions in the </w:t>
      </w:r>
      <w:r w:rsidRPr="00840F08">
        <w:t>approv</w:t>
      </w:r>
      <w:r>
        <w:t>ed</w:t>
      </w:r>
      <w:r w:rsidRPr="00840F08">
        <w:t xml:space="preserve"> strategic plan of the Union for 2016-2019 by PP-14, the ITU</w:t>
      </w:r>
      <w:r w:rsidRPr="00840F08">
        <w:noBreakHyphen/>
        <w:t>R Operational Plan has been structured based on a results-based management concept so as to ensure complete linkage with the budget and other financial</w:t>
      </w:r>
      <w:r w:rsidRPr="00FD777A">
        <w:rPr>
          <w:szCs w:val="24"/>
        </w:rPr>
        <w:t xml:space="preserve"> tools of the Union. </w:t>
      </w:r>
      <w:r>
        <w:rPr>
          <w:szCs w:val="24"/>
        </w:rPr>
        <w:t xml:space="preserve">The ITU-R Operational plan for the period 2017-2020 was approved by </w:t>
      </w:r>
      <w:hyperlink r:id="rId20" w:history="1">
        <w:r w:rsidRPr="00D670CA">
          <w:rPr>
            <w:rStyle w:val="Hyperlink"/>
            <w:szCs w:val="24"/>
          </w:rPr>
          <w:t>Council-16</w:t>
        </w:r>
      </w:hyperlink>
      <w:r w:rsidRPr="00D06A94">
        <w:rPr>
          <w:szCs w:val="24"/>
        </w:rPr>
        <w:t>.</w:t>
      </w:r>
      <w:r>
        <w:rPr>
          <w:szCs w:val="24"/>
        </w:rPr>
        <w:t xml:space="preserve"> </w:t>
      </w:r>
    </w:p>
    <w:p w:rsidR="006B63C0" w:rsidRPr="00FD777A" w:rsidRDefault="006B63C0" w:rsidP="006B63C0">
      <w:pPr>
        <w:rPr>
          <w:szCs w:val="24"/>
        </w:rPr>
      </w:pPr>
      <w:r w:rsidRPr="00FD777A">
        <w:rPr>
          <w:szCs w:val="24"/>
        </w:rPr>
        <w:t>The draft ITU</w:t>
      </w:r>
      <w:r w:rsidRPr="00FD777A">
        <w:rPr>
          <w:szCs w:val="24"/>
        </w:rPr>
        <w:noBreakHyphen/>
        <w:t>R Operational Plan for the period 201</w:t>
      </w:r>
      <w:r>
        <w:rPr>
          <w:szCs w:val="24"/>
        </w:rPr>
        <w:t>8</w:t>
      </w:r>
      <w:r w:rsidRPr="00FD777A">
        <w:rPr>
          <w:szCs w:val="24"/>
        </w:rPr>
        <w:t>-202</w:t>
      </w:r>
      <w:r>
        <w:rPr>
          <w:szCs w:val="24"/>
        </w:rPr>
        <w:t>1</w:t>
      </w:r>
      <w:r w:rsidRPr="00FD777A">
        <w:rPr>
          <w:szCs w:val="24"/>
        </w:rPr>
        <w:t xml:space="preserve"> is presented in </w:t>
      </w:r>
      <w:r w:rsidRPr="009024E9">
        <w:rPr>
          <w:szCs w:val="24"/>
        </w:rPr>
        <w:t>Addendum 2</w:t>
      </w:r>
      <w:r w:rsidRPr="00FD777A">
        <w:rPr>
          <w:szCs w:val="24"/>
        </w:rPr>
        <w:t xml:space="preserve"> to this document, for review and comments by RAG.</w:t>
      </w:r>
    </w:p>
    <w:p w:rsidR="006B63C0" w:rsidRPr="00FD777A" w:rsidRDefault="006B63C0" w:rsidP="006B63C0">
      <w:pPr>
        <w:pStyle w:val="Heading1"/>
        <w:rPr>
          <w:lang w:val="en-US"/>
        </w:rPr>
      </w:pPr>
      <w:bookmarkStart w:id="21" w:name="_Toc446060769"/>
      <w:r w:rsidRPr="00ED04B0">
        <w:rPr>
          <w:lang w:val="en-US"/>
        </w:rPr>
        <w:t>7</w:t>
      </w:r>
      <w:r w:rsidRPr="00ED04B0">
        <w:rPr>
          <w:lang w:val="en-US"/>
        </w:rPr>
        <w:tab/>
        <w:t xml:space="preserve">BR </w:t>
      </w:r>
      <w:r w:rsidRPr="00B42690">
        <w:t>information</w:t>
      </w:r>
      <w:r w:rsidRPr="00ED04B0">
        <w:rPr>
          <w:lang w:val="en-US"/>
        </w:rPr>
        <w:t xml:space="preserve"> system</w:t>
      </w:r>
      <w:bookmarkEnd w:id="21"/>
    </w:p>
    <w:p w:rsidR="006B63C0" w:rsidRPr="00FD777A" w:rsidRDefault="006B63C0" w:rsidP="006B63C0">
      <w:r w:rsidRPr="00FD777A">
        <w:t>RAG-19 (2012) advised the Director to implement recommended actions within the proposed time-frame, as described in the agreed roadmap, comprising: Phase 1 (Implementation of WRC 12 decisions) up to 31 December 2012; Phase 2 (Rewrite some exist</w:t>
      </w:r>
      <w:r>
        <w:t>ing software) up to 31 December </w:t>
      </w:r>
      <w:r w:rsidRPr="00FD777A">
        <w:t>2015; and Phase 3 (Set up a project team to implement a common framework, security system and centralized space database) from 1 Januar</w:t>
      </w:r>
      <w:r>
        <w:t>y 2016 to 31 December 2018. RAG </w:t>
      </w:r>
      <w:r w:rsidRPr="00FD777A">
        <w:t xml:space="preserve">encouraged Member States and Sector Members to submit their comments on Phase 3. </w:t>
      </w:r>
    </w:p>
    <w:p w:rsidR="006B63C0" w:rsidRPr="00FD777A" w:rsidRDefault="006B63C0" w:rsidP="006B63C0">
      <w:r w:rsidRPr="00FD777A">
        <w:t xml:space="preserve">The progress report on this topic is presented in </w:t>
      </w:r>
      <w:r w:rsidRPr="009024E9">
        <w:t>Annex 1</w:t>
      </w:r>
      <w:r w:rsidRPr="00FD777A">
        <w:t xml:space="preserve"> to this document.</w:t>
      </w:r>
      <w:r>
        <w:t xml:space="preserve"> Other on-going developments are addressed hereafter.</w:t>
      </w:r>
    </w:p>
    <w:p w:rsidR="006B63C0" w:rsidRPr="004861BD" w:rsidRDefault="006B63C0" w:rsidP="006B63C0">
      <w:pPr>
        <w:pStyle w:val="Heading2"/>
      </w:pPr>
      <w:bookmarkStart w:id="22" w:name="_Toc446060770"/>
      <w:r w:rsidRPr="00ED04B0">
        <w:t>7.1</w:t>
      </w:r>
      <w:r w:rsidRPr="00ED04B0">
        <w:tab/>
        <w:t>Implementation of Res</w:t>
      </w:r>
      <w:r>
        <w:t>olution</w:t>
      </w:r>
      <w:r w:rsidRPr="00ED04B0">
        <w:t xml:space="preserve"> 186 (Busan, 2014)</w:t>
      </w:r>
      <w:bookmarkEnd w:id="22"/>
    </w:p>
    <w:p w:rsidR="006B63C0" w:rsidRDefault="006B63C0" w:rsidP="006B63C0">
      <w:r w:rsidRPr="0038440D">
        <w:rPr>
          <w:lang w:val="en-US"/>
        </w:rPr>
        <w:t>The BR has continued developing and revising the requireme</w:t>
      </w:r>
      <w:r>
        <w:rPr>
          <w:lang w:val="en-US"/>
        </w:rPr>
        <w:t>nts for the implementation of a </w:t>
      </w:r>
      <w:r w:rsidRPr="0038440D">
        <w:rPr>
          <w:lang w:val="en-US"/>
        </w:rPr>
        <w:t>database and corresponding web application for submission and publication of harmful interference reports for space services (SIRRS). The look and feel of the system was presented to membership at WRS-16 and the system will be available for exter</w:t>
      </w:r>
      <w:r>
        <w:rPr>
          <w:lang w:val="en-US"/>
        </w:rPr>
        <w:t>nal testing by the end of first </w:t>
      </w:r>
      <w:r w:rsidRPr="0038440D">
        <w:rPr>
          <w:lang w:val="en-US"/>
        </w:rPr>
        <w:t>quarter 2017</w:t>
      </w:r>
      <w:r>
        <w:t>.</w:t>
      </w:r>
    </w:p>
    <w:p w:rsidR="006B63C0" w:rsidRPr="004B0BA9" w:rsidRDefault="006B63C0" w:rsidP="006B63C0">
      <w:pPr>
        <w:pStyle w:val="Heading2"/>
      </w:pPr>
      <w:r w:rsidRPr="00ED04B0">
        <w:t>7.2</w:t>
      </w:r>
      <w:r w:rsidRPr="00ED04B0">
        <w:tab/>
      </w:r>
      <w:r w:rsidRPr="00ED04B0">
        <w:rPr>
          <w:lang w:val="en-US"/>
        </w:rPr>
        <w:t>Integration of EPFD validation software</w:t>
      </w:r>
    </w:p>
    <w:p w:rsidR="006B63C0" w:rsidRPr="00063125" w:rsidRDefault="006B63C0" w:rsidP="006B63C0">
      <w:pPr>
        <w:rPr>
          <w:lang w:val="en-US"/>
        </w:rPr>
      </w:pPr>
      <w:bookmarkStart w:id="23" w:name="_Toc446060771"/>
      <w:r w:rsidRPr="00063125">
        <w:rPr>
          <w:lang w:val="en-US"/>
        </w:rPr>
        <w:t xml:space="preserve">In </w:t>
      </w:r>
      <w:r>
        <w:rPr>
          <w:lang w:val="en-US"/>
        </w:rPr>
        <w:t xml:space="preserve">its </w:t>
      </w:r>
      <w:r w:rsidRPr="00063125">
        <w:rPr>
          <w:lang w:val="en-US"/>
        </w:rPr>
        <w:t>Circular Letter CR/405 (3 June 2016), the Bureau informed administrations of the availability of a beta version of the EPFD validation software for testing and evaluation purposes.</w:t>
      </w:r>
    </w:p>
    <w:p w:rsidR="006B63C0" w:rsidRDefault="006B63C0" w:rsidP="006B63C0">
      <w:pPr>
        <w:tabs>
          <w:tab w:val="clear" w:pos="794"/>
          <w:tab w:val="clear" w:pos="1191"/>
          <w:tab w:val="clear" w:pos="1588"/>
          <w:tab w:val="clear" w:pos="1985"/>
        </w:tabs>
        <w:overflowPunct/>
        <w:autoSpaceDE/>
        <w:autoSpaceDN/>
        <w:adjustRightInd/>
        <w:spacing w:before="0"/>
        <w:textAlignment w:val="auto"/>
        <w:rPr>
          <w:lang w:val="en-US"/>
        </w:rPr>
      </w:pPr>
      <w:r>
        <w:rPr>
          <w:lang w:val="en-US"/>
        </w:rPr>
        <w:br w:type="page"/>
      </w:r>
    </w:p>
    <w:p w:rsidR="006B63C0" w:rsidRPr="00063125" w:rsidRDefault="006B63C0" w:rsidP="006B63C0">
      <w:pPr>
        <w:rPr>
          <w:lang w:val="en-US"/>
        </w:rPr>
      </w:pPr>
      <w:r>
        <w:rPr>
          <w:lang w:val="en-US"/>
        </w:rPr>
        <w:lastRenderedPageBreak/>
        <w:t>Taking account of the collected comments and suggestions, at the beginning of December 2016, the </w:t>
      </w:r>
      <w:r w:rsidRPr="00063125">
        <w:rPr>
          <w:lang w:val="en-US"/>
        </w:rPr>
        <w:t xml:space="preserve">Bureau </w:t>
      </w:r>
      <w:r>
        <w:rPr>
          <w:lang w:val="en-US"/>
        </w:rPr>
        <w:t>released</w:t>
      </w:r>
      <w:r w:rsidRPr="00063125">
        <w:rPr>
          <w:lang w:val="en-US"/>
        </w:rPr>
        <w:t xml:space="preserve"> the final version of the software for im</w:t>
      </w:r>
      <w:r>
        <w:rPr>
          <w:lang w:val="en-US"/>
        </w:rPr>
        <w:t>plementing Recommendation ITU</w:t>
      </w:r>
      <w:r>
        <w:rPr>
          <w:lang w:val="en-US"/>
        </w:rPr>
        <w:noBreakHyphen/>
        <w:t>R </w:t>
      </w:r>
      <w:r w:rsidRPr="00063125">
        <w:rPr>
          <w:lang w:val="en-US"/>
        </w:rPr>
        <w:t xml:space="preserve">S.1503-2 on the </w:t>
      </w:r>
      <w:hyperlink r:id="rId21" w:history="1">
        <w:r w:rsidRPr="00027849">
          <w:rPr>
            <w:rStyle w:val="Hyperlink"/>
            <w:lang w:val="en-US"/>
          </w:rPr>
          <w:t>ITU website</w:t>
        </w:r>
      </w:hyperlink>
      <w:r w:rsidRPr="00063125">
        <w:rPr>
          <w:lang w:val="en-US"/>
        </w:rPr>
        <w:t xml:space="preserve"> and on the DVD version of BR IFIC (Space services) 2384/0</w:t>
      </w:r>
      <w:r>
        <w:rPr>
          <w:lang w:val="en-US"/>
        </w:rPr>
        <w:t>6.12.2016 and subsequent issues.</w:t>
      </w:r>
    </w:p>
    <w:p w:rsidR="006B63C0" w:rsidRPr="00063125" w:rsidRDefault="006B63C0" w:rsidP="006B63C0">
      <w:pPr>
        <w:rPr>
          <w:lang w:val="en-US"/>
        </w:rPr>
      </w:pPr>
      <w:r w:rsidRPr="00063125">
        <w:rPr>
          <w:lang w:val="en-US"/>
        </w:rPr>
        <w:t>The EPFD validation package includes a Graphical Interface for Batch Calculations (GIBC) module used as an interface to launch the EPFD validation, two EPFD validat</w:t>
      </w:r>
      <w:r>
        <w:rPr>
          <w:lang w:val="en-US"/>
        </w:rPr>
        <w:t>ion tools, two test cases and a </w:t>
      </w:r>
      <w:r w:rsidRPr="00063125">
        <w:rPr>
          <w:lang w:val="en-US"/>
        </w:rPr>
        <w:t xml:space="preserve">user guide. </w:t>
      </w:r>
    </w:p>
    <w:p w:rsidR="006B63C0" w:rsidRDefault="006B63C0" w:rsidP="006B63C0">
      <w:pPr>
        <w:rPr>
          <w:lang w:val="en-US"/>
        </w:rPr>
      </w:pPr>
      <w:r>
        <w:rPr>
          <w:lang w:val="en-US"/>
        </w:rPr>
        <w:t>In its Circular L</w:t>
      </w:r>
      <w:r w:rsidRPr="00063125">
        <w:rPr>
          <w:lang w:val="en-US"/>
        </w:rPr>
        <w:t xml:space="preserve">etter </w:t>
      </w:r>
      <w:r>
        <w:rPr>
          <w:lang w:val="en-US"/>
        </w:rPr>
        <w:t xml:space="preserve">CR/414 (6 December 2016), the Bureau </w:t>
      </w:r>
      <w:r w:rsidRPr="00063125">
        <w:rPr>
          <w:lang w:val="en-US"/>
        </w:rPr>
        <w:t>provide</w:t>
      </w:r>
      <w:r>
        <w:rPr>
          <w:lang w:val="en-US"/>
        </w:rPr>
        <w:t>d</w:t>
      </w:r>
      <w:r w:rsidRPr="00063125">
        <w:rPr>
          <w:lang w:val="en-US"/>
        </w:rPr>
        <w:t xml:space="preserve"> administrations and other users with information and guidance on the EPFD validation software and implementation of the </w:t>
      </w:r>
      <w:r w:rsidRPr="00050412">
        <w:rPr>
          <w:i/>
          <w:lang w:val="en-US"/>
        </w:rPr>
        <w:t xml:space="preserve">instructs the Director of the Radiocommunication Bureau </w:t>
      </w:r>
      <w:r w:rsidRPr="00050412">
        <w:rPr>
          <w:lang w:val="en-US"/>
        </w:rPr>
        <w:t>section of</w:t>
      </w:r>
      <w:r w:rsidRPr="00063125">
        <w:rPr>
          <w:lang w:val="en-US"/>
        </w:rPr>
        <w:t xml:space="preserve"> Resolution </w:t>
      </w:r>
      <w:r w:rsidRPr="00D14D57">
        <w:rPr>
          <w:b/>
          <w:bCs/>
          <w:lang w:val="en-US"/>
        </w:rPr>
        <w:t>85 (WRC-03)</w:t>
      </w:r>
      <w:r w:rsidRPr="00063125">
        <w:rPr>
          <w:lang w:val="en-US"/>
        </w:rPr>
        <w:t>.</w:t>
      </w:r>
    </w:p>
    <w:p w:rsidR="006B63C0" w:rsidRPr="00063125" w:rsidRDefault="006B63C0" w:rsidP="00C6218B">
      <w:pPr>
        <w:rPr>
          <w:lang w:val="en-US"/>
        </w:rPr>
      </w:pPr>
      <w:r w:rsidRPr="00063125">
        <w:rPr>
          <w:lang w:val="en-US"/>
        </w:rPr>
        <w:t xml:space="preserve">In accordance with </w:t>
      </w:r>
      <w:r w:rsidRPr="00050412">
        <w:rPr>
          <w:i/>
          <w:lang w:val="en-US"/>
        </w:rPr>
        <w:t>instructs the Director of the Radiocommunication Bureau</w:t>
      </w:r>
      <w:r>
        <w:rPr>
          <w:lang w:val="en-US"/>
        </w:rPr>
        <w:t xml:space="preserve"> 2 and 3 of Resolution </w:t>
      </w:r>
      <w:r w:rsidRPr="00D14D57">
        <w:rPr>
          <w:b/>
          <w:bCs/>
          <w:lang w:val="en-US"/>
        </w:rPr>
        <w:t>85 (WRC-03)</w:t>
      </w:r>
      <w:r w:rsidRPr="00063125">
        <w:rPr>
          <w:lang w:val="en-US"/>
        </w:rPr>
        <w:t xml:space="preserve">, the Bureau </w:t>
      </w:r>
      <w:r>
        <w:rPr>
          <w:lang w:val="en-US"/>
        </w:rPr>
        <w:t xml:space="preserve">has been </w:t>
      </w:r>
      <w:r w:rsidRPr="00063125">
        <w:rPr>
          <w:lang w:val="en-US"/>
        </w:rPr>
        <w:t xml:space="preserve">initiating </w:t>
      </w:r>
      <w:r>
        <w:rPr>
          <w:lang w:val="en-US"/>
        </w:rPr>
        <w:t xml:space="preserve">the process of </w:t>
      </w:r>
      <w:r w:rsidRPr="00063125">
        <w:rPr>
          <w:lang w:val="en-US"/>
        </w:rPr>
        <w:t>review</w:t>
      </w:r>
      <w:r>
        <w:rPr>
          <w:lang w:val="en-US"/>
        </w:rPr>
        <w:t xml:space="preserve">ing its </w:t>
      </w:r>
      <w:r w:rsidR="00C6218B">
        <w:rPr>
          <w:lang w:val="en-US"/>
        </w:rPr>
        <w:t>findings</w:t>
      </w:r>
      <w:r>
        <w:rPr>
          <w:lang w:val="en-US"/>
        </w:rPr>
        <w:t xml:space="preserve"> under </w:t>
      </w:r>
      <w:r w:rsidRPr="00063125">
        <w:rPr>
          <w:lang w:val="en-US"/>
        </w:rPr>
        <w:t xml:space="preserve">Nos. </w:t>
      </w:r>
      <w:r w:rsidRPr="00D14D57">
        <w:rPr>
          <w:b/>
          <w:bCs/>
          <w:lang w:val="en-US"/>
        </w:rPr>
        <w:t>9.35</w:t>
      </w:r>
      <w:r>
        <w:rPr>
          <w:lang w:val="en-US"/>
        </w:rPr>
        <w:t xml:space="preserve">, </w:t>
      </w:r>
      <w:r w:rsidRPr="00D14D57">
        <w:rPr>
          <w:b/>
          <w:bCs/>
          <w:lang w:val="en-US"/>
        </w:rPr>
        <w:t>11.31</w:t>
      </w:r>
      <w:r w:rsidRPr="00063125">
        <w:rPr>
          <w:lang w:val="en-US"/>
        </w:rPr>
        <w:t xml:space="preserve">, </w:t>
      </w:r>
      <w:r w:rsidRPr="00D14D57">
        <w:rPr>
          <w:b/>
          <w:bCs/>
          <w:lang w:val="en-US"/>
        </w:rPr>
        <w:t>9.7A</w:t>
      </w:r>
      <w:r w:rsidRPr="00063125">
        <w:rPr>
          <w:lang w:val="en-US"/>
        </w:rPr>
        <w:t xml:space="preserve"> and </w:t>
      </w:r>
      <w:r w:rsidRPr="00D14D57">
        <w:rPr>
          <w:b/>
          <w:bCs/>
          <w:lang w:val="en-US"/>
        </w:rPr>
        <w:t>9.7B</w:t>
      </w:r>
      <w:r w:rsidRPr="00063125">
        <w:rPr>
          <w:lang w:val="en-US"/>
        </w:rPr>
        <w:t>.</w:t>
      </w:r>
      <w:r>
        <w:rPr>
          <w:lang w:val="en-US"/>
        </w:rPr>
        <w:t xml:space="preserve"> To this end, in March 2017, the Bureau </w:t>
      </w:r>
      <w:r w:rsidRPr="00063125">
        <w:rPr>
          <w:lang w:val="en-US"/>
        </w:rPr>
        <w:t>contact</w:t>
      </w:r>
      <w:r>
        <w:rPr>
          <w:lang w:val="en-US"/>
        </w:rPr>
        <w:t xml:space="preserve">ed </w:t>
      </w:r>
      <w:r w:rsidRPr="00063125">
        <w:rPr>
          <w:lang w:val="en-US"/>
        </w:rPr>
        <w:t>individually each admi</w:t>
      </w:r>
      <w:r>
        <w:rPr>
          <w:lang w:val="en-US"/>
        </w:rPr>
        <w:t>nistration having submitted non-</w:t>
      </w:r>
      <w:r w:rsidRPr="00063125">
        <w:rPr>
          <w:lang w:val="en-US"/>
        </w:rPr>
        <w:t xml:space="preserve">geostationary satellite systems in the fixed-satellite service, including frequency assignments with qualified favourable findings in accordance with Resolution </w:t>
      </w:r>
      <w:r w:rsidRPr="00D14D57">
        <w:rPr>
          <w:b/>
          <w:bCs/>
          <w:lang w:val="en-US"/>
        </w:rPr>
        <w:t>85 (WRC-03)</w:t>
      </w:r>
      <w:r w:rsidRPr="00063125">
        <w:rPr>
          <w:lang w:val="en-US"/>
        </w:rPr>
        <w:t>, and request</w:t>
      </w:r>
      <w:r>
        <w:rPr>
          <w:lang w:val="en-US"/>
        </w:rPr>
        <w:t>ed</w:t>
      </w:r>
      <w:r w:rsidRPr="00063125">
        <w:rPr>
          <w:lang w:val="en-US"/>
        </w:rPr>
        <w:t xml:space="preserve"> the administration to submit the following within three months from the date of dispatch of the communication:</w:t>
      </w:r>
    </w:p>
    <w:p w:rsidR="006B63C0" w:rsidRPr="00063125" w:rsidRDefault="006B63C0" w:rsidP="006B63C0">
      <w:pPr>
        <w:pStyle w:val="enumlev1"/>
        <w:rPr>
          <w:lang w:val="en-US"/>
        </w:rPr>
      </w:pPr>
      <w:r>
        <w:rPr>
          <w:lang w:val="en-US"/>
        </w:rPr>
        <w:t>–</w:t>
      </w:r>
      <w:r w:rsidRPr="00063125">
        <w:rPr>
          <w:lang w:val="en-US"/>
        </w:rPr>
        <w:tab/>
        <w:t xml:space="preserve">PFD and </w:t>
      </w:r>
      <w:r>
        <w:rPr>
          <w:lang w:val="en-US"/>
        </w:rPr>
        <w:t>e.i.r.p.</w:t>
      </w:r>
      <w:r w:rsidRPr="00063125">
        <w:rPr>
          <w:lang w:val="en-US"/>
        </w:rPr>
        <w:t xml:space="preserve"> mask data (data elements under §A.14 of Appendix </w:t>
      </w:r>
      <w:r w:rsidRPr="00440D20">
        <w:rPr>
          <w:b/>
          <w:bCs/>
          <w:lang w:val="en-US"/>
        </w:rPr>
        <w:t>4</w:t>
      </w:r>
      <w:r w:rsidRPr="00063125">
        <w:rPr>
          <w:lang w:val="en-US"/>
        </w:rPr>
        <w:t>) in accordance with the detailed description of the masks in Recommendation ITU-R S.1503-2</w:t>
      </w:r>
      <w:r>
        <w:rPr>
          <w:lang w:val="en-US"/>
        </w:rPr>
        <w:t xml:space="preserve">, Part B. The mask data should </w:t>
      </w:r>
      <w:r w:rsidRPr="00063125">
        <w:rPr>
          <w:lang w:val="en-US"/>
        </w:rPr>
        <w:t xml:space="preserve">be submitted in XML format, the description of which can be found at </w:t>
      </w:r>
      <w:hyperlink r:id="rId22" w:history="1">
        <w:r w:rsidRPr="00A87C8D">
          <w:rPr>
            <w:rStyle w:val="Hyperlink"/>
            <w:lang w:val="en-US"/>
          </w:rPr>
          <w:t>www.itu.int/ITU-R/go/space-mask-XMLfile/en</w:t>
        </w:r>
      </w:hyperlink>
      <w:r w:rsidRPr="00063125">
        <w:rPr>
          <w:lang w:val="en-US"/>
        </w:rPr>
        <w:t>; and</w:t>
      </w:r>
    </w:p>
    <w:p w:rsidR="006B63C0" w:rsidRPr="00063125" w:rsidRDefault="006B63C0" w:rsidP="006B63C0">
      <w:pPr>
        <w:pStyle w:val="enumlev1"/>
        <w:rPr>
          <w:lang w:val="en-US"/>
        </w:rPr>
      </w:pPr>
      <w:r>
        <w:rPr>
          <w:lang w:val="en-US"/>
        </w:rPr>
        <w:t>–</w:t>
      </w:r>
      <w:r w:rsidRPr="00063125">
        <w:rPr>
          <w:lang w:val="en-US"/>
        </w:rPr>
        <w:tab/>
        <w:t xml:space="preserve">any other Appendix </w:t>
      </w:r>
      <w:r w:rsidRPr="00440D20">
        <w:rPr>
          <w:b/>
          <w:bCs/>
          <w:lang w:val="en-US"/>
        </w:rPr>
        <w:t>4</w:t>
      </w:r>
      <w:r w:rsidRPr="00063125">
        <w:rPr>
          <w:lang w:val="en-US"/>
        </w:rPr>
        <w:t xml:space="preserve"> data elements required for stations in a frequency band subject to Nos. </w:t>
      </w:r>
      <w:r w:rsidRPr="00440D20">
        <w:rPr>
          <w:b/>
          <w:bCs/>
          <w:lang w:val="en-US"/>
        </w:rPr>
        <w:t>22.5C</w:t>
      </w:r>
      <w:r w:rsidRPr="00063125">
        <w:rPr>
          <w:lang w:val="en-US"/>
        </w:rPr>
        <w:t xml:space="preserve">, </w:t>
      </w:r>
      <w:r w:rsidRPr="00440D20">
        <w:rPr>
          <w:b/>
          <w:bCs/>
          <w:lang w:val="en-US"/>
        </w:rPr>
        <w:t>22.5D</w:t>
      </w:r>
      <w:r w:rsidRPr="00063125">
        <w:rPr>
          <w:lang w:val="en-US"/>
        </w:rPr>
        <w:t xml:space="preserve"> or </w:t>
      </w:r>
      <w:r w:rsidRPr="00440D20">
        <w:rPr>
          <w:b/>
          <w:bCs/>
          <w:lang w:val="en-US"/>
        </w:rPr>
        <w:t>22.5F</w:t>
      </w:r>
      <w:r w:rsidRPr="00063125">
        <w:rPr>
          <w:lang w:val="en-US"/>
        </w:rPr>
        <w:t xml:space="preserve"> (i.e. subject to EPFD examination) which may have been missing in the original submissions or may require amendment in order to run the EPFD validation software correctly along with the PFD/</w:t>
      </w:r>
      <w:r>
        <w:rPr>
          <w:lang w:val="en-US"/>
        </w:rPr>
        <w:t>e.i.r.p.</w:t>
      </w:r>
      <w:r w:rsidRPr="00063125">
        <w:rPr>
          <w:lang w:val="en-US"/>
        </w:rPr>
        <w:t xml:space="preserve"> mask data. </w:t>
      </w:r>
    </w:p>
    <w:p w:rsidR="006B63C0" w:rsidRPr="00063125" w:rsidRDefault="006B63C0" w:rsidP="006B63C0">
      <w:pPr>
        <w:rPr>
          <w:lang w:val="en-US"/>
        </w:rPr>
      </w:pPr>
      <w:r>
        <w:rPr>
          <w:lang w:val="en-US"/>
        </w:rPr>
        <w:t>If t</w:t>
      </w:r>
      <w:r w:rsidRPr="00063125">
        <w:rPr>
          <w:lang w:val="en-US"/>
        </w:rPr>
        <w:t>he above information is provided within the three-month period indicated</w:t>
      </w:r>
      <w:r>
        <w:rPr>
          <w:lang w:val="en-US"/>
        </w:rPr>
        <w:t>,</w:t>
      </w:r>
      <w:r w:rsidRPr="00063125">
        <w:rPr>
          <w:lang w:val="en-US"/>
        </w:rPr>
        <w:t xml:space="preserve"> the formal date of receipt of the frequency assignments concerned</w:t>
      </w:r>
      <w:r>
        <w:rPr>
          <w:lang w:val="en-US"/>
        </w:rPr>
        <w:t xml:space="preserve"> will not be changed</w:t>
      </w:r>
      <w:r w:rsidRPr="00063125">
        <w:rPr>
          <w:lang w:val="en-US"/>
        </w:rPr>
        <w:t>. In the case of a satellite system with different subsets of orbital characteristics that are mutually exc</w:t>
      </w:r>
      <w:r>
        <w:rPr>
          <w:lang w:val="en-US"/>
        </w:rPr>
        <w:t>lusive, the requested data will need to</w:t>
      </w:r>
      <w:r w:rsidRPr="00063125">
        <w:rPr>
          <w:lang w:val="en-US"/>
        </w:rPr>
        <w:t xml:space="preserve"> be provided for each subset of orbital parameters subject to the limits in Article </w:t>
      </w:r>
      <w:r w:rsidRPr="00440D20">
        <w:rPr>
          <w:b/>
          <w:bCs/>
          <w:lang w:val="en-US"/>
        </w:rPr>
        <w:t>22</w:t>
      </w:r>
      <w:r w:rsidRPr="00063125">
        <w:rPr>
          <w:lang w:val="en-US"/>
        </w:rPr>
        <w:t xml:space="preserve"> and to No. </w:t>
      </w:r>
      <w:r w:rsidRPr="00440D20">
        <w:rPr>
          <w:b/>
          <w:bCs/>
          <w:lang w:val="en-US"/>
        </w:rPr>
        <w:t>9.7B</w:t>
      </w:r>
      <w:r w:rsidRPr="00063125">
        <w:rPr>
          <w:lang w:val="en-US"/>
        </w:rPr>
        <w:t>.</w:t>
      </w:r>
    </w:p>
    <w:p w:rsidR="006B63C0" w:rsidRDefault="006B63C0" w:rsidP="006B63C0">
      <w:pPr>
        <w:rPr>
          <w:lang w:val="en-US"/>
        </w:rPr>
      </w:pPr>
      <w:r w:rsidRPr="00063125">
        <w:rPr>
          <w:lang w:val="en-US"/>
        </w:rPr>
        <w:t xml:space="preserve">The submitted PFD and </w:t>
      </w:r>
      <w:r>
        <w:rPr>
          <w:lang w:val="en-US"/>
        </w:rPr>
        <w:t>e.i.r.p.</w:t>
      </w:r>
      <w:r w:rsidRPr="00063125">
        <w:rPr>
          <w:lang w:val="en-US"/>
        </w:rPr>
        <w:t xml:space="preserve"> masks together with the results of the EPFD examination will be published in the BR IFIC (Space services) and posted </w:t>
      </w:r>
      <w:r>
        <w:rPr>
          <w:lang w:val="en-US"/>
        </w:rPr>
        <w:t xml:space="preserve">on the </w:t>
      </w:r>
      <w:hyperlink r:id="rId23" w:history="1">
        <w:r w:rsidRPr="00027849">
          <w:rPr>
            <w:rStyle w:val="Hyperlink"/>
            <w:lang w:val="en-US"/>
          </w:rPr>
          <w:t>ITU website</w:t>
        </w:r>
      </w:hyperlink>
      <w:r>
        <w:rPr>
          <w:lang w:val="en-US"/>
        </w:rPr>
        <w:t>.</w:t>
      </w:r>
    </w:p>
    <w:p w:rsidR="006B63C0" w:rsidRPr="00FF605C" w:rsidRDefault="006B63C0" w:rsidP="006B63C0">
      <w:pPr>
        <w:pStyle w:val="Heading2"/>
      </w:pPr>
      <w:r w:rsidRPr="00ED04B0">
        <w:t>7.3</w:t>
      </w:r>
      <w:r w:rsidRPr="00ED04B0">
        <w:tab/>
      </w:r>
      <w:bookmarkEnd w:id="23"/>
      <w:r w:rsidRPr="00ED04B0">
        <w:t>ITU-R documents database search facility</w:t>
      </w:r>
    </w:p>
    <w:p w:rsidR="006B63C0" w:rsidRDefault="006B63C0" w:rsidP="006B63C0">
      <w:r>
        <w:t xml:space="preserve">Please refer to </w:t>
      </w:r>
      <w:r w:rsidR="009A53E2">
        <w:t xml:space="preserve">Section </w:t>
      </w:r>
      <w:r>
        <w:t>8.1.5.2 for detailed information regarding this project</w:t>
      </w:r>
      <w:r w:rsidRPr="00FF605C">
        <w:t>.</w:t>
      </w:r>
    </w:p>
    <w:p w:rsidR="006B63C0" w:rsidRPr="00ED04B0" w:rsidRDefault="006B63C0" w:rsidP="006B63C0">
      <w:pPr>
        <w:pStyle w:val="Heading2"/>
      </w:pPr>
      <w:bookmarkStart w:id="24" w:name="_Toc446060772"/>
      <w:r w:rsidRPr="00ED04B0">
        <w:t>7.4</w:t>
      </w:r>
      <w:r w:rsidRPr="00ED04B0">
        <w:tab/>
        <w:t>Other developments</w:t>
      </w:r>
      <w:bookmarkEnd w:id="24"/>
    </w:p>
    <w:p w:rsidR="006B63C0" w:rsidRDefault="006B63C0" w:rsidP="006B63C0">
      <w:pPr>
        <w:pStyle w:val="Heading3"/>
      </w:pPr>
      <w:bookmarkStart w:id="25" w:name="_Toc444689399"/>
      <w:bookmarkStart w:id="26" w:name="_Toc446060773"/>
      <w:r w:rsidRPr="00ED04B0">
        <w:t>7.4.1</w:t>
      </w:r>
      <w:r w:rsidRPr="00ED04B0">
        <w:tab/>
      </w:r>
      <w:bookmarkEnd w:id="25"/>
      <w:bookmarkEnd w:id="26"/>
      <w:r w:rsidRPr="00ED04B0">
        <w:t xml:space="preserve">Changes in publication of information under </w:t>
      </w:r>
      <w:r>
        <w:t xml:space="preserve">Nos. </w:t>
      </w:r>
      <w:r w:rsidRPr="00ED04B0">
        <w:t>11.41 &amp; 11.41A of the Radio Regulations</w:t>
      </w:r>
    </w:p>
    <w:p w:rsidR="006B63C0" w:rsidRPr="006B6DDF" w:rsidRDefault="006B63C0" w:rsidP="006B63C0">
      <w:r w:rsidRPr="00CF63C9">
        <w:rPr>
          <w:lang w:val="en-US"/>
        </w:rPr>
        <w:t>At the request of WP</w:t>
      </w:r>
      <w:r>
        <w:rPr>
          <w:lang w:val="en-US"/>
        </w:rPr>
        <w:t xml:space="preserve"> </w:t>
      </w:r>
      <w:r w:rsidRPr="00CF63C9">
        <w:rPr>
          <w:lang w:val="en-US"/>
        </w:rPr>
        <w:t xml:space="preserve">4A (Doc. 4A/669 </w:t>
      </w:r>
      <w:r>
        <w:rPr>
          <w:lang w:val="en-US"/>
        </w:rPr>
        <w:t>(</w:t>
      </w:r>
      <w:r w:rsidRPr="00CF63C9">
        <w:rPr>
          <w:lang w:val="en-US"/>
        </w:rPr>
        <w:t>Annex 14</w:t>
      </w:r>
      <w:r>
        <w:rPr>
          <w:lang w:val="en-US"/>
        </w:rPr>
        <w:t>)</w:t>
      </w:r>
      <w:r w:rsidRPr="00CF63C9">
        <w:rPr>
          <w:lang w:val="en-US"/>
        </w:rPr>
        <w:t>) the BR implemented changes in the way affected networks are indicated in the space systems technical examination software and database and made available a new website with information on affected networks (Notex). This new functionality is described in CR/397.</w:t>
      </w:r>
    </w:p>
    <w:p w:rsidR="006B63C0" w:rsidRPr="00F724B2" w:rsidRDefault="006B63C0" w:rsidP="006B63C0">
      <w:pPr>
        <w:pStyle w:val="Heading3"/>
      </w:pPr>
      <w:bookmarkStart w:id="27" w:name="_Toc446060775"/>
      <w:r w:rsidRPr="00ED04B0">
        <w:lastRenderedPageBreak/>
        <w:t>7.4.2</w:t>
      </w:r>
      <w:r w:rsidRPr="00ED04B0">
        <w:tab/>
      </w:r>
      <w:bookmarkEnd w:id="27"/>
      <w:r w:rsidRPr="00ED04B0">
        <w:rPr>
          <w:lang w:val="en-US"/>
        </w:rPr>
        <w:t>Progress in fulfilling the BR Space Information Systems roadmap (RAG-19, 2012)</w:t>
      </w:r>
    </w:p>
    <w:p w:rsidR="006B63C0" w:rsidRDefault="006B63C0" w:rsidP="006B63C0">
      <w:pPr>
        <w:rPr>
          <w:lang w:val="en-US"/>
        </w:rPr>
      </w:pPr>
      <w:r w:rsidRPr="00CF63C9">
        <w:rPr>
          <w:lang w:val="en-US"/>
        </w:rPr>
        <w:t>In 2017, as the urgent demands for software changes after WRC-15 have been satisfied, the BR will continue the implementation of the proposed improvements to the BR Space Information Systems, as described in Annex 1 to this document.</w:t>
      </w:r>
    </w:p>
    <w:p w:rsidR="006B63C0" w:rsidRDefault="006B63C0" w:rsidP="006B63C0">
      <w:pPr>
        <w:pStyle w:val="Heading3"/>
      </w:pPr>
      <w:r w:rsidRPr="00ED04B0">
        <w:t>7.4.3</w:t>
      </w:r>
      <w:r w:rsidRPr="00ED04B0">
        <w:tab/>
        <w:t>Intellectual Property Rights (IPRs)</w:t>
      </w:r>
    </w:p>
    <w:p w:rsidR="006B63C0" w:rsidRDefault="006B63C0" w:rsidP="006B63C0">
      <w:pPr>
        <w:rPr>
          <w:u w:val="single"/>
        </w:rPr>
      </w:pPr>
      <w:r w:rsidRPr="004B0BA9">
        <w:t xml:space="preserve">In a joint project with the Telecommunication Standardization Bureau (TSB) and the IS Department, the Bureau pursued its work on the necessary alignments of the ITU-R/ITU-T patents databases. This activity is still ongoing (See </w:t>
      </w:r>
      <w:hyperlink r:id="rId24" w:history="1">
        <w:r w:rsidRPr="004B0BA9">
          <w:rPr>
            <w:rStyle w:val="Hyperlink"/>
          </w:rPr>
          <w:t>www.itu.int/ipr</w:t>
        </w:r>
      </w:hyperlink>
      <w:r w:rsidRPr="00F42ED4">
        <w:t>).</w:t>
      </w:r>
    </w:p>
    <w:p w:rsidR="006B63C0" w:rsidRPr="00F42ED4" w:rsidRDefault="006B63C0" w:rsidP="006B63C0">
      <w:pPr>
        <w:pStyle w:val="Heading3"/>
      </w:pPr>
      <w:r w:rsidRPr="00ED04B0">
        <w:t>7.4.4</w:t>
      </w:r>
      <w:r w:rsidRPr="00ED04B0">
        <w:tab/>
        <w:t>Development of SharePoint data views</w:t>
      </w:r>
    </w:p>
    <w:p w:rsidR="006B63C0" w:rsidRPr="00F42ED4" w:rsidRDefault="006B63C0" w:rsidP="006B63C0">
      <w:r w:rsidRPr="00F42ED4">
        <w:t>SharePoint data views are modules that can be integrated into webpages in order to allow them to display dynamic contents, i.e. data coming from (and managed within) databases, SharePoint lists, and XML/RSS feeds. The BR is continuously developing and enhancing these data views, which allows to display new and updated dynamic contents on the different ITU-R web pages</w:t>
      </w:r>
      <w:r>
        <w:t>.</w:t>
      </w:r>
    </w:p>
    <w:p w:rsidR="006B63C0" w:rsidRDefault="006B63C0" w:rsidP="006B63C0">
      <w:pPr>
        <w:pStyle w:val="Heading3"/>
      </w:pPr>
      <w:r w:rsidRPr="00ED04B0">
        <w:t>7.4.5</w:t>
      </w:r>
      <w:r w:rsidRPr="00ED04B0">
        <w:tab/>
        <w:t>Development and further enhancement of web tools</w:t>
      </w:r>
    </w:p>
    <w:p w:rsidR="006B63C0" w:rsidRPr="00765CA0" w:rsidRDefault="006B63C0" w:rsidP="006B63C0">
      <w:pPr>
        <w:rPr>
          <w:lang w:val="en-US"/>
        </w:rPr>
      </w:pPr>
      <w:r w:rsidRPr="00765CA0">
        <w:rPr>
          <w:lang w:val="en-US"/>
        </w:rPr>
        <w:t>The Bureau continued to develop and enhance various Web tools facilitating the application by administrations of the regulatory and operational procedures contained in the Radio Regulations and Regional Agreements. In this respect, the following activities are reported:</w:t>
      </w:r>
    </w:p>
    <w:p w:rsidR="006B63C0" w:rsidRPr="00765CA0" w:rsidRDefault="006B63C0" w:rsidP="002C6B86">
      <w:pPr>
        <w:pStyle w:val="enumlev1"/>
        <w:rPr>
          <w:lang w:val="en-US"/>
        </w:rPr>
      </w:pPr>
      <w:r>
        <w:rPr>
          <w:lang w:val="en-US"/>
        </w:rPr>
        <w:t>–</w:t>
      </w:r>
      <w:r>
        <w:rPr>
          <w:lang w:val="en-US"/>
        </w:rPr>
        <w:tab/>
      </w:r>
      <w:r w:rsidRPr="00765CA0">
        <w:rPr>
          <w:lang w:val="en-US"/>
        </w:rPr>
        <w:t>Completion of the development of a web tool providing on</w:t>
      </w:r>
      <w:r w:rsidRPr="00765CA0">
        <w:rPr>
          <w:rFonts w:ascii="Cambria Math" w:hAnsi="Cambria Math" w:cs="Cambria Math"/>
          <w:lang w:val="en-US"/>
        </w:rPr>
        <w:t>‐</w:t>
      </w:r>
      <w:r w:rsidRPr="00765CA0">
        <w:rPr>
          <w:lang w:val="en-US"/>
        </w:rPr>
        <w:t>line access to th</w:t>
      </w:r>
      <w:r>
        <w:rPr>
          <w:lang w:val="en-US"/>
        </w:rPr>
        <w:t>e MIFR for terrestrial services.</w:t>
      </w:r>
    </w:p>
    <w:p w:rsidR="006B63C0" w:rsidRPr="00765CA0" w:rsidRDefault="006B63C0" w:rsidP="002C6B86">
      <w:pPr>
        <w:pStyle w:val="enumlev1"/>
        <w:rPr>
          <w:lang w:val="en-US"/>
        </w:rPr>
      </w:pPr>
      <w:r>
        <w:rPr>
          <w:lang w:val="en-US"/>
        </w:rPr>
        <w:t>–</w:t>
      </w:r>
      <w:r>
        <w:rPr>
          <w:lang w:val="en-US"/>
        </w:rPr>
        <w:tab/>
      </w:r>
      <w:r w:rsidRPr="00765CA0">
        <w:rPr>
          <w:lang w:val="en-US"/>
        </w:rPr>
        <w:t xml:space="preserve">Enhancement of the eBCD2.0 web platform, which </w:t>
      </w:r>
      <w:r w:rsidRPr="00765CA0">
        <w:t>permits the query of terrestrial broadcasting plans, consultation of Special Sections, to follow plan modification procedures</w:t>
      </w:r>
      <w:r w:rsidRPr="00765CA0">
        <w:rPr>
          <w:lang w:val="en-US"/>
        </w:rPr>
        <w:t xml:space="preserve"> and make compatibility calculati</w:t>
      </w:r>
      <w:r>
        <w:rPr>
          <w:lang w:val="en-US"/>
        </w:rPr>
        <w:t xml:space="preserve">ons, </w:t>
      </w:r>
      <w:r w:rsidRPr="00765CA0">
        <w:rPr>
          <w:lang w:val="en-US"/>
        </w:rPr>
        <w:t>by incorporating a</w:t>
      </w:r>
      <w:r>
        <w:rPr>
          <w:lang w:val="en-US"/>
        </w:rPr>
        <w:t xml:space="preserve">utomatic reminders, displaying </w:t>
      </w:r>
      <w:r w:rsidRPr="00765CA0">
        <w:rPr>
          <w:lang w:val="en-US"/>
        </w:rPr>
        <w:t>outgoing correspondence and integration of GE84 compatibility analysis into this system.</w:t>
      </w:r>
    </w:p>
    <w:p w:rsidR="006B63C0" w:rsidRDefault="006B63C0" w:rsidP="006B63C0">
      <w:pPr>
        <w:pStyle w:val="Heading3"/>
      </w:pPr>
      <w:r w:rsidRPr="00ED04B0">
        <w:t>7.4.6</w:t>
      </w:r>
      <w:r w:rsidRPr="00ED04B0">
        <w:tab/>
      </w:r>
      <w:r w:rsidRPr="00ED04B0">
        <w:rPr>
          <w:lang w:val="en-US"/>
        </w:rPr>
        <w:t>Phasing out of the Ingres platform</w:t>
      </w:r>
    </w:p>
    <w:p w:rsidR="006B63C0" w:rsidRPr="00765CA0" w:rsidRDefault="006B63C0" w:rsidP="006B63C0">
      <w:r>
        <w:rPr>
          <w:lang w:val="en-US"/>
        </w:rPr>
        <w:t xml:space="preserve">Given the obsolescence of </w:t>
      </w:r>
      <w:r w:rsidRPr="00765CA0">
        <w:rPr>
          <w:lang w:val="en-US"/>
        </w:rPr>
        <w:t xml:space="preserve">the Ingres platform used for a number of BR applications, the Bureau commenced a gradual migration from Ingres to SQL server. The migration of the BR’s Global Administrative Database (GLAD) from Ingres to SQL server was completed in </w:t>
      </w:r>
      <w:r>
        <w:rPr>
          <w:lang w:val="en-US"/>
        </w:rPr>
        <w:t xml:space="preserve">September </w:t>
      </w:r>
      <w:r w:rsidRPr="00765CA0">
        <w:rPr>
          <w:lang w:val="en-US"/>
        </w:rPr>
        <w:t>2016 and the migration of the MARS database is under process</w:t>
      </w:r>
      <w:r>
        <w:rPr>
          <w:lang w:val="en-US"/>
        </w:rPr>
        <w:t>.</w:t>
      </w:r>
    </w:p>
    <w:p w:rsidR="006B63C0" w:rsidRPr="00F724B2" w:rsidRDefault="006B63C0" w:rsidP="006B63C0">
      <w:pPr>
        <w:pStyle w:val="Heading1"/>
      </w:pPr>
      <w:bookmarkStart w:id="28" w:name="_Toc446060776"/>
      <w:r w:rsidRPr="00ED04B0">
        <w:t>8</w:t>
      </w:r>
      <w:r w:rsidRPr="00ED04B0">
        <w:tab/>
        <w:t>Membership outreach</w:t>
      </w:r>
      <w:bookmarkEnd w:id="28"/>
    </w:p>
    <w:p w:rsidR="006B63C0" w:rsidRPr="000B60AE" w:rsidRDefault="006B63C0" w:rsidP="006B63C0">
      <w:r w:rsidRPr="00A6372E">
        <w:t xml:space="preserve">Outreach activities </w:t>
      </w:r>
      <w:r>
        <w:t>include</w:t>
      </w:r>
      <w:r w:rsidRPr="00A6372E">
        <w:t xml:space="preserve"> </w:t>
      </w:r>
      <w:r>
        <w:t xml:space="preserve">the </w:t>
      </w:r>
      <w:r w:rsidRPr="00A6372E">
        <w:t>information and assistance to membership</w:t>
      </w:r>
      <w:r>
        <w:t xml:space="preserve">, </w:t>
      </w:r>
      <w:r w:rsidRPr="00A6372E">
        <w:t>the publication</w:t>
      </w:r>
      <w:r>
        <w:t xml:space="preserve"> of ITU-R outputs</w:t>
      </w:r>
      <w:r w:rsidRPr="00A6372E">
        <w:t xml:space="preserve"> and their dissemination, the organization </w:t>
      </w:r>
      <w:r>
        <w:t xml:space="preserve">of, </w:t>
      </w:r>
      <w:r w:rsidRPr="00A6372E">
        <w:t>and the participation in</w:t>
      </w:r>
      <w:r>
        <w:t>,</w:t>
      </w:r>
      <w:r w:rsidRPr="00A6372E">
        <w:t xml:space="preserve"> seminars and workshops</w:t>
      </w:r>
      <w:r>
        <w:t>, and the development and maintenance of communication and promotion tools. The </w:t>
      </w:r>
      <w:r w:rsidRPr="00A6372E">
        <w:t xml:space="preserve">purpose of these activities is to ensure that the outputs produced by the ITU-R Sector (regulations, recommendations, reports and handbooks) are disseminated worldwide and </w:t>
      </w:r>
      <w:r>
        <w:t xml:space="preserve">familiar to the ITU membership </w:t>
      </w:r>
      <w:r w:rsidRPr="00A6372E">
        <w:t xml:space="preserve">and to </w:t>
      </w:r>
      <w:r>
        <w:t>stakeholders of</w:t>
      </w:r>
      <w:r w:rsidRPr="00A6372E">
        <w:t xml:space="preserve"> spectrum</w:t>
      </w:r>
      <w:r>
        <w:t xml:space="preserve">, and that they form the basis for the formulation of spectrum management policies and decisions and for the use of radiocommunications in general. To carry out these activities, the BR relies on close cooperation with the other Bureaux and Sectors, the ITU regional and area offices and the relevant international organisations and national authorities. </w:t>
      </w:r>
    </w:p>
    <w:p w:rsidR="006B63C0" w:rsidRPr="003D2EA6" w:rsidRDefault="006B63C0" w:rsidP="006B63C0">
      <w:pPr>
        <w:pStyle w:val="Heading2"/>
      </w:pPr>
      <w:bookmarkStart w:id="29" w:name="_Toc418163376"/>
      <w:bookmarkStart w:id="30" w:name="_Toc418232294"/>
      <w:bookmarkStart w:id="31" w:name="_Toc424047595"/>
      <w:bookmarkStart w:id="32" w:name="_Toc446060777"/>
      <w:r>
        <w:lastRenderedPageBreak/>
        <w:t>8.1</w:t>
      </w:r>
      <w:r w:rsidRPr="003D2EA6">
        <w:tab/>
        <w:t>Publications</w:t>
      </w:r>
      <w:bookmarkEnd w:id="29"/>
      <w:bookmarkEnd w:id="30"/>
      <w:bookmarkEnd w:id="31"/>
      <w:bookmarkEnd w:id="32"/>
    </w:p>
    <w:p w:rsidR="006B63C0" w:rsidRPr="00ED04B0" w:rsidRDefault="006B63C0" w:rsidP="006B63C0">
      <w:pPr>
        <w:pStyle w:val="Heading3"/>
      </w:pPr>
      <w:bookmarkStart w:id="33" w:name="_Toc424047596"/>
      <w:bookmarkStart w:id="34" w:name="_Toc446060778"/>
      <w:r w:rsidRPr="00ED04B0">
        <w:t>8.1.1</w:t>
      </w:r>
      <w:r w:rsidRPr="00ED04B0">
        <w:tab/>
        <w:t>Regulatory publications</w:t>
      </w:r>
      <w:bookmarkEnd w:id="33"/>
      <w:bookmarkEnd w:id="34"/>
      <w:r w:rsidRPr="00ED04B0">
        <w:t xml:space="preserve"> </w:t>
      </w:r>
    </w:p>
    <w:p w:rsidR="006B63C0" w:rsidRDefault="006B63C0" w:rsidP="002C6B86">
      <w:bookmarkStart w:id="35" w:name="_Toc424047597"/>
      <w:bookmarkStart w:id="36" w:name="_Toc446060779"/>
      <w:r>
        <w:t>During the 2013-2016 time-frame, the preparation of the regulatory publications followed the standard pattern, as foreseen in the Operational Plan, notably:</w:t>
      </w:r>
    </w:p>
    <w:p w:rsidR="006B63C0" w:rsidRDefault="006B63C0" w:rsidP="002C6B86">
      <w:pPr>
        <w:pStyle w:val="enumlev1"/>
      </w:pPr>
      <w:r>
        <w:t>–</w:t>
      </w:r>
      <w:r>
        <w:tab/>
        <w:t>the edition of the Radio Regulations reflecting the changes decided by WRC-15 was published during the fourth quarter of 2016 in all ITU languages;</w:t>
      </w:r>
    </w:p>
    <w:p w:rsidR="006B63C0" w:rsidRDefault="006B63C0" w:rsidP="002C6B86">
      <w:pPr>
        <w:pStyle w:val="enumlev1"/>
      </w:pPr>
      <w:r>
        <w:t>–</w:t>
      </w:r>
      <w:r>
        <w:tab/>
        <w:t>following WRC-12, the consolidated version of the Rules of Procedure was published during the fourth quarter of 2012. Since then, eleven updates to this Edition have been published that contain modifications as approved by the RRB. Specifically, updates 10 and 11 include decisions of WRC-15 that required consequential modifications to the Rules of Procedure. A new consolidated version of the Rules of Procedure Edition 2017 is planned for publication by end of April 2017. The Rules of Procedure and their updates are published in all ITU languages.</w:t>
      </w:r>
    </w:p>
    <w:p w:rsidR="006B63C0" w:rsidRDefault="006B63C0" w:rsidP="002C6B86">
      <w:r>
        <w:t>Table 8.1.1-1 summarizes the Bureau’s activities on other statutory publications resulting from the application of the Radio Regulations in the period 2013-2016.</w:t>
      </w:r>
    </w:p>
    <w:p w:rsidR="006B63C0" w:rsidRPr="001B078C" w:rsidRDefault="006B63C0" w:rsidP="006B63C0">
      <w:pPr>
        <w:pStyle w:val="TableNo"/>
      </w:pPr>
      <w:r>
        <w:t>Table 8</w:t>
      </w:r>
      <w:r w:rsidRPr="001B078C">
        <w:t>.1</w:t>
      </w:r>
      <w:r>
        <w:t>.1</w:t>
      </w:r>
      <w:r w:rsidRPr="001B078C">
        <w:t>-1</w:t>
      </w:r>
    </w:p>
    <w:p w:rsidR="006B63C0" w:rsidRDefault="006B63C0" w:rsidP="006B63C0">
      <w:pPr>
        <w:pStyle w:val="TabletitleBR"/>
      </w:pPr>
      <w:r w:rsidRPr="0063550A">
        <w:t>Summary information regarding the publications resulting fr</w:t>
      </w:r>
      <w:r>
        <w:t>om the application</w:t>
      </w:r>
      <w:r>
        <w:br/>
        <w:t>of the Radio </w:t>
      </w:r>
      <w:r w:rsidRPr="0063550A">
        <w:t>Regulations</w:t>
      </w:r>
    </w:p>
    <w:p w:rsidR="006B63C0" w:rsidRDefault="006B63C0" w:rsidP="006B63C0"/>
    <w:tbl>
      <w:tblPr>
        <w:tblW w:w="11010" w:type="dxa"/>
        <w:jc w:val="center"/>
        <w:tblCellMar>
          <w:left w:w="0" w:type="dxa"/>
          <w:right w:w="0" w:type="dxa"/>
        </w:tblCellMar>
        <w:tblLook w:val="04A0" w:firstRow="1" w:lastRow="0" w:firstColumn="1" w:lastColumn="0" w:noHBand="0" w:noVBand="1"/>
      </w:tblPr>
      <w:tblGrid>
        <w:gridCol w:w="1835"/>
        <w:gridCol w:w="1835"/>
        <w:gridCol w:w="1835"/>
        <w:gridCol w:w="1835"/>
        <w:gridCol w:w="1835"/>
        <w:gridCol w:w="1835"/>
      </w:tblGrid>
      <w:tr w:rsidR="006B63C0" w:rsidTr="009A53E2">
        <w:trPr>
          <w:cantSplit/>
          <w:jc w:val="center"/>
        </w:trPr>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tcPr>
          <w:p w:rsidR="006B63C0" w:rsidRDefault="006B63C0" w:rsidP="009A53E2">
            <w:pPr>
              <w:pStyle w:val="Tablehead"/>
              <w:rPr>
                <w:sz w:val="20"/>
                <w:lang w:val="en-US"/>
              </w:rPr>
            </w:pPr>
          </w:p>
        </w:tc>
        <w:tc>
          <w:tcPr>
            <w:tcW w:w="18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head"/>
            </w:pPr>
            <w:r>
              <w:t>2012</w:t>
            </w:r>
          </w:p>
        </w:tc>
        <w:tc>
          <w:tcPr>
            <w:tcW w:w="18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head"/>
            </w:pPr>
            <w:r>
              <w:t>2013</w:t>
            </w:r>
          </w:p>
        </w:tc>
        <w:tc>
          <w:tcPr>
            <w:tcW w:w="18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head"/>
            </w:pPr>
            <w:r>
              <w:t>2014</w:t>
            </w:r>
          </w:p>
        </w:tc>
        <w:tc>
          <w:tcPr>
            <w:tcW w:w="18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head"/>
            </w:pPr>
            <w:r>
              <w:t>2015</w:t>
            </w:r>
          </w:p>
        </w:tc>
        <w:tc>
          <w:tcPr>
            <w:tcW w:w="1835" w:type="dxa"/>
            <w:tcBorders>
              <w:top w:val="single" w:sz="8" w:space="0" w:color="auto"/>
              <w:left w:val="nil"/>
              <w:bottom w:val="single" w:sz="8" w:space="0" w:color="auto"/>
              <w:right w:val="single" w:sz="8" w:space="0" w:color="auto"/>
            </w:tcBorders>
            <w:vAlign w:val="center"/>
            <w:hideMark/>
          </w:tcPr>
          <w:p w:rsidR="006B63C0" w:rsidRDefault="006B63C0" w:rsidP="009A53E2">
            <w:pPr>
              <w:pStyle w:val="Tablehead"/>
            </w:pPr>
            <w:r>
              <w:t>201</w:t>
            </w:r>
            <w:r>
              <w:rPr>
                <w:color w:val="1F497D"/>
              </w:rPr>
              <w:t>6</w:t>
            </w:r>
          </w:p>
        </w:tc>
      </w:tr>
      <w:tr w:rsidR="006B63C0" w:rsidTr="009A53E2">
        <w:trPr>
          <w:cantSplit/>
          <w:jc w:val="center"/>
        </w:trPr>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(on DVD-ROM)</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(on DVD-ROM)</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(on DVD-ROM)</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(on DVD-ROM)</w:t>
            </w:r>
          </w:p>
        </w:tc>
        <w:tc>
          <w:tcPr>
            <w:tcW w:w="1835" w:type="dxa"/>
            <w:tcBorders>
              <w:top w:val="nil"/>
              <w:left w:val="nil"/>
              <w:bottom w:val="single" w:sz="8" w:space="0" w:color="auto"/>
              <w:right w:val="single" w:sz="8" w:space="0" w:color="auto"/>
            </w:tcBorders>
            <w:vAlign w:val="center"/>
            <w:hideMark/>
          </w:tcPr>
          <w:p w:rsidR="006B63C0" w:rsidRDefault="006B63C0" w:rsidP="009A53E2">
            <w:pPr>
              <w:pStyle w:val="Tabletext"/>
              <w:jc w:val="center"/>
              <w:rPr>
                <w:b/>
                <w:bCs/>
              </w:rPr>
            </w:pPr>
            <w:r>
              <w:t>25 issues (on DVD-ROM)</w:t>
            </w:r>
          </w:p>
        </w:tc>
      </w:tr>
      <w:tr w:rsidR="006B63C0" w:rsidTr="009A53E2">
        <w:trPr>
          <w:cantSplit/>
          <w:jc w:val="center"/>
        </w:trPr>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HFBC schedules</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 xml:space="preserve">11 issues </w:t>
            </w:r>
            <w:r>
              <w:br/>
              <w:t>(on CD-ROM)</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 xml:space="preserve">11 issues </w:t>
            </w:r>
            <w:r>
              <w:br/>
              <w:t>(on CD-ROM)</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 xml:space="preserve">11 issues </w:t>
            </w:r>
            <w:r>
              <w:br/>
              <w:t>(on CD-ROM)</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 xml:space="preserve">11 issues </w:t>
            </w:r>
            <w:r>
              <w:br/>
              <w:t>(on CD-ROM)</w:t>
            </w:r>
          </w:p>
        </w:tc>
        <w:tc>
          <w:tcPr>
            <w:tcW w:w="1835" w:type="dxa"/>
            <w:tcBorders>
              <w:top w:val="nil"/>
              <w:left w:val="nil"/>
              <w:bottom w:val="single" w:sz="8" w:space="0" w:color="auto"/>
              <w:right w:val="single" w:sz="8" w:space="0" w:color="auto"/>
            </w:tcBorders>
            <w:vAlign w:val="center"/>
            <w:hideMark/>
          </w:tcPr>
          <w:p w:rsidR="006B63C0" w:rsidRDefault="006B63C0" w:rsidP="009A53E2">
            <w:pPr>
              <w:pStyle w:val="Tabletext"/>
              <w:jc w:val="center"/>
              <w:rPr>
                <w:b/>
                <w:bCs/>
              </w:rPr>
            </w:pPr>
            <w:r>
              <w:t xml:space="preserve">11 issues </w:t>
            </w:r>
            <w:r>
              <w:br/>
              <w:t>(on CD-ROM)</w:t>
            </w:r>
          </w:p>
        </w:tc>
      </w:tr>
      <w:tr w:rsidR="006B63C0" w:rsidTr="009A53E2">
        <w:trPr>
          <w:cantSplit/>
          <w:jc w:val="center"/>
        </w:trPr>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IFL (terrestrial services)</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vAlign w:val="center"/>
            <w:hideMark/>
          </w:tcPr>
          <w:p w:rsidR="006B63C0" w:rsidRDefault="006B63C0" w:rsidP="009A53E2">
            <w:pPr>
              <w:pStyle w:val="Tabletext"/>
              <w:jc w:val="center"/>
              <w:rPr>
                <w:b/>
                <w:bCs/>
              </w:rPr>
            </w:pPr>
            <w:r>
              <w:t>25 issues (incorporated within each BR IFIC)</w:t>
            </w:r>
          </w:p>
        </w:tc>
      </w:tr>
      <w:tr w:rsidR="006B63C0" w:rsidTr="009A53E2">
        <w:trPr>
          <w:cantSplit/>
          <w:jc w:val="center"/>
        </w:trPr>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Terrestrial plans</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vAlign w:val="center"/>
            <w:hideMark/>
          </w:tcPr>
          <w:p w:rsidR="006B63C0" w:rsidRDefault="006B63C0" w:rsidP="009A53E2">
            <w:pPr>
              <w:pStyle w:val="Tabletext"/>
              <w:jc w:val="center"/>
              <w:rPr>
                <w:b/>
                <w:bCs/>
              </w:rPr>
            </w:pPr>
            <w:r>
              <w:t>25 issues (incorporated within each BR IFIC)</w:t>
            </w:r>
          </w:p>
        </w:tc>
      </w:tr>
      <w:tr w:rsidR="006B63C0" w:rsidTr="009A53E2">
        <w:trPr>
          <w:cantSplit/>
          <w:jc w:val="center"/>
        </w:trPr>
        <w:tc>
          <w:tcPr>
            <w:tcW w:w="183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Preface to the IFL</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pStyle w:val="Tabletext"/>
              <w:jc w:val="center"/>
              <w:rPr>
                <w:b/>
                <w:bCs/>
              </w:rPr>
            </w:pPr>
            <w:r>
              <w:t>25 issues (incorporated within each BR IFIC)</w:t>
            </w:r>
          </w:p>
        </w:tc>
        <w:tc>
          <w:tcPr>
            <w:tcW w:w="1835" w:type="dxa"/>
            <w:tcBorders>
              <w:top w:val="nil"/>
              <w:left w:val="nil"/>
              <w:bottom w:val="single" w:sz="8" w:space="0" w:color="auto"/>
              <w:right w:val="single" w:sz="8" w:space="0" w:color="auto"/>
            </w:tcBorders>
            <w:vAlign w:val="center"/>
            <w:hideMark/>
          </w:tcPr>
          <w:p w:rsidR="006B63C0" w:rsidRDefault="006B63C0" w:rsidP="009A53E2">
            <w:pPr>
              <w:pStyle w:val="Tabletext"/>
              <w:jc w:val="center"/>
              <w:rPr>
                <w:b/>
                <w:bCs/>
              </w:rPr>
            </w:pPr>
            <w:r>
              <w:t>25 issues (incorporated within each BR IFIC)</w:t>
            </w:r>
          </w:p>
        </w:tc>
      </w:tr>
    </w:tbl>
    <w:p w:rsidR="006B63C0" w:rsidRDefault="006B63C0" w:rsidP="006B63C0"/>
    <w:p w:rsidR="006B63C0" w:rsidRPr="00ED04B0" w:rsidRDefault="006B63C0" w:rsidP="006B63C0">
      <w:pPr>
        <w:pStyle w:val="Heading3"/>
      </w:pPr>
      <w:r w:rsidRPr="00ED04B0">
        <w:t>8.1.2</w:t>
      </w:r>
      <w:r w:rsidRPr="00ED04B0">
        <w:tab/>
        <w:t>Service publications</w:t>
      </w:r>
      <w:bookmarkEnd w:id="35"/>
      <w:bookmarkEnd w:id="36"/>
    </w:p>
    <w:p w:rsidR="006B63C0" w:rsidRDefault="006B63C0" w:rsidP="006B63C0">
      <w:pPr>
        <w:pStyle w:val="Heading4"/>
      </w:pPr>
      <w:r w:rsidRPr="00ED04B0">
        <w:t>8.1.2.1</w:t>
      </w:r>
      <w:r w:rsidRPr="00ED04B0">
        <w:tab/>
        <w:t>Background and general observations</w:t>
      </w:r>
    </w:p>
    <w:p w:rsidR="006B63C0" w:rsidRPr="000C18B2" w:rsidRDefault="006B63C0" w:rsidP="006B63C0">
      <w:pPr>
        <w:rPr>
          <w:lang w:val="en-US"/>
        </w:rPr>
      </w:pPr>
      <w:r w:rsidRPr="000C18B2">
        <w:rPr>
          <w:lang w:val="en-US"/>
        </w:rPr>
        <w:t>The Bureau prepares and issues various service publications, as specified in Article </w:t>
      </w:r>
      <w:r w:rsidRPr="00440D20">
        <w:rPr>
          <w:b/>
          <w:bCs/>
          <w:lang w:val="en-US"/>
        </w:rPr>
        <w:t>20</w:t>
      </w:r>
      <w:r w:rsidRPr="000C18B2">
        <w:rPr>
          <w:lang w:val="en-US"/>
        </w:rPr>
        <w:t xml:space="preserve"> of the Radio Regulations (RR).</w:t>
      </w:r>
    </w:p>
    <w:p w:rsidR="006B63C0" w:rsidRPr="000C18B2" w:rsidRDefault="006B63C0" w:rsidP="006B63C0">
      <w:pPr>
        <w:rPr>
          <w:lang w:val="en-US"/>
        </w:rPr>
      </w:pPr>
      <w:r w:rsidRPr="000C18B2">
        <w:rPr>
          <w:lang w:val="en-US"/>
        </w:rPr>
        <w:lastRenderedPageBreak/>
        <w:t xml:space="preserve">In view of the importance of the operational information contained in the maritime-related service publications, particularly with regard to safety, administrations are required to communicate the necessary amendments, as stipulated in No. </w:t>
      </w:r>
      <w:r w:rsidRPr="000C18B2">
        <w:rPr>
          <w:b/>
          <w:bCs/>
          <w:lang w:val="en-US"/>
        </w:rPr>
        <w:t>20.16</w:t>
      </w:r>
      <w:r w:rsidRPr="000C18B2">
        <w:rPr>
          <w:lang w:val="en-US"/>
        </w:rPr>
        <w:t xml:space="preserve"> of the RR. It should be noted</w:t>
      </w:r>
      <w:r>
        <w:rPr>
          <w:lang w:val="en-US"/>
        </w:rPr>
        <w:t xml:space="preserve"> however,</w:t>
      </w:r>
      <w:r w:rsidRPr="000C18B2">
        <w:rPr>
          <w:lang w:val="en-US"/>
        </w:rPr>
        <w:t xml:space="preserve"> that the BR’s concerns reported to previous RAG meetings on the fact that administrations do not always provide regular updates of the information to the BR, are still valid.</w:t>
      </w:r>
    </w:p>
    <w:p w:rsidR="006B63C0" w:rsidRPr="00033938" w:rsidRDefault="006B63C0" w:rsidP="006B63C0">
      <w:r w:rsidRPr="000C18B2">
        <w:rPr>
          <w:lang w:val="en-US"/>
        </w:rPr>
        <w:t>Furthermore, information contained in the maritime-related service publications, in particular the List of Ship Stations and Maritime Mobile Service Identity Assignments (List V), are also used for other administrative procedures (e.g. eligibility for additional MIDs).</w:t>
      </w:r>
    </w:p>
    <w:p w:rsidR="006B63C0" w:rsidRPr="00E65BBC" w:rsidRDefault="006B63C0" w:rsidP="006B63C0">
      <w:pPr>
        <w:pStyle w:val="Heading4"/>
      </w:pPr>
      <w:r w:rsidRPr="00ED04B0">
        <w:t>8.1.2.2</w:t>
      </w:r>
      <w:r w:rsidRPr="00ED04B0">
        <w:tab/>
        <w:t>List of Coast Stations and Special Service Stations (List IV)</w:t>
      </w:r>
    </w:p>
    <w:p w:rsidR="006B63C0" w:rsidRPr="000C18B2" w:rsidRDefault="006B63C0" w:rsidP="006B63C0">
      <w:pPr>
        <w:rPr>
          <w:lang w:val="en-US"/>
        </w:rPr>
      </w:pPr>
      <w:r w:rsidRPr="000C18B2">
        <w:rPr>
          <w:lang w:val="en-US"/>
        </w:rPr>
        <w:t>Two editions of List IV have been prepared during this reporting per</w:t>
      </w:r>
      <w:r>
        <w:rPr>
          <w:lang w:val="en-US"/>
        </w:rPr>
        <w:t>iod. This List is composed of a </w:t>
      </w:r>
      <w:r w:rsidRPr="000C18B2">
        <w:rPr>
          <w:lang w:val="en-US"/>
        </w:rPr>
        <w:t>paper booklet containing the Preface and</w:t>
      </w:r>
      <w:r>
        <w:rPr>
          <w:lang w:val="en-US"/>
        </w:rPr>
        <w:t xml:space="preserve"> Reference tables and a CD</w:t>
      </w:r>
      <w:r>
        <w:rPr>
          <w:lang w:val="en-US"/>
        </w:rPr>
        <w:noBreakHyphen/>
        <w:t xml:space="preserve">ROM </w:t>
      </w:r>
      <w:r w:rsidRPr="000C18B2">
        <w:rPr>
          <w:lang w:val="en-US"/>
        </w:rPr>
        <w:t>containing the contents of the booklet as well as information notified to the BR on coast stations, pilot stations, port stations, VTS stations, etc.</w:t>
      </w:r>
    </w:p>
    <w:p w:rsidR="006B63C0" w:rsidRPr="00033938" w:rsidRDefault="006B63C0" w:rsidP="006B63C0">
      <w:pPr>
        <w:rPr>
          <w:szCs w:val="24"/>
        </w:rPr>
      </w:pPr>
      <w:r w:rsidRPr="000C18B2">
        <w:rPr>
          <w:lang w:val="en-US"/>
        </w:rPr>
        <w:t>Information pertaining to this list is also made available via the online information system ITU Maritime mobile Access and Retrieval System (MARS). In addition, the Bureau continues to provide, every six months, a compilation of all changes notified to the ITU for this period</w:t>
      </w:r>
      <w:r w:rsidRPr="00033938">
        <w:rPr>
          <w:szCs w:val="24"/>
        </w:rPr>
        <w:t>.</w:t>
      </w:r>
    </w:p>
    <w:p w:rsidR="006B63C0" w:rsidRDefault="006B63C0" w:rsidP="006B63C0">
      <w:pPr>
        <w:pStyle w:val="Heading4"/>
      </w:pPr>
      <w:r w:rsidRPr="00ED04B0">
        <w:t>8.1.2.3</w:t>
      </w:r>
      <w:r w:rsidRPr="00ED04B0">
        <w:tab/>
        <w:t>List of Ship Stations and Maritime Mobile Service Identity Assignments (List V)</w:t>
      </w:r>
    </w:p>
    <w:p w:rsidR="006B63C0" w:rsidRPr="000C18B2" w:rsidRDefault="006B63C0" w:rsidP="006B63C0">
      <w:pPr>
        <w:rPr>
          <w:lang w:val="en-US"/>
        </w:rPr>
      </w:pPr>
      <w:r w:rsidRPr="000C18B2">
        <w:rPr>
          <w:lang w:val="en-US"/>
        </w:rPr>
        <w:t xml:space="preserve">Four editions of List V have been prepared during this reporting period. This </w:t>
      </w:r>
      <w:r>
        <w:rPr>
          <w:lang w:val="en-US"/>
        </w:rPr>
        <w:t>List is composed of a </w:t>
      </w:r>
      <w:r w:rsidRPr="000C18B2">
        <w:rPr>
          <w:lang w:val="en-US"/>
        </w:rPr>
        <w:t>paper booklet containing the Preface and Reference tables and a CD</w:t>
      </w:r>
      <w:r w:rsidRPr="000C18B2">
        <w:rPr>
          <w:lang w:val="en-US"/>
        </w:rPr>
        <w:noBreakHyphen/>
        <w:t>ROM containing the contents of the booklet as well as the information notified to the BR on ship stations, coast stations assigned an MMSI, search and rescue (SAR) aircraft assigned an MMSI, etc.</w:t>
      </w:r>
    </w:p>
    <w:p w:rsidR="006B63C0" w:rsidRDefault="006B63C0" w:rsidP="006B63C0">
      <w:r w:rsidRPr="000C18B2">
        <w:rPr>
          <w:lang w:val="en-US"/>
        </w:rPr>
        <w:t>Information pertaining to this list is also made available via the online information system ITU Maritime mobile Access and Retrieval System (MARS), on a daily basis. A compilation of all changes notified to the ITU is provided every three months via ITU MARS</w:t>
      </w:r>
      <w:r w:rsidRPr="00033938">
        <w:rPr>
          <w:szCs w:val="24"/>
        </w:rPr>
        <w:t>.</w:t>
      </w:r>
    </w:p>
    <w:p w:rsidR="006B63C0" w:rsidRPr="00033938" w:rsidRDefault="006B63C0" w:rsidP="006B63C0">
      <w:pPr>
        <w:pStyle w:val="Heading4"/>
      </w:pPr>
      <w:r w:rsidRPr="00ED04B0">
        <w:t>8.1.2.4</w:t>
      </w:r>
      <w:r w:rsidRPr="00ED04B0">
        <w:tab/>
        <w:t>List of International Monitoring stations (List VIII)</w:t>
      </w:r>
      <w:r w:rsidRPr="00033938">
        <w:t xml:space="preserve"> </w:t>
      </w:r>
    </w:p>
    <w:p w:rsidR="006B63C0" w:rsidRDefault="006B63C0" w:rsidP="006B63C0">
      <w:r w:rsidRPr="000C18B2">
        <w:rPr>
          <w:lang w:val="en-US"/>
        </w:rPr>
        <w:t>Two editions of this List were issued in December 2013 and December 2016. This List contains the addresses and other relevant information of centralizing offices, particulars of monitoring stations measuring terrestrial and space emissions. A direct download facility is</w:t>
      </w:r>
      <w:r>
        <w:rPr>
          <w:lang w:val="en-US"/>
        </w:rPr>
        <w:t xml:space="preserve"> available, free of charge, for </w:t>
      </w:r>
      <w:r w:rsidRPr="000C18B2">
        <w:rPr>
          <w:lang w:val="en-US"/>
        </w:rPr>
        <w:t>ITU (TIES) members only</w:t>
      </w:r>
      <w:r w:rsidRPr="00033938">
        <w:t xml:space="preserve">. </w:t>
      </w:r>
    </w:p>
    <w:p w:rsidR="006B63C0" w:rsidRDefault="006B63C0" w:rsidP="006B63C0">
      <w:pPr>
        <w:pStyle w:val="Heading4"/>
      </w:pPr>
      <w:r w:rsidRPr="00ED04B0">
        <w:t>8.1.2.5</w:t>
      </w:r>
      <w:r w:rsidRPr="00ED04B0">
        <w:tab/>
        <w:t>List of service publications issued</w:t>
      </w:r>
      <w:r w:rsidRPr="00033938">
        <w:t xml:space="preserve"> </w:t>
      </w:r>
    </w:p>
    <w:p w:rsidR="006B63C0" w:rsidRPr="001A09FF" w:rsidRDefault="006B63C0" w:rsidP="006B63C0">
      <w:pPr>
        <w:rPr>
          <w:lang w:val="en-US"/>
        </w:rPr>
      </w:pPr>
      <w:r w:rsidRPr="001A09FF">
        <w:rPr>
          <w:lang w:val="en-US"/>
        </w:rPr>
        <w:t>Table 8.1.2.5-1 below summarizes the different publications prepared and delivered during the period 2013-2016:</w:t>
      </w:r>
    </w:p>
    <w:p w:rsidR="006B63C0" w:rsidRDefault="006B63C0" w:rsidP="006B63C0">
      <w:pPr>
        <w:tabs>
          <w:tab w:val="clear" w:pos="794"/>
          <w:tab w:val="clear" w:pos="1191"/>
          <w:tab w:val="clear" w:pos="1588"/>
          <w:tab w:val="clear" w:pos="1985"/>
        </w:tabs>
        <w:overflowPunct/>
        <w:autoSpaceDE/>
        <w:autoSpaceDN/>
        <w:adjustRightInd/>
        <w:spacing w:before="0"/>
        <w:textAlignment w:val="auto"/>
        <w:rPr>
          <w:caps/>
        </w:rPr>
      </w:pPr>
      <w:bookmarkStart w:id="37" w:name="_Toc418163378"/>
      <w:bookmarkStart w:id="38" w:name="_Toc418232296"/>
      <w:bookmarkStart w:id="39" w:name="_Toc424047598"/>
      <w:bookmarkStart w:id="40" w:name="_Toc446060780"/>
      <w:r>
        <w:br w:type="page"/>
      </w:r>
    </w:p>
    <w:p w:rsidR="006B63C0" w:rsidRPr="001A09FF" w:rsidRDefault="006B63C0" w:rsidP="006B63C0">
      <w:pPr>
        <w:pStyle w:val="TableNoBR"/>
      </w:pPr>
      <w:r w:rsidRPr="001A09FF">
        <w:lastRenderedPageBreak/>
        <w:t>Table 8.1.2.5-1</w:t>
      </w:r>
    </w:p>
    <w:p w:rsidR="006B63C0" w:rsidRPr="001A09FF" w:rsidRDefault="006B63C0" w:rsidP="006B63C0">
      <w:pPr>
        <w:pStyle w:val="TabletitleBR"/>
      </w:pPr>
      <w:r w:rsidRPr="001A09FF">
        <w:t>Summary information regarding the service publications issued in the period 2013-2016</w:t>
      </w:r>
    </w:p>
    <w:tbl>
      <w:tblPr>
        <w:tblW w:w="808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2375"/>
        <w:gridCol w:w="1453"/>
        <w:gridCol w:w="1275"/>
        <w:gridCol w:w="1418"/>
        <w:gridCol w:w="1559"/>
      </w:tblGrid>
      <w:tr w:rsidR="006B63C0" w:rsidRPr="001A09FF" w:rsidTr="009A53E2">
        <w:trPr>
          <w:jc w:val="center"/>
        </w:trPr>
        <w:tc>
          <w:tcPr>
            <w:tcW w:w="2375" w:type="dxa"/>
            <w:tcBorders>
              <w:top w:val="nil"/>
              <w:left w:val="nil"/>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s>
              <w:overflowPunct/>
              <w:autoSpaceDE/>
              <w:autoSpaceDN/>
              <w:adjustRightInd/>
              <w:spacing w:before="0" w:after="160" w:line="259" w:lineRule="auto"/>
              <w:jc w:val="center"/>
              <w:textAlignment w:val="auto"/>
              <w:rPr>
                <w:rFonts w:eastAsia="SimSun"/>
                <w:szCs w:val="24"/>
                <w:lang w:val="en-US" w:eastAsia="zh-CN"/>
              </w:rPr>
            </w:pPr>
          </w:p>
        </w:tc>
        <w:tc>
          <w:tcPr>
            <w:tcW w:w="1453" w:type="dxa"/>
            <w:tcBorders>
              <w:top w:val="single" w:sz="4" w:space="0" w:color="auto"/>
              <w:left w:val="single" w:sz="4" w:space="0" w:color="auto"/>
              <w:bottom w:val="single" w:sz="4" w:space="0" w:color="auto"/>
            </w:tcBorders>
            <w:vAlign w:val="center"/>
          </w:tcPr>
          <w:p w:rsidR="006B63C0" w:rsidRPr="001A09FF" w:rsidRDefault="006B63C0" w:rsidP="009A53E2">
            <w:pPr>
              <w:keepNext/>
              <w:tabs>
                <w:tab w:val="clear" w:pos="794"/>
                <w:tab w:val="clear" w:pos="1191"/>
                <w:tab w:val="clear" w:pos="1588"/>
                <w:tab w:val="clear" w:pos="1985"/>
              </w:tabs>
              <w:overflowPunct/>
              <w:autoSpaceDE/>
              <w:autoSpaceDN/>
              <w:adjustRightInd/>
              <w:spacing w:before="80" w:after="80" w:line="259" w:lineRule="auto"/>
              <w:jc w:val="center"/>
              <w:textAlignment w:val="auto"/>
              <w:rPr>
                <w:rFonts w:eastAsia="SimSun"/>
                <w:b/>
                <w:szCs w:val="24"/>
                <w:lang w:val="en-US" w:eastAsia="zh-CN"/>
              </w:rPr>
            </w:pPr>
            <w:r w:rsidRPr="001A09FF">
              <w:rPr>
                <w:rFonts w:eastAsia="SimSun"/>
                <w:b/>
                <w:szCs w:val="24"/>
                <w:lang w:val="en-US" w:eastAsia="zh-CN"/>
              </w:rPr>
              <w:t>2013</w:t>
            </w:r>
          </w:p>
        </w:tc>
        <w:tc>
          <w:tcPr>
            <w:tcW w:w="1275" w:type="dxa"/>
            <w:tcBorders>
              <w:top w:val="single" w:sz="4" w:space="0" w:color="auto"/>
              <w:bottom w:val="single" w:sz="4" w:space="0" w:color="auto"/>
            </w:tcBorders>
            <w:vAlign w:val="center"/>
          </w:tcPr>
          <w:p w:rsidR="006B63C0" w:rsidRPr="001A09FF" w:rsidRDefault="006B63C0" w:rsidP="009A53E2">
            <w:pPr>
              <w:keepNext/>
              <w:tabs>
                <w:tab w:val="clear" w:pos="794"/>
                <w:tab w:val="clear" w:pos="1191"/>
                <w:tab w:val="clear" w:pos="1588"/>
                <w:tab w:val="clear" w:pos="1985"/>
              </w:tabs>
              <w:overflowPunct/>
              <w:autoSpaceDE/>
              <w:autoSpaceDN/>
              <w:adjustRightInd/>
              <w:spacing w:before="80" w:after="80" w:line="259" w:lineRule="auto"/>
              <w:jc w:val="center"/>
              <w:textAlignment w:val="auto"/>
              <w:rPr>
                <w:rFonts w:eastAsia="SimSun"/>
                <w:b/>
                <w:szCs w:val="24"/>
                <w:lang w:val="en-US" w:eastAsia="zh-CN"/>
              </w:rPr>
            </w:pPr>
            <w:r w:rsidRPr="001A09FF">
              <w:rPr>
                <w:rFonts w:eastAsia="SimSun"/>
                <w:b/>
                <w:szCs w:val="24"/>
                <w:lang w:val="en-US" w:eastAsia="zh-CN"/>
              </w:rPr>
              <w:t>2014</w:t>
            </w:r>
          </w:p>
        </w:tc>
        <w:tc>
          <w:tcPr>
            <w:tcW w:w="1418" w:type="dxa"/>
            <w:tcBorders>
              <w:top w:val="single" w:sz="4" w:space="0" w:color="auto"/>
              <w:bottom w:val="single" w:sz="4" w:space="0" w:color="auto"/>
              <w:right w:val="single" w:sz="4" w:space="0" w:color="auto"/>
            </w:tcBorders>
            <w:vAlign w:val="center"/>
          </w:tcPr>
          <w:p w:rsidR="006B63C0" w:rsidRPr="001A09FF" w:rsidRDefault="006B63C0" w:rsidP="009A53E2">
            <w:pPr>
              <w:keepNext/>
              <w:tabs>
                <w:tab w:val="clear" w:pos="794"/>
                <w:tab w:val="clear" w:pos="1191"/>
                <w:tab w:val="clear" w:pos="1588"/>
                <w:tab w:val="clear" w:pos="1985"/>
              </w:tabs>
              <w:overflowPunct/>
              <w:autoSpaceDE/>
              <w:autoSpaceDN/>
              <w:adjustRightInd/>
              <w:spacing w:before="80" w:after="80" w:line="259" w:lineRule="auto"/>
              <w:jc w:val="center"/>
              <w:textAlignment w:val="auto"/>
              <w:rPr>
                <w:rFonts w:eastAsia="SimSun"/>
                <w:b/>
                <w:szCs w:val="24"/>
                <w:lang w:val="en-US" w:eastAsia="zh-CN"/>
              </w:rPr>
            </w:pPr>
            <w:r w:rsidRPr="001A09FF">
              <w:rPr>
                <w:rFonts w:eastAsia="SimSun"/>
                <w:b/>
                <w:szCs w:val="24"/>
                <w:lang w:val="en-US" w:eastAsia="zh-CN"/>
              </w:rPr>
              <w:t>2015</w:t>
            </w:r>
          </w:p>
        </w:tc>
        <w:tc>
          <w:tcPr>
            <w:tcW w:w="1559" w:type="dxa"/>
            <w:tcBorders>
              <w:top w:val="single" w:sz="4" w:space="0" w:color="auto"/>
              <w:bottom w:val="single" w:sz="4" w:space="0" w:color="auto"/>
              <w:right w:val="single" w:sz="4" w:space="0" w:color="auto"/>
            </w:tcBorders>
            <w:vAlign w:val="center"/>
          </w:tcPr>
          <w:p w:rsidR="006B63C0" w:rsidRPr="001A09FF" w:rsidRDefault="006B63C0" w:rsidP="009A53E2">
            <w:pPr>
              <w:keepNext/>
              <w:tabs>
                <w:tab w:val="clear" w:pos="794"/>
                <w:tab w:val="clear" w:pos="1191"/>
                <w:tab w:val="clear" w:pos="1588"/>
                <w:tab w:val="clear" w:pos="1985"/>
              </w:tabs>
              <w:overflowPunct/>
              <w:autoSpaceDE/>
              <w:autoSpaceDN/>
              <w:adjustRightInd/>
              <w:spacing w:before="80" w:after="80" w:line="259" w:lineRule="auto"/>
              <w:jc w:val="center"/>
              <w:textAlignment w:val="auto"/>
              <w:rPr>
                <w:rFonts w:eastAsia="SimSun"/>
                <w:b/>
                <w:szCs w:val="24"/>
                <w:lang w:val="en-US" w:eastAsia="zh-CN"/>
              </w:rPr>
            </w:pPr>
            <w:r w:rsidRPr="001A09FF">
              <w:rPr>
                <w:rFonts w:eastAsia="SimSun"/>
                <w:b/>
                <w:szCs w:val="24"/>
                <w:lang w:val="en-US" w:eastAsia="zh-CN"/>
              </w:rPr>
              <w:t>2016</w:t>
            </w:r>
          </w:p>
        </w:tc>
      </w:tr>
      <w:tr w:rsidR="006B63C0" w:rsidRPr="001A09FF" w:rsidTr="009A53E2">
        <w:trPr>
          <w:cantSplit/>
          <w:jc w:val="center"/>
        </w:trPr>
        <w:tc>
          <w:tcPr>
            <w:tcW w:w="2375" w:type="dxa"/>
            <w:tcBorders>
              <w:left w:val="single" w:sz="4" w:space="0" w:color="auto"/>
              <w:bottom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List IV (List of Coast Stations and Special Service Stations)</w:t>
            </w:r>
          </w:p>
        </w:tc>
        <w:tc>
          <w:tcPr>
            <w:tcW w:w="1453" w:type="dxa"/>
            <w:tcBorders>
              <w:bottom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2013</w:t>
            </w:r>
            <w:r w:rsidRPr="001A09FF">
              <w:rPr>
                <w:rFonts w:eastAsia="SimSun"/>
                <w:szCs w:val="24"/>
                <w:lang w:val="en-US" w:eastAsia="zh-CN"/>
              </w:rPr>
              <w:br/>
              <w:t>(November)</w:t>
            </w:r>
          </w:p>
        </w:tc>
        <w:tc>
          <w:tcPr>
            <w:tcW w:w="1275" w:type="dxa"/>
            <w:tcBorders>
              <w:bottom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w:t>
            </w:r>
          </w:p>
        </w:tc>
        <w:tc>
          <w:tcPr>
            <w:tcW w:w="1418" w:type="dxa"/>
            <w:tcBorders>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2015</w:t>
            </w:r>
            <w:r w:rsidRPr="001A09FF">
              <w:rPr>
                <w:rFonts w:eastAsia="SimSun"/>
                <w:szCs w:val="24"/>
                <w:lang w:val="en-US" w:eastAsia="zh-CN"/>
              </w:rPr>
              <w:br/>
              <w:t>(November)</w:t>
            </w:r>
          </w:p>
        </w:tc>
        <w:tc>
          <w:tcPr>
            <w:tcW w:w="1559" w:type="dxa"/>
            <w:tcBorders>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w:t>
            </w:r>
          </w:p>
        </w:tc>
      </w:tr>
      <w:tr w:rsidR="006B63C0" w:rsidRPr="001A09FF" w:rsidTr="009A53E2">
        <w:trPr>
          <w:cantSplit/>
          <w:jc w:val="center"/>
        </w:trPr>
        <w:tc>
          <w:tcPr>
            <w:tcW w:w="2375"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List V (List of Ship Stations and Maritime Mobile Service Identity Assignments)</w:t>
            </w:r>
          </w:p>
        </w:tc>
        <w:tc>
          <w:tcPr>
            <w:tcW w:w="1453"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2013</w:t>
            </w:r>
            <w:r w:rsidRPr="001A09FF">
              <w:rPr>
                <w:rFonts w:eastAsia="SimSun"/>
                <w:szCs w:val="24"/>
                <w:lang w:val="en-US" w:eastAsia="zh-CN"/>
              </w:rPr>
              <w:br/>
              <w:t>(March)</w:t>
            </w:r>
          </w:p>
        </w:tc>
        <w:tc>
          <w:tcPr>
            <w:tcW w:w="1275"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2014</w:t>
            </w:r>
            <w:r w:rsidRPr="001A09FF">
              <w:rPr>
                <w:rFonts w:eastAsia="SimSun"/>
                <w:szCs w:val="24"/>
                <w:lang w:val="en-US" w:eastAsia="zh-CN"/>
              </w:rPr>
              <w:br/>
              <w:t>(March)</w:t>
            </w:r>
          </w:p>
        </w:tc>
        <w:tc>
          <w:tcPr>
            <w:tcW w:w="1418"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2015</w:t>
            </w:r>
            <w:r w:rsidRPr="001A09FF">
              <w:rPr>
                <w:rFonts w:eastAsia="SimSun"/>
                <w:szCs w:val="24"/>
                <w:lang w:val="en-US" w:eastAsia="zh-CN"/>
              </w:rPr>
              <w:br/>
              <w:t>(March)</w:t>
            </w:r>
          </w:p>
        </w:tc>
        <w:tc>
          <w:tcPr>
            <w:tcW w:w="1559"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2016</w:t>
            </w:r>
            <w:r w:rsidRPr="001A09FF">
              <w:rPr>
                <w:rFonts w:eastAsia="SimSun"/>
                <w:szCs w:val="24"/>
                <w:lang w:val="en-US" w:eastAsia="zh-CN"/>
              </w:rPr>
              <w:br/>
              <w:t>(March)</w:t>
            </w:r>
          </w:p>
        </w:tc>
      </w:tr>
      <w:tr w:rsidR="006B63C0" w:rsidRPr="001A09FF" w:rsidTr="009A53E2">
        <w:trPr>
          <w:cantSplit/>
          <w:jc w:val="center"/>
        </w:trPr>
        <w:tc>
          <w:tcPr>
            <w:tcW w:w="2375"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List VIII (List of International Monitoring Stations)</w:t>
            </w:r>
          </w:p>
        </w:tc>
        <w:tc>
          <w:tcPr>
            <w:tcW w:w="1453"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2013</w:t>
            </w:r>
            <w:r w:rsidRPr="001A09FF">
              <w:rPr>
                <w:rFonts w:eastAsia="SimSun"/>
                <w:szCs w:val="24"/>
                <w:lang w:val="en-US" w:eastAsia="zh-CN"/>
              </w:rPr>
              <w:br/>
              <w:t>(December)</w:t>
            </w:r>
          </w:p>
        </w:tc>
        <w:tc>
          <w:tcPr>
            <w:tcW w:w="1275"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w:t>
            </w:r>
          </w:p>
        </w:tc>
        <w:tc>
          <w:tcPr>
            <w:tcW w:w="1418"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w:t>
            </w:r>
          </w:p>
        </w:tc>
        <w:tc>
          <w:tcPr>
            <w:tcW w:w="1559"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2016</w:t>
            </w:r>
            <w:r w:rsidRPr="001A09FF">
              <w:rPr>
                <w:rFonts w:eastAsia="SimSun"/>
                <w:szCs w:val="24"/>
                <w:lang w:val="en-US" w:eastAsia="zh-CN"/>
              </w:rPr>
              <w:br/>
              <w:t>( December)</w:t>
            </w:r>
          </w:p>
        </w:tc>
      </w:tr>
      <w:tr w:rsidR="006B63C0" w:rsidRPr="001A09FF" w:rsidTr="009A53E2">
        <w:trPr>
          <w:cantSplit/>
          <w:jc w:val="center"/>
        </w:trPr>
        <w:tc>
          <w:tcPr>
            <w:tcW w:w="2375"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Maritime Manual</w:t>
            </w:r>
          </w:p>
        </w:tc>
        <w:tc>
          <w:tcPr>
            <w:tcW w:w="1453"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p>
        </w:tc>
        <w:tc>
          <w:tcPr>
            <w:tcW w:w="1275"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2013</w:t>
            </w:r>
            <w:r w:rsidRPr="001A09FF">
              <w:rPr>
                <w:rFonts w:eastAsia="SimSun"/>
                <w:szCs w:val="24"/>
                <w:lang w:val="en-US" w:eastAsia="zh-CN"/>
              </w:rPr>
              <w:br/>
              <w:t>(October)</w:t>
            </w:r>
          </w:p>
        </w:tc>
        <w:tc>
          <w:tcPr>
            <w:tcW w:w="1418"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p>
        </w:tc>
        <w:tc>
          <w:tcPr>
            <w:tcW w:w="1559" w:type="dxa"/>
            <w:tcBorders>
              <w:top w:val="single" w:sz="4" w:space="0" w:color="auto"/>
              <w:left w:val="single" w:sz="4" w:space="0" w:color="auto"/>
              <w:bottom w:val="single" w:sz="4" w:space="0" w:color="auto"/>
              <w:right w:val="single" w:sz="4" w:space="0" w:color="auto"/>
            </w:tcBorders>
            <w:vAlign w:val="center"/>
          </w:tcPr>
          <w:p w:rsidR="006B63C0" w:rsidRPr="001A09FF" w:rsidRDefault="006B63C0" w:rsidP="009A53E2">
            <w:pPr>
              <w:tabs>
                <w:tab w:val="clear" w:pos="794"/>
                <w:tab w:val="clear" w:pos="1191"/>
                <w:tab w:val="clear" w:pos="1588"/>
                <w:tab w:val="clear" w:pos="1985"/>
                <w:tab w:val="left" w:pos="284"/>
                <w:tab w:val="left" w:pos="567"/>
                <w:tab w:val="left" w:pos="851"/>
                <w:tab w:val="left" w:pos="1418"/>
                <w:tab w:val="left" w:pos="1701"/>
                <w:tab w:val="left" w:pos="2552"/>
                <w:tab w:val="left" w:pos="2835"/>
                <w:tab w:val="left" w:pos="3119"/>
                <w:tab w:val="left" w:pos="3402"/>
                <w:tab w:val="left" w:pos="3686"/>
                <w:tab w:val="left" w:pos="3969"/>
              </w:tabs>
              <w:overflowPunct/>
              <w:autoSpaceDE/>
              <w:autoSpaceDN/>
              <w:adjustRightInd/>
              <w:spacing w:before="40" w:after="40" w:line="259" w:lineRule="auto"/>
              <w:jc w:val="center"/>
              <w:textAlignment w:val="auto"/>
              <w:rPr>
                <w:rFonts w:eastAsia="SimSun"/>
                <w:szCs w:val="24"/>
                <w:lang w:val="en-US" w:eastAsia="zh-CN"/>
              </w:rPr>
            </w:pPr>
            <w:r w:rsidRPr="001A09FF">
              <w:rPr>
                <w:rFonts w:eastAsia="SimSun"/>
                <w:szCs w:val="24"/>
                <w:lang w:val="en-US" w:eastAsia="zh-CN"/>
              </w:rPr>
              <w:t>Edition of 2016</w:t>
            </w:r>
            <w:r w:rsidRPr="001A09FF">
              <w:rPr>
                <w:rFonts w:eastAsia="SimSun"/>
                <w:szCs w:val="24"/>
                <w:lang w:val="en-US" w:eastAsia="zh-CN"/>
              </w:rPr>
              <w:br/>
              <w:t>(November)</w:t>
            </w:r>
          </w:p>
        </w:tc>
      </w:tr>
    </w:tbl>
    <w:p w:rsidR="006B63C0" w:rsidRDefault="006B63C0" w:rsidP="006B63C0"/>
    <w:p w:rsidR="006B63C0" w:rsidRPr="00033938" w:rsidRDefault="006B63C0" w:rsidP="006B63C0">
      <w:pPr>
        <w:pStyle w:val="Heading3"/>
      </w:pPr>
      <w:r w:rsidRPr="00ED04B0">
        <w:t>8.1.3</w:t>
      </w:r>
      <w:r w:rsidRPr="00ED04B0">
        <w:tab/>
        <w:t>Study Groups and other publications</w:t>
      </w:r>
      <w:bookmarkEnd w:id="37"/>
      <w:bookmarkEnd w:id="38"/>
      <w:bookmarkEnd w:id="39"/>
      <w:bookmarkEnd w:id="40"/>
    </w:p>
    <w:p w:rsidR="006B63C0" w:rsidRDefault="006B63C0" w:rsidP="002C6B86">
      <w:bookmarkStart w:id="41" w:name="_Toc424047599"/>
      <w:bookmarkStart w:id="42" w:name="_Toc446060781"/>
      <w:r w:rsidRPr="00A418CB">
        <w:t>Since WRC-12, the preparation of ITU</w:t>
      </w:r>
      <w:r>
        <w:t>-</w:t>
      </w:r>
      <w:r w:rsidRPr="00A418CB">
        <w:t>R Study Groups and other publications followed the standard pattern, as foreseen i</w:t>
      </w:r>
      <w:r>
        <w:t>n the Operational Plan, notably:</w:t>
      </w:r>
    </w:p>
    <w:p w:rsidR="006B63C0" w:rsidRDefault="006B63C0" w:rsidP="006B63C0">
      <w:pPr>
        <w:pStyle w:val="enumlev1"/>
      </w:pPr>
      <w:r>
        <w:t>–</w:t>
      </w:r>
      <w:r>
        <w:tab/>
      </w:r>
      <w:r w:rsidRPr="007F5340">
        <w:t>ITU-R Recommendations: 378 were published (posted) on the ITU website in English (E). All Recommendations issued from 2005 to 2013 are available in the six ITU languages (A/C/E/F/R/S), and translation to the remaining five languages is in progress for those Recommendations issued since 2015.</w:t>
      </w:r>
    </w:p>
    <w:p w:rsidR="006B63C0" w:rsidRDefault="006B63C0" w:rsidP="006B63C0">
      <w:pPr>
        <w:pStyle w:val="enumlev1"/>
      </w:pPr>
      <w:r>
        <w:t>–</w:t>
      </w:r>
      <w:r>
        <w:tab/>
      </w:r>
      <w:r w:rsidRPr="007F5340">
        <w:t>ITU-R Reports: 232 were published (posted) on the ITU website (E).</w:t>
      </w:r>
    </w:p>
    <w:p w:rsidR="006B63C0" w:rsidRDefault="006B63C0" w:rsidP="006B63C0">
      <w:pPr>
        <w:pStyle w:val="enumlev1"/>
      </w:pPr>
      <w:r>
        <w:t>–</w:t>
      </w:r>
      <w:r>
        <w:tab/>
      </w:r>
      <w:r w:rsidRPr="007F5340">
        <w:t>ITU-R Handbooks (published; by default, the English version, unless otherwise indicated):</w:t>
      </w:r>
    </w:p>
    <w:p w:rsidR="006B63C0" w:rsidRDefault="006B63C0" w:rsidP="006B63C0">
      <w:pPr>
        <w:pStyle w:val="enumlev2"/>
      </w:pPr>
      <w:r>
        <w:t>–</w:t>
      </w:r>
      <w:r>
        <w:tab/>
      </w:r>
      <w:r w:rsidRPr="007F5340">
        <w:t>Climate Change – Edition of 2012.</w:t>
      </w:r>
    </w:p>
    <w:p w:rsidR="006B63C0" w:rsidRDefault="006B63C0" w:rsidP="006B63C0">
      <w:pPr>
        <w:pStyle w:val="enumlev2"/>
      </w:pPr>
      <w:r>
        <w:t>–</w:t>
      </w:r>
      <w:r>
        <w:tab/>
      </w:r>
      <w:r w:rsidRPr="007F5340">
        <w:t>Propagation prediction methods for interferenc</w:t>
      </w:r>
      <w:r>
        <w:t>e and sharing studies Handbook –</w:t>
      </w:r>
      <w:r w:rsidRPr="007F5340">
        <w:t xml:space="preserve"> Edition of 2012</w:t>
      </w:r>
      <w:r>
        <w:t>.</w:t>
      </w:r>
    </w:p>
    <w:p w:rsidR="006B63C0" w:rsidRDefault="006B63C0" w:rsidP="006B63C0">
      <w:pPr>
        <w:pStyle w:val="enumlev2"/>
      </w:pPr>
      <w:r>
        <w:t>–</w:t>
      </w:r>
      <w:r>
        <w:tab/>
      </w:r>
      <w:r w:rsidRPr="007F5340">
        <w:t>National Spectrum Management – Edition of 2015.</w:t>
      </w:r>
    </w:p>
    <w:p w:rsidR="006B63C0" w:rsidRDefault="006B63C0" w:rsidP="006B63C0">
      <w:pPr>
        <w:pStyle w:val="enumlev2"/>
      </w:pPr>
      <w:r>
        <w:t>–</w:t>
      </w:r>
      <w:r>
        <w:tab/>
      </w:r>
      <w:r w:rsidRPr="007F5340">
        <w:t>Computer-aided Techniques for Spectrum Management (CAT) – Edition of 2015 (C/E/F/R/S).</w:t>
      </w:r>
    </w:p>
    <w:p w:rsidR="006B63C0" w:rsidRDefault="006B63C0" w:rsidP="006B63C0">
      <w:pPr>
        <w:pStyle w:val="enumlev2"/>
      </w:pPr>
      <w:r>
        <w:t>–</w:t>
      </w:r>
      <w:r>
        <w:tab/>
        <w:t>Spectrum Monitoring Handbook</w:t>
      </w:r>
      <w:r w:rsidRPr="007F5340">
        <w:t xml:space="preserve">. </w:t>
      </w:r>
    </w:p>
    <w:p w:rsidR="006B63C0" w:rsidRDefault="006B63C0" w:rsidP="006B63C0">
      <w:pPr>
        <w:pStyle w:val="enumlev2"/>
      </w:pPr>
      <w:r>
        <w:t>–</w:t>
      </w:r>
      <w:r>
        <w:tab/>
      </w:r>
      <w:r w:rsidRPr="007F5340">
        <w:t>Manual for Use by the Maritime Mobile and Maritime Mobile-Satellite Services – Edition of 2016</w:t>
      </w:r>
      <w:r>
        <w:t>.</w:t>
      </w:r>
    </w:p>
    <w:p w:rsidR="006B63C0" w:rsidRDefault="006B63C0" w:rsidP="006B63C0">
      <w:pPr>
        <w:pStyle w:val="enumlev2"/>
      </w:pPr>
      <w:r>
        <w:t>–</w:t>
      </w:r>
      <w:r>
        <w:tab/>
      </w:r>
      <w:r w:rsidRPr="007F5340">
        <w:t>DTTB Handbook (Digital terrestrial television broadcasting in the VHF/UHF bands), Revision 1.02.</w:t>
      </w:r>
    </w:p>
    <w:p w:rsidR="006B63C0" w:rsidRDefault="006B63C0" w:rsidP="006B63C0">
      <w:pPr>
        <w:pStyle w:val="enumlev2"/>
      </w:pPr>
      <w:r>
        <w:t>–</w:t>
      </w:r>
      <w:r>
        <w:tab/>
      </w:r>
      <w:r w:rsidR="009A53E2">
        <w:t>Radio Astronomy Handbook</w:t>
      </w:r>
      <w:r w:rsidRPr="007F5340">
        <w:t xml:space="preserve"> </w:t>
      </w:r>
      <w:r w:rsidR="009A53E2">
        <w:t xml:space="preserve">– </w:t>
      </w:r>
      <w:r w:rsidRPr="007F5340">
        <w:t>Edition of 2013.</w:t>
      </w:r>
    </w:p>
    <w:p w:rsidR="006B63C0" w:rsidRDefault="006B63C0" w:rsidP="006B63C0">
      <w:pPr>
        <w:pStyle w:val="enumlev2"/>
      </w:pPr>
      <w:r>
        <w:t>–</w:t>
      </w:r>
      <w:r>
        <w:tab/>
      </w:r>
      <w:r w:rsidRPr="007F5340">
        <w:t>Radiometeorology.</w:t>
      </w:r>
    </w:p>
    <w:p w:rsidR="006B63C0" w:rsidRDefault="006B63C0" w:rsidP="006B63C0">
      <w:pPr>
        <w:pStyle w:val="enumlev2"/>
      </w:pPr>
      <w:r>
        <w:t>–</w:t>
      </w:r>
      <w:r>
        <w:tab/>
      </w:r>
      <w:r w:rsidRPr="007F5340">
        <w:t xml:space="preserve">Amateur and amateur-satellite services </w:t>
      </w:r>
      <w:r>
        <w:t>–</w:t>
      </w:r>
      <w:r w:rsidRPr="007F5340">
        <w:t xml:space="preserve"> Edition of 2014.</w:t>
      </w:r>
    </w:p>
    <w:p w:rsidR="006B63C0" w:rsidRDefault="006B63C0" w:rsidP="006B63C0">
      <w:pPr>
        <w:pStyle w:val="enumlev2"/>
      </w:pPr>
      <w:r>
        <w:t>–</w:t>
      </w:r>
      <w:r>
        <w:tab/>
      </w:r>
      <w:r w:rsidRPr="007F5340">
        <w:t xml:space="preserve">Ground wave propagation </w:t>
      </w:r>
      <w:r>
        <w:t>–</w:t>
      </w:r>
      <w:r w:rsidRPr="007F5340">
        <w:t xml:space="preserve"> Edition of 2014.</w:t>
      </w:r>
    </w:p>
    <w:p w:rsidR="006B63C0" w:rsidRPr="007F5340" w:rsidRDefault="006B63C0" w:rsidP="006B63C0">
      <w:pPr>
        <w:pStyle w:val="enumlev2"/>
      </w:pPr>
      <w:r>
        <w:lastRenderedPageBreak/>
        <w:t>–</w:t>
      </w:r>
      <w:r>
        <w:tab/>
      </w:r>
      <w:r w:rsidRPr="007F5340">
        <w:t>Handbook on Amateur and Amateur-Satellite Services.</w:t>
      </w:r>
    </w:p>
    <w:p w:rsidR="006B63C0" w:rsidRPr="00A418CB" w:rsidRDefault="006B63C0" w:rsidP="006B63C0">
      <w:pPr>
        <w:pStyle w:val="enumlev2"/>
      </w:pPr>
      <w:r>
        <w:t>–</w:t>
      </w:r>
      <w:r>
        <w:tab/>
      </w:r>
      <w:r w:rsidRPr="00A418CB">
        <w:t xml:space="preserve">Space Research Communications </w:t>
      </w:r>
      <w:r>
        <w:t xml:space="preserve">– </w:t>
      </w:r>
      <w:r w:rsidRPr="00A418CB">
        <w:t>Edition of 2014.</w:t>
      </w:r>
    </w:p>
    <w:p w:rsidR="006B63C0" w:rsidRPr="00A418CB" w:rsidRDefault="006B63C0" w:rsidP="006B63C0">
      <w:pPr>
        <w:pStyle w:val="enumlev2"/>
      </w:pPr>
      <w:r>
        <w:t>–</w:t>
      </w:r>
      <w:r>
        <w:tab/>
      </w:r>
      <w:r w:rsidRPr="00A418CB">
        <w:t>Radiometeorology (R).</w:t>
      </w:r>
    </w:p>
    <w:p w:rsidR="006B63C0" w:rsidRPr="00A418CB" w:rsidRDefault="006B63C0" w:rsidP="006B63C0">
      <w:pPr>
        <w:pStyle w:val="enumlev2"/>
      </w:pPr>
      <w:r>
        <w:t>–</w:t>
      </w:r>
      <w:r>
        <w:tab/>
      </w:r>
      <w:r w:rsidRPr="00A418CB">
        <w:t>Satellite Time and Frequency Transfer and Dissemination.</w:t>
      </w:r>
    </w:p>
    <w:p w:rsidR="006B63C0" w:rsidRPr="00A418CB" w:rsidRDefault="006B63C0" w:rsidP="006B63C0">
      <w:pPr>
        <w:pStyle w:val="enumlev2"/>
      </w:pPr>
      <w:r>
        <w:t>–</w:t>
      </w:r>
      <w:r>
        <w:tab/>
      </w:r>
      <w:r w:rsidRPr="00A418CB">
        <w:t>Ground Wave Propagation (A/E/S/F/R).</w:t>
      </w:r>
    </w:p>
    <w:p w:rsidR="006B63C0" w:rsidRPr="00A418CB" w:rsidRDefault="006B63C0" w:rsidP="006B63C0">
      <w:pPr>
        <w:pStyle w:val="enumlev2"/>
      </w:pPr>
      <w:r>
        <w:t>–</w:t>
      </w:r>
      <w:r>
        <w:tab/>
      </w:r>
      <w:r w:rsidRPr="00A418CB">
        <w:t xml:space="preserve">Handbook on Global Trends in International Mobile </w:t>
      </w:r>
      <w:r>
        <w:t>Telecommunications – Edition of </w:t>
      </w:r>
      <w:r w:rsidRPr="00A418CB">
        <w:t xml:space="preserve">2015. </w:t>
      </w:r>
    </w:p>
    <w:p w:rsidR="006B63C0" w:rsidRPr="00B166E9" w:rsidRDefault="006B63C0" w:rsidP="006B63C0">
      <w:pPr>
        <w:pStyle w:val="enumlev1"/>
      </w:pPr>
      <w:r>
        <w:t>–</w:t>
      </w:r>
      <w:r>
        <w:tab/>
      </w:r>
      <w:r w:rsidRPr="00B166E9">
        <w:t xml:space="preserve">Other publications (A/C/E/F/R/S): </w:t>
      </w:r>
    </w:p>
    <w:p w:rsidR="006B63C0" w:rsidRPr="00A418CB" w:rsidRDefault="006B63C0" w:rsidP="006B63C0">
      <w:pPr>
        <w:pStyle w:val="enumlev2"/>
      </w:pPr>
      <w:r>
        <w:t>–</w:t>
      </w:r>
      <w:r>
        <w:tab/>
      </w:r>
      <w:r w:rsidRPr="00A418CB">
        <w:t>Book of ITU-R Resolutions</w:t>
      </w:r>
      <w:r w:rsidR="009A53E2">
        <w:t>,</w:t>
      </w:r>
      <w:r w:rsidRPr="00A418CB">
        <w:t xml:space="preserve"> 2012.</w:t>
      </w:r>
    </w:p>
    <w:p w:rsidR="006B63C0" w:rsidRPr="00A418CB" w:rsidRDefault="006B63C0" w:rsidP="006B63C0">
      <w:pPr>
        <w:pStyle w:val="enumlev2"/>
      </w:pPr>
      <w:r>
        <w:t>–</w:t>
      </w:r>
      <w:r>
        <w:tab/>
      </w:r>
      <w:r w:rsidRPr="00A418CB">
        <w:t>Provisional final Acts WRC-15.</w:t>
      </w:r>
    </w:p>
    <w:p w:rsidR="006B63C0" w:rsidRPr="00A418CB" w:rsidRDefault="006B63C0" w:rsidP="006B63C0">
      <w:pPr>
        <w:pStyle w:val="enumlev2"/>
      </w:pPr>
      <w:r>
        <w:t>–</w:t>
      </w:r>
      <w:r>
        <w:tab/>
      </w:r>
      <w:r w:rsidRPr="00A418CB">
        <w:t>Final Acts WRC-15.</w:t>
      </w:r>
    </w:p>
    <w:p w:rsidR="006B63C0" w:rsidRPr="00A418CB" w:rsidRDefault="006B63C0" w:rsidP="006B63C0">
      <w:pPr>
        <w:pStyle w:val="enumlev2"/>
      </w:pPr>
      <w:r>
        <w:t>–</w:t>
      </w:r>
      <w:r>
        <w:tab/>
        <w:t>Radio Regulations</w:t>
      </w:r>
      <w:r w:rsidR="009A53E2">
        <w:t>,</w:t>
      </w:r>
      <w:r>
        <w:t xml:space="preserve"> WRC-15</w:t>
      </w:r>
      <w:r w:rsidRPr="00A418CB">
        <w:t xml:space="preserve"> – Edition of 2016</w:t>
      </w:r>
      <w:r>
        <w:t>.</w:t>
      </w:r>
    </w:p>
    <w:p w:rsidR="006B63C0" w:rsidRPr="00A418CB" w:rsidRDefault="006B63C0" w:rsidP="006B63C0">
      <w:pPr>
        <w:pStyle w:val="enumlev2"/>
      </w:pPr>
      <w:r>
        <w:t>–</w:t>
      </w:r>
      <w:r>
        <w:tab/>
      </w:r>
      <w:r w:rsidRPr="00A418CB">
        <w:t xml:space="preserve">Rules of Procedure </w:t>
      </w:r>
      <w:r>
        <w:t>–</w:t>
      </w:r>
      <w:r w:rsidRPr="00A418CB">
        <w:t xml:space="preserve"> Edition of 2012.</w:t>
      </w:r>
    </w:p>
    <w:p w:rsidR="006B63C0" w:rsidRPr="00A418CB" w:rsidRDefault="006B63C0" w:rsidP="006B63C0">
      <w:pPr>
        <w:pStyle w:val="enumlev2"/>
      </w:pPr>
      <w:r>
        <w:t>–</w:t>
      </w:r>
      <w:r>
        <w:tab/>
      </w:r>
      <w:r w:rsidRPr="00A418CB">
        <w:t xml:space="preserve">ITU-R Rules of Procedure 2012 </w:t>
      </w:r>
      <w:r>
        <w:t>–</w:t>
      </w:r>
      <w:r w:rsidRPr="00A418CB">
        <w:t xml:space="preserve"> Update 1.</w:t>
      </w:r>
    </w:p>
    <w:p w:rsidR="006B63C0" w:rsidRPr="00A418CB" w:rsidRDefault="006B63C0" w:rsidP="006B63C0">
      <w:pPr>
        <w:pStyle w:val="enumlev2"/>
      </w:pPr>
      <w:r>
        <w:t>–</w:t>
      </w:r>
      <w:r>
        <w:tab/>
        <w:t>ITU-R Rules of Procedure 2012</w:t>
      </w:r>
      <w:r w:rsidRPr="00A418CB">
        <w:t xml:space="preserve"> </w:t>
      </w:r>
      <w:r>
        <w:t xml:space="preserve">– </w:t>
      </w:r>
      <w:r w:rsidRPr="00A418CB">
        <w:t>Update 2.</w:t>
      </w:r>
    </w:p>
    <w:p w:rsidR="006B63C0" w:rsidRPr="00A418CB" w:rsidRDefault="006B63C0" w:rsidP="006B63C0">
      <w:pPr>
        <w:pStyle w:val="enumlev2"/>
      </w:pPr>
      <w:r>
        <w:t>–</w:t>
      </w:r>
      <w:r>
        <w:tab/>
      </w:r>
      <w:r w:rsidRPr="00A418CB">
        <w:t xml:space="preserve">ITU-R Rules of Procedure 2012 </w:t>
      </w:r>
      <w:r>
        <w:t xml:space="preserve">– </w:t>
      </w:r>
      <w:r w:rsidRPr="00A418CB">
        <w:t>Update 3.</w:t>
      </w:r>
    </w:p>
    <w:p w:rsidR="006B63C0" w:rsidRPr="00A418CB" w:rsidRDefault="006B63C0" w:rsidP="006B63C0">
      <w:pPr>
        <w:pStyle w:val="enumlev2"/>
      </w:pPr>
      <w:r>
        <w:t>–</w:t>
      </w:r>
      <w:r>
        <w:tab/>
      </w:r>
      <w:r w:rsidRPr="00A418CB">
        <w:t xml:space="preserve">ITU-R Rules of Procedure 2012 </w:t>
      </w:r>
      <w:r>
        <w:t xml:space="preserve">– </w:t>
      </w:r>
      <w:r w:rsidRPr="00A418CB">
        <w:t>Update 4.</w:t>
      </w:r>
    </w:p>
    <w:p w:rsidR="006B63C0" w:rsidRPr="00A418CB" w:rsidRDefault="006B63C0" w:rsidP="006B63C0">
      <w:pPr>
        <w:pStyle w:val="enumlev2"/>
      </w:pPr>
      <w:r>
        <w:t>–</w:t>
      </w:r>
      <w:r>
        <w:tab/>
      </w:r>
      <w:r w:rsidRPr="00A418CB">
        <w:t xml:space="preserve">ITU-R Rules of Procedure 2012 </w:t>
      </w:r>
      <w:r>
        <w:t xml:space="preserve">– </w:t>
      </w:r>
      <w:r w:rsidRPr="00A418CB">
        <w:t>Update 5.</w:t>
      </w:r>
    </w:p>
    <w:p w:rsidR="006B63C0" w:rsidRPr="00A418CB" w:rsidRDefault="006B63C0" w:rsidP="006B63C0">
      <w:pPr>
        <w:pStyle w:val="enumlev2"/>
      </w:pPr>
      <w:r>
        <w:t>–</w:t>
      </w:r>
      <w:r>
        <w:tab/>
      </w:r>
      <w:r w:rsidRPr="00A418CB">
        <w:t xml:space="preserve">ITU-R Rules of Procedure 2012 </w:t>
      </w:r>
      <w:r>
        <w:t xml:space="preserve">– </w:t>
      </w:r>
      <w:r w:rsidRPr="00A418CB">
        <w:t>Update 6.</w:t>
      </w:r>
    </w:p>
    <w:p w:rsidR="006B63C0" w:rsidRPr="00A418CB" w:rsidRDefault="006B63C0" w:rsidP="006B63C0">
      <w:pPr>
        <w:pStyle w:val="enumlev2"/>
      </w:pPr>
      <w:r>
        <w:t>–</w:t>
      </w:r>
      <w:r>
        <w:tab/>
      </w:r>
      <w:r w:rsidRPr="00A418CB">
        <w:t xml:space="preserve">ITU-R Rules of Procedure 2012 </w:t>
      </w:r>
      <w:r>
        <w:t xml:space="preserve">– </w:t>
      </w:r>
      <w:r w:rsidRPr="00A418CB">
        <w:t>Update 7.</w:t>
      </w:r>
    </w:p>
    <w:p w:rsidR="006B63C0" w:rsidRPr="00A418CB" w:rsidRDefault="006B63C0" w:rsidP="006B63C0">
      <w:pPr>
        <w:pStyle w:val="enumlev2"/>
      </w:pPr>
      <w:r>
        <w:t>–</w:t>
      </w:r>
      <w:r>
        <w:tab/>
      </w:r>
      <w:r w:rsidRPr="00A418CB">
        <w:t xml:space="preserve">ITU-R Rules of Procedure 2012 </w:t>
      </w:r>
      <w:r>
        <w:t xml:space="preserve">– </w:t>
      </w:r>
      <w:r w:rsidRPr="00A418CB">
        <w:t>Update 8.</w:t>
      </w:r>
    </w:p>
    <w:p w:rsidR="006B63C0" w:rsidRPr="00A418CB" w:rsidRDefault="006B63C0" w:rsidP="006B63C0">
      <w:pPr>
        <w:pStyle w:val="enumlev2"/>
      </w:pPr>
      <w:r>
        <w:t>–</w:t>
      </w:r>
      <w:r>
        <w:tab/>
      </w:r>
      <w:r w:rsidRPr="00A418CB">
        <w:t xml:space="preserve">ITU-R Rules of Procedure 2012 </w:t>
      </w:r>
      <w:r>
        <w:t xml:space="preserve">– </w:t>
      </w:r>
      <w:r w:rsidRPr="00A418CB">
        <w:t>Update 9.</w:t>
      </w:r>
    </w:p>
    <w:p w:rsidR="006B63C0" w:rsidRPr="00A418CB" w:rsidRDefault="006B63C0" w:rsidP="006B63C0">
      <w:pPr>
        <w:pStyle w:val="enumlev2"/>
      </w:pPr>
      <w:r>
        <w:t>–</w:t>
      </w:r>
      <w:r>
        <w:tab/>
      </w:r>
      <w:r w:rsidRPr="00A418CB">
        <w:t xml:space="preserve">ITU-R Rules of Procedure 2012 </w:t>
      </w:r>
      <w:r>
        <w:t xml:space="preserve">– </w:t>
      </w:r>
      <w:r w:rsidRPr="00A418CB">
        <w:t>Update 10.</w:t>
      </w:r>
    </w:p>
    <w:p w:rsidR="006B63C0" w:rsidRPr="00A418CB" w:rsidRDefault="006B63C0" w:rsidP="006B63C0">
      <w:pPr>
        <w:pStyle w:val="enumlev2"/>
      </w:pPr>
      <w:r>
        <w:t>–</w:t>
      </w:r>
      <w:r>
        <w:tab/>
      </w:r>
      <w:r w:rsidRPr="00A418CB">
        <w:t>ITU-R Radiocommunication: Committed to connecting the world.</w:t>
      </w:r>
    </w:p>
    <w:p w:rsidR="006B63C0" w:rsidRPr="00A418CB" w:rsidRDefault="006B63C0" w:rsidP="006B63C0">
      <w:pPr>
        <w:pStyle w:val="enumlev2"/>
      </w:pPr>
      <w:r>
        <w:t>–</w:t>
      </w:r>
      <w:r>
        <w:tab/>
      </w:r>
      <w:r w:rsidRPr="00A418CB">
        <w:t>Convention Radiotélégraphique internationale, Commemorative 110</w:t>
      </w:r>
      <w:r w:rsidRPr="00355BA3">
        <w:rPr>
          <w:vertAlign w:val="superscript"/>
        </w:rPr>
        <w:t>th</w:t>
      </w:r>
      <w:r w:rsidRPr="00A418CB">
        <w:t xml:space="preserve"> Anniversary Edition. (F)</w:t>
      </w:r>
    </w:p>
    <w:p w:rsidR="006B63C0" w:rsidRPr="00A418CB" w:rsidRDefault="006B63C0" w:rsidP="006B63C0">
      <w:pPr>
        <w:pStyle w:val="enumlev2"/>
      </w:pPr>
      <w:r>
        <w:t>–</w:t>
      </w:r>
      <w:r>
        <w:tab/>
      </w:r>
      <w:r w:rsidRPr="00A418CB">
        <w:t xml:space="preserve">ITU-R Radiocommunication: Study Groups </w:t>
      </w:r>
      <w:r>
        <w:t>–</w:t>
      </w:r>
      <w:r w:rsidRPr="00A418CB">
        <w:t xml:space="preserve"> Edition of 2016.</w:t>
      </w:r>
    </w:p>
    <w:p w:rsidR="006B63C0" w:rsidRPr="00A418CB" w:rsidRDefault="006B63C0" w:rsidP="006B63C0">
      <w:pPr>
        <w:pStyle w:val="enumlev2"/>
      </w:pPr>
      <w:r>
        <w:t>–</w:t>
      </w:r>
      <w:r>
        <w:tab/>
      </w:r>
      <w:r w:rsidRPr="00A418CB">
        <w:t>CD-ROM and DVD-ROM of Recommendations and Reports. (seven issues) corresponding to this period (January 2012 – June 2016).</w:t>
      </w:r>
    </w:p>
    <w:p w:rsidR="006B63C0" w:rsidRPr="00ED04B0" w:rsidRDefault="006B63C0" w:rsidP="006B63C0">
      <w:pPr>
        <w:pStyle w:val="Heading3"/>
      </w:pPr>
      <w:r w:rsidRPr="00ED04B0">
        <w:t>8.1.4</w:t>
      </w:r>
      <w:r w:rsidRPr="00ED04B0">
        <w:tab/>
        <w:t>ITU-R Publications Downloads</w:t>
      </w:r>
      <w:bookmarkEnd w:id="41"/>
      <w:bookmarkEnd w:id="42"/>
    </w:p>
    <w:p w:rsidR="006B63C0" w:rsidRDefault="006B63C0" w:rsidP="006B63C0">
      <w:pPr>
        <w:pStyle w:val="Heading4"/>
      </w:pPr>
      <w:r w:rsidRPr="00ED04B0">
        <w:t>8.1.4.1</w:t>
      </w:r>
      <w:r w:rsidRPr="00ED04B0">
        <w:tab/>
        <w:t>Radio Regulations and the Rules of Procedure</w:t>
      </w:r>
    </w:p>
    <w:p w:rsidR="006B63C0" w:rsidRPr="00DC2B7F" w:rsidRDefault="006B63C0" w:rsidP="006B63C0">
      <w:r w:rsidRPr="00AD7945">
        <w:t xml:space="preserve">Concerning these regulatory documents, </w:t>
      </w:r>
      <w:r>
        <w:t>Table 8</w:t>
      </w:r>
      <w:r w:rsidRPr="00AD7945">
        <w:t>.1.4.1-1 compares the number of sales for the RR</w:t>
      </w:r>
      <w:r w:rsidRPr="00AD7945">
        <w:noBreakHyphen/>
        <w:t>2008 edition (released in September 2008) and the RR-2012 (released in December 201</w:t>
      </w:r>
      <w:r>
        <w:t>2</w:t>
      </w:r>
      <w:r w:rsidRPr="00AD7945">
        <w:t xml:space="preserve">), as of </w:t>
      </w:r>
      <w:r w:rsidRPr="00DC2B7F">
        <w:t>31</w:t>
      </w:r>
      <w:r>
        <w:t> </w:t>
      </w:r>
      <w:r w:rsidRPr="00DC2B7F">
        <w:t>December 2015. This comparison shows that the free online access policy had no impact on the level of sales. The sales of RR-12 overpassed those of RR-08 (29% more). The large number of free downloads (</w:t>
      </w:r>
      <w:r>
        <w:t>twice as much as</w:t>
      </w:r>
      <w:r w:rsidRPr="00DC2B7F">
        <w:t xml:space="preserve"> </w:t>
      </w:r>
      <w:r>
        <w:t xml:space="preserve">the </w:t>
      </w:r>
      <w:r w:rsidRPr="00DC2B7F">
        <w:t>sold versions) illustrates the positive impact of this policy. Also, downloads were made from 182 countries, representing 94% of ITU Membership.</w:t>
      </w:r>
    </w:p>
    <w:p w:rsidR="006B63C0" w:rsidRPr="00DC2B7F" w:rsidRDefault="006B63C0" w:rsidP="006B63C0">
      <w:pPr>
        <w:pStyle w:val="TableNo"/>
      </w:pPr>
      <w:r w:rsidRPr="00DC2B7F">
        <w:lastRenderedPageBreak/>
        <w:t>Table 8.1.4.1-1</w:t>
      </w:r>
    </w:p>
    <w:p w:rsidR="006B63C0" w:rsidRPr="00DC2B7F" w:rsidRDefault="006B63C0" w:rsidP="006B63C0">
      <w:pPr>
        <w:pStyle w:val="TabletitleBR"/>
      </w:pPr>
      <w:r w:rsidRPr="00DC2B7F">
        <w:t>Comparison of the number of deliveries of the Radio Regulations and RoP since 2008</w:t>
      </w:r>
    </w:p>
    <w:tbl>
      <w:tblPr>
        <w:tblW w:w="8144" w:type="dxa"/>
        <w:jc w:val="center"/>
        <w:tblBorders>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4512"/>
        <w:gridCol w:w="1583"/>
        <w:gridCol w:w="2049"/>
      </w:tblGrid>
      <w:tr w:rsidR="006B63C0" w:rsidRPr="00DC2B7F" w:rsidTr="009A53E2">
        <w:trPr>
          <w:trHeight w:val="525"/>
          <w:jc w:val="center"/>
        </w:trPr>
        <w:tc>
          <w:tcPr>
            <w:tcW w:w="4512" w:type="dxa"/>
            <w:tcBorders>
              <w:bottom w:val="single" w:sz="8" w:space="0" w:color="auto"/>
            </w:tcBorders>
            <w:shd w:val="clear" w:color="auto" w:fill="auto"/>
            <w:vAlign w:val="center"/>
            <w:hideMark/>
          </w:tcPr>
          <w:p w:rsidR="006B63C0" w:rsidRPr="00DC2B7F" w:rsidRDefault="006B63C0" w:rsidP="009A53E2">
            <w:pPr>
              <w:jc w:val="center"/>
              <w:rPr>
                <w:rFonts w:ascii="Times" w:hAnsi="Times" w:cs="Times"/>
                <w:color w:val="000000"/>
                <w:sz w:val="20"/>
              </w:rPr>
            </w:pPr>
          </w:p>
        </w:tc>
        <w:tc>
          <w:tcPr>
            <w:tcW w:w="1583" w:type="dxa"/>
            <w:tcBorders>
              <w:top w:val="single" w:sz="8" w:space="0" w:color="auto"/>
            </w:tcBorders>
            <w:shd w:val="clear" w:color="auto" w:fill="auto"/>
            <w:vAlign w:val="center"/>
            <w:hideMark/>
          </w:tcPr>
          <w:p w:rsidR="006B63C0" w:rsidRPr="00DC2B7F" w:rsidRDefault="006B63C0" w:rsidP="009A53E2">
            <w:pPr>
              <w:jc w:val="center"/>
              <w:rPr>
                <w:b/>
                <w:bCs/>
                <w:color w:val="000000"/>
                <w:sz w:val="20"/>
              </w:rPr>
            </w:pPr>
            <w:r w:rsidRPr="00DC2B7F">
              <w:rPr>
                <w:b/>
                <w:bCs/>
                <w:color w:val="000000"/>
                <w:sz w:val="20"/>
              </w:rPr>
              <w:t>Sold</w:t>
            </w:r>
          </w:p>
        </w:tc>
        <w:tc>
          <w:tcPr>
            <w:tcW w:w="2049" w:type="dxa"/>
            <w:tcBorders>
              <w:top w:val="single" w:sz="8" w:space="0" w:color="auto"/>
            </w:tcBorders>
            <w:shd w:val="clear" w:color="auto" w:fill="auto"/>
            <w:vAlign w:val="center"/>
            <w:hideMark/>
          </w:tcPr>
          <w:p w:rsidR="006B63C0" w:rsidRPr="00DC2B7F" w:rsidRDefault="006B63C0" w:rsidP="009A53E2">
            <w:pPr>
              <w:jc w:val="center"/>
              <w:rPr>
                <w:b/>
                <w:bCs/>
                <w:color w:val="000000"/>
                <w:sz w:val="20"/>
              </w:rPr>
            </w:pPr>
            <w:r w:rsidRPr="00DC2B7F">
              <w:rPr>
                <w:b/>
                <w:bCs/>
                <w:color w:val="000000"/>
                <w:sz w:val="20"/>
              </w:rPr>
              <w:t>Free Download</w:t>
            </w:r>
          </w:p>
        </w:tc>
      </w:tr>
      <w:tr w:rsidR="006B63C0" w:rsidRPr="00DC2B7F" w:rsidTr="009A53E2">
        <w:trPr>
          <w:trHeight w:val="315"/>
          <w:jc w:val="center"/>
        </w:trPr>
        <w:tc>
          <w:tcPr>
            <w:tcW w:w="4512" w:type="dxa"/>
            <w:tcBorders>
              <w:top w:val="single" w:sz="8" w:space="0" w:color="auto"/>
              <w:left w:val="single" w:sz="8" w:space="0" w:color="auto"/>
            </w:tcBorders>
            <w:shd w:val="clear" w:color="auto" w:fill="auto"/>
            <w:vAlign w:val="center"/>
            <w:hideMark/>
          </w:tcPr>
          <w:p w:rsidR="006B63C0" w:rsidRPr="00DC2B7F" w:rsidRDefault="006B63C0" w:rsidP="009A53E2">
            <w:pPr>
              <w:jc w:val="center"/>
              <w:rPr>
                <w:i/>
                <w:iCs/>
                <w:color w:val="000000"/>
                <w:sz w:val="20"/>
              </w:rPr>
            </w:pPr>
            <w:r w:rsidRPr="00DC2B7F">
              <w:rPr>
                <w:i/>
                <w:iCs/>
                <w:color w:val="000000"/>
                <w:sz w:val="20"/>
              </w:rPr>
              <w:t>RR-08 (51 months deliveries)</w:t>
            </w:r>
          </w:p>
        </w:tc>
        <w:tc>
          <w:tcPr>
            <w:tcW w:w="1583" w:type="dxa"/>
            <w:shd w:val="clear" w:color="auto" w:fill="auto"/>
            <w:vAlign w:val="center"/>
            <w:hideMark/>
          </w:tcPr>
          <w:p w:rsidR="006B63C0" w:rsidRPr="00DC2B7F" w:rsidRDefault="006B63C0" w:rsidP="009A53E2">
            <w:pPr>
              <w:jc w:val="center"/>
              <w:rPr>
                <w:color w:val="000000"/>
                <w:sz w:val="20"/>
              </w:rPr>
            </w:pPr>
            <w:r w:rsidRPr="00DC2B7F">
              <w:rPr>
                <w:color w:val="000000"/>
                <w:sz w:val="20"/>
              </w:rPr>
              <w:t>15,178</w:t>
            </w:r>
          </w:p>
        </w:tc>
        <w:tc>
          <w:tcPr>
            <w:tcW w:w="2049" w:type="dxa"/>
            <w:shd w:val="clear" w:color="auto" w:fill="auto"/>
            <w:vAlign w:val="center"/>
            <w:hideMark/>
          </w:tcPr>
          <w:p w:rsidR="006B63C0" w:rsidRPr="00DC2B7F" w:rsidRDefault="006B63C0" w:rsidP="009A53E2">
            <w:pPr>
              <w:jc w:val="center"/>
              <w:rPr>
                <w:color w:val="000000"/>
                <w:sz w:val="20"/>
              </w:rPr>
            </w:pPr>
            <w:r w:rsidRPr="00DC2B7F">
              <w:rPr>
                <w:color w:val="000000"/>
                <w:sz w:val="20"/>
              </w:rPr>
              <w:t>973</w:t>
            </w:r>
          </w:p>
        </w:tc>
      </w:tr>
      <w:tr w:rsidR="006B63C0" w:rsidRPr="00DC2B7F" w:rsidTr="009A53E2">
        <w:trPr>
          <w:trHeight w:val="315"/>
          <w:jc w:val="center"/>
        </w:trPr>
        <w:tc>
          <w:tcPr>
            <w:tcW w:w="4512" w:type="dxa"/>
            <w:tcBorders>
              <w:top w:val="single" w:sz="8" w:space="0" w:color="auto"/>
              <w:left w:val="single" w:sz="8" w:space="0" w:color="auto"/>
            </w:tcBorders>
            <w:shd w:val="clear" w:color="auto" w:fill="auto"/>
            <w:vAlign w:val="center"/>
            <w:hideMark/>
          </w:tcPr>
          <w:p w:rsidR="006B63C0" w:rsidRPr="00DC2B7F" w:rsidRDefault="006B63C0" w:rsidP="009A53E2">
            <w:pPr>
              <w:jc w:val="center"/>
              <w:rPr>
                <w:i/>
                <w:iCs/>
                <w:color w:val="000000"/>
                <w:sz w:val="20"/>
              </w:rPr>
            </w:pPr>
            <w:r w:rsidRPr="00DC2B7F">
              <w:rPr>
                <w:i/>
                <w:iCs/>
                <w:color w:val="000000"/>
                <w:sz w:val="20"/>
              </w:rPr>
              <w:t>RR-12 (</w:t>
            </w:r>
            <w:r>
              <w:rPr>
                <w:i/>
                <w:iCs/>
                <w:color w:val="000000"/>
                <w:sz w:val="20"/>
              </w:rPr>
              <w:t>48</w:t>
            </w:r>
            <w:r w:rsidRPr="00DC2B7F">
              <w:rPr>
                <w:i/>
                <w:iCs/>
                <w:color w:val="000000"/>
                <w:sz w:val="20"/>
              </w:rPr>
              <w:t xml:space="preserve"> months deliveries)</w:t>
            </w:r>
          </w:p>
        </w:tc>
        <w:tc>
          <w:tcPr>
            <w:tcW w:w="1583" w:type="dxa"/>
            <w:shd w:val="clear" w:color="auto" w:fill="auto"/>
            <w:vAlign w:val="center"/>
            <w:hideMark/>
          </w:tcPr>
          <w:p w:rsidR="006B63C0" w:rsidRPr="00DC2B7F" w:rsidRDefault="006B63C0" w:rsidP="009A53E2">
            <w:pPr>
              <w:jc w:val="center"/>
              <w:rPr>
                <w:color w:val="000000"/>
                <w:sz w:val="20"/>
              </w:rPr>
            </w:pPr>
            <w:r w:rsidRPr="00DC2B7F">
              <w:rPr>
                <w:color w:val="000000"/>
                <w:sz w:val="20"/>
              </w:rPr>
              <w:t>19,593</w:t>
            </w:r>
          </w:p>
        </w:tc>
        <w:tc>
          <w:tcPr>
            <w:tcW w:w="2049" w:type="dxa"/>
            <w:shd w:val="clear" w:color="auto" w:fill="auto"/>
            <w:vAlign w:val="center"/>
            <w:hideMark/>
          </w:tcPr>
          <w:p w:rsidR="006B63C0" w:rsidRPr="00DC2B7F" w:rsidRDefault="006B63C0" w:rsidP="009A53E2">
            <w:pPr>
              <w:jc w:val="center"/>
              <w:rPr>
                <w:color w:val="000000"/>
                <w:sz w:val="20"/>
              </w:rPr>
            </w:pPr>
            <w:r>
              <w:rPr>
                <w:color w:val="000000"/>
                <w:sz w:val="20"/>
              </w:rPr>
              <w:t>38,947</w:t>
            </w:r>
          </w:p>
        </w:tc>
      </w:tr>
      <w:tr w:rsidR="006B63C0" w:rsidRPr="00DC2B7F" w:rsidTr="009A53E2">
        <w:trPr>
          <w:trHeight w:val="315"/>
          <w:jc w:val="center"/>
        </w:trPr>
        <w:tc>
          <w:tcPr>
            <w:tcW w:w="4512" w:type="dxa"/>
            <w:tcBorders>
              <w:top w:val="single" w:sz="8" w:space="0" w:color="auto"/>
              <w:left w:val="single" w:sz="8" w:space="0" w:color="auto"/>
            </w:tcBorders>
            <w:shd w:val="clear" w:color="auto" w:fill="auto"/>
            <w:vAlign w:val="center"/>
          </w:tcPr>
          <w:p w:rsidR="006B63C0" w:rsidRPr="00DC2B7F" w:rsidRDefault="006B63C0" w:rsidP="009A53E2">
            <w:pPr>
              <w:jc w:val="center"/>
              <w:rPr>
                <w:i/>
                <w:iCs/>
                <w:color w:val="000000"/>
                <w:sz w:val="20"/>
              </w:rPr>
            </w:pPr>
            <w:r>
              <w:rPr>
                <w:i/>
                <w:iCs/>
                <w:color w:val="000000"/>
                <w:sz w:val="20"/>
              </w:rPr>
              <w:t>RR-16 (December 2016)</w:t>
            </w:r>
          </w:p>
        </w:tc>
        <w:tc>
          <w:tcPr>
            <w:tcW w:w="1583" w:type="dxa"/>
            <w:shd w:val="clear" w:color="auto" w:fill="auto"/>
            <w:vAlign w:val="center"/>
          </w:tcPr>
          <w:p w:rsidR="006B63C0" w:rsidRPr="00DC2B7F" w:rsidRDefault="006B63C0" w:rsidP="009A53E2">
            <w:pPr>
              <w:jc w:val="center"/>
              <w:rPr>
                <w:color w:val="000000"/>
                <w:sz w:val="20"/>
              </w:rPr>
            </w:pPr>
          </w:p>
        </w:tc>
        <w:tc>
          <w:tcPr>
            <w:tcW w:w="2049" w:type="dxa"/>
            <w:shd w:val="clear" w:color="auto" w:fill="auto"/>
            <w:vAlign w:val="center"/>
          </w:tcPr>
          <w:p w:rsidR="006B63C0" w:rsidRPr="00DC2B7F" w:rsidRDefault="006B63C0" w:rsidP="009A53E2">
            <w:pPr>
              <w:jc w:val="center"/>
              <w:rPr>
                <w:color w:val="000000"/>
                <w:sz w:val="20"/>
              </w:rPr>
            </w:pPr>
            <w:r>
              <w:rPr>
                <w:color w:val="000000"/>
                <w:sz w:val="20"/>
              </w:rPr>
              <w:t>16 (+copies  ~400 USB during WRS16)</w:t>
            </w:r>
          </w:p>
        </w:tc>
      </w:tr>
      <w:tr w:rsidR="006B63C0" w:rsidRPr="00D800D2" w:rsidTr="009A53E2">
        <w:trPr>
          <w:trHeight w:val="315"/>
          <w:jc w:val="center"/>
        </w:trPr>
        <w:tc>
          <w:tcPr>
            <w:tcW w:w="4512" w:type="dxa"/>
            <w:tcBorders>
              <w:top w:val="single" w:sz="8" w:space="0" w:color="auto"/>
              <w:left w:val="single" w:sz="8" w:space="0" w:color="auto"/>
            </w:tcBorders>
            <w:shd w:val="clear" w:color="auto" w:fill="auto"/>
            <w:vAlign w:val="center"/>
            <w:hideMark/>
          </w:tcPr>
          <w:p w:rsidR="006B63C0" w:rsidRPr="00DC2B7F" w:rsidRDefault="006B63C0" w:rsidP="009A53E2">
            <w:pPr>
              <w:jc w:val="center"/>
              <w:rPr>
                <w:i/>
                <w:iCs/>
                <w:color w:val="000000"/>
                <w:sz w:val="20"/>
              </w:rPr>
            </w:pPr>
            <w:r w:rsidRPr="00DC2B7F">
              <w:rPr>
                <w:i/>
                <w:iCs/>
                <w:color w:val="000000"/>
                <w:sz w:val="20"/>
              </w:rPr>
              <w:t xml:space="preserve">RoP 2012 </w:t>
            </w:r>
            <w:r w:rsidRPr="00DC2B7F">
              <w:rPr>
                <w:b/>
                <w:bCs/>
                <w:i/>
                <w:iCs/>
                <w:color w:val="000000"/>
                <w:sz w:val="20"/>
              </w:rPr>
              <w:t>(</w:t>
            </w:r>
            <w:r w:rsidRPr="00DC2B7F">
              <w:rPr>
                <w:i/>
                <w:iCs/>
                <w:color w:val="000000"/>
                <w:sz w:val="20"/>
              </w:rPr>
              <w:t>since Council 2014 decision)</w:t>
            </w:r>
          </w:p>
        </w:tc>
        <w:tc>
          <w:tcPr>
            <w:tcW w:w="1583" w:type="dxa"/>
            <w:shd w:val="clear" w:color="auto" w:fill="auto"/>
            <w:vAlign w:val="center"/>
            <w:hideMark/>
          </w:tcPr>
          <w:p w:rsidR="006B63C0" w:rsidRPr="00DC2B7F" w:rsidRDefault="006B63C0" w:rsidP="009A53E2">
            <w:pPr>
              <w:jc w:val="center"/>
              <w:rPr>
                <w:color w:val="000000"/>
                <w:sz w:val="20"/>
              </w:rPr>
            </w:pPr>
            <w:r w:rsidRPr="00DC2B7F">
              <w:rPr>
                <w:color w:val="000000"/>
                <w:sz w:val="20"/>
              </w:rPr>
              <w:t>25</w:t>
            </w:r>
          </w:p>
        </w:tc>
        <w:tc>
          <w:tcPr>
            <w:tcW w:w="2049" w:type="dxa"/>
            <w:shd w:val="clear" w:color="auto" w:fill="auto"/>
            <w:vAlign w:val="center"/>
            <w:hideMark/>
          </w:tcPr>
          <w:p w:rsidR="006B63C0" w:rsidRPr="00DC2B7F" w:rsidRDefault="006B63C0" w:rsidP="009A53E2">
            <w:pPr>
              <w:jc w:val="center"/>
              <w:rPr>
                <w:color w:val="000000"/>
                <w:sz w:val="20"/>
              </w:rPr>
            </w:pPr>
            <w:r w:rsidRPr="00DC2B7F">
              <w:rPr>
                <w:color w:val="000000"/>
                <w:sz w:val="20"/>
              </w:rPr>
              <w:t>2,011</w:t>
            </w:r>
          </w:p>
        </w:tc>
      </w:tr>
    </w:tbl>
    <w:p w:rsidR="006B63C0" w:rsidRDefault="006B63C0" w:rsidP="006B63C0"/>
    <w:p w:rsidR="006B63C0" w:rsidRPr="00E247F8" w:rsidRDefault="006B63C0" w:rsidP="006B63C0">
      <w:pPr>
        <w:pStyle w:val="Heading4"/>
      </w:pPr>
      <w:r w:rsidRPr="00ED04B0">
        <w:t>8.1.4.2</w:t>
      </w:r>
      <w:r w:rsidRPr="00ED04B0">
        <w:tab/>
        <w:t>ITU-R Recommendations</w:t>
      </w:r>
      <w:r w:rsidRPr="000373EB">
        <w:t xml:space="preserve"> </w:t>
      </w:r>
    </w:p>
    <w:p w:rsidR="006B63C0" w:rsidRPr="00D91404" w:rsidRDefault="006B63C0" w:rsidP="006B63C0">
      <w:pPr>
        <w:ind w:right="-284"/>
        <w:rPr>
          <w:color w:val="000000" w:themeColor="text1"/>
          <w:sz w:val="22"/>
          <w:lang w:val="en-US" w:eastAsia="zh-CN"/>
        </w:rPr>
      </w:pPr>
      <w:r>
        <w:t xml:space="preserve">As a result of the free online access policy, ITU-R Recommendations have been disseminated worldwide, becoming a universal reference, reaching all audiences, regardless of their economic situation. </w:t>
      </w:r>
      <w:r w:rsidRPr="00D91404">
        <w:rPr>
          <w:color w:val="000000" w:themeColor="text1"/>
        </w:rPr>
        <w:t>In a 48-month period (January 2013 to December 2016), more than fourteen million downloads of ITU-R Recommendations from ITU web site were recorded. Table 8.1.4.2-1 summarizes their distribution by year and series. At this time, there are 1,158 ITU-R Recommendations in force, hence the average number of downloads is 12,847 per Recommendation.</w:t>
      </w:r>
    </w:p>
    <w:p w:rsidR="006B63C0" w:rsidRPr="00570C54" w:rsidRDefault="006B63C0" w:rsidP="006B63C0">
      <w:pPr>
        <w:rPr>
          <w:lang w:val="en-US"/>
        </w:rPr>
      </w:pPr>
    </w:p>
    <w:p w:rsidR="006B63C0" w:rsidRDefault="006B63C0" w:rsidP="006B63C0">
      <w:pPr>
        <w:tabs>
          <w:tab w:val="clear" w:pos="794"/>
          <w:tab w:val="clear" w:pos="1191"/>
          <w:tab w:val="clear" w:pos="1588"/>
          <w:tab w:val="clear" w:pos="1985"/>
        </w:tabs>
        <w:overflowPunct/>
        <w:autoSpaceDE/>
        <w:autoSpaceDN/>
        <w:adjustRightInd/>
        <w:spacing w:before="0"/>
        <w:textAlignment w:val="auto"/>
        <w:rPr>
          <w:caps/>
        </w:rPr>
      </w:pPr>
      <w:r>
        <w:br w:type="page"/>
      </w:r>
    </w:p>
    <w:p w:rsidR="006B63C0" w:rsidRPr="001B078C" w:rsidRDefault="006B63C0" w:rsidP="006B63C0">
      <w:pPr>
        <w:pStyle w:val="TableNo"/>
      </w:pPr>
      <w:r>
        <w:lastRenderedPageBreak/>
        <w:t>Table 8.1</w:t>
      </w:r>
      <w:r w:rsidRPr="001B078C">
        <w:t>.</w:t>
      </w:r>
      <w:r>
        <w:t>4.2</w:t>
      </w:r>
      <w:r w:rsidRPr="001B078C">
        <w:t>-1</w:t>
      </w:r>
    </w:p>
    <w:p w:rsidR="006B63C0" w:rsidRDefault="006B63C0" w:rsidP="006B63C0">
      <w:pPr>
        <w:pStyle w:val="TabletitleBR"/>
      </w:pPr>
      <w:r>
        <w:t>Distribution of ITU-R Recommendations</w:t>
      </w:r>
    </w:p>
    <w:p w:rsidR="006B63C0" w:rsidRDefault="006B63C0" w:rsidP="006B63C0"/>
    <w:tbl>
      <w:tblPr>
        <w:tblW w:w="6820" w:type="dxa"/>
        <w:jc w:val="center"/>
        <w:tblCellMar>
          <w:left w:w="0" w:type="dxa"/>
          <w:right w:w="0" w:type="dxa"/>
        </w:tblCellMar>
        <w:tblLook w:val="04A0" w:firstRow="1" w:lastRow="0" w:firstColumn="1" w:lastColumn="0" w:noHBand="0" w:noVBand="1"/>
      </w:tblPr>
      <w:tblGrid>
        <w:gridCol w:w="1070"/>
        <w:gridCol w:w="1176"/>
        <w:gridCol w:w="1176"/>
        <w:gridCol w:w="1176"/>
        <w:gridCol w:w="1176"/>
        <w:gridCol w:w="1296"/>
        <w:gridCol w:w="996"/>
      </w:tblGrid>
      <w:tr w:rsidR="006B63C0" w:rsidTr="009A53E2">
        <w:trPr>
          <w:trHeight w:val="315"/>
          <w:jc w:val="center"/>
        </w:trPr>
        <w:tc>
          <w:tcPr>
            <w:tcW w:w="96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sz w:val="22"/>
                <w:lang w:val="en-US" w:eastAsia="zh-CN"/>
              </w:rPr>
            </w:pPr>
            <w:r>
              <w:rPr>
                <w:b/>
                <w:bCs/>
                <w:color w:val="000000"/>
                <w:lang w:val="es-ES"/>
              </w:rPr>
              <w:t>SERIES</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2013</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2014</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2015</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2016</w:t>
            </w:r>
          </w:p>
        </w:tc>
        <w:tc>
          <w:tcPr>
            <w:tcW w:w="10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Total</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P</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1,474,978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1,355,667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997,851</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1,373,139</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5,201,635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35.0%</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BT</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678,265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594,916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432,080</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504,371</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2,209,632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14.9%</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M</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619,938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544,416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458,858</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698,967</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2,322,179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15.6%</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SM</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384,600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336,767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309,149</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465,689</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1,496,205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10.1%</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323,804</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315,991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230,649</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299,741</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1,170,185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7.9%</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F</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270,692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254,728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222,474</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330,519</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1,078,413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7.2%</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171,095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124,307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108,522</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202,094</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606,018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4.1%</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BO</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39,365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25,336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29,521</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42,419</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136,641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0.9%</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SA</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29,350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29,885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32,827</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51,259</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143,321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RS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28,490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22,725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32,220</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49,050</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132,485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0.9%</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V</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29,038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25,437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19,552</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29,261</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103,288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0.7%</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TF</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19,708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15,209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20,242</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23,912</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79,071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0.5%</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SF</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19,738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15,383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20,007</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32,336</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87,464</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0.6%</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BR</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12,627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9,239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12,321</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16,181</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50,368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0.3%</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RA</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9,283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7,879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10,083</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16,011</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43,256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0.3%</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SNG</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4,809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2,929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3,930</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5,210</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16,878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0.1%</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rPr>
                <w:color w:val="000000"/>
                <w:sz w:val="20"/>
              </w:rPr>
            </w:pPr>
            <w:r>
              <w:rPr>
                <w:color w:val="000000"/>
                <w:sz w:val="20"/>
              </w:rPr>
              <w:t> </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rPr>
                <w:rFonts w:ascii="Calibri" w:hAnsi="Calibri"/>
                <w:color w:val="000000"/>
                <w:sz w:val="22"/>
                <w:szCs w:val="22"/>
              </w:rPr>
            </w:pPr>
            <w:r>
              <w:rPr>
                <w:color w:val="00000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rPr>
                <w:color w:val="000000"/>
              </w:rPr>
            </w:pPr>
            <w:r>
              <w:rPr>
                <w:color w:val="000000"/>
              </w:rPr>
              <w:t> </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TOTAL</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4,115,780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3,680,814</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2,940,286</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4,143,753</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14,877,039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100.0%</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year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38.30%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34.30%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27.40%</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 </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100.00%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rPr>
                <w:color w:val="000000"/>
              </w:rPr>
            </w:pPr>
            <w:r>
              <w:rPr>
                <w:color w:val="000000"/>
              </w:rPr>
              <w:t> </w:t>
            </w:r>
          </w:p>
        </w:tc>
      </w:tr>
    </w:tbl>
    <w:p w:rsidR="006B63C0" w:rsidRDefault="006B63C0" w:rsidP="006B63C0"/>
    <w:p w:rsidR="006B63C0" w:rsidRDefault="006B63C0" w:rsidP="006B63C0">
      <w:pPr>
        <w:pStyle w:val="Heading4"/>
      </w:pPr>
      <w:r w:rsidRPr="00ED04B0">
        <w:t>8.1.4.3</w:t>
      </w:r>
      <w:r w:rsidRPr="00ED04B0">
        <w:tab/>
        <w:t>ITU-R Reports</w:t>
      </w:r>
      <w:r w:rsidRPr="004C088F">
        <w:t xml:space="preserve"> </w:t>
      </w:r>
    </w:p>
    <w:p w:rsidR="006B63C0" w:rsidRPr="00D91404" w:rsidRDefault="006B63C0" w:rsidP="006B63C0">
      <w:r w:rsidRPr="00D91404">
        <w:t>As ITU-R Recommendations, ITU-R Reports have been dis</w:t>
      </w:r>
      <w:r>
        <w:t>seminated worldwide, becoming a </w:t>
      </w:r>
      <w:r w:rsidRPr="00D91404">
        <w:t>universal reference, reaching all audiences, regardless of their economic situation. In a 48-month period (January 2013 to December 2016), more than 6 million downloads of ITU-R Reports from ITU web site were recorded. Table 8.1.4.3-1 summarizes their dist</w:t>
      </w:r>
      <w:r>
        <w:t>ribution by year and series. At </w:t>
      </w:r>
      <w:r w:rsidRPr="00D91404">
        <w:t xml:space="preserve">present, there are 505 ITU-R Reports in force, with an average download of 12,419 per Report. </w:t>
      </w:r>
    </w:p>
    <w:p w:rsidR="006B63C0" w:rsidRDefault="006B63C0" w:rsidP="006B63C0">
      <w:pPr>
        <w:jc w:val="both"/>
        <w:rPr>
          <w:sz w:val="22"/>
          <w:lang w:val="en-US" w:eastAsia="zh-CN"/>
        </w:rPr>
      </w:pPr>
      <w:r w:rsidRPr="00D91404">
        <w:rPr>
          <w:color w:val="000000" w:themeColor="text1"/>
        </w:rPr>
        <w:t xml:space="preserve">To be noted that the average value is very similar to that of ITU-R Recommendations. </w:t>
      </w:r>
    </w:p>
    <w:p w:rsidR="006B63C0" w:rsidRDefault="006B63C0" w:rsidP="006B63C0"/>
    <w:p w:rsidR="006B63C0" w:rsidRDefault="006B63C0" w:rsidP="006B63C0">
      <w:pPr>
        <w:tabs>
          <w:tab w:val="clear" w:pos="794"/>
          <w:tab w:val="clear" w:pos="1191"/>
          <w:tab w:val="clear" w:pos="1588"/>
          <w:tab w:val="clear" w:pos="1985"/>
        </w:tabs>
        <w:overflowPunct/>
        <w:autoSpaceDE/>
        <w:autoSpaceDN/>
        <w:adjustRightInd/>
        <w:spacing w:before="0"/>
        <w:textAlignment w:val="auto"/>
        <w:rPr>
          <w:caps/>
        </w:rPr>
      </w:pPr>
      <w:r>
        <w:br w:type="page"/>
      </w:r>
    </w:p>
    <w:p w:rsidR="006B63C0" w:rsidRPr="001B078C" w:rsidRDefault="006B63C0" w:rsidP="006B63C0">
      <w:pPr>
        <w:pStyle w:val="TableNo"/>
      </w:pPr>
      <w:r>
        <w:lastRenderedPageBreak/>
        <w:t>Table 8.1</w:t>
      </w:r>
      <w:r w:rsidRPr="001B078C">
        <w:t>.</w:t>
      </w:r>
      <w:r>
        <w:t>4.3</w:t>
      </w:r>
      <w:r w:rsidRPr="001B078C">
        <w:t>-</w:t>
      </w:r>
      <w:r>
        <w:t>1</w:t>
      </w:r>
    </w:p>
    <w:p w:rsidR="006B63C0" w:rsidRDefault="006B63C0" w:rsidP="006B63C0">
      <w:pPr>
        <w:pStyle w:val="TabletitleBR"/>
      </w:pPr>
      <w:r>
        <w:t>Distribution of ITU-R Reports</w:t>
      </w:r>
    </w:p>
    <w:tbl>
      <w:tblPr>
        <w:tblW w:w="6820" w:type="dxa"/>
        <w:jc w:val="center"/>
        <w:tblCellMar>
          <w:left w:w="0" w:type="dxa"/>
          <w:right w:w="0" w:type="dxa"/>
        </w:tblCellMar>
        <w:tblLook w:val="04A0" w:firstRow="1" w:lastRow="0" w:firstColumn="1" w:lastColumn="0" w:noHBand="0" w:noVBand="1"/>
      </w:tblPr>
      <w:tblGrid>
        <w:gridCol w:w="1070"/>
        <w:gridCol w:w="1176"/>
        <w:gridCol w:w="1176"/>
        <w:gridCol w:w="1176"/>
        <w:gridCol w:w="996"/>
        <w:gridCol w:w="1176"/>
        <w:gridCol w:w="1116"/>
      </w:tblGrid>
      <w:tr w:rsidR="006B63C0" w:rsidTr="009A53E2">
        <w:trPr>
          <w:trHeight w:val="315"/>
          <w:jc w:val="center"/>
        </w:trPr>
        <w:tc>
          <w:tcPr>
            <w:tcW w:w="96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sz w:val="22"/>
                <w:lang w:val="en-US" w:eastAsia="zh-CN"/>
              </w:rPr>
            </w:pPr>
            <w:r>
              <w:rPr>
                <w:b/>
                <w:bCs/>
                <w:color w:val="000000"/>
                <w:lang w:val="es-ES"/>
              </w:rPr>
              <w:t>SERIES</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2013</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2014</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2015</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2016</w:t>
            </w:r>
          </w:p>
        </w:tc>
        <w:tc>
          <w:tcPr>
            <w:tcW w:w="10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TOTAL</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M</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395,360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515,745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636,116</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529,556</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2,076,777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33.11%</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BT</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363,675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342,768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330,089</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274,434</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1,310,966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20.90%</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SM</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224,747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293,305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320,550</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392,746</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1,231,348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19.63%</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106,279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156,835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166,269</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132,707</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562,090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8.96%</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BO</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78,401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104,646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128,055</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97,953</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409,055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6.52%</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P</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57,317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79,659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93,578</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81,573</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312,127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4.98%</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27,643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29,009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38,545</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34,293</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129,490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2.06%</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F</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17,971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21,030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31,778</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31,563</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102,342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1.63%</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RS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12,049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12,476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22,542</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20,484</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67,551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1.08%</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RA</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8,542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6,575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8,791</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7,137</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31,045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0.49%</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SA</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4,190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7,690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11,291</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13,298</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36,469</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0.58%</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SF</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490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533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695</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535</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2,253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0.04%</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BR</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132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103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178</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color w:val="000000"/>
              </w:rPr>
            </w:pPr>
            <w:r>
              <w:rPr>
                <w:color w:val="000000"/>
                <w:lang w:val="es-ES"/>
              </w:rPr>
              <w:t>109</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522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0.01%</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rsidR="006B63C0" w:rsidRDefault="006B63C0" w:rsidP="009A53E2">
            <w:pPr>
              <w:rPr>
                <w:color w:val="000000"/>
                <w:sz w:val="20"/>
              </w:rPr>
            </w:pPr>
            <w:r>
              <w:rPr>
                <w:color w:val="000000"/>
                <w:sz w:val="2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rPr>
                <w:color w:val="000000"/>
                <w:sz w:val="20"/>
              </w:rPr>
            </w:pPr>
            <w:r>
              <w:rPr>
                <w:color w:val="000000"/>
                <w:sz w:val="20"/>
              </w:rPr>
              <w:t> </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rPr>
                <w:rFonts w:ascii="Calibri" w:hAnsi="Calibri"/>
                <w:b/>
                <w:bCs/>
                <w:color w:val="000000"/>
                <w:sz w:val="22"/>
                <w:szCs w:val="22"/>
              </w:rPr>
            </w:pPr>
            <w:r>
              <w:rPr>
                <w:b/>
                <w:bCs/>
                <w:color w:val="000000"/>
              </w:rPr>
              <w:t>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rPr>
                <w:color w:val="000000"/>
              </w:rPr>
            </w:pPr>
            <w:r>
              <w:rPr>
                <w:color w:val="000000"/>
              </w:rPr>
              <w:t> </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TOTAL</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1,296,796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1,570,374</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1,788,477</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 </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6,272,035</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jc w:val="right"/>
              <w:rPr>
                <w:b/>
                <w:bCs/>
                <w:color w:val="000000"/>
              </w:rPr>
            </w:pPr>
            <w:r>
              <w:rPr>
                <w:b/>
                <w:bCs/>
                <w:color w:val="000000"/>
              </w:rPr>
              <w:t>100.00%</w:t>
            </w:r>
          </w:p>
        </w:tc>
      </w:tr>
      <w:tr w:rsidR="006B63C0" w:rsidTr="009A53E2">
        <w:trPr>
          <w:trHeight w:val="315"/>
          <w:jc w:val="center"/>
        </w:trPr>
        <w:tc>
          <w:tcPr>
            <w:tcW w:w="9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year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27.90%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33.70%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38.40%</w:t>
            </w:r>
          </w:p>
        </w:tc>
        <w:tc>
          <w:tcPr>
            <w:tcW w:w="9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 </w:t>
            </w:r>
          </w:p>
        </w:tc>
        <w:tc>
          <w:tcPr>
            <w:tcW w:w="1060"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B63C0" w:rsidRDefault="006B63C0" w:rsidP="009A53E2">
            <w:pPr>
              <w:jc w:val="center"/>
              <w:rPr>
                <w:b/>
                <w:bCs/>
                <w:color w:val="000000"/>
              </w:rPr>
            </w:pPr>
            <w:r>
              <w:rPr>
                <w:b/>
                <w:bCs/>
                <w:color w:val="000000"/>
                <w:lang w:val="es-ES"/>
              </w:rPr>
              <w:t>100.00%</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B63C0" w:rsidRDefault="006B63C0" w:rsidP="009A53E2">
            <w:pPr>
              <w:rPr>
                <w:color w:val="000000"/>
              </w:rPr>
            </w:pPr>
            <w:r>
              <w:rPr>
                <w:color w:val="000000"/>
              </w:rPr>
              <w:t> </w:t>
            </w:r>
          </w:p>
        </w:tc>
      </w:tr>
    </w:tbl>
    <w:p w:rsidR="006B63C0" w:rsidRDefault="006B63C0" w:rsidP="006B63C0"/>
    <w:p w:rsidR="006B63C0" w:rsidRPr="004C088F" w:rsidRDefault="006B63C0" w:rsidP="006B63C0">
      <w:pPr>
        <w:pStyle w:val="Heading4"/>
      </w:pPr>
      <w:r w:rsidRPr="00ED04B0">
        <w:t>8.1.4.4</w:t>
      </w:r>
      <w:r w:rsidRPr="00ED04B0">
        <w:tab/>
        <w:t>Handbooks on radio-frequency spectrum management</w:t>
      </w:r>
    </w:p>
    <w:p w:rsidR="006B63C0" w:rsidRPr="004C088F" w:rsidRDefault="006B63C0" w:rsidP="006B63C0">
      <w:bookmarkStart w:id="43" w:name="_Toc424047600"/>
      <w:bookmarkStart w:id="44" w:name="_Toc446060782"/>
      <w:r w:rsidRPr="004C088F">
        <w:t xml:space="preserve">Since the Council 2013 Decision, the quantity of downloads continues to increase, as </w:t>
      </w:r>
      <w:r>
        <w:t>reflected in Table 8</w:t>
      </w:r>
      <w:r w:rsidRPr="004C088F">
        <w:t>.1.4.4-1.</w:t>
      </w:r>
    </w:p>
    <w:p w:rsidR="006B63C0" w:rsidRDefault="006B63C0" w:rsidP="006B63C0">
      <w:pPr>
        <w:tabs>
          <w:tab w:val="clear" w:pos="794"/>
          <w:tab w:val="clear" w:pos="1191"/>
          <w:tab w:val="clear" w:pos="1588"/>
          <w:tab w:val="clear" w:pos="1985"/>
        </w:tabs>
        <w:overflowPunct/>
        <w:autoSpaceDE/>
        <w:autoSpaceDN/>
        <w:adjustRightInd/>
        <w:spacing w:before="0"/>
        <w:textAlignment w:val="auto"/>
        <w:rPr>
          <w:caps/>
        </w:rPr>
      </w:pPr>
      <w:r>
        <w:br w:type="page"/>
      </w:r>
    </w:p>
    <w:p w:rsidR="006B63C0" w:rsidRPr="001B078C" w:rsidRDefault="006B63C0" w:rsidP="006B63C0">
      <w:pPr>
        <w:pStyle w:val="TableNo"/>
      </w:pPr>
      <w:r>
        <w:lastRenderedPageBreak/>
        <w:t>Table 8.1</w:t>
      </w:r>
      <w:r w:rsidRPr="001B078C">
        <w:t>.</w:t>
      </w:r>
      <w:r>
        <w:t>4.4</w:t>
      </w:r>
      <w:r w:rsidRPr="001B078C">
        <w:t>-1</w:t>
      </w:r>
    </w:p>
    <w:p w:rsidR="006B63C0" w:rsidRDefault="006B63C0" w:rsidP="006B63C0">
      <w:pPr>
        <w:pStyle w:val="TabletitleBR"/>
      </w:pPr>
      <w:r>
        <w:t xml:space="preserve">Distribution of ITU-R Handbooks on spectrum management and monitoring </w:t>
      </w:r>
    </w:p>
    <w:tbl>
      <w:tblPr>
        <w:tblW w:w="8779" w:type="dxa"/>
        <w:jc w:val="center"/>
        <w:tblLayout w:type="fixed"/>
        <w:tblCellMar>
          <w:left w:w="0" w:type="dxa"/>
          <w:right w:w="0" w:type="dxa"/>
        </w:tblCellMar>
        <w:tblLook w:val="04A0" w:firstRow="1" w:lastRow="0" w:firstColumn="1" w:lastColumn="0" w:noHBand="0" w:noVBand="1"/>
      </w:tblPr>
      <w:tblGrid>
        <w:gridCol w:w="2542"/>
        <w:gridCol w:w="1701"/>
        <w:gridCol w:w="1276"/>
        <w:gridCol w:w="1842"/>
        <w:gridCol w:w="1418"/>
      </w:tblGrid>
      <w:tr w:rsidR="006B63C0" w:rsidTr="009A53E2">
        <w:trPr>
          <w:trHeight w:val="948"/>
          <w:jc w:val="center"/>
        </w:trPr>
        <w:tc>
          <w:tcPr>
            <w:tcW w:w="25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spacing w:after="120"/>
              <w:jc w:val="center"/>
              <w:rPr>
                <w:b/>
                <w:bCs/>
                <w:sz w:val="22"/>
                <w:lang w:val="es-ES" w:eastAsia="zh-CN"/>
              </w:rPr>
            </w:pPr>
            <w:r>
              <w:rPr>
                <w:b/>
                <w:bCs/>
                <w:lang w:val="es-ES"/>
              </w:rPr>
              <w:t>Handbook</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spacing w:after="120"/>
              <w:jc w:val="center"/>
              <w:rPr>
                <w:b/>
                <w:bCs/>
                <w:lang w:val="es-ES"/>
              </w:rPr>
            </w:pPr>
            <w:r>
              <w:rPr>
                <w:b/>
                <w:bCs/>
                <w:lang w:val="es-ES"/>
              </w:rPr>
              <w:t>Sold</w:t>
            </w:r>
            <w:r>
              <w:rPr>
                <w:b/>
                <w:bCs/>
                <w:lang w:val="es-ES"/>
              </w:rPr>
              <w:br/>
              <w:t>2005 to 2Q2013</w:t>
            </w:r>
            <w:r>
              <w:rPr>
                <w:rStyle w:val="FootnoteReference"/>
                <w:b/>
                <w:bCs/>
                <w:szCs w:val="18"/>
                <w:lang w:val="es-ES"/>
              </w:rPr>
              <w:footnoteReference w:customMarkFollows="1" w:id="2"/>
              <w:t>[1]</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spacing w:after="120"/>
              <w:jc w:val="center"/>
              <w:rPr>
                <w:b/>
                <w:bCs/>
                <w:lang w:val="es-ES"/>
              </w:rPr>
            </w:pPr>
            <w:r>
              <w:rPr>
                <w:b/>
                <w:bCs/>
                <w:lang w:val="es-ES"/>
              </w:rPr>
              <w:t>Sold</w:t>
            </w:r>
            <w:r>
              <w:rPr>
                <w:b/>
                <w:bCs/>
                <w:lang w:val="es-ES"/>
              </w:rPr>
              <w:br/>
              <w:t>3Q2013 to 4Q2015</w:t>
            </w:r>
            <w:r>
              <w:rPr>
                <w:rStyle w:val="FootnoteReference"/>
                <w:b/>
                <w:bCs/>
                <w:szCs w:val="18"/>
                <w:lang w:val="es-ES"/>
              </w:rPr>
              <w:footnoteReference w:customMarkFollows="1" w:id="3"/>
              <w:t>[2]</w:t>
            </w:r>
          </w:p>
        </w:tc>
        <w:tc>
          <w:tcPr>
            <w:tcW w:w="1842" w:type="dxa"/>
            <w:tcBorders>
              <w:top w:val="single" w:sz="8" w:space="0" w:color="auto"/>
              <w:left w:val="nil"/>
              <w:bottom w:val="single" w:sz="8" w:space="0" w:color="auto"/>
              <w:right w:val="single" w:sz="8" w:space="0" w:color="auto"/>
            </w:tcBorders>
            <w:vAlign w:val="center"/>
            <w:hideMark/>
          </w:tcPr>
          <w:p w:rsidR="006B63C0" w:rsidRDefault="006B63C0" w:rsidP="009A53E2">
            <w:pPr>
              <w:spacing w:after="120"/>
              <w:jc w:val="center"/>
              <w:rPr>
                <w:b/>
                <w:bCs/>
                <w:lang w:val="es-ES"/>
              </w:rPr>
            </w:pPr>
            <w:r>
              <w:rPr>
                <w:b/>
                <w:bCs/>
                <w:lang w:val="es-ES"/>
              </w:rPr>
              <w:t>Sold</w:t>
            </w:r>
            <w:r>
              <w:rPr>
                <w:b/>
                <w:bCs/>
                <w:lang w:val="es-ES"/>
              </w:rPr>
              <w:br/>
              <w:t>2016</w:t>
            </w:r>
          </w:p>
        </w:tc>
        <w:tc>
          <w:tcPr>
            <w:tcW w:w="14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B63C0" w:rsidRDefault="006B63C0" w:rsidP="009A53E2">
            <w:pPr>
              <w:spacing w:after="120"/>
              <w:jc w:val="center"/>
              <w:rPr>
                <w:b/>
                <w:bCs/>
                <w:lang w:val="es-ES"/>
              </w:rPr>
            </w:pPr>
            <w:r>
              <w:rPr>
                <w:b/>
                <w:bCs/>
                <w:lang w:val="es-ES"/>
              </w:rPr>
              <w:t>Downloads</w:t>
            </w:r>
          </w:p>
        </w:tc>
      </w:tr>
      <w:tr w:rsidR="006B63C0" w:rsidTr="009A53E2">
        <w:trPr>
          <w:trHeight w:val="510"/>
          <w:jc w:val="center"/>
        </w:trPr>
        <w:tc>
          <w:tcPr>
            <w:tcW w:w="254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rPr>
                <w:lang w:val="es-ES"/>
              </w:rPr>
            </w:pPr>
            <w:r>
              <w:rPr>
                <w:lang w:val="es-ES"/>
              </w:rPr>
              <w:t>National Spectrum Management (Ed. 2005 &amp; 2015)</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rPr>
                <w:lang w:val="es-ES"/>
              </w:rPr>
            </w:pPr>
            <w:r>
              <w:rPr>
                <w:lang w:val="es-ES"/>
              </w:rPr>
              <w:t>488</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rPr>
                <w:lang w:val="es-ES"/>
              </w:rPr>
            </w:pPr>
            <w:r>
              <w:rPr>
                <w:lang w:val="es-ES"/>
              </w:rPr>
              <w:t>55</w:t>
            </w:r>
          </w:p>
        </w:tc>
        <w:tc>
          <w:tcPr>
            <w:tcW w:w="1842" w:type="dxa"/>
            <w:tcBorders>
              <w:top w:val="nil"/>
              <w:left w:val="nil"/>
              <w:bottom w:val="single" w:sz="8" w:space="0" w:color="auto"/>
              <w:right w:val="single" w:sz="8" w:space="0" w:color="auto"/>
            </w:tcBorders>
            <w:hideMark/>
          </w:tcPr>
          <w:p w:rsidR="006B63C0" w:rsidRPr="004017F7" w:rsidRDefault="006B63C0" w:rsidP="009A53E2">
            <w:pPr>
              <w:spacing w:after="120"/>
              <w:jc w:val="center"/>
              <w:rPr>
                <w:color w:val="000000" w:themeColor="text1"/>
                <w:lang w:val="es-ES"/>
              </w:rPr>
            </w:pPr>
            <w:r w:rsidRPr="004017F7">
              <w:rPr>
                <w:color w:val="000000" w:themeColor="text1"/>
                <w:lang w:val="es-ES"/>
              </w:rPr>
              <w:t>10</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Pr="004017F7" w:rsidRDefault="006B63C0" w:rsidP="009A53E2">
            <w:pPr>
              <w:spacing w:after="120"/>
              <w:jc w:val="center"/>
              <w:rPr>
                <w:color w:val="000000" w:themeColor="text1"/>
                <w:lang w:val="es-ES"/>
              </w:rPr>
            </w:pPr>
            <w:r w:rsidRPr="004017F7">
              <w:rPr>
                <w:color w:val="000000" w:themeColor="text1"/>
                <w:lang w:val="es-ES"/>
              </w:rPr>
              <w:t>1,596</w:t>
            </w:r>
          </w:p>
        </w:tc>
      </w:tr>
      <w:tr w:rsidR="006B63C0" w:rsidTr="009A53E2">
        <w:trPr>
          <w:trHeight w:val="1650"/>
          <w:jc w:val="center"/>
        </w:trPr>
        <w:tc>
          <w:tcPr>
            <w:tcW w:w="254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rPr>
                <w:lang w:val="en-US"/>
              </w:rPr>
            </w:pPr>
            <w:r>
              <w:t>Computer-aided Techniques for Spectrum Management (CAT) (Ed. 2005 and 2015)</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pPr>
            <w:r>
              <w:rPr>
                <w:lang w:val="es-ES"/>
              </w:rPr>
              <w:t>257</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rPr>
                <w:lang w:val="es-ES"/>
              </w:rPr>
            </w:pPr>
            <w:r>
              <w:rPr>
                <w:lang w:val="es-ES"/>
              </w:rPr>
              <w:t>18</w:t>
            </w:r>
          </w:p>
        </w:tc>
        <w:tc>
          <w:tcPr>
            <w:tcW w:w="1842" w:type="dxa"/>
            <w:tcBorders>
              <w:top w:val="nil"/>
              <w:left w:val="nil"/>
              <w:bottom w:val="single" w:sz="8" w:space="0" w:color="auto"/>
              <w:right w:val="single" w:sz="8" w:space="0" w:color="auto"/>
            </w:tcBorders>
            <w:hideMark/>
          </w:tcPr>
          <w:p w:rsidR="006B63C0" w:rsidRPr="004017F7" w:rsidRDefault="006B63C0" w:rsidP="009A53E2">
            <w:pPr>
              <w:spacing w:after="120"/>
              <w:jc w:val="center"/>
              <w:rPr>
                <w:color w:val="000000" w:themeColor="text1"/>
                <w:lang w:val="es-ES"/>
              </w:rPr>
            </w:pPr>
            <w:r w:rsidRPr="004017F7">
              <w:rPr>
                <w:color w:val="000000" w:themeColor="text1"/>
                <w:lang w:val="es-ES"/>
              </w:rPr>
              <w:t>3</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Pr="004017F7" w:rsidRDefault="006B63C0" w:rsidP="009A53E2">
            <w:pPr>
              <w:spacing w:after="120"/>
              <w:jc w:val="center"/>
              <w:rPr>
                <w:color w:val="000000" w:themeColor="text1"/>
                <w:lang w:val="es-ES"/>
              </w:rPr>
            </w:pPr>
            <w:r w:rsidRPr="004017F7">
              <w:rPr>
                <w:color w:val="000000" w:themeColor="text1"/>
                <w:lang w:val="es-ES"/>
              </w:rPr>
              <w:t>888</w:t>
            </w:r>
          </w:p>
        </w:tc>
      </w:tr>
      <w:tr w:rsidR="006B63C0" w:rsidTr="009A53E2">
        <w:trPr>
          <w:trHeight w:val="630"/>
          <w:jc w:val="center"/>
        </w:trPr>
        <w:tc>
          <w:tcPr>
            <w:tcW w:w="254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rPr>
                <w:lang w:val="es-ES"/>
              </w:rPr>
            </w:pPr>
            <w:r>
              <w:rPr>
                <w:lang w:val="es-ES"/>
              </w:rPr>
              <w:t>Spectrum Monitoring, Ed. 2011</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rPr>
                <w:lang w:val="es-ES"/>
              </w:rPr>
            </w:pPr>
            <w:r>
              <w:rPr>
                <w:lang w:val="es-ES"/>
              </w:rPr>
              <w:t>139</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rPr>
                <w:lang w:val="es-ES"/>
              </w:rPr>
            </w:pPr>
            <w:r>
              <w:rPr>
                <w:lang w:val="es-ES"/>
              </w:rPr>
              <w:t>106</w:t>
            </w:r>
          </w:p>
        </w:tc>
        <w:tc>
          <w:tcPr>
            <w:tcW w:w="1842" w:type="dxa"/>
            <w:tcBorders>
              <w:top w:val="nil"/>
              <w:left w:val="nil"/>
              <w:bottom w:val="single" w:sz="8" w:space="0" w:color="auto"/>
              <w:right w:val="single" w:sz="8" w:space="0" w:color="auto"/>
            </w:tcBorders>
            <w:hideMark/>
          </w:tcPr>
          <w:p w:rsidR="006B63C0" w:rsidRPr="004017F7" w:rsidRDefault="006B63C0" w:rsidP="009A53E2">
            <w:pPr>
              <w:spacing w:after="120"/>
              <w:jc w:val="center"/>
              <w:rPr>
                <w:color w:val="000000" w:themeColor="text1"/>
                <w:lang w:val="es-ES"/>
              </w:rPr>
            </w:pPr>
            <w:r w:rsidRPr="004017F7">
              <w:rPr>
                <w:color w:val="000000" w:themeColor="text1"/>
                <w:lang w:val="es-ES"/>
              </w:rPr>
              <w:t>3</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Pr="004017F7" w:rsidRDefault="006B63C0" w:rsidP="009A53E2">
            <w:pPr>
              <w:spacing w:after="120"/>
              <w:jc w:val="center"/>
              <w:rPr>
                <w:color w:val="000000" w:themeColor="text1"/>
                <w:lang w:val="es-ES"/>
              </w:rPr>
            </w:pPr>
            <w:r w:rsidRPr="004017F7">
              <w:rPr>
                <w:color w:val="000000" w:themeColor="text1"/>
                <w:lang w:val="es-ES"/>
              </w:rPr>
              <w:t>3675</w:t>
            </w:r>
          </w:p>
        </w:tc>
      </w:tr>
      <w:tr w:rsidR="006B63C0" w:rsidTr="009A53E2">
        <w:trPr>
          <w:trHeight w:val="570"/>
          <w:jc w:val="center"/>
        </w:trPr>
        <w:tc>
          <w:tcPr>
            <w:tcW w:w="254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rPr>
                <w:b/>
                <w:bCs/>
                <w:lang w:val="es-ES"/>
              </w:rPr>
            </w:pPr>
            <w:r>
              <w:rPr>
                <w:b/>
                <w:bCs/>
                <w:lang w:val="es-ES"/>
              </w:rPr>
              <w:t>Grand Total</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rPr>
                <w:b/>
                <w:bCs/>
                <w:lang w:val="es-ES"/>
              </w:rPr>
            </w:pPr>
            <w:r>
              <w:rPr>
                <w:b/>
                <w:bCs/>
                <w:lang w:val="es-ES"/>
              </w:rPr>
              <w:t>884</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Default="006B63C0" w:rsidP="009A53E2">
            <w:pPr>
              <w:spacing w:after="120"/>
              <w:jc w:val="center"/>
              <w:rPr>
                <w:b/>
                <w:bCs/>
                <w:lang w:val="es-ES"/>
              </w:rPr>
            </w:pPr>
            <w:r>
              <w:rPr>
                <w:b/>
                <w:bCs/>
                <w:lang w:val="es-ES"/>
              </w:rPr>
              <w:t>179</w:t>
            </w:r>
          </w:p>
        </w:tc>
        <w:tc>
          <w:tcPr>
            <w:tcW w:w="1842" w:type="dxa"/>
            <w:tcBorders>
              <w:top w:val="nil"/>
              <w:left w:val="nil"/>
              <w:bottom w:val="single" w:sz="8" w:space="0" w:color="auto"/>
              <w:right w:val="single" w:sz="8" w:space="0" w:color="auto"/>
            </w:tcBorders>
            <w:hideMark/>
          </w:tcPr>
          <w:p w:rsidR="006B63C0" w:rsidRPr="004017F7" w:rsidRDefault="006B63C0" w:rsidP="009A53E2">
            <w:pPr>
              <w:spacing w:after="120"/>
              <w:jc w:val="center"/>
              <w:rPr>
                <w:b/>
                <w:bCs/>
                <w:color w:val="000000" w:themeColor="text1"/>
                <w:lang w:val="es-ES"/>
              </w:rPr>
            </w:pPr>
            <w:r w:rsidRPr="004017F7">
              <w:rPr>
                <w:b/>
                <w:bCs/>
                <w:color w:val="000000" w:themeColor="text1"/>
                <w:lang w:val="es-ES"/>
              </w:rPr>
              <w:t>16</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6B63C0" w:rsidRPr="004017F7" w:rsidRDefault="006B63C0" w:rsidP="009A53E2">
            <w:pPr>
              <w:spacing w:after="120"/>
              <w:jc w:val="center"/>
              <w:rPr>
                <w:b/>
                <w:bCs/>
                <w:color w:val="000000" w:themeColor="text1"/>
                <w:lang w:val="es-ES"/>
              </w:rPr>
            </w:pPr>
            <w:r w:rsidRPr="004017F7">
              <w:rPr>
                <w:b/>
                <w:bCs/>
                <w:color w:val="000000" w:themeColor="text1"/>
                <w:lang w:val="es-ES"/>
              </w:rPr>
              <w:t>6,159</w:t>
            </w:r>
          </w:p>
        </w:tc>
      </w:tr>
    </w:tbl>
    <w:p w:rsidR="006B63C0" w:rsidRDefault="006B63C0" w:rsidP="006B63C0"/>
    <w:p w:rsidR="006B63C0" w:rsidRPr="00887D8D" w:rsidRDefault="006B63C0" w:rsidP="006B63C0">
      <w:pPr>
        <w:rPr>
          <w:szCs w:val="24"/>
        </w:rPr>
      </w:pPr>
      <w:r w:rsidRPr="00887D8D">
        <w:rPr>
          <w:szCs w:val="24"/>
        </w:rPr>
        <w:t xml:space="preserve">These numbers illustrate the very positive impact of this decision for the dissemination of </w:t>
      </w:r>
      <w:r>
        <w:rPr>
          <w:szCs w:val="24"/>
        </w:rPr>
        <w:t>the ITU</w:t>
      </w:r>
      <w:r>
        <w:rPr>
          <w:szCs w:val="24"/>
        </w:rPr>
        <w:noBreakHyphen/>
      </w:r>
      <w:r w:rsidRPr="00887D8D">
        <w:rPr>
          <w:szCs w:val="24"/>
        </w:rPr>
        <w:t>R Handbooks:</w:t>
      </w:r>
    </w:p>
    <w:p w:rsidR="006B63C0" w:rsidRPr="00887D8D" w:rsidRDefault="006B63C0" w:rsidP="006B63C0">
      <w:pPr>
        <w:pStyle w:val="enumlev1"/>
      </w:pPr>
      <w:r w:rsidRPr="00887D8D">
        <w:t>–</w:t>
      </w:r>
      <w:r w:rsidRPr="00887D8D">
        <w:tab/>
      </w:r>
      <w:r>
        <w:t xml:space="preserve">within </w:t>
      </w:r>
      <w:r>
        <w:rPr>
          <w:color w:val="1F497D"/>
        </w:rPr>
        <w:t>3</w:t>
      </w:r>
      <w:r>
        <w:t>.5 years (June 2013 to December 201</w:t>
      </w:r>
      <w:r>
        <w:rPr>
          <w:color w:val="1F497D"/>
        </w:rPr>
        <w:t>6</w:t>
      </w:r>
      <w:r>
        <w:t xml:space="preserve">), the number of downloads was almost ten times the number of handbooks sold previously in </w:t>
      </w:r>
      <w:r>
        <w:rPr>
          <w:color w:val="1F497D"/>
        </w:rPr>
        <w:t>9</w:t>
      </w:r>
      <w:r>
        <w:t>.5 years;</w:t>
      </w:r>
    </w:p>
    <w:p w:rsidR="006B63C0" w:rsidRPr="00887D8D" w:rsidRDefault="006B63C0" w:rsidP="006B63C0">
      <w:pPr>
        <w:pStyle w:val="enumlev1"/>
      </w:pPr>
      <w:r w:rsidRPr="00887D8D">
        <w:t>–</w:t>
      </w:r>
      <w:r w:rsidRPr="00887D8D">
        <w:tab/>
        <w:t xml:space="preserve">since the free on-line access policy decision, downloads represent </w:t>
      </w:r>
      <w:r>
        <w:t>more than</w:t>
      </w:r>
      <w:r w:rsidRPr="00887D8D">
        <w:t xml:space="preserve"> 9</w:t>
      </w:r>
      <w:r>
        <w:t>9</w:t>
      </w:r>
      <w:r w:rsidRPr="00887D8D">
        <w:t>% of total deliveries;</w:t>
      </w:r>
    </w:p>
    <w:p w:rsidR="006B63C0" w:rsidRPr="00090142" w:rsidRDefault="006B63C0" w:rsidP="006B63C0">
      <w:pPr>
        <w:pStyle w:val="enumlev1"/>
      </w:pPr>
      <w:r w:rsidRPr="00887D8D">
        <w:t>–</w:t>
      </w:r>
      <w:r w:rsidRPr="00887D8D">
        <w:tab/>
        <w:t>these downloads come from all 193 Member States.</w:t>
      </w:r>
    </w:p>
    <w:p w:rsidR="006B63C0" w:rsidRPr="00ED04B0" w:rsidRDefault="006B63C0" w:rsidP="006B63C0">
      <w:pPr>
        <w:pStyle w:val="Heading3"/>
      </w:pPr>
      <w:r w:rsidRPr="00ED04B0">
        <w:t>8.1.5</w:t>
      </w:r>
      <w:r w:rsidRPr="00ED04B0">
        <w:tab/>
        <w:t>Navigation and analysis tools for ITU-R electronic publications</w:t>
      </w:r>
      <w:bookmarkEnd w:id="43"/>
      <w:bookmarkEnd w:id="44"/>
    </w:p>
    <w:p w:rsidR="006B63C0" w:rsidRDefault="006B63C0" w:rsidP="006B63C0">
      <w:pPr>
        <w:pStyle w:val="Heading4"/>
      </w:pPr>
      <w:r w:rsidRPr="00ED04B0">
        <w:t>8.1.5.1</w:t>
      </w:r>
      <w:r w:rsidRPr="00ED04B0">
        <w:tab/>
        <w:t>Radio Regulations tools</w:t>
      </w:r>
    </w:p>
    <w:p w:rsidR="006B63C0" w:rsidRPr="00903657" w:rsidRDefault="006B63C0" w:rsidP="006B63C0">
      <w:r w:rsidRPr="00903657">
        <w:t>The Bureau is developing software tools to facilitate the use and analysis of the Radio Regulations:</w:t>
      </w:r>
    </w:p>
    <w:p w:rsidR="006B63C0" w:rsidRPr="00B166E9" w:rsidRDefault="006B63C0" w:rsidP="006B63C0">
      <w:pPr>
        <w:pStyle w:val="enumlev1"/>
      </w:pPr>
      <w:r>
        <w:t>a)</w:t>
      </w:r>
      <w:r>
        <w:tab/>
      </w:r>
      <w:r w:rsidRPr="00B166E9">
        <w:t xml:space="preserve">The </w:t>
      </w:r>
      <w:r>
        <w:t>the Radio Regulation Navigation</w:t>
      </w:r>
      <w:r w:rsidRPr="00AA453D">
        <w:t xml:space="preserve"> </w:t>
      </w:r>
      <w:r>
        <w:t>Tool (RR-12 version), which was presented to RAG</w:t>
      </w:r>
      <w:r>
        <w:noBreakHyphen/>
        <w:t xml:space="preserve">16, was made available </w:t>
      </w:r>
      <w:r w:rsidRPr="00B166E9">
        <w:t>for subscription</w:t>
      </w:r>
      <w:r>
        <w:t xml:space="preserve"> in October 2016. It includes a free upgrade to </w:t>
      </w:r>
      <w:r w:rsidRPr="00B166E9">
        <w:t xml:space="preserve">RR-16 when it becomes available. The new RR-16 version is expected to be available in English on Windows, macOS and Linux, during the first quarter of 2017, once the </w:t>
      </w:r>
      <w:r>
        <w:t>new Rules of Procedure (</w:t>
      </w:r>
      <w:r w:rsidRPr="00B166E9">
        <w:t>RoP-17</w:t>
      </w:r>
      <w:r>
        <w:t>)</w:t>
      </w:r>
      <w:r w:rsidRPr="00B166E9">
        <w:t xml:space="preserve"> are </w:t>
      </w:r>
      <w:r>
        <w:t xml:space="preserve">published </w:t>
      </w:r>
      <w:r w:rsidRPr="00B166E9">
        <w:t>and incorporated in the package.</w:t>
      </w:r>
    </w:p>
    <w:p w:rsidR="006B63C0" w:rsidRPr="007F5340" w:rsidRDefault="006B63C0" w:rsidP="006B63C0">
      <w:pPr>
        <w:pStyle w:val="enumlev1"/>
        <w:rPr>
          <w:szCs w:val="24"/>
        </w:rPr>
      </w:pPr>
      <w:r>
        <w:t>b)</w:t>
      </w:r>
      <w:r>
        <w:tab/>
      </w:r>
      <w:r w:rsidRPr="00F449C0">
        <w:t xml:space="preserve">A software tool to conduct detailed search and analysis of the Table of Frequency Allocations of Article </w:t>
      </w:r>
      <w:r w:rsidRPr="0024532E">
        <w:rPr>
          <w:b/>
          <w:bCs/>
        </w:rPr>
        <w:t>5</w:t>
      </w:r>
      <w:r w:rsidRPr="00F449C0">
        <w:t xml:space="preserve"> of the Radio Regulations, enabling filtering and reformatting by frequency range, service, category of service, footnote, country, etc. The development of this tool has reached a Beta-Test delivery phase, incorporating the changes resulting from </w:t>
      </w:r>
      <w:r w:rsidRPr="00F449C0">
        <w:lastRenderedPageBreak/>
        <w:t>WRC-15. The tool was presented to the membership during WRS-16, and a group of “volunteers beta test users” including users from the membership has been established accordingly. The beta test phase will be of around 4 months</w:t>
      </w:r>
      <w:r>
        <w:t>, starting from March 2017. The</w:t>
      </w:r>
      <w:r w:rsidRPr="00F449C0">
        <w:t>collected comments and suggestions will then be taken into account in order to enhance the package before its official release which is foreseen for September/October 2017.</w:t>
      </w:r>
    </w:p>
    <w:p w:rsidR="006B63C0" w:rsidRPr="000B1568" w:rsidRDefault="006B63C0" w:rsidP="006B63C0">
      <w:pPr>
        <w:pStyle w:val="Heading4"/>
      </w:pPr>
      <w:r w:rsidRPr="00ED04B0">
        <w:t>8.1.5.2</w:t>
      </w:r>
      <w:r w:rsidRPr="00ED04B0">
        <w:tab/>
        <w:t>ITU-R Recommendations, Reports, Resolutions and Questions database search tool</w:t>
      </w:r>
    </w:p>
    <w:p w:rsidR="006B63C0" w:rsidRDefault="006B63C0" w:rsidP="002C6B86">
      <w:r w:rsidRPr="00E81F83">
        <w:t>At its 19</w:t>
      </w:r>
      <w:r w:rsidRPr="00B558D3">
        <w:rPr>
          <w:vertAlign w:val="superscript"/>
        </w:rPr>
        <w:t>th</w:t>
      </w:r>
      <w:r w:rsidRPr="00E81F83">
        <w:t xml:space="preserve"> meeting, the RAG invited the BR Director to develop a database, within existing budgetary limitations, that would enable ITU-R Recommendations to be searched and filtered by categories such as the radiocommunication service(s) and applicable frequency band.</w:t>
      </w:r>
    </w:p>
    <w:p w:rsidR="006B63C0" w:rsidRPr="000429AB" w:rsidRDefault="006B63C0" w:rsidP="002C6B86">
      <w:r w:rsidRPr="000429AB">
        <w:t>With the kind support of a voluntary contribution and of experts from the Japanese Administration, the development of the ITU-R documents database search facility has progressed, in parallel with ITU’s on-going migration to the new Share</w:t>
      </w:r>
      <w:r>
        <w:t>P</w:t>
      </w:r>
      <w:r w:rsidRPr="000429AB">
        <w:t>oint platform.</w:t>
      </w:r>
    </w:p>
    <w:p w:rsidR="006B63C0" w:rsidRPr="000429AB" w:rsidRDefault="006B63C0" w:rsidP="002C6B86">
      <w:r w:rsidRPr="000429AB">
        <w:t xml:space="preserve">In collaboration with ITU’s IS Department, the search tool for ITU-R Recommendations and ITU-R Questions became </w:t>
      </w:r>
      <w:r w:rsidRPr="000429AB">
        <w:rPr>
          <w:bCs/>
        </w:rPr>
        <w:t>operational in October 2015</w:t>
      </w:r>
      <w:r>
        <w:t>;</w:t>
      </w:r>
      <w:r w:rsidRPr="000429AB">
        <w:t xml:space="preserve"> a search tool for the ITU-R Reports became available as a demonstration version in November 2015, and search tools for the ITU-R Resolutions and the Handbooks became available during the 2</w:t>
      </w:r>
      <w:r w:rsidRPr="000429AB">
        <w:rPr>
          <w:vertAlign w:val="superscript"/>
        </w:rPr>
        <w:t>nd</w:t>
      </w:r>
      <w:r>
        <w:t xml:space="preserve"> </w:t>
      </w:r>
      <w:r w:rsidRPr="000429AB">
        <w:t>quarter of 2016.</w:t>
      </w:r>
    </w:p>
    <w:p w:rsidR="006B63C0" w:rsidRPr="000429AB" w:rsidRDefault="006B63C0" w:rsidP="002C6B86">
      <w:r w:rsidRPr="000429AB">
        <w:t xml:space="preserve">The main focus of this work is </w:t>
      </w:r>
      <w:r>
        <w:t xml:space="preserve">now </w:t>
      </w:r>
      <w:r w:rsidRPr="000429AB">
        <w:t>to develop the working procedures</w:t>
      </w:r>
      <w:r>
        <w:t xml:space="preserve"> and to specify </w:t>
      </w:r>
      <w:r w:rsidRPr="000429AB">
        <w:t>roles and responsibilities of ITU/BR and ITU-R SGs/WPs to maintain the database.</w:t>
      </w:r>
    </w:p>
    <w:p w:rsidR="006B63C0" w:rsidRPr="000429AB" w:rsidRDefault="006B63C0" w:rsidP="002C6B86">
      <w:r w:rsidRPr="000429AB">
        <w:t xml:space="preserve">The database </w:t>
      </w:r>
      <w:r>
        <w:t>was initially</w:t>
      </w:r>
      <w:r w:rsidRPr="000429AB">
        <w:t xml:space="preserve"> only accessible to TIES users. </w:t>
      </w:r>
      <w:r>
        <w:t>It is now</w:t>
      </w:r>
      <w:r w:rsidRPr="000429AB">
        <w:t xml:space="preserve"> being moved to a public server</w:t>
      </w:r>
      <w:r>
        <w:t xml:space="preserve"> (</w:t>
      </w:r>
      <w:hyperlink r:id="rId25" w:history="1">
        <w:r w:rsidRPr="007B2DB2">
          <w:rPr>
            <w:rStyle w:val="Hyperlink"/>
            <w:szCs w:val="24"/>
          </w:rPr>
          <w:t>www.itu.int/brdocsearch</w:t>
        </w:r>
      </w:hyperlink>
      <w:r>
        <w:rPr>
          <w:rFonts w:ascii="Comic Sans MS" w:hAnsi="Comic Sans MS"/>
          <w:color w:val="1F3864"/>
          <w:sz w:val="20"/>
        </w:rPr>
        <w:t>)</w:t>
      </w:r>
      <w:r w:rsidRPr="000429AB">
        <w:t xml:space="preserve">, so that it </w:t>
      </w:r>
      <w:r>
        <w:t xml:space="preserve">will be </w:t>
      </w:r>
      <w:r w:rsidRPr="000429AB">
        <w:t xml:space="preserve">accessible to the public and </w:t>
      </w:r>
      <w:r>
        <w:t xml:space="preserve">therefore </w:t>
      </w:r>
      <w:r w:rsidRPr="000429AB">
        <w:t>a TIES login will no longer be required.</w:t>
      </w:r>
    </w:p>
    <w:p w:rsidR="006B63C0" w:rsidRDefault="006B63C0" w:rsidP="002C6B86">
      <w:r w:rsidRPr="000429AB">
        <w:t>The whole project will be completed by 30 June 2017. Once again, the support of the Japanese Administration in bringing this project to a successful conclusion is greatly appreciated.</w:t>
      </w:r>
    </w:p>
    <w:p w:rsidR="006B63C0" w:rsidRDefault="006B63C0" w:rsidP="006B63C0">
      <w:pPr>
        <w:pStyle w:val="Heading2"/>
      </w:pPr>
      <w:bookmarkStart w:id="45" w:name="_Toc424047601"/>
      <w:bookmarkStart w:id="46" w:name="_Toc446060783"/>
      <w:r w:rsidRPr="00ED04B0">
        <w:t>8.2</w:t>
      </w:r>
      <w:r w:rsidRPr="00ED04B0">
        <w:tab/>
        <w:t>Seminars and workshops</w:t>
      </w:r>
      <w:bookmarkEnd w:id="45"/>
      <w:bookmarkEnd w:id="46"/>
    </w:p>
    <w:p w:rsidR="006B63C0" w:rsidRPr="00B33918" w:rsidRDefault="006B63C0" w:rsidP="002C6B86">
      <w:r>
        <w:t xml:space="preserve">Following WRC-15, BR started (as of January 2016) a new intra-WRCs World and Regional Radio Seminars cycle, aimed at disseminating worldwide the revision of the Radio Regulations made byWRC-15 and the associated Rules of Procedure. </w:t>
      </w:r>
    </w:p>
    <w:p w:rsidR="006B63C0" w:rsidRPr="002A4318" w:rsidRDefault="006B63C0" w:rsidP="006B63C0">
      <w:pPr>
        <w:pStyle w:val="Heading3"/>
      </w:pPr>
      <w:bookmarkStart w:id="47" w:name="_Toc424047602"/>
      <w:bookmarkStart w:id="48" w:name="_Toc446060784"/>
      <w:r w:rsidRPr="00ED04B0">
        <w:t>8.2.1</w:t>
      </w:r>
      <w:r w:rsidRPr="00ED04B0">
        <w:tab/>
        <w:t>World Radiocommunication Seminars (WRS)</w:t>
      </w:r>
      <w:bookmarkEnd w:id="47"/>
      <w:bookmarkEnd w:id="48"/>
    </w:p>
    <w:p w:rsidR="006B63C0" w:rsidRPr="00C67232" w:rsidRDefault="006B63C0" w:rsidP="006B63C0">
      <w:r>
        <w:t>T</w:t>
      </w:r>
      <w:r w:rsidRPr="00C67232">
        <w:t>he traditional biennial WRS was conducted in Geneva</w:t>
      </w:r>
      <w:r>
        <w:t>, in December 2016. It was attended by 453 </w:t>
      </w:r>
      <w:r w:rsidRPr="00C67232">
        <w:t>participants from 109 countries</w:t>
      </w:r>
      <w:r>
        <w:t>.</w:t>
      </w:r>
    </w:p>
    <w:p w:rsidR="006B63C0" w:rsidRPr="00C67232" w:rsidRDefault="006B63C0" w:rsidP="006B63C0">
      <w:r w:rsidRPr="00C67232">
        <w:t xml:space="preserve">The presentations and discussions were in the six official languages of the ITU with simultaneous interpretation. Three-day workshops were held in parallel for both terrestrial and space services. Groups were divided up in accordance with the language requirements and available facilities. WRS-16 was conducted in a “paperless” environment. The proceedings are available on the ITU website: </w:t>
      </w:r>
      <w:hyperlink r:id="rId26" w:history="1">
        <w:r w:rsidRPr="00C67232">
          <w:rPr>
            <w:rStyle w:val="Hyperlink"/>
          </w:rPr>
          <w:t>http://www.itu.int/ITU R/go/seminars</w:t>
        </w:r>
      </w:hyperlink>
      <w:r w:rsidRPr="00C67232">
        <w:t xml:space="preserve">. </w:t>
      </w:r>
    </w:p>
    <w:p w:rsidR="006B63C0" w:rsidRPr="000C4608" w:rsidRDefault="006B63C0" w:rsidP="006B63C0">
      <w:pPr>
        <w:rPr>
          <w:szCs w:val="24"/>
        </w:rPr>
      </w:pPr>
      <w:r w:rsidRPr="00C67232">
        <w:t xml:space="preserve">The BR provided </w:t>
      </w:r>
      <w:r>
        <w:t xml:space="preserve">more than 100 </w:t>
      </w:r>
      <w:r w:rsidRPr="00C67232">
        <w:t>full fellowships for</w:t>
      </w:r>
      <w:r>
        <w:t xml:space="preserve"> the </w:t>
      </w:r>
      <w:r w:rsidRPr="00C67232">
        <w:t>WRS (</w:t>
      </w:r>
      <w:r>
        <w:t xml:space="preserve">the granting of fellowships was </w:t>
      </w:r>
      <w:r w:rsidRPr="00C67232">
        <w:t>limited to one per administration for eligible countries).</w:t>
      </w:r>
    </w:p>
    <w:p w:rsidR="006B63C0" w:rsidRPr="00392C77" w:rsidRDefault="006B63C0" w:rsidP="006B63C0">
      <w:pPr>
        <w:pStyle w:val="Heading3"/>
      </w:pPr>
      <w:bookmarkStart w:id="49" w:name="_Toc424047603"/>
      <w:bookmarkStart w:id="50" w:name="_Toc446060785"/>
      <w:r w:rsidRPr="00ED04B0">
        <w:t>8.2.2</w:t>
      </w:r>
      <w:r w:rsidRPr="00ED04B0">
        <w:tab/>
        <w:t>Regional Radiocommunication Seminars (RRS)</w:t>
      </w:r>
      <w:bookmarkEnd w:id="49"/>
      <w:bookmarkEnd w:id="50"/>
    </w:p>
    <w:p w:rsidR="006B63C0" w:rsidRPr="000C4608" w:rsidRDefault="006B63C0" w:rsidP="006B63C0">
      <w:r w:rsidRPr="000C4608">
        <w:t xml:space="preserve">As a complement to the biennial Word Radiocommunication Seminars, the BR </w:t>
      </w:r>
      <w:r>
        <w:t>kept</w:t>
      </w:r>
      <w:r w:rsidRPr="000C4608">
        <w:t xml:space="preserve"> implement</w:t>
      </w:r>
      <w:r>
        <w:t>ing</w:t>
      </w:r>
      <w:r w:rsidRPr="000C4608">
        <w:t xml:space="preserve"> </w:t>
      </w:r>
      <w:r>
        <w:t>its</w:t>
      </w:r>
      <w:r w:rsidRPr="000C4608">
        <w:t xml:space="preserve"> strategy for regional outreach through the organization of yearly cycles of Regional Radiocommunication Seminars (RRS), held in different regions worldwide, fostering human capacity building on the use of the radio-frequency spectru</w:t>
      </w:r>
      <w:r>
        <w:t xml:space="preserve">m and the satellite orbits, in particular </w:t>
      </w:r>
      <w:r w:rsidRPr="000C4608">
        <w:t xml:space="preserve">the application of the provisions of the ITU Radio Regulations. </w:t>
      </w:r>
    </w:p>
    <w:p w:rsidR="006B63C0" w:rsidRPr="00E85D03" w:rsidRDefault="006B63C0" w:rsidP="006B63C0">
      <w:pPr>
        <w:rPr>
          <w:szCs w:val="24"/>
        </w:rPr>
      </w:pPr>
      <w:r>
        <w:lastRenderedPageBreak/>
        <w:t>RRSs</w:t>
      </w:r>
      <w:r w:rsidRPr="000C4608">
        <w:t xml:space="preserve"> include two days of theoretical sessions and </w:t>
      </w:r>
      <w:r>
        <w:t xml:space="preserve">one or </w:t>
      </w:r>
      <w:r w:rsidRPr="000C4608">
        <w:t>two days of workshops on</w:t>
      </w:r>
      <w:r>
        <w:t xml:space="preserve"> terrestrial and space services</w:t>
      </w:r>
      <w:r w:rsidRPr="000C4608">
        <w:t>. RRSs are complemented with a one</w:t>
      </w:r>
      <w:r>
        <w:t xml:space="preserve"> or two</w:t>
      </w:r>
      <w:r w:rsidRPr="000C4608">
        <w:t>-day forum, dedicated to spectrum-related topics of particular interest to the region.</w:t>
      </w:r>
      <w:r w:rsidRPr="00E22716">
        <w:t xml:space="preserve"> </w:t>
      </w:r>
    </w:p>
    <w:p w:rsidR="006B63C0" w:rsidRDefault="006B63C0" w:rsidP="006B63C0">
      <w:r>
        <w:t>Table 8</w:t>
      </w:r>
      <w:r w:rsidRPr="000C4608">
        <w:t>.2.2-1 provides a summary of the</w:t>
      </w:r>
      <w:r>
        <w:t xml:space="preserve"> </w:t>
      </w:r>
      <w:r w:rsidRPr="000C4608">
        <w:t>RRS</w:t>
      </w:r>
      <w:r>
        <w:t>s</w:t>
      </w:r>
      <w:r w:rsidRPr="000C4608">
        <w:t xml:space="preserve"> held </w:t>
      </w:r>
      <w:r>
        <w:t>in the last four-year period</w:t>
      </w:r>
      <w:r w:rsidRPr="000C4608">
        <w:t xml:space="preserve">. These seminars </w:t>
      </w:r>
      <w:r>
        <w:t>were</w:t>
      </w:r>
      <w:r w:rsidRPr="000C4608">
        <w:t xml:space="preserve"> hosted by the government, the regulator or the spectrum management authority </w:t>
      </w:r>
      <w:r>
        <w:t>of t</w:t>
      </w:r>
      <w:r w:rsidRPr="000C4608">
        <w:t xml:space="preserve">he </w:t>
      </w:r>
      <w:r>
        <w:t xml:space="preserve">host </w:t>
      </w:r>
      <w:r w:rsidRPr="00887D8D">
        <w:t xml:space="preserve">country, in cooperation with the relevant regional organizations and the ITU regional/areas offices. RRS were conducted in a “paperless” environment. The proceedings are available on the ITU website: </w:t>
      </w:r>
      <w:hyperlink r:id="rId27" w:history="1">
        <w:r w:rsidRPr="00E85D03">
          <w:rPr>
            <w:rStyle w:val="Hyperlink"/>
            <w:szCs w:val="24"/>
          </w:rPr>
          <w:t>http://www.itu.int/ITU-R/go/seminars</w:t>
        </w:r>
      </w:hyperlink>
      <w:r w:rsidRPr="00887D8D">
        <w:t xml:space="preserve">. </w:t>
      </w:r>
      <w:r w:rsidRPr="00AF595C">
        <w:t xml:space="preserve">The BR provided </w:t>
      </w:r>
      <w:r>
        <w:t xml:space="preserve">more than 50 </w:t>
      </w:r>
      <w:r w:rsidRPr="00AF595C">
        <w:t>partial fellowships for RRS (only one per administration for eligible countries).</w:t>
      </w:r>
    </w:p>
    <w:p w:rsidR="006B63C0" w:rsidRPr="000C4608" w:rsidRDefault="006B63C0" w:rsidP="006B63C0">
      <w:r w:rsidRPr="000C4608">
        <w:t>An analysis of the participation in WRSs and RRSs shows that these two types of seminars complement each other:</w:t>
      </w:r>
    </w:p>
    <w:p w:rsidR="006B63C0" w:rsidRPr="00B558D3" w:rsidRDefault="006B63C0" w:rsidP="006B63C0">
      <w:pPr>
        <w:pStyle w:val="enumlev1"/>
      </w:pPr>
      <w:r w:rsidRPr="00B558D3">
        <w:t>–</w:t>
      </w:r>
      <w:r w:rsidRPr="00B558D3">
        <w:tab/>
      </w:r>
      <w:r w:rsidRPr="00B558D3">
        <w:rPr>
          <w:b/>
          <w:bCs/>
        </w:rPr>
        <w:t>In two WRSs</w:t>
      </w:r>
      <w:r w:rsidRPr="00B558D3">
        <w:t>: 810 participants from 130 countries (including 47 not coming to RRS)</w:t>
      </w:r>
    </w:p>
    <w:p w:rsidR="006B63C0" w:rsidRPr="00B558D3" w:rsidRDefault="006B63C0" w:rsidP="006B63C0">
      <w:pPr>
        <w:pStyle w:val="enumlev1"/>
      </w:pPr>
      <w:r w:rsidRPr="00B558D3">
        <w:t>–</w:t>
      </w:r>
      <w:r w:rsidRPr="00B558D3">
        <w:tab/>
      </w:r>
      <w:r w:rsidRPr="00B558D3">
        <w:rPr>
          <w:b/>
          <w:bCs/>
        </w:rPr>
        <w:t>In twelve RRSs</w:t>
      </w:r>
      <w:r w:rsidRPr="00B558D3">
        <w:t>: 903 participants from 122 countries (including 40 not coming to WRS)</w:t>
      </w:r>
    </w:p>
    <w:p w:rsidR="006B63C0" w:rsidRPr="00B558D3" w:rsidRDefault="006B63C0" w:rsidP="006B63C0">
      <w:pPr>
        <w:pStyle w:val="enumlev1"/>
      </w:pPr>
      <w:r w:rsidRPr="00B558D3">
        <w:t>–</w:t>
      </w:r>
      <w:r w:rsidRPr="00B558D3">
        <w:tab/>
      </w:r>
      <w:r w:rsidRPr="00B558D3">
        <w:rPr>
          <w:b/>
          <w:bCs/>
        </w:rPr>
        <w:t>Total</w:t>
      </w:r>
      <w:r w:rsidRPr="00B558D3">
        <w:t>: 14 seminars, 1713 participants from 169 countries.</w:t>
      </w:r>
    </w:p>
    <w:p w:rsidR="006B63C0" w:rsidRDefault="006B63C0" w:rsidP="006B63C0">
      <w:pPr>
        <w:pStyle w:val="enumlev1"/>
        <w:rPr>
          <w:szCs w:val="24"/>
        </w:rPr>
      </w:pPr>
    </w:p>
    <w:p w:rsidR="006B63C0" w:rsidRPr="00E85D03" w:rsidRDefault="006B63C0" w:rsidP="006B63C0">
      <w:pPr>
        <w:jc w:val="both"/>
        <w:rPr>
          <w:szCs w:val="24"/>
        </w:rPr>
      </w:pPr>
    </w:p>
    <w:p w:rsidR="006B63C0" w:rsidRDefault="006B63C0" w:rsidP="006B63C0">
      <w:pPr>
        <w:pStyle w:val="enumlev1"/>
        <w:rPr>
          <w:szCs w:val="24"/>
        </w:rPr>
      </w:pPr>
    </w:p>
    <w:p w:rsidR="006B63C0" w:rsidRPr="000C4608" w:rsidRDefault="006B63C0" w:rsidP="006B63C0">
      <w:pPr>
        <w:pStyle w:val="enumlev1"/>
        <w:rPr>
          <w:szCs w:val="24"/>
        </w:rPr>
      </w:pPr>
    </w:p>
    <w:p w:rsidR="006B63C0" w:rsidRPr="000C4608" w:rsidRDefault="006B63C0" w:rsidP="006B63C0">
      <w:pPr>
        <w:rPr>
          <w:szCs w:val="24"/>
        </w:rPr>
        <w:sectPr w:rsidR="006B63C0" w:rsidRPr="000C4608" w:rsidSect="009A53E2">
          <w:headerReference w:type="even" r:id="rId28"/>
          <w:headerReference w:type="default" r:id="rId29"/>
          <w:footerReference w:type="even" r:id="rId30"/>
          <w:footerReference w:type="default" r:id="rId31"/>
          <w:footerReference w:type="first" r:id="rId32"/>
          <w:pgSz w:w="11907" w:h="16834"/>
          <w:pgMar w:top="1418" w:right="1134" w:bottom="1418" w:left="1134" w:header="720" w:footer="720" w:gutter="0"/>
          <w:paperSrc w:first="15" w:other="15"/>
          <w:cols w:space="720"/>
          <w:titlePg/>
          <w:docGrid w:linePitch="326"/>
        </w:sectPr>
      </w:pPr>
    </w:p>
    <w:p w:rsidR="006B63C0" w:rsidRDefault="006B63C0" w:rsidP="006B63C0">
      <w:pPr>
        <w:pStyle w:val="TableNo"/>
        <w:rPr>
          <w:lang w:val="en-US"/>
        </w:rPr>
      </w:pPr>
      <w:r>
        <w:rPr>
          <w:lang w:val="en-US"/>
        </w:rPr>
        <w:lastRenderedPageBreak/>
        <w:t>Table 8.</w:t>
      </w:r>
      <w:r w:rsidRPr="00776E42">
        <w:rPr>
          <w:lang w:val="en-US"/>
        </w:rPr>
        <w:t>2</w:t>
      </w:r>
      <w:r>
        <w:rPr>
          <w:lang w:val="en-US"/>
        </w:rPr>
        <w:t>.</w:t>
      </w:r>
      <w:r w:rsidRPr="00776E42">
        <w:rPr>
          <w:lang w:val="en-US"/>
        </w:rPr>
        <w:t>2-1</w:t>
      </w:r>
    </w:p>
    <w:p w:rsidR="006B63C0" w:rsidRPr="00776E42" w:rsidRDefault="006B63C0" w:rsidP="006B63C0">
      <w:pPr>
        <w:pStyle w:val="TabletitleBR"/>
      </w:pPr>
      <w:r w:rsidRPr="00776E42">
        <w:t>ITU Regional Radiocommunication Seminars (201</w:t>
      </w:r>
      <w:r>
        <w:t>3-2016</w:t>
      </w:r>
      <w:r w:rsidRPr="00776E42">
        <w:t>)</w:t>
      </w:r>
    </w:p>
    <w:tbl>
      <w:tblPr>
        <w:tblStyle w:val="TableGrid"/>
        <w:tblW w:w="0" w:type="auto"/>
        <w:jc w:val="center"/>
        <w:tblLayout w:type="fixed"/>
        <w:tblLook w:val="04A0" w:firstRow="1" w:lastRow="0" w:firstColumn="1" w:lastColumn="0" w:noHBand="0" w:noVBand="1"/>
      </w:tblPr>
      <w:tblGrid>
        <w:gridCol w:w="2174"/>
        <w:gridCol w:w="1989"/>
        <w:gridCol w:w="1175"/>
        <w:gridCol w:w="2312"/>
        <w:gridCol w:w="1706"/>
        <w:gridCol w:w="1841"/>
        <w:gridCol w:w="1275"/>
        <w:gridCol w:w="1557"/>
      </w:tblGrid>
      <w:tr w:rsidR="006B63C0" w:rsidRPr="004F0F39" w:rsidTr="009A53E2">
        <w:trPr>
          <w:tblHeader/>
          <w:jc w:val="center"/>
        </w:trPr>
        <w:tc>
          <w:tcPr>
            <w:tcW w:w="2174"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Date</w:t>
            </w:r>
          </w:p>
        </w:tc>
        <w:tc>
          <w:tcPr>
            <w:tcW w:w="1989"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RRS</w:t>
            </w:r>
          </w:p>
        </w:tc>
        <w:tc>
          <w:tcPr>
            <w:tcW w:w="11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Place</w:t>
            </w:r>
          </w:p>
        </w:tc>
        <w:tc>
          <w:tcPr>
            <w:tcW w:w="2312"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Host</w:t>
            </w:r>
          </w:p>
        </w:tc>
        <w:tc>
          <w:tcPr>
            <w:tcW w:w="1706"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Cooperation</w:t>
            </w:r>
          </w:p>
        </w:tc>
        <w:tc>
          <w:tcPr>
            <w:tcW w:w="1841"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Forum Topics</w:t>
            </w:r>
          </w:p>
        </w:tc>
        <w:tc>
          <w:tcPr>
            <w:tcW w:w="12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Languages</w:t>
            </w:r>
          </w:p>
        </w:tc>
        <w:tc>
          <w:tcPr>
            <w:tcW w:w="1557"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Participants/</w:t>
            </w:r>
            <w:r w:rsidRPr="004F0F39">
              <w:rPr>
                <w:rFonts w:asciiTheme="majorBidi" w:hAnsiTheme="majorBidi" w:cstheme="majorBidi"/>
                <w:b/>
                <w:bCs/>
                <w:sz w:val="18"/>
                <w:szCs w:val="18"/>
              </w:rPr>
              <w:br/>
              <w:t>administrations</w:t>
            </w:r>
          </w:p>
        </w:tc>
      </w:tr>
      <w:tr w:rsidR="006B63C0" w:rsidRPr="00CE5CD2" w:rsidTr="009A53E2">
        <w:trPr>
          <w:jc w:val="center"/>
        </w:trPr>
        <w:tc>
          <w:tcPr>
            <w:tcW w:w="14029" w:type="dxa"/>
            <w:gridSpan w:val="8"/>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2013</w:t>
            </w:r>
          </w:p>
        </w:tc>
      </w:tr>
      <w:tr w:rsidR="006B63C0" w:rsidRPr="00CE5CD2" w:rsidTr="009A53E2">
        <w:trPr>
          <w:jc w:val="center"/>
        </w:trPr>
        <w:tc>
          <w:tcPr>
            <w:tcW w:w="2174"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sz w:val="18"/>
                <w:szCs w:val="18"/>
              </w:rPr>
              <w:t>8-12 July 2013</w:t>
            </w:r>
          </w:p>
        </w:tc>
        <w:tc>
          <w:tcPr>
            <w:tcW w:w="1989"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RRS-13-Americas</w:t>
            </w:r>
          </w:p>
        </w:tc>
        <w:tc>
          <w:tcPr>
            <w:tcW w:w="11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Asuncion, Paraguay</w:t>
            </w:r>
          </w:p>
        </w:tc>
        <w:tc>
          <w:tcPr>
            <w:tcW w:w="2312"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CONATEL Paraguay</w:t>
            </w:r>
          </w:p>
        </w:tc>
        <w:tc>
          <w:tcPr>
            <w:tcW w:w="1706"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ITU Americas Office</w:t>
            </w:r>
          </w:p>
        </w:tc>
        <w:tc>
          <w:tcPr>
            <w:tcW w:w="1841"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Digital Dividend in Latin America</w:t>
            </w:r>
          </w:p>
        </w:tc>
        <w:tc>
          <w:tcPr>
            <w:tcW w:w="12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S, E</w:t>
            </w:r>
          </w:p>
        </w:tc>
        <w:tc>
          <w:tcPr>
            <w:tcW w:w="1557"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121/9</w:t>
            </w:r>
          </w:p>
        </w:tc>
      </w:tr>
      <w:tr w:rsidR="006B63C0" w:rsidRPr="00CE5CD2" w:rsidTr="009A53E2">
        <w:trPr>
          <w:jc w:val="center"/>
        </w:trPr>
        <w:tc>
          <w:tcPr>
            <w:tcW w:w="2174"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sz w:val="18"/>
                <w:szCs w:val="18"/>
              </w:rPr>
              <w:t>16-20 September 2013</w:t>
            </w:r>
          </w:p>
        </w:tc>
        <w:tc>
          <w:tcPr>
            <w:tcW w:w="1989"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RRS-13-Africa</w:t>
            </w:r>
          </w:p>
        </w:tc>
        <w:tc>
          <w:tcPr>
            <w:tcW w:w="1175" w:type="dxa"/>
            <w:vAlign w:val="center"/>
          </w:tcPr>
          <w:p w:rsidR="006B63C0" w:rsidRPr="00CE5CD2" w:rsidRDefault="006B63C0" w:rsidP="009A53E2">
            <w:pPr>
              <w:jc w:val="center"/>
              <w:rPr>
                <w:rFonts w:asciiTheme="majorBidi" w:hAnsiTheme="majorBidi" w:cstheme="majorBidi"/>
                <w:bCs/>
                <w:sz w:val="18"/>
                <w:szCs w:val="18"/>
              </w:rPr>
            </w:pPr>
            <w:r w:rsidRPr="00CE5CD2">
              <w:rPr>
                <w:rFonts w:asciiTheme="majorBidi" w:hAnsiTheme="majorBidi" w:cstheme="majorBidi"/>
                <w:bCs/>
                <w:sz w:val="18"/>
                <w:szCs w:val="18"/>
              </w:rPr>
              <w:t>Yaounde, Cameroon</w:t>
            </w:r>
          </w:p>
        </w:tc>
        <w:tc>
          <w:tcPr>
            <w:tcW w:w="2312"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MINPOSTELCameroon</w:t>
            </w:r>
          </w:p>
        </w:tc>
        <w:tc>
          <w:tcPr>
            <w:tcW w:w="1706"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ATU, ITU Africa Office</w:t>
            </w:r>
          </w:p>
        </w:tc>
        <w:tc>
          <w:tcPr>
            <w:tcW w:w="1841"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UHF band in Africa</w:t>
            </w:r>
          </w:p>
        </w:tc>
        <w:tc>
          <w:tcPr>
            <w:tcW w:w="12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F, E</w:t>
            </w:r>
          </w:p>
        </w:tc>
        <w:tc>
          <w:tcPr>
            <w:tcW w:w="1557"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135/33</w:t>
            </w:r>
          </w:p>
        </w:tc>
      </w:tr>
      <w:tr w:rsidR="006B63C0" w:rsidRPr="00CE5CD2" w:rsidTr="009A53E2">
        <w:trPr>
          <w:jc w:val="center"/>
        </w:trPr>
        <w:tc>
          <w:tcPr>
            <w:tcW w:w="2174"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sz w:val="18"/>
                <w:szCs w:val="18"/>
              </w:rPr>
              <w:t>28 October - 1 November 2013</w:t>
            </w:r>
          </w:p>
        </w:tc>
        <w:tc>
          <w:tcPr>
            <w:tcW w:w="1989"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RRS-13-Asia-Pacific</w:t>
            </w:r>
          </w:p>
        </w:tc>
        <w:tc>
          <w:tcPr>
            <w:tcW w:w="11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Nadi, Fiji</w:t>
            </w:r>
          </w:p>
        </w:tc>
        <w:tc>
          <w:tcPr>
            <w:tcW w:w="2312" w:type="dxa"/>
            <w:vAlign w:val="center"/>
          </w:tcPr>
          <w:p w:rsidR="006B63C0" w:rsidRPr="00CE5CD2" w:rsidRDefault="006B63C0" w:rsidP="009A53E2">
            <w:pPr>
              <w:jc w:val="center"/>
              <w:rPr>
                <w:rFonts w:asciiTheme="majorBidi" w:hAnsiTheme="majorBidi" w:cstheme="majorBidi"/>
                <w:sz w:val="18"/>
                <w:szCs w:val="18"/>
              </w:rPr>
            </w:pPr>
            <w:r w:rsidRPr="00CE5CD2">
              <w:rPr>
                <w:rFonts w:asciiTheme="majorBidi" w:hAnsiTheme="majorBidi" w:cstheme="majorBidi"/>
                <w:sz w:val="18"/>
                <w:szCs w:val="18"/>
              </w:rPr>
              <w:t>Ministry of Communications Fiji</w:t>
            </w:r>
          </w:p>
        </w:tc>
        <w:tc>
          <w:tcPr>
            <w:tcW w:w="1706"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PITA, ITU Asia-Pacific Office</w:t>
            </w:r>
          </w:p>
        </w:tc>
        <w:tc>
          <w:tcPr>
            <w:tcW w:w="1841"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C Band in Asia-Pacific</w:t>
            </w:r>
          </w:p>
        </w:tc>
        <w:tc>
          <w:tcPr>
            <w:tcW w:w="12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E</w:t>
            </w:r>
          </w:p>
        </w:tc>
        <w:tc>
          <w:tcPr>
            <w:tcW w:w="1557"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53/18</w:t>
            </w:r>
          </w:p>
        </w:tc>
      </w:tr>
      <w:tr w:rsidR="006B63C0" w:rsidRPr="00CE5CD2" w:rsidTr="009A53E2">
        <w:trPr>
          <w:jc w:val="center"/>
        </w:trPr>
        <w:tc>
          <w:tcPr>
            <w:tcW w:w="2174"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sz w:val="18"/>
                <w:szCs w:val="18"/>
              </w:rPr>
              <w:t>9-13 December 2013</w:t>
            </w:r>
          </w:p>
        </w:tc>
        <w:tc>
          <w:tcPr>
            <w:tcW w:w="1989"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RRS-13-Arab</w:t>
            </w:r>
          </w:p>
        </w:tc>
        <w:tc>
          <w:tcPr>
            <w:tcW w:w="11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Tunis, Tunisia</w:t>
            </w:r>
          </w:p>
        </w:tc>
        <w:tc>
          <w:tcPr>
            <w:tcW w:w="2312"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ANF Tunisia</w:t>
            </w:r>
          </w:p>
        </w:tc>
        <w:tc>
          <w:tcPr>
            <w:tcW w:w="1706"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ASMG, ITU Arab Regional Office</w:t>
            </w:r>
          </w:p>
        </w:tc>
        <w:tc>
          <w:tcPr>
            <w:tcW w:w="1841"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Cognitive radio and TV White Spaces</w:t>
            </w:r>
          </w:p>
        </w:tc>
        <w:tc>
          <w:tcPr>
            <w:tcW w:w="12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A, E</w:t>
            </w:r>
          </w:p>
        </w:tc>
        <w:tc>
          <w:tcPr>
            <w:tcW w:w="1557"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49/12</w:t>
            </w:r>
          </w:p>
        </w:tc>
      </w:tr>
      <w:tr w:rsidR="006B63C0" w:rsidRPr="00CE5CD2" w:rsidTr="009A53E2">
        <w:trPr>
          <w:jc w:val="center"/>
        </w:trPr>
        <w:tc>
          <w:tcPr>
            <w:tcW w:w="14029" w:type="dxa"/>
            <w:gridSpan w:val="8"/>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2014</w:t>
            </w:r>
          </w:p>
        </w:tc>
      </w:tr>
      <w:tr w:rsidR="006B63C0" w:rsidRPr="00CE5CD2" w:rsidTr="009A53E2">
        <w:trPr>
          <w:jc w:val="center"/>
        </w:trPr>
        <w:tc>
          <w:tcPr>
            <w:tcW w:w="2174"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sz w:val="18"/>
                <w:szCs w:val="18"/>
              </w:rPr>
              <w:t>26-30 May 2014</w:t>
            </w:r>
          </w:p>
        </w:tc>
        <w:tc>
          <w:tcPr>
            <w:tcW w:w="1989"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RRS-14-Asia</w:t>
            </w:r>
          </w:p>
        </w:tc>
        <w:tc>
          <w:tcPr>
            <w:tcW w:w="11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Ha Noi, Viet Nam</w:t>
            </w:r>
          </w:p>
        </w:tc>
        <w:tc>
          <w:tcPr>
            <w:tcW w:w="2312" w:type="dxa"/>
            <w:vAlign w:val="center"/>
          </w:tcPr>
          <w:p w:rsidR="006B63C0" w:rsidRPr="00CE5CD2" w:rsidRDefault="006B63C0" w:rsidP="009A53E2">
            <w:pPr>
              <w:jc w:val="center"/>
              <w:rPr>
                <w:rFonts w:asciiTheme="majorBidi" w:hAnsiTheme="majorBidi" w:cstheme="majorBidi"/>
                <w:sz w:val="18"/>
                <w:szCs w:val="18"/>
              </w:rPr>
            </w:pPr>
            <w:r w:rsidRPr="00CE5CD2">
              <w:rPr>
                <w:rFonts w:asciiTheme="majorBidi" w:hAnsiTheme="majorBidi" w:cstheme="majorBidi"/>
                <w:sz w:val="18"/>
                <w:szCs w:val="18"/>
              </w:rPr>
              <w:t>MIC</w:t>
            </w:r>
          </w:p>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Viet Nam</w:t>
            </w:r>
          </w:p>
        </w:tc>
        <w:tc>
          <w:tcPr>
            <w:tcW w:w="1706"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APT, ITU Asia-Pacific Office</w:t>
            </w:r>
          </w:p>
        </w:tc>
        <w:tc>
          <w:tcPr>
            <w:tcW w:w="1841"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New issues on Spectrum Management</w:t>
            </w:r>
          </w:p>
        </w:tc>
        <w:tc>
          <w:tcPr>
            <w:tcW w:w="12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E</w:t>
            </w:r>
          </w:p>
        </w:tc>
        <w:tc>
          <w:tcPr>
            <w:tcW w:w="1557"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94/15</w:t>
            </w:r>
          </w:p>
        </w:tc>
      </w:tr>
      <w:tr w:rsidR="006B63C0" w:rsidRPr="00CE5CD2" w:rsidTr="009A53E2">
        <w:trPr>
          <w:jc w:val="center"/>
        </w:trPr>
        <w:tc>
          <w:tcPr>
            <w:tcW w:w="2174"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sz w:val="18"/>
                <w:szCs w:val="18"/>
              </w:rPr>
              <w:t>14-18 July 2014</w:t>
            </w:r>
          </w:p>
        </w:tc>
        <w:tc>
          <w:tcPr>
            <w:tcW w:w="1989" w:type="dxa"/>
            <w:vAlign w:val="center"/>
          </w:tcPr>
          <w:p w:rsidR="006B63C0" w:rsidRPr="00CE5CD2"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RRS-14-Americas</w:t>
            </w:r>
          </w:p>
        </w:tc>
        <w:tc>
          <w:tcPr>
            <w:tcW w:w="11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Island of Tobago, Trinidad and Tobago</w:t>
            </w:r>
          </w:p>
        </w:tc>
        <w:tc>
          <w:tcPr>
            <w:tcW w:w="2312"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Telecommunications Authority of Trinidad and Tobago</w:t>
            </w:r>
          </w:p>
        </w:tc>
        <w:tc>
          <w:tcPr>
            <w:tcW w:w="1706"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CTU, ITU Americas Office</w:t>
            </w:r>
          </w:p>
        </w:tc>
        <w:tc>
          <w:tcPr>
            <w:tcW w:w="1841" w:type="dxa"/>
            <w:vAlign w:val="center"/>
          </w:tcPr>
          <w:p w:rsidR="006B63C0" w:rsidRPr="00CE5CD2" w:rsidRDefault="006B63C0" w:rsidP="009A53E2">
            <w:pPr>
              <w:jc w:val="center"/>
              <w:rPr>
                <w:rFonts w:asciiTheme="majorBidi" w:hAnsiTheme="majorBidi" w:cstheme="majorBidi"/>
                <w:sz w:val="18"/>
                <w:szCs w:val="18"/>
              </w:rPr>
            </w:pPr>
            <w:r w:rsidRPr="00CE5CD2">
              <w:rPr>
                <w:rFonts w:asciiTheme="majorBidi" w:hAnsiTheme="majorBidi" w:cstheme="majorBidi"/>
                <w:sz w:val="18"/>
                <w:szCs w:val="18"/>
              </w:rPr>
              <w:t>WRC-15 Agenda: Regional matters</w:t>
            </w:r>
          </w:p>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sz w:val="18"/>
                <w:szCs w:val="18"/>
              </w:rPr>
              <w:t>C-band registration</w:t>
            </w:r>
          </w:p>
        </w:tc>
        <w:tc>
          <w:tcPr>
            <w:tcW w:w="1275"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E</w:t>
            </w:r>
          </w:p>
        </w:tc>
        <w:tc>
          <w:tcPr>
            <w:tcW w:w="1557" w:type="dxa"/>
            <w:vAlign w:val="center"/>
          </w:tcPr>
          <w:p w:rsidR="006B63C0" w:rsidRPr="00CE5CD2" w:rsidRDefault="006B63C0" w:rsidP="009A53E2">
            <w:pPr>
              <w:jc w:val="center"/>
              <w:rPr>
                <w:rFonts w:asciiTheme="majorBidi" w:hAnsiTheme="majorBidi" w:cstheme="majorBidi"/>
                <w:b/>
                <w:bCs/>
                <w:sz w:val="18"/>
                <w:szCs w:val="18"/>
              </w:rPr>
            </w:pPr>
            <w:r w:rsidRPr="00CE5CD2">
              <w:rPr>
                <w:rFonts w:asciiTheme="majorBidi" w:hAnsiTheme="majorBidi" w:cstheme="majorBidi"/>
                <w:b/>
                <w:bCs/>
                <w:sz w:val="18"/>
                <w:szCs w:val="18"/>
              </w:rPr>
              <w:t>46/19</w:t>
            </w:r>
          </w:p>
        </w:tc>
      </w:tr>
      <w:tr w:rsidR="006B63C0" w:rsidRPr="004F0F39" w:rsidTr="009A53E2">
        <w:trPr>
          <w:jc w:val="center"/>
        </w:trPr>
        <w:tc>
          <w:tcPr>
            <w:tcW w:w="14029" w:type="dxa"/>
            <w:gridSpan w:val="8"/>
            <w:vAlign w:val="center"/>
          </w:tcPr>
          <w:p w:rsidR="006B63C0" w:rsidRPr="00A82F15" w:rsidRDefault="006B63C0" w:rsidP="009A53E2">
            <w:pPr>
              <w:rPr>
                <w:rFonts w:asciiTheme="majorBidi" w:hAnsiTheme="majorBidi" w:cstheme="majorBidi"/>
                <w:b/>
                <w:bCs/>
                <w:sz w:val="18"/>
                <w:szCs w:val="18"/>
              </w:rPr>
            </w:pPr>
            <w:r w:rsidRPr="00CE5CD2">
              <w:rPr>
                <w:rFonts w:asciiTheme="majorBidi" w:hAnsiTheme="majorBidi" w:cstheme="majorBidi"/>
                <w:b/>
                <w:bCs/>
                <w:sz w:val="18"/>
                <w:szCs w:val="18"/>
              </w:rPr>
              <w:t>2015</w:t>
            </w:r>
          </w:p>
        </w:tc>
      </w:tr>
      <w:tr w:rsidR="006B63C0" w:rsidRPr="004F0F39" w:rsidTr="009A53E2">
        <w:trPr>
          <w:jc w:val="center"/>
        </w:trPr>
        <w:tc>
          <w:tcPr>
            <w:tcW w:w="2174"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sz w:val="18"/>
                <w:szCs w:val="18"/>
              </w:rPr>
              <w:t>2-6 March 2015</w:t>
            </w:r>
          </w:p>
        </w:tc>
        <w:tc>
          <w:tcPr>
            <w:tcW w:w="1989"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b/>
                <w:bCs/>
                <w:sz w:val="18"/>
                <w:szCs w:val="18"/>
              </w:rPr>
              <w:t>RRS-15-Eastern Europe and CIS</w:t>
            </w:r>
          </w:p>
        </w:tc>
        <w:tc>
          <w:tcPr>
            <w:tcW w:w="11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Bishkek, Kyrgyz Republic</w:t>
            </w:r>
          </w:p>
        </w:tc>
        <w:tc>
          <w:tcPr>
            <w:tcW w:w="2312"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State Communications Agency - Kyrgyz Republic</w:t>
            </w:r>
          </w:p>
        </w:tc>
        <w:tc>
          <w:tcPr>
            <w:tcW w:w="1706"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RCC, ITU Offices for Eastern Europe and CIS</w:t>
            </w:r>
          </w:p>
        </w:tc>
        <w:tc>
          <w:tcPr>
            <w:tcW w:w="1841"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WRC-15 regional preparation</w:t>
            </w:r>
          </w:p>
        </w:tc>
        <w:tc>
          <w:tcPr>
            <w:tcW w:w="12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R</w:t>
            </w:r>
          </w:p>
        </w:tc>
        <w:tc>
          <w:tcPr>
            <w:tcW w:w="1557"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56/8</w:t>
            </w:r>
          </w:p>
        </w:tc>
      </w:tr>
      <w:tr w:rsidR="006B63C0" w:rsidRPr="004F0F39" w:rsidTr="009A53E2">
        <w:trPr>
          <w:jc w:val="center"/>
        </w:trPr>
        <w:tc>
          <w:tcPr>
            <w:tcW w:w="2174"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sz w:val="18"/>
                <w:szCs w:val="18"/>
              </w:rPr>
              <w:t>20-24 April 2015</w:t>
            </w:r>
          </w:p>
        </w:tc>
        <w:tc>
          <w:tcPr>
            <w:tcW w:w="1989"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b/>
                <w:bCs/>
                <w:sz w:val="18"/>
                <w:szCs w:val="18"/>
              </w:rPr>
              <w:t>RRS-15-Africa</w:t>
            </w:r>
          </w:p>
        </w:tc>
        <w:tc>
          <w:tcPr>
            <w:tcW w:w="11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Niamey, Niger</w:t>
            </w:r>
          </w:p>
        </w:tc>
        <w:tc>
          <w:tcPr>
            <w:tcW w:w="2312" w:type="dxa"/>
            <w:vAlign w:val="center"/>
          </w:tcPr>
          <w:p w:rsidR="006B63C0" w:rsidRPr="00247EFD" w:rsidRDefault="006B63C0" w:rsidP="009A53E2">
            <w:pPr>
              <w:jc w:val="center"/>
              <w:rPr>
                <w:rFonts w:asciiTheme="majorBidi" w:hAnsiTheme="majorBidi" w:cstheme="majorBidi"/>
                <w:b/>
                <w:bCs/>
                <w:sz w:val="18"/>
                <w:szCs w:val="18"/>
                <w:lang w:val="fr-CH"/>
              </w:rPr>
            </w:pPr>
            <w:r w:rsidRPr="00247EFD">
              <w:rPr>
                <w:rFonts w:asciiTheme="majorBidi" w:hAnsiTheme="majorBidi" w:cstheme="majorBidi"/>
                <w:iCs/>
                <w:sz w:val="18"/>
                <w:szCs w:val="18"/>
                <w:lang w:val="fr-CH"/>
              </w:rPr>
              <w:t>Autorité de Régulation des Télécommunications et de la Poste</w:t>
            </w:r>
            <w:r w:rsidRPr="00247EFD">
              <w:rPr>
                <w:rFonts w:asciiTheme="majorBidi" w:hAnsiTheme="majorBidi" w:cstheme="majorBidi"/>
                <w:sz w:val="18"/>
                <w:szCs w:val="18"/>
                <w:lang w:val="fr-CH"/>
              </w:rPr>
              <w:t>, ARTP, Niger</w:t>
            </w:r>
          </w:p>
        </w:tc>
        <w:tc>
          <w:tcPr>
            <w:tcW w:w="1706" w:type="dxa"/>
            <w:vAlign w:val="center"/>
          </w:tcPr>
          <w:p w:rsidR="006B63C0" w:rsidRPr="004F0F39" w:rsidRDefault="006B63C0" w:rsidP="009A53E2">
            <w:pPr>
              <w:jc w:val="center"/>
              <w:rPr>
                <w:rFonts w:asciiTheme="majorBidi" w:hAnsiTheme="majorBidi" w:cstheme="majorBidi"/>
                <w:bCs/>
                <w:sz w:val="18"/>
                <w:szCs w:val="18"/>
              </w:rPr>
            </w:pPr>
            <w:r w:rsidRPr="004F0F39">
              <w:rPr>
                <w:rFonts w:asciiTheme="majorBidi" w:hAnsiTheme="majorBidi" w:cstheme="majorBidi"/>
                <w:bCs/>
                <w:sz w:val="18"/>
                <w:szCs w:val="18"/>
              </w:rPr>
              <w:t>ATU, ITU offices for Africa</w:t>
            </w:r>
          </w:p>
        </w:tc>
        <w:tc>
          <w:tcPr>
            <w:tcW w:w="1841"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Emerging concepts in spectrum utilization and monitoring: Preparing for future spectrum management for the region</w:t>
            </w:r>
          </w:p>
        </w:tc>
        <w:tc>
          <w:tcPr>
            <w:tcW w:w="12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F, E</w:t>
            </w:r>
          </w:p>
        </w:tc>
        <w:tc>
          <w:tcPr>
            <w:tcW w:w="1557"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100/36</w:t>
            </w:r>
          </w:p>
        </w:tc>
      </w:tr>
    </w:tbl>
    <w:p w:rsidR="006B63C0" w:rsidRDefault="006B63C0" w:rsidP="006B63C0">
      <w:pPr>
        <w:rPr>
          <w:rFonts w:asciiTheme="majorBidi" w:hAnsiTheme="majorBidi" w:cstheme="majorBidi"/>
        </w:rPr>
        <w:sectPr w:rsidR="006B63C0" w:rsidSect="009A53E2">
          <w:headerReference w:type="default" r:id="rId33"/>
          <w:footerReference w:type="default" r:id="rId34"/>
          <w:pgSz w:w="16840" w:h="11907" w:orient="landscape" w:code="9"/>
          <w:pgMar w:top="1134" w:right="1418" w:bottom="1134" w:left="851" w:header="720" w:footer="720" w:gutter="0"/>
          <w:paperSrc w:first="15" w:other="15"/>
          <w:cols w:space="720"/>
          <w:docGrid w:linePitch="326"/>
        </w:sectPr>
      </w:pPr>
    </w:p>
    <w:tbl>
      <w:tblPr>
        <w:tblStyle w:val="TableGrid"/>
        <w:tblW w:w="0" w:type="auto"/>
        <w:jc w:val="center"/>
        <w:tblLayout w:type="fixed"/>
        <w:tblLook w:val="04A0" w:firstRow="1" w:lastRow="0" w:firstColumn="1" w:lastColumn="0" w:noHBand="0" w:noVBand="1"/>
      </w:tblPr>
      <w:tblGrid>
        <w:gridCol w:w="2174"/>
        <w:gridCol w:w="1989"/>
        <w:gridCol w:w="1175"/>
        <w:gridCol w:w="2312"/>
        <w:gridCol w:w="1706"/>
        <w:gridCol w:w="1841"/>
        <w:gridCol w:w="1417"/>
        <w:gridCol w:w="1047"/>
      </w:tblGrid>
      <w:tr w:rsidR="006B63C0" w:rsidRPr="004F0F39" w:rsidTr="009A53E2">
        <w:trPr>
          <w:jc w:val="center"/>
        </w:trPr>
        <w:tc>
          <w:tcPr>
            <w:tcW w:w="2174"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sz w:val="18"/>
                <w:szCs w:val="18"/>
              </w:rPr>
              <w:lastRenderedPageBreak/>
              <w:t>25-30 May 2015</w:t>
            </w:r>
          </w:p>
        </w:tc>
        <w:tc>
          <w:tcPr>
            <w:tcW w:w="1989"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b/>
                <w:bCs/>
                <w:sz w:val="18"/>
                <w:szCs w:val="18"/>
              </w:rPr>
              <w:t>RRS-15-Asia-Pacific</w:t>
            </w:r>
          </w:p>
        </w:tc>
        <w:tc>
          <w:tcPr>
            <w:tcW w:w="11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Manila, Philippines</w:t>
            </w:r>
          </w:p>
        </w:tc>
        <w:tc>
          <w:tcPr>
            <w:tcW w:w="2312"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Information and Communications Technology Office, Department of Science and Technology (ICTO</w:t>
            </w:r>
            <w:r w:rsidRPr="004F0F39">
              <w:rPr>
                <w:rFonts w:asciiTheme="majorBidi" w:hAnsiTheme="majorBidi" w:cstheme="majorBidi"/>
                <w:sz w:val="18"/>
                <w:szCs w:val="18"/>
              </w:rPr>
              <w:noBreakHyphen/>
              <w:t>DOST), Philippines</w:t>
            </w:r>
          </w:p>
        </w:tc>
        <w:tc>
          <w:tcPr>
            <w:tcW w:w="1706"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APT, Dpt of Communications, Government of Australia, ITU offices for Asia and Pacific</w:t>
            </w:r>
          </w:p>
        </w:tc>
        <w:tc>
          <w:tcPr>
            <w:tcW w:w="1841"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Space Planned Services: current status and challenges</w:t>
            </w:r>
          </w:p>
        </w:tc>
        <w:tc>
          <w:tcPr>
            <w:tcW w:w="1417"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E</w:t>
            </w:r>
          </w:p>
        </w:tc>
        <w:tc>
          <w:tcPr>
            <w:tcW w:w="1047"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70/20</w:t>
            </w:r>
          </w:p>
        </w:tc>
      </w:tr>
      <w:tr w:rsidR="006B63C0" w:rsidRPr="004F0F39" w:rsidTr="009A53E2">
        <w:trPr>
          <w:jc w:val="center"/>
        </w:trPr>
        <w:tc>
          <w:tcPr>
            <w:tcW w:w="2174"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sz w:val="18"/>
                <w:szCs w:val="18"/>
              </w:rPr>
              <w:t>27-31 July 2015</w:t>
            </w:r>
          </w:p>
        </w:tc>
        <w:tc>
          <w:tcPr>
            <w:tcW w:w="1989" w:type="dxa"/>
            <w:vAlign w:val="center"/>
          </w:tcPr>
          <w:p w:rsidR="006B63C0" w:rsidRPr="004F0F39" w:rsidRDefault="006B63C0" w:rsidP="009A53E2">
            <w:pPr>
              <w:rPr>
                <w:rFonts w:asciiTheme="majorBidi" w:hAnsiTheme="majorBidi" w:cstheme="majorBidi"/>
                <w:b/>
                <w:bCs/>
                <w:sz w:val="18"/>
                <w:szCs w:val="18"/>
              </w:rPr>
            </w:pPr>
            <w:r w:rsidRPr="004F0F39">
              <w:rPr>
                <w:rFonts w:asciiTheme="majorBidi" w:hAnsiTheme="majorBidi" w:cstheme="majorBidi"/>
                <w:b/>
                <w:bCs/>
                <w:sz w:val="18"/>
                <w:szCs w:val="18"/>
              </w:rPr>
              <w:t>RRS-15-Americas</w:t>
            </w:r>
          </w:p>
        </w:tc>
        <w:tc>
          <w:tcPr>
            <w:tcW w:w="1175"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San Salvador, El Salvador</w:t>
            </w:r>
          </w:p>
        </w:tc>
        <w:tc>
          <w:tcPr>
            <w:tcW w:w="2312" w:type="dxa"/>
            <w:vAlign w:val="center"/>
          </w:tcPr>
          <w:p w:rsidR="006B63C0" w:rsidRPr="00247EFD" w:rsidRDefault="006B63C0" w:rsidP="009A53E2">
            <w:pPr>
              <w:jc w:val="center"/>
              <w:rPr>
                <w:rFonts w:asciiTheme="majorBidi" w:hAnsiTheme="majorBidi" w:cstheme="majorBidi"/>
                <w:b/>
                <w:bCs/>
                <w:sz w:val="18"/>
                <w:szCs w:val="18"/>
                <w:lang w:val="es-ES_tradnl"/>
              </w:rPr>
            </w:pPr>
            <w:r w:rsidRPr="00247EFD">
              <w:rPr>
                <w:rFonts w:asciiTheme="majorBidi" w:hAnsiTheme="majorBidi" w:cstheme="majorBidi"/>
                <w:sz w:val="18"/>
                <w:szCs w:val="18"/>
                <w:lang w:val="es-ES_tradnl"/>
              </w:rPr>
              <w:t>Superintendencia General de Electricidad y Telecomunicaciones of El Salvador (SIGET)</w:t>
            </w:r>
          </w:p>
        </w:tc>
        <w:tc>
          <w:tcPr>
            <w:tcW w:w="1706"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COMTELCA, ITU area office for Central America</w:t>
            </w:r>
          </w:p>
        </w:tc>
        <w:tc>
          <w:tcPr>
            <w:tcW w:w="1841" w:type="dxa"/>
            <w:vAlign w:val="center"/>
          </w:tcPr>
          <w:p w:rsidR="006B63C0" w:rsidRPr="004F0F39" w:rsidRDefault="006B63C0" w:rsidP="009A53E2">
            <w:pPr>
              <w:jc w:val="center"/>
              <w:rPr>
                <w:rFonts w:asciiTheme="majorBidi" w:hAnsiTheme="majorBidi" w:cstheme="majorBidi"/>
                <w:sz w:val="18"/>
                <w:szCs w:val="18"/>
              </w:rPr>
            </w:pPr>
            <w:r w:rsidRPr="004F0F39">
              <w:rPr>
                <w:rFonts w:asciiTheme="majorBidi" w:hAnsiTheme="majorBidi" w:cstheme="majorBidi"/>
                <w:sz w:val="18"/>
                <w:szCs w:val="18"/>
              </w:rPr>
              <w:t>WRC15: Challenges and opportunities for the Region</w:t>
            </w:r>
          </w:p>
          <w:p w:rsidR="006B63C0" w:rsidRPr="004F0F39" w:rsidRDefault="006B63C0" w:rsidP="009A53E2">
            <w:pPr>
              <w:jc w:val="center"/>
              <w:rPr>
                <w:rFonts w:asciiTheme="majorBidi" w:hAnsiTheme="majorBidi" w:cstheme="majorBidi"/>
                <w:sz w:val="18"/>
                <w:szCs w:val="18"/>
              </w:rPr>
            </w:pPr>
            <w:r w:rsidRPr="004F0F39">
              <w:rPr>
                <w:rFonts w:asciiTheme="majorBidi" w:hAnsiTheme="majorBidi" w:cstheme="majorBidi"/>
                <w:sz w:val="18"/>
                <w:szCs w:val="18"/>
              </w:rPr>
              <w:t>C-band registration</w:t>
            </w:r>
          </w:p>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sz w:val="18"/>
                <w:szCs w:val="18"/>
              </w:rPr>
              <w:t>Unlicensed Devices Regulations</w:t>
            </w:r>
          </w:p>
        </w:tc>
        <w:tc>
          <w:tcPr>
            <w:tcW w:w="1417"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S</w:t>
            </w:r>
          </w:p>
        </w:tc>
        <w:tc>
          <w:tcPr>
            <w:tcW w:w="1047" w:type="dxa"/>
            <w:vAlign w:val="center"/>
          </w:tcPr>
          <w:p w:rsidR="006B63C0" w:rsidRPr="004F0F39" w:rsidRDefault="006B63C0" w:rsidP="009A53E2">
            <w:pPr>
              <w:jc w:val="center"/>
              <w:rPr>
                <w:rFonts w:asciiTheme="majorBidi" w:hAnsiTheme="majorBidi" w:cstheme="majorBidi"/>
                <w:b/>
                <w:bCs/>
                <w:sz w:val="18"/>
                <w:szCs w:val="18"/>
              </w:rPr>
            </w:pPr>
            <w:r w:rsidRPr="004F0F39">
              <w:rPr>
                <w:rFonts w:asciiTheme="majorBidi" w:hAnsiTheme="majorBidi" w:cstheme="majorBidi"/>
                <w:b/>
                <w:bCs/>
                <w:sz w:val="18"/>
                <w:szCs w:val="18"/>
              </w:rPr>
              <w:t>70/16</w:t>
            </w:r>
          </w:p>
        </w:tc>
      </w:tr>
      <w:tr w:rsidR="006B63C0" w:rsidRPr="004545C3" w:rsidTr="009A53E2">
        <w:trPr>
          <w:jc w:val="center"/>
        </w:trPr>
        <w:tc>
          <w:tcPr>
            <w:tcW w:w="13661" w:type="dxa"/>
            <w:gridSpan w:val="8"/>
            <w:vAlign w:val="center"/>
          </w:tcPr>
          <w:p w:rsidR="006B63C0" w:rsidRPr="004545C3" w:rsidRDefault="006B63C0" w:rsidP="009A53E2">
            <w:pPr>
              <w:rPr>
                <w:rFonts w:asciiTheme="majorBidi" w:hAnsiTheme="majorBidi" w:cstheme="majorBidi"/>
                <w:b/>
                <w:bCs/>
                <w:sz w:val="18"/>
                <w:szCs w:val="18"/>
              </w:rPr>
            </w:pPr>
            <w:r w:rsidRPr="004545C3">
              <w:rPr>
                <w:rFonts w:asciiTheme="majorBidi" w:hAnsiTheme="majorBidi" w:cstheme="majorBidi"/>
                <w:b/>
                <w:bCs/>
                <w:sz w:val="18"/>
                <w:szCs w:val="18"/>
              </w:rPr>
              <w:t>2016</w:t>
            </w:r>
          </w:p>
        </w:tc>
      </w:tr>
      <w:tr w:rsidR="006B63C0" w:rsidRPr="004545C3" w:rsidTr="009A53E2">
        <w:trPr>
          <w:jc w:val="center"/>
        </w:trPr>
        <w:tc>
          <w:tcPr>
            <w:tcW w:w="2174" w:type="dxa"/>
            <w:vAlign w:val="center"/>
          </w:tcPr>
          <w:p w:rsidR="006B63C0" w:rsidRPr="004545C3" w:rsidRDefault="006B63C0" w:rsidP="009A53E2">
            <w:pPr>
              <w:rPr>
                <w:rFonts w:asciiTheme="majorBidi" w:hAnsiTheme="majorBidi" w:cstheme="majorBidi"/>
                <w:sz w:val="18"/>
                <w:szCs w:val="18"/>
              </w:rPr>
            </w:pPr>
            <w:r w:rsidRPr="004545C3">
              <w:rPr>
                <w:rFonts w:asciiTheme="majorBidi" w:hAnsiTheme="majorBidi" w:cstheme="majorBidi"/>
                <w:sz w:val="18"/>
                <w:szCs w:val="18"/>
              </w:rPr>
              <w:t>18-22 July 2016</w:t>
            </w:r>
          </w:p>
        </w:tc>
        <w:tc>
          <w:tcPr>
            <w:tcW w:w="1989" w:type="dxa"/>
            <w:vAlign w:val="center"/>
          </w:tcPr>
          <w:p w:rsidR="006B63C0" w:rsidRPr="004545C3" w:rsidRDefault="006B63C0" w:rsidP="009A53E2">
            <w:pPr>
              <w:rPr>
                <w:rFonts w:asciiTheme="majorBidi" w:hAnsiTheme="majorBidi" w:cstheme="majorBidi"/>
                <w:b/>
                <w:bCs/>
                <w:sz w:val="18"/>
                <w:szCs w:val="18"/>
              </w:rPr>
            </w:pPr>
            <w:r w:rsidRPr="004545C3">
              <w:rPr>
                <w:rFonts w:asciiTheme="majorBidi" w:hAnsiTheme="majorBidi" w:cstheme="majorBidi"/>
                <w:b/>
                <w:bCs/>
                <w:sz w:val="18"/>
                <w:szCs w:val="18"/>
              </w:rPr>
              <w:t>RRS-16-Americas</w:t>
            </w:r>
          </w:p>
        </w:tc>
        <w:tc>
          <w:tcPr>
            <w:tcW w:w="1175" w:type="dxa"/>
            <w:vAlign w:val="center"/>
          </w:tcPr>
          <w:p w:rsidR="006B63C0" w:rsidRPr="004545C3" w:rsidRDefault="006B63C0" w:rsidP="009A53E2">
            <w:pPr>
              <w:jc w:val="center"/>
              <w:rPr>
                <w:rFonts w:asciiTheme="majorBidi" w:hAnsiTheme="majorBidi" w:cstheme="majorBidi"/>
                <w:sz w:val="18"/>
                <w:szCs w:val="18"/>
              </w:rPr>
            </w:pPr>
            <w:r w:rsidRPr="004545C3">
              <w:rPr>
                <w:rFonts w:asciiTheme="majorBidi" w:hAnsiTheme="majorBidi" w:cstheme="majorBidi"/>
                <w:sz w:val="18"/>
                <w:szCs w:val="18"/>
              </w:rPr>
              <w:t>Port of Spain, Trinidad and Tobago</w:t>
            </w:r>
          </w:p>
        </w:tc>
        <w:tc>
          <w:tcPr>
            <w:tcW w:w="2312" w:type="dxa"/>
            <w:vAlign w:val="center"/>
          </w:tcPr>
          <w:p w:rsidR="006B63C0" w:rsidRPr="004545C3" w:rsidRDefault="006B63C0" w:rsidP="009A53E2">
            <w:pPr>
              <w:jc w:val="center"/>
              <w:rPr>
                <w:rFonts w:asciiTheme="majorBidi" w:hAnsiTheme="majorBidi" w:cstheme="majorBidi"/>
                <w:sz w:val="18"/>
                <w:szCs w:val="18"/>
                <w:lang w:val="es-ES_tradnl"/>
              </w:rPr>
            </w:pPr>
            <w:r w:rsidRPr="00CE5CD2">
              <w:rPr>
                <w:rFonts w:asciiTheme="majorBidi" w:hAnsiTheme="majorBidi" w:cstheme="majorBidi"/>
                <w:sz w:val="18"/>
                <w:szCs w:val="18"/>
              </w:rPr>
              <w:t> Caribbean Telecommunications Union (CTU) </w:t>
            </w:r>
          </w:p>
        </w:tc>
        <w:tc>
          <w:tcPr>
            <w:tcW w:w="1706" w:type="dxa"/>
            <w:vAlign w:val="center"/>
          </w:tcPr>
          <w:p w:rsidR="006B63C0" w:rsidRPr="004545C3" w:rsidRDefault="006B63C0" w:rsidP="009A53E2">
            <w:pPr>
              <w:jc w:val="center"/>
              <w:rPr>
                <w:rFonts w:asciiTheme="majorBidi" w:hAnsiTheme="majorBidi" w:cstheme="majorBidi"/>
                <w:sz w:val="18"/>
                <w:szCs w:val="18"/>
              </w:rPr>
            </w:pPr>
            <w:r w:rsidRPr="004545C3">
              <w:rPr>
                <w:rFonts w:asciiTheme="majorBidi" w:hAnsiTheme="majorBidi" w:cstheme="majorBidi"/>
                <w:sz w:val="18"/>
                <w:szCs w:val="18"/>
              </w:rPr>
              <w:t>ITU Americas Office</w:t>
            </w:r>
          </w:p>
        </w:tc>
        <w:tc>
          <w:tcPr>
            <w:tcW w:w="1841" w:type="dxa"/>
            <w:vAlign w:val="center"/>
          </w:tcPr>
          <w:p w:rsidR="006B63C0" w:rsidRPr="004545C3" w:rsidRDefault="006B63C0" w:rsidP="009A53E2">
            <w:pPr>
              <w:jc w:val="center"/>
              <w:rPr>
                <w:rFonts w:asciiTheme="majorBidi" w:hAnsiTheme="majorBidi" w:cstheme="majorBidi"/>
                <w:sz w:val="18"/>
                <w:szCs w:val="18"/>
              </w:rPr>
            </w:pPr>
            <w:r w:rsidRPr="004545C3">
              <w:rPr>
                <w:rFonts w:asciiTheme="majorBidi" w:hAnsiTheme="majorBidi" w:cstheme="majorBidi"/>
                <w:sz w:val="18"/>
                <w:szCs w:val="18"/>
              </w:rPr>
              <w:t>WRC-15 outcomes and WRC-19 Agenda: Regional Challenges and Opportunities for Spectrum Harmonisation</w:t>
            </w:r>
          </w:p>
        </w:tc>
        <w:tc>
          <w:tcPr>
            <w:tcW w:w="1417" w:type="dxa"/>
            <w:vAlign w:val="center"/>
          </w:tcPr>
          <w:p w:rsidR="006B63C0" w:rsidRPr="004545C3" w:rsidRDefault="006B63C0" w:rsidP="009A53E2">
            <w:pPr>
              <w:jc w:val="center"/>
              <w:rPr>
                <w:rFonts w:asciiTheme="majorBidi" w:hAnsiTheme="majorBidi" w:cstheme="majorBidi"/>
                <w:b/>
                <w:bCs/>
                <w:sz w:val="18"/>
                <w:szCs w:val="18"/>
              </w:rPr>
            </w:pPr>
            <w:r w:rsidRPr="004545C3">
              <w:rPr>
                <w:rFonts w:asciiTheme="majorBidi" w:hAnsiTheme="majorBidi" w:cstheme="majorBidi"/>
                <w:b/>
                <w:bCs/>
                <w:sz w:val="18"/>
                <w:szCs w:val="18"/>
              </w:rPr>
              <w:t>E</w:t>
            </w:r>
          </w:p>
        </w:tc>
        <w:tc>
          <w:tcPr>
            <w:tcW w:w="1047" w:type="dxa"/>
            <w:vAlign w:val="center"/>
          </w:tcPr>
          <w:p w:rsidR="006B63C0" w:rsidRPr="004545C3" w:rsidRDefault="006B63C0" w:rsidP="009A53E2">
            <w:pPr>
              <w:jc w:val="center"/>
              <w:rPr>
                <w:rFonts w:asciiTheme="majorBidi" w:hAnsiTheme="majorBidi" w:cstheme="majorBidi"/>
                <w:b/>
                <w:bCs/>
                <w:sz w:val="18"/>
                <w:szCs w:val="18"/>
              </w:rPr>
            </w:pPr>
            <w:r>
              <w:rPr>
                <w:rFonts w:asciiTheme="majorBidi" w:hAnsiTheme="majorBidi" w:cstheme="majorBidi"/>
                <w:b/>
                <w:bCs/>
                <w:sz w:val="18"/>
                <w:szCs w:val="18"/>
              </w:rPr>
              <w:t>31/14</w:t>
            </w:r>
          </w:p>
        </w:tc>
      </w:tr>
      <w:tr w:rsidR="006B63C0" w:rsidRPr="004F0F39" w:rsidTr="009A53E2">
        <w:trPr>
          <w:jc w:val="center"/>
        </w:trPr>
        <w:tc>
          <w:tcPr>
            <w:tcW w:w="2174" w:type="dxa"/>
            <w:vAlign w:val="center"/>
          </w:tcPr>
          <w:p w:rsidR="006B63C0" w:rsidRPr="004545C3" w:rsidRDefault="006B63C0" w:rsidP="009A53E2">
            <w:pPr>
              <w:rPr>
                <w:rFonts w:asciiTheme="majorBidi" w:hAnsiTheme="majorBidi" w:cstheme="majorBidi"/>
                <w:sz w:val="18"/>
                <w:szCs w:val="18"/>
              </w:rPr>
            </w:pPr>
            <w:r w:rsidRPr="004545C3">
              <w:rPr>
                <w:rFonts w:asciiTheme="majorBidi" w:hAnsiTheme="majorBidi" w:cstheme="majorBidi"/>
                <w:sz w:val="18"/>
                <w:szCs w:val="18"/>
              </w:rPr>
              <w:t>19-23 September 2016</w:t>
            </w:r>
          </w:p>
        </w:tc>
        <w:tc>
          <w:tcPr>
            <w:tcW w:w="1989" w:type="dxa"/>
            <w:vAlign w:val="center"/>
          </w:tcPr>
          <w:p w:rsidR="006B63C0" w:rsidRPr="004545C3" w:rsidRDefault="006B63C0" w:rsidP="009A53E2">
            <w:pPr>
              <w:rPr>
                <w:rFonts w:asciiTheme="majorBidi" w:hAnsiTheme="majorBidi" w:cstheme="majorBidi"/>
                <w:b/>
                <w:bCs/>
                <w:sz w:val="18"/>
                <w:szCs w:val="18"/>
              </w:rPr>
            </w:pPr>
            <w:r w:rsidRPr="004545C3">
              <w:rPr>
                <w:rFonts w:asciiTheme="majorBidi" w:hAnsiTheme="majorBidi" w:cstheme="majorBidi"/>
                <w:b/>
                <w:bCs/>
                <w:sz w:val="18"/>
                <w:szCs w:val="18"/>
              </w:rPr>
              <w:t>RRS-16-Asia&amp;Pacific)</w:t>
            </w:r>
          </w:p>
        </w:tc>
        <w:tc>
          <w:tcPr>
            <w:tcW w:w="1175" w:type="dxa"/>
            <w:vAlign w:val="center"/>
          </w:tcPr>
          <w:p w:rsidR="006B63C0" w:rsidRPr="004545C3" w:rsidRDefault="006B63C0" w:rsidP="009A53E2">
            <w:pPr>
              <w:jc w:val="center"/>
              <w:rPr>
                <w:rFonts w:asciiTheme="majorBidi" w:hAnsiTheme="majorBidi" w:cstheme="majorBidi"/>
                <w:sz w:val="18"/>
                <w:szCs w:val="18"/>
              </w:rPr>
            </w:pPr>
            <w:r w:rsidRPr="004545C3">
              <w:rPr>
                <w:rFonts w:asciiTheme="majorBidi" w:hAnsiTheme="majorBidi" w:cstheme="majorBidi"/>
                <w:bCs/>
                <w:sz w:val="18"/>
                <w:szCs w:val="18"/>
              </w:rPr>
              <w:t>Apia, Samoa</w:t>
            </w:r>
          </w:p>
        </w:tc>
        <w:tc>
          <w:tcPr>
            <w:tcW w:w="2312" w:type="dxa"/>
            <w:vAlign w:val="center"/>
          </w:tcPr>
          <w:p w:rsidR="006B63C0" w:rsidRPr="004545C3" w:rsidRDefault="006B63C0" w:rsidP="009A53E2">
            <w:pPr>
              <w:jc w:val="center"/>
              <w:rPr>
                <w:rFonts w:ascii="Arial" w:hAnsi="Arial" w:cs="Arial"/>
                <w:color w:val="444444"/>
                <w:sz w:val="18"/>
                <w:szCs w:val="18"/>
                <w:shd w:val="clear" w:color="auto" w:fill="FFFFFF"/>
              </w:rPr>
            </w:pPr>
            <w:r w:rsidRPr="004545C3">
              <w:rPr>
                <w:rFonts w:ascii="Arial" w:hAnsi="Arial" w:cs="Arial"/>
                <w:color w:val="444444"/>
                <w:sz w:val="18"/>
                <w:szCs w:val="18"/>
                <w:shd w:val="clear" w:color="auto" w:fill="FFFFFF"/>
              </w:rPr>
              <w:t xml:space="preserve"> ICT Ministry. Samoa</w:t>
            </w:r>
          </w:p>
        </w:tc>
        <w:tc>
          <w:tcPr>
            <w:tcW w:w="1706" w:type="dxa"/>
            <w:vAlign w:val="center"/>
          </w:tcPr>
          <w:p w:rsidR="006B63C0" w:rsidRPr="004545C3" w:rsidRDefault="006B63C0" w:rsidP="009A53E2">
            <w:pPr>
              <w:jc w:val="center"/>
              <w:rPr>
                <w:rFonts w:asciiTheme="majorBidi" w:hAnsiTheme="majorBidi" w:cstheme="majorBidi"/>
                <w:sz w:val="18"/>
                <w:szCs w:val="18"/>
              </w:rPr>
            </w:pPr>
            <w:r w:rsidRPr="004545C3">
              <w:rPr>
                <w:rFonts w:asciiTheme="majorBidi" w:hAnsiTheme="majorBidi" w:cstheme="majorBidi"/>
                <w:sz w:val="18"/>
                <w:szCs w:val="18"/>
              </w:rPr>
              <w:t>ITU Asia&amp;Pacific Office</w:t>
            </w:r>
          </w:p>
        </w:tc>
        <w:tc>
          <w:tcPr>
            <w:tcW w:w="1841" w:type="dxa"/>
            <w:vAlign w:val="center"/>
          </w:tcPr>
          <w:p w:rsidR="006B63C0" w:rsidRPr="004545C3" w:rsidRDefault="006B63C0" w:rsidP="009A53E2">
            <w:pPr>
              <w:jc w:val="center"/>
              <w:rPr>
                <w:rFonts w:asciiTheme="majorBidi" w:hAnsiTheme="majorBidi" w:cstheme="majorBidi"/>
                <w:sz w:val="18"/>
                <w:szCs w:val="18"/>
              </w:rPr>
            </w:pPr>
            <w:r w:rsidRPr="004545C3">
              <w:rPr>
                <w:rFonts w:asciiTheme="majorBidi" w:hAnsiTheme="majorBidi" w:cstheme="majorBidi"/>
                <w:sz w:val="18"/>
                <w:szCs w:val="18"/>
              </w:rPr>
              <w:t>Bridging the Digital divide on the region: role of Radiocommunications Technologies"</w:t>
            </w:r>
          </w:p>
        </w:tc>
        <w:tc>
          <w:tcPr>
            <w:tcW w:w="1417" w:type="dxa"/>
            <w:vAlign w:val="center"/>
          </w:tcPr>
          <w:p w:rsidR="006B63C0" w:rsidRPr="004545C3" w:rsidRDefault="006B63C0" w:rsidP="009A53E2">
            <w:pPr>
              <w:jc w:val="center"/>
              <w:rPr>
                <w:rFonts w:asciiTheme="majorBidi" w:hAnsiTheme="majorBidi" w:cstheme="majorBidi"/>
                <w:b/>
                <w:bCs/>
                <w:sz w:val="18"/>
                <w:szCs w:val="18"/>
              </w:rPr>
            </w:pPr>
            <w:r w:rsidRPr="004545C3">
              <w:rPr>
                <w:rFonts w:asciiTheme="majorBidi" w:hAnsiTheme="majorBidi" w:cstheme="majorBidi"/>
                <w:b/>
                <w:bCs/>
                <w:sz w:val="18"/>
                <w:szCs w:val="18"/>
              </w:rPr>
              <w:t>E</w:t>
            </w:r>
          </w:p>
        </w:tc>
        <w:tc>
          <w:tcPr>
            <w:tcW w:w="1047" w:type="dxa"/>
            <w:vAlign w:val="center"/>
          </w:tcPr>
          <w:p w:rsidR="006B63C0" w:rsidRPr="004545C3" w:rsidRDefault="006B63C0" w:rsidP="009A53E2">
            <w:pPr>
              <w:jc w:val="center"/>
              <w:rPr>
                <w:rFonts w:asciiTheme="majorBidi" w:hAnsiTheme="majorBidi" w:cstheme="majorBidi"/>
                <w:b/>
                <w:bCs/>
                <w:sz w:val="18"/>
                <w:szCs w:val="18"/>
              </w:rPr>
            </w:pPr>
            <w:r>
              <w:rPr>
                <w:rFonts w:asciiTheme="majorBidi" w:hAnsiTheme="majorBidi" w:cstheme="majorBidi"/>
                <w:b/>
                <w:bCs/>
                <w:sz w:val="18"/>
                <w:szCs w:val="18"/>
              </w:rPr>
              <w:t>78/15</w:t>
            </w:r>
          </w:p>
        </w:tc>
      </w:tr>
    </w:tbl>
    <w:p w:rsidR="006B63C0" w:rsidRDefault="006B63C0" w:rsidP="006B63C0">
      <w:pPr>
        <w:pStyle w:val="TabletitleBR"/>
      </w:pPr>
    </w:p>
    <w:p w:rsidR="006B63C0" w:rsidRDefault="006B63C0" w:rsidP="006B63C0">
      <w:pPr>
        <w:pStyle w:val="TabletitleBR"/>
      </w:pPr>
    </w:p>
    <w:p w:rsidR="006B63C0" w:rsidRDefault="006B63C0" w:rsidP="006B63C0">
      <w:pPr>
        <w:pStyle w:val="TabletitleBR"/>
      </w:pPr>
    </w:p>
    <w:p w:rsidR="006B63C0" w:rsidRDefault="006B63C0" w:rsidP="006B63C0">
      <w:pPr>
        <w:rPr>
          <w:rFonts w:asciiTheme="majorBidi" w:hAnsiTheme="majorBidi" w:cstheme="majorBidi"/>
        </w:rPr>
        <w:sectPr w:rsidR="006B63C0" w:rsidSect="009A53E2">
          <w:headerReference w:type="default" r:id="rId35"/>
          <w:footerReference w:type="default" r:id="rId36"/>
          <w:pgSz w:w="16840" w:h="11907" w:orient="landscape" w:code="9"/>
          <w:pgMar w:top="1134" w:right="1418" w:bottom="1134" w:left="851" w:header="720" w:footer="720" w:gutter="0"/>
          <w:paperSrc w:first="15" w:other="15"/>
          <w:cols w:space="720"/>
          <w:docGrid w:linePitch="326"/>
        </w:sectPr>
      </w:pPr>
    </w:p>
    <w:p w:rsidR="006B63C0" w:rsidRPr="002A4318" w:rsidRDefault="006B63C0" w:rsidP="006B63C0">
      <w:pPr>
        <w:pStyle w:val="Heading3"/>
      </w:pPr>
      <w:bookmarkStart w:id="51" w:name="_Toc446060786"/>
      <w:bookmarkStart w:id="52" w:name="_Toc424047604"/>
      <w:r>
        <w:lastRenderedPageBreak/>
        <w:t>8.2.3</w:t>
      </w:r>
      <w:r w:rsidRPr="00ED04B0">
        <w:tab/>
        <w:t>Planned WRS &amp; RRS Cycle for 201</w:t>
      </w:r>
      <w:r>
        <w:t>7</w:t>
      </w:r>
      <w:r w:rsidRPr="00ED04B0">
        <w:t>-20</w:t>
      </w:r>
      <w:r>
        <w:t>20</w:t>
      </w:r>
      <w:bookmarkEnd w:id="51"/>
    </w:p>
    <w:p w:rsidR="006B63C0" w:rsidRPr="00A121A5" w:rsidRDefault="006B63C0" w:rsidP="006B63C0">
      <w:bookmarkStart w:id="53" w:name="_Toc446060787"/>
      <w:r w:rsidRPr="00A121A5">
        <w:t>Planning of the WRS</w:t>
      </w:r>
      <w:r>
        <w:t xml:space="preserve"> </w:t>
      </w:r>
      <w:r w:rsidRPr="00A121A5">
        <w:t>&amp;</w:t>
      </w:r>
      <w:r>
        <w:t xml:space="preserve"> </w:t>
      </w:r>
      <w:r w:rsidRPr="00A121A5">
        <w:t>RRS for the period 201</w:t>
      </w:r>
      <w:r>
        <w:t>7</w:t>
      </w:r>
      <w:r w:rsidRPr="00A121A5">
        <w:t>-20</w:t>
      </w:r>
      <w:r>
        <w:t>20</w:t>
      </w:r>
      <w:r w:rsidRPr="00A121A5">
        <w:t xml:space="preserve"> </w:t>
      </w:r>
      <w:r>
        <w:t>is</w:t>
      </w:r>
      <w:r w:rsidRPr="00A121A5">
        <w:t xml:space="preserve"> based on the following prin</w:t>
      </w:r>
      <w:r>
        <w:t>c</w:t>
      </w:r>
      <w:r w:rsidRPr="00A121A5">
        <w:t>iples:</w:t>
      </w:r>
    </w:p>
    <w:p w:rsidR="006B63C0" w:rsidRPr="00A121A5" w:rsidRDefault="006B63C0" w:rsidP="006B63C0">
      <w:pPr>
        <w:pStyle w:val="ListParagraph"/>
        <w:numPr>
          <w:ilvl w:val="0"/>
          <w:numId w:val="19"/>
        </w:numPr>
        <w:spacing w:before="120" w:after="0"/>
        <w:ind w:left="714" w:hanging="357"/>
      </w:pPr>
      <w:r>
        <w:t>during t</w:t>
      </w:r>
      <w:r w:rsidRPr="00A121A5">
        <w:t>he quarter before and after a WRC</w:t>
      </w:r>
      <w:r>
        <w:t>,</w:t>
      </w:r>
      <w:r w:rsidRPr="00A121A5">
        <w:t xml:space="preserve"> no Seminar is scheduled, in order to allow for the RR updates </w:t>
      </w:r>
      <w:r>
        <w:t>and</w:t>
      </w:r>
      <w:r w:rsidRPr="00A121A5">
        <w:t xml:space="preserve"> the necessary changes to the Software Tools</w:t>
      </w:r>
      <w:r>
        <w:t xml:space="preserve"> to be made;</w:t>
      </w:r>
    </w:p>
    <w:p w:rsidR="006B63C0" w:rsidRPr="00A121A5" w:rsidRDefault="006B63C0" w:rsidP="006B63C0">
      <w:pPr>
        <w:pStyle w:val="ListParagraph"/>
        <w:numPr>
          <w:ilvl w:val="0"/>
          <w:numId w:val="19"/>
        </w:numPr>
        <w:spacing w:before="120" w:after="0"/>
        <w:ind w:left="714" w:hanging="357"/>
      </w:pPr>
      <w:r>
        <w:t>2 WRS per cycle (every 2 years);</w:t>
      </w:r>
    </w:p>
    <w:p w:rsidR="006B63C0" w:rsidRPr="00A121A5" w:rsidRDefault="006B63C0" w:rsidP="006B63C0">
      <w:pPr>
        <w:pStyle w:val="ListParagraph"/>
        <w:numPr>
          <w:ilvl w:val="0"/>
          <w:numId w:val="19"/>
        </w:numPr>
        <w:spacing w:before="120" w:after="0"/>
        <w:ind w:left="714" w:hanging="357"/>
      </w:pPr>
      <w:r w:rsidRPr="00A121A5">
        <w:t>the first WRS after a WRC will have a specific session devoted to explain in detail the modifications o</w:t>
      </w:r>
      <w:r>
        <w:t>n the RRs introduced by the WRC;</w:t>
      </w:r>
    </w:p>
    <w:p w:rsidR="006B63C0" w:rsidRPr="00A121A5" w:rsidRDefault="006B63C0" w:rsidP="006B63C0">
      <w:pPr>
        <w:pStyle w:val="ListParagraph"/>
        <w:numPr>
          <w:ilvl w:val="0"/>
          <w:numId w:val="19"/>
        </w:numPr>
        <w:spacing w:before="120" w:after="0"/>
        <w:ind w:left="714" w:hanging="357"/>
      </w:pPr>
      <w:r w:rsidRPr="00A121A5">
        <w:t>the two RRS</w:t>
      </w:r>
      <w:r>
        <w:t>s</w:t>
      </w:r>
      <w:r w:rsidRPr="00A121A5">
        <w:t xml:space="preserve"> for Africa will be scheduled in different years than the WRS, considering that the participation in RRS Africa is nearly twice larger than in other RRS</w:t>
      </w:r>
      <w:r>
        <w:t>s, and to allow for an </w:t>
      </w:r>
      <w:r w:rsidRPr="00A121A5">
        <w:t>even distribution of the fellowship budget (Africa represents more than 50% of the eligible countries)</w:t>
      </w:r>
      <w:r>
        <w:t>;</w:t>
      </w:r>
    </w:p>
    <w:p w:rsidR="006B63C0" w:rsidRPr="00A121A5" w:rsidRDefault="006B63C0" w:rsidP="006B63C0">
      <w:pPr>
        <w:pStyle w:val="ListParagraph"/>
        <w:numPr>
          <w:ilvl w:val="0"/>
          <w:numId w:val="19"/>
        </w:numPr>
        <w:spacing w:before="120" w:after="0"/>
        <w:ind w:left="714" w:hanging="357"/>
      </w:pPr>
      <w:r w:rsidRPr="00A121A5">
        <w:t xml:space="preserve">a RRS will be scheduled on every quarter, ensuring </w:t>
      </w:r>
      <w:r>
        <w:t>an annual visit to every region;</w:t>
      </w:r>
    </w:p>
    <w:p w:rsidR="006B63C0" w:rsidRPr="00A121A5" w:rsidRDefault="006B63C0" w:rsidP="006B63C0">
      <w:pPr>
        <w:pStyle w:val="ListParagraph"/>
        <w:numPr>
          <w:ilvl w:val="0"/>
          <w:numId w:val="19"/>
        </w:numPr>
        <w:spacing w:before="120" w:after="0"/>
        <w:ind w:left="714" w:hanging="357"/>
      </w:pPr>
      <w:r w:rsidRPr="00A121A5">
        <w:t xml:space="preserve">RRSs will be carried out in the predominant language of the region, which helps reduce interpretation costs and allows for an easier exchange </w:t>
      </w:r>
      <w:r>
        <w:t>of information during the event;</w:t>
      </w:r>
    </w:p>
    <w:p w:rsidR="006B63C0" w:rsidRPr="00A121A5" w:rsidRDefault="006B63C0" w:rsidP="006B63C0">
      <w:pPr>
        <w:pStyle w:val="ListParagraph"/>
        <w:numPr>
          <w:ilvl w:val="0"/>
          <w:numId w:val="19"/>
        </w:numPr>
        <w:spacing w:before="120" w:after="0"/>
        <w:ind w:left="714" w:hanging="357"/>
      </w:pPr>
      <w:r w:rsidRPr="00A121A5">
        <w:t>the programs of the RRSs will be tailored to the specifi</w:t>
      </w:r>
      <w:r>
        <w:t>c needs of the region concerned;</w:t>
      </w:r>
    </w:p>
    <w:p w:rsidR="006B63C0" w:rsidRPr="00A121A5" w:rsidRDefault="006B63C0" w:rsidP="006B63C0">
      <w:pPr>
        <w:pStyle w:val="ListParagraph"/>
        <w:numPr>
          <w:ilvl w:val="0"/>
          <w:numId w:val="19"/>
        </w:numPr>
        <w:spacing w:before="120" w:after="0"/>
        <w:ind w:left="714" w:hanging="357"/>
      </w:pPr>
      <w:r w:rsidRPr="00A121A5">
        <w:t>the last day of each RRS will be devoted to a Forum-type session, where panelists from outside the region could be invited to enlarge the scope of the discussions (provision of interpretation from/to English might</w:t>
      </w:r>
      <w:r>
        <w:t xml:space="preserve"> become necessary for that day).</w:t>
      </w:r>
    </w:p>
    <w:p w:rsidR="006B63C0" w:rsidRDefault="006B63C0" w:rsidP="006B63C0">
      <w:r>
        <w:t>Following the above-mentioned principles, the following RRS are in preparation for 2017:</w:t>
      </w:r>
    </w:p>
    <w:p w:rsidR="006B63C0" w:rsidRDefault="006B63C0" w:rsidP="006B63C0">
      <w:pPr>
        <w:pStyle w:val="ListParagraph"/>
        <w:numPr>
          <w:ilvl w:val="0"/>
          <w:numId w:val="37"/>
        </w:numPr>
        <w:spacing w:before="120" w:after="0"/>
        <w:ind w:left="714" w:hanging="357"/>
      </w:pPr>
      <w:r>
        <w:t>RRS-17-Africa: to be held in Dakar, Senegal, 27-31 March; conducted both in E and F. Paralleled workshops will be made for Space and Terrestrial services respectively; last day a Forum about W</w:t>
      </w:r>
      <w:r w:rsidRPr="005825A9">
        <w:t>R</w:t>
      </w:r>
      <w:r>
        <w:t>C-19</w:t>
      </w:r>
      <w:r w:rsidRPr="005825A9">
        <w:t>: challenge</w:t>
      </w:r>
      <w:r>
        <w:t>s and opportunities for Africa;</w:t>
      </w:r>
    </w:p>
    <w:p w:rsidR="006B63C0" w:rsidRDefault="006B63C0" w:rsidP="006B63C0">
      <w:pPr>
        <w:pStyle w:val="ListParagraph"/>
        <w:numPr>
          <w:ilvl w:val="0"/>
          <w:numId w:val="37"/>
        </w:numPr>
      </w:pPr>
      <w:r>
        <w:t>RRS-17-Americas: expected dates; 1</w:t>
      </w:r>
      <w:r w:rsidRPr="0078131C">
        <w:rPr>
          <w:vertAlign w:val="superscript"/>
        </w:rPr>
        <w:t>st</w:t>
      </w:r>
      <w:r>
        <w:t xml:space="preserve"> or 2</w:t>
      </w:r>
      <w:r w:rsidRPr="0078131C">
        <w:rPr>
          <w:vertAlign w:val="superscript"/>
        </w:rPr>
        <w:t>nd</w:t>
      </w:r>
      <w:r>
        <w:t xml:space="preserve"> week September; conducted in S;</w:t>
      </w:r>
    </w:p>
    <w:p w:rsidR="006B63C0" w:rsidRDefault="006B63C0" w:rsidP="006B63C0">
      <w:pPr>
        <w:pStyle w:val="ListParagraph"/>
        <w:numPr>
          <w:ilvl w:val="0"/>
          <w:numId w:val="37"/>
        </w:numPr>
      </w:pPr>
      <w:r w:rsidRPr="004F5B86">
        <w:t>RRS-17-</w:t>
      </w:r>
      <w:r>
        <w:t>Asia &amp; Pacific</w:t>
      </w:r>
      <w:r w:rsidRPr="004F5B86">
        <w:t xml:space="preserve">: </w:t>
      </w:r>
      <w:r>
        <w:t>expected</w:t>
      </w:r>
      <w:r w:rsidRPr="004F5B86">
        <w:t xml:space="preserve"> dates; </w:t>
      </w:r>
      <w:r>
        <w:t>last week October; conducted in E;</w:t>
      </w:r>
    </w:p>
    <w:p w:rsidR="006B63C0" w:rsidRDefault="006B63C0" w:rsidP="006B63C0">
      <w:pPr>
        <w:pStyle w:val="ListParagraph"/>
        <w:numPr>
          <w:ilvl w:val="0"/>
          <w:numId w:val="37"/>
        </w:numPr>
      </w:pPr>
      <w:r>
        <w:t xml:space="preserve">RRS-17-Arab States: expected </w:t>
      </w:r>
      <w:r w:rsidRPr="005825A9">
        <w:t>dates; 1</w:t>
      </w:r>
      <w:r w:rsidRPr="0078131C">
        <w:rPr>
          <w:vertAlign w:val="superscript"/>
        </w:rPr>
        <w:t>st</w:t>
      </w:r>
      <w:r w:rsidRPr="005825A9">
        <w:t xml:space="preserve"> or 2</w:t>
      </w:r>
      <w:r w:rsidRPr="0078131C">
        <w:rPr>
          <w:vertAlign w:val="superscript"/>
        </w:rPr>
        <w:t>nd</w:t>
      </w:r>
      <w:r w:rsidRPr="005825A9">
        <w:t xml:space="preserve"> week </w:t>
      </w:r>
      <w:r>
        <w:t>December; conducted in A.</w:t>
      </w:r>
    </w:p>
    <w:p w:rsidR="006B63C0" w:rsidRPr="00A121A5" w:rsidRDefault="006B63C0" w:rsidP="006B63C0">
      <w:r>
        <w:t xml:space="preserve">BR will offer partial fellowships to eligible countries within each targeted region. </w:t>
      </w:r>
    </w:p>
    <w:p w:rsidR="006B63C0" w:rsidRDefault="006B63C0" w:rsidP="006B63C0">
      <w:pPr>
        <w:pStyle w:val="Heading3"/>
      </w:pPr>
      <w:r w:rsidRPr="00ED04B0">
        <w:t>8.2.4</w:t>
      </w:r>
      <w:r w:rsidRPr="00ED04B0">
        <w:tab/>
        <w:t>Other Events</w:t>
      </w:r>
      <w:bookmarkEnd w:id="52"/>
      <w:bookmarkEnd w:id="53"/>
    </w:p>
    <w:p w:rsidR="006B63C0" w:rsidRPr="006453B4" w:rsidRDefault="006B63C0" w:rsidP="002C6B86">
      <w:pPr>
        <w:rPr>
          <w:lang w:val="en-US"/>
        </w:rPr>
      </w:pPr>
      <w:r w:rsidRPr="006453B4">
        <w:rPr>
          <w:lang w:val="en-US"/>
        </w:rPr>
        <w:t>During 2016</w:t>
      </w:r>
      <w:r>
        <w:rPr>
          <w:lang w:val="en-US"/>
        </w:rPr>
        <w:t>,</w:t>
      </w:r>
      <w:r w:rsidRPr="006453B4">
        <w:rPr>
          <w:lang w:val="en-US"/>
        </w:rPr>
        <w:t xml:space="preserve"> several events </w:t>
      </w:r>
      <w:r>
        <w:rPr>
          <w:lang w:val="en-US"/>
        </w:rPr>
        <w:t xml:space="preserve">were </w:t>
      </w:r>
      <w:r w:rsidRPr="006453B4">
        <w:rPr>
          <w:lang w:val="en-US"/>
        </w:rPr>
        <w:t>organized entirely by BR or in cooperation with BDT/TSB and/or other bodies</w:t>
      </w:r>
      <w:r>
        <w:rPr>
          <w:lang w:val="en-US"/>
        </w:rPr>
        <w:t xml:space="preserve"> and with the support of the ITU Regional Offices</w:t>
      </w:r>
      <w:r w:rsidRPr="006453B4">
        <w:rPr>
          <w:lang w:val="en-US"/>
        </w:rPr>
        <w:t>, in particular</w:t>
      </w:r>
      <w:r>
        <w:rPr>
          <w:lang w:val="en-US"/>
        </w:rPr>
        <w:t>:</w:t>
      </w:r>
    </w:p>
    <w:p w:rsidR="006B63C0" w:rsidRPr="006453B4" w:rsidRDefault="006B63C0" w:rsidP="006B63C0">
      <w:pPr>
        <w:pStyle w:val="enumlev1"/>
        <w:rPr>
          <w:lang w:val="en-US"/>
        </w:rPr>
      </w:pPr>
      <w:r>
        <w:rPr>
          <w:b/>
          <w:bCs/>
          <w:lang w:val="en-US"/>
        </w:rPr>
        <w:t>–</w:t>
      </w:r>
      <w:r>
        <w:rPr>
          <w:b/>
          <w:bCs/>
          <w:lang w:val="en-US"/>
        </w:rPr>
        <w:tab/>
      </w:r>
      <w:r w:rsidRPr="006453B4">
        <w:rPr>
          <w:b/>
          <w:bCs/>
          <w:lang w:val="en-US"/>
        </w:rPr>
        <w:t>Central America Summit on Digital Terrestrial Television and Digital Dividend</w:t>
      </w:r>
      <w:r w:rsidRPr="006453B4">
        <w:rPr>
          <w:lang w:val="en-US"/>
        </w:rPr>
        <w:t xml:space="preserve">: held </w:t>
      </w:r>
      <w:r>
        <w:rPr>
          <w:lang w:val="en-US"/>
        </w:rPr>
        <w:t>in</w:t>
      </w:r>
      <w:r w:rsidRPr="006453B4">
        <w:rPr>
          <w:lang w:val="en-US"/>
        </w:rPr>
        <w:t xml:space="preserve"> San Salvador, El Salvador, 25</w:t>
      </w:r>
      <w:r w:rsidRPr="006453B4">
        <w:rPr>
          <w:rFonts w:ascii="Cambria Math" w:hAnsi="Cambria Math" w:cs="Cambria Math"/>
          <w:lang w:val="en-US"/>
        </w:rPr>
        <w:t>‐</w:t>
      </w:r>
      <w:r w:rsidRPr="006453B4">
        <w:rPr>
          <w:lang w:val="en-US"/>
        </w:rPr>
        <w:t xml:space="preserve">26 of July 2016, co-organized with COMTELCA and hosted by SIGET El Salvador, in cooperation with CITEL and CTU. </w:t>
      </w:r>
      <w:r>
        <w:rPr>
          <w:lang w:val="en-US"/>
        </w:rPr>
        <w:t xml:space="preserve">The outcome </w:t>
      </w:r>
      <w:r w:rsidRPr="006453B4">
        <w:rPr>
          <w:lang w:val="en-US"/>
        </w:rPr>
        <w:t xml:space="preserve">of the event was the </w:t>
      </w:r>
      <w:r>
        <w:rPr>
          <w:lang w:val="en-US"/>
        </w:rPr>
        <w:t>adoption</w:t>
      </w:r>
      <w:r w:rsidRPr="006453B4">
        <w:rPr>
          <w:lang w:val="en-US"/>
        </w:rPr>
        <w:t xml:space="preserve"> by COMTELCA Members of </w:t>
      </w:r>
      <w:r>
        <w:rPr>
          <w:lang w:val="en-US"/>
        </w:rPr>
        <w:t>a declaration</w:t>
      </w:r>
      <w:r w:rsidRPr="006453B4">
        <w:rPr>
          <w:lang w:val="en-US"/>
        </w:rPr>
        <w:t xml:space="preserve"> </w:t>
      </w:r>
      <w:r>
        <w:rPr>
          <w:lang w:val="en-US"/>
        </w:rPr>
        <w:t xml:space="preserve">on </w:t>
      </w:r>
      <w:r w:rsidRPr="006453B4">
        <w:rPr>
          <w:lang w:val="en-US"/>
        </w:rPr>
        <w:t xml:space="preserve">the need to consolidate roadmaps </w:t>
      </w:r>
      <w:r>
        <w:rPr>
          <w:lang w:val="en-US"/>
        </w:rPr>
        <w:t xml:space="preserve">for </w:t>
      </w:r>
      <w:r w:rsidRPr="006453B4">
        <w:rPr>
          <w:lang w:val="en-US"/>
        </w:rPr>
        <w:t xml:space="preserve">the transition to Digital Terrestrial Television and for the implementation of the Digital Dividend. As a </w:t>
      </w:r>
      <w:r>
        <w:rPr>
          <w:lang w:val="en-US"/>
        </w:rPr>
        <w:t>follow-up</w:t>
      </w:r>
      <w:r w:rsidRPr="006453B4">
        <w:rPr>
          <w:lang w:val="en-US"/>
        </w:rPr>
        <w:t xml:space="preserve">, in collaboration with COMTELCA, CTU, and CITEL, </w:t>
      </w:r>
      <w:r>
        <w:rPr>
          <w:lang w:val="en-US"/>
        </w:rPr>
        <w:t xml:space="preserve">the </w:t>
      </w:r>
      <w:r w:rsidRPr="006453B4">
        <w:rPr>
          <w:lang w:val="en-US"/>
        </w:rPr>
        <w:t xml:space="preserve">BR </w:t>
      </w:r>
      <w:r>
        <w:rPr>
          <w:lang w:val="en-US"/>
        </w:rPr>
        <w:t>is organizing a</w:t>
      </w:r>
      <w:r w:rsidRPr="006453B4">
        <w:rPr>
          <w:lang w:val="en-US"/>
        </w:rPr>
        <w:t xml:space="preserve"> seri</w:t>
      </w:r>
      <w:r>
        <w:rPr>
          <w:lang w:val="en-US"/>
        </w:rPr>
        <w:t>es</w:t>
      </w:r>
      <w:r w:rsidRPr="006453B4">
        <w:rPr>
          <w:lang w:val="en-US"/>
        </w:rPr>
        <w:t xml:space="preserve"> of </w:t>
      </w:r>
      <w:r>
        <w:rPr>
          <w:lang w:val="en-US"/>
        </w:rPr>
        <w:t>regional frequency c</w:t>
      </w:r>
      <w:r w:rsidRPr="006453B4">
        <w:rPr>
          <w:lang w:val="en-US"/>
        </w:rPr>
        <w:t>oordination</w:t>
      </w:r>
      <w:r>
        <w:rPr>
          <w:lang w:val="en-US"/>
        </w:rPr>
        <w:t xml:space="preserve"> meetings</w:t>
      </w:r>
      <w:r w:rsidRPr="006453B4">
        <w:rPr>
          <w:lang w:val="en-US"/>
        </w:rPr>
        <w:t xml:space="preserve"> on the use of the VHF band (174</w:t>
      </w:r>
      <w:r w:rsidRPr="006453B4">
        <w:rPr>
          <w:rFonts w:ascii="Cambria Math" w:hAnsi="Cambria Math" w:cs="Cambria Math"/>
          <w:lang w:val="en-US"/>
        </w:rPr>
        <w:t>‐</w:t>
      </w:r>
      <w:r w:rsidRPr="006453B4">
        <w:rPr>
          <w:lang w:val="en-US"/>
        </w:rPr>
        <w:t>216 MHz) and the UHF band (470</w:t>
      </w:r>
      <w:r>
        <w:rPr>
          <w:rFonts w:ascii="Cambria Math" w:hAnsi="Cambria Math" w:cs="Cambria Math"/>
          <w:lang w:val="en-US"/>
        </w:rPr>
        <w:noBreakHyphen/>
      </w:r>
      <w:r>
        <w:rPr>
          <w:lang w:val="en-US"/>
        </w:rPr>
        <w:t xml:space="preserve">790 MHz). The first meeting was </w:t>
      </w:r>
      <w:r w:rsidRPr="006453B4">
        <w:rPr>
          <w:lang w:val="en-US"/>
        </w:rPr>
        <w:t xml:space="preserve">held </w:t>
      </w:r>
      <w:r>
        <w:rPr>
          <w:lang w:val="en-US"/>
        </w:rPr>
        <w:t>in</w:t>
      </w:r>
      <w:r w:rsidRPr="006453B4">
        <w:rPr>
          <w:lang w:val="en-US"/>
        </w:rPr>
        <w:t xml:space="preserve"> Managua, Nicaragua, 8-10 march 2017</w:t>
      </w:r>
      <w:r>
        <w:rPr>
          <w:lang w:val="en-US"/>
        </w:rPr>
        <w:t xml:space="preserve"> (see Section 8.3.3).</w:t>
      </w:r>
    </w:p>
    <w:p w:rsidR="006B63C0" w:rsidRDefault="006B63C0" w:rsidP="006B63C0">
      <w:pPr>
        <w:tabs>
          <w:tab w:val="clear" w:pos="794"/>
          <w:tab w:val="clear" w:pos="1191"/>
          <w:tab w:val="clear" w:pos="1588"/>
          <w:tab w:val="clear" w:pos="1985"/>
        </w:tabs>
        <w:overflowPunct/>
        <w:autoSpaceDE/>
        <w:autoSpaceDN/>
        <w:adjustRightInd/>
        <w:spacing w:before="0"/>
        <w:textAlignment w:val="auto"/>
        <w:rPr>
          <w:lang w:val="en-US"/>
        </w:rPr>
      </w:pPr>
      <w:r>
        <w:rPr>
          <w:lang w:val="en-US"/>
        </w:rPr>
        <w:br w:type="page"/>
      </w:r>
    </w:p>
    <w:p w:rsidR="006B63C0" w:rsidRPr="00D55F94" w:rsidRDefault="006B63C0" w:rsidP="006B63C0">
      <w:pPr>
        <w:pStyle w:val="enumlev1"/>
        <w:rPr>
          <w:lang w:val="en-US"/>
        </w:rPr>
      </w:pPr>
      <w:r>
        <w:rPr>
          <w:lang w:val="en-US"/>
        </w:rPr>
        <w:lastRenderedPageBreak/>
        <w:t>–</w:t>
      </w:r>
      <w:r>
        <w:rPr>
          <w:lang w:val="en-US"/>
        </w:rPr>
        <w:tab/>
      </w:r>
      <w:r w:rsidRPr="006009B8">
        <w:rPr>
          <w:b/>
          <w:bCs/>
          <w:lang w:val="en-US"/>
        </w:rPr>
        <w:t>ITU International Satellite Symposium 2016: “Satellite Regulation, Market, Technology Trends and Industry Opportunities"</w:t>
      </w:r>
      <w:r w:rsidRPr="00D55F94">
        <w:rPr>
          <w:lang w:val="en-US"/>
        </w:rPr>
        <w:t>: preceded by a one</w:t>
      </w:r>
      <w:r w:rsidRPr="00D55F94">
        <w:rPr>
          <w:rFonts w:ascii="Cambria Math" w:hAnsi="Cambria Math" w:cs="Cambria Math"/>
          <w:lang w:val="en-US"/>
        </w:rPr>
        <w:t>‐</w:t>
      </w:r>
      <w:r w:rsidRPr="00D55F94">
        <w:rPr>
          <w:lang w:val="en-US"/>
        </w:rPr>
        <w:t xml:space="preserve">day </w:t>
      </w:r>
      <w:r w:rsidRPr="006009B8">
        <w:rPr>
          <w:b/>
          <w:bCs/>
          <w:lang w:val="en-US"/>
        </w:rPr>
        <w:t>ITU Workshop on the Efficient Use of the Spectrum/Orbit Resource</w:t>
      </w:r>
      <w:r w:rsidRPr="00D55F94">
        <w:rPr>
          <w:lang w:val="en-US"/>
        </w:rPr>
        <w:t xml:space="preserve">. Both of events took place on 6 and on 7-8 September 2016 respectively, in Denpasar, Bali, Indonesia, and were kindly hosted by the Ministry of Communication and Information Technology of Indonesia (MCIT), with the support of Asosiasi Satelit Indonesia (ASSI). </w:t>
      </w:r>
    </w:p>
    <w:p w:rsidR="006B63C0" w:rsidRPr="00D55F94" w:rsidRDefault="006B63C0" w:rsidP="006B63C0">
      <w:pPr>
        <w:pStyle w:val="enumlev1"/>
      </w:pPr>
      <w:r>
        <w:rPr>
          <w:b/>
          <w:bCs/>
          <w:lang w:val="en-US"/>
        </w:rPr>
        <w:t>–</w:t>
      </w:r>
      <w:r>
        <w:rPr>
          <w:b/>
          <w:bCs/>
          <w:lang w:val="en-US"/>
        </w:rPr>
        <w:tab/>
      </w:r>
      <w:r w:rsidRPr="00D55F94">
        <w:rPr>
          <w:b/>
          <w:bCs/>
          <w:lang w:val="en-US"/>
        </w:rPr>
        <w:t>Commonwealth Telecommunications Organization Forum 2016</w:t>
      </w:r>
      <w:r w:rsidRPr="00D55F94">
        <w:rPr>
          <w:lang w:val="en-US"/>
        </w:rPr>
        <w:t xml:space="preserve">: </w:t>
      </w:r>
      <w:r w:rsidRPr="00D55F94">
        <w:rPr>
          <w:b/>
          <w:bCs/>
          <w:lang w:val="en-US"/>
        </w:rPr>
        <w:t>ICTs for Inclusive Growth</w:t>
      </w:r>
      <w:r w:rsidRPr="00D55F94">
        <w:rPr>
          <w:lang w:val="en-US"/>
        </w:rPr>
        <w:t>: Hosted by Fiji Government, held at Denarau, Fij</w:t>
      </w:r>
      <w:r>
        <w:rPr>
          <w:lang w:val="en-US"/>
        </w:rPr>
        <w:t>i, 12 to 14 September 2016. The </w:t>
      </w:r>
      <w:r w:rsidRPr="00D55F94">
        <w:rPr>
          <w:lang w:val="en-US"/>
        </w:rPr>
        <w:t xml:space="preserve">Forum was attended by Ministers, senior policymakers, regulators and industry leaders from the Commonwealth. </w:t>
      </w:r>
    </w:p>
    <w:p w:rsidR="006B63C0" w:rsidRPr="00B166E9" w:rsidRDefault="006B63C0" w:rsidP="006B63C0">
      <w:pPr>
        <w:pStyle w:val="enumlev1"/>
      </w:pPr>
      <w:r>
        <w:rPr>
          <w:b/>
          <w:bCs/>
          <w:lang w:val="en-US"/>
        </w:rPr>
        <w:t>–</w:t>
      </w:r>
      <w:r>
        <w:rPr>
          <w:b/>
          <w:bCs/>
          <w:lang w:val="en-US"/>
        </w:rPr>
        <w:tab/>
      </w:r>
      <w:r w:rsidRPr="00D55F94">
        <w:rPr>
          <w:b/>
          <w:bCs/>
          <w:lang w:val="en-US"/>
        </w:rPr>
        <w:t>The 44</w:t>
      </w:r>
      <w:r w:rsidRPr="006009B8">
        <w:rPr>
          <w:b/>
          <w:bCs/>
          <w:vertAlign w:val="superscript"/>
          <w:lang w:val="en-US"/>
        </w:rPr>
        <w:t>th</w:t>
      </w:r>
      <w:r w:rsidRPr="00D55F94">
        <w:rPr>
          <w:b/>
          <w:bCs/>
          <w:lang w:val="en-US"/>
        </w:rPr>
        <w:t xml:space="preserve"> Research Conference on Communications, Information and Internet Policy (TPRC): </w:t>
      </w:r>
      <w:r w:rsidRPr="00D55F94">
        <w:rPr>
          <w:lang w:val="en-US"/>
        </w:rPr>
        <w:t>Organized by George Mason University; Arlington, VA, USA during Septemb</w:t>
      </w:r>
      <w:r>
        <w:rPr>
          <w:lang w:val="en-US"/>
        </w:rPr>
        <w:t>er </w:t>
      </w:r>
      <w:r w:rsidRPr="00D55F94">
        <w:rPr>
          <w:lang w:val="en-US"/>
        </w:rPr>
        <w:t xml:space="preserve">30-October 1, 2016. The </w:t>
      </w:r>
      <w:r>
        <w:rPr>
          <w:lang w:val="en-US"/>
        </w:rPr>
        <w:t xml:space="preserve">BR participated in a </w:t>
      </w:r>
      <w:r w:rsidRPr="00D55F94">
        <w:rPr>
          <w:lang w:val="en-US"/>
        </w:rPr>
        <w:t xml:space="preserve">debate </w:t>
      </w:r>
      <w:r>
        <w:rPr>
          <w:lang w:val="en-US"/>
        </w:rPr>
        <w:t xml:space="preserve">on </w:t>
      </w:r>
      <w:r w:rsidRPr="00D55F94">
        <w:rPr>
          <w:lang w:val="en-US"/>
        </w:rPr>
        <w:t>the interaction of national policies with the internati</w:t>
      </w:r>
      <w:r>
        <w:rPr>
          <w:lang w:val="en-US"/>
        </w:rPr>
        <w:t>onal spectrum management regime.</w:t>
      </w:r>
    </w:p>
    <w:p w:rsidR="006B63C0" w:rsidRDefault="006B63C0" w:rsidP="006B63C0">
      <w:pPr>
        <w:pStyle w:val="enumlev1"/>
      </w:pPr>
      <w:r>
        <w:rPr>
          <w:b/>
          <w:bCs/>
        </w:rPr>
        <w:t>–</w:t>
      </w:r>
      <w:r>
        <w:rPr>
          <w:b/>
          <w:bCs/>
        </w:rPr>
        <w:tab/>
      </w:r>
      <w:r w:rsidRPr="0096242C">
        <w:rPr>
          <w:b/>
          <w:bCs/>
        </w:rPr>
        <w:t>ITU Symposium and Workshop on small satellite regulation and communication systems 2016</w:t>
      </w:r>
      <w:r w:rsidRPr="0096242C">
        <w:t xml:space="preserve">: organized by the ITU Radiocommunication Bureau, in cooperation of Universidad of Chile, and with the support of Subsecretaria de Telecomunicaciones of Chile (SUBTEL) and was attended by 80 participants representing 22 countries mostly from the Americas region. Table 8.2.4-1 summarizes the </w:t>
      </w:r>
      <w:r>
        <w:t>participation of</w:t>
      </w:r>
      <w:r w:rsidRPr="0096242C">
        <w:t xml:space="preserve"> BR staff </w:t>
      </w:r>
      <w:r>
        <w:t>in</w:t>
      </w:r>
      <w:r w:rsidRPr="0096242C">
        <w:t xml:space="preserve"> the above activities since 2013. For completeness, this table also includes the participation of BR staff in providing assistance to Member States (See Section 8.3).</w:t>
      </w:r>
    </w:p>
    <w:p w:rsidR="006B63C0" w:rsidRDefault="006B63C0" w:rsidP="006B63C0">
      <w:pPr>
        <w:pStyle w:val="enumlev1"/>
        <w:sectPr w:rsidR="006B63C0" w:rsidSect="009A53E2">
          <w:headerReference w:type="default" r:id="rId37"/>
          <w:footerReference w:type="default" r:id="rId38"/>
          <w:pgSz w:w="11907" w:h="16840" w:code="9"/>
          <w:pgMar w:top="1418" w:right="1134" w:bottom="851" w:left="1134" w:header="720" w:footer="720" w:gutter="0"/>
          <w:paperSrc w:first="15" w:other="15"/>
          <w:cols w:space="720"/>
          <w:docGrid w:linePitch="326"/>
        </w:sectPr>
      </w:pPr>
    </w:p>
    <w:p w:rsidR="006B63C0" w:rsidRDefault="006B63C0" w:rsidP="006B63C0">
      <w:pPr>
        <w:pStyle w:val="TableNo"/>
        <w:rPr>
          <w:lang w:eastAsia="zh-CN"/>
        </w:rPr>
      </w:pPr>
      <w:r w:rsidRPr="006453B4">
        <w:rPr>
          <w:lang w:eastAsia="zh-CN"/>
        </w:rPr>
        <w:lastRenderedPageBreak/>
        <w:t>Table 8.2.4-1</w:t>
      </w:r>
    </w:p>
    <w:p w:rsidR="006B63C0" w:rsidRDefault="006B63C0" w:rsidP="006B63C0">
      <w:pPr>
        <w:pStyle w:val="TabletitleBR"/>
        <w:rPr>
          <w:lang w:eastAsia="zh-CN"/>
        </w:rPr>
      </w:pPr>
      <w:r>
        <w:rPr>
          <w:lang w:eastAsia="zh-CN"/>
        </w:rPr>
        <w:t>Participation of BR staff to events in order to disseminate information</w:t>
      </w:r>
    </w:p>
    <w:p w:rsidR="006B63C0" w:rsidRDefault="006B63C0" w:rsidP="006B63C0">
      <w:pPr>
        <w:rPr>
          <w:lang w:eastAsia="zh-CN"/>
        </w:rPr>
      </w:pPr>
    </w:p>
    <w:tbl>
      <w:tblPr>
        <w:tblW w:w="14732" w:type="dxa"/>
        <w:tblLook w:val="04A0" w:firstRow="1" w:lastRow="0" w:firstColumn="1" w:lastColumn="0" w:noHBand="0" w:noVBand="1"/>
      </w:tblPr>
      <w:tblGrid>
        <w:gridCol w:w="4679"/>
        <w:gridCol w:w="887"/>
        <w:gridCol w:w="976"/>
        <w:gridCol w:w="887"/>
        <w:gridCol w:w="976"/>
        <w:gridCol w:w="887"/>
        <w:gridCol w:w="976"/>
        <w:gridCol w:w="887"/>
        <w:gridCol w:w="976"/>
        <w:gridCol w:w="1257"/>
        <w:gridCol w:w="1448"/>
      </w:tblGrid>
      <w:tr w:rsidR="006B63C0" w:rsidRPr="00F623BC" w:rsidTr="009A53E2">
        <w:trPr>
          <w:trHeight w:val="315"/>
        </w:trPr>
        <w:tc>
          <w:tcPr>
            <w:tcW w:w="4679"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color w:val="000000"/>
                <w:sz w:val="18"/>
                <w:szCs w:val="18"/>
                <w:lang w:val="en-US" w:eastAsia="zh-CN"/>
              </w:rPr>
            </w:pPr>
            <w:r w:rsidRPr="00F623BC">
              <w:rPr>
                <w:color w:val="000000"/>
                <w:sz w:val="18"/>
                <w:szCs w:val="18"/>
                <w:lang w:val="en-US" w:eastAsia="zh-CN"/>
              </w:rPr>
              <w:t> </w:t>
            </w:r>
          </w:p>
        </w:tc>
        <w:tc>
          <w:tcPr>
            <w:tcW w:w="1837" w:type="dxa"/>
            <w:gridSpan w:val="2"/>
            <w:tcBorders>
              <w:top w:val="single" w:sz="8" w:space="0" w:color="auto"/>
              <w:left w:val="nil"/>
              <w:bottom w:val="single" w:sz="8" w:space="0" w:color="auto"/>
              <w:right w:val="single" w:sz="8" w:space="0" w:color="000000"/>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2013</w:t>
            </w:r>
          </w:p>
        </w:tc>
        <w:tc>
          <w:tcPr>
            <w:tcW w:w="1837" w:type="dxa"/>
            <w:gridSpan w:val="2"/>
            <w:tcBorders>
              <w:top w:val="single" w:sz="8" w:space="0" w:color="auto"/>
              <w:left w:val="nil"/>
              <w:bottom w:val="single" w:sz="8" w:space="0" w:color="auto"/>
              <w:right w:val="single" w:sz="8" w:space="0" w:color="000000"/>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2014</w:t>
            </w:r>
          </w:p>
        </w:tc>
        <w:tc>
          <w:tcPr>
            <w:tcW w:w="1837" w:type="dxa"/>
            <w:gridSpan w:val="2"/>
            <w:tcBorders>
              <w:top w:val="single" w:sz="8" w:space="0" w:color="auto"/>
              <w:left w:val="nil"/>
              <w:bottom w:val="single" w:sz="8" w:space="0" w:color="auto"/>
              <w:right w:val="single" w:sz="8" w:space="0" w:color="000000"/>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2015</w:t>
            </w:r>
          </w:p>
        </w:tc>
        <w:tc>
          <w:tcPr>
            <w:tcW w:w="1837" w:type="dxa"/>
            <w:gridSpan w:val="2"/>
            <w:tcBorders>
              <w:top w:val="single" w:sz="8" w:space="0" w:color="auto"/>
              <w:left w:val="nil"/>
              <w:bottom w:val="single" w:sz="8" w:space="0" w:color="auto"/>
              <w:right w:val="single" w:sz="8" w:space="0" w:color="000000"/>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2016</w:t>
            </w:r>
          </w:p>
        </w:tc>
        <w:tc>
          <w:tcPr>
            <w:tcW w:w="2705" w:type="dxa"/>
            <w:gridSpan w:val="2"/>
            <w:tcBorders>
              <w:top w:val="single" w:sz="8" w:space="0" w:color="auto"/>
              <w:left w:val="nil"/>
              <w:bottom w:val="single" w:sz="8" w:space="0" w:color="auto"/>
              <w:right w:val="single" w:sz="8" w:space="0" w:color="000000"/>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TOTAL</w:t>
            </w:r>
          </w:p>
        </w:tc>
      </w:tr>
      <w:tr w:rsidR="006B63C0" w:rsidRPr="00F623BC" w:rsidTr="009A53E2">
        <w:trPr>
          <w:trHeight w:val="315"/>
        </w:trPr>
        <w:tc>
          <w:tcPr>
            <w:tcW w:w="4679" w:type="dxa"/>
            <w:vMerge/>
            <w:tcBorders>
              <w:top w:val="single" w:sz="8" w:space="0" w:color="auto"/>
              <w:left w:val="single" w:sz="8" w:space="0" w:color="auto"/>
              <w:bottom w:val="single" w:sz="8" w:space="0" w:color="000000"/>
              <w:right w:val="single" w:sz="8" w:space="0" w:color="auto"/>
            </w:tcBorders>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color w:val="000000"/>
                <w:sz w:val="18"/>
                <w:szCs w:val="18"/>
                <w:lang w:val="en-US" w:eastAsia="zh-CN"/>
              </w:rPr>
            </w:pP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Missions</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 xml:space="preserve">Countries </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Missions</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 xml:space="preserve">Countries </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Missions</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 xml:space="preserve">Countries </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Missions</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 xml:space="preserve">Countries </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MISSIONS</w:t>
            </w:r>
          </w:p>
        </w:tc>
        <w:tc>
          <w:tcPr>
            <w:tcW w:w="1448"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COUNTRIES</w:t>
            </w:r>
          </w:p>
        </w:tc>
      </w:tr>
      <w:tr w:rsidR="006B63C0" w:rsidRPr="00F623BC" w:rsidTr="009A53E2">
        <w:trPr>
          <w:trHeight w:val="315"/>
        </w:trPr>
        <w:tc>
          <w:tcPr>
            <w:tcW w:w="4679" w:type="dxa"/>
            <w:tcBorders>
              <w:top w:val="nil"/>
              <w:left w:val="single" w:sz="8" w:space="0" w:color="auto"/>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i/>
                <w:iCs/>
                <w:color w:val="000000"/>
                <w:sz w:val="18"/>
                <w:szCs w:val="18"/>
                <w:lang w:val="en-US" w:eastAsia="zh-CN"/>
              </w:rPr>
            </w:pPr>
            <w:r w:rsidRPr="00F623BC">
              <w:rPr>
                <w:b/>
                <w:bCs/>
                <w:i/>
                <w:iCs/>
                <w:color w:val="000000"/>
                <w:sz w:val="18"/>
                <w:szCs w:val="18"/>
                <w:lang w:val="en-US" w:eastAsia="zh-CN"/>
              </w:rPr>
              <w:t xml:space="preserve">SPECIALIZED UN AGENCIES </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16</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12</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17</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12</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24</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9</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33</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13</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90</w:t>
            </w:r>
          </w:p>
        </w:tc>
        <w:tc>
          <w:tcPr>
            <w:tcW w:w="1448"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 </w:t>
            </w:r>
          </w:p>
        </w:tc>
      </w:tr>
      <w:tr w:rsidR="006B63C0" w:rsidRPr="00F623BC" w:rsidTr="009A53E2">
        <w:trPr>
          <w:trHeight w:val="315"/>
        </w:trPr>
        <w:tc>
          <w:tcPr>
            <w:tcW w:w="4679" w:type="dxa"/>
            <w:tcBorders>
              <w:top w:val="nil"/>
              <w:left w:val="single" w:sz="8" w:space="0" w:color="auto"/>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i/>
                <w:iCs/>
                <w:color w:val="000000"/>
                <w:sz w:val="18"/>
                <w:szCs w:val="18"/>
                <w:lang w:val="en-US" w:eastAsia="zh-CN"/>
              </w:rPr>
            </w:pPr>
            <w:r w:rsidRPr="00F623BC">
              <w:rPr>
                <w:b/>
                <w:bCs/>
                <w:i/>
                <w:iCs/>
                <w:color w:val="000000"/>
                <w:sz w:val="18"/>
                <w:szCs w:val="18"/>
                <w:lang w:val="en-US" w:eastAsia="zh-CN"/>
              </w:rPr>
              <w:t xml:space="preserve">REGIONAL TELECOMMUNICATION ORGANIZATIONS </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34</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27</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33</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25</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74</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34</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57</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32</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198</w:t>
            </w:r>
          </w:p>
        </w:tc>
        <w:tc>
          <w:tcPr>
            <w:tcW w:w="1448"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 </w:t>
            </w:r>
          </w:p>
        </w:tc>
      </w:tr>
      <w:tr w:rsidR="006B63C0" w:rsidRPr="00F623BC" w:rsidTr="009A53E2">
        <w:trPr>
          <w:trHeight w:val="315"/>
        </w:trPr>
        <w:tc>
          <w:tcPr>
            <w:tcW w:w="4679" w:type="dxa"/>
            <w:tcBorders>
              <w:top w:val="nil"/>
              <w:left w:val="single" w:sz="8" w:space="0" w:color="auto"/>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i/>
                <w:iCs/>
                <w:color w:val="000000"/>
                <w:sz w:val="18"/>
                <w:szCs w:val="18"/>
                <w:lang w:val="en-US" w:eastAsia="zh-CN"/>
              </w:rPr>
            </w:pPr>
            <w:r w:rsidRPr="00F623BC">
              <w:rPr>
                <w:b/>
                <w:bCs/>
                <w:i/>
                <w:iCs/>
                <w:color w:val="000000"/>
                <w:sz w:val="18"/>
                <w:szCs w:val="18"/>
                <w:lang w:val="en-US" w:eastAsia="zh-CN"/>
              </w:rPr>
              <w:t xml:space="preserve">Non-ITU CONFERENCES &amp; SYMPOSIA </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60</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37</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59</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43</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57</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45</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83</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40</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259</w:t>
            </w:r>
          </w:p>
        </w:tc>
        <w:tc>
          <w:tcPr>
            <w:tcW w:w="1448"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 </w:t>
            </w:r>
          </w:p>
        </w:tc>
      </w:tr>
      <w:tr w:rsidR="006B63C0" w:rsidRPr="00F623BC" w:rsidTr="009A53E2">
        <w:trPr>
          <w:trHeight w:val="315"/>
        </w:trPr>
        <w:tc>
          <w:tcPr>
            <w:tcW w:w="4679" w:type="dxa"/>
            <w:tcBorders>
              <w:top w:val="nil"/>
              <w:left w:val="single" w:sz="8" w:space="0" w:color="auto"/>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i/>
                <w:iCs/>
                <w:color w:val="000000"/>
                <w:sz w:val="18"/>
                <w:szCs w:val="18"/>
                <w:lang w:val="en-US" w:eastAsia="zh-CN"/>
              </w:rPr>
            </w:pPr>
            <w:r w:rsidRPr="00F623BC">
              <w:rPr>
                <w:b/>
                <w:bCs/>
                <w:i/>
                <w:iCs/>
                <w:color w:val="000000"/>
                <w:sz w:val="18"/>
                <w:szCs w:val="18"/>
                <w:lang w:val="en-US" w:eastAsia="zh-CN"/>
              </w:rPr>
              <w:t>ITU SEMINARS, WORKSHOPS &amp; MEETINGS</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24</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22</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29</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22</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33</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19</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39</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19</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125</w:t>
            </w:r>
          </w:p>
        </w:tc>
        <w:tc>
          <w:tcPr>
            <w:tcW w:w="1448"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 </w:t>
            </w:r>
          </w:p>
        </w:tc>
      </w:tr>
      <w:tr w:rsidR="006B63C0" w:rsidRPr="00F623BC" w:rsidTr="009A53E2">
        <w:trPr>
          <w:trHeight w:val="315"/>
        </w:trPr>
        <w:tc>
          <w:tcPr>
            <w:tcW w:w="4679" w:type="dxa"/>
            <w:tcBorders>
              <w:top w:val="nil"/>
              <w:left w:val="single" w:sz="8" w:space="0" w:color="auto"/>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i/>
                <w:iCs/>
                <w:color w:val="000000"/>
                <w:sz w:val="18"/>
                <w:szCs w:val="18"/>
                <w:lang w:val="en-US" w:eastAsia="zh-CN"/>
              </w:rPr>
            </w:pPr>
            <w:r w:rsidRPr="00F623BC">
              <w:rPr>
                <w:b/>
                <w:bCs/>
                <w:i/>
                <w:iCs/>
                <w:color w:val="000000"/>
                <w:sz w:val="18"/>
                <w:szCs w:val="18"/>
                <w:lang w:val="en-US" w:eastAsia="zh-CN"/>
              </w:rPr>
              <w:t>ASSISTANCE REQUESTS</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21</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15</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9</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6</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14</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7</w:t>
            </w:r>
          </w:p>
        </w:tc>
        <w:tc>
          <w:tcPr>
            <w:tcW w:w="875"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8</w:t>
            </w:r>
          </w:p>
        </w:tc>
        <w:tc>
          <w:tcPr>
            <w:tcW w:w="962"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5</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52</w:t>
            </w:r>
          </w:p>
        </w:tc>
        <w:tc>
          <w:tcPr>
            <w:tcW w:w="1448"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 </w:t>
            </w:r>
          </w:p>
        </w:tc>
      </w:tr>
      <w:tr w:rsidR="006B63C0" w:rsidRPr="00F623BC" w:rsidTr="009A53E2">
        <w:trPr>
          <w:trHeight w:val="315"/>
        </w:trPr>
        <w:tc>
          <w:tcPr>
            <w:tcW w:w="4679" w:type="dxa"/>
            <w:tcBorders>
              <w:top w:val="nil"/>
              <w:left w:val="single" w:sz="8" w:space="0" w:color="auto"/>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i/>
                <w:iCs/>
                <w:color w:val="000000"/>
                <w:sz w:val="18"/>
                <w:szCs w:val="18"/>
                <w:lang w:val="en-US" w:eastAsia="zh-CN"/>
              </w:rPr>
            </w:pPr>
            <w:r w:rsidRPr="00F623BC">
              <w:rPr>
                <w:b/>
                <w:bCs/>
                <w:i/>
                <w:iCs/>
                <w:color w:val="000000"/>
                <w:sz w:val="18"/>
                <w:szCs w:val="18"/>
                <w:lang w:val="en-US" w:eastAsia="zh-CN"/>
              </w:rPr>
              <w:t>OTHER EVENTS</w:t>
            </w:r>
          </w:p>
        </w:tc>
        <w:tc>
          <w:tcPr>
            <w:tcW w:w="875"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11</w:t>
            </w:r>
          </w:p>
        </w:tc>
        <w:tc>
          <w:tcPr>
            <w:tcW w:w="962"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8</w:t>
            </w:r>
          </w:p>
        </w:tc>
        <w:tc>
          <w:tcPr>
            <w:tcW w:w="875"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10</w:t>
            </w:r>
          </w:p>
        </w:tc>
        <w:tc>
          <w:tcPr>
            <w:tcW w:w="962"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8</w:t>
            </w:r>
          </w:p>
        </w:tc>
        <w:tc>
          <w:tcPr>
            <w:tcW w:w="875"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31</w:t>
            </w:r>
          </w:p>
        </w:tc>
        <w:tc>
          <w:tcPr>
            <w:tcW w:w="962"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14</w:t>
            </w:r>
          </w:p>
        </w:tc>
        <w:tc>
          <w:tcPr>
            <w:tcW w:w="875"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14</w:t>
            </w:r>
          </w:p>
        </w:tc>
        <w:tc>
          <w:tcPr>
            <w:tcW w:w="962"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10</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66</w:t>
            </w:r>
          </w:p>
        </w:tc>
        <w:tc>
          <w:tcPr>
            <w:tcW w:w="1448" w:type="dxa"/>
            <w:tcBorders>
              <w:top w:val="nil"/>
              <w:left w:val="nil"/>
              <w:bottom w:val="nil"/>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 </w:t>
            </w:r>
          </w:p>
        </w:tc>
      </w:tr>
      <w:tr w:rsidR="006B63C0" w:rsidRPr="00F623BC" w:rsidTr="009A53E2">
        <w:trPr>
          <w:trHeight w:val="315"/>
        </w:trPr>
        <w:tc>
          <w:tcPr>
            <w:tcW w:w="467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18"/>
                <w:szCs w:val="18"/>
                <w:lang w:val="en-US" w:eastAsia="zh-CN"/>
              </w:rPr>
            </w:pPr>
            <w:r w:rsidRPr="00F623BC">
              <w:rPr>
                <w:b/>
                <w:bCs/>
                <w:color w:val="000000"/>
                <w:sz w:val="18"/>
                <w:szCs w:val="18"/>
                <w:lang w:val="en-US" w:eastAsia="zh-CN"/>
              </w:rPr>
              <w:t>TOTAL</w:t>
            </w:r>
          </w:p>
        </w:tc>
        <w:tc>
          <w:tcPr>
            <w:tcW w:w="875"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168</w:t>
            </w:r>
          </w:p>
        </w:tc>
        <w:tc>
          <w:tcPr>
            <w:tcW w:w="962"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123</w:t>
            </w:r>
          </w:p>
        </w:tc>
        <w:tc>
          <w:tcPr>
            <w:tcW w:w="875"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159</w:t>
            </w:r>
          </w:p>
        </w:tc>
        <w:tc>
          <w:tcPr>
            <w:tcW w:w="962"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118</w:t>
            </w:r>
          </w:p>
        </w:tc>
        <w:tc>
          <w:tcPr>
            <w:tcW w:w="875"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233</w:t>
            </w:r>
          </w:p>
        </w:tc>
        <w:tc>
          <w:tcPr>
            <w:tcW w:w="962"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128</w:t>
            </w:r>
          </w:p>
        </w:tc>
        <w:tc>
          <w:tcPr>
            <w:tcW w:w="875"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234</w:t>
            </w:r>
          </w:p>
        </w:tc>
        <w:tc>
          <w:tcPr>
            <w:tcW w:w="962"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119</w:t>
            </w:r>
          </w:p>
        </w:tc>
        <w:tc>
          <w:tcPr>
            <w:tcW w:w="1257" w:type="dxa"/>
            <w:tcBorders>
              <w:top w:val="nil"/>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18"/>
                <w:szCs w:val="18"/>
                <w:lang w:val="en-US" w:eastAsia="zh-CN"/>
              </w:rPr>
            </w:pPr>
            <w:r w:rsidRPr="00F623BC">
              <w:rPr>
                <w:color w:val="000000"/>
                <w:sz w:val="18"/>
                <w:szCs w:val="18"/>
                <w:lang w:val="en-US" w:eastAsia="zh-CN"/>
              </w:rPr>
              <w:t>794</w:t>
            </w:r>
          </w:p>
        </w:tc>
        <w:tc>
          <w:tcPr>
            <w:tcW w:w="1448" w:type="dxa"/>
            <w:tcBorders>
              <w:top w:val="single" w:sz="8" w:space="0" w:color="auto"/>
              <w:left w:val="nil"/>
              <w:bottom w:val="single" w:sz="8" w:space="0" w:color="auto"/>
              <w:right w:val="single" w:sz="8" w:space="0" w:color="auto"/>
            </w:tcBorders>
            <w:shd w:val="clear" w:color="auto" w:fill="auto"/>
            <w:noWrap/>
            <w:vAlign w:val="center"/>
            <w:hideMark/>
          </w:tcPr>
          <w:p w:rsidR="006B63C0" w:rsidRPr="00F623BC"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18"/>
                <w:szCs w:val="18"/>
                <w:lang w:val="en-US" w:eastAsia="zh-CN"/>
              </w:rPr>
            </w:pPr>
            <w:r w:rsidRPr="00F623BC">
              <w:rPr>
                <w:b/>
                <w:bCs/>
                <w:color w:val="000000"/>
                <w:sz w:val="18"/>
                <w:szCs w:val="18"/>
                <w:lang w:val="en-US" w:eastAsia="zh-CN"/>
              </w:rPr>
              <w:t> </w:t>
            </w:r>
          </w:p>
        </w:tc>
      </w:tr>
    </w:tbl>
    <w:p w:rsidR="006B63C0" w:rsidRDefault="006B63C0" w:rsidP="006B63C0">
      <w:pPr>
        <w:rPr>
          <w:lang w:eastAsia="zh-CN"/>
        </w:rPr>
      </w:pPr>
    </w:p>
    <w:p w:rsidR="006B63C0" w:rsidRDefault="006B63C0" w:rsidP="006B63C0">
      <w:pPr>
        <w:rPr>
          <w:rFonts w:ascii="Times" w:hAnsi="Times"/>
          <w:sz w:val="20"/>
        </w:rPr>
      </w:pPr>
    </w:p>
    <w:p w:rsidR="006B63C0" w:rsidRDefault="006B63C0" w:rsidP="006B63C0">
      <w:pPr>
        <w:sectPr w:rsidR="006B63C0" w:rsidSect="009A53E2">
          <w:headerReference w:type="default" r:id="rId39"/>
          <w:footerReference w:type="default" r:id="rId40"/>
          <w:pgSz w:w="16840" w:h="11907" w:orient="landscape" w:code="9"/>
          <w:pgMar w:top="1134" w:right="1418" w:bottom="1134" w:left="851" w:header="720" w:footer="720" w:gutter="0"/>
          <w:paperSrc w:first="15" w:other="15"/>
          <w:cols w:space="720"/>
          <w:docGrid w:linePitch="326"/>
        </w:sectPr>
      </w:pPr>
    </w:p>
    <w:p w:rsidR="006B63C0" w:rsidRPr="00ED04B0" w:rsidRDefault="006B63C0" w:rsidP="006B63C0">
      <w:pPr>
        <w:pStyle w:val="Heading2"/>
      </w:pPr>
      <w:bookmarkStart w:id="54" w:name="_Toc424047610"/>
      <w:bookmarkStart w:id="55" w:name="_Toc446060788"/>
      <w:r w:rsidRPr="00ED04B0">
        <w:lastRenderedPageBreak/>
        <w:t>8.3</w:t>
      </w:r>
      <w:r w:rsidRPr="00ED04B0">
        <w:tab/>
        <w:t>Assistance to Member States</w:t>
      </w:r>
      <w:bookmarkEnd w:id="54"/>
      <w:bookmarkEnd w:id="55"/>
    </w:p>
    <w:p w:rsidR="006B63C0" w:rsidRPr="008C05BE" w:rsidRDefault="006B63C0" w:rsidP="006B63C0">
      <w:pPr>
        <w:pStyle w:val="Heading3"/>
      </w:pPr>
      <w:bookmarkStart w:id="56" w:name="_Toc424047611"/>
      <w:bookmarkStart w:id="57" w:name="_Toc446060789"/>
      <w:r w:rsidRPr="00ED04B0">
        <w:t>8.3.1</w:t>
      </w:r>
      <w:r w:rsidRPr="00ED04B0">
        <w:tab/>
        <w:t>Assistance to administrations of developing countries</w:t>
      </w:r>
      <w:bookmarkEnd w:id="56"/>
      <w:bookmarkEnd w:id="57"/>
    </w:p>
    <w:p w:rsidR="006B63C0" w:rsidRPr="00C56C6F" w:rsidRDefault="006B63C0" w:rsidP="006B63C0">
      <w:r>
        <w:t>Since 2013, t</w:t>
      </w:r>
      <w:r w:rsidRPr="00C56C6F">
        <w:t>he Bureau provided assistance to the administrations of developing countries</w:t>
      </w:r>
      <w:r>
        <w:t xml:space="preserve"> </w:t>
      </w:r>
      <w:r w:rsidRPr="009C3660">
        <w:t>in more than 50 instances</w:t>
      </w:r>
      <w:r w:rsidRPr="00C56C6F">
        <w:t>, in areas such as:</w:t>
      </w:r>
    </w:p>
    <w:p w:rsidR="006B63C0" w:rsidRPr="00C56C6F" w:rsidRDefault="006B63C0" w:rsidP="006B63C0">
      <w:pPr>
        <w:pStyle w:val="enumlev1"/>
      </w:pPr>
      <w:r>
        <w:t>–</w:t>
      </w:r>
      <w:r>
        <w:tab/>
      </w:r>
      <w:r w:rsidRPr="00C56C6F">
        <w:t>Supporting national spectrum management activities in the rapidly changing regulatory environment (see Resolution </w:t>
      </w:r>
      <w:r w:rsidRPr="00CA4EAD">
        <w:rPr>
          <w:b/>
          <w:bCs/>
        </w:rPr>
        <w:t>7 (Rev.WRC</w:t>
      </w:r>
      <w:r w:rsidRPr="00CA4EAD">
        <w:rPr>
          <w:b/>
          <w:bCs/>
        </w:rPr>
        <w:noBreakHyphen/>
        <w:t>03)</w:t>
      </w:r>
      <w:r w:rsidRPr="00C56C6F">
        <w:t xml:space="preserve">) and providing technical assistance in the field of space radiocommunication (Resolution </w:t>
      </w:r>
      <w:r w:rsidRPr="00CA4EAD">
        <w:rPr>
          <w:b/>
          <w:bCs/>
        </w:rPr>
        <w:t>15 (Rev.WRC</w:t>
      </w:r>
      <w:r w:rsidRPr="00CA4EAD">
        <w:rPr>
          <w:b/>
          <w:bCs/>
        </w:rPr>
        <w:noBreakHyphen/>
        <w:t>03)</w:t>
      </w:r>
      <w:r w:rsidRPr="00C56C6F">
        <w:t>; to this end, missions were undertaken upon request by administrations or jointly organized with the BDT, including participation of BR experts to provide capacity building in regional seminars organized by BDT or regional organizations. Furthermore, experts from administrations of least developed countries were granted fellowships to attend BR radiocommunication seminars and workshops. Experts from administrations also received for individual or group in</w:t>
      </w:r>
      <w:r w:rsidRPr="00C56C6F">
        <w:noBreakHyphen/>
        <w:t>service training in the ITU headquarters on radio regula</w:t>
      </w:r>
      <w:r>
        <w:t>tory procedures.</w:t>
      </w:r>
    </w:p>
    <w:p w:rsidR="006B63C0" w:rsidRDefault="006B63C0" w:rsidP="006B63C0">
      <w:pPr>
        <w:pStyle w:val="enumlev1"/>
      </w:pPr>
      <w:r>
        <w:t>–</w:t>
      </w:r>
      <w:r>
        <w:tab/>
      </w:r>
      <w:r w:rsidRPr="00C56C6F">
        <w:t xml:space="preserve">Participating in the meetings of the regional coordination groups, as requested by Article </w:t>
      </w:r>
      <w:r w:rsidRPr="00CA4EAD">
        <w:rPr>
          <w:b/>
          <w:bCs/>
        </w:rPr>
        <w:t>12</w:t>
      </w:r>
      <w:r>
        <w:t xml:space="preserve"> of the Radio Regulations.</w:t>
      </w:r>
    </w:p>
    <w:p w:rsidR="006B63C0" w:rsidRPr="00C56C6F" w:rsidRDefault="006B63C0" w:rsidP="006B63C0">
      <w:pPr>
        <w:pStyle w:val="enumlev1"/>
      </w:pPr>
      <w:r>
        <w:t>–</w:t>
      </w:r>
      <w:r>
        <w:tab/>
        <w:t>Participating in capacity building seminars on satellite communications.</w:t>
      </w:r>
    </w:p>
    <w:p w:rsidR="006B63C0" w:rsidRPr="00C56C6F" w:rsidRDefault="006B63C0" w:rsidP="006B63C0">
      <w:pPr>
        <w:pStyle w:val="enumlev1"/>
      </w:pPr>
      <w:r>
        <w:t>–</w:t>
      </w:r>
      <w:r>
        <w:tab/>
      </w:r>
      <w:r w:rsidRPr="00C56C6F">
        <w:t>Providing assistance in Long Term Frequency management and assign</w:t>
      </w:r>
      <w:r>
        <w:t>ment for mobile broadband (IMT).</w:t>
      </w:r>
    </w:p>
    <w:p w:rsidR="006B63C0" w:rsidRPr="00C56C6F" w:rsidRDefault="006B63C0" w:rsidP="006B63C0">
      <w:pPr>
        <w:pStyle w:val="enumlev1"/>
      </w:pPr>
      <w:r>
        <w:t>–</w:t>
      </w:r>
      <w:r>
        <w:tab/>
      </w:r>
      <w:r w:rsidRPr="00C56C6F">
        <w:t>Providing guidance and technical support for the transition to Digital Television and the allocation of the digital dividend.</w:t>
      </w:r>
    </w:p>
    <w:p w:rsidR="006B63C0" w:rsidRPr="008C05BE" w:rsidRDefault="006B63C0" w:rsidP="006B63C0">
      <w:pPr>
        <w:pStyle w:val="Headingb"/>
      </w:pPr>
      <w:r w:rsidRPr="00C56C6F">
        <w:t xml:space="preserve">Table 8.2.4-1 illustrates this activity. </w:t>
      </w:r>
      <w:bookmarkStart w:id="58" w:name="_Toc424047612"/>
      <w:bookmarkStart w:id="59" w:name="_Toc446060790"/>
      <w:r w:rsidRPr="00ED04B0">
        <w:rPr>
          <w:bCs/>
        </w:rPr>
        <w:t>8.3.2</w:t>
      </w:r>
      <w:r w:rsidRPr="00ED04B0">
        <w:tab/>
        <w:t>Assistance to Regional Groups</w:t>
      </w:r>
      <w:bookmarkEnd w:id="58"/>
      <w:bookmarkEnd w:id="59"/>
      <w:r w:rsidRPr="008C05BE">
        <w:t xml:space="preserve"> </w:t>
      </w:r>
    </w:p>
    <w:p w:rsidR="006B63C0" w:rsidRDefault="006B63C0" w:rsidP="006B63C0">
      <w:r w:rsidRPr="008C05BE">
        <w:t>Assistance was provided by the Bureau</w:t>
      </w:r>
      <w:r>
        <w:t xml:space="preserve"> to the regional organizations and groups, notably in relation to their starting of the respective regional preparations for WRC-19.</w:t>
      </w:r>
    </w:p>
    <w:p w:rsidR="006B63C0" w:rsidRPr="00923736" w:rsidRDefault="006B63C0" w:rsidP="006B63C0">
      <w:r>
        <w:t xml:space="preserve">In particular, a </w:t>
      </w:r>
      <w:r w:rsidRPr="00923736">
        <w:t xml:space="preserve">joint </w:t>
      </w:r>
      <w:r>
        <w:t>ITU/ATU w</w:t>
      </w:r>
      <w:r w:rsidRPr="00923736">
        <w:t>orkshop was organized to disseminate the WRC-15 outcomes</w:t>
      </w:r>
      <w:r>
        <w:t>.</w:t>
      </w:r>
    </w:p>
    <w:p w:rsidR="006B63C0" w:rsidRPr="002A4318" w:rsidRDefault="006B63C0" w:rsidP="006B63C0">
      <w:pPr>
        <w:pStyle w:val="Heading3"/>
      </w:pPr>
      <w:bookmarkStart w:id="60" w:name="_Toc424047616"/>
      <w:bookmarkStart w:id="61" w:name="_Toc446060791"/>
      <w:r w:rsidRPr="00ED04B0">
        <w:t>8.3.3</w:t>
      </w:r>
      <w:r w:rsidRPr="00ED04B0">
        <w:tab/>
        <w:t>Assistance to other groups of countries</w:t>
      </w:r>
      <w:bookmarkEnd w:id="60"/>
      <w:bookmarkEnd w:id="61"/>
    </w:p>
    <w:p w:rsidR="006B63C0" w:rsidRPr="008E2CD4" w:rsidRDefault="006B63C0" w:rsidP="006B63C0">
      <w:pPr>
        <w:tabs>
          <w:tab w:val="left" w:pos="1134"/>
          <w:tab w:val="left" w:pos="1871"/>
          <w:tab w:val="left" w:pos="2268"/>
        </w:tabs>
        <w:rPr>
          <w:lang w:val="en-US"/>
        </w:rPr>
      </w:pPr>
      <w:r w:rsidRPr="008E2CD4">
        <w:rPr>
          <w:lang w:val="en-US"/>
        </w:rPr>
        <w:t xml:space="preserve">In close collaboration with the </w:t>
      </w:r>
      <w:r w:rsidRPr="008E2CD4">
        <w:rPr>
          <w:lang w:val="en"/>
        </w:rPr>
        <w:t>Comisión Técnica Regional de Telecomunicaciones (</w:t>
      </w:r>
      <w:r w:rsidRPr="008E2CD4">
        <w:rPr>
          <w:lang w:val="en-US"/>
        </w:rPr>
        <w:t>COMTELCA), the Caribbean Telecommunications Union (CTU) and the Inter-American Telecommunication Commission (CITEL), the Bureau is organizing a series of regional frequency coordination meetings on the use of the VHF/UHF bands for the countries of the Central American and Caribbean region. The purpose of these meeting</w:t>
      </w:r>
      <w:r>
        <w:rPr>
          <w:lang w:val="en-US"/>
        </w:rPr>
        <w:t>s</w:t>
      </w:r>
      <w:r w:rsidRPr="008E2CD4">
        <w:rPr>
          <w:lang w:val="en-US"/>
        </w:rPr>
        <w:t xml:space="preserve"> is to facilitate the process of transition from analogue to digital television and allocation of the Digital Dividend, while ensuring mutual compatibility among current and planned broadcasting and mobile stations operating in the bands 174-216 MHz and 470-806 MHz.</w:t>
      </w:r>
      <w:r>
        <w:rPr>
          <w:lang w:val="en-US"/>
        </w:rPr>
        <w:t xml:space="preserve"> </w:t>
      </w:r>
      <w:r w:rsidRPr="008E2CD4">
        <w:rPr>
          <w:lang w:val="en-US"/>
        </w:rPr>
        <w:t xml:space="preserve">The first meeting </w:t>
      </w:r>
      <w:r>
        <w:rPr>
          <w:lang w:val="en-US"/>
        </w:rPr>
        <w:t>took</w:t>
      </w:r>
      <w:r w:rsidRPr="008E2CD4">
        <w:rPr>
          <w:lang w:val="en-US"/>
        </w:rPr>
        <w:t xml:space="preserve"> place from 8 to 10 March 2017 in Managua, Nicaragua. </w:t>
      </w:r>
    </w:p>
    <w:p w:rsidR="006B63C0" w:rsidRPr="008E2CD4" w:rsidRDefault="006B63C0" w:rsidP="006B63C0">
      <w:pPr>
        <w:tabs>
          <w:tab w:val="left" w:pos="1134"/>
          <w:tab w:val="left" w:pos="1871"/>
          <w:tab w:val="left" w:pos="2268"/>
        </w:tabs>
        <w:rPr>
          <w:lang w:val="en-US"/>
        </w:rPr>
      </w:pPr>
      <w:r w:rsidRPr="008E2CD4">
        <w:rPr>
          <w:lang w:val="en-US"/>
        </w:rPr>
        <w:t xml:space="preserve">The Bureau also hosted a multilateral frequency coordination meeting between the Administrations Algeria, France, Libya and Morocco </w:t>
      </w:r>
      <w:r w:rsidRPr="008E2CD4">
        <w:rPr>
          <w:iCs/>
          <w:lang w:val="en-US"/>
        </w:rPr>
        <w:t>to facilitate the coordination of the GE06 television requirements in the UHF band</w:t>
      </w:r>
      <w:r w:rsidRPr="008E2CD4">
        <w:rPr>
          <w:lang w:val="en-US"/>
        </w:rPr>
        <w:t xml:space="preserve">. </w:t>
      </w:r>
      <w:r w:rsidRPr="008E2CD4">
        <w:rPr>
          <w:iCs/>
          <w:lang w:val="en-US"/>
        </w:rPr>
        <w:t xml:space="preserve">The meeting was initiated at the request of the </w:t>
      </w:r>
      <w:r w:rsidRPr="008E2CD4">
        <w:rPr>
          <w:lang w:val="en-US"/>
        </w:rPr>
        <w:t>Radio Regulations Board (RRB) at its 73</w:t>
      </w:r>
      <w:r w:rsidRPr="008E2CD4">
        <w:rPr>
          <w:vertAlign w:val="superscript"/>
          <w:lang w:val="en-US"/>
        </w:rPr>
        <w:t>rd</w:t>
      </w:r>
      <w:r w:rsidRPr="008E2CD4">
        <w:rPr>
          <w:lang w:val="en-US"/>
        </w:rPr>
        <w:t xml:space="preserve"> meeting and took place in Geneva f</w:t>
      </w:r>
      <w:r w:rsidR="00E712DE">
        <w:rPr>
          <w:lang w:val="en-US"/>
        </w:rPr>
        <w:t>rom 14 to 16 February 2017. The </w:t>
      </w:r>
      <w:r w:rsidRPr="008E2CD4">
        <w:rPr>
          <w:lang w:val="en-US"/>
        </w:rPr>
        <w:t xml:space="preserve">Administrations managed to coordinate the majority of their television assignments and allotments and the level of satisfied requirements reached 96 %. </w:t>
      </w:r>
      <w:r w:rsidRPr="008E2CD4">
        <w:rPr>
          <w:iCs/>
          <w:lang w:val="en-US"/>
        </w:rPr>
        <w:t>The involved Administrations committed to update the GE06 Plan by submitting the assignments and allotments with the agreed characteristics.</w:t>
      </w:r>
    </w:p>
    <w:p w:rsidR="00E712DE" w:rsidRDefault="00E712DE">
      <w:pPr>
        <w:tabs>
          <w:tab w:val="clear" w:pos="794"/>
          <w:tab w:val="clear" w:pos="1191"/>
          <w:tab w:val="clear" w:pos="1588"/>
          <w:tab w:val="clear" w:pos="1985"/>
        </w:tabs>
        <w:overflowPunct/>
        <w:autoSpaceDE/>
        <w:autoSpaceDN/>
        <w:adjustRightInd/>
        <w:spacing w:before="0"/>
        <w:textAlignment w:val="auto"/>
        <w:rPr>
          <w:lang w:val="en-US"/>
        </w:rPr>
      </w:pPr>
      <w:r>
        <w:rPr>
          <w:lang w:val="en-US"/>
        </w:rPr>
        <w:br w:type="page"/>
      </w:r>
    </w:p>
    <w:p w:rsidR="006B63C0" w:rsidRPr="005E7254" w:rsidRDefault="006B63C0" w:rsidP="006B63C0">
      <w:pPr>
        <w:tabs>
          <w:tab w:val="left" w:pos="1134"/>
          <w:tab w:val="left" w:pos="1871"/>
          <w:tab w:val="left" w:pos="2268"/>
        </w:tabs>
        <w:rPr>
          <w:lang w:val="en-US"/>
        </w:rPr>
      </w:pPr>
      <w:r w:rsidRPr="008E2CD4">
        <w:rPr>
          <w:lang w:val="en-US"/>
        </w:rPr>
        <w:lastRenderedPageBreak/>
        <w:t>At the request of the Administration of Azerbaijan and in order to resume the activities of the Coordination Group of the Black Sea, Caspian Sea and Central Asian countries, the Bureau invited the Administrations of Armenia, Azerbaijan, Georgia, Iran (Islamic Republic of), Kazakhstan, Kyrgyzstan, the Russian Federation, Tajikistan, Turkmeni</w:t>
      </w:r>
      <w:r w:rsidR="006327B1">
        <w:rPr>
          <w:lang w:val="en-US"/>
        </w:rPr>
        <w:t>stan and Uzbekistan to attend a </w:t>
      </w:r>
      <w:r w:rsidRPr="008E2CD4">
        <w:rPr>
          <w:lang w:val="en-US"/>
        </w:rPr>
        <w:t>multilateral frequency coordination meeting, which is intended to facilitate</w:t>
      </w:r>
      <w:r w:rsidRPr="008E2CD4">
        <w:rPr>
          <w:lang w:val="en"/>
        </w:rPr>
        <w:t xml:space="preserve"> coordination of all radio services operating in the frequency range between 470 MHz and 862 MHz. The meeting </w:t>
      </w:r>
      <w:r>
        <w:rPr>
          <w:lang w:val="en"/>
        </w:rPr>
        <w:t xml:space="preserve">took place </w:t>
      </w:r>
      <w:r w:rsidRPr="008E2CD4">
        <w:rPr>
          <w:lang w:val="en"/>
        </w:rPr>
        <w:t>from</w:t>
      </w:r>
      <w:r w:rsidRPr="008E2CD4">
        <w:rPr>
          <w:lang w:val="en-US"/>
        </w:rPr>
        <w:t xml:space="preserve"> 30 to 31 March 2017 at ITU Headquarters in Geneva.</w:t>
      </w:r>
    </w:p>
    <w:p w:rsidR="006B63C0" w:rsidRPr="00923736" w:rsidRDefault="006B63C0" w:rsidP="006B63C0">
      <w:pPr>
        <w:tabs>
          <w:tab w:val="left" w:pos="1134"/>
          <w:tab w:val="left" w:pos="1871"/>
          <w:tab w:val="left" w:pos="2268"/>
        </w:tabs>
      </w:pPr>
      <w:r>
        <w:t>An</w:t>
      </w:r>
      <w:r w:rsidRPr="00923736">
        <w:t xml:space="preserve"> ITU/ITSO Capacity Building Workshop on Satellite Communications for </w:t>
      </w:r>
      <w:r>
        <w:t xml:space="preserve">English-speaking </w:t>
      </w:r>
      <w:r w:rsidRPr="00923736">
        <w:t>Africa</w:t>
      </w:r>
      <w:r>
        <w:t xml:space="preserve">n </w:t>
      </w:r>
      <w:r w:rsidRPr="00923736">
        <w:t>countries</w:t>
      </w:r>
      <w:r>
        <w:t xml:space="preserve"> was held </w:t>
      </w:r>
      <w:r w:rsidRPr="00923736">
        <w:t xml:space="preserve">in Nairobi, Kenya, </w:t>
      </w:r>
      <w:r>
        <w:t xml:space="preserve">from </w:t>
      </w:r>
      <w:r w:rsidRPr="00923736">
        <w:t xml:space="preserve">8 </w:t>
      </w:r>
      <w:r>
        <w:t xml:space="preserve">to </w:t>
      </w:r>
      <w:r w:rsidRPr="00923736">
        <w:t>12 August 2016</w:t>
      </w:r>
      <w:r>
        <w:t xml:space="preserve">. On the same dates, a parallel event was held for French-speaking African countries in Dakar, Senegal. </w:t>
      </w:r>
      <w:r w:rsidRPr="00923736">
        <w:t>Th</w:t>
      </w:r>
      <w:r>
        <w:t>ese</w:t>
      </w:r>
      <w:r w:rsidRPr="00923736">
        <w:t xml:space="preserve"> workshop</w:t>
      </w:r>
      <w:r>
        <w:t xml:space="preserve">s are </w:t>
      </w:r>
      <w:r w:rsidRPr="00923736">
        <w:t xml:space="preserve">part of a capacity building partnership between the ITU and ITSO for the delivery of satellite communications </w:t>
      </w:r>
      <w:r>
        <w:t xml:space="preserve">related </w:t>
      </w:r>
      <w:r w:rsidRPr="00923736">
        <w:t xml:space="preserve">training. </w:t>
      </w:r>
    </w:p>
    <w:p w:rsidR="006B63C0" w:rsidRPr="008C05BE" w:rsidRDefault="006B63C0" w:rsidP="006B63C0">
      <w:pPr>
        <w:tabs>
          <w:tab w:val="left" w:pos="1134"/>
          <w:tab w:val="left" w:pos="1871"/>
          <w:tab w:val="left" w:pos="2268"/>
        </w:tabs>
      </w:pPr>
      <w:r>
        <w:t>In addition, t</w:t>
      </w:r>
      <w:r w:rsidRPr="00C56C6F">
        <w:t>he Bureau hosted five satellite coordination meetings between: Russia and UK, Turkey and Thailand, Russia and USA, Malaysia and UK, Russia and France</w:t>
      </w:r>
      <w:r w:rsidRPr="008C05BE">
        <w:t>.</w:t>
      </w:r>
    </w:p>
    <w:p w:rsidR="006B63C0" w:rsidRPr="00ED04B0" w:rsidRDefault="006B63C0" w:rsidP="006B63C0">
      <w:pPr>
        <w:pStyle w:val="Heading2"/>
      </w:pPr>
      <w:bookmarkStart w:id="62" w:name="_Toc418163382"/>
      <w:bookmarkStart w:id="63" w:name="_Toc418232300"/>
      <w:bookmarkStart w:id="64" w:name="_Toc424047620"/>
      <w:bookmarkStart w:id="65" w:name="_Toc446060792"/>
      <w:r w:rsidRPr="00ED04B0">
        <w:t>8.4</w:t>
      </w:r>
      <w:r w:rsidRPr="00ED04B0">
        <w:tab/>
        <w:t>Inter-sector Cooperation</w:t>
      </w:r>
      <w:bookmarkEnd w:id="62"/>
      <w:bookmarkEnd w:id="63"/>
      <w:bookmarkEnd w:id="64"/>
      <w:bookmarkEnd w:id="65"/>
    </w:p>
    <w:p w:rsidR="006B63C0" w:rsidRPr="008C05BE" w:rsidRDefault="006B63C0" w:rsidP="006B63C0">
      <w:pPr>
        <w:pStyle w:val="Heading3"/>
      </w:pPr>
      <w:bookmarkStart w:id="66" w:name="_Toc424047621"/>
      <w:bookmarkStart w:id="67" w:name="_Toc446060793"/>
      <w:r w:rsidRPr="00ED04B0">
        <w:t>8.4.1</w:t>
      </w:r>
      <w:r w:rsidRPr="00ED04B0">
        <w:tab/>
        <w:t>Cooperation with ITU</w:t>
      </w:r>
      <w:r w:rsidRPr="00ED04B0">
        <w:noBreakHyphen/>
        <w:t>D</w:t>
      </w:r>
      <w:bookmarkEnd w:id="66"/>
      <w:bookmarkEnd w:id="67"/>
      <w:r w:rsidRPr="008C05BE">
        <w:t xml:space="preserve"> </w:t>
      </w:r>
    </w:p>
    <w:p w:rsidR="006B63C0" w:rsidRPr="00C56C6F" w:rsidRDefault="006B63C0" w:rsidP="006B63C0">
      <w:r w:rsidRPr="00C56C6F">
        <w:t xml:space="preserve">As reported in Sections 8.1 to 8.3 above, the BR continues to pursue its objective of informing and assisting the ITU membership, in particular in developing countries, on issues relating to radiocommunication matters. For this purpose, the BR organizes and participates in a number of spectrum related workshops, seminars, meetings and capacity building activities. These actions are being carried out in close cooperation with the BDT and the ITU regional and area offices, and the relevant international organizations and national authorities. </w:t>
      </w:r>
    </w:p>
    <w:p w:rsidR="006B63C0" w:rsidRPr="00E718B6" w:rsidRDefault="006B63C0" w:rsidP="006B63C0">
      <w:r>
        <w:t xml:space="preserve">In particular, the BR participated in a </w:t>
      </w:r>
      <w:r w:rsidRPr="00C56C6F">
        <w:t>Workshop and Meeting of Experts on WTDC Resolution 9 (Rev. Dubai, 2014): “Participation of countries, particularly developing countries, in spectrum management”</w:t>
      </w:r>
      <w:r>
        <w:t xml:space="preserve">, held on </w:t>
      </w:r>
      <w:r w:rsidRPr="00C56C6F">
        <w:t>17</w:t>
      </w:r>
      <w:r w:rsidRPr="00C56C6F">
        <w:rPr>
          <w:rFonts w:ascii="Cambria Math" w:hAnsi="Cambria Math" w:cs="Cambria Math"/>
        </w:rPr>
        <w:t>‐</w:t>
      </w:r>
      <w:r w:rsidRPr="00C56C6F">
        <w:t>19 F</w:t>
      </w:r>
      <w:r>
        <w:t>ebruary 2016, Budapest, Hungary</w:t>
      </w:r>
      <w:r w:rsidRPr="008C05BE">
        <w:t xml:space="preserve">. </w:t>
      </w:r>
      <w:bookmarkStart w:id="68" w:name="_Toc424047622"/>
    </w:p>
    <w:p w:rsidR="006B63C0" w:rsidRPr="008C05BE" w:rsidRDefault="006B63C0" w:rsidP="006B63C0">
      <w:pPr>
        <w:pStyle w:val="Heading4"/>
      </w:pPr>
      <w:r w:rsidRPr="00ED04B0">
        <w:t>8.4.1.1</w:t>
      </w:r>
      <w:r w:rsidRPr="00ED04B0">
        <w:tab/>
        <w:t>GSR</w:t>
      </w:r>
      <w:bookmarkEnd w:id="68"/>
    </w:p>
    <w:p w:rsidR="006B63C0" w:rsidRPr="008C05BE" w:rsidRDefault="006B63C0" w:rsidP="006B63C0">
      <w:bookmarkStart w:id="69" w:name="_Toc424047623"/>
      <w:r w:rsidRPr="008C05BE">
        <w:t>Recognizing the importance of expert information to Member States, the BR continues to support the BDT by providing technical expertise in relation to spectrum management, digital broadcasting and digital dividend. The BR contributed to the ITU Global Symposium of Regulators 2012, 2013, 2014, 2015) with the organization of, and participation in, sessions related to spectrum management.</w:t>
      </w:r>
    </w:p>
    <w:p w:rsidR="006B63C0" w:rsidRPr="008C05BE" w:rsidRDefault="006B63C0" w:rsidP="006B63C0">
      <w:pPr>
        <w:pStyle w:val="Heading4"/>
      </w:pPr>
      <w:r w:rsidRPr="00ED04B0">
        <w:t>8.4.1.2</w:t>
      </w:r>
      <w:r w:rsidRPr="00ED04B0">
        <w:tab/>
        <w:t>ICT Survey and ICT Eye</w:t>
      </w:r>
      <w:bookmarkEnd w:id="69"/>
      <w:r w:rsidRPr="008C05BE">
        <w:t xml:space="preserve"> </w:t>
      </w:r>
    </w:p>
    <w:p w:rsidR="006B63C0" w:rsidRDefault="006B63C0" w:rsidP="006B63C0">
      <w:r w:rsidRPr="008C05BE">
        <w:t>ICT-eye and its survey form an essential tool for gathering data from administrations on key ICT metrics. The BDT does the tracking of such data on a yearly basis, and</w:t>
      </w:r>
      <w:r>
        <w:t xml:space="preserve"> displays the data results in a </w:t>
      </w:r>
      <w:r w:rsidRPr="008C05BE">
        <w:t>meaningful way in the statistics portal. In order to capitalize from the existing platform pro</w:t>
      </w:r>
      <w:r>
        <w:t>vided by ICT-eye, the BR cooperated</w:t>
      </w:r>
      <w:r w:rsidRPr="008C05BE">
        <w:t xml:space="preserve"> with the BDT to expand the current survey and include a chapter on key spectrum-specific information (i.e. auctions, caps, mobile technologies/standards, spectrum licensing). The spectrum chapter was developed by BR and published in the ICT survey for first time in 2013. </w:t>
      </w:r>
      <w:r>
        <w:t>BR kept working closely with BDT in collecting, processing, and disseminating this chapter</w:t>
      </w:r>
      <w:r w:rsidRPr="008C05BE">
        <w:t xml:space="preserve">. </w:t>
      </w:r>
    </w:p>
    <w:p w:rsidR="00E712DE" w:rsidRDefault="00E712DE">
      <w:pPr>
        <w:tabs>
          <w:tab w:val="clear" w:pos="794"/>
          <w:tab w:val="clear" w:pos="1191"/>
          <w:tab w:val="clear" w:pos="1588"/>
          <w:tab w:val="clear" w:pos="1985"/>
        </w:tabs>
        <w:overflowPunct/>
        <w:autoSpaceDE/>
        <w:autoSpaceDN/>
        <w:adjustRightInd/>
        <w:spacing w:before="0"/>
        <w:textAlignment w:val="auto"/>
        <w:rPr>
          <w:b/>
        </w:rPr>
      </w:pPr>
      <w:r>
        <w:br w:type="page"/>
      </w:r>
    </w:p>
    <w:p w:rsidR="006B63C0" w:rsidRPr="004122D8" w:rsidRDefault="006B63C0" w:rsidP="006B63C0">
      <w:pPr>
        <w:pStyle w:val="Heading4"/>
      </w:pPr>
      <w:r w:rsidRPr="00ED04B0">
        <w:lastRenderedPageBreak/>
        <w:t>8.4.1.3. World Telecommunication/ICT Indicators Symposium, WTIS</w:t>
      </w:r>
    </w:p>
    <w:p w:rsidR="006B63C0" w:rsidRDefault="006B63C0" w:rsidP="006B63C0">
      <w:r>
        <w:t xml:space="preserve">The </w:t>
      </w:r>
      <w:r w:rsidRPr="00F362D3">
        <w:t xml:space="preserve">BR </w:t>
      </w:r>
      <w:r>
        <w:t>cooperated</w:t>
      </w:r>
      <w:r w:rsidRPr="00F362D3">
        <w:t xml:space="preserve"> with </w:t>
      </w:r>
      <w:r>
        <w:t xml:space="preserve">the </w:t>
      </w:r>
      <w:r w:rsidRPr="00F362D3">
        <w:t xml:space="preserve">BDT on </w:t>
      </w:r>
      <w:r>
        <w:t xml:space="preserve">the indicators and definitions </w:t>
      </w:r>
      <w:r w:rsidRPr="00F362D3">
        <w:t xml:space="preserve">for gathering data on mobile broadband technologies, especially </w:t>
      </w:r>
      <w:r>
        <w:t>when referring</w:t>
      </w:r>
      <w:r w:rsidRPr="00F362D3">
        <w:t xml:space="preserve"> to standards. </w:t>
      </w:r>
      <w:r>
        <w:t>In that context, the BR made presentations during WTIS-13, WTIS-14 and WTIS-15. D</w:t>
      </w:r>
      <w:r w:rsidRPr="00F362D3">
        <w:t>uring</w:t>
      </w:r>
      <w:r>
        <w:t xml:space="preserve"> WTIS-16, the BR </w:t>
      </w:r>
      <w:r w:rsidRPr="00256A01">
        <w:t>participate</w:t>
      </w:r>
      <w:r>
        <w:t>d</w:t>
      </w:r>
      <w:r w:rsidRPr="00256A01">
        <w:t xml:space="preserve"> in the development of indicators for 5G and wireless broadband access.</w:t>
      </w:r>
      <w:r>
        <w:t xml:space="preserve"> </w:t>
      </w:r>
    </w:p>
    <w:p w:rsidR="006B63C0" w:rsidRPr="00F362D3" w:rsidRDefault="006B63C0" w:rsidP="006B63C0">
      <w:pPr>
        <w:jc w:val="both"/>
      </w:pPr>
      <w:r>
        <w:t>This activity is closely coupled with the work on ITU-R KPIs.</w:t>
      </w:r>
    </w:p>
    <w:p w:rsidR="006B63C0" w:rsidRPr="008C05BE" w:rsidRDefault="006B63C0" w:rsidP="006B63C0">
      <w:pPr>
        <w:pStyle w:val="Heading4"/>
      </w:pPr>
      <w:bookmarkStart w:id="70" w:name="_Toc424047624"/>
      <w:r w:rsidRPr="00ED04B0">
        <w:t>8.4.1.4</w:t>
      </w:r>
      <w:r w:rsidRPr="00ED04B0">
        <w:tab/>
        <w:t>Spectrum Management Training Programme (SMTP)</w:t>
      </w:r>
      <w:bookmarkEnd w:id="70"/>
    </w:p>
    <w:p w:rsidR="006B63C0" w:rsidRPr="00C56C6F" w:rsidRDefault="006B63C0" w:rsidP="006B63C0">
      <w:bookmarkStart w:id="71" w:name="_Toc424047625"/>
      <w:r w:rsidRPr="00C56C6F">
        <w:t>Close contact has continued with the BDT on work of mutual interest to ITU</w:t>
      </w:r>
      <w:r w:rsidRPr="00C56C6F">
        <w:noBreakHyphen/>
        <w:t>R and ITU</w:t>
      </w:r>
      <w:r w:rsidRPr="00C56C6F">
        <w:noBreakHyphen/>
        <w:t>D. The BR has participated in relevant meetings of ITU</w:t>
      </w:r>
      <w:r w:rsidRPr="00C56C6F">
        <w:noBreakHyphen/>
        <w:t>D Study Groups, Rapporteur Groups and TDAG, where liaison activities have involved topics such as spectrum management, digital broadcasting and migration from analogue systems, transition towards and implementation of IMT, and broadband wireless access technologies. These topics are in addition to the collaboration undertaken through ITU</w:t>
      </w:r>
      <w:r w:rsidRPr="00C56C6F">
        <w:noBreakHyphen/>
        <w:t>D Question 9-3/2 that calls for the identification of study topics in ITU</w:t>
      </w:r>
      <w:r w:rsidRPr="00C56C6F">
        <w:noBreakHyphen/>
        <w:t>R (and ITU</w:t>
      </w:r>
      <w:r w:rsidRPr="00C56C6F">
        <w:noBreakHyphen/>
        <w:t>T) considered of particular interest to developing countries.</w:t>
      </w:r>
    </w:p>
    <w:p w:rsidR="006B63C0" w:rsidRPr="00C56C6F" w:rsidRDefault="006B63C0" w:rsidP="006B63C0">
      <w:r w:rsidRPr="00C56C6F">
        <w:t>In response to requests from the BDT, experts from ITU</w:t>
      </w:r>
      <w:r w:rsidRPr="00C56C6F">
        <w:noBreakHyphen/>
        <w:t>R and BR have participated in ITU seminars and workshops organized by ITU</w:t>
      </w:r>
      <w:r w:rsidRPr="00C56C6F">
        <w:noBreakHyphen/>
        <w:t>D (see also Section 8.2.4). Within the framework of Resolution ITU</w:t>
      </w:r>
      <w:r w:rsidRPr="00C56C6F">
        <w:noBreakHyphen/>
        <w:t>R 11-4 (Further development of the spectrum management system for developing countries), BR has been involved with the design, testing and training associated with the software SMS4DC (Spectrum Management System for Developing Countries), with advice provided on the use of relevant ITU</w:t>
      </w:r>
      <w:r w:rsidRPr="00C56C6F">
        <w:noBreakHyphen/>
        <w:t>R Recommendations. In addition, ITU</w:t>
      </w:r>
      <w:r w:rsidRPr="00C56C6F">
        <w:noBreakHyphen/>
        <w:t>R Study Group 1 has continued to work closely with the ITU</w:t>
      </w:r>
      <w:r w:rsidRPr="00C56C6F">
        <w:noBreakHyphen/>
        <w:t>D Study Groups in pursuing studies on spectrum usage in accordance with Resolution ITU</w:t>
      </w:r>
      <w:r w:rsidRPr="00C56C6F">
        <w:noBreakHyphen/>
        <w:t xml:space="preserve">D 9. </w:t>
      </w:r>
    </w:p>
    <w:p w:rsidR="006B63C0" w:rsidRPr="00C56C6F" w:rsidRDefault="006B63C0" w:rsidP="006B63C0">
      <w:r w:rsidRPr="00C56C6F">
        <w:t>In 2013, the BR developed jointly with the BDT an ITU Report on the Digital Dividend. On this basis, ITU-R Study Group 1 has since developed and adopted an ITU-R Report on this subject.</w:t>
      </w:r>
    </w:p>
    <w:p w:rsidR="006B63C0" w:rsidRPr="00C56C6F" w:rsidRDefault="006B63C0" w:rsidP="006B63C0">
      <w:r w:rsidRPr="00C56C6F">
        <w:t>With the needs of developing countries always in mind, the production of Handbooks has continued to be viewed as a major Study Group activity. In this respect, new or revised Handbooks have been developed on topics such as spectrum monitoring, radiowave propagation information for designing terrestrial point-to-point links, amateur and amateur-satellite services, migration to IMT-2000 systems and use of radio spectrum for meteorology – weather, water and climate monitoring and prediction.</w:t>
      </w:r>
    </w:p>
    <w:p w:rsidR="006B63C0" w:rsidRPr="008C05BE" w:rsidRDefault="006B63C0" w:rsidP="006B63C0">
      <w:r w:rsidRPr="00C56C6F">
        <w:t xml:space="preserve">Since 2013, the BR actively participated in a joint project with the BDT to develop the </w:t>
      </w:r>
      <w:r w:rsidRPr="00C56C6F">
        <w:rPr>
          <w:i/>
          <w:iCs/>
        </w:rPr>
        <w:t>Spectrum Management Training Programme (SMTP</w:t>
      </w:r>
      <w:r w:rsidRPr="00C56C6F">
        <w:t>) through its different phases: design, material preparation, peer review, pilot test (conducted in 2015 and now under evaluation). In 2016</w:t>
      </w:r>
      <w:r>
        <w:t xml:space="preserve">, improvements were integrated on the basis of </w:t>
      </w:r>
      <w:r w:rsidRPr="00C56C6F">
        <w:t xml:space="preserve">received feedbacks. </w:t>
      </w:r>
    </w:p>
    <w:p w:rsidR="006B63C0" w:rsidRPr="008C05BE" w:rsidRDefault="006B63C0" w:rsidP="006B63C0">
      <w:pPr>
        <w:pStyle w:val="Heading3"/>
      </w:pPr>
      <w:bookmarkStart w:id="72" w:name="_Toc446060794"/>
      <w:r w:rsidRPr="00ED04B0">
        <w:t>8.4.2</w:t>
      </w:r>
      <w:r w:rsidRPr="00ED04B0">
        <w:tab/>
        <w:t>Cooperation with ITU-T</w:t>
      </w:r>
      <w:bookmarkEnd w:id="71"/>
      <w:bookmarkEnd w:id="72"/>
      <w:r w:rsidRPr="008C05BE">
        <w:t xml:space="preserve"> </w:t>
      </w:r>
    </w:p>
    <w:p w:rsidR="006B63C0" w:rsidRPr="00EA2EC3" w:rsidRDefault="006B63C0" w:rsidP="006B63C0">
      <w:r w:rsidRPr="00EA2EC3">
        <w:t>In addition to climate change and emergency communications, topics of mutual interest between ITU</w:t>
      </w:r>
      <w:r w:rsidRPr="00EA2EC3">
        <w:noBreakHyphen/>
        <w:t>R and ITU</w:t>
      </w:r>
      <w:r w:rsidRPr="00EA2EC3">
        <w:noBreakHyphen/>
        <w:t>T include IMT-2020, the effects of human exposure to radio frequencies, power line transmission systems, intelligent transport systems, common patent policy and intellectual property rights and audio-visual media accessibility.</w:t>
      </w:r>
    </w:p>
    <w:p w:rsidR="006B63C0" w:rsidRPr="00C56C6F" w:rsidRDefault="006B63C0" w:rsidP="006B63C0">
      <w:r w:rsidRPr="00EA2EC3">
        <w:t xml:space="preserve">BR representatives </w:t>
      </w:r>
      <w:r>
        <w:t xml:space="preserve">attended </w:t>
      </w:r>
      <w:r w:rsidRPr="00EA2EC3">
        <w:t>the World Telecommunication Standardization Assembly 2016.</w:t>
      </w:r>
      <w:r>
        <w:t xml:space="preserve"> The BR was also present at </w:t>
      </w:r>
      <w:r w:rsidRPr="00C56C6F">
        <w:t>the Kaleidoscope academic conferences organized by ITU-T</w:t>
      </w:r>
      <w:r>
        <w:t xml:space="preserve"> during </w:t>
      </w:r>
      <w:r w:rsidRPr="00C56C6F">
        <w:t xml:space="preserve">ITU Telecom World 2016, </w:t>
      </w:r>
      <w:r>
        <w:t xml:space="preserve">where </w:t>
      </w:r>
      <w:r w:rsidRPr="00C56C6F">
        <w:t xml:space="preserve">the BR chaired a session on Spectral </w:t>
      </w:r>
      <w:r>
        <w:t>efficiency in wireless networks</w:t>
      </w:r>
      <w:r w:rsidRPr="008C05BE">
        <w:t xml:space="preserve">. </w:t>
      </w:r>
    </w:p>
    <w:p w:rsidR="006B63C0" w:rsidRPr="00C56C6F" w:rsidRDefault="006B63C0" w:rsidP="006B63C0">
      <w:r w:rsidRPr="00C56C6F">
        <w:lastRenderedPageBreak/>
        <w:t>There continues to be a requirement for close coordination on the various topics being addressed by ITU</w:t>
      </w:r>
      <w:r w:rsidRPr="00C56C6F">
        <w:noBreakHyphen/>
        <w:t xml:space="preserve">T that impinge on radiocommunication issues to reduce the potential for overlap, duplication and conflict of work undertaken by the two Sectors. </w:t>
      </w:r>
    </w:p>
    <w:p w:rsidR="006B63C0" w:rsidRPr="008C05BE" w:rsidRDefault="006B63C0" w:rsidP="006B63C0">
      <w:pPr>
        <w:pStyle w:val="Heading3"/>
      </w:pPr>
      <w:bookmarkStart w:id="73" w:name="_Toc418163383"/>
      <w:bookmarkStart w:id="74" w:name="_Toc418232301"/>
      <w:bookmarkStart w:id="75" w:name="_Toc424047626"/>
      <w:bookmarkStart w:id="76" w:name="_Toc446060795"/>
      <w:r w:rsidRPr="00ED04B0">
        <w:t>8.4.3</w:t>
      </w:r>
      <w:r w:rsidRPr="00ED04B0">
        <w:tab/>
        <w:t>Cooperation with international and regional organizations</w:t>
      </w:r>
      <w:bookmarkEnd w:id="73"/>
      <w:bookmarkEnd w:id="74"/>
      <w:bookmarkEnd w:id="75"/>
      <w:bookmarkEnd w:id="76"/>
    </w:p>
    <w:p w:rsidR="006B63C0" w:rsidRPr="008C05BE" w:rsidRDefault="006B63C0" w:rsidP="006B63C0">
      <w:r>
        <w:t>T</w:t>
      </w:r>
      <w:r w:rsidRPr="008C05BE">
        <w:t xml:space="preserve">he Bureau </w:t>
      </w:r>
      <w:r>
        <w:t xml:space="preserve">continued to </w:t>
      </w:r>
      <w:r w:rsidRPr="008C05BE">
        <w:t>maintain close cooperation with international and regional organizations with the following objectives: 1) to promote dialogue amongst bod</w:t>
      </w:r>
      <w:r>
        <w:t>ies having common interests; 2) </w:t>
      </w:r>
      <w:r w:rsidRPr="008C05BE">
        <w:t xml:space="preserve">to help coordination leading to more effective preparation for events such as WRCs; and </w:t>
      </w:r>
      <w:r>
        <w:br/>
      </w:r>
      <w:r w:rsidRPr="008C05BE">
        <w:t>3) to keep ITU</w:t>
      </w:r>
      <w:r w:rsidRPr="008C05BE">
        <w:noBreakHyphen/>
        <w:t>R abreast of relevant activities in other organizations to help planning of work programmes.</w:t>
      </w:r>
    </w:p>
    <w:p w:rsidR="006B63C0" w:rsidRDefault="006B63C0" w:rsidP="006B63C0">
      <w:pPr>
        <w:rPr>
          <w:szCs w:val="24"/>
        </w:rPr>
      </w:pPr>
      <w:r w:rsidRPr="008C05BE">
        <w:rPr>
          <w:szCs w:val="24"/>
        </w:rPr>
        <w:t>The BR continues its close cooperation with the relevant international and regional organizations dealing with the use of spectrum (APT, ASMG, ATU, CEPT, CITEL and RCC) or more generally with the use of radiocommunication services (e.g. ICTO, ITSO, ESOA, GVF, GSMA, EBU) by organizing, promoting and participating in events to build capacity on the use of the RRs, including WRS an</w:t>
      </w:r>
      <w:r>
        <w:rPr>
          <w:szCs w:val="24"/>
        </w:rPr>
        <w:t>d RRS, as indicated in Section 8.2.</w:t>
      </w:r>
    </w:p>
    <w:p w:rsidR="006B63C0" w:rsidRPr="0075688E" w:rsidRDefault="006B63C0" w:rsidP="006B63C0">
      <w:pPr>
        <w:rPr>
          <w:szCs w:val="24"/>
        </w:rPr>
      </w:pPr>
      <w:r w:rsidRPr="0075688E">
        <w:rPr>
          <w:szCs w:val="24"/>
        </w:rPr>
        <w:t>The BR continues to participate in the activities of the Global Standards Collaboration (GSC). Involvement with the 3G partnership projects and IEEE has been maintained, given their importance and relevance to the work of Study Group 5. Other notable areas of liaison with Study Group activities include those with the World Meteorological Organization (through SG 7), CISPR (through SG 1), the World Health Organization (through SG 6), Space Frequency Coordination Group (through SG 7) and the European Broadcasting Union (through SG 6).</w:t>
      </w:r>
    </w:p>
    <w:p w:rsidR="006B63C0" w:rsidRPr="008C05BE" w:rsidRDefault="006B63C0" w:rsidP="00DE6012">
      <w:r w:rsidRPr="0075688E">
        <w:t>The BR ensured liaison and cooperation with the UN Committee on the Peaceful Uses of Outer Space (UN-COPUOS), the International Maritime Organization (IMO), the International M</w:t>
      </w:r>
      <w:r w:rsidR="00DE6012">
        <w:t>aritime</w:t>
      </w:r>
      <w:r w:rsidRPr="0075688E">
        <w:t xml:space="preserve"> Satellite Organization (IMSO), the International Telecommunications Satellite Organization (ITSO), COSPAS-SARSAT, </w:t>
      </w:r>
      <w:r>
        <w:t>the International Committee of the Red Cross (</w:t>
      </w:r>
      <w:r w:rsidRPr="0075688E">
        <w:t>CICR</w:t>
      </w:r>
      <w:r>
        <w:t>) the International Civil Aviation Organization (</w:t>
      </w:r>
      <w:r w:rsidRPr="0075688E">
        <w:t>ICAO</w:t>
      </w:r>
      <w:r>
        <w:t>)</w:t>
      </w:r>
      <w:r w:rsidRPr="0075688E">
        <w:t xml:space="preserve"> with regard to the application of ITU treaty texts. BR experts also participated in various meetings of these organizations</w:t>
      </w:r>
      <w:r w:rsidRPr="008C05BE">
        <w:t>.</w:t>
      </w:r>
    </w:p>
    <w:p w:rsidR="006B63C0" w:rsidRPr="00E057F1" w:rsidRDefault="006B63C0" w:rsidP="006B63C0">
      <w:pPr>
        <w:pStyle w:val="Heading2"/>
      </w:pPr>
      <w:bookmarkStart w:id="77" w:name="_Toc446060796"/>
      <w:r w:rsidRPr="00ED04B0">
        <w:t>8.5</w:t>
      </w:r>
      <w:r w:rsidRPr="00ED04B0">
        <w:tab/>
      </w:r>
      <w:bookmarkEnd w:id="77"/>
      <w:r w:rsidRPr="00ED04B0">
        <w:rPr>
          <w:lang w:val="en-US"/>
        </w:rPr>
        <w:t>Evolution of ITU-R Sector Members, Associates and Academia</w:t>
      </w:r>
      <w:r w:rsidRPr="00621EC7">
        <w:t xml:space="preserve"> </w:t>
      </w:r>
    </w:p>
    <w:p w:rsidR="006B63C0" w:rsidRPr="000D7876" w:rsidRDefault="006B63C0" w:rsidP="006B63C0">
      <w:r>
        <w:t>Table 8.5</w:t>
      </w:r>
      <w:r w:rsidRPr="000D7876">
        <w:t xml:space="preserve">-1 shows the evolution of the number of ITU-R Sector Members, Associates and Academia during the period </w:t>
      </w:r>
      <w:r>
        <w:t>2012 to</w:t>
      </w:r>
      <w:r w:rsidRPr="000D7876">
        <w:t xml:space="preserve"> 2015.</w:t>
      </w:r>
    </w:p>
    <w:p w:rsidR="006B63C0" w:rsidRPr="00E057F1" w:rsidRDefault="006B63C0" w:rsidP="006B63C0">
      <w:pPr>
        <w:pStyle w:val="TableNoBR"/>
      </w:pPr>
      <w:r>
        <w:t>Table 8.5</w:t>
      </w:r>
      <w:r w:rsidRPr="00E057F1">
        <w:t>-1</w:t>
      </w:r>
    </w:p>
    <w:p w:rsidR="006B63C0" w:rsidRDefault="006B63C0" w:rsidP="006B63C0">
      <w:pPr>
        <w:pStyle w:val="TabletitleBR"/>
      </w:pPr>
      <w:r w:rsidRPr="00E057F1">
        <w:t>Evolution of the ITU-R membership since 201</w:t>
      </w:r>
      <w:r>
        <w:t>2</w:t>
      </w:r>
    </w:p>
    <w:p w:rsidR="006B63C0" w:rsidRDefault="006B63C0" w:rsidP="006B63C0"/>
    <w:tbl>
      <w:tblPr>
        <w:tblW w:w="7800" w:type="dxa"/>
        <w:jc w:val="center"/>
        <w:tblLook w:val="04A0" w:firstRow="1" w:lastRow="0" w:firstColumn="1" w:lastColumn="0" w:noHBand="0" w:noVBand="1"/>
      </w:tblPr>
      <w:tblGrid>
        <w:gridCol w:w="1600"/>
        <w:gridCol w:w="820"/>
        <w:gridCol w:w="940"/>
        <w:gridCol w:w="820"/>
        <w:gridCol w:w="940"/>
        <w:gridCol w:w="1500"/>
        <w:gridCol w:w="1180"/>
      </w:tblGrid>
      <w:tr w:rsidR="006B63C0" w:rsidRPr="00261E27" w:rsidTr="009A53E2">
        <w:trPr>
          <w:trHeight w:val="315"/>
          <w:jc w:val="center"/>
        </w:trPr>
        <w:tc>
          <w:tcPr>
            <w:tcW w:w="1600" w:type="dxa"/>
            <w:tcBorders>
              <w:top w:val="nil"/>
              <w:left w:val="nil"/>
              <w:bottom w:val="single" w:sz="8" w:space="0" w:color="auto"/>
              <w:right w:val="nil"/>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textAlignment w:val="auto"/>
              <w:rPr>
                <w:color w:val="000000"/>
                <w:sz w:val="20"/>
                <w:lang w:val="en-US" w:eastAsia="zh-CN"/>
              </w:rPr>
            </w:pPr>
            <w:r w:rsidRPr="00261E27">
              <w:rPr>
                <w:color w:val="000000"/>
                <w:sz w:val="20"/>
                <w:lang w:val="en-US" w:eastAsia="zh-CN"/>
              </w:rPr>
              <w:t> </w:t>
            </w:r>
          </w:p>
        </w:tc>
        <w:tc>
          <w:tcPr>
            <w:tcW w:w="8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261E27">
              <w:rPr>
                <w:b/>
                <w:bCs/>
                <w:color w:val="000000"/>
                <w:sz w:val="20"/>
                <w:lang w:val="en-US" w:eastAsia="zh-CN"/>
              </w:rPr>
              <w:t>2013</w:t>
            </w:r>
          </w:p>
        </w:tc>
        <w:tc>
          <w:tcPr>
            <w:tcW w:w="940" w:type="dxa"/>
            <w:tcBorders>
              <w:top w:val="single" w:sz="8" w:space="0" w:color="auto"/>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261E27">
              <w:rPr>
                <w:b/>
                <w:bCs/>
                <w:color w:val="000000"/>
                <w:sz w:val="20"/>
                <w:lang w:val="en-US" w:eastAsia="zh-CN"/>
              </w:rPr>
              <w:t>2014</w:t>
            </w:r>
          </w:p>
        </w:tc>
        <w:tc>
          <w:tcPr>
            <w:tcW w:w="820" w:type="dxa"/>
            <w:tcBorders>
              <w:top w:val="single" w:sz="8" w:space="0" w:color="auto"/>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261E27">
              <w:rPr>
                <w:b/>
                <w:bCs/>
                <w:color w:val="000000"/>
                <w:sz w:val="20"/>
                <w:lang w:val="en-US" w:eastAsia="zh-CN"/>
              </w:rPr>
              <w:t>2015</w:t>
            </w:r>
          </w:p>
        </w:tc>
        <w:tc>
          <w:tcPr>
            <w:tcW w:w="940" w:type="dxa"/>
            <w:tcBorders>
              <w:top w:val="single" w:sz="8" w:space="0" w:color="auto"/>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261E27">
              <w:rPr>
                <w:b/>
                <w:bCs/>
                <w:color w:val="000000"/>
                <w:sz w:val="20"/>
                <w:lang w:val="en-US" w:eastAsia="zh-CN"/>
              </w:rPr>
              <w:t>2016</w:t>
            </w:r>
          </w:p>
        </w:tc>
        <w:tc>
          <w:tcPr>
            <w:tcW w:w="1500" w:type="dxa"/>
            <w:tcBorders>
              <w:top w:val="single" w:sz="8" w:space="0" w:color="auto"/>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261E27">
              <w:rPr>
                <w:b/>
                <w:bCs/>
                <w:color w:val="000000"/>
                <w:sz w:val="20"/>
                <w:lang w:val="en-US" w:eastAsia="zh-CN"/>
              </w:rPr>
              <w:t>2016 VS 2013</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261E27">
              <w:rPr>
                <w:b/>
                <w:bCs/>
                <w:color w:val="000000"/>
                <w:sz w:val="20"/>
                <w:lang w:val="en-US" w:eastAsia="zh-CN"/>
              </w:rPr>
              <w:t>% Increase</w:t>
            </w:r>
          </w:p>
        </w:tc>
      </w:tr>
      <w:tr w:rsidR="006B63C0" w:rsidRPr="00261E27" w:rsidTr="009A53E2">
        <w:trPr>
          <w:trHeight w:val="315"/>
          <w:jc w:val="center"/>
        </w:trPr>
        <w:tc>
          <w:tcPr>
            <w:tcW w:w="1600" w:type="dxa"/>
            <w:tcBorders>
              <w:top w:val="nil"/>
              <w:left w:val="single" w:sz="8" w:space="0" w:color="auto"/>
              <w:bottom w:val="single" w:sz="8" w:space="0" w:color="auto"/>
              <w:right w:val="nil"/>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261E27">
              <w:rPr>
                <w:b/>
                <w:bCs/>
                <w:color w:val="000000"/>
                <w:sz w:val="20"/>
                <w:lang w:val="en-US" w:eastAsia="zh-CN"/>
              </w:rPr>
              <w:t>Sector Members</w:t>
            </w:r>
          </w:p>
        </w:tc>
        <w:tc>
          <w:tcPr>
            <w:tcW w:w="820" w:type="dxa"/>
            <w:tcBorders>
              <w:top w:val="nil"/>
              <w:left w:val="single" w:sz="8" w:space="0" w:color="auto"/>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259</w:t>
            </w:r>
          </w:p>
        </w:tc>
        <w:tc>
          <w:tcPr>
            <w:tcW w:w="94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262</w:t>
            </w:r>
          </w:p>
        </w:tc>
        <w:tc>
          <w:tcPr>
            <w:tcW w:w="82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276</w:t>
            </w:r>
          </w:p>
        </w:tc>
        <w:tc>
          <w:tcPr>
            <w:tcW w:w="94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sz w:val="20"/>
                <w:lang w:val="en-US" w:eastAsia="zh-CN"/>
              </w:rPr>
            </w:pPr>
            <w:r w:rsidRPr="00261E27">
              <w:rPr>
                <w:sz w:val="20"/>
                <w:lang w:val="en-US" w:eastAsia="zh-CN"/>
              </w:rPr>
              <w:t>267</w:t>
            </w:r>
          </w:p>
        </w:tc>
        <w:tc>
          <w:tcPr>
            <w:tcW w:w="150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8</w:t>
            </w:r>
          </w:p>
        </w:tc>
        <w:tc>
          <w:tcPr>
            <w:tcW w:w="118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3.1%</w:t>
            </w:r>
          </w:p>
        </w:tc>
      </w:tr>
      <w:tr w:rsidR="006B63C0" w:rsidRPr="00261E27" w:rsidTr="009A53E2">
        <w:trPr>
          <w:trHeight w:val="315"/>
          <w:jc w:val="center"/>
        </w:trPr>
        <w:tc>
          <w:tcPr>
            <w:tcW w:w="1600" w:type="dxa"/>
            <w:tcBorders>
              <w:top w:val="nil"/>
              <w:left w:val="single" w:sz="8" w:space="0" w:color="auto"/>
              <w:bottom w:val="single" w:sz="8" w:space="0" w:color="auto"/>
              <w:right w:val="nil"/>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261E27">
              <w:rPr>
                <w:b/>
                <w:bCs/>
                <w:color w:val="000000"/>
                <w:sz w:val="20"/>
                <w:lang w:val="en-US" w:eastAsia="zh-CN"/>
              </w:rPr>
              <w:t>Associates</w:t>
            </w:r>
          </w:p>
        </w:tc>
        <w:tc>
          <w:tcPr>
            <w:tcW w:w="820" w:type="dxa"/>
            <w:tcBorders>
              <w:top w:val="nil"/>
              <w:left w:val="single" w:sz="8" w:space="0" w:color="auto"/>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18</w:t>
            </w:r>
          </w:p>
        </w:tc>
        <w:tc>
          <w:tcPr>
            <w:tcW w:w="94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19</w:t>
            </w:r>
          </w:p>
        </w:tc>
        <w:tc>
          <w:tcPr>
            <w:tcW w:w="82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22</w:t>
            </w:r>
          </w:p>
        </w:tc>
        <w:tc>
          <w:tcPr>
            <w:tcW w:w="94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sz w:val="20"/>
                <w:lang w:val="en-US" w:eastAsia="zh-CN"/>
              </w:rPr>
            </w:pPr>
            <w:r w:rsidRPr="00261E27">
              <w:rPr>
                <w:sz w:val="20"/>
                <w:lang w:val="en-US" w:eastAsia="zh-CN"/>
              </w:rPr>
              <w:t>20</w:t>
            </w:r>
          </w:p>
        </w:tc>
        <w:tc>
          <w:tcPr>
            <w:tcW w:w="150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2</w:t>
            </w:r>
          </w:p>
        </w:tc>
        <w:tc>
          <w:tcPr>
            <w:tcW w:w="118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11.1%</w:t>
            </w:r>
          </w:p>
        </w:tc>
      </w:tr>
      <w:tr w:rsidR="006B63C0" w:rsidRPr="00261E27" w:rsidTr="009A53E2">
        <w:trPr>
          <w:trHeight w:val="315"/>
          <w:jc w:val="center"/>
        </w:trPr>
        <w:tc>
          <w:tcPr>
            <w:tcW w:w="1600" w:type="dxa"/>
            <w:tcBorders>
              <w:top w:val="nil"/>
              <w:left w:val="single" w:sz="8" w:space="0" w:color="auto"/>
              <w:bottom w:val="single" w:sz="8" w:space="0" w:color="auto"/>
              <w:right w:val="nil"/>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261E27">
              <w:rPr>
                <w:b/>
                <w:bCs/>
                <w:color w:val="000000"/>
                <w:sz w:val="20"/>
                <w:lang w:val="en-US" w:eastAsia="zh-CN"/>
              </w:rPr>
              <w:t>Academia</w:t>
            </w:r>
          </w:p>
        </w:tc>
        <w:tc>
          <w:tcPr>
            <w:tcW w:w="820" w:type="dxa"/>
            <w:tcBorders>
              <w:top w:val="nil"/>
              <w:left w:val="single" w:sz="8" w:space="0" w:color="auto"/>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15</w:t>
            </w:r>
          </w:p>
        </w:tc>
        <w:tc>
          <w:tcPr>
            <w:tcW w:w="94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30</w:t>
            </w:r>
          </w:p>
        </w:tc>
        <w:tc>
          <w:tcPr>
            <w:tcW w:w="82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109</w:t>
            </w:r>
          </w:p>
        </w:tc>
        <w:tc>
          <w:tcPr>
            <w:tcW w:w="94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sz w:val="20"/>
                <w:lang w:val="en-US" w:eastAsia="zh-CN"/>
              </w:rPr>
            </w:pPr>
            <w:r w:rsidRPr="00261E27">
              <w:rPr>
                <w:sz w:val="20"/>
                <w:lang w:val="en-US" w:eastAsia="zh-CN"/>
              </w:rPr>
              <w:t>133</w:t>
            </w:r>
          </w:p>
        </w:tc>
        <w:tc>
          <w:tcPr>
            <w:tcW w:w="150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118</w:t>
            </w:r>
          </w:p>
        </w:tc>
        <w:tc>
          <w:tcPr>
            <w:tcW w:w="1180" w:type="dxa"/>
            <w:tcBorders>
              <w:top w:val="nil"/>
              <w:left w:val="nil"/>
              <w:bottom w:val="single" w:sz="8" w:space="0" w:color="auto"/>
              <w:right w:val="single" w:sz="8" w:space="0" w:color="auto"/>
            </w:tcBorders>
            <w:shd w:val="clear" w:color="auto" w:fill="auto"/>
            <w:noWrap/>
            <w:vAlign w:val="center"/>
            <w:hideMark/>
          </w:tcPr>
          <w:p w:rsidR="006B63C0" w:rsidRPr="00261E27" w:rsidRDefault="006B63C0" w:rsidP="009A53E2">
            <w:pPr>
              <w:tabs>
                <w:tab w:val="clear" w:pos="794"/>
                <w:tab w:val="clear" w:pos="1191"/>
                <w:tab w:val="clear" w:pos="1588"/>
                <w:tab w:val="clear" w:pos="1985"/>
              </w:tabs>
              <w:overflowPunct/>
              <w:autoSpaceDE/>
              <w:autoSpaceDN/>
              <w:adjustRightInd/>
              <w:spacing w:before="0"/>
              <w:jc w:val="center"/>
              <w:textAlignment w:val="auto"/>
              <w:rPr>
                <w:color w:val="000000"/>
                <w:sz w:val="20"/>
                <w:lang w:val="en-US" w:eastAsia="zh-CN"/>
              </w:rPr>
            </w:pPr>
            <w:r w:rsidRPr="00261E27">
              <w:rPr>
                <w:color w:val="000000"/>
                <w:sz w:val="20"/>
                <w:lang w:val="en-US" w:eastAsia="zh-CN"/>
              </w:rPr>
              <w:t>786.7%</w:t>
            </w:r>
          </w:p>
        </w:tc>
      </w:tr>
    </w:tbl>
    <w:p w:rsidR="006B63C0" w:rsidRDefault="006B63C0" w:rsidP="006B63C0"/>
    <w:p w:rsidR="006B63C0" w:rsidRPr="003E39B2" w:rsidRDefault="006B63C0" w:rsidP="006B63C0">
      <w:r w:rsidRPr="003E39B2">
        <w:t xml:space="preserve">These figures </w:t>
      </w:r>
      <w:r>
        <w:t>the stability of the situation and the increase in Academia membership</w:t>
      </w:r>
      <w:r w:rsidRPr="003E39B2">
        <w:t>. It may be noted that:</w:t>
      </w:r>
    </w:p>
    <w:p w:rsidR="006B63C0" w:rsidRDefault="006B63C0" w:rsidP="006B63C0">
      <w:pPr>
        <w:pStyle w:val="enumlev1"/>
      </w:pPr>
      <w:r>
        <w:t>–</w:t>
      </w:r>
      <w:r>
        <w:tab/>
        <w:t xml:space="preserve">Among the associates which withdrew from ITU-R in the period, </w:t>
      </w:r>
      <w:r w:rsidRPr="00F979F7">
        <w:t>two</w:t>
      </w:r>
      <w:r>
        <w:t xml:space="preserve"> became Sector Members.</w:t>
      </w:r>
    </w:p>
    <w:p w:rsidR="006B63C0" w:rsidRDefault="006B63C0" w:rsidP="006B63C0">
      <w:pPr>
        <w:pStyle w:val="enumlev1"/>
      </w:pPr>
      <w:r>
        <w:lastRenderedPageBreak/>
        <w:t>–</w:t>
      </w:r>
      <w:r>
        <w:tab/>
        <w:t>In accordance with Resolution 169 (Rev</w:t>
      </w:r>
      <w:r w:rsidR="00E712DE">
        <w:t>.</w:t>
      </w:r>
      <w:r>
        <w:t xml:space="preserve"> Busan</w:t>
      </w:r>
      <w:r w:rsidR="00E712DE">
        <w:t>,</w:t>
      </w:r>
      <w:r>
        <w:t xml:space="preserve"> 2014), a single ITU membership has been implemented since 1</w:t>
      </w:r>
      <w:r w:rsidRPr="00BE0422">
        <w:rPr>
          <w:vertAlign w:val="superscript"/>
        </w:rPr>
        <w:t>st</w:t>
      </w:r>
      <w:r>
        <w:t xml:space="preserve"> January 2015. Consequently, academia members from other sectors are also counted as ITU-R academia members since that date. </w:t>
      </w:r>
    </w:p>
    <w:p w:rsidR="006B63C0" w:rsidRPr="00607D05" w:rsidRDefault="006B63C0" w:rsidP="006B63C0">
      <w:pPr>
        <w:pStyle w:val="Heading2"/>
      </w:pPr>
      <w:bookmarkStart w:id="78" w:name="_Toc424047607"/>
      <w:bookmarkStart w:id="79" w:name="_Toc446060797"/>
      <w:r w:rsidRPr="00ED04B0">
        <w:t>8.6</w:t>
      </w:r>
      <w:r w:rsidRPr="00ED04B0">
        <w:tab/>
        <w:t>Communication and Promotion</w:t>
      </w:r>
      <w:bookmarkEnd w:id="78"/>
      <w:bookmarkEnd w:id="79"/>
    </w:p>
    <w:p w:rsidR="006B63C0" w:rsidRPr="000D7876" w:rsidRDefault="006B63C0" w:rsidP="006B63C0">
      <w:r w:rsidRPr="000D7876">
        <w:t>In order to position the ITU-R in line with its strategic objectives (create brand value, strengthen reputation, mobilize internal and external stakeholders, engage supporters and advocate in the interests of membership). The Bureau works in close collaboration with the Corporate Communications Division (CCD) and ITU Press Office, the membership Dep</w:t>
      </w:r>
      <w:r>
        <w:t>artment</w:t>
      </w:r>
      <w:r w:rsidRPr="000D7876">
        <w:t xml:space="preserve"> and the Publication and Composition Service (C&amp;P/COMP) of the General Secretariat. This work has inc</w:t>
      </w:r>
      <w:r>
        <w:t>luded several ITU Inter-Sector</w:t>
      </w:r>
      <w:r w:rsidRPr="000D7876">
        <w:t xml:space="preserve"> meetings: WSIS Implementation Task Force, Communications Groups, Web Editorial Board, ITU 150</w:t>
      </w:r>
      <w:r w:rsidRPr="006327B1">
        <w:rPr>
          <w:vertAlign w:val="superscript"/>
        </w:rPr>
        <w:t>th</w:t>
      </w:r>
      <w:r w:rsidRPr="000D7876">
        <w:t xml:space="preserve"> Anniversary, Emerging Trends and Gender Task Force Group.</w:t>
      </w:r>
    </w:p>
    <w:p w:rsidR="006B63C0" w:rsidRPr="00621504" w:rsidRDefault="006B63C0" w:rsidP="006B63C0">
      <w:pPr>
        <w:pStyle w:val="Heading3"/>
      </w:pPr>
      <w:bookmarkStart w:id="80" w:name="_Toc424047608"/>
      <w:bookmarkStart w:id="81" w:name="_Toc446060798"/>
      <w:r w:rsidRPr="00ED04B0">
        <w:t>8.6.1</w:t>
      </w:r>
      <w:r w:rsidRPr="00ED04B0">
        <w:tab/>
        <w:t>Web</w:t>
      </w:r>
      <w:bookmarkEnd w:id="80"/>
      <w:r w:rsidRPr="00ED04B0">
        <w:t>site</w:t>
      </w:r>
      <w:bookmarkEnd w:id="81"/>
    </w:p>
    <w:p w:rsidR="006B63C0" w:rsidRDefault="006B63C0" w:rsidP="006B63C0">
      <w:bookmarkStart w:id="82" w:name="_Toc446060799"/>
      <w:r w:rsidRPr="003F3692">
        <w:t xml:space="preserve">The BR continued to support the ITU-R Sector strategic goals, with communications issued through the BR website </w:t>
      </w:r>
      <w:hyperlink r:id="rId41" w:history="1">
        <w:r w:rsidRPr="003F3692">
          <w:rPr>
            <w:rStyle w:val="Hyperlink"/>
          </w:rPr>
          <w:t>www.itu.int/ITU-R/</w:t>
        </w:r>
      </w:hyperlink>
      <w:r>
        <w:t xml:space="preserve">, </w:t>
      </w:r>
      <w:r w:rsidRPr="003F3692">
        <w:t xml:space="preserve">which is regularly updated reflecting the work being undertaken </w:t>
      </w:r>
      <w:r>
        <w:t xml:space="preserve">by </w:t>
      </w:r>
      <w:r w:rsidRPr="003F3692">
        <w:t xml:space="preserve">the </w:t>
      </w:r>
      <w:r>
        <w:t xml:space="preserve">Sector </w:t>
      </w:r>
      <w:r w:rsidRPr="003F3692">
        <w:t>and</w:t>
      </w:r>
      <w:r>
        <w:t>,</w:t>
      </w:r>
      <w:r w:rsidRPr="003F3692">
        <w:t xml:space="preserve"> as far as possible</w:t>
      </w:r>
      <w:r>
        <w:t>,</w:t>
      </w:r>
      <w:r w:rsidRPr="003F3692">
        <w:t xml:space="preserve"> in the six official languages of the ITU.</w:t>
      </w:r>
    </w:p>
    <w:p w:rsidR="006B63C0" w:rsidRPr="003F3692" w:rsidRDefault="006B63C0" w:rsidP="006B63C0">
      <w:pPr>
        <w:rPr>
          <w:rStyle w:val="Hyperlink"/>
        </w:rPr>
      </w:pPr>
      <w:r w:rsidRPr="003F3692">
        <w:rPr>
          <w:szCs w:val="24"/>
        </w:rPr>
        <w:t xml:space="preserve">ITU-R communications continued to </w:t>
      </w:r>
      <w:r>
        <w:rPr>
          <w:szCs w:val="24"/>
        </w:rPr>
        <w:t>rely on</w:t>
      </w:r>
      <w:r w:rsidRPr="003F3692">
        <w:rPr>
          <w:szCs w:val="24"/>
        </w:rPr>
        <w:t xml:space="preserve"> the </w:t>
      </w:r>
      <w:r w:rsidRPr="003F3692">
        <w:rPr>
          <w:smallCaps/>
          <w:szCs w:val="24"/>
        </w:rPr>
        <w:t>ITU-R</w:t>
      </w:r>
      <w:r>
        <w:rPr>
          <w:smallCaps/>
          <w:szCs w:val="24"/>
        </w:rPr>
        <w:t xml:space="preserve"> </w:t>
      </w:r>
      <w:r w:rsidRPr="003F3692">
        <w:rPr>
          <w:smallCaps/>
          <w:szCs w:val="24"/>
        </w:rPr>
        <w:t>Newsroom</w:t>
      </w:r>
      <w:r>
        <w:rPr>
          <w:smallCaps/>
          <w:szCs w:val="24"/>
        </w:rPr>
        <w:t xml:space="preserve">. </w:t>
      </w:r>
      <w:r w:rsidRPr="003F3692">
        <w:t xml:space="preserve">In </w:t>
      </w:r>
      <w:r>
        <w:t>addition</w:t>
      </w:r>
      <w:r w:rsidRPr="003F3692">
        <w:t xml:space="preserve">, </w:t>
      </w:r>
      <w:r>
        <w:t xml:space="preserve">since </w:t>
      </w:r>
      <w:r w:rsidRPr="003F3692">
        <w:t>2016 marked the 110</w:t>
      </w:r>
      <w:r w:rsidRPr="003F3692">
        <w:rPr>
          <w:vertAlign w:val="superscript"/>
        </w:rPr>
        <w:t>th</w:t>
      </w:r>
      <w:r w:rsidRPr="003F3692">
        <w:t xml:space="preserve"> anniversary of the Radio Regulations</w:t>
      </w:r>
      <w:r>
        <w:t xml:space="preserve">, a </w:t>
      </w:r>
      <w:r w:rsidRPr="003F3692">
        <w:t xml:space="preserve">dedicated website </w:t>
      </w:r>
      <w:r>
        <w:t xml:space="preserve">was created </w:t>
      </w:r>
      <w:r w:rsidRPr="003F3692">
        <w:t xml:space="preserve">to </w:t>
      </w:r>
      <w:r>
        <w:t xml:space="preserve">disseminate information on this </w:t>
      </w:r>
      <w:r w:rsidRPr="003F3692">
        <w:t>celebration</w:t>
      </w:r>
      <w:r>
        <w:t xml:space="preserve"> (see: </w:t>
      </w:r>
      <w:hyperlink r:id="rId42" w:history="1">
        <w:r w:rsidRPr="003F3692">
          <w:rPr>
            <w:rStyle w:val="Hyperlink"/>
          </w:rPr>
          <w:t>http://www.itu.int/en/ITU-R/RR110/</w:t>
        </w:r>
      </w:hyperlink>
      <w:r w:rsidRPr="00CC0CE5">
        <w:rPr>
          <w:rStyle w:val="Hyperlink"/>
          <w:color w:val="auto"/>
          <w:u w:val="none"/>
        </w:rPr>
        <w:t>)</w:t>
      </w:r>
    </w:p>
    <w:p w:rsidR="006B63C0" w:rsidRPr="00ED04B0" w:rsidRDefault="006B63C0" w:rsidP="006B63C0">
      <w:pPr>
        <w:pStyle w:val="Heading3"/>
      </w:pPr>
      <w:r w:rsidRPr="00ED04B0">
        <w:t>8.6.2</w:t>
      </w:r>
      <w:r w:rsidRPr="00ED04B0">
        <w:tab/>
        <w:t>Promotion and media relations</w:t>
      </w:r>
      <w:bookmarkEnd w:id="82"/>
    </w:p>
    <w:p w:rsidR="006B63C0" w:rsidRDefault="006B63C0" w:rsidP="006B63C0">
      <w:pPr>
        <w:pStyle w:val="Heading4"/>
      </w:pPr>
      <w:r w:rsidRPr="00ED04B0">
        <w:t>8.6.2.1</w:t>
      </w:r>
      <w:r w:rsidRPr="00ED04B0">
        <w:tab/>
        <w:t>Media Communications</w:t>
      </w:r>
      <w:r w:rsidRPr="00050FC8">
        <w:t xml:space="preserve"> </w:t>
      </w:r>
    </w:p>
    <w:p w:rsidR="006B63C0" w:rsidRDefault="006B63C0" w:rsidP="006B63C0">
      <w:r w:rsidRPr="003F3692">
        <w:t xml:space="preserve">The BR continued to support the ITU-R Sector strategic goals, with the following communications issued through the ITU Communications and Press Office and social media channels, the ITU-R Newsroom </w:t>
      </w:r>
      <w:hyperlink r:id="rId43" w:history="1">
        <w:r w:rsidRPr="00CA5FEF">
          <w:rPr>
            <w:rStyle w:val="Hyperlink"/>
          </w:rPr>
          <w:t>https://twitter.com/ITU_R</w:t>
        </w:r>
      </w:hyperlink>
      <w:r>
        <w:t xml:space="preserve"> </w:t>
      </w:r>
      <w:r w:rsidRPr="003F3692">
        <w:t xml:space="preserve">and BR website </w:t>
      </w:r>
      <w:hyperlink r:id="rId44" w:history="1">
        <w:r w:rsidRPr="00CA5FEF">
          <w:rPr>
            <w:rStyle w:val="Hyperlink"/>
          </w:rPr>
          <w:t>www.itu.int/ITU-R/</w:t>
        </w:r>
      </w:hyperlink>
      <w:r>
        <w:t xml:space="preserve"> during 2016:</w:t>
      </w:r>
    </w:p>
    <w:p w:rsidR="006B63C0" w:rsidRPr="003F3692" w:rsidRDefault="006B63C0" w:rsidP="006B63C0">
      <w:pPr>
        <w:pStyle w:val="enumlev1"/>
      </w:pPr>
      <w:r>
        <w:t>–</w:t>
      </w:r>
      <w:r>
        <w:tab/>
      </w:r>
      <w:r w:rsidRPr="003F3692">
        <w:t xml:space="preserve">8 press releases </w:t>
      </w:r>
      <w:r>
        <w:t xml:space="preserve">related to </w:t>
      </w:r>
      <w:r w:rsidRPr="003F3692">
        <w:t>WRD-2016 and the role of ra</w:t>
      </w:r>
      <w:r>
        <w:t>dio in disaster management, IMT</w:t>
      </w:r>
      <w:r>
        <w:noBreakHyphen/>
      </w:r>
      <w:r w:rsidRPr="003F3692">
        <w:t>2020, the ITU Int. Sat Symposium (Geneva), HDR-TV, radio frequency aspects related to IoT, Italy Switches Off Harmful Frequency Transmissions as well as WRS-16 and the RR110</w:t>
      </w:r>
      <w:r w:rsidRPr="00071FC3">
        <w:rPr>
          <w:vertAlign w:val="superscript"/>
        </w:rPr>
        <w:t>th</w:t>
      </w:r>
      <w:r w:rsidRPr="003F3692">
        <w:t xml:space="preserve"> anniversary celebrations of the ITU Radio Regulations.</w:t>
      </w:r>
    </w:p>
    <w:p w:rsidR="006B63C0" w:rsidRPr="003F3692" w:rsidRDefault="006B63C0" w:rsidP="006B63C0">
      <w:pPr>
        <w:pStyle w:val="enumlev1"/>
      </w:pPr>
      <w:r>
        <w:t>–</w:t>
      </w:r>
      <w:r>
        <w:tab/>
      </w:r>
      <w:r w:rsidRPr="003F3692">
        <w:t>8 communiqués covering topics</w:t>
      </w:r>
      <w:r>
        <w:t xml:space="preserve"> such as </w:t>
      </w:r>
      <w:r w:rsidRPr="003F3692">
        <w:t>Radio Regulations (edition of 2016), the Workshop on Digital Terrestrial Television Broadcasting, the ITU Regional Workshop for CIS and Georgia, RRS-16 Americas, RRS-16 Asia Pacific, the ITU International Satellite Symposium (Bali), and the launch of the Network of Women for WRC-19.</w:t>
      </w:r>
    </w:p>
    <w:p w:rsidR="006B63C0" w:rsidRPr="003F3692" w:rsidRDefault="006B63C0" w:rsidP="006B63C0">
      <w:r w:rsidRPr="003F3692">
        <w:t>I</w:t>
      </w:r>
      <w:r>
        <w:t>n</w:t>
      </w:r>
      <w:r w:rsidRPr="003F3692">
        <w:t xml:space="preserve"> addition, </w:t>
      </w:r>
      <w:r>
        <w:t>three</w:t>
      </w:r>
      <w:r w:rsidRPr="003F3692">
        <w:t xml:space="preserve"> media advisories invited the press to attend the ITU Int</w:t>
      </w:r>
      <w:r>
        <w:t>ernational</w:t>
      </w:r>
      <w:r w:rsidRPr="003F3692">
        <w:t xml:space="preserve"> Sat</w:t>
      </w:r>
      <w:r>
        <w:t>ellite</w:t>
      </w:r>
      <w:r w:rsidRPr="003F3692">
        <w:t xml:space="preserve"> Symposium, </w:t>
      </w:r>
      <w:r>
        <w:t xml:space="preserve">the </w:t>
      </w:r>
      <w:r w:rsidRPr="003F3692">
        <w:t xml:space="preserve">seminar and exhibition on ‘Virtual Reality’ and 360 in Broadcasting and the </w:t>
      </w:r>
      <w:r>
        <w:t>110</w:t>
      </w:r>
      <w:r w:rsidRPr="00B166E9">
        <w:rPr>
          <w:vertAlign w:val="superscript"/>
        </w:rPr>
        <w:t>th</w:t>
      </w:r>
      <w:r>
        <w:t> </w:t>
      </w:r>
      <w:r w:rsidRPr="003F3692">
        <w:t>anniversary celebrations</w:t>
      </w:r>
      <w:r>
        <w:t xml:space="preserve"> of the Radio Regulations</w:t>
      </w:r>
      <w:r w:rsidRPr="003F3692">
        <w:t>.</w:t>
      </w:r>
    </w:p>
    <w:p w:rsidR="006B63C0" w:rsidRDefault="006B63C0" w:rsidP="006B63C0">
      <w:pPr>
        <w:rPr>
          <w:szCs w:val="21"/>
        </w:rPr>
      </w:pPr>
      <w:r w:rsidRPr="003F3692">
        <w:t>During 2016, over 75 media queries were received, mainly in response to the above</w:t>
      </w:r>
      <w:r>
        <w:t>-mentioned</w:t>
      </w:r>
      <w:r w:rsidRPr="003F3692">
        <w:t xml:space="preserve"> communications</w:t>
      </w:r>
      <w:r>
        <w:t xml:space="preserve">. They </w:t>
      </w:r>
      <w:r w:rsidRPr="003F3692">
        <w:t xml:space="preserve">were responded </w:t>
      </w:r>
      <w:r>
        <w:t xml:space="preserve">to, </w:t>
      </w:r>
      <w:r w:rsidRPr="003F3692">
        <w:t>either by correspondence</w:t>
      </w:r>
      <w:r>
        <w:t xml:space="preserve"> or through </w:t>
      </w:r>
      <w:r w:rsidRPr="003F3692">
        <w:t>interviews given by BR experts, Chairm</w:t>
      </w:r>
      <w:r>
        <w:t xml:space="preserve">en of the ITU-R Study Groups or </w:t>
      </w:r>
      <w:r w:rsidRPr="003F3692">
        <w:t>the BR Director</w:t>
      </w:r>
      <w:r w:rsidRPr="00AA0795">
        <w:rPr>
          <w:szCs w:val="21"/>
        </w:rPr>
        <w:t xml:space="preserve">. </w:t>
      </w:r>
    </w:p>
    <w:p w:rsidR="006B63C0" w:rsidRDefault="006B63C0" w:rsidP="006B63C0">
      <w:pPr>
        <w:pStyle w:val="Heading4"/>
      </w:pPr>
      <w:r w:rsidRPr="00ED04B0">
        <w:t>8.6.2.2</w:t>
      </w:r>
      <w:r w:rsidRPr="00ED04B0">
        <w:tab/>
        <w:t>FAQs</w:t>
      </w:r>
      <w:r w:rsidRPr="00050FC8">
        <w:t xml:space="preserve"> </w:t>
      </w:r>
    </w:p>
    <w:p w:rsidR="006B63C0" w:rsidRDefault="006B63C0" w:rsidP="006B63C0">
      <w:r w:rsidRPr="008E68F0">
        <w:t xml:space="preserve">BR continues </w:t>
      </w:r>
      <w:r>
        <w:t xml:space="preserve">to </w:t>
      </w:r>
      <w:r w:rsidRPr="008E68F0">
        <w:t>regularly update</w:t>
      </w:r>
      <w:r>
        <w:t xml:space="preserve"> </w:t>
      </w:r>
      <w:r w:rsidRPr="008E68F0">
        <w:t>the various sets of Frequently Asked Questions (FAQs). They are available for the media, the industry and the general public and currently cover the following topics:</w:t>
      </w:r>
    </w:p>
    <w:p w:rsidR="006B63C0" w:rsidRPr="00D71F76" w:rsidRDefault="006B63C0" w:rsidP="006B63C0">
      <w:pPr>
        <w:pStyle w:val="enumlev1"/>
        <w:rPr>
          <w:lang w:val="de-CH"/>
        </w:rPr>
      </w:pPr>
      <w:r>
        <w:rPr>
          <w:lang w:val="de-CH"/>
        </w:rPr>
        <w:t>–</w:t>
      </w:r>
      <w:r>
        <w:rPr>
          <w:lang w:val="de-CH"/>
        </w:rPr>
        <w:tab/>
        <w:t>RR, ITU-R SG, RRB, RAG, BR;</w:t>
      </w:r>
    </w:p>
    <w:p w:rsidR="006B63C0" w:rsidRPr="00F7441D" w:rsidRDefault="006B63C0" w:rsidP="006B63C0">
      <w:pPr>
        <w:pStyle w:val="enumlev1"/>
      </w:pPr>
      <w:r w:rsidRPr="0046647B">
        <w:t>–</w:t>
      </w:r>
      <w:r>
        <w:tab/>
        <w:t>IMT and Wireless Broadband;</w:t>
      </w:r>
    </w:p>
    <w:p w:rsidR="006B63C0" w:rsidRPr="00F7441D" w:rsidRDefault="006B63C0" w:rsidP="006B63C0">
      <w:pPr>
        <w:pStyle w:val="enumlev1"/>
      </w:pPr>
      <w:r w:rsidRPr="0046647B">
        <w:lastRenderedPageBreak/>
        <w:t>–</w:t>
      </w:r>
      <w:r>
        <w:tab/>
        <w:t>Transition to digital TV broadcasting and Digital Dividend;</w:t>
      </w:r>
    </w:p>
    <w:p w:rsidR="006B63C0" w:rsidRPr="00F7441D" w:rsidRDefault="006B63C0" w:rsidP="006B63C0">
      <w:pPr>
        <w:pStyle w:val="enumlev1"/>
      </w:pPr>
      <w:r w:rsidRPr="0046647B">
        <w:t>–</w:t>
      </w:r>
      <w:r>
        <w:tab/>
      </w:r>
      <w:r w:rsidRPr="00F7441D">
        <w:t>Universal Time Scale (UTC) – Leap Second</w:t>
      </w:r>
      <w:r>
        <w:t>;</w:t>
      </w:r>
    </w:p>
    <w:p w:rsidR="006B63C0" w:rsidRDefault="006B63C0" w:rsidP="006B63C0">
      <w:pPr>
        <w:pStyle w:val="enumlev1"/>
      </w:pPr>
      <w:r w:rsidRPr="0046647B">
        <w:t>–</w:t>
      </w:r>
      <w:r>
        <w:tab/>
      </w:r>
      <w:r w:rsidRPr="00F7441D">
        <w:t xml:space="preserve">Satellite Filings and </w:t>
      </w:r>
      <w:r>
        <w:t>associated procedures.</w:t>
      </w:r>
    </w:p>
    <w:p w:rsidR="006B63C0" w:rsidRPr="00050FC8" w:rsidRDefault="006B63C0" w:rsidP="006B63C0">
      <w:pPr>
        <w:rPr>
          <w:szCs w:val="24"/>
        </w:rPr>
      </w:pPr>
      <w:r w:rsidRPr="00050FC8">
        <w:rPr>
          <w:szCs w:val="24"/>
        </w:rPr>
        <w:t xml:space="preserve">They can be found on the </w:t>
      </w:r>
      <w:r>
        <w:rPr>
          <w:szCs w:val="24"/>
        </w:rPr>
        <w:t xml:space="preserve">right-hand top of the ITU-R </w:t>
      </w:r>
      <w:r w:rsidRPr="00050FC8">
        <w:rPr>
          <w:szCs w:val="24"/>
        </w:rPr>
        <w:t>web page (</w:t>
      </w:r>
      <w:hyperlink r:id="rId45" w:history="1">
        <w:r w:rsidRPr="00050FC8">
          <w:rPr>
            <w:rStyle w:val="Hyperlink"/>
            <w:szCs w:val="24"/>
          </w:rPr>
          <w:t>http://www.itu.int/en/ITU-R/Pages/default.aspx</w:t>
        </w:r>
      </w:hyperlink>
      <w:r w:rsidRPr="00050FC8">
        <w:rPr>
          <w:szCs w:val="24"/>
        </w:rPr>
        <w:t>.</w:t>
      </w:r>
    </w:p>
    <w:p w:rsidR="006B63C0" w:rsidRPr="00050FC8" w:rsidRDefault="006B63C0" w:rsidP="006B63C0">
      <w:pPr>
        <w:pStyle w:val="Heading4"/>
      </w:pPr>
      <w:r w:rsidRPr="00ED04B0">
        <w:t>8.6.2.3</w:t>
      </w:r>
      <w:r w:rsidRPr="00ED04B0">
        <w:tab/>
        <w:t>Branding communications</w:t>
      </w:r>
      <w:r w:rsidRPr="00050FC8">
        <w:t xml:space="preserve"> </w:t>
      </w:r>
    </w:p>
    <w:p w:rsidR="006B63C0" w:rsidRDefault="006B63C0" w:rsidP="006B63C0">
      <w:r>
        <w:t xml:space="preserve">During 2016, </w:t>
      </w:r>
      <w:r w:rsidRPr="005F24AA">
        <w:t>standard branding (rollups, virtual e-banners, e-posters, e-certificates, social media announcements etc.) photos, videos, multimedia were prepared for the events</w:t>
      </w:r>
      <w:r>
        <w:t xml:space="preserve"> organized by the BR. For the celebrations of the 110</w:t>
      </w:r>
      <w:r w:rsidRPr="002F75A5">
        <w:rPr>
          <w:vertAlign w:val="superscript"/>
        </w:rPr>
        <w:t>th</w:t>
      </w:r>
      <w:r>
        <w:t xml:space="preserve"> anniversary of the Radio Regulations, the following additional communication activities were undertaken:</w:t>
      </w:r>
    </w:p>
    <w:p w:rsidR="006B63C0" w:rsidRPr="005F24AA" w:rsidRDefault="006B63C0" w:rsidP="00E712DE">
      <w:pPr>
        <w:pStyle w:val="enumlev1"/>
        <w:rPr>
          <w:lang w:val="en-US"/>
        </w:rPr>
      </w:pPr>
      <w:r>
        <w:rPr>
          <w:lang w:val="en-US"/>
        </w:rPr>
        <w:t>–</w:t>
      </w:r>
      <w:r>
        <w:rPr>
          <w:lang w:val="en-US"/>
        </w:rPr>
        <w:tab/>
        <w:t xml:space="preserve">A </w:t>
      </w:r>
      <w:r w:rsidRPr="005F24AA">
        <w:rPr>
          <w:lang w:val="en-US"/>
        </w:rPr>
        <w:t xml:space="preserve">dedicated edition of </w:t>
      </w:r>
      <w:hyperlink r:id="rId46" w:history="1">
        <w:r w:rsidRPr="005F24AA">
          <w:rPr>
            <w:rStyle w:val="Hyperlink"/>
            <w:lang w:val="en-US"/>
          </w:rPr>
          <w:t>ITU News magazine</w:t>
        </w:r>
      </w:hyperlink>
      <w:r w:rsidRPr="005F24AA">
        <w:rPr>
          <w:lang w:val="en-US"/>
        </w:rPr>
        <w:t xml:space="preserve"> </w:t>
      </w:r>
      <w:r w:rsidR="00E712DE">
        <w:rPr>
          <w:lang w:val="en-US"/>
        </w:rPr>
        <w:t>"</w:t>
      </w:r>
      <w:r w:rsidRPr="005F24AA">
        <w:rPr>
          <w:lang w:val="en-US"/>
        </w:rPr>
        <w:t>Celebrating the Radio Regulations</w:t>
      </w:r>
      <w:r w:rsidR="00E712DE">
        <w:rPr>
          <w:lang w:val="en-US"/>
        </w:rPr>
        <w:t>"</w:t>
      </w:r>
    </w:p>
    <w:p w:rsidR="006B63C0" w:rsidRPr="005F24AA" w:rsidRDefault="006B63C0" w:rsidP="006B63C0">
      <w:pPr>
        <w:pStyle w:val="enumlev1"/>
        <w:rPr>
          <w:lang w:val="en-US"/>
        </w:rPr>
      </w:pPr>
      <w:r>
        <w:rPr>
          <w:lang w:val="en-US"/>
        </w:rPr>
        <w:t>–</w:t>
      </w:r>
      <w:r>
        <w:rPr>
          <w:lang w:val="en-US"/>
        </w:rPr>
        <w:tab/>
      </w:r>
      <w:r w:rsidRPr="005F24AA">
        <w:rPr>
          <w:lang w:val="en-US"/>
        </w:rPr>
        <w:t xml:space="preserve">Press releases and media advisories distributed via the </w:t>
      </w:r>
      <w:hyperlink r:id="rId47" w:history="1">
        <w:r w:rsidRPr="005F24AA">
          <w:rPr>
            <w:rStyle w:val="Hyperlink"/>
            <w:lang w:val="en-US"/>
          </w:rPr>
          <w:t>ITU Media Centre</w:t>
        </w:r>
      </w:hyperlink>
      <w:r w:rsidRPr="005F24AA">
        <w:rPr>
          <w:lang w:val="en-US"/>
        </w:rPr>
        <w:t xml:space="preserve"> and the </w:t>
      </w:r>
      <w:hyperlink r:id="rId48" w:history="1">
        <w:r w:rsidRPr="005F24AA">
          <w:rPr>
            <w:rStyle w:val="Hyperlink"/>
            <w:lang w:val="en-US"/>
          </w:rPr>
          <w:t>ITU-R Newsroom</w:t>
        </w:r>
      </w:hyperlink>
    </w:p>
    <w:p w:rsidR="006B63C0" w:rsidRPr="005F24AA" w:rsidRDefault="006B63C0" w:rsidP="006B63C0">
      <w:pPr>
        <w:pStyle w:val="enumlev1"/>
        <w:rPr>
          <w:lang w:val="en-US"/>
        </w:rPr>
      </w:pPr>
      <w:r>
        <w:rPr>
          <w:lang w:val="en-US"/>
        </w:rPr>
        <w:t>–</w:t>
      </w:r>
      <w:r>
        <w:rPr>
          <w:lang w:val="en-US"/>
        </w:rPr>
        <w:tab/>
      </w:r>
      <w:r w:rsidRPr="005F24AA">
        <w:rPr>
          <w:lang w:val="en-US"/>
        </w:rPr>
        <w:t xml:space="preserve">Dedicated </w:t>
      </w:r>
      <w:hyperlink r:id="rId49" w:history="1">
        <w:r w:rsidRPr="005F24AA">
          <w:rPr>
            <w:rStyle w:val="Hyperlink"/>
            <w:lang w:val="en-US"/>
          </w:rPr>
          <w:t>RR110 website</w:t>
        </w:r>
      </w:hyperlink>
      <w:r w:rsidRPr="005F24AA">
        <w:rPr>
          <w:lang w:val="en-US"/>
        </w:rPr>
        <w:t xml:space="preserve">: </w:t>
      </w:r>
      <w:hyperlink r:id="rId50" w:history="1">
        <w:r w:rsidRPr="005F24AA">
          <w:rPr>
            <w:rStyle w:val="Hyperlink"/>
            <w:lang w:val="en-US"/>
          </w:rPr>
          <w:t>http://www.itu.int/en/ITU-R/RR110/</w:t>
        </w:r>
      </w:hyperlink>
    </w:p>
    <w:p w:rsidR="006B63C0" w:rsidRPr="005F24AA" w:rsidRDefault="006B63C0" w:rsidP="006B63C0">
      <w:pPr>
        <w:pStyle w:val="enumlev1"/>
        <w:rPr>
          <w:lang w:val="en-US"/>
        </w:rPr>
      </w:pPr>
      <w:r>
        <w:rPr>
          <w:lang w:val="en-US"/>
        </w:rPr>
        <w:t>–</w:t>
      </w:r>
      <w:r>
        <w:rPr>
          <w:lang w:val="en-US"/>
        </w:rPr>
        <w:tab/>
      </w:r>
      <w:r w:rsidRPr="005F24AA">
        <w:rPr>
          <w:lang w:val="en-US"/>
        </w:rPr>
        <w:t xml:space="preserve">Video messages from the </w:t>
      </w:r>
      <w:hyperlink r:id="rId51" w:history="1">
        <w:r w:rsidRPr="005F24AA">
          <w:rPr>
            <w:rStyle w:val="Hyperlink"/>
            <w:lang w:val="en-US"/>
          </w:rPr>
          <w:t>BR Director</w:t>
        </w:r>
      </w:hyperlink>
      <w:r w:rsidRPr="005F24AA">
        <w:rPr>
          <w:lang w:val="en-US"/>
        </w:rPr>
        <w:t xml:space="preserve"> and </w:t>
      </w:r>
      <w:hyperlink r:id="rId52" w:history="1">
        <w:r w:rsidRPr="005F24AA">
          <w:rPr>
            <w:rStyle w:val="Hyperlink"/>
            <w:lang w:val="en-US"/>
          </w:rPr>
          <w:t>RR110 highlights video</w:t>
        </w:r>
      </w:hyperlink>
    </w:p>
    <w:p w:rsidR="006B63C0" w:rsidRPr="005F24AA" w:rsidRDefault="006B63C0" w:rsidP="006B63C0">
      <w:pPr>
        <w:pStyle w:val="enumlev1"/>
        <w:rPr>
          <w:lang w:val="en-US"/>
        </w:rPr>
      </w:pPr>
      <w:r>
        <w:rPr>
          <w:lang w:val="en-US"/>
        </w:rPr>
        <w:t>–</w:t>
      </w:r>
      <w:r>
        <w:rPr>
          <w:lang w:val="en-US"/>
        </w:rPr>
        <w:tab/>
      </w:r>
      <w:r w:rsidRPr="005F24AA">
        <w:rPr>
          <w:lang w:val="en-US"/>
        </w:rPr>
        <w:t xml:space="preserve">Social media outreach with hashtag </w:t>
      </w:r>
      <w:r w:rsidRPr="005F24AA">
        <w:rPr>
          <w:b/>
          <w:bCs/>
          <w:lang w:val="en-US"/>
        </w:rPr>
        <w:t>#RR110</w:t>
      </w:r>
    </w:p>
    <w:p w:rsidR="006B63C0" w:rsidRPr="005F24AA" w:rsidRDefault="006B63C0" w:rsidP="006B63C0">
      <w:pPr>
        <w:pStyle w:val="enumlev1"/>
        <w:rPr>
          <w:lang w:val="en-US"/>
        </w:rPr>
      </w:pPr>
      <w:r>
        <w:t>–</w:t>
      </w:r>
      <w:r>
        <w:tab/>
      </w:r>
      <w:hyperlink r:id="rId53" w:history="1">
        <w:r w:rsidRPr="005F24AA">
          <w:rPr>
            <w:rStyle w:val="Hyperlink"/>
            <w:lang w:val="en-US"/>
          </w:rPr>
          <w:t>Panel discussions with industry</w:t>
        </w:r>
      </w:hyperlink>
      <w:r w:rsidRPr="005F24AA">
        <w:rPr>
          <w:lang w:val="en-US"/>
        </w:rPr>
        <w:t xml:space="preserve"> representatives on the Radio Regulations- impact on ICT industry: historic approach and future challenges and opportunities</w:t>
      </w:r>
      <w:r>
        <w:rPr>
          <w:lang w:val="en-US"/>
        </w:rPr>
        <w:t>.</w:t>
      </w:r>
    </w:p>
    <w:p w:rsidR="006B63C0" w:rsidRPr="00050FC8" w:rsidRDefault="006B63C0" w:rsidP="006B63C0">
      <w:pPr>
        <w:pStyle w:val="Heading4"/>
      </w:pPr>
      <w:r w:rsidRPr="00ED04B0">
        <w:t>8.6.2.4</w:t>
      </w:r>
      <w:r w:rsidRPr="00ED04B0">
        <w:tab/>
        <w:t>Exhibitions and Demos</w:t>
      </w:r>
    </w:p>
    <w:p w:rsidR="006B63C0" w:rsidRDefault="006B63C0" w:rsidP="006B63C0">
      <w:r w:rsidRPr="005F24AA">
        <w:t xml:space="preserve">During 2016, two events had </w:t>
      </w:r>
      <w:r>
        <w:t>exhibition</w:t>
      </w:r>
      <w:r w:rsidRPr="005F24AA">
        <w:t xml:space="preserve"> areas organized by the BR at the request of the membership: the ITU Seminar on Virtual Reality and 360 in Broadcasting </w:t>
      </w:r>
      <w:r>
        <w:t>a</w:t>
      </w:r>
      <w:r w:rsidRPr="005F24AA">
        <w:t>nd the ITU World Radiocomm</w:t>
      </w:r>
      <w:r w:rsidR="00851A47">
        <w:t>unication Seminar 2016 (WRS-16).</w:t>
      </w:r>
    </w:p>
    <w:p w:rsidR="006B63C0" w:rsidRPr="00050FC8" w:rsidRDefault="006B63C0" w:rsidP="00851A47">
      <w:pPr>
        <w:pStyle w:val="Heading4"/>
      </w:pPr>
      <w:r w:rsidRPr="00ED04B0">
        <w:t>8.6.2.5</w:t>
      </w:r>
      <w:r w:rsidRPr="00ED04B0">
        <w:tab/>
      </w:r>
      <w:r w:rsidRPr="00851A47">
        <w:t>Extraordinary</w:t>
      </w:r>
      <w:r w:rsidRPr="00ED04B0">
        <w:t xml:space="preserve"> Events &amp; Celebrations</w:t>
      </w:r>
    </w:p>
    <w:p w:rsidR="006B63C0" w:rsidRPr="001A1D16" w:rsidRDefault="006B63C0" w:rsidP="006B63C0">
      <w:r w:rsidRPr="001A1D16">
        <w:t xml:space="preserve">2016 marked the </w:t>
      </w:r>
      <w:r w:rsidRPr="001A1D16">
        <w:rPr>
          <w:b/>
          <w:bCs/>
        </w:rPr>
        <w:t>110</w:t>
      </w:r>
      <w:r w:rsidRPr="001A1D16">
        <w:rPr>
          <w:b/>
          <w:bCs/>
          <w:vertAlign w:val="superscript"/>
        </w:rPr>
        <w:t>th</w:t>
      </w:r>
      <w:r w:rsidRPr="001A1D16">
        <w:rPr>
          <w:b/>
          <w:bCs/>
        </w:rPr>
        <w:t xml:space="preserve"> anniversar</w:t>
      </w:r>
      <w:r w:rsidR="006327B1">
        <w:rPr>
          <w:b/>
          <w:bCs/>
        </w:rPr>
        <w:t>y ITU Radio Regulations (1906-</w:t>
      </w:r>
      <w:r w:rsidRPr="001A1D16">
        <w:rPr>
          <w:b/>
          <w:bCs/>
        </w:rPr>
        <w:t>2016)</w:t>
      </w:r>
      <w:r w:rsidRPr="001A1D16">
        <w:t xml:space="preserve"> distinguished by distinct communications and anniversary branding (RR110) distributed throughout the year to ITU Membership, partners, media and to the general public.  Anniversary celebrations were held in Geneva on 12 December 2016 during the </w:t>
      </w:r>
      <w:r>
        <w:t xml:space="preserve">Opening Plenary of the </w:t>
      </w:r>
      <w:r w:rsidRPr="001A1D16">
        <w:t>World Radiocommunication Seminar 2016 (WRS-16)</w:t>
      </w:r>
      <w:r>
        <w:t>,</w:t>
      </w:r>
      <w:r w:rsidRPr="001A1D16">
        <w:t xml:space="preserve"> in the presence of the membership and </w:t>
      </w:r>
      <w:r>
        <w:t xml:space="preserve">special guests, </w:t>
      </w:r>
      <w:r w:rsidRPr="001A1D16">
        <w:t xml:space="preserve">and included addresses by </w:t>
      </w:r>
      <w:r>
        <w:t xml:space="preserve">the </w:t>
      </w:r>
      <w:r w:rsidRPr="001A1D16">
        <w:t xml:space="preserve">Deputy Secretary General and </w:t>
      </w:r>
      <w:r>
        <w:t xml:space="preserve">the </w:t>
      </w:r>
      <w:r w:rsidRPr="001A1D16">
        <w:t>Dire</w:t>
      </w:r>
      <w:r>
        <w:t xml:space="preserve">ctor of the Radiocommunication </w:t>
      </w:r>
      <w:r w:rsidRPr="001A1D16">
        <w:t xml:space="preserve">Bureau. </w:t>
      </w:r>
    </w:p>
    <w:p w:rsidR="006B63C0" w:rsidRDefault="006B63C0" w:rsidP="006B63C0">
      <w:r w:rsidRPr="001A1D16">
        <w:t>Two panel discussions followed</w:t>
      </w:r>
      <w:r>
        <w:t xml:space="preserve">, addressing </w:t>
      </w:r>
      <w:r w:rsidRPr="001A1D16">
        <w:t>‘ITU Radio Regulations impact on the ICT industry’ and the ‘challenges, opportunities and future of the ITU Radio Regulations’</w:t>
      </w:r>
      <w:r>
        <w:t xml:space="preserve">. They </w:t>
      </w:r>
      <w:r w:rsidRPr="001A1D16">
        <w:t xml:space="preserve">were </w:t>
      </w:r>
      <w:r>
        <w:t xml:space="preserve">attended by </w:t>
      </w:r>
      <w:r w:rsidRPr="001A1D16">
        <w:t>over 540 registered participants from 106 countries and Radiocommunication Sector members as well as Radiocommunication associates and academic experts. Former officials of the Union, present and former members of the Radio Regulations Board (</w:t>
      </w:r>
      <w:hyperlink r:id="rId54" w:history="1">
        <w:r w:rsidRPr="001A1D16">
          <w:rPr>
            <w:rStyle w:val="Hyperlink"/>
          </w:rPr>
          <w:t>RRB</w:t>
        </w:r>
      </w:hyperlink>
      <w:r w:rsidRPr="001A1D16">
        <w:t xml:space="preserve">) and </w:t>
      </w:r>
      <w:hyperlink r:id="rId55" w:history="1">
        <w:r w:rsidRPr="001A1D16">
          <w:rPr>
            <w:rStyle w:val="Hyperlink"/>
          </w:rPr>
          <w:t>ITU-R</w:t>
        </w:r>
      </w:hyperlink>
      <w:r>
        <w:t xml:space="preserve">, as well as </w:t>
      </w:r>
      <w:r w:rsidRPr="001A1D16">
        <w:t xml:space="preserve">former CCIR Study Group Chairmen were also present. </w:t>
      </w:r>
    </w:p>
    <w:p w:rsidR="006B63C0" w:rsidRPr="001A1D16" w:rsidRDefault="006B63C0" w:rsidP="006B63C0">
      <w:pPr>
        <w:rPr>
          <w:u w:val="single"/>
        </w:rPr>
      </w:pPr>
      <w:r w:rsidRPr="001A1D16">
        <w:t xml:space="preserve">Industry partners attending the ceremony's panel discussions included representatives </w:t>
      </w:r>
      <w:r>
        <w:t xml:space="preserve">from </w:t>
      </w:r>
      <w:r w:rsidRPr="001A1D16">
        <w:t xml:space="preserve">GSMA, ESOA, EBU, GSA, BAKOM, OneWeb, Facebook, BBC and the US State Department </w:t>
      </w:r>
      <w:r>
        <w:t>–</w:t>
      </w:r>
      <w:r w:rsidRPr="001A1D16">
        <w:t xml:space="preserve"> please see the </w:t>
      </w:r>
      <w:hyperlink r:id="rId56" w:history="1">
        <w:r w:rsidRPr="001A1D16">
          <w:rPr>
            <w:rStyle w:val="Hyperlink"/>
          </w:rPr>
          <w:t xml:space="preserve">RR110 ceremony </w:t>
        </w:r>
      </w:hyperlink>
      <w:r w:rsidRPr="00D50D19">
        <w:rPr>
          <w:rStyle w:val="Hyperlink"/>
        </w:rPr>
        <w:t>programme</w:t>
      </w:r>
      <w:r w:rsidRPr="00D50D19">
        <w:t>.</w:t>
      </w:r>
    </w:p>
    <w:p w:rsidR="006B63C0" w:rsidRPr="00050FC8" w:rsidRDefault="006B63C0" w:rsidP="006B63C0"/>
    <w:p w:rsidR="006B63C0" w:rsidRDefault="006B63C0" w:rsidP="006B63C0">
      <w:pPr>
        <w:tabs>
          <w:tab w:val="clear" w:pos="794"/>
          <w:tab w:val="clear" w:pos="1191"/>
          <w:tab w:val="clear" w:pos="1588"/>
          <w:tab w:val="clear" w:pos="1985"/>
        </w:tabs>
        <w:overflowPunct/>
        <w:autoSpaceDE/>
        <w:autoSpaceDN/>
        <w:adjustRightInd/>
        <w:spacing w:before="0"/>
        <w:textAlignment w:val="auto"/>
        <w:rPr>
          <w:szCs w:val="24"/>
        </w:rPr>
      </w:pPr>
      <w:r>
        <w:rPr>
          <w:szCs w:val="24"/>
        </w:rPr>
        <w:br w:type="page"/>
      </w:r>
    </w:p>
    <w:p w:rsidR="006B63C0" w:rsidRDefault="006B63C0" w:rsidP="006B63C0">
      <w:pPr>
        <w:pStyle w:val="AnnexNo"/>
      </w:pPr>
      <w:r>
        <w:lastRenderedPageBreak/>
        <w:t>ANNEX</w:t>
      </w:r>
    </w:p>
    <w:tbl>
      <w:tblPr>
        <w:tblStyle w:val="TableGrid"/>
        <w:tblW w:w="0" w:type="auto"/>
        <w:tblLook w:val="04A0" w:firstRow="1" w:lastRow="0" w:firstColumn="1" w:lastColumn="0" w:noHBand="0" w:noVBand="1"/>
      </w:tblPr>
      <w:tblGrid>
        <w:gridCol w:w="9350"/>
      </w:tblGrid>
      <w:tr w:rsidR="006B63C0" w:rsidTr="009A53E2">
        <w:trPr>
          <w:cantSplit/>
        </w:trPr>
        <w:tc>
          <w:tcPr>
            <w:tcW w:w="9350" w:type="dxa"/>
          </w:tcPr>
          <w:p w:rsidR="006B63C0" w:rsidRPr="00A77F2F" w:rsidRDefault="006B63C0" w:rsidP="009A53E2">
            <w:pPr>
              <w:spacing w:before="240" w:after="120"/>
              <w:jc w:val="center"/>
              <w:rPr>
                <w:b/>
                <w:bCs/>
              </w:rPr>
            </w:pPr>
            <w:r w:rsidRPr="00A77F2F">
              <w:rPr>
                <w:b/>
                <w:bCs/>
              </w:rPr>
              <w:t>BR Space Information Systems Progress Report</w:t>
            </w:r>
          </w:p>
        </w:tc>
      </w:tr>
      <w:tr w:rsidR="006B63C0" w:rsidTr="009A53E2">
        <w:trPr>
          <w:cantSplit/>
        </w:trPr>
        <w:tc>
          <w:tcPr>
            <w:tcW w:w="9350" w:type="dxa"/>
          </w:tcPr>
          <w:p w:rsidR="006B63C0" w:rsidRPr="00A77F2F" w:rsidRDefault="006B63C0" w:rsidP="009A53E2">
            <w:pPr>
              <w:spacing w:before="240" w:after="120"/>
              <w:jc w:val="center"/>
              <w:rPr>
                <w:b/>
                <w:bCs/>
              </w:rPr>
            </w:pPr>
            <w:r w:rsidRPr="00A77F2F">
              <w:rPr>
                <w:b/>
                <w:bCs/>
              </w:rPr>
              <w:t>Phase 2: 1 April 2012 – 3</w:t>
            </w:r>
            <w:r>
              <w:rPr>
                <w:b/>
                <w:bCs/>
              </w:rPr>
              <w:t>1</w:t>
            </w:r>
            <w:r w:rsidRPr="00A77F2F">
              <w:rPr>
                <w:b/>
                <w:bCs/>
              </w:rPr>
              <w:t xml:space="preserve"> December 2015</w:t>
            </w:r>
          </w:p>
        </w:tc>
      </w:tr>
      <w:tr w:rsidR="006B63C0" w:rsidTr="009A53E2">
        <w:trPr>
          <w:cantSplit/>
        </w:trPr>
        <w:tc>
          <w:tcPr>
            <w:tcW w:w="9350" w:type="dxa"/>
          </w:tcPr>
          <w:p w:rsidR="006B63C0" w:rsidRDefault="006B63C0" w:rsidP="009A53E2">
            <w:pPr>
              <w:spacing w:before="240" w:after="120"/>
              <w:rPr>
                <w:b/>
                <w:bCs/>
              </w:rPr>
            </w:pPr>
            <w:r w:rsidRPr="000F5E5E">
              <w:rPr>
                <w:b/>
                <w:bCs/>
              </w:rPr>
              <w:t>Business Continuity and Disaster Recovery</w:t>
            </w:r>
            <w:r>
              <w:rPr>
                <w:b/>
                <w:bCs/>
              </w:rPr>
              <w:t>*</w:t>
            </w:r>
          </w:p>
          <w:p w:rsidR="006B63C0" w:rsidRPr="00592550" w:rsidRDefault="006B63C0" w:rsidP="009A53E2">
            <w:pPr>
              <w:spacing w:before="240" w:after="120"/>
              <w:rPr>
                <w:lang w:val="en-US"/>
              </w:rPr>
            </w:pPr>
            <w:r w:rsidRPr="00592550">
              <w:rPr>
                <w:lang w:val="en-US"/>
              </w:rPr>
              <w:t>Starting January 2015, the Bureau adopted a two-phase approach (with both phases running in parallel) in order to identify and mitigate the relevant threats and vulnerabilities. With the help of external consultants and ISD, the Bureau conducted an assessment analysis of the infrastructure (servers, LAN, databases, etc.) used in accessing the BR databases, both from inside and outside the ITU. The Bureau also conducted its analysis and evaluation in order to establish the required BC/DR Plan, so as to minimize both the risks of data loss and the delays associated with the risk of loss of operations in the processing of frequency notifications. An established task group developed a plan to test the backup and recovery procedures.  It listed the core software applications and data, extracted data categories (databases, files…) and created a disaster recovery plan for each category. Work shall continue with ISD during the coming period to finalize the testing and apply the resulting established measures.</w:t>
            </w:r>
          </w:p>
          <w:p w:rsidR="006B63C0" w:rsidRDefault="006B63C0" w:rsidP="009A53E2">
            <w:pPr>
              <w:spacing w:before="240" w:after="120"/>
            </w:pPr>
            <w:r w:rsidRPr="00592550">
              <w:rPr>
                <w:lang w:val="en-US"/>
              </w:rPr>
              <w:t>*This work applies to both Space and Terrestrial Services</w:t>
            </w:r>
          </w:p>
        </w:tc>
      </w:tr>
      <w:tr w:rsidR="006B63C0" w:rsidTr="009A53E2">
        <w:trPr>
          <w:cantSplit/>
        </w:trPr>
        <w:tc>
          <w:tcPr>
            <w:tcW w:w="9350" w:type="dxa"/>
          </w:tcPr>
          <w:p w:rsidR="006B63C0" w:rsidRPr="00734538" w:rsidRDefault="006B63C0" w:rsidP="009A53E2">
            <w:pPr>
              <w:spacing w:before="240" w:after="120"/>
            </w:pPr>
            <w:r w:rsidRPr="00734538">
              <w:rPr>
                <w:b/>
                <w:bCs/>
              </w:rPr>
              <w:t>Rewrite technical legacy software for technical examination</w:t>
            </w:r>
          </w:p>
          <w:p w:rsidR="006B63C0" w:rsidRPr="00734538" w:rsidRDefault="006B63C0" w:rsidP="009A53E2">
            <w:pPr>
              <w:spacing w:before="240" w:after="120"/>
            </w:pPr>
            <w:r w:rsidRPr="00734538">
              <w:t>•</w:t>
            </w:r>
            <w:r w:rsidRPr="00734538">
              <w:tab/>
              <w:t>Rewrite PFD for protection of terrestrial services calculation: Ongoing</w:t>
            </w:r>
          </w:p>
          <w:p w:rsidR="006B63C0" w:rsidRPr="00734538" w:rsidRDefault="006B63C0" w:rsidP="009A53E2">
            <w:pPr>
              <w:spacing w:before="240" w:after="120"/>
            </w:pPr>
            <w:r w:rsidRPr="00734538">
              <w:t>•</w:t>
            </w:r>
            <w:r w:rsidRPr="00734538">
              <w:tab/>
              <w:t>Rewrite AP8 calculation: Ongoing</w:t>
            </w:r>
          </w:p>
          <w:p w:rsidR="006B63C0" w:rsidRPr="00734538" w:rsidRDefault="006B63C0" w:rsidP="009A53E2">
            <w:pPr>
              <w:spacing w:before="240" w:after="120"/>
            </w:pPr>
            <w:r w:rsidRPr="00734538">
              <w:t>•</w:t>
            </w:r>
            <w:r w:rsidRPr="00734538">
              <w:tab/>
              <w:t>Rewrite PFD for protection of space services: Started</w:t>
            </w:r>
          </w:p>
          <w:p w:rsidR="006B63C0" w:rsidRPr="00734538" w:rsidRDefault="006B63C0" w:rsidP="009A53E2">
            <w:pPr>
              <w:spacing w:before="240" w:after="120"/>
            </w:pPr>
            <w:r w:rsidRPr="00734538">
              <w:t>•</w:t>
            </w:r>
            <w:r w:rsidRPr="00734538">
              <w:tab/>
              <w:t xml:space="preserve">Migrate technical examination software written in Fortran from Compaq Visual Fortran compiler to Intel Fortran compiler </w:t>
            </w:r>
          </w:p>
          <w:p w:rsidR="006B63C0" w:rsidRPr="00734538" w:rsidRDefault="006B63C0" w:rsidP="009A53E2">
            <w:pPr>
              <w:spacing w:before="240" w:after="120"/>
            </w:pPr>
            <w:r w:rsidRPr="00734538">
              <w:tab/>
              <w:t>–</w:t>
            </w:r>
            <w:r w:rsidRPr="00734538">
              <w:tab/>
              <w:t>GIBC/Appendix 30B, Mspace, GIBC/PowerControl: Completed</w:t>
            </w:r>
          </w:p>
          <w:p w:rsidR="006B63C0" w:rsidRPr="00734538" w:rsidRDefault="006B63C0" w:rsidP="009A53E2">
            <w:pPr>
              <w:spacing w:before="240" w:after="120"/>
            </w:pPr>
            <w:r w:rsidRPr="00734538">
              <w:tab/>
              <w:t>–</w:t>
            </w:r>
            <w:r w:rsidRPr="00734538">
              <w:tab/>
              <w:t>GIMS Fortran components: Not yet started</w:t>
            </w:r>
          </w:p>
          <w:p w:rsidR="006B63C0" w:rsidRPr="00734538" w:rsidRDefault="006B63C0" w:rsidP="009A53E2">
            <w:pPr>
              <w:spacing w:before="240" w:after="120"/>
            </w:pPr>
            <w:r w:rsidRPr="00734538">
              <w:t>•</w:t>
            </w:r>
            <w:r w:rsidRPr="00734538">
              <w:tab/>
              <w:t>Mspace – migration of data access component from VB6 to Intel Fortran: Completed</w:t>
            </w:r>
          </w:p>
          <w:p w:rsidR="006B63C0" w:rsidRDefault="006B63C0" w:rsidP="009A53E2">
            <w:pPr>
              <w:spacing w:before="240" w:after="120"/>
            </w:pPr>
            <w:r w:rsidRPr="00734538">
              <w:t>•</w:t>
            </w:r>
            <w:r w:rsidRPr="00734538">
              <w:tab/>
              <w:t>GIBC/Appendix 7: Completed</w:t>
            </w:r>
          </w:p>
        </w:tc>
      </w:tr>
      <w:tr w:rsidR="006B63C0" w:rsidTr="009A53E2">
        <w:trPr>
          <w:cantSplit/>
        </w:trPr>
        <w:tc>
          <w:tcPr>
            <w:tcW w:w="9350" w:type="dxa"/>
          </w:tcPr>
          <w:p w:rsidR="006B63C0" w:rsidRPr="000F5E5E" w:rsidRDefault="006B63C0" w:rsidP="009A53E2">
            <w:pPr>
              <w:spacing w:before="240" w:after="120"/>
              <w:rPr>
                <w:b/>
                <w:bCs/>
              </w:rPr>
            </w:pPr>
            <w:r w:rsidRPr="000F5E5E">
              <w:rPr>
                <w:b/>
                <w:bCs/>
              </w:rPr>
              <w:lastRenderedPageBreak/>
              <w:t>Design and develop the BR Space Information System (BR SIS)</w:t>
            </w:r>
          </w:p>
          <w:p w:rsidR="006B63C0" w:rsidRPr="00592550" w:rsidRDefault="006B63C0" w:rsidP="009A53E2">
            <w:pPr>
              <w:spacing w:before="240" w:after="120"/>
              <w:rPr>
                <w:lang w:val="en-US"/>
              </w:rPr>
            </w:pPr>
            <w:r w:rsidRPr="00592550">
              <w:rPr>
                <w:lang w:val="en-US"/>
              </w:rPr>
              <w:t xml:space="preserve">Currently, BR Space has many standalone applications written in VB6 and VO with their own specific interfaces. The aim is to build one single user interface that will integrate in the future all BR Space services using state-of-the-art technologies. </w:t>
            </w:r>
          </w:p>
          <w:p w:rsidR="006B63C0" w:rsidRPr="00592550" w:rsidRDefault="006B63C0" w:rsidP="009A53E2">
            <w:pPr>
              <w:spacing w:before="240" w:after="120"/>
              <w:rPr>
                <w:lang w:val="en-US"/>
              </w:rPr>
            </w:pPr>
            <w:r w:rsidRPr="00592550">
              <w:rPr>
                <w:lang w:val="en-US"/>
              </w:rPr>
              <w:t xml:space="preserve">This task has been initiated and the proposed architecture validated with a prototype based on service-oriented architecture (SOA). The SOA separates the user interface from the service implementation. Each BR Space application will be exposed as an autonomous WCF (Windows Communication Foundation) service and could easily be deployed across both Windows and web platforms. WPF (Windows Presentation Foundation) technology, the leading modern user interface (UI) design tool, is being used for the design and development of the UI. WPF separates the presentation design layer from the logic layer. </w:t>
            </w:r>
          </w:p>
          <w:p w:rsidR="006B63C0" w:rsidRPr="00592550" w:rsidRDefault="006B63C0" w:rsidP="009A53E2">
            <w:pPr>
              <w:spacing w:before="240" w:after="120"/>
              <w:rPr>
                <w:lang w:val="en-US"/>
              </w:rPr>
            </w:pPr>
            <w:r w:rsidRPr="00592550">
              <w:rPr>
                <w:lang w:val="en-US"/>
              </w:rPr>
              <w:t xml:space="preserve">The whole system uses a composite application design pattern (Prism is the Composite Application Guidance for WPF). This improves the system modularity and allows developers to build and maintain system modules independently. </w:t>
            </w:r>
          </w:p>
          <w:p w:rsidR="006B63C0" w:rsidRDefault="006B63C0" w:rsidP="009A53E2">
            <w:pPr>
              <w:spacing w:before="240" w:after="120"/>
            </w:pPr>
            <w:r w:rsidRPr="00592550">
              <w:rPr>
                <w:lang w:val="en-US"/>
              </w:rPr>
              <w:t>SpaceQry is the first application rewritten in the BR Space Information System following the above architecture and will be used as a template for development of all BR Space applications. The querying service developed for SpaceQry may also be used by the future SNS Online as a web service.</w:t>
            </w:r>
          </w:p>
        </w:tc>
      </w:tr>
      <w:tr w:rsidR="006B63C0" w:rsidTr="009A53E2">
        <w:trPr>
          <w:cantSplit/>
        </w:trPr>
        <w:tc>
          <w:tcPr>
            <w:tcW w:w="9350" w:type="dxa"/>
          </w:tcPr>
          <w:p w:rsidR="006B63C0" w:rsidRPr="000F5E5E" w:rsidRDefault="006B63C0" w:rsidP="009A53E2">
            <w:pPr>
              <w:spacing w:before="240" w:after="120"/>
              <w:rPr>
                <w:b/>
                <w:bCs/>
              </w:rPr>
            </w:pPr>
            <w:r w:rsidRPr="000F5E5E">
              <w:rPr>
                <w:b/>
                <w:bCs/>
              </w:rPr>
              <w:t xml:space="preserve">Rewrite SpaceQry written in Visual Objects </w:t>
            </w:r>
          </w:p>
          <w:p w:rsidR="006B63C0" w:rsidRDefault="006B63C0" w:rsidP="009A53E2">
            <w:pPr>
              <w:spacing w:before="240" w:after="120"/>
            </w:pPr>
            <w:r>
              <w:t xml:space="preserve">A production version has been made available on the BR IFIC DVD </w:t>
            </w:r>
            <w:r w:rsidRPr="00E772CB">
              <w:t>in April 2016.</w:t>
            </w:r>
          </w:p>
        </w:tc>
      </w:tr>
      <w:tr w:rsidR="006B63C0" w:rsidTr="009A53E2">
        <w:trPr>
          <w:cantSplit/>
        </w:trPr>
        <w:tc>
          <w:tcPr>
            <w:tcW w:w="9350" w:type="dxa"/>
          </w:tcPr>
          <w:p w:rsidR="006B63C0" w:rsidRPr="000F5E5E" w:rsidRDefault="006B63C0" w:rsidP="009A53E2">
            <w:pPr>
              <w:spacing w:before="240" w:after="120"/>
              <w:rPr>
                <w:b/>
                <w:bCs/>
              </w:rPr>
            </w:pPr>
            <w:r w:rsidRPr="000F5E5E">
              <w:rPr>
                <w:b/>
                <w:bCs/>
              </w:rPr>
              <w:t>Rewrite SpaceCap written in Visual Basic 6</w:t>
            </w:r>
          </w:p>
          <w:p w:rsidR="006B63C0" w:rsidRDefault="006B63C0" w:rsidP="009A53E2">
            <w:pPr>
              <w:spacing w:before="240" w:after="120"/>
            </w:pPr>
            <w:r>
              <w:t>Integration of SpaceCap into BR-SIS has started and will be achieved by integrating one type of notice at a time.</w:t>
            </w:r>
          </w:p>
        </w:tc>
      </w:tr>
      <w:tr w:rsidR="006B63C0" w:rsidTr="009A53E2">
        <w:trPr>
          <w:cantSplit/>
        </w:trPr>
        <w:tc>
          <w:tcPr>
            <w:tcW w:w="9350" w:type="dxa"/>
          </w:tcPr>
          <w:p w:rsidR="006B63C0" w:rsidRDefault="006B63C0" w:rsidP="009A53E2">
            <w:pPr>
              <w:spacing w:before="240" w:after="120"/>
              <w:rPr>
                <w:b/>
                <w:bCs/>
              </w:rPr>
            </w:pPr>
            <w:r w:rsidRPr="000F5E5E">
              <w:rPr>
                <w:b/>
                <w:bCs/>
              </w:rPr>
              <w:lastRenderedPageBreak/>
              <w:t>Migrate SRS.mdb to more modern technology</w:t>
            </w:r>
          </w:p>
          <w:p w:rsidR="006B63C0" w:rsidRPr="00592550" w:rsidRDefault="006B63C0" w:rsidP="009A53E2">
            <w:pPr>
              <w:spacing w:before="240" w:after="120"/>
              <w:rPr>
                <w:lang w:val="en-US"/>
              </w:rPr>
            </w:pPr>
            <w:r w:rsidRPr="00592550">
              <w:rPr>
                <w:lang w:val="en-US"/>
              </w:rPr>
              <w:t xml:space="preserve">The database files on the BR IFIC are currently in Microsoft Access MDB format, the development of which stopped with the 2003 version of Microsoft Office. </w:t>
            </w:r>
          </w:p>
          <w:p w:rsidR="006B63C0" w:rsidRPr="00592550" w:rsidRDefault="006B63C0" w:rsidP="009A53E2">
            <w:pPr>
              <w:spacing w:before="240" w:after="120"/>
              <w:rPr>
                <w:lang w:val="en-US"/>
              </w:rPr>
            </w:pPr>
            <w:r w:rsidRPr="00592550">
              <w:rPr>
                <w:lang w:val="en-US"/>
              </w:rPr>
              <w:t xml:space="preserve">Several options have been evaluated, and SQLite has been chosen as the technology to replace MDB files. Connectivity is either achieved through direct connections (such as from C++ or .Net applications) or through ODBC. </w:t>
            </w:r>
          </w:p>
          <w:p w:rsidR="006B63C0" w:rsidRPr="00592550" w:rsidRDefault="006B63C0" w:rsidP="009A53E2">
            <w:pPr>
              <w:spacing w:before="240" w:after="120"/>
              <w:rPr>
                <w:lang w:val="en-US"/>
              </w:rPr>
            </w:pPr>
            <w:r w:rsidRPr="00592550">
              <w:rPr>
                <w:lang w:val="en-US"/>
              </w:rPr>
              <w:t>However, the urgent changes for WRC-15 precluded the introdu</w:t>
            </w:r>
            <w:r>
              <w:rPr>
                <w:lang w:val="en-US"/>
              </w:rPr>
              <w:t>ction of SQLite in 2017, and it </w:t>
            </w:r>
            <w:r w:rsidRPr="00592550">
              <w:rPr>
                <w:lang w:val="en-US"/>
              </w:rPr>
              <w:t xml:space="preserve">will be introduced in 2019. In the meantime, the 2GB limitation of MDB files will be mitigated by delivering a linked pair of MDB files on the BR IFIC DVD. </w:t>
            </w:r>
          </w:p>
          <w:p w:rsidR="006B63C0" w:rsidRPr="00592550" w:rsidRDefault="006B63C0" w:rsidP="009A53E2">
            <w:pPr>
              <w:spacing w:before="240" w:after="120"/>
              <w:rPr>
                <w:lang w:val="en-US"/>
              </w:rPr>
            </w:pPr>
            <w:r w:rsidRPr="00592550">
              <w:rPr>
                <w:lang w:val="en-US"/>
              </w:rPr>
              <w:t xml:space="preserve">SQLite databases for testing will be made available to external users in Q1 of 2018, and the applications shipped on the BR IFIC DVD will be SQLite-compatible as of January 2019, to coincide with version 9 of the SNS database, and to be presented to membership at WRS-18. </w:t>
            </w:r>
          </w:p>
          <w:p w:rsidR="006B63C0" w:rsidRDefault="006B63C0" w:rsidP="009A53E2">
            <w:pPr>
              <w:spacing w:before="240" w:after="120"/>
            </w:pPr>
            <w:r w:rsidRPr="00592550">
              <w:rPr>
                <w:lang w:val="en-US"/>
              </w:rPr>
              <w:t>Backward compatibility with the MDB format, as well as conversion tools, will be retained for the foreseeable future, to allow external users sufficient time to adopt the new technology.</w:t>
            </w:r>
          </w:p>
        </w:tc>
      </w:tr>
      <w:tr w:rsidR="006B63C0" w:rsidTr="009A53E2">
        <w:trPr>
          <w:cantSplit/>
        </w:trPr>
        <w:tc>
          <w:tcPr>
            <w:tcW w:w="9350" w:type="dxa"/>
          </w:tcPr>
          <w:p w:rsidR="006B63C0" w:rsidRDefault="006B63C0" w:rsidP="009A53E2">
            <w:pPr>
              <w:spacing w:before="240" w:after="120"/>
            </w:pPr>
            <w:r w:rsidRPr="000F5E5E">
              <w:rPr>
                <w:b/>
                <w:bCs/>
              </w:rPr>
              <w:t>Migrate SNS database on Ingres to SQL Server</w:t>
            </w:r>
            <w:r>
              <w:t xml:space="preserve"> </w:t>
            </w:r>
          </w:p>
          <w:p w:rsidR="006B63C0" w:rsidRPr="00592550" w:rsidRDefault="006B63C0" w:rsidP="009A53E2">
            <w:pPr>
              <w:spacing w:before="240" w:after="120"/>
              <w:rPr>
                <w:lang w:val="en-US"/>
              </w:rPr>
            </w:pPr>
            <w:r w:rsidRPr="00592550">
              <w:rPr>
                <w:lang w:val="en-US"/>
              </w:rPr>
              <w:t xml:space="preserve">Owing to costs and resources, the IS Department is migrating its Ingres databases to SQL Server, therefore the BR Space SNS database should also be migrated. </w:t>
            </w:r>
          </w:p>
          <w:p w:rsidR="006B63C0" w:rsidRPr="00592550" w:rsidRDefault="006B63C0" w:rsidP="009A53E2">
            <w:pPr>
              <w:spacing w:before="240" w:after="120"/>
              <w:rPr>
                <w:lang w:val="en-US"/>
              </w:rPr>
            </w:pPr>
            <w:r w:rsidRPr="00592550">
              <w:rPr>
                <w:lang w:val="en-US"/>
              </w:rPr>
              <w:t xml:space="preserve">No major changes would be required to the majority of BR Space Applications using ODBC to access the database. However, a number of Ingres-environment specific internal processing applications had to be completely rewritten as part of this migration. This work is expected to be completed in 2017. </w:t>
            </w:r>
          </w:p>
          <w:p w:rsidR="006B63C0" w:rsidRPr="00592550" w:rsidRDefault="006B63C0" w:rsidP="009A53E2">
            <w:pPr>
              <w:spacing w:before="240" w:after="120"/>
              <w:rPr>
                <w:lang w:val="en-US"/>
              </w:rPr>
            </w:pPr>
            <w:r w:rsidRPr="00592550">
              <w:rPr>
                <w:lang w:val="en-US"/>
              </w:rPr>
              <w:t>Since it is currently quite closely coupled with Ingres, SNS Onl</w:t>
            </w:r>
            <w:r>
              <w:rPr>
                <w:lang w:val="en-US"/>
              </w:rPr>
              <w:t>ine would need to be redone. In </w:t>
            </w:r>
            <w:r w:rsidRPr="00592550">
              <w:rPr>
                <w:lang w:val="en-US"/>
              </w:rPr>
              <w:t>the interim, SNS data can be regularly copied from the SQL Server to a read-only SNS database on Ingres. The BR is also investigating a way to connect SNS Online directly to SQL Server, so as to avoid the need for the intermediary Ingres database. However, this doesn’t change the fact that SNS Online is due for a complete reworking, having been designed using technology from 1995.</w:t>
            </w:r>
          </w:p>
          <w:p w:rsidR="006B63C0" w:rsidRDefault="006B63C0" w:rsidP="009A53E2">
            <w:pPr>
              <w:spacing w:before="240" w:after="120"/>
            </w:pPr>
            <w:r w:rsidRPr="00592550">
              <w:rPr>
                <w:lang w:val="en-US"/>
              </w:rPr>
              <w:t>The future version of SNS online can be based on ASP.NET MVC technology, which is currently used for the Space API Query part of the Space Network Systems web site.</w:t>
            </w:r>
          </w:p>
        </w:tc>
      </w:tr>
      <w:tr w:rsidR="006B63C0" w:rsidTr="009A53E2">
        <w:trPr>
          <w:cantSplit/>
        </w:trPr>
        <w:tc>
          <w:tcPr>
            <w:tcW w:w="9350" w:type="dxa"/>
          </w:tcPr>
          <w:p w:rsidR="006B63C0" w:rsidRDefault="006B63C0" w:rsidP="009A53E2">
            <w:pPr>
              <w:spacing w:before="240" w:after="120"/>
            </w:pPr>
            <w:r w:rsidRPr="000F5E5E">
              <w:rPr>
                <w:b/>
                <w:bCs/>
              </w:rPr>
              <w:t>Review SNTrack</w:t>
            </w:r>
            <w:r>
              <w:t xml:space="preserve"> </w:t>
            </w:r>
          </w:p>
          <w:p w:rsidR="006B63C0" w:rsidRDefault="006B63C0" w:rsidP="009A53E2">
            <w:pPr>
              <w:spacing w:before="240" w:after="120"/>
            </w:pPr>
            <w:r w:rsidRPr="00592550">
              <w:rPr>
                <w:lang w:val="en-US"/>
              </w:rPr>
              <w:t>This task should be done in conjunction with the development of Resolutions 907 and 908. The current implementation is incompatible with 64 bits Windows Office, and this is another reason to migrate to a more modern implementation</w:t>
            </w:r>
            <w:r>
              <w:rPr>
                <w:lang w:val="en-US"/>
              </w:rPr>
              <w:t>.</w:t>
            </w:r>
          </w:p>
        </w:tc>
      </w:tr>
      <w:tr w:rsidR="006B63C0" w:rsidTr="009A53E2">
        <w:trPr>
          <w:cantSplit/>
        </w:trPr>
        <w:tc>
          <w:tcPr>
            <w:tcW w:w="9350" w:type="dxa"/>
          </w:tcPr>
          <w:p w:rsidR="006B63C0" w:rsidRDefault="006B63C0" w:rsidP="009A53E2">
            <w:pPr>
              <w:spacing w:before="240" w:after="120"/>
              <w:rPr>
                <w:b/>
                <w:bCs/>
              </w:rPr>
            </w:pPr>
            <w:r>
              <w:rPr>
                <w:b/>
                <w:bCs/>
              </w:rPr>
              <w:lastRenderedPageBreak/>
              <w:t>Phase 3: 1 January 2016 – 31 December 2018</w:t>
            </w:r>
          </w:p>
          <w:p w:rsidR="006B63C0" w:rsidRPr="00592550" w:rsidRDefault="006B63C0" w:rsidP="009A53E2">
            <w:pPr>
              <w:spacing w:before="240" w:after="120"/>
              <w:rPr>
                <w:lang w:val="en-US"/>
              </w:rPr>
            </w:pPr>
            <w:r w:rsidRPr="00592550">
              <w:rPr>
                <w:lang w:val="en-US"/>
              </w:rPr>
              <w:t>The main themes of Phase 3 are:</w:t>
            </w:r>
          </w:p>
          <w:p w:rsidR="006B63C0" w:rsidRPr="00592550" w:rsidRDefault="006B63C0" w:rsidP="009A53E2">
            <w:pPr>
              <w:numPr>
                <w:ilvl w:val="0"/>
                <w:numId w:val="12"/>
              </w:numPr>
              <w:spacing w:before="240" w:after="120"/>
              <w:rPr>
                <w:lang w:val="en-US"/>
              </w:rPr>
            </w:pPr>
            <w:r w:rsidRPr="00592550">
              <w:rPr>
                <w:lang w:val="en-US"/>
              </w:rPr>
              <w:t>Design common conceptual database for terrestrial and space.</w:t>
            </w:r>
          </w:p>
          <w:p w:rsidR="006B63C0" w:rsidRPr="00592550" w:rsidRDefault="006B63C0" w:rsidP="009A53E2">
            <w:pPr>
              <w:numPr>
                <w:ilvl w:val="0"/>
                <w:numId w:val="12"/>
              </w:numPr>
              <w:spacing w:before="240" w:after="120"/>
              <w:rPr>
                <w:lang w:val="en-US"/>
              </w:rPr>
            </w:pPr>
            <w:r w:rsidRPr="00592550">
              <w:rPr>
                <w:lang w:val="en-US"/>
              </w:rPr>
              <w:t xml:space="preserve">Define standard application framework for Space and Terrestrial Systems including Maritime System (MARS) based on ITU maritime databases. </w:t>
            </w:r>
          </w:p>
          <w:p w:rsidR="006B63C0" w:rsidRPr="00592550" w:rsidRDefault="006B63C0" w:rsidP="009A53E2">
            <w:pPr>
              <w:numPr>
                <w:ilvl w:val="0"/>
                <w:numId w:val="12"/>
              </w:numPr>
              <w:spacing w:before="240" w:after="120"/>
              <w:rPr>
                <w:lang w:val="en-US"/>
              </w:rPr>
            </w:pPr>
            <w:r w:rsidRPr="00592550">
              <w:rPr>
                <w:lang w:val="en-US"/>
              </w:rPr>
              <w:t>Redesign Space System – (apply Service Oriented Architecture).</w:t>
            </w:r>
          </w:p>
          <w:p w:rsidR="006B63C0" w:rsidRPr="00592550" w:rsidRDefault="006B63C0" w:rsidP="009A53E2">
            <w:pPr>
              <w:numPr>
                <w:ilvl w:val="0"/>
                <w:numId w:val="12"/>
              </w:numPr>
              <w:spacing w:before="240" w:after="120"/>
              <w:rPr>
                <w:lang w:val="en-US"/>
              </w:rPr>
            </w:pPr>
            <w:r w:rsidRPr="00592550">
              <w:rPr>
                <w:lang w:val="en-US"/>
              </w:rPr>
              <w:t>Consider centralized risk, recovery and security management</w:t>
            </w:r>
          </w:p>
          <w:p w:rsidR="006B63C0" w:rsidRPr="00592550" w:rsidRDefault="006B63C0" w:rsidP="009A53E2">
            <w:pPr>
              <w:spacing w:before="240" w:after="120"/>
              <w:rPr>
                <w:lang w:val="en-US"/>
              </w:rPr>
            </w:pPr>
            <w:r w:rsidRPr="00592550">
              <w:rPr>
                <w:lang w:val="en-US"/>
              </w:rPr>
              <w:t>The work done during the previous phases, as well as the design and technology choices made, are all an excellent foundation for successful completion of Phase 3, as follows:</w:t>
            </w:r>
          </w:p>
          <w:p w:rsidR="006B63C0" w:rsidRPr="00592550" w:rsidRDefault="006B63C0" w:rsidP="009A53E2">
            <w:pPr>
              <w:numPr>
                <w:ilvl w:val="0"/>
                <w:numId w:val="13"/>
              </w:numPr>
              <w:spacing w:before="240" w:after="120"/>
              <w:rPr>
                <w:lang w:val="en-US"/>
              </w:rPr>
            </w:pPr>
            <w:r w:rsidRPr="00592550">
              <w:rPr>
                <w:lang w:val="en-US"/>
              </w:rPr>
              <w:t>The Space databases shall be migrated to the SQL Server platform by the end of 2017. At the end of 2016, the database schema was updated to the post-WRC-15 version 8 and presented at WRS-16, with a number of additions, deletions and changes of fields and tables.</w:t>
            </w:r>
            <w:r w:rsidRPr="00592550">
              <w:rPr>
                <w:lang w:val="en-US"/>
              </w:rPr>
              <w:br/>
            </w:r>
            <w:r w:rsidRPr="00592550">
              <w:rPr>
                <w:lang w:val="en-US"/>
              </w:rPr>
              <w:br/>
              <w:t>A schema redesign, preserving equivalence of data, but with the objective to eliminate certain redundancies and to align with a common Space/Terrestrial approach, could be rolled out in time for WRS-18.</w:t>
            </w:r>
            <w:r w:rsidRPr="00592550">
              <w:rPr>
                <w:lang w:val="en-US"/>
              </w:rPr>
              <w:br/>
            </w:r>
          </w:p>
          <w:p w:rsidR="006B63C0" w:rsidRPr="00592550" w:rsidRDefault="006B63C0" w:rsidP="009A53E2">
            <w:pPr>
              <w:numPr>
                <w:ilvl w:val="0"/>
                <w:numId w:val="13"/>
              </w:numPr>
              <w:spacing w:before="240" w:after="120"/>
              <w:rPr>
                <w:lang w:val="en-US"/>
              </w:rPr>
            </w:pPr>
            <w:r w:rsidRPr="00592550">
              <w:rPr>
                <w:lang w:val="en-US"/>
              </w:rPr>
              <w:t xml:space="preserve">The desktop application frameworks for the Terrestrial System, the Space System and MARS have traditionally been quite different, and may continue to be so for the time being. The need to standardize on one framework diminishes as more and more functionality is offered through web applications. </w:t>
            </w:r>
            <w:r w:rsidRPr="00592550">
              <w:rPr>
                <w:lang w:val="en-US"/>
              </w:rPr>
              <w:br/>
            </w:r>
            <w:r w:rsidRPr="00592550">
              <w:rPr>
                <w:lang w:val="en-US"/>
              </w:rPr>
              <w:br/>
              <w:t>The standard web application framework used for new development (e.g. SIRRS) and for the redesign of existing Space System web applications (SNS online) shall be ASP.NET MVC, which is also endorsed and supported by the IS department and is the web application framework on which the MARS project is being re-implemented.</w:t>
            </w:r>
            <w:r w:rsidRPr="00592550">
              <w:rPr>
                <w:lang w:val="en-US"/>
              </w:rPr>
              <w:br/>
            </w:r>
          </w:p>
          <w:p w:rsidR="006B63C0" w:rsidRPr="00592550" w:rsidRDefault="006B63C0" w:rsidP="009A53E2">
            <w:pPr>
              <w:numPr>
                <w:ilvl w:val="0"/>
                <w:numId w:val="13"/>
              </w:numPr>
              <w:spacing w:before="240" w:after="120"/>
              <w:rPr>
                <w:lang w:val="en-US"/>
              </w:rPr>
            </w:pPr>
            <w:r w:rsidRPr="00592550">
              <w:rPr>
                <w:lang w:val="en-US"/>
              </w:rPr>
              <w:t>The adoption of the .Net platform and the Prism design architecture will make it easier to transition from desktop applications to web applications, knowing that the preferred web application development framework is based on the same core technology and programming language.</w:t>
            </w:r>
            <w:r w:rsidRPr="00592550">
              <w:rPr>
                <w:lang w:val="en-US"/>
              </w:rPr>
              <w:br/>
            </w:r>
          </w:p>
          <w:p w:rsidR="006B63C0" w:rsidRPr="00FF3F83" w:rsidRDefault="006B63C0" w:rsidP="009A53E2">
            <w:pPr>
              <w:pStyle w:val="ListParagraph"/>
              <w:numPr>
                <w:ilvl w:val="0"/>
                <w:numId w:val="13"/>
              </w:numPr>
              <w:spacing w:before="240" w:after="120" w:line="240" w:lineRule="auto"/>
            </w:pPr>
            <w:r w:rsidRPr="00592550">
              <w:rPr>
                <w:rFonts w:eastAsia="Times New Roman" w:cs="Times New Roman"/>
                <w:szCs w:val="20"/>
                <w:lang w:val="en-GB" w:eastAsia="en-US"/>
              </w:rPr>
              <w:t>Activities on centralizing and streamlining risk, recovery and security management are on-going.</w:t>
            </w:r>
          </w:p>
        </w:tc>
      </w:tr>
    </w:tbl>
    <w:p w:rsidR="006B63C0" w:rsidRDefault="006B63C0" w:rsidP="006B63C0"/>
    <w:p w:rsidR="00851A47" w:rsidRDefault="00851A47" w:rsidP="009A53E2">
      <w:pPr>
        <w:pStyle w:val="Reasons"/>
      </w:pPr>
    </w:p>
    <w:p w:rsidR="00851A47" w:rsidRDefault="00851A47">
      <w:pPr>
        <w:jc w:val="center"/>
      </w:pPr>
      <w:r>
        <w:t>______________</w:t>
      </w:r>
    </w:p>
    <w:p w:rsidR="006B63C0" w:rsidRDefault="006B63C0" w:rsidP="006B63C0">
      <w:pPr>
        <w:pStyle w:val="Reasons"/>
      </w:pPr>
    </w:p>
    <w:sectPr w:rsidR="006B63C0" w:rsidSect="00F749FF">
      <w:headerReference w:type="default" r:id="rId57"/>
      <w:footerReference w:type="default" r:id="rId58"/>
      <w:headerReference w:type="first" r:id="rId59"/>
      <w:footerReference w:type="first" r:id="rId6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53E2" w:rsidRDefault="009A53E2">
      <w:r>
        <w:separator/>
      </w:r>
    </w:p>
  </w:endnote>
  <w:endnote w:type="continuationSeparator" w:id="0">
    <w:p w:rsidR="009A53E2" w:rsidRDefault="009A53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5B0D1E" w:rsidRDefault="009A53E2" w:rsidP="009A53E2">
    <w:pPr>
      <w:framePr w:wrap="around" w:vAnchor="text" w:hAnchor="margin" w:xAlign="right" w:y="1"/>
    </w:pPr>
    <w:r>
      <w:fldChar w:fldCharType="begin"/>
    </w:r>
    <w:r w:rsidRPr="005B0D1E">
      <w:instrText xml:space="preserve">PAGE  </w:instrText>
    </w:r>
    <w:r>
      <w:fldChar w:fldCharType="separate"/>
    </w:r>
    <w:r w:rsidRPr="005B0D1E">
      <w:rPr>
        <w:noProof/>
      </w:rPr>
      <w:t>46</w:t>
    </w:r>
    <w:r>
      <w:fldChar w:fldCharType="end"/>
    </w:r>
  </w:p>
  <w:p w:rsidR="009A53E2" w:rsidRPr="001F7439" w:rsidRDefault="009A53E2">
    <w:pPr>
      <w:ind w:right="360"/>
    </w:pPr>
    <w:r>
      <w:fldChar w:fldCharType="begin"/>
    </w:r>
    <w:r w:rsidRPr="001F7439">
      <w:instrText xml:space="preserve"> FILENAME \p  \* MERGEFORMAT </w:instrText>
    </w:r>
    <w:r>
      <w:fldChar w:fldCharType="separate"/>
    </w:r>
    <w:r>
      <w:rPr>
        <w:noProof/>
      </w:rPr>
      <w:t>C:\Users\deraspe\AppData\Local\Microsoft\Windows\Temporary Internet Files\Content.Outlook\SCRJJ2NY\Draft Director's report 2017 V3 REV.docxP:\ENG\ITU-R\CONF-R\CMR15\000\004ADD01E.docx</w:t>
    </w:r>
    <w:r>
      <w:fldChar w:fldCharType="end"/>
    </w:r>
    <w:r w:rsidRPr="001F7439">
      <w:tab/>
    </w:r>
    <w:r>
      <w:fldChar w:fldCharType="begin"/>
    </w:r>
    <w:r>
      <w:instrText xml:space="preserve"> SAVEDATE \@ DD.MM.YY </w:instrText>
    </w:r>
    <w:r>
      <w:fldChar w:fldCharType="separate"/>
    </w:r>
    <w:r w:rsidR="007802A9">
      <w:rPr>
        <w:noProof/>
      </w:rPr>
      <w:t>05.04.17</w:t>
    </w:r>
    <w:r>
      <w:fldChar w:fldCharType="end"/>
    </w:r>
    <w:r w:rsidRPr="001F7439">
      <w:tab/>
    </w:r>
    <w:r>
      <w:fldChar w:fldCharType="begin"/>
    </w:r>
    <w:r>
      <w:instrText xml:space="preserve"> PRINTDATE \@ DD.MM.YY </w:instrTex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26A65" w:rsidRDefault="009A53E2" w:rsidP="009A53E2">
    <w:pPr>
      <w:pStyle w:val="Footer"/>
      <w:rPr>
        <w:lang w:val="fr-FR"/>
      </w:rPr>
    </w:pPr>
    <w:r>
      <w:fldChar w:fldCharType="begin"/>
    </w:r>
    <w:r w:rsidRPr="00DA4CB4">
      <w:rPr>
        <w:lang w:val="it-IT"/>
      </w:rPr>
      <w:instrText xml:space="preserve"> FILENAME \p  \* MERGEFORMAT </w:instrText>
    </w:r>
    <w:r>
      <w:fldChar w:fldCharType="separate"/>
    </w:r>
    <w:r w:rsidR="000D6455">
      <w:rPr>
        <w:lang w:val="it-IT"/>
      </w:rPr>
      <w:t>Y:\APP\BR\POOL\RAG-17\Documents\001R1E.docx</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A4CB4" w:rsidRDefault="009A53E2" w:rsidP="009A53E2">
    <w:pPr>
      <w:pStyle w:val="Footer"/>
      <w:rPr>
        <w:lang w:val="it-IT"/>
      </w:rPr>
    </w:pPr>
    <w:r>
      <w:rPr>
        <w:lang w:val="it-IT"/>
      </w:rPr>
      <w:fldChar w:fldCharType="begin"/>
    </w:r>
    <w:r>
      <w:rPr>
        <w:lang w:val="it-IT"/>
      </w:rPr>
      <w:instrText xml:space="preserve"> FILENAME  \p  \* MERGEFORMAT </w:instrText>
    </w:r>
    <w:r>
      <w:rPr>
        <w:lang w:val="it-IT"/>
      </w:rPr>
      <w:fldChar w:fldCharType="separate"/>
    </w:r>
    <w:r w:rsidR="000D6455">
      <w:rPr>
        <w:lang w:val="it-IT"/>
      </w:rPr>
      <w:t>Y:\APP\BR\POOL\RAG-17\Documents\001R1E.docx</w:t>
    </w:r>
    <w:r>
      <w:rPr>
        <w:lang w:val="it-IT"/>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A4CB4" w:rsidRDefault="009A53E2" w:rsidP="009A53E2">
    <w:pPr>
      <w:pStyle w:val="Footer"/>
      <w:rPr>
        <w:lang w:val="it-IT"/>
      </w:rPr>
    </w:pPr>
    <w:r>
      <w:fldChar w:fldCharType="begin"/>
    </w:r>
    <w:r w:rsidRPr="00DA4CB4">
      <w:rPr>
        <w:lang w:val="it-IT"/>
      </w:rPr>
      <w:instrText xml:space="preserve"> FILENAME \p  \* MERGEFORMAT </w:instrText>
    </w:r>
    <w:r>
      <w:fldChar w:fldCharType="separate"/>
    </w:r>
    <w:r w:rsidR="000D6455">
      <w:rPr>
        <w:lang w:val="it-IT"/>
      </w:rPr>
      <w:t>Y:\APP\BR\POOL\RAG-17\Documents\001R1E.docx</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A4CB4" w:rsidRDefault="009A53E2" w:rsidP="009A53E2">
    <w:pPr>
      <w:pStyle w:val="Footer"/>
      <w:rPr>
        <w:lang w:val="it-IT"/>
      </w:rPr>
    </w:pPr>
    <w:r>
      <w:fldChar w:fldCharType="begin"/>
    </w:r>
    <w:r w:rsidRPr="00DA4CB4">
      <w:rPr>
        <w:lang w:val="it-IT"/>
      </w:rPr>
      <w:instrText xml:space="preserve"> FILENAME \p  \* MERGEFORMAT </w:instrText>
    </w:r>
    <w:r>
      <w:fldChar w:fldCharType="separate"/>
    </w:r>
    <w:r w:rsidR="000D6455">
      <w:rPr>
        <w:lang w:val="it-IT"/>
      </w:rPr>
      <w:t>Y:\APP\BR\POOL\RAG-17\Documents\001R1E.docx</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26A65" w:rsidRDefault="009A53E2" w:rsidP="009A53E2">
    <w:pPr>
      <w:pStyle w:val="Footer"/>
      <w:rPr>
        <w:lang w:val="fr-FR"/>
      </w:rPr>
    </w:pPr>
    <w:r>
      <w:fldChar w:fldCharType="begin"/>
    </w:r>
    <w:r w:rsidRPr="00D26A65">
      <w:rPr>
        <w:lang w:val="fr-FR"/>
      </w:rPr>
      <w:instrText xml:space="preserve"> FILENAME \p  \* MERGEFORMAT </w:instrText>
    </w:r>
    <w:r>
      <w:fldChar w:fldCharType="separate"/>
    </w:r>
    <w:r w:rsidR="000D6455">
      <w:rPr>
        <w:lang w:val="fr-FR"/>
      </w:rPr>
      <w:t>Y:\APP\BR\POOL\RAG-17\Documents\001R1E.docx</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26A65" w:rsidRDefault="009A53E2" w:rsidP="009A53E2">
    <w:pPr>
      <w:pStyle w:val="Footer"/>
      <w:rPr>
        <w:lang w:val="fr-FR"/>
      </w:rPr>
    </w:pPr>
    <w:r>
      <w:fldChar w:fldCharType="begin"/>
    </w:r>
    <w:r w:rsidRPr="00DA4CB4">
      <w:rPr>
        <w:lang w:val="it-IT"/>
      </w:rPr>
      <w:instrText xml:space="preserve"> FILENAME \p  \* MERGEFORMAT </w:instrText>
    </w:r>
    <w:r>
      <w:fldChar w:fldCharType="separate"/>
    </w:r>
    <w:r w:rsidR="000D6455">
      <w:rPr>
        <w:lang w:val="it-IT"/>
      </w:rPr>
      <w:t>Y:\APP\BR\POOL\RAG-17\Documents\001R1E.docx</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26A65" w:rsidRDefault="009A53E2" w:rsidP="00DE5418">
    <w:pPr>
      <w:pStyle w:val="Footer"/>
      <w:rPr>
        <w:lang w:val="fr-FR"/>
      </w:rPr>
    </w:pPr>
    <w:r>
      <w:fldChar w:fldCharType="begin"/>
    </w:r>
    <w:r w:rsidRPr="00D26A65">
      <w:rPr>
        <w:lang w:val="fr-FR"/>
      </w:rPr>
      <w:instrText xml:space="preserve"> FILENAME \p \* MERGEFORMAT </w:instrText>
    </w:r>
    <w:r>
      <w:fldChar w:fldCharType="separate"/>
    </w:r>
    <w:r w:rsidR="000D6455">
      <w:rPr>
        <w:lang w:val="fr-FR"/>
      </w:rPr>
      <w:t>Y:\APP\BR\POOL\RAG-17\Documents\001R1E.docx</w:t>
    </w:r>
    <w:r>
      <w:rPr>
        <w:lang w:val="es-ES_tradnl"/>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Pr="00D26A65" w:rsidRDefault="009A53E2" w:rsidP="00DE5418">
    <w:pPr>
      <w:pStyle w:val="Footer"/>
      <w:rPr>
        <w:lang w:val="fr-FR"/>
      </w:rPr>
    </w:pPr>
    <w:r>
      <w:fldChar w:fldCharType="begin"/>
    </w:r>
    <w:r w:rsidRPr="00D26A65">
      <w:rPr>
        <w:lang w:val="fr-FR"/>
      </w:rPr>
      <w:instrText xml:space="preserve"> FILENAME \p \* MERGEFORMAT </w:instrText>
    </w:r>
    <w:r>
      <w:fldChar w:fldCharType="separate"/>
    </w:r>
    <w:r w:rsidR="000D6455">
      <w:rPr>
        <w:lang w:val="fr-FR"/>
      </w:rPr>
      <w:t>Y:\APP\BR\POOL\RAG-17\Documents\001R1E.docx</w:t>
    </w:r>
    <w:r>
      <w:rPr>
        <w:lang w:val="es-ES_tradn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53E2" w:rsidRDefault="009A53E2">
      <w:r>
        <w:t>____________________</w:t>
      </w:r>
    </w:p>
  </w:footnote>
  <w:footnote w:type="continuationSeparator" w:id="0">
    <w:p w:rsidR="009A53E2" w:rsidRDefault="009A53E2">
      <w:r>
        <w:continuationSeparator/>
      </w:r>
    </w:p>
  </w:footnote>
  <w:footnote w:id="1">
    <w:p w:rsidR="009A53E2" w:rsidRPr="006D01FE" w:rsidRDefault="009A53E2" w:rsidP="006B63C0">
      <w:pPr>
        <w:pStyle w:val="FootnoteText"/>
        <w:rPr>
          <w:rFonts w:cstheme="minorBidi"/>
        </w:rPr>
      </w:pPr>
      <w:r>
        <w:rPr>
          <w:rStyle w:val="FootnoteReference"/>
        </w:rPr>
        <w:footnoteRef/>
      </w:r>
      <w:r>
        <w:tab/>
      </w:r>
      <w:r>
        <w:rPr>
          <w:szCs w:val="24"/>
        </w:rPr>
        <w:t>These include the ITU</w:t>
      </w:r>
      <w:r>
        <w:rPr>
          <w:szCs w:val="24"/>
        </w:rPr>
        <w:noBreakHyphen/>
        <w:t>R Handbooks on National Spectrum Management; Computer Aided Techniques for Spectrum Management; and Spectrum Monitoring.</w:t>
      </w:r>
    </w:p>
  </w:footnote>
  <w:footnote w:id="2">
    <w:p w:rsidR="009A53E2" w:rsidRDefault="009A53E2" w:rsidP="006B63C0">
      <w:pPr>
        <w:pStyle w:val="FootnoteText"/>
        <w:rPr>
          <w:rFonts w:eastAsiaTheme="minorEastAsia"/>
          <w:szCs w:val="24"/>
          <w:lang w:val="en-US"/>
        </w:rPr>
      </w:pPr>
      <w:r>
        <w:rPr>
          <w:rStyle w:val="FootnoteReference"/>
          <w:szCs w:val="18"/>
        </w:rPr>
        <w:t>[1]</w:t>
      </w:r>
      <w:r>
        <w:tab/>
      </w:r>
      <w:r>
        <w:rPr>
          <w:sz w:val="21"/>
          <w:szCs w:val="21"/>
        </w:rPr>
        <w:t>Before Council 13 Decision 571</w:t>
      </w:r>
    </w:p>
  </w:footnote>
  <w:footnote w:id="3">
    <w:p w:rsidR="009A53E2" w:rsidRDefault="009A53E2" w:rsidP="006B63C0">
      <w:pPr>
        <w:pStyle w:val="FootnoteText"/>
        <w:rPr>
          <w:sz w:val="20"/>
        </w:rPr>
      </w:pPr>
      <w:r>
        <w:rPr>
          <w:rStyle w:val="FootnoteReference"/>
          <w:szCs w:val="18"/>
        </w:rPr>
        <w:t>[2]</w:t>
      </w:r>
      <w:r>
        <w:tab/>
      </w:r>
      <w:r>
        <w:rPr>
          <w:sz w:val="21"/>
          <w:szCs w:val="21"/>
        </w:rPr>
        <w:t>After Council 13 Decision 571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Default="009A53E2" w:rsidP="009A53E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A53E2" w:rsidRDefault="009A53E2" w:rsidP="009A53E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A53E2" w:rsidRDefault="009A53E2" w:rsidP="009A53E2">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006749"/>
      <w:docPartObj>
        <w:docPartGallery w:val="Page Numbers (Top of Page)"/>
        <w:docPartUnique/>
      </w:docPartObj>
    </w:sdtPr>
    <w:sdtEndPr>
      <w:rPr>
        <w:noProof/>
      </w:rPr>
    </w:sdtEndPr>
    <w:sdtContent>
      <w:p w:rsidR="009A53E2" w:rsidRDefault="009A53E2" w:rsidP="009A53E2">
        <w:pPr>
          <w:pStyle w:val="Header"/>
        </w:pPr>
        <w:r>
          <w:fldChar w:fldCharType="begin"/>
        </w:r>
        <w:r>
          <w:instrText xml:space="preserve"> PAGE   \* MERGEFORMAT </w:instrText>
        </w:r>
        <w:r>
          <w:fldChar w:fldCharType="separate"/>
        </w:r>
        <w:r w:rsidR="007802A9">
          <w:rPr>
            <w:noProof/>
          </w:rPr>
          <w:t>21</w:t>
        </w:r>
        <w:r>
          <w:rPr>
            <w:noProof/>
          </w:rPr>
          <w:fldChar w:fldCharType="end"/>
        </w:r>
      </w:p>
      <w:p w:rsidR="009A53E2" w:rsidRPr="00800972" w:rsidRDefault="009A53E2" w:rsidP="009A53E2">
        <w:pPr>
          <w:pStyle w:val="Header"/>
        </w:pPr>
        <w:r>
          <w:t>RAG17/1</w:t>
        </w:r>
        <w:r w:rsidR="000D6455" w:rsidRPr="00332710">
          <w:t>(Rev.1)</w:t>
        </w:r>
        <w:r>
          <w:t>-E</w: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6563536"/>
      <w:docPartObj>
        <w:docPartGallery w:val="Page Numbers (Top of Page)"/>
        <w:docPartUnique/>
      </w:docPartObj>
    </w:sdtPr>
    <w:sdtEndPr>
      <w:rPr>
        <w:noProof/>
      </w:rPr>
    </w:sdtEndPr>
    <w:sdtContent>
      <w:p w:rsidR="009A53E2" w:rsidRDefault="009A53E2" w:rsidP="009A53E2">
        <w:pPr>
          <w:pStyle w:val="Header"/>
        </w:pPr>
        <w:r>
          <w:fldChar w:fldCharType="begin"/>
        </w:r>
        <w:r>
          <w:instrText xml:space="preserve"> PAGE   \* MERGEFORMAT </w:instrText>
        </w:r>
        <w:r>
          <w:fldChar w:fldCharType="separate"/>
        </w:r>
        <w:r w:rsidR="007802A9">
          <w:rPr>
            <w:noProof/>
          </w:rPr>
          <w:t>23</w:t>
        </w:r>
        <w:r>
          <w:rPr>
            <w:noProof/>
          </w:rPr>
          <w:fldChar w:fldCharType="end"/>
        </w:r>
      </w:p>
      <w:p w:rsidR="009A53E2" w:rsidRPr="00800972" w:rsidRDefault="009A53E2" w:rsidP="009A53E2">
        <w:pPr>
          <w:pStyle w:val="Header"/>
        </w:pPr>
        <w:r>
          <w:t>RAG17/1</w:t>
        </w:r>
        <w:r w:rsidR="000D6455">
          <w:t>(Rev.1)</w:t>
        </w:r>
        <w:r>
          <w:t>-E</w:t>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59383"/>
      <w:docPartObj>
        <w:docPartGallery w:val="Page Numbers (Top of Page)"/>
        <w:docPartUnique/>
      </w:docPartObj>
    </w:sdtPr>
    <w:sdtEndPr>
      <w:rPr>
        <w:noProof/>
      </w:rPr>
    </w:sdtEndPr>
    <w:sdtContent>
      <w:p w:rsidR="009A53E2" w:rsidRDefault="009A53E2" w:rsidP="009A53E2">
        <w:pPr>
          <w:pStyle w:val="Header"/>
        </w:pPr>
        <w:r>
          <w:fldChar w:fldCharType="begin"/>
        </w:r>
        <w:r>
          <w:instrText xml:space="preserve"> PAGE   \* MERGEFORMAT </w:instrText>
        </w:r>
        <w:r>
          <w:fldChar w:fldCharType="separate"/>
        </w:r>
        <w:r w:rsidR="007802A9">
          <w:rPr>
            <w:noProof/>
          </w:rPr>
          <w:t>24</w:t>
        </w:r>
        <w:r>
          <w:rPr>
            <w:noProof/>
          </w:rPr>
          <w:fldChar w:fldCharType="end"/>
        </w:r>
      </w:p>
      <w:p w:rsidR="009A53E2" w:rsidRPr="00800972" w:rsidRDefault="009A53E2" w:rsidP="009A53E2">
        <w:pPr>
          <w:pStyle w:val="Header"/>
        </w:pPr>
        <w:r>
          <w:t>RAG17/1</w:t>
        </w:r>
        <w:r w:rsidR="000D6455">
          <w:t>(Rev.1)</w:t>
        </w:r>
        <w:r>
          <w:t>-E</w:t>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6279122"/>
      <w:docPartObj>
        <w:docPartGallery w:val="Page Numbers (Top of Page)"/>
        <w:docPartUnique/>
      </w:docPartObj>
    </w:sdtPr>
    <w:sdtEndPr>
      <w:rPr>
        <w:noProof/>
      </w:rPr>
    </w:sdtEndPr>
    <w:sdtContent>
      <w:p w:rsidR="009A53E2" w:rsidRDefault="009A53E2" w:rsidP="009A53E2">
        <w:pPr>
          <w:pStyle w:val="Header"/>
        </w:pPr>
        <w:r>
          <w:fldChar w:fldCharType="begin"/>
        </w:r>
        <w:r>
          <w:instrText xml:space="preserve"> PAGE   \* MERGEFORMAT </w:instrText>
        </w:r>
        <w:r>
          <w:fldChar w:fldCharType="separate"/>
        </w:r>
        <w:r w:rsidR="007802A9">
          <w:rPr>
            <w:noProof/>
          </w:rPr>
          <w:t>26</w:t>
        </w:r>
        <w:r>
          <w:rPr>
            <w:noProof/>
          </w:rPr>
          <w:fldChar w:fldCharType="end"/>
        </w:r>
      </w:p>
      <w:p w:rsidR="009A53E2" w:rsidRPr="00800972" w:rsidRDefault="009A53E2" w:rsidP="009A53E2">
        <w:pPr>
          <w:pStyle w:val="Header"/>
        </w:pPr>
        <w:r>
          <w:t>RAG17/1</w:t>
        </w:r>
        <w:r w:rsidR="000D6455">
          <w:t>(Rev.1)</w:t>
        </w:r>
        <w:r>
          <w:t>-E</w:t>
        </w: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4619130"/>
      <w:docPartObj>
        <w:docPartGallery w:val="Page Numbers (Top of Page)"/>
        <w:docPartUnique/>
      </w:docPartObj>
    </w:sdtPr>
    <w:sdtEndPr>
      <w:rPr>
        <w:noProof/>
      </w:rPr>
    </w:sdtEndPr>
    <w:sdtContent>
      <w:p w:rsidR="009A53E2" w:rsidRDefault="009A53E2" w:rsidP="009A53E2">
        <w:pPr>
          <w:pStyle w:val="Header"/>
        </w:pPr>
        <w:r>
          <w:fldChar w:fldCharType="begin"/>
        </w:r>
        <w:r>
          <w:instrText xml:space="preserve"> PAGE   \* MERGEFORMAT </w:instrText>
        </w:r>
        <w:r>
          <w:fldChar w:fldCharType="separate"/>
        </w:r>
        <w:r w:rsidR="007802A9">
          <w:rPr>
            <w:noProof/>
          </w:rPr>
          <w:t>27</w:t>
        </w:r>
        <w:r>
          <w:rPr>
            <w:noProof/>
          </w:rPr>
          <w:fldChar w:fldCharType="end"/>
        </w:r>
      </w:p>
      <w:p w:rsidR="009A53E2" w:rsidRPr="00800972" w:rsidRDefault="009A53E2" w:rsidP="009A53E2">
        <w:pPr>
          <w:pStyle w:val="Header"/>
        </w:pPr>
        <w:r>
          <w:t>RAG17/1</w:t>
        </w:r>
        <w:r w:rsidR="000D6455">
          <w:t>(Rev.1)</w:t>
        </w:r>
        <w:r>
          <w:t>-E</w:t>
        </w:r>
      </w:p>
    </w:sdtContent>
  </w:sdt>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3E2" w:rsidRDefault="009A53E2" w:rsidP="001E41A0">
    <w:pPr>
      <w:pStyle w:val="Header"/>
      <w:rPr>
        <w:lang w:val="es-ES"/>
      </w:rPr>
    </w:pPr>
    <w:r>
      <w:fldChar w:fldCharType="begin"/>
    </w:r>
    <w:r>
      <w:instrText xml:space="preserve"> PAGE </w:instrText>
    </w:r>
    <w:r>
      <w:fldChar w:fldCharType="separate"/>
    </w:r>
    <w:r w:rsidR="007802A9">
      <w:rPr>
        <w:noProof/>
      </w:rPr>
      <w:t>31</w:t>
    </w:r>
    <w:r>
      <w:rPr>
        <w:noProof/>
      </w:rPr>
      <w:fldChar w:fldCharType="end"/>
    </w:r>
  </w:p>
  <w:p w:rsidR="009A53E2" w:rsidRDefault="009A53E2" w:rsidP="00906598">
    <w:pPr>
      <w:pStyle w:val="Header"/>
      <w:rPr>
        <w:lang w:val="es-ES"/>
      </w:rPr>
    </w:pPr>
    <w:r>
      <w:t>RAG17/1</w:t>
    </w:r>
    <w:r w:rsidR="000D6455">
      <w:t>(Rev.1)</w:t>
    </w:r>
    <w:r>
      <w:t>-E</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9454559"/>
      <w:docPartObj>
        <w:docPartGallery w:val="Page Numbers (Top of Page)"/>
        <w:docPartUnique/>
      </w:docPartObj>
    </w:sdtPr>
    <w:sdtEndPr>
      <w:rPr>
        <w:noProof/>
      </w:rPr>
    </w:sdtEndPr>
    <w:sdtContent>
      <w:p w:rsidR="009A53E2" w:rsidRDefault="009A53E2">
        <w:pPr>
          <w:pStyle w:val="Header"/>
        </w:pPr>
        <w:r>
          <w:fldChar w:fldCharType="begin"/>
        </w:r>
        <w:r>
          <w:instrText xml:space="preserve"> PAGE   \* MERGEFORMAT </w:instrText>
        </w:r>
        <w:r>
          <w:fldChar w:fldCharType="separate"/>
        </w:r>
        <w:r w:rsidR="007802A9">
          <w:rPr>
            <w:noProof/>
          </w:rPr>
          <w:t>28</w:t>
        </w:r>
        <w:r>
          <w:rPr>
            <w:noProof/>
          </w:rPr>
          <w:fldChar w:fldCharType="end"/>
        </w:r>
      </w:p>
    </w:sdtContent>
  </w:sdt>
  <w:p w:rsidR="009A53E2" w:rsidRDefault="009A53E2">
    <w:pPr>
      <w:pStyle w:val="Header"/>
    </w:pPr>
    <w:r>
      <w:t>RAG17/1</w:t>
    </w:r>
    <w:r w:rsidR="000D6455">
      <w:t>(Rev.1)</w:t>
    </w:r>
    <w:r>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B85BAF"/>
    <w:multiLevelType w:val="hybridMultilevel"/>
    <w:tmpl w:val="64B4E59C"/>
    <w:lvl w:ilvl="0" w:tplc="18E44820">
      <w:start w:val="8"/>
      <w:numFmt w:val="bullet"/>
      <w:lvlText w:val="-"/>
      <w:lvlJc w:val="left"/>
      <w:pPr>
        <w:ind w:left="720" w:hanging="360"/>
      </w:pPr>
      <w:rPr>
        <w:rFonts w:ascii="Times New Roman" w:eastAsia="Times New Roman" w:hAnsi="Times New Roman" w:cs="Times New Roman" w:hint="default"/>
      </w:rPr>
    </w:lvl>
    <w:lvl w:ilvl="1" w:tplc="18E44820">
      <w:start w:val="8"/>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D825F9B"/>
    <w:multiLevelType w:val="hybridMultilevel"/>
    <w:tmpl w:val="FECC69F6"/>
    <w:lvl w:ilvl="0" w:tplc="18E44820">
      <w:start w:val="8"/>
      <w:numFmt w:val="bullet"/>
      <w:lvlText w:val="-"/>
      <w:lvlJc w:val="left"/>
      <w:pPr>
        <w:ind w:left="720" w:hanging="360"/>
      </w:pPr>
      <w:rPr>
        <w:rFonts w:ascii="Times New Roman" w:eastAsia="Times New Roman" w:hAnsi="Times New Roman" w:cs="Times New Roman" w:hint="default"/>
      </w:rPr>
    </w:lvl>
    <w:lvl w:ilvl="1" w:tplc="18E44820">
      <w:start w:val="8"/>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2586D35"/>
    <w:multiLevelType w:val="hybridMultilevel"/>
    <w:tmpl w:val="D2164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4970710"/>
    <w:multiLevelType w:val="hybridMultilevel"/>
    <w:tmpl w:val="BF886AE4"/>
    <w:lvl w:ilvl="0" w:tplc="932C62CC">
      <w:start w:val="10"/>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75959BC"/>
    <w:multiLevelType w:val="hybridMultilevel"/>
    <w:tmpl w:val="A90E018A"/>
    <w:lvl w:ilvl="0" w:tplc="040C0001">
      <w:start w:val="1"/>
      <w:numFmt w:val="bullet"/>
      <w:lvlText w:val=""/>
      <w:lvlJc w:val="left"/>
      <w:pPr>
        <w:ind w:left="776" w:hanging="360"/>
      </w:pPr>
      <w:rPr>
        <w:rFonts w:ascii="Symbol" w:hAnsi="Symbol" w:hint="default"/>
      </w:rPr>
    </w:lvl>
    <w:lvl w:ilvl="1" w:tplc="040C0003" w:tentative="1">
      <w:start w:val="1"/>
      <w:numFmt w:val="bullet"/>
      <w:lvlText w:val="o"/>
      <w:lvlJc w:val="left"/>
      <w:pPr>
        <w:ind w:left="1496" w:hanging="360"/>
      </w:pPr>
      <w:rPr>
        <w:rFonts w:ascii="Courier New" w:hAnsi="Courier New" w:cs="Courier New" w:hint="default"/>
      </w:rPr>
    </w:lvl>
    <w:lvl w:ilvl="2" w:tplc="040C0005" w:tentative="1">
      <w:start w:val="1"/>
      <w:numFmt w:val="bullet"/>
      <w:lvlText w:val=""/>
      <w:lvlJc w:val="left"/>
      <w:pPr>
        <w:ind w:left="2216" w:hanging="360"/>
      </w:pPr>
      <w:rPr>
        <w:rFonts w:ascii="Wingdings" w:hAnsi="Wingdings" w:hint="default"/>
      </w:rPr>
    </w:lvl>
    <w:lvl w:ilvl="3" w:tplc="040C0001" w:tentative="1">
      <w:start w:val="1"/>
      <w:numFmt w:val="bullet"/>
      <w:lvlText w:val=""/>
      <w:lvlJc w:val="left"/>
      <w:pPr>
        <w:ind w:left="2936" w:hanging="360"/>
      </w:pPr>
      <w:rPr>
        <w:rFonts w:ascii="Symbol" w:hAnsi="Symbol" w:hint="default"/>
      </w:rPr>
    </w:lvl>
    <w:lvl w:ilvl="4" w:tplc="040C0003" w:tentative="1">
      <w:start w:val="1"/>
      <w:numFmt w:val="bullet"/>
      <w:lvlText w:val="o"/>
      <w:lvlJc w:val="left"/>
      <w:pPr>
        <w:ind w:left="3656" w:hanging="360"/>
      </w:pPr>
      <w:rPr>
        <w:rFonts w:ascii="Courier New" w:hAnsi="Courier New" w:cs="Courier New" w:hint="default"/>
      </w:rPr>
    </w:lvl>
    <w:lvl w:ilvl="5" w:tplc="040C0005" w:tentative="1">
      <w:start w:val="1"/>
      <w:numFmt w:val="bullet"/>
      <w:lvlText w:val=""/>
      <w:lvlJc w:val="left"/>
      <w:pPr>
        <w:ind w:left="4376" w:hanging="360"/>
      </w:pPr>
      <w:rPr>
        <w:rFonts w:ascii="Wingdings" w:hAnsi="Wingdings" w:hint="default"/>
      </w:rPr>
    </w:lvl>
    <w:lvl w:ilvl="6" w:tplc="040C0001" w:tentative="1">
      <w:start w:val="1"/>
      <w:numFmt w:val="bullet"/>
      <w:lvlText w:val=""/>
      <w:lvlJc w:val="left"/>
      <w:pPr>
        <w:ind w:left="5096" w:hanging="360"/>
      </w:pPr>
      <w:rPr>
        <w:rFonts w:ascii="Symbol" w:hAnsi="Symbol" w:hint="default"/>
      </w:rPr>
    </w:lvl>
    <w:lvl w:ilvl="7" w:tplc="040C0003" w:tentative="1">
      <w:start w:val="1"/>
      <w:numFmt w:val="bullet"/>
      <w:lvlText w:val="o"/>
      <w:lvlJc w:val="left"/>
      <w:pPr>
        <w:ind w:left="5816" w:hanging="360"/>
      </w:pPr>
      <w:rPr>
        <w:rFonts w:ascii="Courier New" w:hAnsi="Courier New" w:cs="Courier New" w:hint="default"/>
      </w:rPr>
    </w:lvl>
    <w:lvl w:ilvl="8" w:tplc="040C0005" w:tentative="1">
      <w:start w:val="1"/>
      <w:numFmt w:val="bullet"/>
      <w:lvlText w:val=""/>
      <w:lvlJc w:val="left"/>
      <w:pPr>
        <w:ind w:left="6536" w:hanging="360"/>
      </w:pPr>
      <w:rPr>
        <w:rFonts w:ascii="Wingdings" w:hAnsi="Wingdings" w:hint="default"/>
      </w:rPr>
    </w:lvl>
  </w:abstractNum>
  <w:abstractNum w:abstractNumId="15" w15:restartNumberingAfterBreak="0">
    <w:nsid w:val="1C1B784D"/>
    <w:multiLevelType w:val="hybridMultilevel"/>
    <w:tmpl w:val="B3F44760"/>
    <w:lvl w:ilvl="0" w:tplc="825099B2">
      <w:numFmt w:val="bullet"/>
      <w:lvlText w:val="-"/>
      <w:lvlJc w:val="left"/>
      <w:pPr>
        <w:ind w:left="720" w:hanging="360"/>
      </w:pPr>
      <w:rPr>
        <w:rFonts w:ascii="Calibri" w:eastAsia="SimSun"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098288D"/>
    <w:multiLevelType w:val="hybridMultilevel"/>
    <w:tmpl w:val="C58AB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6A8353B"/>
    <w:multiLevelType w:val="hybridMultilevel"/>
    <w:tmpl w:val="93BADE0A"/>
    <w:lvl w:ilvl="0" w:tplc="6CF458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1859F6"/>
    <w:multiLevelType w:val="hybridMultilevel"/>
    <w:tmpl w:val="14EE3B1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873506A"/>
    <w:multiLevelType w:val="hybridMultilevel"/>
    <w:tmpl w:val="EC9EFD86"/>
    <w:lvl w:ilvl="0" w:tplc="DDB88A88">
      <w:start w:val="1"/>
      <w:numFmt w:val="lowerLetter"/>
      <w:lvlText w:val="%1)"/>
      <w:lvlJc w:val="left"/>
      <w:pPr>
        <w:ind w:left="1160" w:hanging="360"/>
      </w:pPr>
      <w:rPr>
        <w:rFonts w:hint="default"/>
      </w:rPr>
    </w:lvl>
    <w:lvl w:ilvl="1" w:tplc="040C0019" w:tentative="1">
      <w:start w:val="1"/>
      <w:numFmt w:val="lowerLetter"/>
      <w:lvlText w:val="%2."/>
      <w:lvlJc w:val="left"/>
      <w:pPr>
        <w:ind w:left="1880" w:hanging="360"/>
      </w:pPr>
    </w:lvl>
    <w:lvl w:ilvl="2" w:tplc="040C001B" w:tentative="1">
      <w:start w:val="1"/>
      <w:numFmt w:val="lowerRoman"/>
      <w:lvlText w:val="%3."/>
      <w:lvlJc w:val="right"/>
      <w:pPr>
        <w:ind w:left="2600" w:hanging="180"/>
      </w:pPr>
    </w:lvl>
    <w:lvl w:ilvl="3" w:tplc="040C000F" w:tentative="1">
      <w:start w:val="1"/>
      <w:numFmt w:val="decimal"/>
      <w:lvlText w:val="%4."/>
      <w:lvlJc w:val="left"/>
      <w:pPr>
        <w:ind w:left="3320" w:hanging="360"/>
      </w:pPr>
    </w:lvl>
    <w:lvl w:ilvl="4" w:tplc="040C0019" w:tentative="1">
      <w:start w:val="1"/>
      <w:numFmt w:val="lowerLetter"/>
      <w:lvlText w:val="%5."/>
      <w:lvlJc w:val="left"/>
      <w:pPr>
        <w:ind w:left="4040" w:hanging="360"/>
      </w:pPr>
    </w:lvl>
    <w:lvl w:ilvl="5" w:tplc="040C001B" w:tentative="1">
      <w:start w:val="1"/>
      <w:numFmt w:val="lowerRoman"/>
      <w:lvlText w:val="%6."/>
      <w:lvlJc w:val="right"/>
      <w:pPr>
        <w:ind w:left="4760" w:hanging="180"/>
      </w:pPr>
    </w:lvl>
    <w:lvl w:ilvl="6" w:tplc="040C000F" w:tentative="1">
      <w:start w:val="1"/>
      <w:numFmt w:val="decimal"/>
      <w:lvlText w:val="%7."/>
      <w:lvlJc w:val="left"/>
      <w:pPr>
        <w:ind w:left="5480" w:hanging="360"/>
      </w:pPr>
    </w:lvl>
    <w:lvl w:ilvl="7" w:tplc="040C0019" w:tentative="1">
      <w:start w:val="1"/>
      <w:numFmt w:val="lowerLetter"/>
      <w:lvlText w:val="%8."/>
      <w:lvlJc w:val="left"/>
      <w:pPr>
        <w:ind w:left="6200" w:hanging="360"/>
      </w:pPr>
    </w:lvl>
    <w:lvl w:ilvl="8" w:tplc="040C001B" w:tentative="1">
      <w:start w:val="1"/>
      <w:numFmt w:val="lowerRoman"/>
      <w:lvlText w:val="%9."/>
      <w:lvlJc w:val="right"/>
      <w:pPr>
        <w:ind w:left="6920" w:hanging="180"/>
      </w:pPr>
    </w:lvl>
  </w:abstractNum>
  <w:abstractNum w:abstractNumId="20" w15:restartNumberingAfterBreak="0">
    <w:nsid w:val="4115038F"/>
    <w:multiLevelType w:val="hybridMultilevel"/>
    <w:tmpl w:val="7338ACEE"/>
    <w:lvl w:ilvl="0" w:tplc="04090001">
      <w:start w:val="1"/>
      <w:numFmt w:val="bullet"/>
      <w:lvlText w:val=""/>
      <w:lvlJc w:val="left"/>
      <w:pPr>
        <w:ind w:left="771" w:hanging="360"/>
      </w:pPr>
      <w:rPr>
        <w:rFonts w:ascii="Symbol" w:hAnsi="Symbol" w:hint="default"/>
      </w:rPr>
    </w:lvl>
    <w:lvl w:ilvl="1" w:tplc="04090003" w:tentative="1">
      <w:start w:val="1"/>
      <w:numFmt w:val="bullet"/>
      <w:lvlText w:val="o"/>
      <w:lvlJc w:val="left"/>
      <w:pPr>
        <w:ind w:left="1491" w:hanging="360"/>
      </w:pPr>
      <w:rPr>
        <w:rFonts w:ascii="Courier New" w:hAnsi="Courier New" w:cs="Courier New" w:hint="default"/>
      </w:rPr>
    </w:lvl>
    <w:lvl w:ilvl="2" w:tplc="04090005" w:tentative="1">
      <w:start w:val="1"/>
      <w:numFmt w:val="bullet"/>
      <w:lvlText w:val=""/>
      <w:lvlJc w:val="left"/>
      <w:pPr>
        <w:ind w:left="2211" w:hanging="360"/>
      </w:pPr>
      <w:rPr>
        <w:rFonts w:ascii="Wingdings" w:hAnsi="Wingdings" w:hint="default"/>
      </w:rPr>
    </w:lvl>
    <w:lvl w:ilvl="3" w:tplc="04090001" w:tentative="1">
      <w:start w:val="1"/>
      <w:numFmt w:val="bullet"/>
      <w:lvlText w:val=""/>
      <w:lvlJc w:val="left"/>
      <w:pPr>
        <w:ind w:left="2931" w:hanging="360"/>
      </w:pPr>
      <w:rPr>
        <w:rFonts w:ascii="Symbol" w:hAnsi="Symbol" w:hint="default"/>
      </w:rPr>
    </w:lvl>
    <w:lvl w:ilvl="4" w:tplc="04090003" w:tentative="1">
      <w:start w:val="1"/>
      <w:numFmt w:val="bullet"/>
      <w:lvlText w:val="o"/>
      <w:lvlJc w:val="left"/>
      <w:pPr>
        <w:ind w:left="3651" w:hanging="360"/>
      </w:pPr>
      <w:rPr>
        <w:rFonts w:ascii="Courier New" w:hAnsi="Courier New" w:cs="Courier New" w:hint="default"/>
      </w:rPr>
    </w:lvl>
    <w:lvl w:ilvl="5" w:tplc="04090005" w:tentative="1">
      <w:start w:val="1"/>
      <w:numFmt w:val="bullet"/>
      <w:lvlText w:val=""/>
      <w:lvlJc w:val="left"/>
      <w:pPr>
        <w:ind w:left="4371" w:hanging="360"/>
      </w:pPr>
      <w:rPr>
        <w:rFonts w:ascii="Wingdings" w:hAnsi="Wingdings" w:hint="default"/>
      </w:rPr>
    </w:lvl>
    <w:lvl w:ilvl="6" w:tplc="04090001" w:tentative="1">
      <w:start w:val="1"/>
      <w:numFmt w:val="bullet"/>
      <w:lvlText w:val=""/>
      <w:lvlJc w:val="left"/>
      <w:pPr>
        <w:ind w:left="5091" w:hanging="360"/>
      </w:pPr>
      <w:rPr>
        <w:rFonts w:ascii="Symbol" w:hAnsi="Symbol" w:hint="default"/>
      </w:rPr>
    </w:lvl>
    <w:lvl w:ilvl="7" w:tplc="04090003" w:tentative="1">
      <w:start w:val="1"/>
      <w:numFmt w:val="bullet"/>
      <w:lvlText w:val="o"/>
      <w:lvlJc w:val="left"/>
      <w:pPr>
        <w:ind w:left="5811" w:hanging="360"/>
      </w:pPr>
      <w:rPr>
        <w:rFonts w:ascii="Courier New" w:hAnsi="Courier New" w:cs="Courier New" w:hint="default"/>
      </w:rPr>
    </w:lvl>
    <w:lvl w:ilvl="8" w:tplc="04090005" w:tentative="1">
      <w:start w:val="1"/>
      <w:numFmt w:val="bullet"/>
      <w:lvlText w:val=""/>
      <w:lvlJc w:val="left"/>
      <w:pPr>
        <w:ind w:left="6531" w:hanging="360"/>
      </w:pPr>
      <w:rPr>
        <w:rFonts w:ascii="Wingdings" w:hAnsi="Wingdings" w:hint="default"/>
      </w:rPr>
    </w:lvl>
  </w:abstractNum>
  <w:abstractNum w:abstractNumId="21" w15:restartNumberingAfterBreak="0">
    <w:nsid w:val="43C5265C"/>
    <w:multiLevelType w:val="hybridMultilevel"/>
    <w:tmpl w:val="986279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4B763A75"/>
    <w:multiLevelType w:val="hybridMultilevel"/>
    <w:tmpl w:val="6A1E8242"/>
    <w:lvl w:ilvl="0" w:tplc="34A8653E">
      <w:start w:val="8"/>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B9A1AC3"/>
    <w:multiLevelType w:val="hybridMultilevel"/>
    <w:tmpl w:val="CBFE5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D061DF8"/>
    <w:multiLevelType w:val="hybridMultilevel"/>
    <w:tmpl w:val="0484A6DC"/>
    <w:lvl w:ilvl="0" w:tplc="040A48E6">
      <w:start w:val="13"/>
      <w:numFmt w:val="bullet"/>
      <w:lvlText w:val="-"/>
      <w:lvlJc w:val="left"/>
      <w:pPr>
        <w:ind w:left="720" w:hanging="360"/>
      </w:pPr>
      <w:rPr>
        <w:rFonts w:ascii="Calibri" w:eastAsia="SimSun"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4DCB35E7"/>
    <w:multiLevelType w:val="hybridMultilevel"/>
    <w:tmpl w:val="15607B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1160C74"/>
    <w:multiLevelType w:val="hybridMultilevel"/>
    <w:tmpl w:val="4B206414"/>
    <w:lvl w:ilvl="0" w:tplc="EB1AF5F4">
      <w:start w:val="8"/>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14B6B62"/>
    <w:multiLevelType w:val="hybridMultilevel"/>
    <w:tmpl w:val="FE662F60"/>
    <w:lvl w:ilvl="0" w:tplc="6CF4582E">
      <w:start w:val="1"/>
      <w:numFmt w:val="bullet"/>
      <w:lvlText w:val=""/>
      <w:lvlJc w:val="left"/>
      <w:pPr>
        <w:ind w:left="720" w:hanging="360"/>
      </w:pPr>
      <w:rPr>
        <w:rFonts w:ascii="Symbol" w:hAnsi="Symbol" w:hint="default"/>
      </w:rPr>
    </w:lvl>
    <w:lvl w:ilvl="1" w:tplc="F50C7D34">
      <w:numFmt w:val="bullet"/>
      <w:lvlText w:val="•"/>
      <w:lvlJc w:val="left"/>
      <w:pPr>
        <w:ind w:left="1872" w:hanging="792"/>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71A49DB"/>
    <w:multiLevelType w:val="multilevel"/>
    <w:tmpl w:val="14E288C6"/>
    <w:lvl w:ilvl="0">
      <w:start w:val="8"/>
      <w:numFmt w:val="decimal"/>
      <w:lvlText w:val="%1"/>
      <w:lvlJc w:val="left"/>
      <w:pPr>
        <w:ind w:left="660" w:hanging="660"/>
      </w:pPr>
      <w:rPr>
        <w:rFonts w:hint="default"/>
      </w:rPr>
    </w:lvl>
    <w:lvl w:ilvl="1">
      <w:start w:val="3"/>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2"/>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D8E4AEF"/>
    <w:multiLevelType w:val="hybridMultilevel"/>
    <w:tmpl w:val="F8CC318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F9110F3"/>
    <w:multiLevelType w:val="hybridMultilevel"/>
    <w:tmpl w:val="7C36B45E"/>
    <w:lvl w:ilvl="0" w:tplc="11BA74AC">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337035F"/>
    <w:multiLevelType w:val="hybridMultilevel"/>
    <w:tmpl w:val="E8CC8A7A"/>
    <w:lvl w:ilvl="0" w:tplc="6CF458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734033B"/>
    <w:multiLevelType w:val="hybridMultilevel"/>
    <w:tmpl w:val="E55CA7D2"/>
    <w:lvl w:ilvl="0" w:tplc="67B03962">
      <w:start w:val="8"/>
      <w:numFmt w:val="bullet"/>
      <w:lvlText w:val="-"/>
      <w:lvlJc w:val="left"/>
      <w:pPr>
        <w:ind w:left="1154" w:hanging="360"/>
      </w:pPr>
      <w:rPr>
        <w:rFonts w:ascii="Times New Roman" w:eastAsia="Times New Roman" w:hAnsi="Times New Roman" w:cs="Times New Roman" w:hint="default"/>
      </w:rPr>
    </w:lvl>
    <w:lvl w:ilvl="1" w:tplc="0C0A0003" w:tentative="1">
      <w:start w:val="1"/>
      <w:numFmt w:val="bullet"/>
      <w:lvlText w:val="o"/>
      <w:lvlJc w:val="left"/>
      <w:pPr>
        <w:ind w:left="1874" w:hanging="360"/>
      </w:pPr>
      <w:rPr>
        <w:rFonts w:ascii="Courier New" w:hAnsi="Courier New" w:cs="Courier New" w:hint="default"/>
      </w:rPr>
    </w:lvl>
    <w:lvl w:ilvl="2" w:tplc="0C0A0005" w:tentative="1">
      <w:start w:val="1"/>
      <w:numFmt w:val="bullet"/>
      <w:lvlText w:val=""/>
      <w:lvlJc w:val="left"/>
      <w:pPr>
        <w:ind w:left="2594" w:hanging="360"/>
      </w:pPr>
      <w:rPr>
        <w:rFonts w:ascii="Wingdings" w:hAnsi="Wingdings" w:hint="default"/>
      </w:rPr>
    </w:lvl>
    <w:lvl w:ilvl="3" w:tplc="0C0A0001" w:tentative="1">
      <w:start w:val="1"/>
      <w:numFmt w:val="bullet"/>
      <w:lvlText w:val=""/>
      <w:lvlJc w:val="left"/>
      <w:pPr>
        <w:ind w:left="3314" w:hanging="360"/>
      </w:pPr>
      <w:rPr>
        <w:rFonts w:ascii="Symbol" w:hAnsi="Symbol" w:hint="default"/>
      </w:rPr>
    </w:lvl>
    <w:lvl w:ilvl="4" w:tplc="0C0A0003" w:tentative="1">
      <w:start w:val="1"/>
      <w:numFmt w:val="bullet"/>
      <w:lvlText w:val="o"/>
      <w:lvlJc w:val="left"/>
      <w:pPr>
        <w:ind w:left="4034" w:hanging="360"/>
      </w:pPr>
      <w:rPr>
        <w:rFonts w:ascii="Courier New" w:hAnsi="Courier New" w:cs="Courier New" w:hint="default"/>
      </w:rPr>
    </w:lvl>
    <w:lvl w:ilvl="5" w:tplc="0C0A0005" w:tentative="1">
      <w:start w:val="1"/>
      <w:numFmt w:val="bullet"/>
      <w:lvlText w:val=""/>
      <w:lvlJc w:val="left"/>
      <w:pPr>
        <w:ind w:left="4754" w:hanging="360"/>
      </w:pPr>
      <w:rPr>
        <w:rFonts w:ascii="Wingdings" w:hAnsi="Wingdings" w:hint="default"/>
      </w:rPr>
    </w:lvl>
    <w:lvl w:ilvl="6" w:tplc="0C0A0001" w:tentative="1">
      <w:start w:val="1"/>
      <w:numFmt w:val="bullet"/>
      <w:lvlText w:val=""/>
      <w:lvlJc w:val="left"/>
      <w:pPr>
        <w:ind w:left="5474" w:hanging="360"/>
      </w:pPr>
      <w:rPr>
        <w:rFonts w:ascii="Symbol" w:hAnsi="Symbol" w:hint="default"/>
      </w:rPr>
    </w:lvl>
    <w:lvl w:ilvl="7" w:tplc="0C0A0003" w:tentative="1">
      <w:start w:val="1"/>
      <w:numFmt w:val="bullet"/>
      <w:lvlText w:val="o"/>
      <w:lvlJc w:val="left"/>
      <w:pPr>
        <w:ind w:left="6194" w:hanging="360"/>
      </w:pPr>
      <w:rPr>
        <w:rFonts w:ascii="Courier New" w:hAnsi="Courier New" w:cs="Courier New" w:hint="default"/>
      </w:rPr>
    </w:lvl>
    <w:lvl w:ilvl="8" w:tplc="0C0A0005" w:tentative="1">
      <w:start w:val="1"/>
      <w:numFmt w:val="bullet"/>
      <w:lvlText w:val=""/>
      <w:lvlJc w:val="left"/>
      <w:pPr>
        <w:ind w:left="6914" w:hanging="360"/>
      </w:pPr>
      <w:rPr>
        <w:rFonts w:ascii="Wingdings" w:hAnsi="Wingdings" w:hint="default"/>
      </w:rPr>
    </w:lvl>
  </w:abstractNum>
  <w:abstractNum w:abstractNumId="33" w15:restartNumberingAfterBreak="0">
    <w:nsid w:val="69801DDD"/>
    <w:multiLevelType w:val="hybridMultilevel"/>
    <w:tmpl w:val="81F4D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D5A526C"/>
    <w:multiLevelType w:val="multilevel"/>
    <w:tmpl w:val="67688C3C"/>
    <w:lvl w:ilvl="0">
      <w:start w:val="8"/>
      <w:numFmt w:val="bullet"/>
      <w:lvlText w:val="-"/>
      <w:lvlJc w:val="left"/>
      <w:pPr>
        <w:ind w:left="720"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6FB67A68"/>
    <w:multiLevelType w:val="hybridMultilevel"/>
    <w:tmpl w:val="8DCAE894"/>
    <w:lvl w:ilvl="0" w:tplc="18E44820">
      <w:start w:val="8"/>
      <w:numFmt w:val="bullet"/>
      <w:lvlText w:val="-"/>
      <w:lvlJc w:val="left"/>
      <w:pPr>
        <w:ind w:left="720" w:hanging="360"/>
      </w:pPr>
      <w:rPr>
        <w:rFonts w:ascii="Times New Roman" w:eastAsia="Times New Roman" w:hAnsi="Times New Roman" w:cs="Times New Roman" w:hint="default"/>
      </w:rPr>
    </w:lvl>
    <w:lvl w:ilvl="1" w:tplc="18E44820">
      <w:start w:val="8"/>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552A0C"/>
    <w:multiLevelType w:val="multilevel"/>
    <w:tmpl w:val="9544E9A2"/>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3"/>
  </w:num>
  <w:num w:numId="12">
    <w:abstractNumId w:val="16"/>
  </w:num>
  <w:num w:numId="13">
    <w:abstractNumId w:val="12"/>
  </w:num>
  <w:num w:numId="14">
    <w:abstractNumId w:val="17"/>
  </w:num>
  <w:num w:numId="15">
    <w:abstractNumId w:val="31"/>
  </w:num>
  <w:num w:numId="16">
    <w:abstractNumId w:val="27"/>
  </w:num>
  <w:num w:numId="17">
    <w:abstractNumId w:val="20"/>
  </w:num>
  <w:num w:numId="18">
    <w:abstractNumId w:val="13"/>
  </w:num>
  <w:num w:numId="19">
    <w:abstractNumId w:val="25"/>
  </w:num>
  <w:num w:numId="20">
    <w:abstractNumId w:val="32"/>
  </w:num>
  <w:num w:numId="21">
    <w:abstractNumId w:val="19"/>
  </w:num>
  <w:num w:numId="22">
    <w:abstractNumId w:val="29"/>
  </w:num>
  <w:num w:numId="23">
    <w:abstractNumId w:val="36"/>
  </w:num>
  <w:num w:numId="24">
    <w:abstractNumId w:val="18"/>
  </w:num>
  <w:num w:numId="25">
    <w:abstractNumId w:val="10"/>
  </w:num>
  <w:num w:numId="26">
    <w:abstractNumId w:val="26"/>
  </w:num>
  <w:num w:numId="27">
    <w:abstractNumId w:val="15"/>
  </w:num>
  <w:num w:numId="28">
    <w:abstractNumId w:val="30"/>
  </w:num>
  <w:num w:numId="29">
    <w:abstractNumId w:val="22"/>
  </w:num>
  <w:num w:numId="30">
    <w:abstractNumId w:val="28"/>
  </w:num>
  <w:num w:numId="31">
    <w:abstractNumId w:val="24"/>
  </w:num>
  <w:num w:numId="32">
    <w:abstractNumId w:val="34"/>
  </w:num>
  <w:num w:numId="33">
    <w:abstractNumId w:val="21"/>
  </w:num>
  <w:num w:numId="34">
    <w:abstractNumId w:val="14"/>
  </w:num>
  <w:num w:numId="35">
    <w:abstractNumId w:val="35"/>
  </w:num>
  <w:num w:numId="36">
    <w:abstractNumId w:val="11"/>
  </w:num>
  <w:num w:numId="3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embedSystemFonts/>
  <w:activeWritingStyle w:appName="MSWord" w:lang="en-GB" w:vendorID="64" w:dllVersion="131077" w:nlCheck="1" w:checkStyle="1"/>
  <w:activeWritingStyle w:appName="MSWord" w:lang="en-GB" w:vendorID="64" w:dllVersion="131078" w:nlCheck="1" w:checkStyle="1"/>
  <w:activeWritingStyle w:appName="MSWord" w:lang="es-ES" w:vendorID="64" w:dllVersion="131078" w:nlCheck="1" w:checkStyle="1"/>
  <w:activeWritingStyle w:appName="MSWord" w:lang="es-ES_tradnl"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63C0"/>
    <w:rsid w:val="00093C73"/>
    <w:rsid w:val="000D6455"/>
    <w:rsid w:val="000F2431"/>
    <w:rsid w:val="001377D6"/>
    <w:rsid w:val="001632FD"/>
    <w:rsid w:val="001E41A0"/>
    <w:rsid w:val="001F5EDB"/>
    <w:rsid w:val="0023685F"/>
    <w:rsid w:val="002774E4"/>
    <w:rsid w:val="002C6B86"/>
    <w:rsid w:val="002F4DA3"/>
    <w:rsid w:val="00332710"/>
    <w:rsid w:val="003D068D"/>
    <w:rsid w:val="003E2CE2"/>
    <w:rsid w:val="003E6E5B"/>
    <w:rsid w:val="00481551"/>
    <w:rsid w:val="004F0848"/>
    <w:rsid w:val="00507DA3"/>
    <w:rsid w:val="0051782D"/>
    <w:rsid w:val="00597657"/>
    <w:rsid w:val="005A5A95"/>
    <w:rsid w:val="005B2C58"/>
    <w:rsid w:val="005B3B8B"/>
    <w:rsid w:val="006327B1"/>
    <w:rsid w:val="00656189"/>
    <w:rsid w:val="006B4CFB"/>
    <w:rsid w:val="006B63C0"/>
    <w:rsid w:val="00746923"/>
    <w:rsid w:val="007802A9"/>
    <w:rsid w:val="00806E63"/>
    <w:rsid w:val="0081028D"/>
    <w:rsid w:val="00851A47"/>
    <w:rsid w:val="008B3F50"/>
    <w:rsid w:val="00906598"/>
    <w:rsid w:val="0095426A"/>
    <w:rsid w:val="00971BF2"/>
    <w:rsid w:val="009A53E2"/>
    <w:rsid w:val="009D27EC"/>
    <w:rsid w:val="00A16CB2"/>
    <w:rsid w:val="00A53E14"/>
    <w:rsid w:val="00B35BE4"/>
    <w:rsid w:val="00B409FB"/>
    <w:rsid w:val="00B52992"/>
    <w:rsid w:val="00C322C4"/>
    <w:rsid w:val="00C6218B"/>
    <w:rsid w:val="00C77345"/>
    <w:rsid w:val="00CC1D49"/>
    <w:rsid w:val="00CD4D80"/>
    <w:rsid w:val="00CE366B"/>
    <w:rsid w:val="00CF7532"/>
    <w:rsid w:val="00D211BC"/>
    <w:rsid w:val="00D26A65"/>
    <w:rsid w:val="00DC3B29"/>
    <w:rsid w:val="00DD3BF8"/>
    <w:rsid w:val="00DE5418"/>
    <w:rsid w:val="00DE6012"/>
    <w:rsid w:val="00E712DE"/>
    <w:rsid w:val="00E7560C"/>
    <w:rsid w:val="00E85ADE"/>
    <w:rsid w:val="00EC0BE3"/>
    <w:rsid w:val="00F749FF"/>
    <w:rsid w:val="00FC1E2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68C9FE3-7629-4C90-95DC-C5651D3F9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4D8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CD4D80"/>
    <w:pPr>
      <w:keepNext/>
      <w:keepLines/>
      <w:spacing w:before="360"/>
      <w:ind w:left="794" w:hanging="794"/>
      <w:outlineLvl w:val="0"/>
    </w:pPr>
    <w:rPr>
      <w:b/>
    </w:rPr>
  </w:style>
  <w:style w:type="paragraph" w:styleId="Heading2">
    <w:name w:val="heading 2"/>
    <w:basedOn w:val="Heading1"/>
    <w:next w:val="Normal"/>
    <w:link w:val="Heading2Char"/>
    <w:qFormat/>
    <w:rsid w:val="00CD4D80"/>
    <w:pPr>
      <w:spacing w:before="240"/>
      <w:outlineLvl w:val="1"/>
    </w:pPr>
  </w:style>
  <w:style w:type="paragraph" w:styleId="Heading3">
    <w:name w:val="heading 3"/>
    <w:basedOn w:val="Heading1"/>
    <w:next w:val="Normal"/>
    <w:link w:val="Heading3Char"/>
    <w:qFormat/>
    <w:rsid w:val="00CD4D80"/>
    <w:pPr>
      <w:spacing w:before="160"/>
      <w:outlineLvl w:val="2"/>
    </w:pPr>
  </w:style>
  <w:style w:type="paragraph" w:styleId="Heading4">
    <w:name w:val="heading 4"/>
    <w:basedOn w:val="Heading3"/>
    <w:next w:val="Normal"/>
    <w:link w:val="Heading4Char"/>
    <w:qFormat/>
    <w:rsid w:val="00CD4D80"/>
    <w:pPr>
      <w:tabs>
        <w:tab w:val="clear" w:pos="794"/>
        <w:tab w:val="left" w:pos="1021"/>
      </w:tabs>
      <w:ind w:left="1021" w:hanging="1021"/>
      <w:outlineLvl w:val="3"/>
    </w:pPr>
  </w:style>
  <w:style w:type="paragraph" w:styleId="Heading5">
    <w:name w:val="heading 5"/>
    <w:basedOn w:val="Heading4"/>
    <w:next w:val="Normal"/>
    <w:link w:val="Heading5Char"/>
    <w:qFormat/>
    <w:rsid w:val="00CD4D80"/>
    <w:pPr>
      <w:outlineLvl w:val="4"/>
    </w:pPr>
  </w:style>
  <w:style w:type="paragraph" w:styleId="Heading6">
    <w:name w:val="heading 6"/>
    <w:basedOn w:val="Heading4"/>
    <w:next w:val="Normal"/>
    <w:link w:val="Heading6Char"/>
    <w:qFormat/>
    <w:rsid w:val="00CD4D80"/>
    <w:pPr>
      <w:tabs>
        <w:tab w:val="clear" w:pos="1021"/>
        <w:tab w:val="clear" w:pos="1191"/>
      </w:tabs>
      <w:ind w:left="1588" w:hanging="1588"/>
      <w:outlineLvl w:val="5"/>
    </w:pPr>
  </w:style>
  <w:style w:type="paragraph" w:styleId="Heading7">
    <w:name w:val="heading 7"/>
    <w:basedOn w:val="Heading6"/>
    <w:next w:val="Normal"/>
    <w:link w:val="Heading7Char"/>
    <w:qFormat/>
    <w:rsid w:val="00CD4D80"/>
    <w:pPr>
      <w:outlineLvl w:val="6"/>
    </w:pPr>
  </w:style>
  <w:style w:type="paragraph" w:styleId="Heading8">
    <w:name w:val="heading 8"/>
    <w:basedOn w:val="Heading6"/>
    <w:next w:val="Normal"/>
    <w:link w:val="Heading8Char"/>
    <w:qFormat/>
    <w:rsid w:val="00CD4D80"/>
    <w:pPr>
      <w:outlineLvl w:val="7"/>
    </w:pPr>
  </w:style>
  <w:style w:type="paragraph" w:styleId="Heading9">
    <w:name w:val="heading 9"/>
    <w:basedOn w:val="Heading6"/>
    <w:next w:val="Normal"/>
    <w:link w:val="Heading9Char"/>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Call">
    <w:name w:val="Call"/>
    <w:basedOn w:val="Normal"/>
    <w:next w:val="Normal"/>
    <w:link w:val="CallChar"/>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paragraph" w:customStyle="1" w:styleId="enumlev1">
    <w:name w:val="enumlev1"/>
    <w:basedOn w:val="Normal"/>
    <w:link w:val="enumlev1Char"/>
    <w:uiPriority w:val="99"/>
    <w:qFormat/>
    <w:rsid w:val="00CD4D80"/>
    <w:pPr>
      <w:spacing w:before="80"/>
      <w:ind w:left="794" w:hanging="794"/>
    </w:pPr>
  </w:style>
  <w:style w:type="paragraph" w:customStyle="1" w:styleId="enumlev2">
    <w:name w:val="enumlev2"/>
    <w:basedOn w:val="enumlev1"/>
    <w:uiPriority w:val="99"/>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uiPriority w:val="99"/>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Footnote,Style 12,(NECG) Footnote Reference,FR,Style 13,Appel note de bas de p,Style 124,o,fr,Style 3,Footnote symbol,Voetnootverwijzing,Times 10 Point,Exposant 3 Point,footnote ref,Fuكnotenzeichen diss neu,Odwołanie przypisu"/>
    <w:basedOn w:val="DefaultParagraphFont"/>
    <w:uiPriority w:val="99"/>
    <w:rsid w:val="00CD4D80"/>
    <w:rPr>
      <w:position w:val="6"/>
      <w:sz w:val="18"/>
    </w:rPr>
  </w:style>
  <w:style w:type="paragraph" w:customStyle="1" w:styleId="Note">
    <w:name w:val="Note"/>
    <w:basedOn w:val="Normal"/>
    <w:rsid w:val="00CD4D80"/>
    <w:pPr>
      <w:spacing w:before="80"/>
    </w:pPr>
  </w:style>
  <w:style w:type="paragraph" w:styleId="FootnoteText">
    <w:name w:val="footnote text"/>
    <w:aliases w:val="ALTS FOOTNOTE,Schriftart: 9 pt,Schriftart: 10 pt,Schriftart: 8 pt,WB-Fuكnotentext,Footnote text,Footnote Text Char Char Char Char,Footnote Text Char Char,Footnote Text Char Char Char Char Char,Char,WB-Fußnotentext,MTFootnote,fn,Fußn"/>
    <w:basedOn w:val="Note"/>
    <w:link w:val="FootnoteTextChar"/>
    <w:uiPriority w:val="99"/>
    <w:rsid w:val="00CD4D80"/>
    <w:pPr>
      <w:keepLines/>
      <w:tabs>
        <w:tab w:val="left" w:pos="255"/>
      </w:tabs>
      <w:ind w:left="255" w:hanging="255"/>
    </w:pPr>
  </w:style>
  <w:style w:type="character" w:customStyle="1" w:styleId="FootnoteTextChar">
    <w:name w:val="Footnote Text Char"/>
    <w:aliases w:val="ALTS FOOTNOTE Char,Schriftart: 9 pt Char,Schriftart: 10 pt Char,Schriftart: 8 pt Char,WB-Fuكnotentext Char,Footnote text Char,Footnote Text Char Char Char Char Char1,Footnote Text Char Char Char,Char Char,WB-Fußnotentext Char,fn Char"/>
    <w:basedOn w:val="DefaultParagraphFont"/>
    <w:link w:val="FootnoteText"/>
    <w:uiPriority w:val="99"/>
    <w:rsid w:val="00CD4D80"/>
    <w:rPr>
      <w:rFonts w:ascii="Times New Roman" w:hAnsi="Times New Roman"/>
      <w:sz w:val="24"/>
      <w:lang w:val="en-GB" w:eastAsia="en-US"/>
    </w:rPr>
  </w:style>
  <w:style w:type="paragraph" w:customStyle="1" w:styleId="Formal">
    <w:name w:val="Formal"/>
    <w:basedOn w:val="Normal"/>
    <w:rsid w:val="0090659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rPr>
  </w:style>
  <w:style w:type="paragraph" w:styleId="Header">
    <w:name w:val="header"/>
    <w:aliases w:val="encabezado,he"/>
    <w:basedOn w:val="Normal"/>
    <w:link w:val="HeaderChar"/>
    <w:uiPriority w:val="99"/>
    <w:rsid w:val="00CD4D80"/>
    <w:pPr>
      <w:tabs>
        <w:tab w:val="clear" w:pos="794"/>
        <w:tab w:val="clear" w:pos="1191"/>
        <w:tab w:val="clear" w:pos="1588"/>
        <w:tab w:val="clear" w:pos="1985"/>
      </w:tabs>
      <w:spacing w:before="0"/>
      <w:jc w:val="center"/>
    </w:pPr>
    <w:rPr>
      <w:sz w:val="18"/>
    </w:rPr>
  </w:style>
  <w:style w:type="character" w:customStyle="1" w:styleId="HeaderChar">
    <w:name w:val="Header Char"/>
    <w:aliases w:val="encabezado Char,he Char"/>
    <w:basedOn w:val="DefaultParagraphFont"/>
    <w:link w:val="Header"/>
    <w:uiPriority w:val="99"/>
    <w:rsid w:val="00CD4D80"/>
    <w:rPr>
      <w:rFonts w:ascii="Times New Roman" w:hAnsi="Times New Roman"/>
      <w:sz w:val="18"/>
      <w:lang w:val="en-GB" w:eastAsia="en-US"/>
    </w:rPr>
  </w:style>
  <w:style w:type="paragraph" w:customStyle="1" w:styleId="Headingb">
    <w:name w:val="Heading_b"/>
    <w:basedOn w:val="Normal"/>
    <w:next w:val="Normal"/>
    <w:link w:val="HeadingbChar"/>
    <w:qFormat/>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uiPriority w:val="99"/>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link w:val="RestitleChar"/>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link w:val="TableheadChar"/>
    <w:uiPriority w:val="99"/>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link w:val="TabletextChar"/>
    <w:uiPriority w:val="99"/>
    <w:qFormat/>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uiPriority w:val="99"/>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uiPriority w:val="39"/>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CD4D80"/>
    <w:pPr>
      <w:spacing w:before="80"/>
      <w:ind w:left="1531" w:hanging="851"/>
    </w:pPr>
  </w:style>
  <w:style w:type="paragraph" w:styleId="TOC3">
    <w:name w:val="toc 3"/>
    <w:basedOn w:val="TOC2"/>
    <w:uiPriority w:val="39"/>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paragraph" w:customStyle="1" w:styleId="ASN1">
    <w:name w:val="ASN.1"/>
    <w:basedOn w:val="Normal"/>
    <w:rsid w:val="006B63C0"/>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character" w:styleId="EndnoteReference">
    <w:name w:val="endnote reference"/>
    <w:basedOn w:val="DefaultParagraphFont"/>
    <w:uiPriority w:val="99"/>
    <w:rsid w:val="006B63C0"/>
    <w:rPr>
      <w:vertAlign w:val="superscript"/>
    </w:rPr>
  </w:style>
  <w:style w:type="paragraph" w:customStyle="1" w:styleId="FooterQP">
    <w:name w:val="Footer_QP"/>
    <w:basedOn w:val="Normal"/>
    <w:rsid w:val="006B63C0"/>
    <w:pPr>
      <w:tabs>
        <w:tab w:val="clear" w:pos="794"/>
        <w:tab w:val="clear" w:pos="1191"/>
        <w:tab w:val="clear" w:pos="1588"/>
        <w:tab w:val="clear" w:pos="1985"/>
        <w:tab w:val="left" w:pos="907"/>
        <w:tab w:val="right" w:pos="8789"/>
        <w:tab w:val="right" w:pos="9639"/>
      </w:tabs>
      <w:spacing w:before="0"/>
    </w:pPr>
    <w:rPr>
      <w:b/>
      <w:sz w:val="22"/>
    </w:rPr>
  </w:style>
  <w:style w:type="paragraph" w:styleId="BalloonText">
    <w:name w:val="Balloon Text"/>
    <w:basedOn w:val="Normal"/>
    <w:link w:val="BalloonTextChar"/>
    <w:rsid w:val="006B63C0"/>
    <w:pPr>
      <w:spacing w:before="0"/>
    </w:pPr>
    <w:rPr>
      <w:rFonts w:ascii="Tahoma" w:hAnsi="Tahoma" w:cs="Tahoma"/>
      <w:sz w:val="16"/>
      <w:szCs w:val="16"/>
    </w:rPr>
  </w:style>
  <w:style w:type="character" w:customStyle="1" w:styleId="BalloonTextChar">
    <w:name w:val="Balloon Text Char"/>
    <w:basedOn w:val="DefaultParagraphFont"/>
    <w:link w:val="BalloonText"/>
    <w:rsid w:val="006B63C0"/>
    <w:rPr>
      <w:rFonts w:ascii="Tahoma" w:hAnsi="Tahoma" w:cs="Tahoma"/>
      <w:sz w:val="16"/>
      <w:szCs w:val="16"/>
      <w:lang w:val="en-GB" w:eastAsia="en-US"/>
    </w:rPr>
  </w:style>
  <w:style w:type="paragraph" w:styleId="ListParagraph">
    <w:name w:val="List Paragraph"/>
    <w:basedOn w:val="Normal"/>
    <w:link w:val="ListParagraphChar"/>
    <w:uiPriority w:val="34"/>
    <w:qFormat/>
    <w:rsid w:val="006B63C0"/>
    <w:pPr>
      <w:tabs>
        <w:tab w:val="clear" w:pos="794"/>
        <w:tab w:val="clear" w:pos="1191"/>
        <w:tab w:val="clear" w:pos="1588"/>
        <w:tab w:val="clear" w:pos="1985"/>
      </w:tabs>
      <w:overflowPunct/>
      <w:autoSpaceDE/>
      <w:autoSpaceDN/>
      <w:adjustRightInd/>
      <w:spacing w:before="0" w:after="160" w:line="259" w:lineRule="auto"/>
      <w:ind w:left="720"/>
      <w:contextualSpacing/>
      <w:textAlignment w:val="auto"/>
    </w:pPr>
    <w:rPr>
      <w:rFonts w:eastAsiaTheme="minorEastAsia" w:cstheme="minorBidi"/>
      <w:szCs w:val="22"/>
      <w:lang w:val="en-US" w:eastAsia="zh-CN"/>
    </w:rPr>
  </w:style>
  <w:style w:type="character" w:customStyle="1" w:styleId="Heading1Char">
    <w:name w:val="Heading 1 Char"/>
    <w:basedOn w:val="DefaultParagraphFont"/>
    <w:link w:val="Heading1"/>
    <w:rsid w:val="006B63C0"/>
    <w:rPr>
      <w:rFonts w:ascii="Times New Roman" w:hAnsi="Times New Roman"/>
      <w:b/>
      <w:sz w:val="24"/>
      <w:lang w:val="en-GB" w:eastAsia="en-US"/>
    </w:rPr>
  </w:style>
  <w:style w:type="character" w:customStyle="1" w:styleId="Heading2Char">
    <w:name w:val="Heading 2 Char"/>
    <w:basedOn w:val="DefaultParagraphFont"/>
    <w:link w:val="Heading2"/>
    <w:rsid w:val="006B63C0"/>
    <w:rPr>
      <w:rFonts w:ascii="Times New Roman" w:hAnsi="Times New Roman"/>
      <w:b/>
      <w:sz w:val="24"/>
      <w:lang w:val="en-GB" w:eastAsia="en-US"/>
    </w:rPr>
  </w:style>
  <w:style w:type="character" w:styleId="Hyperlink">
    <w:name w:val="Hyperlink"/>
    <w:basedOn w:val="DefaultParagraphFont"/>
    <w:uiPriority w:val="99"/>
    <w:unhideWhenUsed/>
    <w:rsid w:val="006B63C0"/>
    <w:rPr>
      <w:color w:val="0000FF"/>
      <w:u w:val="single"/>
    </w:rPr>
  </w:style>
  <w:style w:type="paragraph" w:customStyle="1" w:styleId="Normalaftertitle0">
    <w:name w:val="Normal after title"/>
    <w:basedOn w:val="Normal"/>
    <w:next w:val="Normal"/>
    <w:rsid w:val="006B63C0"/>
    <w:pPr>
      <w:tabs>
        <w:tab w:val="clear" w:pos="794"/>
        <w:tab w:val="clear" w:pos="1191"/>
        <w:tab w:val="clear" w:pos="1588"/>
        <w:tab w:val="clear" w:pos="1985"/>
        <w:tab w:val="left" w:pos="1134"/>
        <w:tab w:val="left" w:pos="1871"/>
        <w:tab w:val="left" w:pos="2268"/>
      </w:tabs>
      <w:spacing w:before="280"/>
      <w:textAlignment w:val="auto"/>
    </w:pPr>
  </w:style>
  <w:style w:type="paragraph" w:customStyle="1" w:styleId="headingb0">
    <w:name w:val="heading_b"/>
    <w:basedOn w:val="Heading3"/>
    <w:next w:val="Normal"/>
    <w:rsid w:val="006B63C0"/>
    <w:pPr>
      <w:tabs>
        <w:tab w:val="clear" w:pos="1191"/>
        <w:tab w:val="clear" w:pos="1588"/>
        <w:tab w:val="clear" w:pos="1985"/>
        <w:tab w:val="left" w:pos="1134"/>
        <w:tab w:val="left" w:pos="1871"/>
        <w:tab w:val="left" w:pos="2127"/>
        <w:tab w:val="left" w:pos="2268"/>
        <w:tab w:val="left" w:pos="2410"/>
        <w:tab w:val="left" w:pos="2921"/>
        <w:tab w:val="left" w:pos="3261"/>
      </w:tabs>
      <w:ind w:left="0" w:firstLine="0"/>
      <w:textAlignment w:val="auto"/>
      <w:outlineLvl w:val="9"/>
    </w:pPr>
    <w:rPr>
      <w:b w:val="0"/>
    </w:rPr>
  </w:style>
  <w:style w:type="character" w:customStyle="1" w:styleId="Heading3Char">
    <w:name w:val="Heading 3 Char"/>
    <w:basedOn w:val="DefaultParagraphFont"/>
    <w:link w:val="Heading3"/>
    <w:rsid w:val="006B63C0"/>
    <w:rPr>
      <w:rFonts w:ascii="Times New Roman" w:hAnsi="Times New Roman"/>
      <w:b/>
      <w:sz w:val="24"/>
      <w:lang w:val="en-GB" w:eastAsia="en-US"/>
    </w:rPr>
  </w:style>
  <w:style w:type="paragraph" w:styleId="PlainText">
    <w:name w:val="Plain Text"/>
    <w:basedOn w:val="Normal"/>
    <w:link w:val="PlainTextChar"/>
    <w:uiPriority w:val="99"/>
    <w:unhideWhenUsed/>
    <w:rsid w:val="006B63C0"/>
    <w:pPr>
      <w:tabs>
        <w:tab w:val="clear" w:pos="794"/>
        <w:tab w:val="clear" w:pos="1191"/>
        <w:tab w:val="clear" w:pos="1588"/>
        <w:tab w:val="clear" w:pos="1985"/>
      </w:tabs>
      <w:overflowPunct/>
      <w:autoSpaceDE/>
      <w:autoSpaceDN/>
      <w:adjustRightInd/>
      <w:spacing w:before="0"/>
      <w:textAlignment w:val="auto"/>
    </w:pPr>
    <w:rPr>
      <w:rFonts w:ascii="Consolas" w:eastAsiaTheme="minorEastAsia" w:hAnsi="Consolas" w:cstheme="minorBidi"/>
      <w:sz w:val="21"/>
      <w:szCs w:val="21"/>
      <w:lang w:val="en-US" w:eastAsia="zh-CN"/>
    </w:rPr>
  </w:style>
  <w:style w:type="character" w:customStyle="1" w:styleId="PlainTextChar">
    <w:name w:val="Plain Text Char"/>
    <w:basedOn w:val="DefaultParagraphFont"/>
    <w:link w:val="PlainText"/>
    <w:uiPriority w:val="99"/>
    <w:rsid w:val="006B63C0"/>
    <w:rPr>
      <w:rFonts w:ascii="Consolas" w:eastAsiaTheme="minorEastAsia" w:hAnsi="Consolas" w:cstheme="minorBidi"/>
      <w:sz w:val="21"/>
      <w:szCs w:val="21"/>
    </w:rPr>
  </w:style>
  <w:style w:type="table" w:styleId="TableGrid">
    <w:name w:val="Table Grid"/>
    <w:basedOn w:val="TableNormal"/>
    <w:uiPriority w:val="59"/>
    <w:rsid w:val="006B63C0"/>
    <w:rPr>
      <w:rFonts w:ascii="Times" w:hAnsi="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B63C0"/>
    <w:rPr>
      <w:rFonts w:asciiTheme="minorHAnsi" w:eastAsiaTheme="minorEastAsia" w:hAnsiTheme="minorHAnsi" w:cstheme="minorBidi"/>
      <w:sz w:val="22"/>
      <w:szCs w:val="22"/>
    </w:rPr>
  </w:style>
  <w:style w:type="character" w:customStyle="1" w:styleId="TabletextChar">
    <w:name w:val="Table_text Char"/>
    <w:basedOn w:val="DefaultParagraphFont"/>
    <w:link w:val="Tabletext"/>
    <w:uiPriority w:val="99"/>
    <w:locked/>
    <w:rsid w:val="006B63C0"/>
    <w:rPr>
      <w:rFonts w:ascii="Times New Roman" w:hAnsi="Times New Roman"/>
      <w:sz w:val="22"/>
      <w:lang w:val="en-GB" w:eastAsia="en-US"/>
    </w:rPr>
  </w:style>
  <w:style w:type="character" w:customStyle="1" w:styleId="enumlev1Char">
    <w:name w:val="enumlev1 Char"/>
    <w:basedOn w:val="DefaultParagraphFont"/>
    <w:link w:val="enumlev1"/>
    <w:uiPriority w:val="99"/>
    <w:locked/>
    <w:rsid w:val="006B63C0"/>
    <w:rPr>
      <w:rFonts w:ascii="Times New Roman" w:hAnsi="Times New Roman"/>
      <w:sz w:val="24"/>
      <w:lang w:val="en-GB" w:eastAsia="en-US"/>
    </w:rPr>
  </w:style>
  <w:style w:type="character" w:customStyle="1" w:styleId="apple-converted-space">
    <w:name w:val="apple-converted-space"/>
    <w:basedOn w:val="DefaultParagraphFont"/>
    <w:rsid w:val="006B63C0"/>
  </w:style>
  <w:style w:type="table" w:customStyle="1" w:styleId="TableGrid1">
    <w:name w:val="Table Grid1"/>
    <w:basedOn w:val="TableNormal"/>
    <w:next w:val="TableGrid"/>
    <w:rsid w:val="006B63C0"/>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6B63C0"/>
    <w:rPr>
      <w:b/>
      <w:bCs/>
    </w:rPr>
  </w:style>
  <w:style w:type="character" w:customStyle="1" w:styleId="Heading4Char">
    <w:name w:val="Heading 4 Char"/>
    <w:basedOn w:val="DefaultParagraphFont"/>
    <w:link w:val="Heading4"/>
    <w:rsid w:val="006B63C0"/>
    <w:rPr>
      <w:rFonts w:ascii="Times New Roman" w:hAnsi="Times New Roman"/>
      <w:b/>
      <w:sz w:val="24"/>
      <w:lang w:val="en-GB" w:eastAsia="en-US"/>
    </w:rPr>
  </w:style>
  <w:style w:type="character" w:customStyle="1" w:styleId="Heading5Char">
    <w:name w:val="Heading 5 Char"/>
    <w:basedOn w:val="DefaultParagraphFont"/>
    <w:link w:val="Heading5"/>
    <w:rsid w:val="006B63C0"/>
    <w:rPr>
      <w:rFonts w:ascii="Times New Roman" w:hAnsi="Times New Roman"/>
      <w:b/>
      <w:sz w:val="24"/>
      <w:lang w:val="en-GB" w:eastAsia="en-US"/>
    </w:rPr>
  </w:style>
  <w:style w:type="character" w:customStyle="1" w:styleId="Heading6Char">
    <w:name w:val="Heading 6 Char"/>
    <w:basedOn w:val="DefaultParagraphFont"/>
    <w:link w:val="Heading6"/>
    <w:rsid w:val="006B63C0"/>
    <w:rPr>
      <w:rFonts w:ascii="Times New Roman" w:hAnsi="Times New Roman"/>
      <w:b/>
      <w:sz w:val="24"/>
      <w:lang w:val="en-GB" w:eastAsia="en-US"/>
    </w:rPr>
  </w:style>
  <w:style w:type="character" w:customStyle="1" w:styleId="Heading7Char">
    <w:name w:val="Heading 7 Char"/>
    <w:basedOn w:val="DefaultParagraphFont"/>
    <w:link w:val="Heading7"/>
    <w:rsid w:val="006B63C0"/>
    <w:rPr>
      <w:rFonts w:ascii="Times New Roman" w:hAnsi="Times New Roman"/>
      <w:b/>
      <w:sz w:val="24"/>
      <w:lang w:val="en-GB" w:eastAsia="en-US"/>
    </w:rPr>
  </w:style>
  <w:style w:type="character" w:customStyle="1" w:styleId="Heading8Char">
    <w:name w:val="Heading 8 Char"/>
    <w:basedOn w:val="DefaultParagraphFont"/>
    <w:link w:val="Heading8"/>
    <w:rsid w:val="006B63C0"/>
    <w:rPr>
      <w:rFonts w:ascii="Times New Roman" w:hAnsi="Times New Roman"/>
      <w:b/>
      <w:sz w:val="24"/>
      <w:lang w:val="en-GB" w:eastAsia="en-US"/>
    </w:rPr>
  </w:style>
  <w:style w:type="character" w:customStyle="1" w:styleId="Heading9Char">
    <w:name w:val="Heading 9 Char"/>
    <w:basedOn w:val="DefaultParagraphFont"/>
    <w:link w:val="Heading9"/>
    <w:rsid w:val="006B63C0"/>
    <w:rPr>
      <w:rFonts w:ascii="Times New Roman" w:hAnsi="Times New Roman"/>
      <w:b/>
      <w:sz w:val="24"/>
      <w:lang w:val="en-GB" w:eastAsia="en-US"/>
    </w:rPr>
  </w:style>
  <w:style w:type="paragraph" w:customStyle="1" w:styleId="Annextitle">
    <w:name w:val="Annex_title"/>
    <w:basedOn w:val="Normal"/>
    <w:next w:val="Normal"/>
    <w:rsid w:val="006B63C0"/>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hAnsi="Times New Roman Bold"/>
      <w:b/>
      <w:sz w:val="28"/>
    </w:rPr>
  </w:style>
  <w:style w:type="paragraph" w:customStyle="1" w:styleId="AnnexNo">
    <w:name w:val="Annex_No"/>
    <w:basedOn w:val="Normal"/>
    <w:next w:val="Normal"/>
    <w:rsid w:val="006B63C0"/>
    <w:pPr>
      <w:keepNext/>
      <w:keepLines/>
      <w:tabs>
        <w:tab w:val="clear" w:pos="794"/>
        <w:tab w:val="clear" w:pos="1191"/>
        <w:tab w:val="clear" w:pos="1588"/>
        <w:tab w:val="clear" w:pos="1985"/>
        <w:tab w:val="left" w:pos="1134"/>
        <w:tab w:val="left" w:pos="1871"/>
        <w:tab w:val="left" w:pos="2268"/>
      </w:tabs>
      <w:spacing w:before="480" w:after="80"/>
      <w:jc w:val="center"/>
    </w:pPr>
    <w:rPr>
      <w:caps/>
      <w:sz w:val="28"/>
    </w:rPr>
  </w:style>
  <w:style w:type="character" w:customStyle="1" w:styleId="CallChar">
    <w:name w:val="Call Char"/>
    <w:basedOn w:val="DefaultParagraphFont"/>
    <w:link w:val="Call"/>
    <w:locked/>
    <w:rsid w:val="006B63C0"/>
    <w:rPr>
      <w:rFonts w:ascii="Times New Roman" w:hAnsi="Times New Roman"/>
      <w:i/>
      <w:sz w:val="24"/>
      <w:lang w:val="en-GB" w:eastAsia="en-US"/>
    </w:rPr>
  </w:style>
  <w:style w:type="character" w:customStyle="1" w:styleId="HeadingbChar">
    <w:name w:val="Heading_b Char"/>
    <w:link w:val="Headingb"/>
    <w:locked/>
    <w:rsid w:val="006B63C0"/>
    <w:rPr>
      <w:rFonts w:ascii="Times New Roman" w:hAnsi="Times New Roman"/>
      <w:b/>
      <w:sz w:val="24"/>
      <w:lang w:val="en-GB" w:eastAsia="en-US"/>
    </w:rPr>
  </w:style>
  <w:style w:type="character" w:customStyle="1" w:styleId="RestitleChar">
    <w:name w:val="Res_title Char"/>
    <w:basedOn w:val="DefaultParagraphFont"/>
    <w:link w:val="Restitle"/>
    <w:locked/>
    <w:rsid w:val="006B63C0"/>
    <w:rPr>
      <w:rFonts w:ascii="Times New Roman" w:hAnsi="Times New Roman"/>
      <w:b/>
      <w:sz w:val="28"/>
      <w:lang w:val="en-GB" w:eastAsia="en-US"/>
    </w:rPr>
  </w:style>
  <w:style w:type="character" w:styleId="FollowedHyperlink">
    <w:name w:val="FollowedHyperlink"/>
    <w:basedOn w:val="DefaultParagraphFont"/>
    <w:unhideWhenUsed/>
    <w:rsid w:val="006B63C0"/>
    <w:rPr>
      <w:color w:val="606420"/>
      <w:u w:val="single"/>
    </w:rPr>
  </w:style>
  <w:style w:type="paragraph" w:styleId="NormalWeb">
    <w:name w:val="Normal (Web)"/>
    <w:basedOn w:val="Normal"/>
    <w:uiPriority w:val="99"/>
    <w:unhideWhenUsed/>
    <w:rsid w:val="006B63C0"/>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eastAsia="SimSun" w:hAnsi="Verdana"/>
      <w:sz w:val="18"/>
      <w:szCs w:val="18"/>
      <w:lang w:val="en-US" w:eastAsia="zh-CN"/>
    </w:rPr>
  </w:style>
  <w:style w:type="paragraph" w:styleId="EndnoteText">
    <w:name w:val="endnote text"/>
    <w:basedOn w:val="Normal"/>
    <w:link w:val="EndnoteTextChar"/>
    <w:uiPriority w:val="99"/>
    <w:unhideWhenUsed/>
    <w:rsid w:val="006B63C0"/>
    <w:pPr>
      <w:spacing w:before="0"/>
      <w:textAlignment w:val="auto"/>
    </w:pPr>
    <w:rPr>
      <w:sz w:val="20"/>
    </w:rPr>
  </w:style>
  <w:style w:type="character" w:customStyle="1" w:styleId="EndnoteTextChar">
    <w:name w:val="Endnote Text Char"/>
    <w:basedOn w:val="DefaultParagraphFont"/>
    <w:link w:val="EndnoteText"/>
    <w:uiPriority w:val="99"/>
    <w:rsid w:val="006B63C0"/>
    <w:rPr>
      <w:rFonts w:ascii="Times New Roman" w:hAnsi="Times New Roman"/>
      <w:lang w:val="en-GB" w:eastAsia="en-US"/>
    </w:rPr>
  </w:style>
  <w:style w:type="paragraph" w:styleId="Title">
    <w:name w:val="Title"/>
    <w:basedOn w:val="Normal"/>
    <w:next w:val="Normal"/>
    <w:link w:val="TitleChar"/>
    <w:qFormat/>
    <w:rsid w:val="006B63C0"/>
    <w:pPr>
      <w:pBdr>
        <w:bottom w:val="single" w:sz="8" w:space="4" w:color="4F81BD" w:themeColor="accent1"/>
      </w:pBdr>
      <w:spacing w:before="0" w:after="300"/>
      <w:contextualSpacing/>
      <w:textAlignment w:val="auto"/>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6B63C0"/>
    <w:rPr>
      <w:rFonts w:asciiTheme="majorHAnsi" w:eastAsiaTheme="majorEastAsia" w:hAnsiTheme="majorHAnsi" w:cstheme="majorBidi"/>
      <w:color w:val="17365D" w:themeColor="text2" w:themeShade="BF"/>
      <w:spacing w:val="5"/>
      <w:kern w:val="28"/>
      <w:sz w:val="52"/>
      <w:szCs w:val="52"/>
      <w:lang w:val="en-GB" w:eastAsia="en-US"/>
    </w:rPr>
  </w:style>
  <w:style w:type="paragraph" w:styleId="BodyText">
    <w:name w:val="Body Text"/>
    <w:basedOn w:val="Normal"/>
    <w:link w:val="BodyTextChar"/>
    <w:unhideWhenUsed/>
    <w:rsid w:val="006B63C0"/>
    <w:pPr>
      <w:textAlignment w:val="auto"/>
    </w:pPr>
    <w:rPr>
      <w:b/>
      <w:bCs/>
      <w:i/>
      <w:iCs/>
      <w:szCs w:val="24"/>
    </w:rPr>
  </w:style>
  <w:style w:type="character" w:customStyle="1" w:styleId="BodyTextChar">
    <w:name w:val="Body Text Char"/>
    <w:basedOn w:val="DefaultParagraphFont"/>
    <w:link w:val="BodyText"/>
    <w:rsid w:val="006B63C0"/>
    <w:rPr>
      <w:rFonts w:ascii="Times New Roman" w:hAnsi="Times New Roman"/>
      <w:b/>
      <w:bCs/>
      <w:i/>
      <w:iCs/>
      <w:sz w:val="24"/>
      <w:szCs w:val="24"/>
      <w:lang w:val="en-GB" w:eastAsia="en-US"/>
    </w:rPr>
  </w:style>
  <w:style w:type="paragraph" w:styleId="BodyTextIndent">
    <w:name w:val="Body Text Indent"/>
    <w:basedOn w:val="Normal"/>
    <w:link w:val="BodyTextIndentChar"/>
    <w:unhideWhenUsed/>
    <w:rsid w:val="006B63C0"/>
    <w:pPr>
      <w:spacing w:after="120"/>
      <w:ind w:left="360"/>
      <w:textAlignment w:val="auto"/>
    </w:pPr>
  </w:style>
  <w:style w:type="character" w:customStyle="1" w:styleId="BodyTextIndentChar">
    <w:name w:val="Body Text Indent Char"/>
    <w:basedOn w:val="DefaultParagraphFont"/>
    <w:link w:val="BodyTextIndent"/>
    <w:rsid w:val="006B63C0"/>
    <w:rPr>
      <w:rFonts w:ascii="Times New Roman" w:hAnsi="Times New Roman"/>
      <w:sz w:val="24"/>
      <w:lang w:val="en-GB" w:eastAsia="en-US"/>
    </w:rPr>
  </w:style>
  <w:style w:type="paragraph" w:styleId="Subtitle">
    <w:name w:val="Subtitle"/>
    <w:basedOn w:val="Normal"/>
    <w:next w:val="Normal"/>
    <w:link w:val="SubtitleChar"/>
    <w:uiPriority w:val="11"/>
    <w:qFormat/>
    <w:rsid w:val="006B63C0"/>
    <w:pPr>
      <w:tabs>
        <w:tab w:val="clear" w:pos="794"/>
        <w:tab w:val="clear" w:pos="1191"/>
        <w:tab w:val="clear" w:pos="1588"/>
        <w:tab w:val="clear" w:pos="1985"/>
      </w:tabs>
      <w:overflowPunct/>
      <w:autoSpaceDE/>
      <w:autoSpaceDN/>
      <w:adjustRightInd/>
      <w:spacing w:before="0" w:after="200" w:line="276" w:lineRule="auto"/>
      <w:textAlignment w:val="auto"/>
    </w:pPr>
    <w:rPr>
      <w:rFonts w:ascii="Cambria" w:eastAsia="SimSun" w:hAnsi="Cambria"/>
      <w:i/>
      <w:iCs/>
      <w:color w:val="4F81BD"/>
      <w:spacing w:val="15"/>
      <w:szCs w:val="24"/>
      <w:lang w:val="en-US" w:eastAsia="zh-CN"/>
    </w:rPr>
  </w:style>
  <w:style w:type="character" w:customStyle="1" w:styleId="SubtitleChar">
    <w:name w:val="Subtitle Char"/>
    <w:basedOn w:val="DefaultParagraphFont"/>
    <w:link w:val="Subtitle"/>
    <w:uiPriority w:val="11"/>
    <w:rsid w:val="006B63C0"/>
    <w:rPr>
      <w:rFonts w:ascii="Cambria" w:eastAsia="SimSun" w:hAnsi="Cambria"/>
      <w:i/>
      <w:iCs/>
      <w:color w:val="4F81BD"/>
      <w:spacing w:val="15"/>
      <w:sz w:val="24"/>
      <w:szCs w:val="24"/>
    </w:rPr>
  </w:style>
  <w:style w:type="paragraph" w:styleId="BodyText2">
    <w:name w:val="Body Text 2"/>
    <w:basedOn w:val="Normal"/>
    <w:link w:val="BodyText2Char"/>
    <w:unhideWhenUsed/>
    <w:rsid w:val="006B63C0"/>
    <w:pPr>
      <w:spacing w:after="120" w:line="480" w:lineRule="auto"/>
      <w:textAlignment w:val="auto"/>
    </w:pPr>
  </w:style>
  <w:style w:type="character" w:customStyle="1" w:styleId="BodyText2Char">
    <w:name w:val="Body Text 2 Char"/>
    <w:basedOn w:val="DefaultParagraphFont"/>
    <w:link w:val="BodyText2"/>
    <w:rsid w:val="006B63C0"/>
    <w:rPr>
      <w:rFonts w:ascii="Times New Roman" w:hAnsi="Times New Roman"/>
      <w:sz w:val="24"/>
      <w:lang w:val="en-GB" w:eastAsia="en-US"/>
    </w:rPr>
  </w:style>
  <w:style w:type="paragraph" w:styleId="Revision">
    <w:name w:val="Revision"/>
    <w:uiPriority w:val="99"/>
    <w:semiHidden/>
    <w:rsid w:val="006B63C0"/>
    <w:rPr>
      <w:rFonts w:ascii="Times New Roman" w:hAnsi="Times New Roman"/>
      <w:sz w:val="24"/>
      <w:lang w:val="en-GB" w:eastAsia="en-US"/>
    </w:rPr>
  </w:style>
  <w:style w:type="character" w:styleId="CommentReference">
    <w:name w:val="annotation reference"/>
    <w:basedOn w:val="DefaultParagraphFont"/>
    <w:semiHidden/>
    <w:unhideWhenUsed/>
    <w:rsid w:val="006B63C0"/>
    <w:rPr>
      <w:sz w:val="16"/>
      <w:szCs w:val="16"/>
    </w:rPr>
  </w:style>
  <w:style w:type="paragraph" w:styleId="CommentText">
    <w:name w:val="annotation text"/>
    <w:basedOn w:val="Normal"/>
    <w:link w:val="CommentTextChar"/>
    <w:semiHidden/>
    <w:unhideWhenUsed/>
    <w:rsid w:val="006B63C0"/>
    <w:rPr>
      <w:sz w:val="20"/>
    </w:rPr>
  </w:style>
  <w:style w:type="character" w:customStyle="1" w:styleId="CommentTextChar">
    <w:name w:val="Comment Text Char"/>
    <w:basedOn w:val="DefaultParagraphFont"/>
    <w:link w:val="CommentText"/>
    <w:semiHidden/>
    <w:rsid w:val="006B63C0"/>
    <w:rPr>
      <w:rFonts w:ascii="Times New Roman" w:hAnsi="Times New Roman"/>
      <w:lang w:val="en-GB" w:eastAsia="en-US"/>
    </w:rPr>
  </w:style>
  <w:style w:type="paragraph" w:styleId="CommentSubject">
    <w:name w:val="annotation subject"/>
    <w:basedOn w:val="CommentText"/>
    <w:next w:val="CommentText"/>
    <w:link w:val="CommentSubjectChar"/>
    <w:semiHidden/>
    <w:unhideWhenUsed/>
    <w:rsid w:val="006B63C0"/>
    <w:rPr>
      <w:b/>
      <w:bCs/>
    </w:rPr>
  </w:style>
  <w:style w:type="character" w:customStyle="1" w:styleId="CommentSubjectChar">
    <w:name w:val="Comment Subject Char"/>
    <w:basedOn w:val="CommentTextChar"/>
    <w:link w:val="CommentSubject"/>
    <w:semiHidden/>
    <w:rsid w:val="006B63C0"/>
    <w:rPr>
      <w:rFonts w:ascii="Times New Roman" w:hAnsi="Times New Roman"/>
      <w:b/>
      <w:bCs/>
      <w:lang w:val="en-GB" w:eastAsia="en-US"/>
    </w:rPr>
  </w:style>
  <w:style w:type="table" w:customStyle="1" w:styleId="GridTable1Light-Accent512">
    <w:name w:val="Grid Table 1 Light - Accent 512"/>
    <w:basedOn w:val="TableNormal"/>
    <w:uiPriority w:val="46"/>
    <w:rsid w:val="006B63C0"/>
    <w:rPr>
      <w:rFonts w:ascii="Calibri" w:eastAsia="Calibri" w:hAnsi="Calibri" w:cs="Arial"/>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4-Accent112">
    <w:name w:val="Grid Table 4 - Accent 112"/>
    <w:basedOn w:val="TableNormal"/>
    <w:uiPriority w:val="49"/>
    <w:rsid w:val="006B63C0"/>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22">
    <w:name w:val="Grid Table 4 - Accent 122"/>
    <w:basedOn w:val="TableNormal"/>
    <w:uiPriority w:val="49"/>
    <w:rsid w:val="006B63C0"/>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customStyle="1" w:styleId="Reasons">
    <w:name w:val="Reasons"/>
    <w:basedOn w:val="Normal"/>
    <w:qFormat/>
    <w:rsid w:val="006B63C0"/>
    <w:pPr>
      <w:tabs>
        <w:tab w:val="clear" w:pos="794"/>
        <w:tab w:val="clear" w:pos="1191"/>
        <w:tab w:val="clear" w:pos="1588"/>
        <w:tab w:val="clear" w:pos="1985"/>
      </w:tabs>
      <w:overflowPunct/>
      <w:autoSpaceDE/>
      <w:autoSpaceDN/>
      <w:adjustRightInd/>
      <w:spacing w:before="0"/>
      <w:textAlignment w:val="auto"/>
    </w:pPr>
    <w:rPr>
      <w:lang w:val="en-US"/>
    </w:rPr>
  </w:style>
  <w:style w:type="character" w:customStyle="1" w:styleId="TableheadChar">
    <w:name w:val="Table_head Char"/>
    <w:basedOn w:val="DefaultParagraphFont"/>
    <w:link w:val="Tablehead"/>
    <w:uiPriority w:val="99"/>
    <w:rsid w:val="006B63C0"/>
    <w:rPr>
      <w:rFonts w:ascii="Times New Roman" w:hAnsi="Times New Roman"/>
      <w:b/>
      <w:sz w:val="22"/>
      <w:lang w:val="en-GB" w:eastAsia="en-US"/>
    </w:rPr>
  </w:style>
  <w:style w:type="paragraph" w:customStyle="1" w:styleId="TableNo">
    <w:name w:val="Table_No"/>
    <w:basedOn w:val="Normal"/>
    <w:next w:val="Normal"/>
    <w:uiPriority w:val="99"/>
    <w:rsid w:val="006B63C0"/>
    <w:pPr>
      <w:keepNext/>
      <w:tabs>
        <w:tab w:val="clear" w:pos="794"/>
        <w:tab w:val="clear" w:pos="1191"/>
        <w:tab w:val="clear" w:pos="1588"/>
        <w:tab w:val="clear" w:pos="1985"/>
        <w:tab w:val="left" w:pos="1134"/>
        <w:tab w:val="left" w:pos="1871"/>
        <w:tab w:val="left" w:pos="2268"/>
      </w:tabs>
      <w:spacing w:before="560" w:after="120"/>
      <w:jc w:val="center"/>
    </w:pPr>
    <w:rPr>
      <w:caps/>
    </w:rPr>
  </w:style>
  <w:style w:type="paragraph" w:customStyle="1" w:styleId="Tabletitle">
    <w:name w:val="Table_title"/>
    <w:basedOn w:val="Normal"/>
    <w:next w:val="Tabletext"/>
    <w:uiPriority w:val="99"/>
    <w:rsid w:val="006B63C0"/>
    <w:pPr>
      <w:keepNext/>
      <w:keepLines/>
      <w:tabs>
        <w:tab w:val="clear" w:pos="794"/>
        <w:tab w:val="clear" w:pos="1191"/>
        <w:tab w:val="clear" w:pos="1588"/>
        <w:tab w:val="clear" w:pos="1985"/>
        <w:tab w:val="left" w:pos="1134"/>
        <w:tab w:val="left" w:pos="1871"/>
        <w:tab w:val="left" w:pos="2268"/>
      </w:tabs>
      <w:spacing w:before="0" w:after="120"/>
      <w:jc w:val="center"/>
    </w:pPr>
    <w:rPr>
      <w:rFonts w:ascii="Times New Roman Bold" w:hAnsi="Times New Roman Bold"/>
      <w:b/>
      <w:sz w:val="20"/>
    </w:rPr>
  </w:style>
  <w:style w:type="paragraph" w:styleId="Index4">
    <w:name w:val="index 4"/>
    <w:basedOn w:val="Normal"/>
    <w:next w:val="Normal"/>
    <w:autoRedefine/>
    <w:uiPriority w:val="99"/>
    <w:unhideWhenUsed/>
    <w:rsid w:val="006B63C0"/>
    <w:pPr>
      <w:tabs>
        <w:tab w:val="clear" w:pos="794"/>
        <w:tab w:val="clear" w:pos="1191"/>
        <w:tab w:val="clear" w:pos="1588"/>
        <w:tab w:val="clear" w:pos="1985"/>
      </w:tabs>
      <w:overflowPunct/>
      <w:autoSpaceDE/>
      <w:autoSpaceDN/>
      <w:adjustRightInd/>
      <w:spacing w:before="0" w:line="259" w:lineRule="auto"/>
      <w:ind w:left="880" w:hanging="220"/>
      <w:textAlignment w:val="auto"/>
    </w:pPr>
    <w:rPr>
      <w:rFonts w:eastAsiaTheme="minorEastAsia" w:cstheme="minorBidi"/>
      <w:sz w:val="18"/>
      <w:szCs w:val="18"/>
      <w:lang w:val="en-US" w:eastAsia="zh-CN"/>
    </w:rPr>
  </w:style>
  <w:style w:type="paragraph" w:styleId="Index5">
    <w:name w:val="index 5"/>
    <w:basedOn w:val="Normal"/>
    <w:next w:val="Normal"/>
    <w:autoRedefine/>
    <w:uiPriority w:val="99"/>
    <w:unhideWhenUsed/>
    <w:rsid w:val="006B63C0"/>
    <w:pPr>
      <w:tabs>
        <w:tab w:val="clear" w:pos="794"/>
        <w:tab w:val="clear" w:pos="1191"/>
        <w:tab w:val="clear" w:pos="1588"/>
        <w:tab w:val="clear" w:pos="1985"/>
      </w:tabs>
      <w:overflowPunct/>
      <w:autoSpaceDE/>
      <w:autoSpaceDN/>
      <w:adjustRightInd/>
      <w:spacing w:before="0" w:line="259" w:lineRule="auto"/>
      <w:ind w:left="1100" w:hanging="220"/>
      <w:textAlignment w:val="auto"/>
    </w:pPr>
    <w:rPr>
      <w:rFonts w:eastAsiaTheme="minorEastAsia" w:cstheme="minorBidi"/>
      <w:sz w:val="18"/>
      <w:szCs w:val="18"/>
      <w:lang w:val="en-US" w:eastAsia="zh-CN"/>
    </w:rPr>
  </w:style>
  <w:style w:type="paragraph" w:styleId="Index6">
    <w:name w:val="index 6"/>
    <w:basedOn w:val="Normal"/>
    <w:next w:val="Normal"/>
    <w:autoRedefine/>
    <w:uiPriority w:val="99"/>
    <w:unhideWhenUsed/>
    <w:rsid w:val="006B63C0"/>
    <w:pPr>
      <w:tabs>
        <w:tab w:val="clear" w:pos="794"/>
        <w:tab w:val="clear" w:pos="1191"/>
        <w:tab w:val="clear" w:pos="1588"/>
        <w:tab w:val="clear" w:pos="1985"/>
      </w:tabs>
      <w:overflowPunct/>
      <w:autoSpaceDE/>
      <w:autoSpaceDN/>
      <w:adjustRightInd/>
      <w:spacing w:before="0" w:line="259" w:lineRule="auto"/>
      <w:ind w:left="1320" w:hanging="220"/>
      <w:textAlignment w:val="auto"/>
    </w:pPr>
    <w:rPr>
      <w:rFonts w:eastAsiaTheme="minorEastAsia" w:cstheme="minorBidi"/>
      <w:sz w:val="18"/>
      <w:szCs w:val="18"/>
      <w:lang w:val="en-US" w:eastAsia="zh-CN"/>
    </w:rPr>
  </w:style>
  <w:style w:type="paragraph" w:styleId="Index7">
    <w:name w:val="index 7"/>
    <w:basedOn w:val="Normal"/>
    <w:next w:val="Normal"/>
    <w:autoRedefine/>
    <w:uiPriority w:val="99"/>
    <w:unhideWhenUsed/>
    <w:rsid w:val="006B63C0"/>
    <w:pPr>
      <w:tabs>
        <w:tab w:val="clear" w:pos="794"/>
        <w:tab w:val="clear" w:pos="1191"/>
        <w:tab w:val="clear" w:pos="1588"/>
        <w:tab w:val="clear" w:pos="1985"/>
      </w:tabs>
      <w:overflowPunct/>
      <w:autoSpaceDE/>
      <w:autoSpaceDN/>
      <w:adjustRightInd/>
      <w:spacing w:before="0" w:line="259" w:lineRule="auto"/>
      <w:ind w:left="1540" w:hanging="220"/>
      <w:textAlignment w:val="auto"/>
    </w:pPr>
    <w:rPr>
      <w:rFonts w:eastAsiaTheme="minorEastAsia" w:cstheme="minorBidi"/>
      <w:sz w:val="18"/>
      <w:szCs w:val="18"/>
      <w:lang w:val="en-US" w:eastAsia="zh-CN"/>
    </w:rPr>
  </w:style>
  <w:style w:type="paragraph" w:styleId="Index8">
    <w:name w:val="index 8"/>
    <w:basedOn w:val="Normal"/>
    <w:next w:val="Normal"/>
    <w:autoRedefine/>
    <w:uiPriority w:val="99"/>
    <w:unhideWhenUsed/>
    <w:rsid w:val="006B63C0"/>
    <w:pPr>
      <w:tabs>
        <w:tab w:val="clear" w:pos="794"/>
        <w:tab w:val="clear" w:pos="1191"/>
        <w:tab w:val="clear" w:pos="1588"/>
        <w:tab w:val="clear" w:pos="1985"/>
      </w:tabs>
      <w:overflowPunct/>
      <w:autoSpaceDE/>
      <w:autoSpaceDN/>
      <w:adjustRightInd/>
      <w:spacing w:before="0" w:line="259" w:lineRule="auto"/>
      <w:ind w:left="1760" w:hanging="220"/>
      <w:textAlignment w:val="auto"/>
    </w:pPr>
    <w:rPr>
      <w:rFonts w:eastAsiaTheme="minorEastAsia" w:cstheme="minorBidi"/>
      <w:sz w:val="18"/>
      <w:szCs w:val="18"/>
      <w:lang w:val="en-US" w:eastAsia="zh-CN"/>
    </w:rPr>
  </w:style>
  <w:style w:type="paragraph" w:styleId="Index9">
    <w:name w:val="index 9"/>
    <w:basedOn w:val="Normal"/>
    <w:next w:val="Normal"/>
    <w:autoRedefine/>
    <w:uiPriority w:val="99"/>
    <w:unhideWhenUsed/>
    <w:rsid w:val="006B63C0"/>
    <w:pPr>
      <w:tabs>
        <w:tab w:val="clear" w:pos="794"/>
        <w:tab w:val="clear" w:pos="1191"/>
        <w:tab w:val="clear" w:pos="1588"/>
        <w:tab w:val="clear" w:pos="1985"/>
      </w:tabs>
      <w:overflowPunct/>
      <w:autoSpaceDE/>
      <w:autoSpaceDN/>
      <w:adjustRightInd/>
      <w:spacing w:before="0" w:line="259" w:lineRule="auto"/>
      <w:ind w:left="1980" w:hanging="220"/>
      <w:textAlignment w:val="auto"/>
    </w:pPr>
    <w:rPr>
      <w:rFonts w:eastAsiaTheme="minorEastAsia" w:cstheme="minorBidi"/>
      <w:sz w:val="18"/>
      <w:szCs w:val="18"/>
      <w:lang w:val="en-US" w:eastAsia="zh-CN"/>
    </w:rPr>
  </w:style>
  <w:style w:type="paragraph" w:styleId="IndexHeading">
    <w:name w:val="index heading"/>
    <w:basedOn w:val="Normal"/>
    <w:next w:val="Index1"/>
    <w:uiPriority w:val="99"/>
    <w:unhideWhenUsed/>
    <w:rsid w:val="006B63C0"/>
    <w:pPr>
      <w:tabs>
        <w:tab w:val="clear" w:pos="794"/>
        <w:tab w:val="clear" w:pos="1191"/>
        <w:tab w:val="clear" w:pos="1588"/>
        <w:tab w:val="clear" w:pos="1985"/>
      </w:tabs>
      <w:overflowPunct/>
      <w:autoSpaceDE/>
      <w:autoSpaceDN/>
      <w:adjustRightInd/>
      <w:spacing w:before="240" w:after="120" w:line="259" w:lineRule="auto"/>
      <w:jc w:val="center"/>
      <w:textAlignment w:val="auto"/>
    </w:pPr>
    <w:rPr>
      <w:rFonts w:eastAsiaTheme="minorEastAsia" w:cstheme="minorBidi"/>
      <w:b/>
      <w:bCs/>
      <w:sz w:val="26"/>
      <w:szCs w:val="26"/>
      <w:lang w:val="en-US" w:eastAsia="zh-CN"/>
    </w:rPr>
  </w:style>
  <w:style w:type="paragraph" w:styleId="TOC9">
    <w:name w:val="toc 9"/>
    <w:basedOn w:val="Normal"/>
    <w:next w:val="Normal"/>
    <w:autoRedefine/>
    <w:uiPriority w:val="39"/>
    <w:unhideWhenUsed/>
    <w:rsid w:val="006B63C0"/>
    <w:pPr>
      <w:tabs>
        <w:tab w:val="clear" w:pos="794"/>
        <w:tab w:val="clear" w:pos="1191"/>
        <w:tab w:val="clear" w:pos="1588"/>
        <w:tab w:val="clear" w:pos="1985"/>
      </w:tabs>
      <w:overflowPunct/>
      <w:autoSpaceDE/>
      <w:autoSpaceDN/>
      <w:adjustRightInd/>
      <w:spacing w:before="0" w:line="259" w:lineRule="auto"/>
      <w:ind w:left="1760"/>
      <w:textAlignment w:val="auto"/>
    </w:pPr>
    <w:rPr>
      <w:rFonts w:eastAsiaTheme="minorEastAsia" w:cstheme="minorBidi"/>
      <w:sz w:val="20"/>
      <w:lang w:val="en-US" w:eastAsia="zh-CN"/>
    </w:rPr>
  </w:style>
  <w:style w:type="table" w:customStyle="1" w:styleId="TableGrid2">
    <w:name w:val="Table Grid2"/>
    <w:basedOn w:val="TableNormal"/>
    <w:next w:val="TableGrid"/>
    <w:uiPriority w:val="39"/>
    <w:rsid w:val="006B63C0"/>
    <w:rPr>
      <w:rFonts w:asciiTheme="minorHAnsi" w:eastAsiaTheme="minorEastAsia" w:hAnsiTheme="minorHAnsi" w:cstheme="minorBidi"/>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semiHidden/>
    <w:unhideWhenUsed/>
    <w:qFormat/>
    <w:rsid w:val="006B63C0"/>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eastAsia="zh-CN"/>
    </w:rPr>
  </w:style>
  <w:style w:type="character" w:customStyle="1" w:styleId="ListParagraphChar">
    <w:name w:val="List Paragraph Char"/>
    <w:basedOn w:val="DefaultParagraphFont"/>
    <w:link w:val="ListParagraph"/>
    <w:uiPriority w:val="34"/>
    <w:locked/>
    <w:rsid w:val="006B63C0"/>
    <w:rPr>
      <w:rFonts w:ascii="Times New Roman" w:eastAsiaTheme="minorEastAsia" w:hAnsi="Times New Roman" w:cstheme="minorBidi"/>
      <w:sz w:val="24"/>
      <w:szCs w:val="22"/>
    </w:rPr>
  </w:style>
  <w:style w:type="paragraph" w:styleId="DocumentMap">
    <w:name w:val="Document Map"/>
    <w:basedOn w:val="Normal"/>
    <w:link w:val="DocumentMapChar"/>
    <w:semiHidden/>
    <w:unhideWhenUsed/>
    <w:rsid w:val="006B63C0"/>
    <w:pPr>
      <w:spacing w:before="0"/>
    </w:pPr>
    <w:rPr>
      <w:szCs w:val="24"/>
    </w:rPr>
  </w:style>
  <w:style w:type="character" w:customStyle="1" w:styleId="DocumentMapChar">
    <w:name w:val="Document Map Char"/>
    <w:basedOn w:val="DefaultParagraphFont"/>
    <w:link w:val="DocumentMap"/>
    <w:semiHidden/>
    <w:rsid w:val="006B63C0"/>
    <w:rPr>
      <w:rFonts w:ascii="Times New Roman" w:hAnsi="Times New Roman"/>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yperlink" Target="http://www.itu.int/en/ITU-R/conferences/wrc/2019/irwsp/Pages/default.aspx" TargetMode="External"/><Relationship Id="rId26" Type="http://schemas.openxmlformats.org/officeDocument/2006/relationships/hyperlink" Target="http://www.itu.int/ITU%20R/go/seminars" TargetMode="External"/><Relationship Id="rId39" Type="http://schemas.openxmlformats.org/officeDocument/2006/relationships/header" Target="header6.xml"/><Relationship Id="rId21" Type="http://schemas.openxmlformats.org/officeDocument/2006/relationships/hyperlink" Target="http://www.itu.int/ITU-R/go/space-epfd/en" TargetMode="External"/><Relationship Id="rId34" Type="http://schemas.openxmlformats.org/officeDocument/2006/relationships/footer" Target="footer4.xml"/><Relationship Id="rId42" Type="http://schemas.openxmlformats.org/officeDocument/2006/relationships/hyperlink" Target="http://www.itu.int/en/ITU-R/RR110/" TargetMode="External"/><Relationship Id="rId47" Type="http://schemas.openxmlformats.org/officeDocument/2006/relationships/hyperlink" Target="https://www.itu.int/en/mediacentre/Pages/default.aspx" TargetMode="External"/><Relationship Id="rId50" Type="http://schemas.openxmlformats.org/officeDocument/2006/relationships/hyperlink" Target="http://www.itu.int/en/ITU-R/RR110/" TargetMode="External"/><Relationship Id="rId55" Type="http://schemas.openxmlformats.org/officeDocument/2006/relationships/hyperlink" Target="http://www.itu.int/en/ITU-R/Pages/default.aspx" TargetMode="Externa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www.itu.int/go/rcpm-wrc-19-studies" TargetMode="External"/><Relationship Id="rId20" Type="http://schemas.openxmlformats.org/officeDocument/2006/relationships/hyperlink" Target="https://www.itu.int/dms_ties/itu-r/oth/0b/05/R0B0500001B0001PDFE.pdf" TargetMode="External"/><Relationship Id="rId29" Type="http://schemas.openxmlformats.org/officeDocument/2006/relationships/header" Target="header2.xml"/><Relationship Id="rId41" Type="http://schemas.openxmlformats.org/officeDocument/2006/relationships/hyperlink" Target="http://www.itu.int/ITU-R/" TargetMode="External"/><Relationship Id="rId54" Type="http://schemas.openxmlformats.org/officeDocument/2006/relationships/hyperlink" Target="http://www.itu.int/en/history/Pages/RRB.aspx" TargetMode="Externa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S16-SG-CIR-0057/en" TargetMode="External"/><Relationship Id="rId24" Type="http://schemas.openxmlformats.org/officeDocument/2006/relationships/hyperlink" Target="http://www.itu.int/ipr" TargetMode="External"/><Relationship Id="rId32" Type="http://schemas.openxmlformats.org/officeDocument/2006/relationships/footer" Target="footer3.xml"/><Relationship Id="rId37" Type="http://schemas.openxmlformats.org/officeDocument/2006/relationships/header" Target="header5.xml"/><Relationship Id="rId40" Type="http://schemas.openxmlformats.org/officeDocument/2006/relationships/footer" Target="footer7.xml"/><Relationship Id="rId45" Type="http://schemas.openxmlformats.org/officeDocument/2006/relationships/hyperlink" Target="http://www.itu.int/en/ITU-R/Pages/default.aspx" TargetMode="External"/><Relationship Id="rId53" Type="http://schemas.openxmlformats.org/officeDocument/2006/relationships/hyperlink" Target="https://www.itu.int/en/ITU-R/RR110/Documents/RR110-Programme.pdf" TargetMode="External"/><Relationship Id="rId58" Type="http://schemas.openxmlformats.org/officeDocument/2006/relationships/footer" Target="footer8.xml"/><Relationship Id="rId5" Type="http://schemas.openxmlformats.org/officeDocument/2006/relationships/footnotes" Target="footnotes.xml"/><Relationship Id="rId15" Type="http://schemas.openxmlformats.org/officeDocument/2006/relationships/hyperlink" Target="http://www.itu.int/go/wrc-19" TargetMode="External"/><Relationship Id="rId23" Type="http://schemas.openxmlformats.org/officeDocument/2006/relationships/hyperlink" Target="http://www.itu.int/ITU-R/go/space-epfd/en" TargetMode="External"/><Relationship Id="rId28" Type="http://schemas.openxmlformats.org/officeDocument/2006/relationships/header" Target="header1.xml"/><Relationship Id="rId36" Type="http://schemas.openxmlformats.org/officeDocument/2006/relationships/footer" Target="footer5.xml"/><Relationship Id="rId49" Type="http://schemas.openxmlformats.org/officeDocument/2006/relationships/hyperlink" Target="http://www.itu.int/en/ITU-R/RR110/Pages/default.aspx" TargetMode="External"/><Relationship Id="rId57" Type="http://schemas.openxmlformats.org/officeDocument/2006/relationships/header" Target="header7.xml"/><Relationship Id="rId61" Type="http://schemas.openxmlformats.org/officeDocument/2006/relationships/fontTable" Target="fontTable.xml"/><Relationship Id="rId10" Type="http://schemas.openxmlformats.org/officeDocument/2006/relationships/hyperlink" Target="https://www.itu.int/md/S16-CL-C-0130/en" TargetMode="External"/><Relationship Id="rId19" Type="http://schemas.openxmlformats.org/officeDocument/2006/relationships/hyperlink" Target="http://www.itu.int/go/wrc-19-regional" TargetMode="External"/><Relationship Id="rId31" Type="http://schemas.openxmlformats.org/officeDocument/2006/relationships/footer" Target="footer2.xml"/><Relationship Id="rId44" Type="http://schemas.openxmlformats.org/officeDocument/2006/relationships/hyperlink" Target="http://www.itu.int/ITU-R/" TargetMode="External"/><Relationship Id="rId52" Type="http://schemas.openxmlformats.org/officeDocument/2006/relationships/hyperlink" Target="https://www.youtube.com/watch?v=NBPEYbAIhjQ&amp;index=1&amp;list=PLpoIPNlF8P2P3ZCeKJAJzxW0w8zkOToyJ" TargetMode="External"/><Relationship Id="rId60" Type="http://schemas.openxmlformats.org/officeDocument/2006/relationships/footer" Target="footer9.xml"/><Relationship Id="rId4" Type="http://schemas.openxmlformats.org/officeDocument/2006/relationships/webSettings" Target="webSettings.xml"/><Relationship Id="rId9" Type="http://schemas.openxmlformats.org/officeDocument/2006/relationships/hyperlink" Target="http://www.itu.int/council/" TargetMode="External"/><Relationship Id="rId14" Type="http://schemas.openxmlformats.org/officeDocument/2006/relationships/hyperlink" Target="https://www.itu.int/md/R00-CA-CIR-0226/en" TargetMode="External"/><Relationship Id="rId22" Type="http://schemas.openxmlformats.org/officeDocument/2006/relationships/hyperlink" Target="http://www.itu.int/ITU-R/go/space-mask-XMLfile/en" TargetMode="External"/><Relationship Id="rId27" Type="http://schemas.openxmlformats.org/officeDocument/2006/relationships/hyperlink" Target="http://www.itu.int/ITU-R/go/seminars" TargetMode="External"/><Relationship Id="rId30" Type="http://schemas.openxmlformats.org/officeDocument/2006/relationships/footer" Target="footer1.xml"/><Relationship Id="rId35" Type="http://schemas.openxmlformats.org/officeDocument/2006/relationships/header" Target="header4.xml"/><Relationship Id="rId43" Type="http://schemas.openxmlformats.org/officeDocument/2006/relationships/hyperlink" Target="https://twitter.com/ITU_R" TargetMode="External"/><Relationship Id="rId48" Type="http://schemas.openxmlformats.org/officeDocument/2006/relationships/hyperlink" Target="https://twitter.com/ITU_R/" TargetMode="External"/><Relationship Id="rId56" Type="http://schemas.openxmlformats.org/officeDocument/2006/relationships/hyperlink" Target="http://www.itu.int/en/ITU-R/RR110/Documents/RR110-Programme.pdf" TargetMode="External"/><Relationship Id="rId8" Type="http://schemas.openxmlformats.org/officeDocument/2006/relationships/hyperlink" Target="https://www.itu.int/md/R00-CA-CIR-0232/en" TargetMode="External"/><Relationship Id="rId51" Type="http://schemas.openxmlformats.org/officeDocument/2006/relationships/hyperlink" Target="https://www.youtube.com/watch?v=KmO43cQGvgY&amp;list=PLpoIPNlF8P2P3ZCeKJAJzxW0w8zkOToyJ&amp;index=2" TargetMode="External"/><Relationship Id="rId3" Type="http://schemas.openxmlformats.org/officeDocument/2006/relationships/settings" Target="settings.xml"/><Relationship Id="rId12" Type="http://schemas.openxmlformats.org/officeDocument/2006/relationships/hyperlink" Target="https://www.itu.int/md/S16-CL-C-0037/en" TargetMode="External"/><Relationship Id="rId17" Type="http://schemas.openxmlformats.org/officeDocument/2006/relationships/hyperlink" Target="http://www.itu.int/en/ITU-R/study-groups/rcpm/Pages/wrc-23-preliminary-studies.aspx" TargetMode="External"/><Relationship Id="rId25" Type="http://schemas.openxmlformats.org/officeDocument/2006/relationships/hyperlink" Target="http://www.itu.int/brdocsearch" TargetMode="External"/><Relationship Id="rId33" Type="http://schemas.openxmlformats.org/officeDocument/2006/relationships/header" Target="header3.xml"/><Relationship Id="rId38" Type="http://schemas.openxmlformats.org/officeDocument/2006/relationships/footer" Target="footer6.xml"/><Relationship Id="rId46" Type="http://schemas.openxmlformats.org/officeDocument/2006/relationships/hyperlink" Target="https://www.itu.int/en/itunews/Documents/2016-05/2016_ITUNews05-en.pdf" TargetMode="External"/><Relationship Id="rId59" Type="http://schemas.openxmlformats.org/officeDocument/2006/relationships/header" Target="header8.xml"/></Relationships>
</file>

<file path=word/_rels/settings.xml.rels><?xml version="1.0" encoding="UTF-8" standalone="yes"?>
<Relationships xmlns="http://schemas.openxmlformats.org/package/2006/relationships"><Relationship Id="rId1" Type="http://schemas.openxmlformats.org/officeDocument/2006/relationships/attachedTemplate" Target="file:///M:\BRIAP\CPDU\Meeting%20Preparation\2017\10.%20RAG-17%20(26-28%20April%202017)\Documents\Templates\PE_RAG17.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PE_RAG17.dotm</Template>
  <TotalTime>7</TotalTime>
  <Pages>37</Pages>
  <Words>13242</Words>
  <Characters>77463</Characters>
  <Application>Microsoft Office Word</Application>
  <DocSecurity>0</DocSecurity>
  <Lines>645</Lines>
  <Paragraphs>181</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90524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dc:creator>
  <cp:keywords/>
  <dc:description>PE_RAG10.dotm  For: _x000d_Document date: _x000d_Saved by TRA44246 at 12:32:17 on 12.02.2010</dc:description>
  <cp:lastModifiedBy>Capdessus, Isabelle</cp:lastModifiedBy>
  <cp:revision>5</cp:revision>
  <cp:lastPrinted>1999-09-30T15:03:00Z</cp:lastPrinted>
  <dcterms:created xsi:type="dcterms:W3CDTF">2017-04-05T09:29:00Z</dcterms:created>
  <dcterms:modified xsi:type="dcterms:W3CDTF">2017-04-05T09:59:00Z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PE_RAG10.dotm</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