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rsidRPr="00C23F0B" w14:paraId="3E06104B" w14:textId="77777777" w:rsidTr="00A06ADC">
        <w:trPr>
          <w:cantSplit/>
        </w:trPr>
        <w:tc>
          <w:tcPr>
            <w:tcW w:w="6911" w:type="dxa"/>
          </w:tcPr>
          <w:p w14:paraId="28245B60" w14:textId="77777777" w:rsidR="00C8286D" w:rsidRPr="00C23F0B" w:rsidRDefault="00C8286D" w:rsidP="00C8286D">
            <w:pPr>
              <w:spacing w:before="400" w:after="48" w:line="240" w:lineRule="atLeast"/>
              <w:rPr>
                <w:rFonts w:ascii="Verdana" w:hAnsi="Verdana"/>
                <w:position w:val="6"/>
              </w:rPr>
            </w:pPr>
            <w:r w:rsidRPr="00C23F0B">
              <w:rPr>
                <w:rFonts w:ascii="Verdana" w:hAnsi="Verdana" w:cs="Times"/>
                <w:b/>
                <w:position w:val="6"/>
                <w:sz w:val="20"/>
              </w:rPr>
              <w:t>Conferencia Mundial de Radiocomunicaciones (CMR-19)</w:t>
            </w:r>
            <w:r w:rsidRPr="00C23F0B">
              <w:rPr>
                <w:rFonts w:ascii="Verdana" w:hAnsi="Verdana" w:cs="Times"/>
                <w:b/>
                <w:position w:val="6"/>
                <w:sz w:val="20"/>
              </w:rPr>
              <w:br/>
            </w:r>
            <w:r w:rsidRPr="00C23F0B">
              <w:rPr>
                <w:rFonts w:ascii="Verdana" w:hAnsi="Verdana"/>
                <w:b/>
                <w:bCs/>
                <w:position w:val="6"/>
                <w:sz w:val="17"/>
                <w:szCs w:val="17"/>
              </w:rPr>
              <w:t xml:space="preserve">Sharm el-Sheikh (Egipto), 28 de octubre </w:t>
            </w:r>
            <w:r w:rsidR="009A599E" w:rsidRPr="00C23F0B">
              <w:rPr>
                <w:rFonts w:ascii="Verdana" w:hAnsi="Verdana"/>
                <w:b/>
                <w:bCs/>
                <w:position w:val="6"/>
                <w:sz w:val="17"/>
                <w:szCs w:val="17"/>
              </w:rPr>
              <w:t>–</w:t>
            </w:r>
            <w:r w:rsidRPr="00C23F0B">
              <w:rPr>
                <w:rFonts w:ascii="Verdana" w:hAnsi="Verdana"/>
                <w:b/>
                <w:bCs/>
                <w:position w:val="6"/>
                <w:sz w:val="17"/>
                <w:szCs w:val="17"/>
              </w:rPr>
              <w:t xml:space="preserve"> 22 de noviembre de 2019</w:t>
            </w:r>
          </w:p>
        </w:tc>
        <w:tc>
          <w:tcPr>
            <w:tcW w:w="3120" w:type="dxa"/>
          </w:tcPr>
          <w:p w14:paraId="15D240A1" w14:textId="77777777" w:rsidR="00C8286D" w:rsidRPr="00C23F0B" w:rsidRDefault="00C8286D" w:rsidP="00C8286D">
            <w:pPr>
              <w:spacing w:before="0" w:line="240" w:lineRule="atLeast"/>
              <w:jc w:val="right"/>
            </w:pPr>
            <w:bookmarkStart w:id="0" w:name="ditulogo"/>
            <w:bookmarkEnd w:id="0"/>
            <w:r w:rsidRPr="00C23F0B">
              <w:rPr>
                <w:rFonts w:ascii="Verdana" w:hAnsi="Verdana"/>
                <w:b/>
                <w:bCs/>
                <w:noProof/>
                <w:szCs w:val="24"/>
                <w:lang w:eastAsia="zh-CN"/>
              </w:rPr>
              <w:drawing>
                <wp:inline distT="0" distB="0" distL="0" distR="0" wp14:anchorId="38E41286" wp14:editId="20A776B9">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C23F0B" w14:paraId="2226502B" w14:textId="77777777" w:rsidTr="00A06ADC">
        <w:trPr>
          <w:cantSplit/>
        </w:trPr>
        <w:tc>
          <w:tcPr>
            <w:tcW w:w="10031" w:type="dxa"/>
            <w:gridSpan w:val="2"/>
            <w:tcBorders>
              <w:bottom w:val="single" w:sz="12" w:space="0" w:color="auto"/>
            </w:tcBorders>
          </w:tcPr>
          <w:p w14:paraId="09ABE2BE" w14:textId="77777777" w:rsidR="00C8286D" w:rsidRPr="00C23F0B" w:rsidRDefault="00C8286D" w:rsidP="00C8286D">
            <w:pPr>
              <w:spacing w:before="0" w:after="48" w:line="240" w:lineRule="atLeast"/>
              <w:rPr>
                <w:rFonts w:ascii="Verdana" w:hAnsi="Verdana"/>
                <w:b/>
                <w:smallCaps/>
                <w:sz w:val="20"/>
              </w:rPr>
            </w:pPr>
            <w:bookmarkStart w:id="1" w:name="dhead"/>
          </w:p>
        </w:tc>
      </w:tr>
      <w:tr w:rsidR="00C8286D" w:rsidRPr="00C23F0B" w14:paraId="2CF50642" w14:textId="77777777" w:rsidTr="00A06ADC">
        <w:trPr>
          <w:cantSplit/>
        </w:trPr>
        <w:tc>
          <w:tcPr>
            <w:tcW w:w="6911" w:type="dxa"/>
            <w:tcBorders>
              <w:top w:val="single" w:sz="12" w:space="0" w:color="auto"/>
            </w:tcBorders>
          </w:tcPr>
          <w:p w14:paraId="32DE3D7D" w14:textId="77777777" w:rsidR="00C8286D" w:rsidRPr="00C23F0B" w:rsidRDefault="00C8286D" w:rsidP="00C8286D">
            <w:pPr>
              <w:spacing w:before="0" w:after="48" w:line="240" w:lineRule="atLeast"/>
              <w:rPr>
                <w:rFonts w:ascii="Verdana" w:hAnsi="Verdana"/>
                <w:b/>
                <w:smallCaps/>
                <w:sz w:val="20"/>
              </w:rPr>
            </w:pPr>
          </w:p>
        </w:tc>
        <w:tc>
          <w:tcPr>
            <w:tcW w:w="3120" w:type="dxa"/>
            <w:tcBorders>
              <w:top w:val="single" w:sz="12" w:space="0" w:color="auto"/>
            </w:tcBorders>
          </w:tcPr>
          <w:p w14:paraId="12E9C346" w14:textId="77777777" w:rsidR="00C8286D" w:rsidRPr="00C23F0B" w:rsidRDefault="00C8286D" w:rsidP="00C8286D">
            <w:pPr>
              <w:spacing w:before="0" w:line="240" w:lineRule="atLeast"/>
              <w:rPr>
                <w:rFonts w:ascii="Verdana" w:hAnsi="Verdana"/>
                <w:sz w:val="20"/>
              </w:rPr>
            </w:pPr>
          </w:p>
        </w:tc>
      </w:tr>
      <w:tr w:rsidR="00C8286D" w:rsidRPr="00C23F0B" w14:paraId="40CCBEAC" w14:textId="77777777" w:rsidTr="00A06ADC">
        <w:trPr>
          <w:cantSplit/>
          <w:trHeight w:val="23"/>
        </w:trPr>
        <w:tc>
          <w:tcPr>
            <w:tcW w:w="6911" w:type="dxa"/>
            <w:vMerge w:val="restart"/>
          </w:tcPr>
          <w:p w14:paraId="4EFDE3CC" w14:textId="78993BF6" w:rsidR="00C8286D" w:rsidRPr="00C23F0B" w:rsidRDefault="00B22BF1" w:rsidP="00C8286D">
            <w:pPr>
              <w:tabs>
                <w:tab w:val="left" w:pos="851"/>
              </w:tabs>
              <w:spacing w:before="0" w:line="240" w:lineRule="atLeast"/>
              <w:rPr>
                <w:rFonts w:ascii="Verdana" w:hAnsi="Verdana"/>
                <w:b/>
                <w:bCs/>
                <w:sz w:val="20"/>
              </w:rPr>
            </w:pPr>
            <w:bookmarkStart w:id="2" w:name="dnum" w:colFirst="1" w:colLast="1"/>
            <w:bookmarkStart w:id="3" w:name="dmeeting" w:colFirst="0" w:colLast="0"/>
            <w:bookmarkEnd w:id="1"/>
            <w:r w:rsidRPr="00C23F0B">
              <w:rPr>
                <w:rFonts w:ascii="Verdana" w:hAnsi="Verdana"/>
                <w:b/>
                <w:bCs/>
                <w:sz w:val="20"/>
              </w:rPr>
              <w:t>SESIÓN PLENARIA</w:t>
            </w:r>
          </w:p>
        </w:tc>
        <w:tc>
          <w:tcPr>
            <w:tcW w:w="3120" w:type="dxa"/>
          </w:tcPr>
          <w:p w14:paraId="7D18F06F" w14:textId="0C2B899E" w:rsidR="00C8286D" w:rsidRPr="00C23F0B" w:rsidRDefault="00C8286D" w:rsidP="00C8286D">
            <w:pPr>
              <w:tabs>
                <w:tab w:val="left" w:pos="851"/>
              </w:tabs>
              <w:spacing w:before="0" w:line="240" w:lineRule="atLeast"/>
              <w:rPr>
                <w:rFonts w:ascii="Verdana" w:hAnsi="Verdana"/>
                <w:sz w:val="20"/>
              </w:rPr>
            </w:pPr>
            <w:r w:rsidRPr="00C23F0B">
              <w:rPr>
                <w:rFonts w:ascii="Verdana" w:hAnsi="Verdana"/>
                <w:b/>
                <w:sz w:val="20"/>
              </w:rPr>
              <w:t xml:space="preserve">Documento </w:t>
            </w:r>
            <w:r w:rsidR="003B25F7" w:rsidRPr="00C23F0B">
              <w:rPr>
                <w:rFonts w:ascii="Verdana" w:hAnsi="Verdana"/>
                <w:b/>
                <w:sz w:val="20"/>
              </w:rPr>
              <w:t>571</w:t>
            </w:r>
            <w:r w:rsidRPr="00C23F0B">
              <w:rPr>
                <w:rFonts w:ascii="Verdana" w:hAnsi="Verdana"/>
                <w:b/>
                <w:sz w:val="20"/>
              </w:rPr>
              <w:t>-S</w:t>
            </w:r>
          </w:p>
        </w:tc>
      </w:tr>
      <w:tr w:rsidR="00C8286D" w:rsidRPr="00C23F0B" w14:paraId="6A799E48" w14:textId="77777777" w:rsidTr="00A06ADC">
        <w:trPr>
          <w:cantSplit/>
          <w:trHeight w:val="23"/>
        </w:trPr>
        <w:tc>
          <w:tcPr>
            <w:tcW w:w="6911" w:type="dxa"/>
            <w:vMerge/>
          </w:tcPr>
          <w:p w14:paraId="09BB9924" w14:textId="77777777" w:rsidR="00C8286D" w:rsidRPr="00C23F0B" w:rsidRDefault="00C8286D" w:rsidP="00A06ADC">
            <w:pPr>
              <w:tabs>
                <w:tab w:val="left" w:pos="851"/>
              </w:tabs>
              <w:spacing w:line="240" w:lineRule="atLeast"/>
              <w:rPr>
                <w:rFonts w:ascii="Verdana" w:hAnsi="Verdana"/>
                <w:b/>
                <w:sz w:val="20"/>
              </w:rPr>
            </w:pPr>
            <w:bookmarkStart w:id="4" w:name="ddate" w:colFirst="1" w:colLast="1"/>
            <w:bookmarkEnd w:id="2"/>
            <w:bookmarkEnd w:id="3"/>
          </w:p>
        </w:tc>
        <w:tc>
          <w:tcPr>
            <w:tcW w:w="3120" w:type="dxa"/>
          </w:tcPr>
          <w:p w14:paraId="7CEEA695" w14:textId="2A4341F4" w:rsidR="00C8286D" w:rsidRPr="00C23F0B" w:rsidRDefault="003B25F7" w:rsidP="00C8286D">
            <w:pPr>
              <w:tabs>
                <w:tab w:val="left" w:pos="993"/>
              </w:tabs>
              <w:spacing w:before="0"/>
              <w:rPr>
                <w:rFonts w:ascii="Verdana" w:hAnsi="Verdana"/>
                <w:sz w:val="20"/>
              </w:rPr>
            </w:pPr>
            <w:r w:rsidRPr="00C23F0B">
              <w:rPr>
                <w:rFonts w:ascii="Verdana" w:hAnsi="Verdana"/>
                <w:b/>
                <w:sz w:val="20"/>
              </w:rPr>
              <w:t>16</w:t>
            </w:r>
            <w:r w:rsidR="00C8286D" w:rsidRPr="00C23F0B">
              <w:rPr>
                <w:rFonts w:ascii="Verdana" w:hAnsi="Verdana"/>
                <w:b/>
                <w:sz w:val="20"/>
              </w:rPr>
              <w:t xml:space="preserve"> de </w:t>
            </w:r>
            <w:r w:rsidRPr="00C23F0B">
              <w:rPr>
                <w:rFonts w:ascii="Verdana" w:hAnsi="Verdana"/>
                <w:b/>
                <w:sz w:val="20"/>
              </w:rPr>
              <w:t>diciembre</w:t>
            </w:r>
            <w:r w:rsidR="00C8286D" w:rsidRPr="00C23F0B">
              <w:rPr>
                <w:rFonts w:ascii="Verdana" w:hAnsi="Verdana"/>
                <w:b/>
                <w:sz w:val="20"/>
              </w:rPr>
              <w:t xml:space="preserve"> de 201</w:t>
            </w:r>
            <w:r w:rsidRPr="00C23F0B">
              <w:rPr>
                <w:rFonts w:ascii="Verdana" w:hAnsi="Verdana"/>
                <w:b/>
                <w:sz w:val="20"/>
              </w:rPr>
              <w:t>9</w:t>
            </w:r>
          </w:p>
        </w:tc>
      </w:tr>
      <w:tr w:rsidR="00C8286D" w:rsidRPr="00C23F0B" w14:paraId="759C4E33" w14:textId="77777777" w:rsidTr="00A06ADC">
        <w:trPr>
          <w:cantSplit/>
          <w:trHeight w:val="23"/>
        </w:trPr>
        <w:tc>
          <w:tcPr>
            <w:tcW w:w="6911" w:type="dxa"/>
            <w:vMerge/>
          </w:tcPr>
          <w:p w14:paraId="56BA2F9C" w14:textId="77777777" w:rsidR="00C8286D" w:rsidRPr="00C23F0B" w:rsidRDefault="00C8286D" w:rsidP="00A06ADC">
            <w:pPr>
              <w:tabs>
                <w:tab w:val="left" w:pos="851"/>
              </w:tabs>
              <w:spacing w:line="240" w:lineRule="atLeast"/>
              <w:rPr>
                <w:rFonts w:ascii="Verdana" w:hAnsi="Verdana"/>
                <w:b/>
                <w:sz w:val="20"/>
              </w:rPr>
            </w:pPr>
            <w:bookmarkStart w:id="5" w:name="dorlang" w:colFirst="1" w:colLast="1"/>
            <w:bookmarkEnd w:id="4"/>
          </w:p>
        </w:tc>
        <w:tc>
          <w:tcPr>
            <w:tcW w:w="3120" w:type="dxa"/>
          </w:tcPr>
          <w:p w14:paraId="3FC14C63" w14:textId="77777777" w:rsidR="00C8286D" w:rsidRPr="00C23F0B" w:rsidRDefault="00C8286D" w:rsidP="00C8286D">
            <w:pPr>
              <w:tabs>
                <w:tab w:val="left" w:pos="993"/>
              </w:tabs>
              <w:spacing w:before="0" w:after="120"/>
              <w:rPr>
                <w:rFonts w:ascii="Verdana" w:hAnsi="Verdana"/>
                <w:sz w:val="20"/>
              </w:rPr>
            </w:pPr>
            <w:r w:rsidRPr="00C23F0B">
              <w:rPr>
                <w:rFonts w:ascii="Verdana" w:hAnsi="Verdana"/>
                <w:b/>
                <w:sz w:val="20"/>
              </w:rPr>
              <w:t>Original: inglés</w:t>
            </w:r>
          </w:p>
        </w:tc>
      </w:tr>
      <w:tr w:rsidR="00C8286D" w:rsidRPr="00C23F0B" w14:paraId="6F026444" w14:textId="77777777" w:rsidTr="00A06ADC">
        <w:trPr>
          <w:cantSplit/>
        </w:trPr>
        <w:tc>
          <w:tcPr>
            <w:tcW w:w="10031" w:type="dxa"/>
            <w:gridSpan w:val="2"/>
          </w:tcPr>
          <w:p w14:paraId="4E7B53DD" w14:textId="77777777" w:rsidR="00B22BF1" w:rsidRPr="00C23F0B" w:rsidRDefault="00B22BF1" w:rsidP="00B22BF1">
            <w:pPr>
              <w:pStyle w:val="Title1"/>
            </w:pPr>
            <w:bookmarkStart w:id="6" w:name="dsource" w:colFirst="0" w:colLast="0"/>
            <w:bookmarkEnd w:id="5"/>
            <w:r w:rsidRPr="00C23F0B">
              <w:t>ACTAS</w:t>
            </w:r>
          </w:p>
          <w:p w14:paraId="6C4D19F4" w14:textId="77777777" w:rsidR="00B22BF1" w:rsidRPr="00C23F0B" w:rsidRDefault="00B22BF1" w:rsidP="00B22BF1">
            <w:pPr>
              <w:pStyle w:val="Title1"/>
            </w:pPr>
            <w:r w:rsidRPr="00C23F0B">
              <w:t>DE LA</w:t>
            </w:r>
          </w:p>
          <w:p w14:paraId="0870EB60" w14:textId="7B3A2E0E" w:rsidR="00C8286D" w:rsidRPr="00C23F0B" w:rsidRDefault="009421A8" w:rsidP="00B22BF1">
            <w:pPr>
              <w:pStyle w:val="Title1"/>
            </w:pPr>
            <w:r w:rsidRPr="00C23F0B">
              <w:t>DÉCIMA</w:t>
            </w:r>
            <w:r w:rsidR="00B22BF1" w:rsidRPr="00C23F0B">
              <w:t xml:space="preserve"> SESIÓN PLENARIA</w:t>
            </w:r>
          </w:p>
        </w:tc>
      </w:tr>
      <w:tr w:rsidR="00C8286D" w:rsidRPr="00C23F0B" w14:paraId="68D5D39D" w14:textId="77777777" w:rsidTr="00A06ADC">
        <w:trPr>
          <w:cantSplit/>
        </w:trPr>
        <w:tc>
          <w:tcPr>
            <w:tcW w:w="10031" w:type="dxa"/>
            <w:gridSpan w:val="2"/>
          </w:tcPr>
          <w:p w14:paraId="49CD6CDA" w14:textId="6E864D2B" w:rsidR="00C8286D" w:rsidRPr="00C23F0B" w:rsidRDefault="009421A8" w:rsidP="003B25F7">
            <w:pPr>
              <w:pStyle w:val="Normalaftertitle"/>
              <w:jc w:val="center"/>
            </w:pPr>
            <w:bookmarkStart w:id="7" w:name="dtitle1" w:colFirst="0" w:colLast="0"/>
            <w:bookmarkEnd w:id="6"/>
            <w:r w:rsidRPr="00C23F0B">
              <w:t>Miércoles</w:t>
            </w:r>
            <w:r w:rsidR="00B22BF1" w:rsidRPr="00C23F0B">
              <w:t xml:space="preserve">, </w:t>
            </w:r>
            <w:r w:rsidRPr="00C23F0B">
              <w:t>20</w:t>
            </w:r>
            <w:r w:rsidR="00B22BF1" w:rsidRPr="00C23F0B">
              <w:t xml:space="preserve"> de noviembre de 2019, a las </w:t>
            </w:r>
            <w:r w:rsidRPr="00C23F0B">
              <w:t>09</w:t>
            </w:r>
            <w:r w:rsidR="00B22BF1" w:rsidRPr="00C23F0B">
              <w:t>.0</w:t>
            </w:r>
            <w:r w:rsidRPr="00C23F0B">
              <w:t>5</w:t>
            </w:r>
            <w:r w:rsidR="00B22BF1" w:rsidRPr="00C23F0B">
              <w:t xml:space="preserve"> horas</w:t>
            </w:r>
          </w:p>
        </w:tc>
      </w:tr>
      <w:tr w:rsidR="00C8286D" w:rsidRPr="00C23F0B" w14:paraId="7C1A56D2" w14:textId="77777777" w:rsidTr="00A06ADC">
        <w:trPr>
          <w:cantSplit/>
        </w:trPr>
        <w:tc>
          <w:tcPr>
            <w:tcW w:w="10031" w:type="dxa"/>
            <w:gridSpan w:val="2"/>
          </w:tcPr>
          <w:p w14:paraId="6E2427DE" w14:textId="08F9AB4D" w:rsidR="00C8286D" w:rsidRPr="00C23F0B" w:rsidRDefault="00B22BF1" w:rsidP="003B25F7">
            <w:pPr>
              <w:jc w:val="center"/>
            </w:pPr>
            <w:bookmarkStart w:id="8" w:name="dtitle2" w:colFirst="0" w:colLast="0"/>
            <w:bookmarkEnd w:id="7"/>
            <w:r w:rsidRPr="00C23F0B">
              <w:rPr>
                <w:b/>
                <w:bCs/>
              </w:rPr>
              <w:t>Presidente</w:t>
            </w:r>
            <w:r w:rsidRPr="00C23F0B">
              <w:t>: Sr. A. BADAWI (Egipto)</w:t>
            </w:r>
          </w:p>
        </w:tc>
      </w:tr>
      <w:tr w:rsidR="00C8286D" w:rsidRPr="00C23F0B" w14:paraId="20F50981" w14:textId="77777777" w:rsidTr="00A06ADC">
        <w:trPr>
          <w:cantSplit/>
        </w:trPr>
        <w:tc>
          <w:tcPr>
            <w:tcW w:w="10031" w:type="dxa"/>
            <w:gridSpan w:val="2"/>
          </w:tcPr>
          <w:p w14:paraId="1981BB24" w14:textId="77777777" w:rsidR="00C8286D" w:rsidRPr="00C23F0B" w:rsidRDefault="00C8286D" w:rsidP="00A06ADC">
            <w:pPr>
              <w:pStyle w:val="Title3"/>
            </w:pPr>
            <w:bookmarkStart w:id="9" w:name="dtitle3" w:colFirst="0" w:colLast="0"/>
            <w:bookmarkEnd w:id="8"/>
          </w:p>
        </w:tc>
      </w:tr>
      <w:bookmarkEnd w:id="9"/>
    </w:tbl>
    <w:p w14:paraId="737A60E4" w14:textId="7145FE56" w:rsidR="000E45E1" w:rsidRPr="00C23F0B" w:rsidRDefault="000E45E1" w:rsidP="0044541C"/>
    <w:tbl>
      <w:tblPr>
        <w:tblW w:w="10031" w:type="dxa"/>
        <w:tblLook w:val="0000" w:firstRow="0" w:lastRow="0" w:firstColumn="0" w:lastColumn="0" w:noHBand="0" w:noVBand="0"/>
      </w:tblPr>
      <w:tblGrid>
        <w:gridCol w:w="534"/>
        <w:gridCol w:w="7159"/>
        <w:gridCol w:w="2338"/>
      </w:tblGrid>
      <w:tr w:rsidR="00B22BF1" w:rsidRPr="00C23F0B" w14:paraId="63C3ACA7" w14:textId="77777777" w:rsidTr="00A06ADC">
        <w:trPr>
          <w:tblHeader/>
        </w:trPr>
        <w:tc>
          <w:tcPr>
            <w:tcW w:w="534" w:type="dxa"/>
          </w:tcPr>
          <w:p w14:paraId="5209231D" w14:textId="77777777" w:rsidR="00B22BF1" w:rsidRPr="00C23F0B" w:rsidRDefault="00B22BF1" w:rsidP="00B22BF1">
            <w:pPr>
              <w:rPr>
                <w:b/>
              </w:rPr>
            </w:pPr>
          </w:p>
        </w:tc>
        <w:tc>
          <w:tcPr>
            <w:tcW w:w="7159" w:type="dxa"/>
          </w:tcPr>
          <w:p w14:paraId="439503D3" w14:textId="77777777" w:rsidR="00B22BF1" w:rsidRPr="00C23F0B" w:rsidRDefault="00B22BF1" w:rsidP="00B22BF1">
            <w:pPr>
              <w:rPr>
                <w:b/>
              </w:rPr>
            </w:pPr>
            <w:r w:rsidRPr="00C23F0B">
              <w:rPr>
                <w:b/>
              </w:rPr>
              <w:t>Asuntos tratados</w:t>
            </w:r>
          </w:p>
        </w:tc>
        <w:tc>
          <w:tcPr>
            <w:tcW w:w="2338" w:type="dxa"/>
          </w:tcPr>
          <w:p w14:paraId="46C08BE5" w14:textId="77777777" w:rsidR="00B22BF1" w:rsidRPr="00C23F0B" w:rsidRDefault="00B22BF1" w:rsidP="009421A8">
            <w:pPr>
              <w:jc w:val="center"/>
              <w:rPr>
                <w:b/>
              </w:rPr>
            </w:pPr>
            <w:r w:rsidRPr="00C23F0B">
              <w:rPr>
                <w:b/>
              </w:rPr>
              <w:t>Documentos</w:t>
            </w:r>
          </w:p>
        </w:tc>
      </w:tr>
      <w:tr w:rsidR="00B22BF1" w:rsidRPr="00C23F0B" w14:paraId="3978C925" w14:textId="77777777" w:rsidTr="00A06ADC">
        <w:tc>
          <w:tcPr>
            <w:tcW w:w="534" w:type="dxa"/>
          </w:tcPr>
          <w:p w14:paraId="64C3620D" w14:textId="77777777" w:rsidR="00B22BF1" w:rsidRPr="00C23F0B" w:rsidRDefault="00B22BF1" w:rsidP="00B22BF1">
            <w:pPr>
              <w:rPr>
                <w:bCs/>
              </w:rPr>
            </w:pPr>
            <w:r w:rsidRPr="00C23F0B">
              <w:rPr>
                <w:bCs/>
              </w:rPr>
              <w:t>1</w:t>
            </w:r>
          </w:p>
        </w:tc>
        <w:tc>
          <w:tcPr>
            <w:tcW w:w="7159" w:type="dxa"/>
          </w:tcPr>
          <w:p w14:paraId="36956F54" w14:textId="5D78640E" w:rsidR="00B22BF1" w:rsidRPr="00C23F0B" w:rsidRDefault="009421A8" w:rsidP="00B22BF1">
            <w:pPr>
              <w:rPr>
                <w:bCs/>
              </w:rPr>
            </w:pPr>
            <w:r w:rsidRPr="00C23F0B">
              <w:rPr>
                <w:bCs/>
              </w:rPr>
              <w:t>Informes orales de los Presidentes de las Comisiones y de l</w:t>
            </w:r>
            <w:r w:rsidR="00803D45">
              <w:rPr>
                <w:bCs/>
              </w:rPr>
              <w:t>os</w:t>
            </w:r>
            <w:r w:rsidRPr="00C23F0B">
              <w:rPr>
                <w:bCs/>
              </w:rPr>
              <w:t xml:space="preserve"> President</w:t>
            </w:r>
            <w:r w:rsidR="00803D45">
              <w:rPr>
                <w:bCs/>
              </w:rPr>
              <w:t>es</w:t>
            </w:r>
            <w:r w:rsidRPr="00C23F0B">
              <w:rPr>
                <w:bCs/>
              </w:rPr>
              <w:t xml:space="preserve"> de</w:t>
            </w:r>
            <w:r w:rsidR="00803D45">
              <w:rPr>
                <w:bCs/>
              </w:rPr>
              <w:t xml:space="preserve"> </w:t>
            </w:r>
            <w:r w:rsidRPr="00C23F0B">
              <w:rPr>
                <w:bCs/>
              </w:rPr>
              <w:t>l</w:t>
            </w:r>
            <w:r w:rsidR="00803D45">
              <w:rPr>
                <w:bCs/>
              </w:rPr>
              <w:t>os</w:t>
            </w:r>
            <w:r w:rsidRPr="00C23F0B">
              <w:rPr>
                <w:bCs/>
              </w:rPr>
              <w:t xml:space="preserve"> Grupo</w:t>
            </w:r>
            <w:r w:rsidR="00803D45">
              <w:rPr>
                <w:bCs/>
              </w:rPr>
              <w:t>s</w:t>
            </w:r>
            <w:r w:rsidRPr="00C23F0B">
              <w:rPr>
                <w:bCs/>
              </w:rPr>
              <w:t xml:space="preserve"> </w:t>
            </w:r>
            <w:r w:rsidRPr="00C23F0B">
              <w:rPr>
                <w:bCs/>
                <w:i/>
                <w:iCs/>
              </w:rPr>
              <w:t>ad hoc</w:t>
            </w:r>
            <w:r w:rsidRPr="00C23F0B">
              <w:rPr>
                <w:bCs/>
              </w:rPr>
              <w:t xml:space="preserve"> de la Plenaria</w:t>
            </w:r>
          </w:p>
        </w:tc>
        <w:tc>
          <w:tcPr>
            <w:tcW w:w="2338" w:type="dxa"/>
          </w:tcPr>
          <w:p w14:paraId="1DDCC4DB" w14:textId="77777777" w:rsidR="00B22BF1" w:rsidRPr="00C23F0B" w:rsidRDefault="00B22BF1" w:rsidP="009421A8">
            <w:pPr>
              <w:jc w:val="center"/>
              <w:rPr>
                <w:bCs/>
              </w:rPr>
            </w:pPr>
            <w:r w:rsidRPr="00C23F0B">
              <w:rPr>
                <w:bCs/>
              </w:rPr>
              <w:t>–</w:t>
            </w:r>
          </w:p>
        </w:tc>
      </w:tr>
      <w:tr w:rsidR="00B22BF1" w:rsidRPr="00C23F0B" w14:paraId="2D0ADE75" w14:textId="77777777" w:rsidTr="00A06ADC">
        <w:tc>
          <w:tcPr>
            <w:tcW w:w="534" w:type="dxa"/>
          </w:tcPr>
          <w:p w14:paraId="69C96422" w14:textId="77777777" w:rsidR="00B22BF1" w:rsidRPr="00C23F0B" w:rsidRDefault="00B22BF1" w:rsidP="00B22BF1">
            <w:pPr>
              <w:rPr>
                <w:bCs/>
              </w:rPr>
            </w:pPr>
            <w:r w:rsidRPr="00C23F0B">
              <w:rPr>
                <w:bCs/>
              </w:rPr>
              <w:t>2</w:t>
            </w:r>
          </w:p>
        </w:tc>
        <w:tc>
          <w:tcPr>
            <w:tcW w:w="7159" w:type="dxa"/>
          </w:tcPr>
          <w:p w14:paraId="6E13686E" w14:textId="0C31BE25" w:rsidR="00B22BF1" w:rsidRPr="00C23F0B" w:rsidRDefault="003B054C" w:rsidP="00B22BF1">
            <w:pPr>
              <w:rPr>
                <w:bCs/>
              </w:rPr>
            </w:pPr>
            <w:r w:rsidRPr="00C23F0B">
              <w:rPr>
                <w:bCs/>
              </w:rPr>
              <w:t>Documentos para aprobación</w:t>
            </w:r>
          </w:p>
        </w:tc>
        <w:tc>
          <w:tcPr>
            <w:tcW w:w="2338" w:type="dxa"/>
          </w:tcPr>
          <w:p w14:paraId="799A3C5E" w14:textId="7C43EF02" w:rsidR="00B22BF1" w:rsidRPr="00C23F0B" w:rsidRDefault="009421A8" w:rsidP="009421A8">
            <w:pPr>
              <w:jc w:val="center"/>
              <w:rPr>
                <w:bCs/>
              </w:rPr>
            </w:pPr>
            <w:r w:rsidRPr="00C23F0B">
              <w:rPr>
                <w:bCs/>
              </w:rPr>
              <w:t xml:space="preserve">499, 500, 509, </w:t>
            </w:r>
            <w:r w:rsidR="00D56218">
              <w:rPr>
                <w:bCs/>
              </w:rPr>
              <w:br/>
            </w:r>
            <w:r w:rsidRPr="00C23F0B">
              <w:rPr>
                <w:bCs/>
              </w:rPr>
              <w:t>510, 518</w:t>
            </w:r>
          </w:p>
        </w:tc>
      </w:tr>
      <w:tr w:rsidR="00B22BF1" w:rsidRPr="00C23F0B" w14:paraId="5A29E143" w14:textId="77777777" w:rsidTr="00A06ADC">
        <w:tc>
          <w:tcPr>
            <w:tcW w:w="534" w:type="dxa"/>
          </w:tcPr>
          <w:p w14:paraId="1504EF2C" w14:textId="77777777" w:rsidR="00B22BF1" w:rsidRPr="00C23F0B" w:rsidRDefault="00B22BF1" w:rsidP="00B22BF1">
            <w:pPr>
              <w:rPr>
                <w:bCs/>
              </w:rPr>
            </w:pPr>
            <w:r w:rsidRPr="00C23F0B">
              <w:rPr>
                <w:bCs/>
              </w:rPr>
              <w:t>3</w:t>
            </w:r>
          </w:p>
        </w:tc>
        <w:tc>
          <w:tcPr>
            <w:tcW w:w="7159" w:type="dxa"/>
          </w:tcPr>
          <w:p w14:paraId="79581517" w14:textId="01F01230" w:rsidR="00B22BF1" w:rsidRPr="00C23F0B" w:rsidRDefault="003B054C" w:rsidP="00B22BF1">
            <w:pPr>
              <w:rPr>
                <w:bCs/>
              </w:rPr>
            </w:pPr>
            <w:r w:rsidRPr="00C23F0B">
              <w:rPr>
                <w:bCs/>
              </w:rPr>
              <w:t>Trigésima séptima serie de textos sometidos por la Comisión de Redacción en primera lectura (B37)</w:t>
            </w:r>
          </w:p>
        </w:tc>
        <w:tc>
          <w:tcPr>
            <w:tcW w:w="2338" w:type="dxa"/>
          </w:tcPr>
          <w:p w14:paraId="432E16B4" w14:textId="5582E090" w:rsidR="00B22BF1" w:rsidRPr="00C23F0B" w:rsidRDefault="009421A8" w:rsidP="009421A8">
            <w:pPr>
              <w:jc w:val="center"/>
            </w:pPr>
            <w:r w:rsidRPr="00C23F0B">
              <w:t>496</w:t>
            </w:r>
          </w:p>
        </w:tc>
      </w:tr>
      <w:tr w:rsidR="00B22BF1" w:rsidRPr="00C23F0B" w14:paraId="66FAE5FB" w14:textId="77777777" w:rsidTr="00A06ADC">
        <w:tc>
          <w:tcPr>
            <w:tcW w:w="534" w:type="dxa"/>
          </w:tcPr>
          <w:p w14:paraId="13B3BA6F" w14:textId="77777777" w:rsidR="00B22BF1" w:rsidRPr="00C23F0B" w:rsidRDefault="00B22BF1" w:rsidP="00B22BF1">
            <w:r w:rsidRPr="00C23F0B">
              <w:t>4</w:t>
            </w:r>
          </w:p>
        </w:tc>
        <w:tc>
          <w:tcPr>
            <w:tcW w:w="7159" w:type="dxa"/>
          </w:tcPr>
          <w:p w14:paraId="7103E7CC" w14:textId="77473C76" w:rsidR="00B22BF1" w:rsidRPr="00C23F0B" w:rsidRDefault="004014BF" w:rsidP="00B22BF1">
            <w:r w:rsidRPr="00C23F0B">
              <w:t>Trigésima séptima serie de textos sometidos por la Comisión de Redacción (B37) – segunda lectura</w:t>
            </w:r>
          </w:p>
        </w:tc>
        <w:tc>
          <w:tcPr>
            <w:tcW w:w="2338" w:type="dxa"/>
          </w:tcPr>
          <w:p w14:paraId="3DE07525" w14:textId="3F780027" w:rsidR="00B22BF1" w:rsidRPr="00C23F0B" w:rsidRDefault="009421A8" w:rsidP="009421A8">
            <w:pPr>
              <w:jc w:val="center"/>
            </w:pPr>
            <w:r w:rsidRPr="00C23F0B">
              <w:t>496</w:t>
            </w:r>
          </w:p>
        </w:tc>
      </w:tr>
      <w:tr w:rsidR="00B22BF1" w:rsidRPr="00C23F0B" w14:paraId="384DEA01" w14:textId="77777777" w:rsidTr="00A06ADC">
        <w:tc>
          <w:tcPr>
            <w:tcW w:w="534" w:type="dxa"/>
          </w:tcPr>
          <w:p w14:paraId="4255AA58" w14:textId="77777777" w:rsidR="00B22BF1" w:rsidRPr="00C23F0B" w:rsidRDefault="00B22BF1" w:rsidP="00B22BF1">
            <w:r w:rsidRPr="00C23F0B">
              <w:t>5</w:t>
            </w:r>
          </w:p>
        </w:tc>
        <w:tc>
          <w:tcPr>
            <w:tcW w:w="7159" w:type="dxa"/>
          </w:tcPr>
          <w:p w14:paraId="6B74DBD7" w14:textId="0D10601E" w:rsidR="00B22BF1" w:rsidRPr="00C23F0B" w:rsidRDefault="004014BF" w:rsidP="00B22BF1">
            <w:r w:rsidRPr="00C23F0B">
              <w:t>Trigésima octava serie de textos sometidos por la Comisión de Redacción en primera lectura (B38)</w:t>
            </w:r>
          </w:p>
        </w:tc>
        <w:tc>
          <w:tcPr>
            <w:tcW w:w="2338" w:type="dxa"/>
          </w:tcPr>
          <w:p w14:paraId="7D22BA31" w14:textId="2A977A8B" w:rsidR="00B22BF1" w:rsidRPr="00C23F0B" w:rsidRDefault="009421A8" w:rsidP="009421A8">
            <w:pPr>
              <w:jc w:val="center"/>
            </w:pPr>
            <w:r w:rsidRPr="00C23F0B">
              <w:t>497</w:t>
            </w:r>
          </w:p>
        </w:tc>
      </w:tr>
      <w:tr w:rsidR="00B22BF1" w:rsidRPr="00C23F0B" w14:paraId="4D0310B7" w14:textId="77777777" w:rsidTr="00A06ADC">
        <w:tc>
          <w:tcPr>
            <w:tcW w:w="534" w:type="dxa"/>
          </w:tcPr>
          <w:p w14:paraId="2016FA1D" w14:textId="77777777" w:rsidR="00B22BF1" w:rsidRPr="00C23F0B" w:rsidRDefault="00B22BF1" w:rsidP="00B22BF1">
            <w:r w:rsidRPr="00C23F0B">
              <w:t>6</w:t>
            </w:r>
          </w:p>
        </w:tc>
        <w:tc>
          <w:tcPr>
            <w:tcW w:w="7159" w:type="dxa"/>
          </w:tcPr>
          <w:p w14:paraId="2C85E488" w14:textId="7EAB9D71" w:rsidR="00B22BF1" w:rsidRPr="00C23F0B" w:rsidRDefault="004014BF" w:rsidP="00B22BF1">
            <w:r w:rsidRPr="00C23F0B">
              <w:t>Trigésima octava serie de textos sometidos por la Comisión de Redacción (B38) – segunda lectura</w:t>
            </w:r>
          </w:p>
        </w:tc>
        <w:tc>
          <w:tcPr>
            <w:tcW w:w="2338" w:type="dxa"/>
          </w:tcPr>
          <w:p w14:paraId="279CFF83" w14:textId="1E20D1B5" w:rsidR="00B22BF1" w:rsidRPr="00C23F0B" w:rsidRDefault="009421A8" w:rsidP="009421A8">
            <w:pPr>
              <w:jc w:val="center"/>
            </w:pPr>
            <w:r w:rsidRPr="00C23F0B">
              <w:t>497</w:t>
            </w:r>
          </w:p>
        </w:tc>
      </w:tr>
      <w:tr w:rsidR="00B22BF1" w:rsidRPr="00C23F0B" w14:paraId="58E473FA" w14:textId="77777777" w:rsidTr="00A06ADC">
        <w:tc>
          <w:tcPr>
            <w:tcW w:w="534" w:type="dxa"/>
          </w:tcPr>
          <w:p w14:paraId="09A52B4E" w14:textId="77777777" w:rsidR="00B22BF1" w:rsidRPr="00C23F0B" w:rsidRDefault="00B22BF1" w:rsidP="00B22BF1">
            <w:r w:rsidRPr="00C23F0B">
              <w:t>7</w:t>
            </w:r>
          </w:p>
        </w:tc>
        <w:tc>
          <w:tcPr>
            <w:tcW w:w="7159" w:type="dxa"/>
          </w:tcPr>
          <w:p w14:paraId="207AF540" w14:textId="6B71237F" w:rsidR="00B22BF1" w:rsidRPr="00C23F0B" w:rsidRDefault="004014BF" w:rsidP="00B22BF1">
            <w:r w:rsidRPr="00C23F0B">
              <w:t>Trigésima novena serie de textos sometidos por la Comisión de Redacción en primera lectura (B39)</w:t>
            </w:r>
          </w:p>
        </w:tc>
        <w:tc>
          <w:tcPr>
            <w:tcW w:w="2338" w:type="dxa"/>
          </w:tcPr>
          <w:p w14:paraId="281F6EA5" w14:textId="3E89C99E" w:rsidR="00B22BF1" w:rsidRPr="00C23F0B" w:rsidRDefault="009421A8" w:rsidP="009421A8">
            <w:pPr>
              <w:jc w:val="center"/>
            </w:pPr>
            <w:r w:rsidRPr="00C23F0B">
              <w:t>501</w:t>
            </w:r>
          </w:p>
        </w:tc>
      </w:tr>
      <w:tr w:rsidR="00B22BF1" w:rsidRPr="00C23F0B" w14:paraId="7A837299" w14:textId="77777777" w:rsidTr="00A06ADC">
        <w:tc>
          <w:tcPr>
            <w:tcW w:w="534" w:type="dxa"/>
          </w:tcPr>
          <w:p w14:paraId="4F4214F6" w14:textId="77777777" w:rsidR="00B22BF1" w:rsidRPr="00C23F0B" w:rsidRDefault="00B22BF1" w:rsidP="00B22BF1">
            <w:r w:rsidRPr="00C23F0B">
              <w:t>8</w:t>
            </w:r>
          </w:p>
        </w:tc>
        <w:tc>
          <w:tcPr>
            <w:tcW w:w="7159" w:type="dxa"/>
          </w:tcPr>
          <w:p w14:paraId="352B04B9" w14:textId="7531F55F" w:rsidR="00B22BF1" w:rsidRPr="00C23F0B" w:rsidRDefault="004551DE" w:rsidP="00B22BF1">
            <w:r w:rsidRPr="00C23F0B">
              <w:t>Trigésima novena serie de textos sometidos por la Comisión de Redacción (B39) – segunda lectura</w:t>
            </w:r>
          </w:p>
        </w:tc>
        <w:tc>
          <w:tcPr>
            <w:tcW w:w="2338" w:type="dxa"/>
          </w:tcPr>
          <w:p w14:paraId="4E610180" w14:textId="4ABCF02A" w:rsidR="00B22BF1" w:rsidRPr="00C23F0B" w:rsidRDefault="009421A8" w:rsidP="009421A8">
            <w:pPr>
              <w:jc w:val="center"/>
            </w:pPr>
            <w:r w:rsidRPr="00C23F0B">
              <w:t>501</w:t>
            </w:r>
          </w:p>
        </w:tc>
      </w:tr>
      <w:tr w:rsidR="00B22BF1" w:rsidRPr="00C23F0B" w14:paraId="053B5DEF" w14:textId="77777777" w:rsidTr="00A06ADC">
        <w:tc>
          <w:tcPr>
            <w:tcW w:w="534" w:type="dxa"/>
          </w:tcPr>
          <w:p w14:paraId="1FD05564" w14:textId="77777777" w:rsidR="00B22BF1" w:rsidRPr="00C23F0B" w:rsidRDefault="00B22BF1" w:rsidP="00B22BF1">
            <w:r w:rsidRPr="00C23F0B">
              <w:t>9</w:t>
            </w:r>
          </w:p>
        </w:tc>
        <w:tc>
          <w:tcPr>
            <w:tcW w:w="7159" w:type="dxa"/>
          </w:tcPr>
          <w:p w14:paraId="16688FE8" w14:textId="3C1330FC" w:rsidR="00B22BF1" w:rsidRPr="00C23F0B" w:rsidRDefault="004551DE" w:rsidP="00B22BF1">
            <w:r w:rsidRPr="00C23F0B">
              <w:t>Cuadragésima serie de textos sometidos por la Comisión de Redacción en primera lectura (B40)</w:t>
            </w:r>
          </w:p>
        </w:tc>
        <w:tc>
          <w:tcPr>
            <w:tcW w:w="2338" w:type="dxa"/>
          </w:tcPr>
          <w:p w14:paraId="4465820F" w14:textId="2FFDBE1F" w:rsidR="00B22BF1" w:rsidRPr="00C23F0B" w:rsidRDefault="009421A8" w:rsidP="009421A8">
            <w:pPr>
              <w:jc w:val="center"/>
            </w:pPr>
            <w:r w:rsidRPr="00C23F0B">
              <w:t>502</w:t>
            </w:r>
          </w:p>
        </w:tc>
      </w:tr>
      <w:tr w:rsidR="00B22BF1" w:rsidRPr="00C23F0B" w14:paraId="6FBD8AA8" w14:textId="77777777" w:rsidTr="00A06ADC">
        <w:tc>
          <w:tcPr>
            <w:tcW w:w="534" w:type="dxa"/>
          </w:tcPr>
          <w:p w14:paraId="518F3D31" w14:textId="77777777" w:rsidR="00B22BF1" w:rsidRPr="00C23F0B" w:rsidRDefault="00B22BF1" w:rsidP="00B22BF1">
            <w:r w:rsidRPr="00C23F0B">
              <w:t>10</w:t>
            </w:r>
          </w:p>
        </w:tc>
        <w:tc>
          <w:tcPr>
            <w:tcW w:w="7159" w:type="dxa"/>
          </w:tcPr>
          <w:p w14:paraId="7F2B5072" w14:textId="1FA5CEF5" w:rsidR="00B22BF1" w:rsidRPr="00C23F0B" w:rsidRDefault="00A769AE" w:rsidP="00B22BF1">
            <w:r w:rsidRPr="00C23F0B">
              <w:t>Cuadragésima serie de textos sometidos por la Comisión de Redacción (B40) – segunda lectura</w:t>
            </w:r>
          </w:p>
        </w:tc>
        <w:tc>
          <w:tcPr>
            <w:tcW w:w="2338" w:type="dxa"/>
          </w:tcPr>
          <w:p w14:paraId="3BBA28D7" w14:textId="5D55CC31" w:rsidR="00B22BF1" w:rsidRPr="00C23F0B" w:rsidRDefault="009421A8" w:rsidP="009421A8">
            <w:pPr>
              <w:jc w:val="center"/>
            </w:pPr>
            <w:r w:rsidRPr="00C23F0B">
              <w:rPr>
                <w:bCs/>
              </w:rPr>
              <w:t>499, 500, 502</w:t>
            </w:r>
          </w:p>
        </w:tc>
      </w:tr>
      <w:tr w:rsidR="00B22BF1" w:rsidRPr="00C23F0B" w14:paraId="1EB08FC7" w14:textId="77777777" w:rsidTr="00A06ADC">
        <w:tc>
          <w:tcPr>
            <w:tcW w:w="534" w:type="dxa"/>
          </w:tcPr>
          <w:p w14:paraId="557D44F8" w14:textId="77777777" w:rsidR="00B22BF1" w:rsidRPr="00C23F0B" w:rsidRDefault="00B22BF1" w:rsidP="00B22BF1">
            <w:r w:rsidRPr="00C23F0B">
              <w:t>11</w:t>
            </w:r>
          </w:p>
        </w:tc>
        <w:tc>
          <w:tcPr>
            <w:tcW w:w="7159" w:type="dxa"/>
          </w:tcPr>
          <w:p w14:paraId="41CBB456" w14:textId="3CD8295F" w:rsidR="00B22BF1" w:rsidRPr="00C23F0B" w:rsidRDefault="00A769AE" w:rsidP="00B22BF1">
            <w:r w:rsidRPr="00C23F0B">
              <w:t>Cuadragésima quinta serie de textos sometidos por la Comisión de Redacción en primera lectura (B45)</w:t>
            </w:r>
          </w:p>
        </w:tc>
        <w:tc>
          <w:tcPr>
            <w:tcW w:w="2338" w:type="dxa"/>
          </w:tcPr>
          <w:p w14:paraId="3ED223B4" w14:textId="10AC6775" w:rsidR="00B22BF1" w:rsidRPr="00C23F0B" w:rsidRDefault="009421A8" w:rsidP="009421A8">
            <w:pPr>
              <w:jc w:val="center"/>
            </w:pPr>
            <w:r w:rsidRPr="00C23F0B">
              <w:t>507</w:t>
            </w:r>
          </w:p>
        </w:tc>
      </w:tr>
      <w:tr w:rsidR="00B22BF1" w:rsidRPr="00C23F0B" w14:paraId="0D74071F" w14:textId="77777777" w:rsidTr="00A06ADC">
        <w:tc>
          <w:tcPr>
            <w:tcW w:w="534" w:type="dxa"/>
          </w:tcPr>
          <w:p w14:paraId="76888188" w14:textId="77777777" w:rsidR="00B22BF1" w:rsidRPr="00C23F0B" w:rsidRDefault="00B22BF1" w:rsidP="00B22BF1">
            <w:r w:rsidRPr="00C23F0B">
              <w:t>12</w:t>
            </w:r>
          </w:p>
        </w:tc>
        <w:tc>
          <w:tcPr>
            <w:tcW w:w="7159" w:type="dxa"/>
          </w:tcPr>
          <w:p w14:paraId="6DDE401B" w14:textId="0B68E001" w:rsidR="00B22BF1" w:rsidRPr="00C23F0B" w:rsidRDefault="00A769AE" w:rsidP="00B22BF1">
            <w:r w:rsidRPr="00C23F0B">
              <w:t>Cuadragésima quinta serie de textos sometidos por la Comisión de Redacción (B45) – segunda lectura</w:t>
            </w:r>
          </w:p>
        </w:tc>
        <w:tc>
          <w:tcPr>
            <w:tcW w:w="2338" w:type="dxa"/>
          </w:tcPr>
          <w:p w14:paraId="024E35D6" w14:textId="703EF72B" w:rsidR="00B22BF1" w:rsidRPr="00C23F0B" w:rsidRDefault="009421A8" w:rsidP="009421A8">
            <w:pPr>
              <w:jc w:val="center"/>
            </w:pPr>
            <w:r w:rsidRPr="00C23F0B">
              <w:rPr>
                <w:bCs/>
              </w:rPr>
              <w:t>507, 509</w:t>
            </w:r>
          </w:p>
        </w:tc>
      </w:tr>
      <w:tr w:rsidR="00B22BF1" w:rsidRPr="00C23F0B" w14:paraId="7B88FF5A" w14:textId="77777777" w:rsidTr="00A06ADC">
        <w:tc>
          <w:tcPr>
            <w:tcW w:w="534" w:type="dxa"/>
          </w:tcPr>
          <w:p w14:paraId="3741E278" w14:textId="77777777" w:rsidR="00B22BF1" w:rsidRPr="00C23F0B" w:rsidRDefault="00B22BF1" w:rsidP="00B22BF1">
            <w:r w:rsidRPr="00C23F0B">
              <w:lastRenderedPageBreak/>
              <w:t>13</w:t>
            </w:r>
          </w:p>
        </w:tc>
        <w:tc>
          <w:tcPr>
            <w:tcW w:w="7159" w:type="dxa"/>
          </w:tcPr>
          <w:p w14:paraId="7599D488" w14:textId="46C7A58A" w:rsidR="00B22BF1" w:rsidRPr="00C23F0B" w:rsidRDefault="00A769AE" w:rsidP="00B22BF1">
            <w:r w:rsidRPr="00C23F0B">
              <w:t>Cuadragésima sexta serie de textos sometidos por la Comisión de Redacción en primera lectura (B46)</w:t>
            </w:r>
          </w:p>
        </w:tc>
        <w:tc>
          <w:tcPr>
            <w:tcW w:w="2338" w:type="dxa"/>
          </w:tcPr>
          <w:p w14:paraId="297B556D" w14:textId="78B52170" w:rsidR="00B22BF1" w:rsidRPr="00C23F0B" w:rsidRDefault="009421A8" w:rsidP="009421A8">
            <w:pPr>
              <w:jc w:val="center"/>
            </w:pPr>
            <w:r w:rsidRPr="00C23F0B">
              <w:rPr>
                <w:bCs/>
              </w:rPr>
              <w:t>508, 510</w:t>
            </w:r>
          </w:p>
        </w:tc>
      </w:tr>
      <w:tr w:rsidR="009421A8" w:rsidRPr="00C23F0B" w14:paraId="24D10904" w14:textId="77777777" w:rsidTr="00A06ADC">
        <w:tc>
          <w:tcPr>
            <w:tcW w:w="534" w:type="dxa"/>
          </w:tcPr>
          <w:p w14:paraId="4AFE59C1" w14:textId="34C9C1DC" w:rsidR="009421A8" w:rsidRPr="00C23F0B" w:rsidRDefault="009421A8" w:rsidP="00B22BF1">
            <w:r w:rsidRPr="00C23F0B">
              <w:t>14</w:t>
            </w:r>
          </w:p>
        </w:tc>
        <w:tc>
          <w:tcPr>
            <w:tcW w:w="7159" w:type="dxa"/>
          </w:tcPr>
          <w:p w14:paraId="1AC61676" w14:textId="0FB1B45D" w:rsidR="00A769AE" w:rsidRPr="00C23F0B" w:rsidRDefault="00A769AE" w:rsidP="00B22BF1">
            <w:r w:rsidRPr="00C23F0B">
              <w:t>Tercera serie de textos sometidos por la Comisión de Redacción en segunda lectura (R</w:t>
            </w:r>
            <w:r w:rsidR="00E95AD9" w:rsidRPr="00C23F0B">
              <w:t>3</w:t>
            </w:r>
            <w:r w:rsidRPr="00C23F0B">
              <w:t>)</w:t>
            </w:r>
          </w:p>
        </w:tc>
        <w:tc>
          <w:tcPr>
            <w:tcW w:w="2338" w:type="dxa"/>
          </w:tcPr>
          <w:p w14:paraId="3C585C13" w14:textId="3DE5E683" w:rsidR="009421A8" w:rsidRPr="00C23F0B" w:rsidRDefault="009421A8" w:rsidP="009421A8">
            <w:pPr>
              <w:jc w:val="center"/>
              <w:rPr>
                <w:bCs/>
              </w:rPr>
            </w:pPr>
            <w:r w:rsidRPr="00C23F0B">
              <w:rPr>
                <w:bCs/>
              </w:rPr>
              <w:t>498</w:t>
            </w:r>
          </w:p>
        </w:tc>
      </w:tr>
      <w:tr w:rsidR="009421A8" w:rsidRPr="00C23F0B" w14:paraId="21569F8B" w14:textId="77777777" w:rsidTr="00A06ADC">
        <w:tc>
          <w:tcPr>
            <w:tcW w:w="534" w:type="dxa"/>
          </w:tcPr>
          <w:p w14:paraId="56F8F7CF" w14:textId="29FA4033" w:rsidR="009421A8" w:rsidRPr="00C23F0B" w:rsidRDefault="009421A8" w:rsidP="00B22BF1">
            <w:r w:rsidRPr="00C23F0B">
              <w:t>15</w:t>
            </w:r>
          </w:p>
        </w:tc>
        <w:tc>
          <w:tcPr>
            <w:tcW w:w="7159" w:type="dxa"/>
          </w:tcPr>
          <w:p w14:paraId="2847A056" w14:textId="7840AEE9" w:rsidR="009421A8" w:rsidRPr="00686E85" w:rsidRDefault="00686E85" w:rsidP="00B22BF1">
            <w:pPr>
              <w:rPr>
                <w:lang w:val="es-ES"/>
              </w:rPr>
            </w:pPr>
            <w:r w:rsidRPr="00686E85">
              <w:rPr>
                <w:lang w:val="es-ES"/>
              </w:rPr>
              <w:t>Comentarios generales y organización de los trabajos</w:t>
            </w:r>
          </w:p>
        </w:tc>
        <w:tc>
          <w:tcPr>
            <w:tcW w:w="2338" w:type="dxa"/>
          </w:tcPr>
          <w:p w14:paraId="5EDEB871" w14:textId="345C4B14" w:rsidR="009421A8" w:rsidRPr="00C23F0B" w:rsidRDefault="009421A8" w:rsidP="009421A8">
            <w:pPr>
              <w:jc w:val="center"/>
              <w:rPr>
                <w:bCs/>
              </w:rPr>
            </w:pPr>
            <w:r w:rsidRPr="00C23F0B">
              <w:rPr>
                <w:bCs/>
              </w:rPr>
              <w:t>–</w:t>
            </w:r>
          </w:p>
        </w:tc>
      </w:tr>
    </w:tbl>
    <w:p w14:paraId="1E664044" w14:textId="53BC4419" w:rsidR="003B25F7" w:rsidRPr="00C23F0B" w:rsidRDefault="003B25F7" w:rsidP="009421A8">
      <w:r w:rsidRPr="00C23F0B">
        <w:br w:type="page"/>
      </w:r>
    </w:p>
    <w:p w14:paraId="0287E224" w14:textId="64497C1E" w:rsidR="009421A8" w:rsidRPr="00C23F0B" w:rsidRDefault="009421A8" w:rsidP="009421A8">
      <w:pPr>
        <w:pStyle w:val="Heading1"/>
      </w:pPr>
      <w:r w:rsidRPr="00C23F0B">
        <w:lastRenderedPageBreak/>
        <w:t>1</w:t>
      </w:r>
      <w:r w:rsidRPr="00C23F0B">
        <w:tab/>
        <w:t>Informes orales de los Presidentes de las Comisiones y de l</w:t>
      </w:r>
      <w:r w:rsidR="00803D45">
        <w:t>os</w:t>
      </w:r>
      <w:r w:rsidRPr="00C23F0B">
        <w:t xml:space="preserve"> President</w:t>
      </w:r>
      <w:r w:rsidR="00803D45">
        <w:t>es</w:t>
      </w:r>
      <w:r w:rsidRPr="00C23F0B">
        <w:t xml:space="preserve"> de</w:t>
      </w:r>
      <w:r w:rsidR="00803D45">
        <w:t xml:space="preserve"> </w:t>
      </w:r>
      <w:r w:rsidRPr="00C23F0B">
        <w:t>l</w:t>
      </w:r>
      <w:r w:rsidR="00803D45">
        <w:t>os</w:t>
      </w:r>
      <w:r w:rsidRPr="00C23F0B">
        <w:t xml:space="preserve"> Grupo</w:t>
      </w:r>
      <w:r w:rsidR="00803D45">
        <w:t>s</w:t>
      </w:r>
      <w:r w:rsidRPr="00C23F0B">
        <w:t xml:space="preserve"> </w:t>
      </w:r>
      <w:r w:rsidRPr="00C23F0B">
        <w:rPr>
          <w:i/>
          <w:iCs/>
        </w:rPr>
        <w:t>ad hoc</w:t>
      </w:r>
      <w:r w:rsidRPr="00C23F0B">
        <w:t xml:space="preserve"> de la Plenaria</w:t>
      </w:r>
    </w:p>
    <w:p w14:paraId="31FB357B" w14:textId="13F9A0DD" w:rsidR="009421A8" w:rsidRPr="00C23F0B" w:rsidRDefault="009421A8" w:rsidP="009421A8">
      <w:r w:rsidRPr="00C23F0B">
        <w:t>1.1</w:t>
      </w:r>
      <w:r w:rsidRPr="00C23F0B">
        <w:tab/>
      </w:r>
      <w:bookmarkStart w:id="10" w:name="lt_pId066"/>
      <w:r w:rsidR="0069267F" w:rsidRPr="0069267F">
        <w:t xml:space="preserve">El </w:t>
      </w:r>
      <w:r w:rsidR="0069267F" w:rsidRPr="0069267F">
        <w:rPr>
          <w:b/>
          <w:bCs/>
        </w:rPr>
        <w:t>Presidente de la Comisión 2</w:t>
      </w:r>
      <w:r w:rsidR="0069267F" w:rsidRPr="0069267F">
        <w:t xml:space="preserve"> inform</w:t>
      </w:r>
      <w:r w:rsidR="0069267F">
        <w:t>a</w:t>
      </w:r>
      <w:r w:rsidR="0069267F" w:rsidRPr="0069267F">
        <w:t xml:space="preserve"> de que su </w:t>
      </w:r>
      <w:r w:rsidR="0069267F">
        <w:t>C</w:t>
      </w:r>
      <w:r w:rsidR="0069267F" w:rsidRPr="0069267F">
        <w:t xml:space="preserve">omisión ha recibido y aprobado dos nuevas credenciales desde la anterior Sesión Plenaria y ha actualizado su informe en consecuencia. Hasta la fecha, </w:t>
      </w:r>
      <w:r w:rsidR="0069267F">
        <w:t xml:space="preserve">la Comisión </w:t>
      </w:r>
      <w:r w:rsidR="0069267F" w:rsidRPr="0069267F">
        <w:t>ha recibido 139 credenciales de los 163 Estados Miembros participantes en la Conferencia. También ha recibido un poder y un traspaso de poderes</w:t>
      </w:r>
      <w:r w:rsidRPr="00C23F0B">
        <w:t>.</w:t>
      </w:r>
      <w:bookmarkEnd w:id="10"/>
    </w:p>
    <w:p w14:paraId="32E93BD9" w14:textId="0641FE62" w:rsidR="009421A8" w:rsidRPr="00C23F0B" w:rsidRDefault="009421A8" w:rsidP="009421A8">
      <w:r w:rsidRPr="00C23F0B">
        <w:t>1.2</w:t>
      </w:r>
      <w:r w:rsidRPr="00C23F0B">
        <w:tab/>
        <w:t xml:space="preserve">Se </w:t>
      </w:r>
      <w:r w:rsidRPr="00C23F0B">
        <w:rPr>
          <w:b/>
          <w:bCs/>
        </w:rPr>
        <w:t>toma nota</w:t>
      </w:r>
      <w:r w:rsidRPr="00C23F0B">
        <w:t xml:space="preserve"> del informe oral del Presidente de la Comisión 2.</w:t>
      </w:r>
    </w:p>
    <w:p w14:paraId="56808064" w14:textId="24905073" w:rsidR="009421A8" w:rsidRPr="00C23F0B" w:rsidRDefault="009421A8" w:rsidP="009421A8">
      <w:r w:rsidRPr="00C23F0B">
        <w:t>1.3</w:t>
      </w:r>
      <w:r w:rsidRPr="00C23F0B">
        <w:tab/>
      </w:r>
      <w:bookmarkStart w:id="11" w:name="lt_pId071"/>
      <w:r w:rsidR="00651114" w:rsidRPr="00651114">
        <w:t xml:space="preserve">El </w:t>
      </w:r>
      <w:r w:rsidR="00651114" w:rsidRPr="00651114">
        <w:rPr>
          <w:b/>
          <w:bCs/>
        </w:rPr>
        <w:t>Presidente de la Comisión 3</w:t>
      </w:r>
      <w:r w:rsidR="00651114" w:rsidRPr="00651114">
        <w:t xml:space="preserve"> informa de que su Comisión ha recibido y examinado dos proyectos de nuevas Resoluciones y modificaciones de los números </w:t>
      </w:r>
      <w:r w:rsidR="00651114" w:rsidRPr="00651114">
        <w:rPr>
          <w:b/>
          <w:bCs/>
        </w:rPr>
        <w:t>9.36</w:t>
      </w:r>
      <w:r w:rsidR="00651114" w:rsidRPr="00651114">
        <w:t xml:space="preserve"> y </w:t>
      </w:r>
      <w:r w:rsidR="00651114" w:rsidRPr="00651114">
        <w:rPr>
          <w:b/>
          <w:bCs/>
        </w:rPr>
        <w:t>9.53A</w:t>
      </w:r>
      <w:r w:rsidR="00651114" w:rsidRPr="00651114">
        <w:t xml:space="preserve"> del Reglamento de Radiocomunicaciones, así como de los Apéndices </w:t>
      </w:r>
      <w:r w:rsidR="00651114" w:rsidRPr="00651114">
        <w:rPr>
          <w:b/>
          <w:bCs/>
        </w:rPr>
        <w:t>30, 30A</w:t>
      </w:r>
      <w:r w:rsidR="00651114" w:rsidRPr="00651114">
        <w:t xml:space="preserve"> y </w:t>
      </w:r>
      <w:r w:rsidR="00651114" w:rsidRPr="00651114">
        <w:rPr>
          <w:b/>
          <w:bCs/>
        </w:rPr>
        <w:t>30B</w:t>
      </w:r>
      <w:r w:rsidR="00651114" w:rsidRPr="00651114">
        <w:t>. La Comisión ha evaluado las repercusiones financieras de esos cambios y presentar</w:t>
      </w:r>
      <w:r w:rsidR="00651114">
        <w:t>á</w:t>
      </w:r>
      <w:r w:rsidR="00651114" w:rsidRPr="00651114">
        <w:t xml:space="preserve"> sus conclusiones a la Plenaria en el Documento</w:t>
      </w:r>
      <w:r w:rsidR="00651114">
        <w:t xml:space="preserve"> </w:t>
      </w:r>
      <w:r w:rsidRPr="00C23F0B">
        <w:t>337(Rev.1).</w:t>
      </w:r>
      <w:bookmarkEnd w:id="11"/>
    </w:p>
    <w:p w14:paraId="28A104F8" w14:textId="4CF8DEB7" w:rsidR="009421A8" w:rsidRPr="00C23F0B" w:rsidRDefault="009421A8" w:rsidP="009421A8">
      <w:r w:rsidRPr="00C23F0B">
        <w:t>1.4</w:t>
      </w:r>
      <w:r w:rsidRPr="00C23F0B">
        <w:tab/>
        <w:t xml:space="preserve">Se </w:t>
      </w:r>
      <w:r w:rsidRPr="00C23F0B">
        <w:rPr>
          <w:b/>
          <w:bCs/>
        </w:rPr>
        <w:t>toma nota</w:t>
      </w:r>
      <w:r w:rsidRPr="00C23F0B">
        <w:t xml:space="preserve"> del informe oral del Presidente de la Comisión 3.</w:t>
      </w:r>
    </w:p>
    <w:p w14:paraId="62A2BB66" w14:textId="5DFE9FAC" w:rsidR="009421A8" w:rsidRPr="00C23F0B" w:rsidRDefault="009421A8" w:rsidP="009421A8">
      <w:r w:rsidRPr="00C23F0B">
        <w:t>1.5</w:t>
      </w:r>
      <w:r w:rsidRPr="00C23F0B">
        <w:tab/>
      </w:r>
      <w:bookmarkStart w:id="12" w:name="lt_pId076"/>
      <w:r w:rsidR="00D56218">
        <w:t>El</w:t>
      </w:r>
      <w:r w:rsidR="0023791D">
        <w:t xml:space="preserve"> </w:t>
      </w:r>
      <w:r w:rsidR="0023791D" w:rsidRPr="0023791D">
        <w:rPr>
          <w:b/>
          <w:bCs/>
        </w:rPr>
        <w:t xml:space="preserve">Presidente del Grupo </w:t>
      </w:r>
      <w:r w:rsidR="0023791D" w:rsidRPr="00686E85">
        <w:rPr>
          <w:b/>
          <w:bCs/>
          <w:i/>
          <w:iCs/>
        </w:rPr>
        <w:t>ad hoc</w:t>
      </w:r>
      <w:r w:rsidR="0023791D" w:rsidRPr="0023791D">
        <w:rPr>
          <w:b/>
          <w:bCs/>
        </w:rPr>
        <w:t xml:space="preserve"> </w:t>
      </w:r>
      <w:r w:rsidR="0023791D">
        <w:rPr>
          <w:b/>
          <w:bCs/>
        </w:rPr>
        <w:t xml:space="preserve">4A </w:t>
      </w:r>
      <w:r w:rsidR="0023791D" w:rsidRPr="0023791D">
        <w:rPr>
          <w:b/>
          <w:bCs/>
        </w:rPr>
        <w:t>de</w:t>
      </w:r>
      <w:r w:rsidR="0023791D">
        <w:rPr>
          <w:b/>
          <w:bCs/>
        </w:rPr>
        <w:t xml:space="preserve"> </w:t>
      </w:r>
      <w:r w:rsidR="0023791D" w:rsidRPr="0023791D">
        <w:rPr>
          <w:b/>
          <w:bCs/>
        </w:rPr>
        <w:t>l</w:t>
      </w:r>
      <w:r w:rsidR="0023791D">
        <w:rPr>
          <w:b/>
          <w:bCs/>
        </w:rPr>
        <w:t>a</w:t>
      </w:r>
      <w:r w:rsidR="0023791D" w:rsidRPr="0023791D">
        <w:rPr>
          <w:b/>
          <w:bCs/>
        </w:rPr>
        <w:t xml:space="preserve"> Plenari</w:t>
      </w:r>
      <w:r w:rsidR="0023791D">
        <w:rPr>
          <w:b/>
          <w:bCs/>
        </w:rPr>
        <w:t>a</w:t>
      </w:r>
      <w:r w:rsidR="0023791D" w:rsidRPr="0023791D">
        <w:t xml:space="preserve"> informa que su </w:t>
      </w:r>
      <w:r w:rsidR="0023791D">
        <w:t>G</w:t>
      </w:r>
      <w:r w:rsidR="0023791D" w:rsidRPr="0023791D">
        <w:t xml:space="preserve">rupo aún no ha celebrado una reunión oficial y se ha </w:t>
      </w:r>
      <w:r w:rsidR="0023791D">
        <w:t>con</w:t>
      </w:r>
      <w:r w:rsidR="0023791D" w:rsidRPr="0023791D">
        <w:t xml:space="preserve">centrado en </w:t>
      </w:r>
      <w:r w:rsidR="0023791D">
        <w:t xml:space="preserve">adelantar </w:t>
      </w:r>
      <w:r w:rsidR="0023791D" w:rsidRPr="0023791D">
        <w:t xml:space="preserve">la coordinación interregional y en los debates oficiosos para resolver las cuestiones pendientes. Se ha programado una reunión completa más </w:t>
      </w:r>
      <w:r w:rsidR="00B515BC">
        <w:t xml:space="preserve">tarde </w:t>
      </w:r>
      <w:r w:rsidR="0023791D" w:rsidRPr="0023791D">
        <w:t>ese día con el fin de examinar los resultados y los progresos realizados durante las consultas oficiosas</w:t>
      </w:r>
      <w:r w:rsidRPr="00C23F0B">
        <w:t>.</w:t>
      </w:r>
      <w:bookmarkEnd w:id="12"/>
    </w:p>
    <w:p w14:paraId="17FC259A" w14:textId="2B69E849" w:rsidR="009421A8" w:rsidRPr="00C23F0B" w:rsidRDefault="009421A8" w:rsidP="009421A8">
      <w:pPr>
        <w:rPr>
          <w:b/>
          <w:bCs/>
        </w:rPr>
      </w:pPr>
      <w:r w:rsidRPr="00C23F0B">
        <w:t>1.6</w:t>
      </w:r>
      <w:r w:rsidRPr="00C23F0B">
        <w:tab/>
      </w:r>
      <w:bookmarkStart w:id="13" w:name="lt_pId078"/>
      <w:r w:rsidR="00651114" w:rsidRPr="00C23F0B">
        <w:t xml:space="preserve">Se </w:t>
      </w:r>
      <w:r w:rsidR="00651114" w:rsidRPr="00C23F0B">
        <w:rPr>
          <w:b/>
          <w:bCs/>
        </w:rPr>
        <w:t>toma nota</w:t>
      </w:r>
      <w:r w:rsidR="00651114" w:rsidRPr="00C23F0B">
        <w:t xml:space="preserve"> del informe oral </w:t>
      </w:r>
      <w:r w:rsidR="0017368A">
        <w:t>del Presidente</w:t>
      </w:r>
      <w:r w:rsidR="00651114" w:rsidRPr="00C23F0B">
        <w:t xml:space="preserve"> </w:t>
      </w:r>
      <w:r w:rsidR="00651114">
        <w:t xml:space="preserve">del Grupo </w:t>
      </w:r>
      <w:r w:rsidR="00631810" w:rsidRPr="00686E85">
        <w:rPr>
          <w:i/>
          <w:iCs/>
        </w:rPr>
        <w:t>a</w:t>
      </w:r>
      <w:r w:rsidRPr="00686E85">
        <w:rPr>
          <w:i/>
          <w:iCs/>
        </w:rPr>
        <w:t>d hoc</w:t>
      </w:r>
      <w:r w:rsidRPr="00C23F0B">
        <w:t xml:space="preserve"> </w:t>
      </w:r>
      <w:r w:rsidR="00651114" w:rsidRPr="00C23F0B">
        <w:t xml:space="preserve">4A </w:t>
      </w:r>
      <w:r w:rsidR="00651114">
        <w:t>de la Plenaria</w:t>
      </w:r>
      <w:r w:rsidRPr="00C23F0B">
        <w:t>.</w:t>
      </w:r>
      <w:bookmarkEnd w:id="13"/>
    </w:p>
    <w:p w14:paraId="3F3B4DDA" w14:textId="23C5C2FA" w:rsidR="009421A8" w:rsidRPr="00C23F0B" w:rsidRDefault="009421A8" w:rsidP="009421A8">
      <w:r w:rsidRPr="00C23F0B">
        <w:t>1.7</w:t>
      </w:r>
      <w:r w:rsidRPr="00C23F0B">
        <w:tab/>
      </w:r>
      <w:bookmarkStart w:id="14" w:name="lt_pId083"/>
      <w:r w:rsidR="00E323EE" w:rsidRPr="00E323EE">
        <w:t xml:space="preserve">El </w:t>
      </w:r>
      <w:r w:rsidR="00E323EE" w:rsidRPr="00E323EE">
        <w:rPr>
          <w:b/>
          <w:bCs/>
        </w:rPr>
        <w:t xml:space="preserve">Presidente del Grupo </w:t>
      </w:r>
      <w:r w:rsidR="00E323EE" w:rsidRPr="00686E85">
        <w:rPr>
          <w:b/>
          <w:bCs/>
          <w:i/>
          <w:iCs/>
        </w:rPr>
        <w:t>ad hoc</w:t>
      </w:r>
      <w:r w:rsidR="00E323EE" w:rsidRPr="00E323EE">
        <w:rPr>
          <w:b/>
          <w:bCs/>
        </w:rPr>
        <w:t xml:space="preserve"> 4B1</w:t>
      </w:r>
      <w:r w:rsidR="00E323EE" w:rsidRPr="00E323EE">
        <w:t xml:space="preserve"> </w:t>
      </w:r>
      <w:r w:rsidR="00E323EE" w:rsidRPr="00E323EE">
        <w:rPr>
          <w:b/>
          <w:bCs/>
        </w:rPr>
        <w:t xml:space="preserve">de la Plenaria </w:t>
      </w:r>
      <w:r w:rsidR="00E323EE" w:rsidRPr="00E323EE">
        <w:t>inform</w:t>
      </w:r>
      <w:r w:rsidR="00E323EE">
        <w:t>a</w:t>
      </w:r>
      <w:r w:rsidR="00E323EE" w:rsidRPr="00E323EE">
        <w:t xml:space="preserve"> que los trabajos sobre el punto 1.14 del orden del día </w:t>
      </w:r>
      <w:r w:rsidR="00232EA2">
        <w:t xml:space="preserve">han concluido </w:t>
      </w:r>
      <w:r w:rsidR="00E323EE" w:rsidRPr="00E323EE">
        <w:t xml:space="preserve">con la adopción de varios documentos, entre ellos </w:t>
      </w:r>
      <w:r w:rsidR="00A26DC7">
        <w:t xml:space="preserve">el acuerdo de un </w:t>
      </w:r>
      <w:r w:rsidR="00E323EE" w:rsidRPr="00E323EE">
        <w:t xml:space="preserve">conjunto que no </w:t>
      </w:r>
      <w:r w:rsidR="00631810">
        <w:t>incluye</w:t>
      </w:r>
      <w:r w:rsidR="00E323EE" w:rsidRPr="00E323EE">
        <w:t xml:space="preserve"> cambio </w:t>
      </w:r>
      <w:r w:rsidR="00631810">
        <w:t xml:space="preserve">alguno </w:t>
      </w:r>
      <w:r w:rsidR="00E323EE" w:rsidRPr="00E323EE">
        <w:t>en las bandas de 6 y 28 GHz, nuevas identificaciones y modificaciones de las identificaciones existentes en las bandas de 21</w:t>
      </w:r>
      <w:r w:rsidR="00A26DC7">
        <w:t xml:space="preserve"> GHz, </w:t>
      </w:r>
      <w:r w:rsidR="00E323EE" w:rsidRPr="00E323EE">
        <w:t>47</w:t>
      </w:r>
      <w:r w:rsidR="00631810">
        <w:t> </w:t>
      </w:r>
      <w:r w:rsidR="00E323EE" w:rsidRPr="00E323EE">
        <w:t>GHz, 31 GHz, 26 GHz y 38 GHz en ambos sentidos. El Artículo 11, el Apéndice 7 y el Apéndice 4 se han modificado en consecuencia. Los Documentos 404 y 407 se retirar</w:t>
      </w:r>
      <w:r w:rsidR="00CE648A">
        <w:t>á</w:t>
      </w:r>
      <w:r w:rsidR="00E323EE" w:rsidRPr="00E323EE">
        <w:t xml:space="preserve">n y se ha preparado revisiones </w:t>
      </w:r>
      <w:r w:rsidR="00CE648A">
        <w:t>de</w:t>
      </w:r>
      <w:r w:rsidR="00E323EE" w:rsidRPr="00E323EE">
        <w:t xml:space="preserve"> los Documentos 369, 403, 405, 406, 408 y 410. </w:t>
      </w:r>
      <w:r w:rsidR="00CE648A">
        <w:t>También s</w:t>
      </w:r>
      <w:r w:rsidR="00E323EE" w:rsidRPr="00E323EE">
        <w:t xml:space="preserve">e han introducido pequeños cambios </w:t>
      </w:r>
      <w:r w:rsidR="00CE648A">
        <w:t xml:space="preserve">de edición </w:t>
      </w:r>
      <w:r w:rsidR="00E323EE" w:rsidRPr="00E323EE">
        <w:t>en la Resolución relativa a la banda de 6 GHz para suprimir el texto relativo a las medidas propuestas en la CMR-15</w:t>
      </w:r>
      <w:r w:rsidRPr="00C23F0B">
        <w:t>.</w:t>
      </w:r>
      <w:bookmarkEnd w:id="14"/>
    </w:p>
    <w:p w14:paraId="612673EB" w14:textId="563BE6D9" w:rsidR="009421A8" w:rsidRPr="00C23F0B" w:rsidRDefault="009421A8" w:rsidP="009421A8">
      <w:pPr>
        <w:rPr>
          <w:b/>
          <w:bCs/>
        </w:rPr>
      </w:pPr>
      <w:r w:rsidRPr="00C23F0B">
        <w:t>1.8</w:t>
      </w:r>
      <w:r w:rsidRPr="00C23F0B">
        <w:tab/>
      </w:r>
      <w:bookmarkStart w:id="15" w:name="lt_pId085"/>
      <w:r w:rsidR="00B515BC" w:rsidRPr="00C23F0B">
        <w:t xml:space="preserve">Se </w:t>
      </w:r>
      <w:r w:rsidR="00B515BC" w:rsidRPr="00C23F0B">
        <w:rPr>
          <w:b/>
          <w:bCs/>
        </w:rPr>
        <w:t>toma nota</w:t>
      </w:r>
      <w:r w:rsidR="00B515BC" w:rsidRPr="00C23F0B">
        <w:t xml:space="preserve"> del informe oral </w:t>
      </w:r>
      <w:r w:rsidR="0017368A">
        <w:t>del Presidente</w:t>
      </w:r>
      <w:r w:rsidR="00B515BC" w:rsidRPr="00C23F0B">
        <w:t xml:space="preserve"> </w:t>
      </w:r>
      <w:r w:rsidR="00B515BC">
        <w:t xml:space="preserve">del Grupo </w:t>
      </w:r>
      <w:r w:rsidR="00631810" w:rsidRPr="00686E85">
        <w:rPr>
          <w:i/>
          <w:iCs/>
        </w:rPr>
        <w:t>a</w:t>
      </w:r>
      <w:r w:rsidR="00B515BC" w:rsidRPr="00686E85">
        <w:rPr>
          <w:i/>
          <w:iCs/>
        </w:rPr>
        <w:t>d hoc</w:t>
      </w:r>
      <w:r w:rsidR="00B515BC" w:rsidRPr="00C23F0B">
        <w:t xml:space="preserve"> </w:t>
      </w:r>
      <w:r w:rsidR="00B515BC">
        <w:t>4B1</w:t>
      </w:r>
      <w:r w:rsidR="00B515BC" w:rsidRPr="00C23F0B">
        <w:t xml:space="preserve"> </w:t>
      </w:r>
      <w:r w:rsidR="00B515BC">
        <w:t>de la Plenaria</w:t>
      </w:r>
      <w:r w:rsidRPr="00C23F0B">
        <w:t>.</w:t>
      </w:r>
      <w:bookmarkEnd w:id="15"/>
    </w:p>
    <w:p w14:paraId="1B39E267" w14:textId="3B501215" w:rsidR="009421A8" w:rsidRPr="00C23F0B" w:rsidRDefault="009421A8" w:rsidP="009421A8">
      <w:r w:rsidRPr="00C23F0B">
        <w:t>1.9</w:t>
      </w:r>
      <w:r w:rsidRPr="00C23F0B">
        <w:tab/>
      </w:r>
      <w:bookmarkStart w:id="16" w:name="lt_pId089"/>
      <w:r w:rsidR="00A317F9" w:rsidRPr="00A317F9">
        <w:t xml:space="preserve">El </w:t>
      </w:r>
      <w:r w:rsidR="00A317F9" w:rsidRPr="00A317F9">
        <w:rPr>
          <w:b/>
          <w:bCs/>
        </w:rPr>
        <w:t xml:space="preserve">Presidente del Grupo </w:t>
      </w:r>
      <w:r w:rsidR="00A317F9" w:rsidRPr="00686E85">
        <w:rPr>
          <w:b/>
          <w:bCs/>
          <w:i/>
          <w:iCs/>
        </w:rPr>
        <w:t>ad hoc</w:t>
      </w:r>
      <w:r w:rsidR="00A317F9" w:rsidRPr="00A317F9">
        <w:rPr>
          <w:b/>
          <w:bCs/>
        </w:rPr>
        <w:t xml:space="preserve"> 4B2</w:t>
      </w:r>
      <w:r w:rsidR="00A317F9" w:rsidRPr="00A317F9">
        <w:t xml:space="preserve"> </w:t>
      </w:r>
      <w:r w:rsidR="00A317F9" w:rsidRPr="00A317F9">
        <w:rPr>
          <w:b/>
          <w:bCs/>
        </w:rPr>
        <w:t xml:space="preserve">de la Plenaria </w:t>
      </w:r>
      <w:r w:rsidR="00A317F9" w:rsidRPr="00A317F9">
        <w:t>inform</w:t>
      </w:r>
      <w:r w:rsidR="00294541">
        <w:t>a</w:t>
      </w:r>
      <w:r w:rsidR="00A317F9" w:rsidRPr="00A317F9">
        <w:t xml:space="preserve"> de que su </w:t>
      </w:r>
      <w:r w:rsidR="00631810">
        <w:t>G</w:t>
      </w:r>
      <w:r w:rsidR="00A317F9" w:rsidRPr="00A317F9">
        <w:t xml:space="preserve">rupo se ha reunido el día anterior y ha sacado algunas conclusiones con respecto a la banda de 5,8 GHz, que espera </w:t>
      </w:r>
      <w:r w:rsidR="00294541">
        <w:t xml:space="preserve">se </w:t>
      </w:r>
      <w:r w:rsidR="00A317F9" w:rsidRPr="00A317F9">
        <w:t>presentar</w:t>
      </w:r>
      <w:r w:rsidR="00294541">
        <w:t>án</w:t>
      </w:r>
      <w:r w:rsidR="00A317F9" w:rsidRPr="00A317F9">
        <w:t xml:space="preserve"> en la próxima </w:t>
      </w:r>
      <w:r w:rsidR="00294541" w:rsidRPr="00A317F9">
        <w:t>Sesión Plenaria</w:t>
      </w:r>
      <w:r w:rsidR="00A317F9" w:rsidRPr="00A317F9">
        <w:t xml:space="preserve">. Se han mantenido </w:t>
      </w:r>
      <w:r w:rsidR="00294541">
        <w:t xml:space="preserve">intensos </w:t>
      </w:r>
      <w:r w:rsidR="00A317F9" w:rsidRPr="00A317F9">
        <w:t>debates sobre la cuestión de la banda de 51,50-52,50 GHz, que continuar</w:t>
      </w:r>
      <w:r w:rsidR="00294541">
        <w:t>á</w:t>
      </w:r>
      <w:r w:rsidR="00A317F9" w:rsidRPr="00A317F9">
        <w:t xml:space="preserve">n </w:t>
      </w:r>
      <w:r w:rsidR="0017368A">
        <w:t xml:space="preserve">de manera oficiosa </w:t>
      </w:r>
      <w:r w:rsidR="00A317F9" w:rsidRPr="00A317F9">
        <w:t xml:space="preserve">después de la presente </w:t>
      </w:r>
      <w:r w:rsidR="00294541" w:rsidRPr="00A317F9">
        <w:t>Sesión Plenaria</w:t>
      </w:r>
      <w:r w:rsidR="00A317F9" w:rsidRPr="00A317F9">
        <w:t xml:space="preserve">. Aunque espera que los debates </w:t>
      </w:r>
      <w:r w:rsidR="0017368A">
        <w:t>culminen en</w:t>
      </w:r>
      <w:r w:rsidR="00294541">
        <w:t xml:space="preserve"> </w:t>
      </w:r>
      <w:r w:rsidR="00A317F9" w:rsidRPr="00A317F9">
        <w:t xml:space="preserve">resultados constructivos, </w:t>
      </w:r>
      <w:r w:rsidR="00294541">
        <w:t xml:space="preserve">sigue habiendo </w:t>
      </w:r>
      <w:r w:rsidR="00A317F9" w:rsidRPr="00A317F9">
        <w:t>opiniones divergentes</w:t>
      </w:r>
      <w:r w:rsidRPr="00C23F0B">
        <w:t>.</w:t>
      </w:r>
      <w:bookmarkEnd w:id="16"/>
    </w:p>
    <w:p w14:paraId="16AF4FB4" w14:textId="30384808" w:rsidR="009421A8" w:rsidRPr="00C23F0B" w:rsidRDefault="009421A8" w:rsidP="009421A8">
      <w:pPr>
        <w:rPr>
          <w:b/>
          <w:bCs/>
        </w:rPr>
      </w:pPr>
      <w:r w:rsidRPr="00C23F0B">
        <w:t>1.10</w:t>
      </w:r>
      <w:r w:rsidRPr="00C23F0B">
        <w:tab/>
      </w:r>
      <w:bookmarkStart w:id="17" w:name="lt_pId091"/>
      <w:r w:rsidR="00CE648A" w:rsidRPr="00C23F0B">
        <w:t xml:space="preserve">Se </w:t>
      </w:r>
      <w:r w:rsidR="00CE648A" w:rsidRPr="00C23F0B">
        <w:rPr>
          <w:b/>
          <w:bCs/>
        </w:rPr>
        <w:t>toma nota</w:t>
      </w:r>
      <w:r w:rsidR="00CE648A" w:rsidRPr="00C23F0B">
        <w:t xml:space="preserve"> del informe oral </w:t>
      </w:r>
      <w:r w:rsidR="0017368A">
        <w:t>del Presidente</w:t>
      </w:r>
      <w:r w:rsidR="00CE648A" w:rsidRPr="00C23F0B">
        <w:t xml:space="preserve"> </w:t>
      </w:r>
      <w:r w:rsidR="00CE648A">
        <w:t xml:space="preserve">del Grupo </w:t>
      </w:r>
      <w:r w:rsidR="00686E85" w:rsidRPr="00686E85">
        <w:rPr>
          <w:i/>
          <w:iCs/>
        </w:rPr>
        <w:t>a</w:t>
      </w:r>
      <w:r w:rsidR="00CE648A" w:rsidRPr="00686E85">
        <w:rPr>
          <w:i/>
          <w:iCs/>
        </w:rPr>
        <w:t>d hoc</w:t>
      </w:r>
      <w:r w:rsidR="00CE648A" w:rsidRPr="00C23F0B">
        <w:t xml:space="preserve"> </w:t>
      </w:r>
      <w:r w:rsidR="00CE648A">
        <w:t>4B2</w:t>
      </w:r>
      <w:r w:rsidR="00CE648A" w:rsidRPr="00C23F0B">
        <w:t xml:space="preserve"> </w:t>
      </w:r>
      <w:r w:rsidR="00CE648A">
        <w:t>de la Plenaria</w:t>
      </w:r>
      <w:r w:rsidRPr="00C23F0B">
        <w:t>.</w:t>
      </w:r>
      <w:bookmarkEnd w:id="17"/>
    </w:p>
    <w:p w14:paraId="5E916E67" w14:textId="05850EDE" w:rsidR="009421A8" w:rsidRPr="00C23F0B" w:rsidRDefault="009421A8" w:rsidP="009421A8">
      <w:r w:rsidRPr="00C23F0B">
        <w:t>1.11</w:t>
      </w:r>
      <w:r w:rsidRPr="00C23F0B">
        <w:tab/>
      </w:r>
      <w:bookmarkStart w:id="18" w:name="lt_pId096"/>
      <w:r w:rsidR="005F730D" w:rsidRPr="005F730D">
        <w:t xml:space="preserve">El </w:t>
      </w:r>
      <w:r w:rsidR="005F730D" w:rsidRPr="005F730D">
        <w:rPr>
          <w:b/>
          <w:bCs/>
        </w:rPr>
        <w:t xml:space="preserve">Presidente del Grupo </w:t>
      </w:r>
      <w:r w:rsidR="005F730D" w:rsidRPr="00686E85">
        <w:rPr>
          <w:b/>
          <w:bCs/>
          <w:i/>
          <w:iCs/>
        </w:rPr>
        <w:t>ad hoc</w:t>
      </w:r>
      <w:r w:rsidR="005F730D" w:rsidRPr="005F730D">
        <w:rPr>
          <w:b/>
          <w:bCs/>
        </w:rPr>
        <w:t xml:space="preserve"> 4C</w:t>
      </w:r>
      <w:r w:rsidR="005F730D" w:rsidRPr="005F730D">
        <w:t xml:space="preserve"> </w:t>
      </w:r>
      <w:r w:rsidR="005F730D" w:rsidRPr="005F730D">
        <w:rPr>
          <w:b/>
          <w:bCs/>
        </w:rPr>
        <w:t>de</w:t>
      </w:r>
      <w:r w:rsidR="00660E5F">
        <w:rPr>
          <w:b/>
          <w:bCs/>
        </w:rPr>
        <w:t xml:space="preserve"> </w:t>
      </w:r>
      <w:r w:rsidR="005F730D" w:rsidRPr="005F730D">
        <w:rPr>
          <w:b/>
          <w:bCs/>
        </w:rPr>
        <w:t>l</w:t>
      </w:r>
      <w:r w:rsidR="00660E5F">
        <w:rPr>
          <w:b/>
          <w:bCs/>
        </w:rPr>
        <w:t>a</w:t>
      </w:r>
      <w:r w:rsidR="005F730D" w:rsidRPr="005F730D">
        <w:rPr>
          <w:b/>
          <w:bCs/>
        </w:rPr>
        <w:t xml:space="preserve"> Plenari</w:t>
      </w:r>
      <w:r w:rsidR="00660E5F">
        <w:rPr>
          <w:b/>
          <w:bCs/>
        </w:rPr>
        <w:t>a</w:t>
      </w:r>
      <w:r w:rsidR="005F730D" w:rsidRPr="005F730D">
        <w:rPr>
          <w:b/>
          <w:bCs/>
        </w:rPr>
        <w:t xml:space="preserve"> </w:t>
      </w:r>
      <w:r w:rsidR="005F730D" w:rsidRPr="005F730D">
        <w:t>inform</w:t>
      </w:r>
      <w:r w:rsidR="005F730D">
        <w:t>a</w:t>
      </w:r>
      <w:r w:rsidR="005F730D" w:rsidRPr="005F730D">
        <w:t xml:space="preserve"> que su </w:t>
      </w:r>
      <w:r w:rsidR="005F730D">
        <w:t>G</w:t>
      </w:r>
      <w:r w:rsidR="005F730D" w:rsidRPr="005F730D">
        <w:t xml:space="preserve">rupo se </w:t>
      </w:r>
      <w:r w:rsidR="0017368A">
        <w:t xml:space="preserve">reunió en </w:t>
      </w:r>
      <w:r w:rsidR="005F730D" w:rsidRPr="005F730D">
        <w:t xml:space="preserve">tres </w:t>
      </w:r>
      <w:r w:rsidR="0017368A">
        <w:t xml:space="preserve">ocasiones </w:t>
      </w:r>
      <w:r w:rsidR="005F730D" w:rsidRPr="005F730D">
        <w:t xml:space="preserve">el día anterior y que también ha celebrado una reunión de coordinación interregional antes de la presente </w:t>
      </w:r>
      <w:r w:rsidR="002763BB" w:rsidRPr="005F730D">
        <w:t xml:space="preserve">Sesión Plenaria </w:t>
      </w:r>
      <w:r w:rsidR="005F730D" w:rsidRPr="005F730D">
        <w:t xml:space="preserve">con el fin de </w:t>
      </w:r>
      <w:r w:rsidR="0017368A">
        <w:t>ponerse de acuerdo sobre cómo abordar</w:t>
      </w:r>
      <w:r w:rsidR="005F730D" w:rsidRPr="005F730D">
        <w:t xml:space="preserve"> las cuestiones pendientes. Los grupos regionales examinar</w:t>
      </w:r>
      <w:r w:rsidR="002763BB">
        <w:t>á</w:t>
      </w:r>
      <w:r w:rsidR="005F730D" w:rsidRPr="005F730D">
        <w:t xml:space="preserve">n los resultados de esas deliberaciones y </w:t>
      </w:r>
      <w:r w:rsidR="0017368A">
        <w:t>pro</w:t>
      </w:r>
      <w:r w:rsidR="002763BB">
        <w:t xml:space="preserve">seguirán </w:t>
      </w:r>
      <w:r w:rsidR="0017368A">
        <w:t>sus</w:t>
      </w:r>
      <w:r w:rsidR="005F730D" w:rsidRPr="005F730D">
        <w:t xml:space="preserve"> deliberaciones oficiosas. Se ha previsto que el </w:t>
      </w:r>
      <w:r w:rsidR="002763BB" w:rsidRPr="005F730D">
        <w:t xml:space="preserve">Grupo </w:t>
      </w:r>
      <w:r w:rsidR="002763BB" w:rsidRPr="000921C1">
        <w:rPr>
          <w:i/>
          <w:iCs/>
        </w:rPr>
        <w:t>ad hoc</w:t>
      </w:r>
      <w:r w:rsidR="002763BB">
        <w:t xml:space="preserve"> </w:t>
      </w:r>
      <w:r w:rsidR="005F730D" w:rsidRPr="005F730D">
        <w:t>se reúna más tarde ese mismo día para examinar las conclusiones de es</w:t>
      </w:r>
      <w:r w:rsidR="002763BB">
        <w:t xml:space="preserve">os debates </w:t>
      </w:r>
      <w:r w:rsidR="005F730D" w:rsidRPr="005F730D">
        <w:t>oficiosos. Conf</w:t>
      </w:r>
      <w:r w:rsidR="002763BB">
        <w:t>ía</w:t>
      </w:r>
      <w:r w:rsidR="005F730D" w:rsidRPr="005F730D">
        <w:t xml:space="preserve"> en que se lograr</w:t>
      </w:r>
      <w:r w:rsidR="002763BB">
        <w:t>á</w:t>
      </w:r>
      <w:r w:rsidR="005F730D" w:rsidRPr="005F730D">
        <w:t xml:space="preserve"> un resultado positivo</w:t>
      </w:r>
      <w:r w:rsidRPr="00C23F0B">
        <w:t>.</w:t>
      </w:r>
      <w:bookmarkEnd w:id="18"/>
    </w:p>
    <w:p w14:paraId="0C45403C" w14:textId="25F719FA" w:rsidR="009421A8" w:rsidRPr="00C23F0B" w:rsidRDefault="009421A8" w:rsidP="009421A8">
      <w:pPr>
        <w:rPr>
          <w:b/>
          <w:bCs/>
        </w:rPr>
      </w:pPr>
      <w:r w:rsidRPr="00C23F0B">
        <w:t>1.12</w:t>
      </w:r>
      <w:r w:rsidRPr="00C23F0B">
        <w:tab/>
      </w:r>
      <w:bookmarkStart w:id="19" w:name="lt_pId098"/>
      <w:r w:rsidR="00CE648A" w:rsidRPr="00C23F0B">
        <w:t xml:space="preserve">Se </w:t>
      </w:r>
      <w:r w:rsidR="00CE648A" w:rsidRPr="00C23F0B">
        <w:rPr>
          <w:b/>
          <w:bCs/>
        </w:rPr>
        <w:t>toma nota</w:t>
      </w:r>
      <w:r w:rsidR="00CE648A" w:rsidRPr="00C23F0B">
        <w:t xml:space="preserve"> del informe oral </w:t>
      </w:r>
      <w:r w:rsidR="0017368A">
        <w:t>del Presidente</w:t>
      </w:r>
      <w:r w:rsidR="00CE648A" w:rsidRPr="00C23F0B">
        <w:t xml:space="preserve"> </w:t>
      </w:r>
      <w:r w:rsidR="00CE648A">
        <w:t xml:space="preserve">del Grupo </w:t>
      </w:r>
      <w:r w:rsidR="00686E85" w:rsidRPr="00686E85">
        <w:rPr>
          <w:i/>
          <w:iCs/>
        </w:rPr>
        <w:t>a</w:t>
      </w:r>
      <w:r w:rsidR="00CE648A" w:rsidRPr="00686E85">
        <w:rPr>
          <w:i/>
          <w:iCs/>
        </w:rPr>
        <w:t>d hoc</w:t>
      </w:r>
      <w:r w:rsidR="00CE648A" w:rsidRPr="00C23F0B">
        <w:t xml:space="preserve"> </w:t>
      </w:r>
      <w:r w:rsidR="00CE648A">
        <w:t>4C</w:t>
      </w:r>
      <w:r w:rsidR="00CE648A" w:rsidRPr="00C23F0B">
        <w:t xml:space="preserve"> </w:t>
      </w:r>
      <w:r w:rsidR="00CE648A">
        <w:t>de la Plenaria</w:t>
      </w:r>
      <w:r w:rsidRPr="00C23F0B">
        <w:t>.</w:t>
      </w:r>
      <w:bookmarkEnd w:id="19"/>
    </w:p>
    <w:p w14:paraId="57BDF6F7" w14:textId="64B685F9" w:rsidR="009421A8" w:rsidRPr="00C23F0B" w:rsidRDefault="009421A8" w:rsidP="009421A8">
      <w:r w:rsidRPr="00C23F0B">
        <w:lastRenderedPageBreak/>
        <w:t>1.13</w:t>
      </w:r>
      <w:r w:rsidRPr="00C23F0B">
        <w:tab/>
      </w:r>
      <w:bookmarkStart w:id="20" w:name="lt_pId106"/>
      <w:r w:rsidR="00C0360B" w:rsidRPr="00C0360B">
        <w:t xml:space="preserve">El </w:t>
      </w:r>
      <w:r w:rsidR="00C0360B" w:rsidRPr="004D08CA">
        <w:rPr>
          <w:b/>
          <w:bCs/>
        </w:rPr>
        <w:t xml:space="preserve">Presidente del Grupo </w:t>
      </w:r>
      <w:r w:rsidR="00C0360B" w:rsidRPr="00686E85">
        <w:rPr>
          <w:b/>
          <w:bCs/>
          <w:i/>
          <w:iCs/>
        </w:rPr>
        <w:t>ad hoc</w:t>
      </w:r>
      <w:r w:rsidR="00C0360B" w:rsidRPr="004D08CA">
        <w:rPr>
          <w:b/>
          <w:bCs/>
        </w:rPr>
        <w:t xml:space="preserve"> </w:t>
      </w:r>
      <w:r w:rsidR="004D08CA" w:rsidRPr="004D08CA">
        <w:rPr>
          <w:b/>
          <w:bCs/>
        </w:rPr>
        <w:t xml:space="preserve">5A </w:t>
      </w:r>
      <w:r w:rsidR="00C0360B" w:rsidRPr="004D08CA">
        <w:rPr>
          <w:b/>
          <w:bCs/>
        </w:rPr>
        <w:t xml:space="preserve">de la Plenaria </w:t>
      </w:r>
      <w:r w:rsidR="00C0360B" w:rsidRPr="00C0360B">
        <w:t xml:space="preserve">informa que su grupo </w:t>
      </w:r>
      <w:r w:rsidR="0017368A">
        <w:t xml:space="preserve">estuvo </w:t>
      </w:r>
      <w:r w:rsidR="00C0360B" w:rsidRPr="00C0360B">
        <w:t>reunido hasta tarde la noche anterior para discutir los puntos 1.6 y 9.1 del orden del día</w:t>
      </w:r>
      <w:r w:rsidR="00A26DC7">
        <w:t xml:space="preserve"> (Tema</w:t>
      </w:r>
      <w:r w:rsidR="00686E85">
        <w:t> </w:t>
      </w:r>
      <w:r w:rsidR="00A26DC7">
        <w:t>9.1.3)</w:t>
      </w:r>
      <w:r w:rsidR="00C0360B" w:rsidRPr="00C0360B">
        <w:t>. Dos de las tres cuestiones pendientes sobre el punto 1.6 ha</w:t>
      </w:r>
      <w:r w:rsidR="004D08CA">
        <w:t>n</w:t>
      </w:r>
      <w:r w:rsidR="00C0360B" w:rsidRPr="00C0360B">
        <w:t xml:space="preserve"> sido resueltas. La cuestión relativa a la Resolución </w:t>
      </w:r>
      <w:r w:rsidR="00485F03" w:rsidRPr="00485F03">
        <w:rPr>
          <w:b/>
          <w:bCs/>
        </w:rPr>
        <w:t>750 (Rev.C</w:t>
      </w:r>
      <w:r w:rsidR="00485F03" w:rsidRPr="00485F03">
        <w:rPr>
          <w:b/>
          <w:bCs/>
        </w:rPr>
        <w:t>MR</w:t>
      </w:r>
      <w:r w:rsidR="00485F03" w:rsidRPr="00485F03">
        <w:rPr>
          <w:b/>
          <w:bCs/>
        </w:rPr>
        <w:t>-15)</w:t>
      </w:r>
      <w:r w:rsidR="00485F03" w:rsidRPr="00485F03">
        <w:t xml:space="preserve"> </w:t>
      </w:r>
      <w:r w:rsidR="00C0360B" w:rsidRPr="00C0360B">
        <w:t>sobre los límites aplicables se ha resuelto</w:t>
      </w:r>
      <w:r w:rsidR="004A0986">
        <w:t xml:space="preserve">, </w:t>
      </w:r>
      <w:r w:rsidR="00C0360B" w:rsidRPr="00C0360B">
        <w:t>acordando un límite de</w:t>
      </w:r>
      <w:r w:rsidR="00686E85">
        <w:t> –</w:t>
      </w:r>
      <w:r w:rsidR="00C0360B" w:rsidRPr="00C0360B">
        <w:t>30 dBW</w:t>
      </w:r>
      <w:r w:rsidR="00A26DC7">
        <w:t xml:space="preserve"> estipulado en el Cuadro 1.1</w:t>
      </w:r>
      <w:r w:rsidR="00C0360B" w:rsidRPr="00C0360B">
        <w:t xml:space="preserve">. En cuanto a la cuestión de las medidas transitorias, se había llegado a un consenso sobre una de las opciones y se había redactado una nota en la que se pedía a la Oficina de Radiocomunicaciones que aclarase la forma de aplicar la opción propuesta, si así se solicitaba. No se han </w:t>
      </w:r>
      <w:r w:rsidR="000C0C78">
        <w:t xml:space="preserve">registrado </w:t>
      </w:r>
      <w:r w:rsidR="00C0360B" w:rsidRPr="00C0360B">
        <w:t xml:space="preserve">progresos </w:t>
      </w:r>
      <w:r w:rsidR="000C0C78">
        <w:t>respecto d</w:t>
      </w:r>
      <w:r w:rsidR="00C0360B" w:rsidRPr="00C0360B">
        <w:t>el punto 9.1 del orden del día</w:t>
      </w:r>
      <w:r w:rsidR="00A26DC7">
        <w:t xml:space="preserve"> (Tema</w:t>
      </w:r>
      <w:r w:rsidR="00686E85">
        <w:t> </w:t>
      </w:r>
      <w:r w:rsidR="00A26DC7">
        <w:t>9.1.3)</w:t>
      </w:r>
      <w:r w:rsidR="00C0360B" w:rsidRPr="00C0360B">
        <w:t xml:space="preserve">. Algunas administraciones han </w:t>
      </w:r>
      <w:r w:rsidR="008406C2">
        <w:t>pedido</w:t>
      </w:r>
      <w:r w:rsidR="00C0360B" w:rsidRPr="00C0360B">
        <w:t xml:space="preserve"> más tiempo para examinar las opciones y consideran que las decisiones deb</w:t>
      </w:r>
      <w:r w:rsidR="000C0C78">
        <w:t>e</w:t>
      </w:r>
      <w:r w:rsidR="00C0360B" w:rsidRPr="00C0360B">
        <w:t xml:space="preserve">n adoptarse a nivel de los grupos regionales. También consideran que la decisión sobre la cuestión pendiente relativa al punto 1.6 </w:t>
      </w:r>
      <w:r w:rsidR="00A26DC7">
        <w:t>del orden del día</w:t>
      </w:r>
      <w:r w:rsidR="0017368A">
        <w:t xml:space="preserve"> </w:t>
      </w:r>
      <w:r w:rsidR="00C0360B" w:rsidRPr="00C0360B">
        <w:t>debe adoptarse también a un nivel más alto</w:t>
      </w:r>
      <w:r w:rsidRPr="00C23F0B">
        <w:t>.</w:t>
      </w:r>
      <w:bookmarkEnd w:id="20"/>
    </w:p>
    <w:p w14:paraId="2DB85246" w14:textId="3D9BF545" w:rsidR="009421A8" w:rsidRPr="006926B8" w:rsidRDefault="009421A8" w:rsidP="009421A8">
      <w:r w:rsidRPr="00C23F0B">
        <w:t>1.14</w:t>
      </w:r>
      <w:r w:rsidRPr="00C23F0B">
        <w:tab/>
      </w:r>
      <w:bookmarkStart w:id="21" w:name="lt_pId108"/>
      <w:r w:rsidR="00CE648A" w:rsidRPr="00C23F0B">
        <w:t xml:space="preserve">Se </w:t>
      </w:r>
      <w:r w:rsidR="00CE648A" w:rsidRPr="00C23F0B">
        <w:rPr>
          <w:b/>
          <w:bCs/>
        </w:rPr>
        <w:t>toma nota</w:t>
      </w:r>
      <w:r w:rsidR="00CE648A" w:rsidRPr="00C23F0B">
        <w:t xml:space="preserve"> del informe oral </w:t>
      </w:r>
      <w:r w:rsidR="0017368A">
        <w:t>del Presidente</w:t>
      </w:r>
      <w:r w:rsidR="00CE648A" w:rsidRPr="00C23F0B">
        <w:t xml:space="preserve"> </w:t>
      </w:r>
      <w:r w:rsidR="00CE648A">
        <w:t xml:space="preserve">del Grupo </w:t>
      </w:r>
      <w:r w:rsidR="00686E85" w:rsidRPr="00686E85">
        <w:rPr>
          <w:i/>
          <w:iCs/>
        </w:rPr>
        <w:t>a</w:t>
      </w:r>
      <w:r w:rsidR="00CE648A" w:rsidRPr="00686E85">
        <w:rPr>
          <w:i/>
          <w:iCs/>
        </w:rPr>
        <w:t>d hoc</w:t>
      </w:r>
      <w:r w:rsidR="00CE648A" w:rsidRPr="00C23F0B">
        <w:t xml:space="preserve"> </w:t>
      </w:r>
      <w:r w:rsidR="00CE648A">
        <w:t>5</w:t>
      </w:r>
      <w:r w:rsidR="00F228A6">
        <w:t>A</w:t>
      </w:r>
      <w:r w:rsidR="00CE648A" w:rsidRPr="00C23F0B">
        <w:t xml:space="preserve"> </w:t>
      </w:r>
      <w:r w:rsidR="00CE648A">
        <w:t>de la Plenaria</w:t>
      </w:r>
      <w:r w:rsidRPr="00C23F0B">
        <w:t>.</w:t>
      </w:r>
      <w:bookmarkEnd w:id="21"/>
    </w:p>
    <w:p w14:paraId="5B6C942E" w14:textId="6FCD2616" w:rsidR="00306F2B" w:rsidRDefault="00306F2B" w:rsidP="00306F2B">
      <w:bookmarkStart w:id="22" w:name="lt_pId112"/>
      <w:r>
        <w:t>1.15</w:t>
      </w:r>
      <w:r>
        <w:tab/>
        <w:t xml:space="preserve">El </w:t>
      </w:r>
      <w:r w:rsidRPr="00E33A9D">
        <w:rPr>
          <w:b/>
          <w:bCs/>
        </w:rPr>
        <w:t xml:space="preserve">Presidente del Grupo </w:t>
      </w:r>
      <w:r w:rsidRPr="00686E85">
        <w:rPr>
          <w:b/>
          <w:bCs/>
          <w:i/>
          <w:iCs/>
        </w:rPr>
        <w:t>ad hoc</w:t>
      </w:r>
      <w:r w:rsidRPr="00E33A9D">
        <w:rPr>
          <w:b/>
          <w:bCs/>
        </w:rPr>
        <w:t xml:space="preserve"> </w:t>
      </w:r>
      <w:r w:rsidR="00E33A9D" w:rsidRPr="00E33A9D">
        <w:rPr>
          <w:b/>
          <w:bCs/>
        </w:rPr>
        <w:t>5C</w:t>
      </w:r>
      <w:r w:rsidR="00E33A9D">
        <w:t xml:space="preserve"> </w:t>
      </w:r>
      <w:r w:rsidRPr="00E33A9D">
        <w:rPr>
          <w:b/>
          <w:bCs/>
        </w:rPr>
        <w:t xml:space="preserve">de la Plenaria </w:t>
      </w:r>
      <w:r>
        <w:t xml:space="preserve">informa que su </w:t>
      </w:r>
      <w:r w:rsidR="008202A9">
        <w:t>G</w:t>
      </w:r>
      <w:r>
        <w:t xml:space="preserve">rupo se reunió el día anterior y </w:t>
      </w:r>
      <w:r w:rsidR="00E33A9D">
        <w:t>ha concluido</w:t>
      </w:r>
      <w:r>
        <w:t xml:space="preserve"> sus trabajos sobre los puntos 1.3 y 1.7 del orden del día. Lamentablemente, en lo que respecta al punto 1.3 del orden del día, el único acuerdo que </w:t>
      </w:r>
      <w:r w:rsidR="00A26DC7">
        <w:t xml:space="preserve">podía alcanzarse era </w:t>
      </w:r>
      <w:r>
        <w:t xml:space="preserve">el de no introducir </w:t>
      </w:r>
      <w:r w:rsidR="00E33A9D">
        <w:t>modificaciones</w:t>
      </w:r>
      <w:r>
        <w:t xml:space="preserve">. </w:t>
      </w:r>
      <w:r w:rsidR="00E33A9D">
        <w:t xml:space="preserve">Los trabajos </w:t>
      </w:r>
      <w:r>
        <w:t xml:space="preserve">sobre </w:t>
      </w:r>
      <w:r w:rsidR="00BC3379">
        <w:t>e</w:t>
      </w:r>
      <w:r>
        <w:t>l punto 1.7 del orden del día ha</w:t>
      </w:r>
      <w:r w:rsidR="006926B8">
        <w:t>n</w:t>
      </w:r>
      <w:r>
        <w:t xml:space="preserve"> </w:t>
      </w:r>
      <w:r w:rsidR="00E33A9D">
        <w:t>sido más fructífero</w:t>
      </w:r>
      <w:r w:rsidR="0017368A">
        <w:t>s</w:t>
      </w:r>
      <w:r w:rsidR="00E33A9D">
        <w:t xml:space="preserve">, </w:t>
      </w:r>
      <w:r w:rsidR="00BC3379">
        <w:t xml:space="preserve">ya que </w:t>
      </w:r>
      <w:r>
        <w:t>se ha</w:t>
      </w:r>
      <w:r w:rsidR="006926B8">
        <w:t>n</w:t>
      </w:r>
      <w:r>
        <w:t xml:space="preserve"> preparado tres documentos para su aprobación en una </w:t>
      </w:r>
      <w:r w:rsidR="00BC3379">
        <w:t>ulterior S</w:t>
      </w:r>
      <w:r>
        <w:t xml:space="preserve">esión </w:t>
      </w:r>
      <w:r w:rsidR="00BC3379">
        <w:t>P</w:t>
      </w:r>
      <w:r>
        <w:t>lenaria.</w:t>
      </w:r>
    </w:p>
    <w:bookmarkEnd w:id="22"/>
    <w:p w14:paraId="10BB7161" w14:textId="31330CEA" w:rsidR="009421A8" w:rsidRPr="006926B8" w:rsidRDefault="009421A8" w:rsidP="009421A8">
      <w:r w:rsidRPr="00C23F0B">
        <w:t>1.16</w:t>
      </w:r>
      <w:r w:rsidRPr="00C23F0B">
        <w:tab/>
      </w:r>
      <w:bookmarkStart w:id="23" w:name="lt_pId114"/>
      <w:r w:rsidR="00F228A6" w:rsidRPr="00C23F0B">
        <w:t xml:space="preserve">Se </w:t>
      </w:r>
      <w:r w:rsidR="00F228A6" w:rsidRPr="00C23F0B">
        <w:rPr>
          <w:b/>
          <w:bCs/>
        </w:rPr>
        <w:t>toma nota</w:t>
      </w:r>
      <w:r w:rsidR="00F228A6" w:rsidRPr="00C23F0B">
        <w:t xml:space="preserve"> del informe oral </w:t>
      </w:r>
      <w:r w:rsidR="0017368A">
        <w:t>del Presidente</w:t>
      </w:r>
      <w:r w:rsidR="00F228A6" w:rsidRPr="00C23F0B">
        <w:t xml:space="preserve"> </w:t>
      </w:r>
      <w:r w:rsidR="00F228A6">
        <w:t xml:space="preserve">del Grupo </w:t>
      </w:r>
      <w:r w:rsidR="00686E85" w:rsidRPr="00686E85">
        <w:rPr>
          <w:i/>
          <w:iCs/>
        </w:rPr>
        <w:t>a</w:t>
      </w:r>
      <w:r w:rsidR="00F228A6" w:rsidRPr="00686E85">
        <w:rPr>
          <w:i/>
          <w:iCs/>
        </w:rPr>
        <w:t>d hoc</w:t>
      </w:r>
      <w:r w:rsidR="00F228A6" w:rsidRPr="00C23F0B">
        <w:t xml:space="preserve"> </w:t>
      </w:r>
      <w:r w:rsidR="00F228A6">
        <w:t>5C</w:t>
      </w:r>
      <w:r w:rsidR="00F228A6" w:rsidRPr="00C23F0B">
        <w:t xml:space="preserve"> </w:t>
      </w:r>
      <w:r w:rsidR="00F228A6">
        <w:t>de la Plenaria</w:t>
      </w:r>
      <w:r w:rsidRPr="00C23F0B">
        <w:t>.</w:t>
      </w:r>
      <w:bookmarkEnd w:id="23"/>
    </w:p>
    <w:p w14:paraId="42AC9AC5" w14:textId="2C3B16C0" w:rsidR="008202A9" w:rsidRDefault="009421A8" w:rsidP="008202A9">
      <w:r w:rsidRPr="00C23F0B">
        <w:t>1.17</w:t>
      </w:r>
      <w:r w:rsidRPr="00C23F0B">
        <w:tab/>
      </w:r>
      <w:bookmarkStart w:id="24" w:name="lt_pId119"/>
      <w:r w:rsidR="008202A9">
        <w:t xml:space="preserve">El </w:t>
      </w:r>
      <w:r w:rsidR="008202A9" w:rsidRPr="008202A9">
        <w:rPr>
          <w:b/>
          <w:bCs/>
        </w:rPr>
        <w:t xml:space="preserve">Presidente del Grupo </w:t>
      </w:r>
      <w:r w:rsidR="008202A9" w:rsidRPr="000921C1">
        <w:rPr>
          <w:b/>
          <w:bCs/>
          <w:i/>
          <w:iCs/>
        </w:rPr>
        <w:t>ad hoc</w:t>
      </w:r>
      <w:r w:rsidR="008202A9" w:rsidRPr="008202A9">
        <w:rPr>
          <w:b/>
          <w:bCs/>
        </w:rPr>
        <w:t xml:space="preserve"> de la Plenaria 6</w:t>
      </w:r>
      <w:r w:rsidR="008202A9">
        <w:t xml:space="preserve"> informa de que su Grupo </w:t>
      </w:r>
      <w:r w:rsidR="0017368A">
        <w:t xml:space="preserve">dio por terminada </w:t>
      </w:r>
      <w:r w:rsidR="008202A9">
        <w:t xml:space="preserve">su reunión en la madrugada de ese día. Se ha llegado a un acuerdo general sobre el orden del día propuesto para la CMR-23. En cuanto al orden del día preliminar de la CMR-27, aunque </w:t>
      </w:r>
      <w:r w:rsidR="0017368A">
        <w:t xml:space="preserve">hay consenso </w:t>
      </w:r>
      <w:r w:rsidR="008202A9">
        <w:t xml:space="preserve">sobre los puntos </w:t>
      </w:r>
      <w:r w:rsidR="0017368A">
        <w:t>que deben figurar</w:t>
      </w:r>
      <w:r w:rsidR="008202A9">
        <w:t xml:space="preserve">, sigue habiendo corchetes alrededor de algunas bandas de frecuencias y no se ha tenido la oportunidad de examinar la </w:t>
      </w:r>
      <w:r w:rsidR="0017368A">
        <w:t xml:space="preserve">correspondiente </w:t>
      </w:r>
      <w:r w:rsidR="008202A9">
        <w:t>Resolución. El Grupo está preparando documentos para presentarlos en Sesión Plenaria a fin de resolver las cuestiones pendientes.</w:t>
      </w:r>
    </w:p>
    <w:bookmarkEnd w:id="24"/>
    <w:p w14:paraId="575397B3" w14:textId="7CDD9DB0" w:rsidR="009421A8" w:rsidRPr="006926B8" w:rsidRDefault="009421A8" w:rsidP="009421A8">
      <w:r w:rsidRPr="00C23F0B">
        <w:t>1.18</w:t>
      </w:r>
      <w:r w:rsidRPr="00C23F0B">
        <w:tab/>
      </w:r>
      <w:bookmarkStart w:id="25" w:name="lt_pId121"/>
      <w:r w:rsidR="00F228A6" w:rsidRPr="00C23F0B">
        <w:t xml:space="preserve">Se </w:t>
      </w:r>
      <w:r w:rsidR="00F228A6" w:rsidRPr="00C23F0B">
        <w:rPr>
          <w:b/>
          <w:bCs/>
        </w:rPr>
        <w:t>toma nota</w:t>
      </w:r>
      <w:r w:rsidR="00F228A6" w:rsidRPr="00C23F0B">
        <w:t xml:space="preserve"> del informe oral </w:t>
      </w:r>
      <w:r w:rsidR="0017368A">
        <w:t>del Presidente</w:t>
      </w:r>
      <w:r w:rsidR="00F228A6" w:rsidRPr="00C23F0B">
        <w:t xml:space="preserve"> </w:t>
      </w:r>
      <w:r w:rsidR="00F228A6">
        <w:t xml:space="preserve">del Grupo </w:t>
      </w:r>
      <w:r w:rsidR="00686E85" w:rsidRPr="00686E85">
        <w:rPr>
          <w:i/>
          <w:iCs/>
        </w:rPr>
        <w:t>a</w:t>
      </w:r>
      <w:r w:rsidR="00F228A6" w:rsidRPr="00686E85">
        <w:rPr>
          <w:i/>
          <w:iCs/>
        </w:rPr>
        <w:t>d hoc</w:t>
      </w:r>
      <w:r w:rsidR="00F228A6" w:rsidRPr="00C23F0B">
        <w:t xml:space="preserve"> </w:t>
      </w:r>
      <w:r w:rsidR="00F228A6">
        <w:t>6</w:t>
      </w:r>
      <w:r w:rsidR="00F228A6" w:rsidRPr="00C23F0B">
        <w:t xml:space="preserve"> </w:t>
      </w:r>
      <w:r w:rsidR="00F228A6">
        <w:t>de la Plenaria</w:t>
      </w:r>
      <w:r w:rsidRPr="00C23F0B">
        <w:t>.</w:t>
      </w:r>
      <w:bookmarkEnd w:id="25"/>
    </w:p>
    <w:p w14:paraId="3CEF83D3" w14:textId="5AF265C4" w:rsidR="009421A8" w:rsidRPr="00C23F0B" w:rsidRDefault="009421A8" w:rsidP="009421A8">
      <w:r w:rsidRPr="00C23F0B">
        <w:t>1.19</w:t>
      </w:r>
      <w:r w:rsidRPr="00C23F0B">
        <w:tab/>
      </w:r>
      <w:bookmarkStart w:id="26" w:name="lt_pId124"/>
      <w:r w:rsidR="002530C4" w:rsidRPr="002530C4">
        <w:t xml:space="preserve">El </w:t>
      </w:r>
      <w:r w:rsidR="002530C4" w:rsidRPr="002530C4">
        <w:rPr>
          <w:b/>
          <w:bCs/>
        </w:rPr>
        <w:t>Presidente de</w:t>
      </w:r>
      <w:r w:rsidR="002530C4">
        <w:rPr>
          <w:b/>
          <w:bCs/>
        </w:rPr>
        <w:t xml:space="preserve"> </w:t>
      </w:r>
      <w:r w:rsidR="002530C4" w:rsidRPr="002530C4">
        <w:rPr>
          <w:b/>
          <w:bCs/>
        </w:rPr>
        <w:t>l</w:t>
      </w:r>
      <w:r w:rsidR="002530C4">
        <w:rPr>
          <w:b/>
          <w:bCs/>
        </w:rPr>
        <w:t>a</w:t>
      </w:r>
      <w:r w:rsidR="002530C4" w:rsidRPr="002530C4">
        <w:rPr>
          <w:b/>
          <w:bCs/>
        </w:rPr>
        <w:t xml:space="preserve"> Comi</w:t>
      </w:r>
      <w:r w:rsidR="002530C4">
        <w:rPr>
          <w:b/>
          <w:bCs/>
        </w:rPr>
        <w:t>sión</w:t>
      </w:r>
      <w:r w:rsidR="002530C4" w:rsidRPr="002530C4">
        <w:rPr>
          <w:b/>
          <w:bCs/>
        </w:rPr>
        <w:t xml:space="preserve"> 7</w:t>
      </w:r>
      <w:r w:rsidR="002530C4" w:rsidRPr="002530C4">
        <w:t xml:space="preserve"> </w:t>
      </w:r>
      <w:r w:rsidR="002530C4">
        <w:t xml:space="preserve">señala </w:t>
      </w:r>
      <w:r w:rsidR="002530C4" w:rsidRPr="002530C4">
        <w:t xml:space="preserve">que su </w:t>
      </w:r>
      <w:r w:rsidR="0017368A">
        <w:t>Comisión</w:t>
      </w:r>
      <w:r w:rsidR="002530C4" w:rsidRPr="002530C4">
        <w:t xml:space="preserve"> se ha reunido </w:t>
      </w:r>
      <w:r w:rsidR="002530C4">
        <w:t xml:space="preserve">el día </w:t>
      </w:r>
      <w:r w:rsidR="002530C4" w:rsidRPr="002530C4">
        <w:t xml:space="preserve">anterior y ha preparado documentos para su examen en la </w:t>
      </w:r>
      <w:r w:rsidR="002530C4">
        <w:t xml:space="preserve">presente </w:t>
      </w:r>
      <w:r w:rsidR="002530C4" w:rsidRPr="002530C4">
        <w:t xml:space="preserve">reunión. </w:t>
      </w:r>
      <w:r w:rsidR="002530C4">
        <w:t xml:space="preserve">Manifiesta </w:t>
      </w:r>
      <w:r w:rsidR="002530C4" w:rsidRPr="002530C4">
        <w:t xml:space="preserve">su preocupación por el hecho de que </w:t>
      </w:r>
      <w:r w:rsidR="002530C4">
        <w:t xml:space="preserve">la Comisión </w:t>
      </w:r>
      <w:r w:rsidR="002530C4" w:rsidRPr="002530C4">
        <w:t xml:space="preserve">aún no ha recibido </w:t>
      </w:r>
      <w:r w:rsidR="002530C4">
        <w:t xml:space="preserve">ni tramitado </w:t>
      </w:r>
      <w:r w:rsidR="002530C4" w:rsidRPr="002530C4">
        <w:t>un volumen considerable de documentos</w:t>
      </w:r>
      <w:r w:rsidRPr="00C23F0B">
        <w:t>.</w:t>
      </w:r>
      <w:bookmarkEnd w:id="26"/>
    </w:p>
    <w:p w14:paraId="4BA0FF4E" w14:textId="75D1E57A" w:rsidR="009421A8" w:rsidRPr="00686E85" w:rsidRDefault="009421A8" w:rsidP="009421A8">
      <w:r w:rsidRPr="00C23F0B">
        <w:t>1.20</w:t>
      </w:r>
      <w:r w:rsidRPr="00C23F0B">
        <w:tab/>
      </w:r>
      <w:bookmarkStart w:id="27" w:name="lt_pId126"/>
      <w:r w:rsidR="00F228A6" w:rsidRPr="00C23F0B">
        <w:t xml:space="preserve">Se </w:t>
      </w:r>
      <w:r w:rsidR="00F228A6" w:rsidRPr="00C23F0B">
        <w:rPr>
          <w:b/>
          <w:bCs/>
        </w:rPr>
        <w:t>toma nota</w:t>
      </w:r>
      <w:r w:rsidR="00F228A6" w:rsidRPr="00C23F0B">
        <w:t xml:space="preserve"> del informe oral del Presidente de la Comisión </w:t>
      </w:r>
      <w:r w:rsidRPr="00C23F0B">
        <w:t>7.</w:t>
      </w:r>
      <w:bookmarkEnd w:id="27"/>
    </w:p>
    <w:p w14:paraId="7A6F4260" w14:textId="6F1F31C1" w:rsidR="009421A8" w:rsidRPr="00C23F0B" w:rsidRDefault="009421A8" w:rsidP="009421A8">
      <w:r w:rsidRPr="00C23F0B">
        <w:t>1.21</w:t>
      </w:r>
      <w:r w:rsidRPr="00C23F0B">
        <w:tab/>
      </w:r>
      <w:bookmarkStart w:id="28" w:name="lt_pId128"/>
      <w:r w:rsidR="00401614" w:rsidRPr="00401614">
        <w:t xml:space="preserve">El </w:t>
      </w:r>
      <w:r w:rsidR="00401614" w:rsidRPr="00401614">
        <w:rPr>
          <w:b/>
          <w:bCs/>
        </w:rPr>
        <w:t>Presidente</w:t>
      </w:r>
      <w:r w:rsidR="00401614" w:rsidRPr="00401614">
        <w:t xml:space="preserve"> inst</w:t>
      </w:r>
      <w:r w:rsidR="00401614">
        <w:t>a</w:t>
      </w:r>
      <w:r w:rsidR="00401614" w:rsidRPr="00401614">
        <w:t xml:space="preserve"> a todos los </w:t>
      </w:r>
      <w:r w:rsidR="00401614">
        <w:t>G</w:t>
      </w:r>
      <w:r w:rsidR="00401614" w:rsidRPr="00401614">
        <w:t xml:space="preserve">rupos </w:t>
      </w:r>
      <w:r w:rsidR="00401614" w:rsidRPr="00686E85">
        <w:rPr>
          <w:i/>
          <w:iCs/>
        </w:rPr>
        <w:t>ad hoc</w:t>
      </w:r>
      <w:r w:rsidR="00401614" w:rsidRPr="00401614">
        <w:t xml:space="preserve"> a que concluyan su labor lo antes posible</w:t>
      </w:r>
      <w:r w:rsidRPr="00C23F0B">
        <w:t>.</w:t>
      </w:r>
      <w:bookmarkEnd w:id="28"/>
    </w:p>
    <w:p w14:paraId="1952646C" w14:textId="6DC0AFEE" w:rsidR="009421A8" w:rsidRPr="00C23F0B" w:rsidRDefault="009421A8" w:rsidP="003B054C">
      <w:pPr>
        <w:pStyle w:val="Heading1"/>
      </w:pPr>
      <w:r w:rsidRPr="00C23F0B">
        <w:t>2</w:t>
      </w:r>
      <w:r w:rsidRPr="00C23F0B">
        <w:tab/>
      </w:r>
      <w:bookmarkStart w:id="29" w:name="lt_pId130"/>
      <w:r w:rsidR="003B054C" w:rsidRPr="00C23F0B">
        <w:t>Documentos para aprobación</w:t>
      </w:r>
      <w:r w:rsidRPr="00C23F0B">
        <w:t xml:space="preserve"> (Document</w:t>
      </w:r>
      <w:r w:rsidR="003B054C" w:rsidRPr="00C23F0B">
        <w:t>o</w:t>
      </w:r>
      <w:r w:rsidRPr="00C23F0B">
        <w:t xml:space="preserve">s 499, 500, 509, 510 </w:t>
      </w:r>
      <w:r w:rsidR="002530C4">
        <w:t>y</w:t>
      </w:r>
      <w:r w:rsidRPr="00C23F0B">
        <w:t xml:space="preserve"> 518)</w:t>
      </w:r>
      <w:bookmarkEnd w:id="29"/>
    </w:p>
    <w:p w14:paraId="3C351CE3" w14:textId="5CF768FD" w:rsidR="00252A92" w:rsidRDefault="00252A92" w:rsidP="00252A92">
      <w:bookmarkStart w:id="30" w:name="lt_pId134"/>
      <w:r>
        <w:t xml:space="preserve">2.1 </w:t>
      </w:r>
      <w:r>
        <w:tab/>
        <w:t xml:space="preserve">El </w:t>
      </w:r>
      <w:r w:rsidRPr="00252A92">
        <w:rPr>
          <w:b/>
          <w:bCs/>
        </w:rPr>
        <w:t>Presidente de la Comisión 5</w:t>
      </w:r>
      <w:r>
        <w:t xml:space="preserve"> presenta los Documentos 499 y 500, que contienen los informes décimo y undécimo de la Comisión 5 a</w:t>
      </w:r>
      <w:r w:rsidR="00192FFF">
        <w:t xml:space="preserve"> </w:t>
      </w:r>
      <w:r>
        <w:t>l</w:t>
      </w:r>
      <w:r w:rsidR="00192FFF">
        <w:t>a</w:t>
      </w:r>
      <w:r>
        <w:t xml:space="preserve"> Plen</w:t>
      </w:r>
      <w:r w:rsidR="00192FFF">
        <w:t>aria</w:t>
      </w:r>
      <w:r>
        <w:t xml:space="preserve">, </w:t>
      </w:r>
      <w:r w:rsidR="00192FFF">
        <w:t xml:space="preserve">en los que figuran </w:t>
      </w:r>
      <w:r>
        <w:t xml:space="preserve">las conclusiones de la Comisión sobre el punto 7 del orden del día (Tema A), el Documento 509, que contiene el duodécimo informe de la Comisión 5 </w:t>
      </w:r>
      <w:r w:rsidR="00192FFF">
        <w:t>a la Plenaria</w:t>
      </w:r>
      <w:r>
        <w:t xml:space="preserve">, relativo al punto 7 del orden del día (Tema E), y el Documento 510, que contiene el decimotercer informe de la Comisión 5 </w:t>
      </w:r>
      <w:r w:rsidR="00192FFF">
        <w:t>a la Plenaria</w:t>
      </w:r>
      <w:r>
        <w:t>, relativo al punto 7 del orden del día (Temas E, F y K).</w:t>
      </w:r>
    </w:p>
    <w:p w14:paraId="5CA21744" w14:textId="32F65CF8" w:rsidR="00252A92" w:rsidRDefault="00252A92" w:rsidP="00252A92">
      <w:r>
        <w:t xml:space="preserve">2.2 </w:t>
      </w:r>
      <w:r w:rsidR="00192FFF">
        <w:tab/>
      </w:r>
      <w:r>
        <w:t xml:space="preserve">El </w:t>
      </w:r>
      <w:r w:rsidRPr="00192FFF">
        <w:rPr>
          <w:b/>
          <w:bCs/>
        </w:rPr>
        <w:t>Presidente</w:t>
      </w:r>
      <w:r>
        <w:t xml:space="preserve"> indica que la aprobación de los Documentos 499, 500, 509 y 510 se aplazará hasta después de </w:t>
      </w:r>
      <w:r w:rsidR="003A4B46">
        <w:t>que se hayan aprobado</w:t>
      </w:r>
      <w:r>
        <w:t xml:space="preserve"> los textos reglamentarios conexos que </w:t>
      </w:r>
      <w:r w:rsidR="00924277">
        <w:t xml:space="preserve">someterá </w:t>
      </w:r>
      <w:r>
        <w:t>la Comisión de Redacción.</w:t>
      </w:r>
    </w:p>
    <w:bookmarkEnd w:id="30"/>
    <w:p w14:paraId="0679CAC2" w14:textId="58CEBA26" w:rsidR="009421A8" w:rsidRPr="00C23F0B" w:rsidRDefault="009421A8" w:rsidP="009421A8">
      <w:r w:rsidRPr="00C23F0B">
        <w:t>2.3</w:t>
      </w:r>
      <w:r w:rsidRPr="00C23F0B">
        <w:tab/>
      </w:r>
      <w:bookmarkStart w:id="31" w:name="lt_pId136"/>
      <w:r w:rsidR="001A318A" w:rsidRPr="00C23F0B">
        <w:t xml:space="preserve">Así se </w:t>
      </w:r>
      <w:r w:rsidR="001A318A" w:rsidRPr="00C23F0B">
        <w:rPr>
          <w:b/>
          <w:bCs/>
        </w:rPr>
        <w:t>acuerda</w:t>
      </w:r>
      <w:r w:rsidRPr="00C23F0B">
        <w:t>.</w:t>
      </w:r>
      <w:bookmarkEnd w:id="31"/>
    </w:p>
    <w:p w14:paraId="09641A65" w14:textId="30596DE9" w:rsidR="009421A8" w:rsidRPr="00C23F0B" w:rsidRDefault="009421A8" w:rsidP="009421A8">
      <w:r w:rsidRPr="00C23F0B">
        <w:lastRenderedPageBreak/>
        <w:t>2.4</w:t>
      </w:r>
      <w:r w:rsidRPr="00C23F0B">
        <w:tab/>
      </w:r>
      <w:bookmarkStart w:id="32" w:name="lt_pId139"/>
      <w:r w:rsidR="00924277" w:rsidRPr="00924277">
        <w:t xml:space="preserve">El </w:t>
      </w:r>
      <w:r w:rsidR="00924277" w:rsidRPr="00924277">
        <w:rPr>
          <w:b/>
          <w:bCs/>
        </w:rPr>
        <w:t>Presidente de la Comisión 5</w:t>
      </w:r>
      <w:r w:rsidR="00924277" w:rsidRPr="00924277">
        <w:t xml:space="preserve"> present</w:t>
      </w:r>
      <w:r w:rsidR="00924277">
        <w:t>a</w:t>
      </w:r>
      <w:r w:rsidR="00924277" w:rsidRPr="00924277">
        <w:t xml:space="preserve"> el Documento 518, que contiene el decimocuarto Informe de la Comisión 5 a la Plenaria, relativo al examen por la CMR-19 de las </w:t>
      </w:r>
      <w:r w:rsidR="00924277">
        <w:t xml:space="preserve">solicitudes </w:t>
      </w:r>
      <w:r w:rsidR="00924277" w:rsidRPr="00924277">
        <w:t>de las administraciones notificantes sobre el tratamiento reglamentario de redes de satélite específicas. Se prop</w:t>
      </w:r>
      <w:r w:rsidR="0021562A">
        <w:t>one</w:t>
      </w:r>
      <w:r w:rsidR="00924277" w:rsidRPr="00924277">
        <w:t xml:space="preserve"> que se incluya el siguiente texto en </w:t>
      </w:r>
      <w:r w:rsidR="0021562A">
        <w:t xml:space="preserve">las </w:t>
      </w:r>
      <w:r w:rsidR="00924277" w:rsidRPr="00924277">
        <w:t>acta</w:t>
      </w:r>
      <w:r w:rsidR="0021562A">
        <w:t>s</w:t>
      </w:r>
      <w:r w:rsidR="00924277" w:rsidRPr="00924277">
        <w:t xml:space="preserve"> de la </w:t>
      </w:r>
      <w:r w:rsidR="0021562A">
        <w:t>S</w:t>
      </w:r>
      <w:r w:rsidR="00924277" w:rsidRPr="00924277">
        <w:t xml:space="preserve">esión </w:t>
      </w:r>
      <w:r w:rsidR="0021562A">
        <w:t>P</w:t>
      </w:r>
      <w:r w:rsidR="00924277" w:rsidRPr="00924277">
        <w:t xml:space="preserve">lenaria </w:t>
      </w:r>
      <w:r w:rsidR="0021562A">
        <w:t xml:space="preserve">a modo de </w:t>
      </w:r>
      <w:r w:rsidR="00924277" w:rsidRPr="00924277">
        <w:t>decisión de la Conferencia</w:t>
      </w:r>
      <w:r w:rsidRPr="00C23F0B">
        <w:t>:</w:t>
      </w:r>
      <w:bookmarkEnd w:id="32"/>
    </w:p>
    <w:p w14:paraId="544DF2B6" w14:textId="6E7BE954" w:rsidR="00350922" w:rsidRPr="00C23F0B" w:rsidRDefault="00350922" w:rsidP="00350922">
      <w:r w:rsidRPr="00C23F0B">
        <w:t>«La CMR-19 ha recibido varios documentos con solicitudes de administraciones notificantes en relación con el tratamiento reglamentario aplicable a determinadas redes de satélites. A continuación se muestra el resultado de la consideración de esas solicitudes por la CMR-19.</w:t>
      </w:r>
    </w:p>
    <w:p w14:paraId="4D65072F" w14:textId="77777777" w:rsidR="00350922" w:rsidRPr="00C23F0B" w:rsidRDefault="00350922" w:rsidP="00350922">
      <w:pPr>
        <w:pStyle w:val="Headingb"/>
      </w:pPr>
      <w:r w:rsidRPr="00C23F0B">
        <w:t>Solicitudes de decisión de la CMR sobre determinadas notificaciones de redes de satélites</w:t>
      </w:r>
    </w:p>
    <w:p w14:paraId="37D17276" w14:textId="77777777" w:rsidR="00350922" w:rsidRPr="00C23F0B" w:rsidRDefault="00350922" w:rsidP="00350922">
      <w:pPr>
        <w:pStyle w:val="Headingi"/>
      </w:pPr>
      <w:r w:rsidRPr="00C23F0B">
        <w:t>Solicitud relativa a las redes de satélites ASIASAT-AK, ASIASAT-AK1 y ASIASAT-AKX</w:t>
      </w:r>
    </w:p>
    <w:p w14:paraId="7920F148" w14:textId="675A4F5B" w:rsidR="00350922" w:rsidRPr="00C23F0B" w:rsidRDefault="00350922" w:rsidP="00350922">
      <w:r w:rsidRPr="00C23F0B">
        <w:t>La CMR-19 consideró la solicitud específica formulada por China en el Documento 28(Add.22) en relación con la validez de ciertas asignaciones en banda C y banda Ku a las redes de satélites ASIASAT</w:t>
      </w:r>
      <w:r w:rsidRPr="00C23F0B">
        <w:noBreakHyphen/>
        <w:t>AK, ASIASAT-AK1 y ASIASAT-AKX de China. Tras considerar el contenido del Documento 28(Add.22) y las cuestiones concretas que en él se plantean, la CMR-19 decidió acceder a la solicitud formulada en el Documento 28(Add.22) y en consecuencia encargó a la Oficina de Radiocomunicaciones que mantenga en el Registro Internacional de Frecuencias las asignaciones de frecuencias a las redes de satélites ASIASAT-AK, ASIASAT-AK1 y ASIASAT</w:t>
      </w:r>
      <w:r w:rsidRPr="00C23F0B">
        <w:noBreakHyphen/>
        <w:t>AKX que se enumeran en el cuadro siguiente.</w:t>
      </w:r>
    </w:p>
    <w:p w14:paraId="7FD53DE1" w14:textId="77777777" w:rsidR="00350922" w:rsidRPr="00C23F0B" w:rsidRDefault="00350922" w:rsidP="00350922"/>
    <w:tbl>
      <w:tblPr>
        <w:tblW w:w="64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2"/>
        <w:gridCol w:w="1006"/>
        <w:gridCol w:w="1691"/>
        <w:gridCol w:w="1853"/>
      </w:tblGrid>
      <w:tr w:rsidR="00350922" w:rsidRPr="00C23F0B" w14:paraId="00A9B090" w14:textId="77777777" w:rsidTr="00A06ADC">
        <w:trPr>
          <w:cantSplit/>
          <w:trHeight w:val="300"/>
          <w:tblHeader/>
          <w:jc w:val="center"/>
        </w:trPr>
        <w:tc>
          <w:tcPr>
            <w:tcW w:w="1922"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14:paraId="32B3E224" w14:textId="77777777" w:rsidR="00350922" w:rsidRPr="00C23F0B" w:rsidRDefault="00350922" w:rsidP="00350922">
            <w:pPr>
              <w:pStyle w:val="Tablehead"/>
            </w:pPr>
            <w:r w:rsidRPr="00C23F0B">
              <w:t>Red de satélites</w:t>
            </w:r>
          </w:p>
        </w:tc>
        <w:tc>
          <w:tcPr>
            <w:tcW w:w="1006" w:type="dxa"/>
            <w:tcBorders>
              <w:top w:val="single" w:sz="12" w:space="0" w:color="auto"/>
              <w:left w:val="single" w:sz="4" w:space="0" w:color="auto"/>
              <w:bottom w:val="single" w:sz="12" w:space="0" w:color="auto"/>
              <w:right w:val="single" w:sz="4" w:space="0" w:color="auto"/>
            </w:tcBorders>
            <w:shd w:val="clear" w:color="auto" w:fill="D9D9D9"/>
            <w:noWrap/>
            <w:vAlign w:val="center"/>
            <w:hideMark/>
          </w:tcPr>
          <w:p w14:paraId="39F74D3B" w14:textId="77777777" w:rsidR="00350922" w:rsidRPr="00C23F0B" w:rsidRDefault="00350922" w:rsidP="00350922">
            <w:pPr>
              <w:pStyle w:val="Tablehead"/>
            </w:pPr>
            <w:r w:rsidRPr="00C23F0B">
              <w:t>Longitud</w:t>
            </w:r>
          </w:p>
        </w:tc>
        <w:tc>
          <w:tcPr>
            <w:tcW w:w="1691" w:type="dxa"/>
            <w:tcBorders>
              <w:top w:val="single" w:sz="12" w:space="0" w:color="auto"/>
              <w:left w:val="single" w:sz="4" w:space="0" w:color="auto"/>
              <w:bottom w:val="single" w:sz="12" w:space="0" w:color="auto"/>
              <w:right w:val="single" w:sz="4" w:space="0" w:color="auto"/>
            </w:tcBorders>
            <w:shd w:val="clear" w:color="auto" w:fill="D9D9D9"/>
            <w:noWrap/>
            <w:vAlign w:val="center"/>
            <w:hideMark/>
          </w:tcPr>
          <w:p w14:paraId="5F5A9537" w14:textId="77777777" w:rsidR="00350922" w:rsidRPr="00C23F0B" w:rsidRDefault="00350922" w:rsidP="00350922">
            <w:pPr>
              <w:pStyle w:val="Tablehead"/>
            </w:pPr>
            <w:r w:rsidRPr="00C23F0B">
              <w:t>Frecuencia mínima (MHz)</w:t>
            </w:r>
          </w:p>
        </w:tc>
        <w:tc>
          <w:tcPr>
            <w:tcW w:w="1853" w:type="dxa"/>
            <w:tcBorders>
              <w:top w:val="single" w:sz="12" w:space="0" w:color="auto"/>
              <w:left w:val="single" w:sz="4" w:space="0" w:color="auto"/>
              <w:bottom w:val="single" w:sz="12" w:space="0" w:color="auto"/>
              <w:right w:val="single" w:sz="12" w:space="0" w:color="auto"/>
            </w:tcBorders>
            <w:shd w:val="clear" w:color="auto" w:fill="D9D9D9"/>
            <w:noWrap/>
            <w:vAlign w:val="center"/>
            <w:hideMark/>
          </w:tcPr>
          <w:p w14:paraId="311B5571" w14:textId="77777777" w:rsidR="00350922" w:rsidRPr="00C23F0B" w:rsidRDefault="00350922" w:rsidP="00350922">
            <w:pPr>
              <w:pStyle w:val="Tablehead"/>
            </w:pPr>
            <w:r w:rsidRPr="00C23F0B">
              <w:t>Frecuencia máxima (MHz)</w:t>
            </w:r>
          </w:p>
        </w:tc>
      </w:tr>
      <w:tr w:rsidR="00350922" w:rsidRPr="00C23F0B" w14:paraId="3AEF6DF0" w14:textId="77777777" w:rsidTr="00A06ADC">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hideMark/>
          </w:tcPr>
          <w:p w14:paraId="08E735FE" w14:textId="77777777" w:rsidR="00350922" w:rsidRPr="00C23F0B" w:rsidRDefault="00350922" w:rsidP="009165C3">
            <w:pPr>
              <w:pStyle w:val="Tabletext"/>
              <w:jc w:val="center"/>
            </w:pPr>
            <w:r w:rsidRPr="00C23F0B">
              <w:t>ASIASAT-AK</w:t>
            </w:r>
          </w:p>
        </w:tc>
        <w:tc>
          <w:tcPr>
            <w:tcW w:w="1006" w:type="dxa"/>
            <w:tcBorders>
              <w:top w:val="single" w:sz="4" w:space="0" w:color="auto"/>
              <w:left w:val="single" w:sz="4" w:space="0" w:color="auto"/>
              <w:bottom w:val="single" w:sz="4" w:space="0" w:color="auto"/>
              <w:right w:val="single" w:sz="4" w:space="0" w:color="auto"/>
            </w:tcBorders>
            <w:noWrap/>
            <w:hideMark/>
          </w:tcPr>
          <w:p w14:paraId="290F1529" w14:textId="77777777" w:rsidR="00350922" w:rsidRPr="00C23F0B" w:rsidRDefault="00350922" w:rsidP="009165C3">
            <w:pPr>
              <w:pStyle w:val="Tabletext"/>
              <w:jc w:val="center"/>
            </w:pPr>
            <w:r w:rsidRPr="00C23F0B">
              <w:t>122° E</w:t>
            </w:r>
          </w:p>
        </w:tc>
        <w:tc>
          <w:tcPr>
            <w:tcW w:w="1691" w:type="dxa"/>
            <w:tcBorders>
              <w:top w:val="single" w:sz="4" w:space="0" w:color="auto"/>
              <w:left w:val="single" w:sz="4" w:space="0" w:color="auto"/>
              <w:bottom w:val="single" w:sz="4" w:space="0" w:color="auto"/>
              <w:right w:val="single" w:sz="4" w:space="0" w:color="auto"/>
            </w:tcBorders>
            <w:noWrap/>
            <w:vAlign w:val="center"/>
            <w:hideMark/>
          </w:tcPr>
          <w:p w14:paraId="42AB9A9A" w14:textId="77777777" w:rsidR="00350922" w:rsidRPr="00C23F0B" w:rsidRDefault="00350922" w:rsidP="009165C3">
            <w:pPr>
              <w:pStyle w:val="Tabletext"/>
              <w:jc w:val="center"/>
            </w:pPr>
            <w:r w:rsidRPr="00C23F0B">
              <w:t>6 425</w:t>
            </w:r>
          </w:p>
        </w:tc>
        <w:tc>
          <w:tcPr>
            <w:tcW w:w="1853" w:type="dxa"/>
            <w:tcBorders>
              <w:top w:val="single" w:sz="4" w:space="0" w:color="auto"/>
              <w:left w:val="single" w:sz="4" w:space="0" w:color="auto"/>
              <w:bottom w:val="single" w:sz="4" w:space="0" w:color="auto"/>
              <w:right w:val="single" w:sz="12" w:space="0" w:color="auto"/>
            </w:tcBorders>
            <w:noWrap/>
            <w:vAlign w:val="center"/>
            <w:hideMark/>
          </w:tcPr>
          <w:p w14:paraId="4C56D9D4" w14:textId="77777777" w:rsidR="00350922" w:rsidRPr="00C23F0B" w:rsidRDefault="00350922" w:rsidP="009165C3">
            <w:pPr>
              <w:pStyle w:val="Tabletext"/>
              <w:jc w:val="center"/>
            </w:pPr>
            <w:r w:rsidRPr="00C23F0B">
              <w:t>6 723</w:t>
            </w:r>
          </w:p>
        </w:tc>
      </w:tr>
      <w:tr w:rsidR="00350922" w:rsidRPr="00C23F0B" w14:paraId="486A6524" w14:textId="77777777" w:rsidTr="00A06ADC">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hideMark/>
          </w:tcPr>
          <w:p w14:paraId="0E595473" w14:textId="77777777" w:rsidR="00350922" w:rsidRPr="00C23F0B" w:rsidRDefault="00350922" w:rsidP="009165C3">
            <w:pPr>
              <w:pStyle w:val="Tabletext"/>
              <w:jc w:val="center"/>
            </w:pPr>
            <w:r w:rsidRPr="00C23F0B">
              <w:t>ASIASAT-AK</w:t>
            </w:r>
          </w:p>
        </w:tc>
        <w:tc>
          <w:tcPr>
            <w:tcW w:w="1006" w:type="dxa"/>
            <w:tcBorders>
              <w:top w:val="single" w:sz="4" w:space="0" w:color="auto"/>
              <w:left w:val="single" w:sz="4" w:space="0" w:color="auto"/>
              <w:bottom w:val="single" w:sz="4" w:space="0" w:color="auto"/>
              <w:right w:val="single" w:sz="4" w:space="0" w:color="auto"/>
            </w:tcBorders>
            <w:noWrap/>
            <w:hideMark/>
          </w:tcPr>
          <w:p w14:paraId="14098577" w14:textId="77777777" w:rsidR="00350922" w:rsidRPr="00C23F0B" w:rsidRDefault="00350922" w:rsidP="009165C3">
            <w:pPr>
              <w:pStyle w:val="Tabletext"/>
              <w:jc w:val="center"/>
            </w:pPr>
            <w:r w:rsidRPr="00C23F0B">
              <w:t>122° E</w:t>
            </w:r>
          </w:p>
        </w:tc>
        <w:tc>
          <w:tcPr>
            <w:tcW w:w="1691" w:type="dxa"/>
            <w:tcBorders>
              <w:top w:val="single" w:sz="4" w:space="0" w:color="auto"/>
              <w:left w:val="single" w:sz="4" w:space="0" w:color="auto"/>
              <w:bottom w:val="single" w:sz="4" w:space="0" w:color="auto"/>
              <w:right w:val="single" w:sz="4" w:space="0" w:color="auto"/>
            </w:tcBorders>
            <w:noWrap/>
            <w:vAlign w:val="center"/>
            <w:hideMark/>
          </w:tcPr>
          <w:p w14:paraId="4C51D6DC" w14:textId="77777777" w:rsidR="00350922" w:rsidRPr="00C23F0B" w:rsidRDefault="00350922" w:rsidP="009165C3">
            <w:pPr>
              <w:pStyle w:val="Tabletext"/>
              <w:jc w:val="center"/>
            </w:pPr>
            <w:r w:rsidRPr="00C23F0B">
              <w:t>10 950</w:t>
            </w:r>
          </w:p>
        </w:tc>
        <w:tc>
          <w:tcPr>
            <w:tcW w:w="1853" w:type="dxa"/>
            <w:tcBorders>
              <w:top w:val="single" w:sz="4" w:space="0" w:color="auto"/>
              <w:left w:val="single" w:sz="4" w:space="0" w:color="auto"/>
              <w:bottom w:val="single" w:sz="4" w:space="0" w:color="auto"/>
              <w:right w:val="single" w:sz="12" w:space="0" w:color="auto"/>
            </w:tcBorders>
            <w:noWrap/>
            <w:vAlign w:val="center"/>
            <w:hideMark/>
          </w:tcPr>
          <w:p w14:paraId="7AAC8B56" w14:textId="77777777" w:rsidR="00350922" w:rsidRPr="00C23F0B" w:rsidRDefault="00350922" w:rsidP="009165C3">
            <w:pPr>
              <w:pStyle w:val="Tabletext"/>
              <w:jc w:val="center"/>
            </w:pPr>
            <w:r w:rsidRPr="00C23F0B">
              <w:t>11 197</w:t>
            </w:r>
          </w:p>
        </w:tc>
      </w:tr>
      <w:tr w:rsidR="00350922" w:rsidRPr="00C23F0B" w14:paraId="18A5F06B" w14:textId="77777777" w:rsidTr="00A06ADC">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hideMark/>
          </w:tcPr>
          <w:p w14:paraId="34B6FC82" w14:textId="77777777" w:rsidR="00350922" w:rsidRPr="00C23F0B" w:rsidRDefault="00350922" w:rsidP="009165C3">
            <w:pPr>
              <w:pStyle w:val="Tabletext"/>
              <w:jc w:val="center"/>
            </w:pPr>
            <w:r w:rsidRPr="00C23F0B">
              <w:t>ASIASAT-AK</w:t>
            </w:r>
          </w:p>
        </w:tc>
        <w:tc>
          <w:tcPr>
            <w:tcW w:w="1006" w:type="dxa"/>
            <w:tcBorders>
              <w:top w:val="single" w:sz="4" w:space="0" w:color="auto"/>
              <w:left w:val="single" w:sz="4" w:space="0" w:color="auto"/>
              <w:bottom w:val="single" w:sz="12" w:space="0" w:color="auto"/>
              <w:right w:val="single" w:sz="4" w:space="0" w:color="auto"/>
            </w:tcBorders>
            <w:noWrap/>
            <w:hideMark/>
          </w:tcPr>
          <w:p w14:paraId="6B01C650" w14:textId="77777777" w:rsidR="00350922" w:rsidRPr="00C23F0B" w:rsidRDefault="00350922" w:rsidP="009165C3">
            <w:pPr>
              <w:pStyle w:val="Tabletext"/>
              <w:jc w:val="center"/>
            </w:pPr>
            <w:r w:rsidRPr="00C23F0B">
              <w:t>122° E</w:t>
            </w:r>
          </w:p>
        </w:tc>
        <w:tc>
          <w:tcPr>
            <w:tcW w:w="1691" w:type="dxa"/>
            <w:tcBorders>
              <w:top w:val="single" w:sz="4" w:space="0" w:color="auto"/>
              <w:left w:val="single" w:sz="4" w:space="0" w:color="auto"/>
              <w:bottom w:val="single" w:sz="12" w:space="0" w:color="auto"/>
              <w:right w:val="single" w:sz="4" w:space="0" w:color="auto"/>
            </w:tcBorders>
            <w:noWrap/>
            <w:vAlign w:val="center"/>
            <w:hideMark/>
          </w:tcPr>
          <w:p w14:paraId="3E21E904" w14:textId="77777777" w:rsidR="00350922" w:rsidRPr="00C23F0B" w:rsidRDefault="00350922" w:rsidP="009165C3">
            <w:pPr>
              <w:pStyle w:val="Tabletext"/>
              <w:jc w:val="center"/>
            </w:pPr>
            <w:r w:rsidRPr="00C23F0B">
              <w:t>11 453</w:t>
            </w:r>
          </w:p>
        </w:tc>
        <w:tc>
          <w:tcPr>
            <w:tcW w:w="1853" w:type="dxa"/>
            <w:tcBorders>
              <w:top w:val="single" w:sz="4" w:space="0" w:color="auto"/>
              <w:left w:val="single" w:sz="4" w:space="0" w:color="auto"/>
              <w:bottom w:val="single" w:sz="12" w:space="0" w:color="auto"/>
              <w:right w:val="single" w:sz="12" w:space="0" w:color="auto"/>
            </w:tcBorders>
            <w:noWrap/>
            <w:vAlign w:val="center"/>
            <w:hideMark/>
          </w:tcPr>
          <w:p w14:paraId="35F52555" w14:textId="77777777" w:rsidR="00350922" w:rsidRPr="00C23F0B" w:rsidRDefault="00350922" w:rsidP="009165C3">
            <w:pPr>
              <w:pStyle w:val="Tabletext"/>
              <w:jc w:val="center"/>
            </w:pPr>
            <w:r w:rsidRPr="00C23F0B">
              <w:t>11 700</w:t>
            </w:r>
          </w:p>
        </w:tc>
      </w:tr>
      <w:tr w:rsidR="00350922" w:rsidRPr="00C23F0B" w14:paraId="1F90F273" w14:textId="77777777" w:rsidTr="00A06ADC">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hideMark/>
          </w:tcPr>
          <w:p w14:paraId="3104F7BD" w14:textId="77777777" w:rsidR="00350922" w:rsidRPr="00C23F0B" w:rsidRDefault="00350922" w:rsidP="009165C3">
            <w:pPr>
              <w:pStyle w:val="Tabletext"/>
              <w:jc w:val="center"/>
            </w:pPr>
            <w:r w:rsidRPr="00C23F0B">
              <w:t>ASIASAT-AK1</w:t>
            </w:r>
          </w:p>
        </w:tc>
        <w:tc>
          <w:tcPr>
            <w:tcW w:w="1006" w:type="dxa"/>
            <w:tcBorders>
              <w:top w:val="single" w:sz="4" w:space="0" w:color="auto"/>
              <w:left w:val="single" w:sz="4" w:space="0" w:color="auto"/>
              <w:bottom w:val="single" w:sz="12" w:space="0" w:color="auto"/>
              <w:right w:val="single" w:sz="4" w:space="0" w:color="auto"/>
            </w:tcBorders>
            <w:noWrap/>
            <w:hideMark/>
          </w:tcPr>
          <w:p w14:paraId="26A0D059" w14:textId="77777777" w:rsidR="00350922" w:rsidRPr="00C23F0B" w:rsidRDefault="00350922" w:rsidP="009165C3">
            <w:pPr>
              <w:pStyle w:val="Tabletext"/>
              <w:jc w:val="center"/>
            </w:pPr>
            <w:r w:rsidRPr="00C23F0B">
              <w:t>122° E</w:t>
            </w:r>
          </w:p>
        </w:tc>
        <w:tc>
          <w:tcPr>
            <w:tcW w:w="1691" w:type="dxa"/>
            <w:tcBorders>
              <w:top w:val="single" w:sz="4" w:space="0" w:color="auto"/>
              <w:left w:val="single" w:sz="4" w:space="0" w:color="auto"/>
              <w:bottom w:val="single" w:sz="12" w:space="0" w:color="auto"/>
              <w:right w:val="single" w:sz="4" w:space="0" w:color="auto"/>
            </w:tcBorders>
            <w:noWrap/>
            <w:vAlign w:val="center"/>
            <w:hideMark/>
          </w:tcPr>
          <w:p w14:paraId="0265B323" w14:textId="77777777" w:rsidR="00350922" w:rsidRPr="00C23F0B" w:rsidRDefault="00350922" w:rsidP="009165C3">
            <w:pPr>
              <w:pStyle w:val="Tabletext"/>
              <w:jc w:val="center"/>
            </w:pPr>
            <w:r w:rsidRPr="00C23F0B">
              <w:t>12 200</w:t>
            </w:r>
          </w:p>
        </w:tc>
        <w:tc>
          <w:tcPr>
            <w:tcW w:w="1853" w:type="dxa"/>
            <w:tcBorders>
              <w:top w:val="single" w:sz="4" w:space="0" w:color="auto"/>
              <w:left w:val="single" w:sz="4" w:space="0" w:color="auto"/>
              <w:bottom w:val="single" w:sz="12" w:space="0" w:color="auto"/>
              <w:right w:val="single" w:sz="12" w:space="0" w:color="auto"/>
            </w:tcBorders>
            <w:noWrap/>
            <w:vAlign w:val="center"/>
            <w:hideMark/>
          </w:tcPr>
          <w:p w14:paraId="12960029" w14:textId="77777777" w:rsidR="00350922" w:rsidRPr="00C23F0B" w:rsidRDefault="00350922" w:rsidP="009165C3">
            <w:pPr>
              <w:pStyle w:val="Tabletext"/>
              <w:jc w:val="center"/>
            </w:pPr>
            <w:r w:rsidRPr="00C23F0B">
              <w:t>12 250</w:t>
            </w:r>
          </w:p>
        </w:tc>
      </w:tr>
      <w:tr w:rsidR="00350922" w:rsidRPr="00C23F0B" w14:paraId="02D142AE" w14:textId="77777777" w:rsidTr="00A06ADC">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hideMark/>
          </w:tcPr>
          <w:p w14:paraId="16B1F02F" w14:textId="77777777" w:rsidR="00350922" w:rsidRPr="00C23F0B" w:rsidRDefault="00350922" w:rsidP="009165C3">
            <w:pPr>
              <w:pStyle w:val="Tabletext"/>
              <w:jc w:val="center"/>
            </w:pPr>
            <w:r w:rsidRPr="00C23F0B">
              <w:t>ASIASAT-AKX</w:t>
            </w:r>
          </w:p>
        </w:tc>
        <w:tc>
          <w:tcPr>
            <w:tcW w:w="1006" w:type="dxa"/>
            <w:tcBorders>
              <w:top w:val="single" w:sz="4" w:space="0" w:color="auto"/>
              <w:left w:val="single" w:sz="4" w:space="0" w:color="auto"/>
              <w:bottom w:val="single" w:sz="4" w:space="0" w:color="auto"/>
              <w:right w:val="single" w:sz="4" w:space="0" w:color="auto"/>
            </w:tcBorders>
            <w:noWrap/>
            <w:hideMark/>
          </w:tcPr>
          <w:p w14:paraId="4357FCB6" w14:textId="77777777" w:rsidR="00350922" w:rsidRPr="00C23F0B" w:rsidRDefault="00350922" w:rsidP="009165C3">
            <w:pPr>
              <w:pStyle w:val="Tabletext"/>
              <w:jc w:val="center"/>
            </w:pPr>
            <w:r w:rsidRPr="00C23F0B">
              <w:t>122° E</w:t>
            </w:r>
          </w:p>
        </w:tc>
        <w:tc>
          <w:tcPr>
            <w:tcW w:w="1691" w:type="dxa"/>
            <w:tcBorders>
              <w:top w:val="single" w:sz="4" w:space="0" w:color="auto"/>
              <w:left w:val="single" w:sz="4" w:space="0" w:color="auto"/>
              <w:bottom w:val="single" w:sz="4" w:space="0" w:color="auto"/>
              <w:right w:val="single" w:sz="4" w:space="0" w:color="auto"/>
            </w:tcBorders>
            <w:noWrap/>
            <w:vAlign w:val="center"/>
            <w:hideMark/>
          </w:tcPr>
          <w:p w14:paraId="2186B074" w14:textId="77777777" w:rsidR="00350922" w:rsidRPr="00C23F0B" w:rsidRDefault="00350922" w:rsidP="009165C3">
            <w:pPr>
              <w:pStyle w:val="Tabletext"/>
              <w:jc w:val="center"/>
            </w:pPr>
            <w:r w:rsidRPr="00C23F0B">
              <w:t>6 425</w:t>
            </w:r>
          </w:p>
        </w:tc>
        <w:tc>
          <w:tcPr>
            <w:tcW w:w="1853" w:type="dxa"/>
            <w:tcBorders>
              <w:top w:val="single" w:sz="4" w:space="0" w:color="auto"/>
              <w:left w:val="single" w:sz="4" w:space="0" w:color="auto"/>
              <w:bottom w:val="single" w:sz="4" w:space="0" w:color="auto"/>
              <w:right w:val="single" w:sz="12" w:space="0" w:color="auto"/>
            </w:tcBorders>
            <w:noWrap/>
            <w:vAlign w:val="center"/>
            <w:hideMark/>
          </w:tcPr>
          <w:p w14:paraId="472C1FEB" w14:textId="77777777" w:rsidR="00350922" w:rsidRPr="00C23F0B" w:rsidRDefault="00350922" w:rsidP="009165C3">
            <w:pPr>
              <w:pStyle w:val="Tabletext"/>
              <w:jc w:val="center"/>
            </w:pPr>
            <w:r w:rsidRPr="00C23F0B">
              <w:t>6 725</w:t>
            </w:r>
          </w:p>
        </w:tc>
      </w:tr>
      <w:tr w:rsidR="00350922" w:rsidRPr="00C23F0B" w14:paraId="36AA6753" w14:textId="77777777" w:rsidTr="00A06ADC">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hideMark/>
          </w:tcPr>
          <w:p w14:paraId="30F7CB8D" w14:textId="77777777" w:rsidR="00350922" w:rsidRPr="00C23F0B" w:rsidRDefault="00350922" w:rsidP="009165C3">
            <w:pPr>
              <w:pStyle w:val="Tabletext"/>
              <w:jc w:val="center"/>
            </w:pPr>
            <w:r w:rsidRPr="00C23F0B">
              <w:t>ASIASAT-AKX</w:t>
            </w:r>
          </w:p>
        </w:tc>
        <w:tc>
          <w:tcPr>
            <w:tcW w:w="1006" w:type="dxa"/>
            <w:tcBorders>
              <w:top w:val="single" w:sz="4" w:space="0" w:color="auto"/>
              <w:left w:val="single" w:sz="4" w:space="0" w:color="auto"/>
              <w:bottom w:val="single" w:sz="4" w:space="0" w:color="auto"/>
              <w:right w:val="single" w:sz="4" w:space="0" w:color="auto"/>
            </w:tcBorders>
            <w:noWrap/>
            <w:hideMark/>
          </w:tcPr>
          <w:p w14:paraId="2D48BEDC" w14:textId="77777777" w:rsidR="00350922" w:rsidRPr="00C23F0B" w:rsidRDefault="00350922" w:rsidP="009165C3">
            <w:pPr>
              <w:pStyle w:val="Tabletext"/>
              <w:jc w:val="center"/>
            </w:pPr>
            <w:r w:rsidRPr="00C23F0B">
              <w:t>122° E</w:t>
            </w:r>
          </w:p>
        </w:tc>
        <w:tc>
          <w:tcPr>
            <w:tcW w:w="1691" w:type="dxa"/>
            <w:tcBorders>
              <w:top w:val="single" w:sz="4" w:space="0" w:color="auto"/>
              <w:left w:val="single" w:sz="4" w:space="0" w:color="auto"/>
              <w:bottom w:val="single" w:sz="4" w:space="0" w:color="auto"/>
              <w:right w:val="single" w:sz="4" w:space="0" w:color="auto"/>
            </w:tcBorders>
            <w:noWrap/>
            <w:vAlign w:val="center"/>
            <w:hideMark/>
          </w:tcPr>
          <w:p w14:paraId="5ACED836" w14:textId="77777777" w:rsidR="00350922" w:rsidRPr="00C23F0B" w:rsidRDefault="00350922" w:rsidP="009165C3">
            <w:pPr>
              <w:pStyle w:val="Tabletext"/>
              <w:jc w:val="center"/>
            </w:pPr>
            <w:r w:rsidRPr="00C23F0B">
              <w:t>10 953</w:t>
            </w:r>
          </w:p>
        </w:tc>
        <w:tc>
          <w:tcPr>
            <w:tcW w:w="1853" w:type="dxa"/>
            <w:tcBorders>
              <w:top w:val="single" w:sz="4" w:space="0" w:color="auto"/>
              <w:left w:val="single" w:sz="4" w:space="0" w:color="auto"/>
              <w:bottom w:val="single" w:sz="4" w:space="0" w:color="auto"/>
              <w:right w:val="single" w:sz="12" w:space="0" w:color="auto"/>
            </w:tcBorders>
            <w:noWrap/>
            <w:vAlign w:val="center"/>
            <w:hideMark/>
          </w:tcPr>
          <w:p w14:paraId="4C4964BC" w14:textId="77777777" w:rsidR="00350922" w:rsidRPr="00C23F0B" w:rsidRDefault="00350922" w:rsidP="009165C3">
            <w:pPr>
              <w:pStyle w:val="Tabletext"/>
              <w:jc w:val="center"/>
            </w:pPr>
            <w:r w:rsidRPr="00C23F0B">
              <w:t>11 200</w:t>
            </w:r>
          </w:p>
        </w:tc>
      </w:tr>
      <w:tr w:rsidR="00350922" w:rsidRPr="00C23F0B" w14:paraId="005B1AF2" w14:textId="77777777" w:rsidTr="00A06ADC">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hideMark/>
          </w:tcPr>
          <w:p w14:paraId="424AABA0" w14:textId="77777777" w:rsidR="00350922" w:rsidRPr="00C23F0B" w:rsidRDefault="00350922" w:rsidP="009165C3">
            <w:pPr>
              <w:pStyle w:val="Tabletext"/>
              <w:jc w:val="center"/>
            </w:pPr>
            <w:r w:rsidRPr="00C23F0B">
              <w:t>ASIASAT-AKX</w:t>
            </w:r>
          </w:p>
        </w:tc>
        <w:tc>
          <w:tcPr>
            <w:tcW w:w="1006" w:type="dxa"/>
            <w:tcBorders>
              <w:top w:val="single" w:sz="4" w:space="0" w:color="auto"/>
              <w:left w:val="single" w:sz="4" w:space="0" w:color="auto"/>
              <w:bottom w:val="single" w:sz="4" w:space="0" w:color="auto"/>
              <w:right w:val="single" w:sz="4" w:space="0" w:color="auto"/>
            </w:tcBorders>
            <w:noWrap/>
            <w:hideMark/>
          </w:tcPr>
          <w:p w14:paraId="45A6F61C" w14:textId="77777777" w:rsidR="00350922" w:rsidRPr="00C23F0B" w:rsidRDefault="00350922" w:rsidP="009165C3">
            <w:pPr>
              <w:pStyle w:val="Tabletext"/>
              <w:jc w:val="center"/>
            </w:pPr>
            <w:r w:rsidRPr="00C23F0B">
              <w:t>122° E</w:t>
            </w:r>
          </w:p>
        </w:tc>
        <w:tc>
          <w:tcPr>
            <w:tcW w:w="1691" w:type="dxa"/>
            <w:tcBorders>
              <w:top w:val="single" w:sz="4" w:space="0" w:color="auto"/>
              <w:left w:val="single" w:sz="4" w:space="0" w:color="auto"/>
              <w:bottom w:val="single" w:sz="4" w:space="0" w:color="auto"/>
              <w:right w:val="single" w:sz="4" w:space="0" w:color="auto"/>
            </w:tcBorders>
            <w:noWrap/>
            <w:vAlign w:val="center"/>
            <w:hideMark/>
          </w:tcPr>
          <w:p w14:paraId="313C79F9" w14:textId="77777777" w:rsidR="00350922" w:rsidRPr="00C23F0B" w:rsidRDefault="00350922" w:rsidP="009165C3">
            <w:pPr>
              <w:pStyle w:val="Tabletext"/>
              <w:jc w:val="center"/>
            </w:pPr>
            <w:r w:rsidRPr="00C23F0B">
              <w:t>11 450</w:t>
            </w:r>
          </w:p>
        </w:tc>
        <w:tc>
          <w:tcPr>
            <w:tcW w:w="1853" w:type="dxa"/>
            <w:tcBorders>
              <w:top w:val="single" w:sz="4" w:space="0" w:color="auto"/>
              <w:left w:val="single" w:sz="4" w:space="0" w:color="auto"/>
              <w:bottom w:val="single" w:sz="4" w:space="0" w:color="auto"/>
              <w:right w:val="single" w:sz="12" w:space="0" w:color="auto"/>
            </w:tcBorders>
            <w:noWrap/>
            <w:vAlign w:val="center"/>
            <w:hideMark/>
          </w:tcPr>
          <w:p w14:paraId="78200B36" w14:textId="77777777" w:rsidR="00350922" w:rsidRPr="00C23F0B" w:rsidRDefault="00350922" w:rsidP="009165C3">
            <w:pPr>
              <w:pStyle w:val="Tabletext"/>
              <w:jc w:val="center"/>
            </w:pPr>
            <w:r w:rsidRPr="00C23F0B">
              <w:t>11 699</w:t>
            </w:r>
          </w:p>
        </w:tc>
      </w:tr>
      <w:tr w:rsidR="00350922" w:rsidRPr="00C23F0B" w14:paraId="3B37C705" w14:textId="77777777" w:rsidTr="00A06ADC">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hideMark/>
          </w:tcPr>
          <w:p w14:paraId="422560FF" w14:textId="77777777" w:rsidR="00350922" w:rsidRPr="00C23F0B" w:rsidRDefault="00350922" w:rsidP="009165C3">
            <w:pPr>
              <w:pStyle w:val="Tabletext"/>
              <w:jc w:val="center"/>
            </w:pPr>
            <w:r w:rsidRPr="00C23F0B">
              <w:t>ASIASAT-AKX</w:t>
            </w:r>
          </w:p>
        </w:tc>
        <w:tc>
          <w:tcPr>
            <w:tcW w:w="1006" w:type="dxa"/>
            <w:tcBorders>
              <w:top w:val="single" w:sz="4" w:space="0" w:color="auto"/>
              <w:left w:val="single" w:sz="4" w:space="0" w:color="auto"/>
              <w:bottom w:val="single" w:sz="12" w:space="0" w:color="auto"/>
              <w:right w:val="single" w:sz="4" w:space="0" w:color="auto"/>
            </w:tcBorders>
            <w:noWrap/>
            <w:hideMark/>
          </w:tcPr>
          <w:p w14:paraId="2F07017D" w14:textId="77777777" w:rsidR="00350922" w:rsidRPr="00C23F0B" w:rsidRDefault="00350922" w:rsidP="009165C3">
            <w:pPr>
              <w:pStyle w:val="Tabletext"/>
              <w:jc w:val="center"/>
            </w:pPr>
            <w:r w:rsidRPr="00C23F0B">
              <w:t>122° E</w:t>
            </w:r>
          </w:p>
        </w:tc>
        <w:tc>
          <w:tcPr>
            <w:tcW w:w="1691" w:type="dxa"/>
            <w:tcBorders>
              <w:top w:val="single" w:sz="4" w:space="0" w:color="auto"/>
              <w:left w:val="single" w:sz="4" w:space="0" w:color="auto"/>
              <w:bottom w:val="single" w:sz="12" w:space="0" w:color="auto"/>
              <w:right w:val="single" w:sz="4" w:space="0" w:color="auto"/>
            </w:tcBorders>
            <w:noWrap/>
            <w:vAlign w:val="center"/>
            <w:hideMark/>
          </w:tcPr>
          <w:p w14:paraId="3AD0DB06" w14:textId="77777777" w:rsidR="00350922" w:rsidRPr="00C23F0B" w:rsidRDefault="00350922" w:rsidP="009165C3">
            <w:pPr>
              <w:pStyle w:val="Tabletext"/>
              <w:jc w:val="center"/>
            </w:pPr>
            <w:r w:rsidRPr="00C23F0B">
              <w:t>13 753</w:t>
            </w:r>
          </w:p>
        </w:tc>
        <w:tc>
          <w:tcPr>
            <w:tcW w:w="1853" w:type="dxa"/>
            <w:tcBorders>
              <w:top w:val="single" w:sz="4" w:space="0" w:color="auto"/>
              <w:left w:val="single" w:sz="4" w:space="0" w:color="auto"/>
              <w:bottom w:val="single" w:sz="12" w:space="0" w:color="auto"/>
              <w:right w:val="single" w:sz="12" w:space="0" w:color="auto"/>
            </w:tcBorders>
            <w:noWrap/>
            <w:vAlign w:val="center"/>
            <w:hideMark/>
          </w:tcPr>
          <w:p w14:paraId="796F3B02" w14:textId="77777777" w:rsidR="00350922" w:rsidRPr="00C23F0B" w:rsidRDefault="00350922" w:rsidP="009165C3">
            <w:pPr>
              <w:pStyle w:val="Tabletext"/>
              <w:jc w:val="center"/>
            </w:pPr>
            <w:r w:rsidRPr="00C23F0B">
              <w:t>14 000</w:t>
            </w:r>
          </w:p>
        </w:tc>
      </w:tr>
    </w:tbl>
    <w:p w14:paraId="65DAD811" w14:textId="77777777" w:rsidR="00350922" w:rsidRPr="00C23F0B" w:rsidRDefault="00350922" w:rsidP="00350922">
      <w:pPr>
        <w:pStyle w:val="Headingi"/>
      </w:pPr>
      <w:r w:rsidRPr="00C23F0B">
        <w:t>Solicitud relativa a las redes de satélites INTELSAT8 328.5E e INTELSAT9 328.5E</w:t>
      </w:r>
    </w:p>
    <w:p w14:paraId="179FE86F" w14:textId="2A342565" w:rsidR="00350922" w:rsidRPr="00C23F0B" w:rsidRDefault="00350922" w:rsidP="00350922">
      <w:r w:rsidRPr="00C23F0B">
        <w:t>La CMR-19 consideró la solicitud específica formulada en el Documento 46(Add.22) en relación con el mantenimiento de las asignaciones de frecuencias a las redes de satélites INTELSAT8 328.5E e INTELSAT9 328.5E en l</w:t>
      </w:r>
      <w:bookmarkStart w:id="33" w:name="_GoBack"/>
      <w:bookmarkEnd w:id="33"/>
      <w:r w:rsidRPr="00C23F0B">
        <w:t>as bandas de frecuencias 10 950</w:t>
      </w:r>
      <w:r w:rsidRPr="00C23F0B">
        <w:noBreakHyphen/>
        <w:t>11 195 MHz y 11 197,98</w:t>
      </w:r>
      <w:r w:rsidRPr="00C23F0B">
        <w:noBreakHyphen/>
        <w:t xml:space="preserve">11 198,03 MHz. La CMR-19 decidió acceder a la solicitud específica formulada en ese documento, habida cuenta de las cuestiones particulares planteadas en el documento. Por consiguiente, la CMR-19 encargó a la Oficina de Radiocomunicaciones que conserve las asignaciones de frecuencias mencionadas en el Registro Internacional de Frecuencias. </w:t>
      </w:r>
    </w:p>
    <w:p w14:paraId="6CA49F25" w14:textId="77777777" w:rsidR="00350922" w:rsidRPr="00C23F0B" w:rsidRDefault="00350922" w:rsidP="00350922">
      <w:pPr>
        <w:pStyle w:val="Headingb"/>
      </w:pPr>
      <w:r w:rsidRPr="00C23F0B">
        <w:t>Solicitud de inclusión en los planes de los Apéndices 30 y 30A del RR de 10 asignaciones en la posición orbital 1,9° E en sustitución de las asignaciones correspondientes a Bulgaria que figuran en los planes en 1,2° W</w:t>
      </w:r>
    </w:p>
    <w:p w14:paraId="027A50D2" w14:textId="6D0BF704" w:rsidR="00350922" w:rsidRPr="00C23F0B" w:rsidRDefault="00350922" w:rsidP="00213110">
      <w:pPr>
        <w:keepNext/>
        <w:rPr>
          <w:bCs/>
        </w:rPr>
      </w:pPr>
      <w:r w:rsidRPr="00C23F0B">
        <w:t xml:space="preserve">La CMR-19 consideró la solicitud específica formulada en el Documento </w:t>
      </w:r>
      <w:r w:rsidRPr="00C27D9B">
        <w:t xml:space="preserve">43(Add.2) </w:t>
      </w:r>
      <w:r w:rsidRPr="00C23F0B">
        <w:t xml:space="preserve">en relación con la inclusión en los planes de los Apéndices </w:t>
      </w:r>
      <w:r w:rsidRPr="00C23F0B">
        <w:rPr>
          <w:b/>
          <w:bCs/>
        </w:rPr>
        <w:t>30</w:t>
      </w:r>
      <w:r w:rsidRPr="00C23F0B">
        <w:t xml:space="preserve"> y </w:t>
      </w:r>
      <w:r w:rsidRPr="00C23F0B">
        <w:rPr>
          <w:b/>
          <w:bCs/>
        </w:rPr>
        <w:t>30A</w:t>
      </w:r>
      <w:r w:rsidRPr="00C23F0B">
        <w:t xml:space="preserve"> del RR de 10 asignaciones en la posición orbital 1,9° E en sustitución de las asignaciones correspondientes a Bulgaria consignadas en los planes en la posición 1,2° W, de conformidad con el número 4.1.27 del Artículo 4 de los </w:t>
      </w:r>
      <w:r w:rsidRPr="00C23F0B">
        <w:lastRenderedPageBreak/>
        <w:t>Apéndices </w:t>
      </w:r>
      <w:r w:rsidRPr="00C23F0B">
        <w:rPr>
          <w:b/>
          <w:bCs/>
        </w:rPr>
        <w:t>30</w:t>
      </w:r>
      <w:r w:rsidRPr="00C23F0B">
        <w:t xml:space="preserve"> y </w:t>
      </w:r>
      <w:r w:rsidRPr="00C23F0B">
        <w:rPr>
          <w:b/>
          <w:bCs/>
        </w:rPr>
        <w:t>30A</w:t>
      </w:r>
      <w:r w:rsidRPr="00C23F0B">
        <w:rPr>
          <w:bCs/>
        </w:rPr>
        <w:t>. Reconociendo que esta solicitud está relacionada con una decisión de la CMR</w:t>
      </w:r>
      <w:r w:rsidRPr="00C23F0B">
        <w:rPr>
          <w:bCs/>
        </w:rPr>
        <w:noBreakHyphen/>
        <w:t>12 sobre el mismo tema y habida cuenta de los resultados de las actividades realizadas desde la CMR</w:t>
      </w:r>
      <w:r w:rsidRPr="00C23F0B">
        <w:rPr>
          <w:bCs/>
        </w:rPr>
        <w:noBreakHyphen/>
      </w:r>
      <w:r w:rsidR="00213110">
        <w:rPr>
          <w:bCs/>
        </w:rPr>
        <w:t>1</w:t>
      </w:r>
      <w:r w:rsidRPr="00C23F0B">
        <w:rPr>
          <w:bCs/>
        </w:rPr>
        <w:t xml:space="preserve">2 y la finalización exitosa del procedimiento del Artículo 4 del Apéndice </w:t>
      </w:r>
      <w:r w:rsidRPr="00C23F0B">
        <w:rPr>
          <w:b/>
          <w:bCs/>
        </w:rPr>
        <w:t>30</w:t>
      </w:r>
      <w:r w:rsidRPr="00C23F0B">
        <w:rPr>
          <w:bCs/>
        </w:rPr>
        <w:t xml:space="preserve"> del RR y la presentación de la notificación conforme al Artículo 4 del Apéndice </w:t>
      </w:r>
      <w:r w:rsidRPr="00C23F0B">
        <w:rPr>
          <w:b/>
          <w:bCs/>
        </w:rPr>
        <w:t>30</w:t>
      </w:r>
      <w:r w:rsidRPr="00C23F0B">
        <w:rPr>
          <w:bCs/>
        </w:rPr>
        <w:t xml:space="preserve"> del RR para canales del SRS en la banda de frecuencias 11,7-12,2 GHz en la posición orbital 1,9</w:t>
      </w:r>
      <w:r w:rsidRPr="00C23F0B">
        <w:t>°</w:t>
      </w:r>
      <w:r w:rsidRPr="00C23F0B">
        <w:rPr>
          <w:bCs/>
        </w:rPr>
        <w:t> E, la CMR-19 decidió acceder a la solicitud</w:t>
      </w:r>
      <w:r w:rsidRPr="00C23F0B">
        <w:t>.</w:t>
      </w:r>
    </w:p>
    <w:p w14:paraId="297B3DDD" w14:textId="53270BEB" w:rsidR="00350922" w:rsidRPr="00C23F0B" w:rsidRDefault="00350922" w:rsidP="00350922">
      <w:r w:rsidRPr="00C23F0B">
        <w:t xml:space="preserve">La CMR-19 encargó a la Oficina de Radiocomunicaciones que incluya en los Planes de los Apéndices </w:t>
      </w:r>
      <w:r w:rsidRPr="00C23F0B">
        <w:rPr>
          <w:b/>
          <w:bCs/>
        </w:rPr>
        <w:t>30</w:t>
      </w:r>
      <w:r w:rsidRPr="00C23F0B">
        <w:t xml:space="preserve"> y </w:t>
      </w:r>
      <w:r w:rsidRPr="00C23F0B">
        <w:rPr>
          <w:b/>
          <w:bCs/>
        </w:rPr>
        <w:t>30A</w:t>
      </w:r>
      <w:r w:rsidRPr="00C23F0B">
        <w:t xml:space="preserve"> del RR diez canales del SRS y de enlaces de conexión del SRS de 33 MHz, a saber, los canales 1, 2, 3, 4, 5, 6, 7, 8, 17 y 18, con las características indicadas en el Cuadro 1 siguiente, para </w:t>
      </w:r>
      <w:r w:rsidR="00213110">
        <w:t xml:space="preserve">la Administración de </w:t>
      </w:r>
      <w:r w:rsidRPr="00C23F0B">
        <w:t xml:space="preserve">Bulgaria. Una vez finalizada dicha inclusión, la Oficina de Radiocomunicaciones suprimirá las actuales asignaciones en la posición 1,2° W de la Administración de Bulgaria de los Planes de los Apéndices </w:t>
      </w:r>
      <w:r w:rsidRPr="00C23F0B">
        <w:rPr>
          <w:b/>
          <w:bCs/>
        </w:rPr>
        <w:t>30</w:t>
      </w:r>
      <w:r w:rsidRPr="00C23F0B">
        <w:t xml:space="preserve"> y </w:t>
      </w:r>
      <w:r w:rsidRPr="00C23F0B">
        <w:rPr>
          <w:b/>
          <w:bCs/>
        </w:rPr>
        <w:t>30A</w:t>
      </w:r>
      <w:r w:rsidRPr="00C23F0B">
        <w:t xml:space="preserve"> y suprimirá las asignaciones de frecuencias correspondientes a los 10 canales indicados de la Lista de usos adicionales y la entrada del Registro Internacional correspondiente a la red de satélites BULSAT-BSS-1.2W-W, como se muestra en el Cuadro 2 siguiente.</w:t>
      </w:r>
    </w:p>
    <w:p w14:paraId="5DA5D9B4" w14:textId="74500D33" w:rsidR="00350922" w:rsidRPr="00C23F0B" w:rsidRDefault="00350922" w:rsidP="00350922">
      <w:pPr>
        <w:pStyle w:val="TableNo"/>
      </w:pPr>
      <w:r w:rsidRPr="00C23F0B">
        <w:t>Cuadro 1</w:t>
      </w:r>
    </w:p>
    <w:p w14:paraId="3E9DC467" w14:textId="77777777" w:rsidR="00350922" w:rsidRPr="00C23F0B" w:rsidRDefault="00350922" w:rsidP="00350922">
      <w:pPr>
        <w:pStyle w:val="Tabletitle"/>
      </w:pPr>
      <w:r w:rsidRPr="00C23F0B">
        <w:t>Lista de características de las nuevas asignaciones del Plan del</w:t>
      </w:r>
      <w:r w:rsidRPr="00C23F0B">
        <w:br/>
        <w:t>Apéndice 30 y 30A del RR para la Administración de Bulgaria</w:t>
      </w:r>
    </w:p>
    <w:tbl>
      <w:tblPr>
        <w:tblStyle w:val="TableGrid"/>
        <w:tblW w:w="8640" w:type="dxa"/>
        <w:jc w:val="center"/>
        <w:tblLayout w:type="fixed"/>
        <w:tblLook w:val="04A0" w:firstRow="1" w:lastRow="0" w:firstColumn="1" w:lastColumn="0" w:noHBand="0" w:noVBand="1"/>
      </w:tblPr>
      <w:tblGrid>
        <w:gridCol w:w="3593"/>
        <w:gridCol w:w="2448"/>
        <w:gridCol w:w="2599"/>
      </w:tblGrid>
      <w:tr w:rsidR="00350922" w:rsidRPr="00C23F0B" w14:paraId="16D6B69C" w14:textId="77777777" w:rsidTr="00A06ADC">
        <w:trPr>
          <w:tblHeader/>
          <w:jc w:val="center"/>
        </w:trPr>
        <w:tc>
          <w:tcPr>
            <w:tcW w:w="3593" w:type="dxa"/>
            <w:tcBorders>
              <w:top w:val="single" w:sz="4" w:space="0" w:color="auto"/>
              <w:left w:val="single" w:sz="4" w:space="0" w:color="auto"/>
              <w:bottom w:val="single" w:sz="4" w:space="0" w:color="auto"/>
              <w:right w:val="single" w:sz="4" w:space="0" w:color="auto"/>
            </w:tcBorders>
            <w:hideMark/>
          </w:tcPr>
          <w:p w14:paraId="4584807B" w14:textId="77777777" w:rsidR="00350922" w:rsidRPr="00C23F0B" w:rsidRDefault="00350922" w:rsidP="00350922">
            <w:pPr>
              <w:pStyle w:val="Tablehead"/>
            </w:pPr>
            <w:r w:rsidRPr="00C23F0B">
              <w:t>Parámetro</w:t>
            </w:r>
          </w:p>
        </w:tc>
        <w:tc>
          <w:tcPr>
            <w:tcW w:w="2449" w:type="dxa"/>
            <w:tcBorders>
              <w:top w:val="single" w:sz="4" w:space="0" w:color="auto"/>
              <w:left w:val="single" w:sz="4" w:space="0" w:color="auto"/>
              <w:bottom w:val="single" w:sz="4" w:space="0" w:color="auto"/>
              <w:right w:val="single" w:sz="4" w:space="0" w:color="auto"/>
            </w:tcBorders>
            <w:hideMark/>
          </w:tcPr>
          <w:p w14:paraId="0741B917" w14:textId="77777777" w:rsidR="00350922" w:rsidRPr="00C23F0B" w:rsidRDefault="00350922" w:rsidP="00350922">
            <w:pPr>
              <w:pStyle w:val="Tablehead"/>
            </w:pPr>
            <w:r w:rsidRPr="00C23F0B">
              <w:t>Enlace descendente</w:t>
            </w:r>
          </w:p>
        </w:tc>
        <w:tc>
          <w:tcPr>
            <w:tcW w:w="2600" w:type="dxa"/>
            <w:tcBorders>
              <w:top w:val="single" w:sz="4" w:space="0" w:color="auto"/>
              <w:left w:val="single" w:sz="4" w:space="0" w:color="auto"/>
              <w:bottom w:val="single" w:sz="4" w:space="0" w:color="auto"/>
              <w:right w:val="single" w:sz="4" w:space="0" w:color="auto"/>
            </w:tcBorders>
            <w:hideMark/>
          </w:tcPr>
          <w:p w14:paraId="7F6668FD" w14:textId="77777777" w:rsidR="00350922" w:rsidRPr="00C23F0B" w:rsidRDefault="00350922" w:rsidP="00350922">
            <w:pPr>
              <w:pStyle w:val="Tablehead"/>
            </w:pPr>
            <w:r w:rsidRPr="00C23F0B">
              <w:t>Enlace de conexión</w:t>
            </w:r>
          </w:p>
        </w:tc>
      </w:tr>
      <w:tr w:rsidR="00350922" w:rsidRPr="00C23F0B" w14:paraId="61959439"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46284C86" w14:textId="77777777" w:rsidR="00350922" w:rsidRPr="00C23F0B" w:rsidRDefault="00350922" w:rsidP="00350922">
            <w:pPr>
              <w:pStyle w:val="Tabletext"/>
            </w:pPr>
            <w:r w:rsidRPr="00C23F0B">
              <w:t>Posición orbital</w:t>
            </w:r>
          </w:p>
        </w:tc>
        <w:tc>
          <w:tcPr>
            <w:tcW w:w="5049" w:type="dxa"/>
            <w:gridSpan w:val="2"/>
            <w:tcBorders>
              <w:top w:val="single" w:sz="4" w:space="0" w:color="auto"/>
              <w:left w:val="single" w:sz="4" w:space="0" w:color="auto"/>
              <w:bottom w:val="single" w:sz="4" w:space="0" w:color="auto"/>
              <w:right w:val="single" w:sz="4" w:space="0" w:color="auto"/>
            </w:tcBorders>
            <w:hideMark/>
          </w:tcPr>
          <w:p w14:paraId="130C7FF5" w14:textId="77777777" w:rsidR="00350922" w:rsidRPr="00C23F0B" w:rsidRDefault="00350922" w:rsidP="00350922">
            <w:pPr>
              <w:pStyle w:val="Tabletext"/>
              <w:jc w:val="center"/>
            </w:pPr>
            <w:r w:rsidRPr="00C23F0B">
              <w:t>1,9° E</w:t>
            </w:r>
          </w:p>
        </w:tc>
      </w:tr>
      <w:tr w:rsidR="00350922" w:rsidRPr="00C23F0B" w14:paraId="1DD64941"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42642DB7" w14:textId="77777777" w:rsidR="00350922" w:rsidRPr="00C23F0B" w:rsidRDefault="00350922" w:rsidP="00350922">
            <w:pPr>
              <w:pStyle w:val="Tabletext"/>
            </w:pPr>
            <w:r w:rsidRPr="00C23F0B">
              <w:t>Mantenimiento en posición de la estación (este-oeste)</w:t>
            </w:r>
          </w:p>
        </w:tc>
        <w:tc>
          <w:tcPr>
            <w:tcW w:w="5049" w:type="dxa"/>
            <w:gridSpan w:val="2"/>
            <w:tcBorders>
              <w:top w:val="single" w:sz="4" w:space="0" w:color="auto"/>
              <w:left w:val="single" w:sz="4" w:space="0" w:color="auto"/>
              <w:bottom w:val="single" w:sz="4" w:space="0" w:color="auto"/>
              <w:right w:val="single" w:sz="4" w:space="0" w:color="auto"/>
            </w:tcBorders>
            <w:hideMark/>
          </w:tcPr>
          <w:p w14:paraId="183AAB9C" w14:textId="77777777" w:rsidR="00350922" w:rsidRPr="00C23F0B" w:rsidRDefault="00350922" w:rsidP="00350922">
            <w:pPr>
              <w:pStyle w:val="Tabletext"/>
              <w:jc w:val="center"/>
            </w:pPr>
            <w:r w:rsidRPr="00C23F0B">
              <w:t>0,05°</w:t>
            </w:r>
          </w:p>
        </w:tc>
      </w:tr>
      <w:tr w:rsidR="00350922" w:rsidRPr="00C23F0B" w14:paraId="0094572A"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40C50453" w14:textId="77777777" w:rsidR="00350922" w:rsidRPr="00C23F0B" w:rsidRDefault="00350922" w:rsidP="00350922">
            <w:pPr>
              <w:pStyle w:val="Tabletext"/>
            </w:pPr>
            <w:r w:rsidRPr="00C23F0B">
              <w:t>Identificación del haz</w:t>
            </w:r>
          </w:p>
        </w:tc>
        <w:tc>
          <w:tcPr>
            <w:tcW w:w="5049" w:type="dxa"/>
            <w:gridSpan w:val="2"/>
            <w:tcBorders>
              <w:top w:val="single" w:sz="4" w:space="0" w:color="auto"/>
              <w:left w:val="single" w:sz="4" w:space="0" w:color="auto"/>
              <w:bottom w:val="single" w:sz="4" w:space="0" w:color="auto"/>
              <w:right w:val="single" w:sz="4" w:space="0" w:color="auto"/>
            </w:tcBorders>
            <w:hideMark/>
          </w:tcPr>
          <w:p w14:paraId="6143C974" w14:textId="77777777" w:rsidR="00350922" w:rsidRPr="00C23F0B" w:rsidRDefault="00350922" w:rsidP="00350922">
            <w:pPr>
              <w:pStyle w:val="Tabletext"/>
              <w:jc w:val="center"/>
            </w:pPr>
            <w:r w:rsidRPr="00C23F0B">
              <w:t>BUL02000</w:t>
            </w:r>
          </w:p>
        </w:tc>
      </w:tr>
      <w:tr w:rsidR="00350922" w:rsidRPr="00C23F0B" w14:paraId="4EF45FFC"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55E08893" w14:textId="77777777" w:rsidR="00350922" w:rsidRPr="00C23F0B" w:rsidRDefault="00350922" w:rsidP="00350922">
            <w:pPr>
              <w:pStyle w:val="Tabletext"/>
            </w:pPr>
            <w:r w:rsidRPr="00C23F0B">
              <w:t>Fecha de recepción</w:t>
            </w:r>
          </w:p>
        </w:tc>
        <w:tc>
          <w:tcPr>
            <w:tcW w:w="5049" w:type="dxa"/>
            <w:gridSpan w:val="2"/>
            <w:tcBorders>
              <w:top w:val="single" w:sz="4" w:space="0" w:color="auto"/>
              <w:left w:val="single" w:sz="4" w:space="0" w:color="auto"/>
              <w:bottom w:val="single" w:sz="4" w:space="0" w:color="auto"/>
              <w:right w:val="single" w:sz="4" w:space="0" w:color="auto"/>
            </w:tcBorders>
            <w:hideMark/>
          </w:tcPr>
          <w:p w14:paraId="21E45096" w14:textId="77777777" w:rsidR="00350922" w:rsidRPr="00C23F0B" w:rsidRDefault="00350922" w:rsidP="00350922">
            <w:pPr>
              <w:pStyle w:val="Tabletext"/>
              <w:jc w:val="center"/>
            </w:pPr>
            <w:r w:rsidRPr="00C23F0B">
              <w:t>23/11/2019</w:t>
            </w:r>
          </w:p>
        </w:tc>
      </w:tr>
      <w:tr w:rsidR="00350922" w:rsidRPr="00C23F0B" w14:paraId="16E79FB2"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10132A0E" w14:textId="77777777" w:rsidR="00350922" w:rsidRPr="00C23F0B" w:rsidRDefault="00350922" w:rsidP="00350922">
            <w:pPr>
              <w:pStyle w:val="Tabletext"/>
            </w:pPr>
            <w:r w:rsidRPr="00C23F0B">
              <w:t>Fecha de protección</w:t>
            </w:r>
          </w:p>
        </w:tc>
        <w:tc>
          <w:tcPr>
            <w:tcW w:w="2449" w:type="dxa"/>
            <w:tcBorders>
              <w:top w:val="single" w:sz="4" w:space="0" w:color="auto"/>
              <w:left w:val="single" w:sz="4" w:space="0" w:color="auto"/>
              <w:bottom w:val="single" w:sz="4" w:space="0" w:color="auto"/>
              <w:right w:val="single" w:sz="4" w:space="0" w:color="auto"/>
            </w:tcBorders>
            <w:hideMark/>
          </w:tcPr>
          <w:p w14:paraId="4A4116F4" w14:textId="77777777" w:rsidR="00350922" w:rsidRPr="00C23F0B" w:rsidRDefault="00350922" w:rsidP="00350922">
            <w:pPr>
              <w:pStyle w:val="Tabletext"/>
              <w:jc w:val="center"/>
            </w:pPr>
            <w:r w:rsidRPr="00C23F0B">
              <w:t>19/03/2012</w:t>
            </w:r>
          </w:p>
        </w:tc>
        <w:tc>
          <w:tcPr>
            <w:tcW w:w="2600" w:type="dxa"/>
            <w:tcBorders>
              <w:top w:val="single" w:sz="4" w:space="0" w:color="auto"/>
              <w:left w:val="single" w:sz="4" w:space="0" w:color="auto"/>
              <w:bottom w:val="single" w:sz="4" w:space="0" w:color="auto"/>
              <w:right w:val="single" w:sz="4" w:space="0" w:color="auto"/>
            </w:tcBorders>
            <w:hideMark/>
          </w:tcPr>
          <w:p w14:paraId="3E1A6D80" w14:textId="77777777" w:rsidR="00350922" w:rsidRPr="00C23F0B" w:rsidRDefault="00350922" w:rsidP="00350922">
            <w:pPr>
              <w:pStyle w:val="Tabletext"/>
              <w:jc w:val="center"/>
            </w:pPr>
            <w:r w:rsidRPr="00C23F0B">
              <w:t>04/11/2010</w:t>
            </w:r>
          </w:p>
        </w:tc>
      </w:tr>
      <w:tr w:rsidR="00350922" w:rsidRPr="00C23F0B" w14:paraId="04E575D8"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4EE61B1F" w14:textId="77777777" w:rsidR="00350922" w:rsidRPr="00C23F0B" w:rsidRDefault="00350922" w:rsidP="00350922">
            <w:pPr>
              <w:pStyle w:val="Tabletext"/>
            </w:pPr>
            <w:r w:rsidRPr="00C23F0B">
              <w:t>Nombre del haz de satélite</w:t>
            </w:r>
          </w:p>
        </w:tc>
        <w:tc>
          <w:tcPr>
            <w:tcW w:w="5049" w:type="dxa"/>
            <w:gridSpan w:val="2"/>
            <w:tcBorders>
              <w:top w:val="single" w:sz="4" w:space="0" w:color="auto"/>
              <w:left w:val="single" w:sz="4" w:space="0" w:color="auto"/>
              <w:bottom w:val="single" w:sz="4" w:space="0" w:color="auto"/>
              <w:right w:val="single" w:sz="4" w:space="0" w:color="auto"/>
            </w:tcBorders>
            <w:hideMark/>
          </w:tcPr>
          <w:p w14:paraId="6CAB5B96" w14:textId="77777777" w:rsidR="00350922" w:rsidRPr="00C23F0B" w:rsidRDefault="00350922" w:rsidP="00350922">
            <w:pPr>
              <w:pStyle w:val="Tabletext"/>
              <w:jc w:val="center"/>
            </w:pPr>
            <w:r w:rsidRPr="00C23F0B">
              <w:t>E001</w:t>
            </w:r>
          </w:p>
        </w:tc>
      </w:tr>
      <w:tr w:rsidR="00350922" w:rsidRPr="00C23F0B" w14:paraId="0A7FCA47"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71E685C1" w14:textId="77777777" w:rsidR="00350922" w:rsidRPr="00C23F0B" w:rsidRDefault="00350922" w:rsidP="00350922">
            <w:pPr>
              <w:pStyle w:val="Tabletext"/>
            </w:pPr>
            <w:r w:rsidRPr="00C23F0B">
              <w:t>Tipo de haz</w:t>
            </w:r>
          </w:p>
        </w:tc>
        <w:tc>
          <w:tcPr>
            <w:tcW w:w="5049" w:type="dxa"/>
            <w:gridSpan w:val="2"/>
            <w:tcBorders>
              <w:top w:val="single" w:sz="4" w:space="0" w:color="auto"/>
              <w:left w:val="single" w:sz="4" w:space="0" w:color="auto"/>
              <w:bottom w:val="single" w:sz="4" w:space="0" w:color="auto"/>
              <w:right w:val="single" w:sz="4" w:space="0" w:color="auto"/>
            </w:tcBorders>
            <w:hideMark/>
          </w:tcPr>
          <w:p w14:paraId="33A63659" w14:textId="77777777" w:rsidR="00350922" w:rsidRPr="00C23F0B" w:rsidRDefault="00350922" w:rsidP="00350922">
            <w:pPr>
              <w:pStyle w:val="Tabletext"/>
              <w:jc w:val="center"/>
            </w:pPr>
            <w:r w:rsidRPr="00C23F0B">
              <w:t>Conformado</w:t>
            </w:r>
          </w:p>
        </w:tc>
      </w:tr>
      <w:tr w:rsidR="00350922" w:rsidRPr="00C23F0B" w14:paraId="4173956F"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637FC661" w14:textId="77777777" w:rsidR="00350922" w:rsidRPr="00C23F0B" w:rsidRDefault="00350922" w:rsidP="00350922">
            <w:pPr>
              <w:pStyle w:val="Tabletext"/>
            </w:pPr>
            <w:r w:rsidRPr="00C23F0B">
              <w:t>Máxima ganancia de antena copolar</w:t>
            </w:r>
          </w:p>
        </w:tc>
        <w:tc>
          <w:tcPr>
            <w:tcW w:w="2449" w:type="dxa"/>
            <w:tcBorders>
              <w:top w:val="single" w:sz="4" w:space="0" w:color="auto"/>
              <w:left w:val="single" w:sz="4" w:space="0" w:color="auto"/>
              <w:bottom w:val="single" w:sz="4" w:space="0" w:color="auto"/>
              <w:right w:val="single" w:sz="4" w:space="0" w:color="auto"/>
            </w:tcBorders>
            <w:hideMark/>
          </w:tcPr>
          <w:p w14:paraId="37EA671B" w14:textId="77777777" w:rsidR="00350922" w:rsidRPr="00C23F0B" w:rsidRDefault="00350922" w:rsidP="00350922">
            <w:pPr>
              <w:pStyle w:val="Tabletext"/>
              <w:jc w:val="center"/>
            </w:pPr>
            <w:r w:rsidRPr="00C23F0B">
              <w:t>33,8 dBi</w:t>
            </w:r>
          </w:p>
        </w:tc>
        <w:tc>
          <w:tcPr>
            <w:tcW w:w="2600" w:type="dxa"/>
            <w:tcBorders>
              <w:top w:val="single" w:sz="4" w:space="0" w:color="auto"/>
              <w:left w:val="single" w:sz="4" w:space="0" w:color="auto"/>
              <w:bottom w:val="single" w:sz="4" w:space="0" w:color="auto"/>
              <w:right w:val="single" w:sz="4" w:space="0" w:color="auto"/>
            </w:tcBorders>
            <w:hideMark/>
          </w:tcPr>
          <w:p w14:paraId="368257EB" w14:textId="77777777" w:rsidR="00350922" w:rsidRPr="00C23F0B" w:rsidRDefault="00350922" w:rsidP="00350922">
            <w:pPr>
              <w:pStyle w:val="Tabletext"/>
              <w:jc w:val="center"/>
            </w:pPr>
            <w:r w:rsidRPr="00C23F0B">
              <w:t>36,5 dBi</w:t>
            </w:r>
          </w:p>
        </w:tc>
      </w:tr>
      <w:tr w:rsidR="00350922" w:rsidRPr="00C23F0B" w14:paraId="6CCDE09B"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0A388C9C" w14:textId="77777777" w:rsidR="00350922" w:rsidRPr="00C23F0B" w:rsidRDefault="00350922" w:rsidP="00350922">
            <w:pPr>
              <w:pStyle w:val="Tabletext"/>
            </w:pPr>
            <w:r w:rsidRPr="00C23F0B">
              <w:t>Máxima ganancia de antena con polarización cruzada</w:t>
            </w:r>
          </w:p>
        </w:tc>
        <w:tc>
          <w:tcPr>
            <w:tcW w:w="2449" w:type="dxa"/>
            <w:tcBorders>
              <w:top w:val="single" w:sz="4" w:space="0" w:color="auto"/>
              <w:left w:val="single" w:sz="4" w:space="0" w:color="auto"/>
              <w:bottom w:val="single" w:sz="4" w:space="0" w:color="auto"/>
              <w:right w:val="single" w:sz="4" w:space="0" w:color="auto"/>
            </w:tcBorders>
            <w:hideMark/>
          </w:tcPr>
          <w:p w14:paraId="3676E283" w14:textId="77777777" w:rsidR="00350922" w:rsidRPr="00C23F0B" w:rsidRDefault="00350922" w:rsidP="00350922">
            <w:pPr>
              <w:pStyle w:val="Tabletext"/>
              <w:jc w:val="center"/>
            </w:pPr>
            <w:r w:rsidRPr="00C23F0B">
              <w:t>–2 dBi</w:t>
            </w:r>
          </w:p>
        </w:tc>
        <w:tc>
          <w:tcPr>
            <w:tcW w:w="2600" w:type="dxa"/>
            <w:tcBorders>
              <w:top w:val="single" w:sz="4" w:space="0" w:color="auto"/>
              <w:left w:val="single" w:sz="4" w:space="0" w:color="auto"/>
              <w:bottom w:val="single" w:sz="4" w:space="0" w:color="auto"/>
              <w:right w:val="single" w:sz="4" w:space="0" w:color="auto"/>
            </w:tcBorders>
            <w:hideMark/>
          </w:tcPr>
          <w:p w14:paraId="09DC8B04" w14:textId="77777777" w:rsidR="00350922" w:rsidRPr="00C23F0B" w:rsidRDefault="00350922" w:rsidP="00350922">
            <w:pPr>
              <w:pStyle w:val="Tabletext"/>
              <w:jc w:val="center"/>
            </w:pPr>
            <w:r w:rsidRPr="00C23F0B">
              <w:t>0 dBi</w:t>
            </w:r>
          </w:p>
        </w:tc>
      </w:tr>
      <w:tr w:rsidR="00350922" w:rsidRPr="00C23F0B" w14:paraId="08FA5EF5"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312E9771" w14:textId="77777777" w:rsidR="00350922" w:rsidRPr="00C23F0B" w:rsidRDefault="00350922" w:rsidP="00350922">
            <w:pPr>
              <w:pStyle w:val="Tabletext"/>
            </w:pPr>
            <w:r w:rsidRPr="00C23F0B">
              <w:t>Contornos de ganancia de antena copolar y con polarización cruzada</w:t>
            </w:r>
          </w:p>
        </w:tc>
        <w:tc>
          <w:tcPr>
            <w:tcW w:w="5049" w:type="dxa"/>
            <w:gridSpan w:val="2"/>
            <w:tcBorders>
              <w:top w:val="single" w:sz="4" w:space="0" w:color="auto"/>
              <w:left w:val="single" w:sz="4" w:space="0" w:color="auto"/>
              <w:bottom w:val="single" w:sz="4" w:space="0" w:color="auto"/>
              <w:right w:val="single" w:sz="4" w:space="0" w:color="auto"/>
            </w:tcBorders>
            <w:hideMark/>
          </w:tcPr>
          <w:p w14:paraId="63748AB6" w14:textId="77777777" w:rsidR="00350922" w:rsidRPr="00C23F0B" w:rsidRDefault="00350922" w:rsidP="002765CD">
            <w:pPr>
              <w:pStyle w:val="Tabletext"/>
            </w:pPr>
            <w:r w:rsidRPr="00C23F0B">
              <w:t>Correspondientes al haz de enlace descendente CEED y</w:t>
            </w:r>
            <w:r w:rsidRPr="00C23F0B">
              <w:br/>
              <w:t>el haz de enlace de conexión CER de la red de satélites BULSAT</w:t>
            </w:r>
            <w:r w:rsidRPr="00C23F0B">
              <w:noBreakHyphen/>
              <w:t>BSS-1.2W-W del Cuadro 2 siguiente</w:t>
            </w:r>
          </w:p>
        </w:tc>
      </w:tr>
      <w:tr w:rsidR="00350922" w:rsidRPr="00C23F0B" w14:paraId="5BE42BDB"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081993A1" w14:textId="77777777" w:rsidR="00350922" w:rsidRPr="00C23F0B" w:rsidRDefault="00350922" w:rsidP="00350922">
            <w:pPr>
              <w:pStyle w:val="Tabletext"/>
            </w:pPr>
            <w:r w:rsidRPr="00C23F0B">
              <w:t>Eje de puntería</w:t>
            </w:r>
          </w:p>
        </w:tc>
        <w:tc>
          <w:tcPr>
            <w:tcW w:w="5049" w:type="dxa"/>
            <w:gridSpan w:val="2"/>
            <w:tcBorders>
              <w:top w:val="single" w:sz="4" w:space="0" w:color="auto"/>
              <w:left w:val="single" w:sz="4" w:space="0" w:color="auto"/>
              <w:bottom w:val="single" w:sz="4" w:space="0" w:color="auto"/>
              <w:right w:val="single" w:sz="4" w:space="0" w:color="auto"/>
            </w:tcBorders>
            <w:hideMark/>
          </w:tcPr>
          <w:p w14:paraId="58414AEC" w14:textId="77777777" w:rsidR="00350922" w:rsidRPr="00C23F0B" w:rsidRDefault="00350922" w:rsidP="002765CD">
            <w:pPr>
              <w:pStyle w:val="Tabletext"/>
            </w:pPr>
            <w:r w:rsidRPr="00C23F0B">
              <w:t>Idéntico al de los datos GIMS</w:t>
            </w:r>
          </w:p>
        </w:tc>
      </w:tr>
      <w:tr w:rsidR="00350922" w:rsidRPr="00C23F0B" w14:paraId="728204F2"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5B734E84" w14:textId="77777777" w:rsidR="00350922" w:rsidRPr="00C23F0B" w:rsidRDefault="00350922" w:rsidP="00350922">
            <w:pPr>
              <w:pStyle w:val="Tabletext"/>
            </w:pPr>
            <w:r w:rsidRPr="00C23F0B">
              <w:t>Zona de servicio</w:t>
            </w:r>
          </w:p>
        </w:tc>
        <w:tc>
          <w:tcPr>
            <w:tcW w:w="5049" w:type="dxa"/>
            <w:gridSpan w:val="2"/>
            <w:tcBorders>
              <w:top w:val="single" w:sz="4" w:space="0" w:color="auto"/>
              <w:left w:val="single" w:sz="4" w:space="0" w:color="auto"/>
              <w:bottom w:val="single" w:sz="4" w:space="0" w:color="auto"/>
              <w:right w:val="single" w:sz="4" w:space="0" w:color="auto"/>
            </w:tcBorders>
            <w:hideMark/>
          </w:tcPr>
          <w:p w14:paraId="7198159C" w14:textId="77777777" w:rsidR="00350922" w:rsidRPr="00C23F0B" w:rsidRDefault="00350922" w:rsidP="002765CD">
            <w:pPr>
              <w:pStyle w:val="Tabletext"/>
            </w:pPr>
            <w:r w:rsidRPr="00C23F0B">
              <w:t>Territorio nacional definido como «BUL»</w:t>
            </w:r>
            <w:r w:rsidRPr="00C23F0B">
              <w:br/>
              <w:t xml:space="preserve">en la aplicación de </w:t>
            </w:r>
            <w:r w:rsidRPr="002765CD">
              <w:rPr>
                <w:i/>
                <w:iCs/>
              </w:rPr>
              <w:t>software</w:t>
            </w:r>
            <w:r w:rsidRPr="00C23F0B">
              <w:t xml:space="preserve"> GIMS</w:t>
            </w:r>
          </w:p>
        </w:tc>
      </w:tr>
      <w:tr w:rsidR="00350922" w:rsidRPr="00C23F0B" w14:paraId="3157A440"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01049AC0" w14:textId="77777777" w:rsidR="00350922" w:rsidRPr="00C23F0B" w:rsidRDefault="00350922" w:rsidP="00350922">
            <w:pPr>
              <w:pStyle w:val="Tabletext"/>
            </w:pPr>
            <w:r w:rsidRPr="00C23F0B">
              <w:t>Puntos de prueba</w:t>
            </w:r>
          </w:p>
        </w:tc>
        <w:tc>
          <w:tcPr>
            <w:tcW w:w="5049" w:type="dxa"/>
            <w:gridSpan w:val="2"/>
            <w:tcBorders>
              <w:top w:val="single" w:sz="4" w:space="0" w:color="auto"/>
              <w:left w:val="single" w:sz="4" w:space="0" w:color="auto"/>
              <w:bottom w:val="single" w:sz="4" w:space="0" w:color="auto"/>
              <w:right w:val="single" w:sz="4" w:space="0" w:color="auto"/>
            </w:tcBorders>
            <w:hideMark/>
          </w:tcPr>
          <w:tbl>
            <w:tblPr>
              <w:tblW w:w="2595" w:type="dxa"/>
              <w:jc w:val="center"/>
              <w:tblLayout w:type="fixed"/>
              <w:tblLook w:val="04A0" w:firstRow="1" w:lastRow="0" w:firstColumn="1" w:lastColumn="0" w:noHBand="0" w:noVBand="1"/>
            </w:tblPr>
            <w:tblGrid>
              <w:gridCol w:w="1298"/>
              <w:gridCol w:w="1297"/>
            </w:tblGrid>
            <w:tr w:rsidR="00350922" w:rsidRPr="00C23F0B" w14:paraId="1541EA19" w14:textId="77777777" w:rsidTr="00A06ADC">
              <w:trPr>
                <w:trHeight w:val="300"/>
                <w:jc w:val="center"/>
              </w:trPr>
              <w:tc>
                <w:tcPr>
                  <w:tcW w:w="1300" w:type="dxa"/>
                  <w:noWrap/>
                  <w:vAlign w:val="bottom"/>
                  <w:hideMark/>
                </w:tcPr>
                <w:p w14:paraId="28B15B58" w14:textId="77777777" w:rsidR="00350922" w:rsidRPr="00C23F0B" w:rsidRDefault="00350922" w:rsidP="00350922">
                  <w:pPr>
                    <w:pStyle w:val="Tabletext"/>
                    <w:jc w:val="center"/>
                  </w:pPr>
                  <w:r w:rsidRPr="00C23F0B">
                    <w:t>Longitud (grados E)</w:t>
                  </w:r>
                </w:p>
              </w:tc>
              <w:tc>
                <w:tcPr>
                  <w:tcW w:w="1300" w:type="dxa"/>
                  <w:noWrap/>
                  <w:vAlign w:val="bottom"/>
                  <w:hideMark/>
                </w:tcPr>
                <w:p w14:paraId="3709FD29" w14:textId="77777777" w:rsidR="00350922" w:rsidRPr="00C23F0B" w:rsidRDefault="00350922" w:rsidP="00350922">
                  <w:pPr>
                    <w:pStyle w:val="Tabletext"/>
                    <w:jc w:val="center"/>
                  </w:pPr>
                  <w:r w:rsidRPr="00C23F0B">
                    <w:t>Latitud (grados N)</w:t>
                  </w:r>
                </w:p>
              </w:tc>
            </w:tr>
            <w:tr w:rsidR="00350922" w:rsidRPr="00C23F0B" w14:paraId="6C7CB59A" w14:textId="77777777" w:rsidTr="00A06ADC">
              <w:trPr>
                <w:trHeight w:val="300"/>
                <w:jc w:val="center"/>
              </w:trPr>
              <w:tc>
                <w:tcPr>
                  <w:tcW w:w="1300" w:type="dxa"/>
                  <w:noWrap/>
                  <w:vAlign w:val="bottom"/>
                  <w:hideMark/>
                </w:tcPr>
                <w:p w14:paraId="1CBE74EF" w14:textId="77777777" w:rsidR="00350922" w:rsidRPr="00C23F0B" w:rsidRDefault="00350922" w:rsidP="00350922">
                  <w:pPr>
                    <w:pStyle w:val="Tabletext"/>
                    <w:jc w:val="center"/>
                  </w:pPr>
                  <w:r w:rsidRPr="00C23F0B">
                    <w:t>27,91</w:t>
                  </w:r>
                </w:p>
              </w:tc>
              <w:tc>
                <w:tcPr>
                  <w:tcW w:w="1300" w:type="dxa"/>
                  <w:noWrap/>
                  <w:vAlign w:val="bottom"/>
                  <w:hideMark/>
                </w:tcPr>
                <w:p w14:paraId="5198C2F9" w14:textId="77777777" w:rsidR="00350922" w:rsidRPr="00C23F0B" w:rsidRDefault="00350922" w:rsidP="00350922">
                  <w:pPr>
                    <w:pStyle w:val="Tabletext"/>
                    <w:jc w:val="center"/>
                  </w:pPr>
                  <w:r w:rsidRPr="00C23F0B">
                    <w:t>42,06</w:t>
                  </w:r>
                </w:p>
              </w:tc>
            </w:tr>
            <w:tr w:rsidR="00350922" w:rsidRPr="00C23F0B" w14:paraId="497B0FCB" w14:textId="77777777" w:rsidTr="00A06ADC">
              <w:trPr>
                <w:trHeight w:val="300"/>
                <w:jc w:val="center"/>
              </w:trPr>
              <w:tc>
                <w:tcPr>
                  <w:tcW w:w="1300" w:type="dxa"/>
                  <w:noWrap/>
                  <w:vAlign w:val="bottom"/>
                  <w:hideMark/>
                </w:tcPr>
                <w:p w14:paraId="074FCB69" w14:textId="77777777" w:rsidR="00350922" w:rsidRPr="00C23F0B" w:rsidRDefault="00350922" w:rsidP="00350922">
                  <w:pPr>
                    <w:pStyle w:val="Tabletext"/>
                    <w:jc w:val="center"/>
                  </w:pPr>
                  <w:r w:rsidRPr="00C23F0B">
                    <w:t>28,47</w:t>
                  </w:r>
                </w:p>
              </w:tc>
              <w:tc>
                <w:tcPr>
                  <w:tcW w:w="1300" w:type="dxa"/>
                  <w:noWrap/>
                  <w:vAlign w:val="bottom"/>
                  <w:hideMark/>
                </w:tcPr>
                <w:p w14:paraId="1B3B355E" w14:textId="77777777" w:rsidR="00350922" w:rsidRPr="00C23F0B" w:rsidRDefault="00350922" w:rsidP="00350922">
                  <w:pPr>
                    <w:pStyle w:val="Tabletext"/>
                    <w:jc w:val="center"/>
                  </w:pPr>
                  <w:r w:rsidRPr="00C23F0B">
                    <w:t>43,70</w:t>
                  </w:r>
                </w:p>
              </w:tc>
            </w:tr>
            <w:tr w:rsidR="00350922" w:rsidRPr="00C23F0B" w14:paraId="0B530EB8" w14:textId="77777777" w:rsidTr="00A06ADC">
              <w:trPr>
                <w:trHeight w:val="300"/>
                <w:jc w:val="center"/>
              </w:trPr>
              <w:tc>
                <w:tcPr>
                  <w:tcW w:w="1300" w:type="dxa"/>
                  <w:noWrap/>
                  <w:vAlign w:val="bottom"/>
                  <w:hideMark/>
                </w:tcPr>
                <w:p w14:paraId="1119C4E0" w14:textId="77777777" w:rsidR="00350922" w:rsidRPr="00C23F0B" w:rsidRDefault="00350922" w:rsidP="00350922">
                  <w:pPr>
                    <w:pStyle w:val="Tabletext"/>
                    <w:jc w:val="center"/>
                  </w:pPr>
                  <w:r w:rsidRPr="00C23F0B">
                    <w:t>25,28</w:t>
                  </w:r>
                </w:p>
              </w:tc>
              <w:tc>
                <w:tcPr>
                  <w:tcW w:w="1300" w:type="dxa"/>
                  <w:noWrap/>
                  <w:vAlign w:val="bottom"/>
                  <w:hideMark/>
                </w:tcPr>
                <w:p w14:paraId="24A28EF5" w14:textId="77777777" w:rsidR="00350922" w:rsidRPr="00C23F0B" w:rsidRDefault="00350922" w:rsidP="00350922">
                  <w:pPr>
                    <w:pStyle w:val="Tabletext"/>
                    <w:jc w:val="center"/>
                  </w:pPr>
                  <w:r w:rsidRPr="00C23F0B">
                    <w:t>41,35</w:t>
                  </w:r>
                </w:p>
              </w:tc>
            </w:tr>
            <w:tr w:rsidR="00350922" w:rsidRPr="00C23F0B" w14:paraId="0330DC88" w14:textId="77777777" w:rsidTr="00A06ADC">
              <w:trPr>
                <w:trHeight w:val="300"/>
                <w:jc w:val="center"/>
              </w:trPr>
              <w:tc>
                <w:tcPr>
                  <w:tcW w:w="1300" w:type="dxa"/>
                  <w:noWrap/>
                  <w:vAlign w:val="bottom"/>
                  <w:hideMark/>
                </w:tcPr>
                <w:p w14:paraId="0C6867C9" w14:textId="77777777" w:rsidR="00350922" w:rsidRPr="00C23F0B" w:rsidRDefault="00350922" w:rsidP="00350922">
                  <w:pPr>
                    <w:pStyle w:val="Tabletext"/>
                    <w:jc w:val="center"/>
                  </w:pPr>
                  <w:r w:rsidRPr="00C23F0B">
                    <w:t>22,40</w:t>
                  </w:r>
                </w:p>
              </w:tc>
              <w:tc>
                <w:tcPr>
                  <w:tcW w:w="1300" w:type="dxa"/>
                  <w:noWrap/>
                  <w:vAlign w:val="bottom"/>
                  <w:hideMark/>
                </w:tcPr>
                <w:p w14:paraId="1C6253AD" w14:textId="77777777" w:rsidR="00350922" w:rsidRPr="00C23F0B" w:rsidRDefault="00350922" w:rsidP="00350922">
                  <w:pPr>
                    <w:pStyle w:val="Tabletext"/>
                    <w:jc w:val="center"/>
                  </w:pPr>
                  <w:r w:rsidRPr="00C23F0B">
                    <w:t>42,30</w:t>
                  </w:r>
                </w:p>
              </w:tc>
            </w:tr>
            <w:tr w:rsidR="00350922" w:rsidRPr="00C23F0B" w14:paraId="549FB899" w14:textId="77777777" w:rsidTr="00A06ADC">
              <w:trPr>
                <w:trHeight w:val="300"/>
                <w:jc w:val="center"/>
              </w:trPr>
              <w:tc>
                <w:tcPr>
                  <w:tcW w:w="1300" w:type="dxa"/>
                  <w:noWrap/>
                  <w:vAlign w:val="bottom"/>
                  <w:hideMark/>
                </w:tcPr>
                <w:p w14:paraId="0489083B" w14:textId="77777777" w:rsidR="00350922" w:rsidRPr="00C23F0B" w:rsidRDefault="00350922" w:rsidP="00350922">
                  <w:pPr>
                    <w:pStyle w:val="Tabletext"/>
                    <w:jc w:val="center"/>
                  </w:pPr>
                  <w:r w:rsidRPr="00C23F0B">
                    <w:t>23,01</w:t>
                  </w:r>
                </w:p>
              </w:tc>
              <w:tc>
                <w:tcPr>
                  <w:tcW w:w="1300" w:type="dxa"/>
                  <w:noWrap/>
                  <w:vAlign w:val="bottom"/>
                  <w:hideMark/>
                </w:tcPr>
                <w:p w14:paraId="180D631B" w14:textId="77777777" w:rsidR="00350922" w:rsidRPr="00C23F0B" w:rsidRDefault="00350922" w:rsidP="00350922">
                  <w:pPr>
                    <w:pStyle w:val="Tabletext"/>
                    <w:jc w:val="center"/>
                  </w:pPr>
                  <w:r w:rsidRPr="00C23F0B">
                    <w:t>41,44</w:t>
                  </w:r>
                </w:p>
              </w:tc>
            </w:tr>
            <w:tr w:rsidR="00350922" w:rsidRPr="00C23F0B" w14:paraId="117B5C97" w14:textId="77777777" w:rsidTr="00A06ADC">
              <w:trPr>
                <w:trHeight w:val="300"/>
                <w:jc w:val="center"/>
              </w:trPr>
              <w:tc>
                <w:tcPr>
                  <w:tcW w:w="1300" w:type="dxa"/>
                  <w:noWrap/>
                  <w:vAlign w:val="bottom"/>
                  <w:hideMark/>
                </w:tcPr>
                <w:p w14:paraId="0E79A036" w14:textId="77777777" w:rsidR="00350922" w:rsidRPr="00C23F0B" w:rsidRDefault="00350922" w:rsidP="00350922">
                  <w:pPr>
                    <w:pStyle w:val="Tabletext"/>
                    <w:jc w:val="center"/>
                  </w:pPr>
                  <w:r w:rsidRPr="00C23F0B">
                    <w:t>22,69</w:t>
                  </w:r>
                </w:p>
              </w:tc>
              <w:tc>
                <w:tcPr>
                  <w:tcW w:w="1300" w:type="dxa"/>
                  <w:noWrap/>
                  <w:vAlign w:val="bottom"/>
                  <w:hideMark/>
                </w:tcPr>
                <w:p w14:paraId="6B03F282" w14:textId="77777777" w:rsidR="00350922" w:rsidRPr="00C23F0B" w:rsidRDefault="00350922" w:rsidP="00350922">
                  <w:pPr>
                    <w:pStyle w:val="Tabletext"/>
                    <w:jc w:val="center"/>
                  </w:pPr>
                  <w:r w:rsidRPr="00C23F0B">
                    <w:t>44,17</w:t>
                  </w:r>
                </w:p>
              </w:tc>
            </w:tr>
            <w:tr w:rsidR="00350922" w:rsidRPr="00C23F0B" w14:paraId="3F9798B7" w14:textId="77777777" w:rsidTr="00A06ADC">
              <w:trPr>
                <w:trHeight w:val="300"/>
                <w:jc w:val="center"/>
              </w:trPr>
              <w:tc>
                <w:tcPr>
                  <w:tcW w:w="1300" w:type="dxa"/>
                  <w:noWrap/>
                  <w:vAlign w:val="bottom"/>
                  <w:hideMark/>
                </w:tcPr>
                <w:p w14:paraId="449BCDF8" w14:textId="77777777" w:rsidR="00350922" w:rsidRPr="00C23F0B" w:rsidRDefault="00350922" w:rsidP="00350922">
                  <w:pPr>
                    <w:pStyle w:val="Tabletext"/>
                    <w:jc w:val="center"/>
                  </w:pPr>
                </w:p>
              </w:tc>
              <w:tc>
                <w:tcPr>
                  <w:tcW w:w="1300" w:type="dxa"/>
                  <w:noWrap/>
                  <w:vAlign w:val="bottom"/>
                  <w:hideMark/>
                </w:tcPr>
                <w:p w14:paraId="28397704" w14:textId="77777777" w:rsidR="00350922" w:rsidRPr="00C23F0B" w:rsidRDefault="00350922" w:rsidP="00350922">
                  <w:pPr>
                    <w:pStyle w:val="Tabletext"/>
                    <w:jc w:val="center"/>
                  </w:pPr>
                </w:p>
              </w:tc>
            </w:tr>
          </w:tbl>
          <w:p w14:paraId="35CA6A2A" w14:textId="77777777" w:rsidR="00350922" w:rsidRPr="00C23F0B" w:rsidRDefault="00350922" w:rsidP="00350922">
            <w:pPr>
              <w:pStyle w:val="Tabletext"/>
              <w:jc w:val="center"/>
            </w:pPr>
          </w:p>
        </w:tc>
      </w:tr>
      <w:tr w:rsidR="00350922" w:rsidRPr="00C23F0B" w14:paraId="78DED115"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0A4500AC" w14:textId="77777777" w:rsidR="00350922" w:rsidRPr="00C23F0B" w:rsidRDefault="00350922" w:rsidP="00350922">
            <w:pPr>
              <w:pStyle w:val="Tabletext"/>
            </w:pPr>
            <w:r w:rsidRPr="00C23F0B">
              <w:lastRenderedPageBreak/>
              <w:t>Máxima potencia de entrada</w:t>
            </w:r>
          </w:p>
        </w:tc>
        <w:tc>
          <w:tcPr>
            <w:tcW w:w="2449" w:type="dxa"/>
            <w:tcBorders>
              <w:top w:val="single" w:sz="4" w:space="0" w:color="auto"/>
              <w:left w:val="single" w:sz="4" w:space="0" w:color="auto"/>
              <w:bottom w:val="single" w:sz="4" w:space="0" w:color="auto"/>
              <w:right w:val="single" w:sz="4" w:space="0" w:color="auto"/>
            </w:tcBorders>
            <w:hideMark/>
          </w:tcPr>
          <w:p w14:paraId="14377CA9" w14:textId="77777777" w:rsidR="00350922" w:rsidRPr="00C23F0B" w:rsidRDefault="00350922" w:rsidP="00350922">
            <w:pPr>
              <w:pStyle w:val="Tabletext"/>
              <w:jc w:val="center"/>
            </w:pPr>
            <w:r w:rsidRPr="00C23F0B">
              <w:t>13,7 dBW</w:t>
            </w:r>
          </w:p>
        </w:tc>
        <w:tc>
          <w:tcPr>
            <w:tcW w:w="2600" w:type="dxa"/>
            <w:tcBorders>
              <w:top w:val="single" w:sz="4" w:space="0" w:color="auto"/>
              <w:left w:val="single" w:sz="4" w:space="0" w:color="auto"/>
              <w:bottom w:val="single" w:sz="4" w:space="0" w:color="auto"/>
              <w:right w:val="single" w:sz="4" w:space="0" w:color="auto"/>
            </w:tcBorders>
            <w:hideMark/>
          </w:tcPr>
          <w:p w14:paraId="2FB61F62" w14:textId="77777777" w:rsidR="00350922" w:rsidRPr="00C23F0B" w:rsidRDefault="00350922" w:rsidP="00350922">
            <w:pPr>
              <w:pStyle w:val="Tabletext"/>
              <w:jc w:val="center"/>
            </w:pPr>
            <w:r w:rsidRPr="00C23F0B">
              <w:t>18,8 dBW</w:t>
            </w:r>
          </w:p>
        </w:tc>
      </w:tr>
      <w:tr w:rsidR="00350922" w:rsidRPr="00C23F0B" w14:paraId="6C0ED6D4"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170814B5" w14:textId="77777777" w:rsidR="00350922" w:rsidRPr="00C23F0B" w:rsidRDefault="00350922" w:rsidP="00350922">
            <w:pPr>
              <w:pStyle w:val="Tabletext"/>
            </w:pPr>
            <w:r w:rsidRPr="00C23F0B">
              <w:t>Máxima densidad de potencia de entrada</w:t>
            </w:r>
          </w:p>
        </w:tc>
        <w:tc>
          <w:tcPr>
            <w:tcW w:w="2449" w:type="dxa"/>
            <w:tcBorders>
              <w:top w:val="single" w:sz="4" w:space="0" w:color="auto"/>
              <w:left w:val="single" w:sz="4" w:space="0" w:color="auto"/>
              <w:bottom w:val="single" w:sz="4" w:space="0" w:color="auto"/>
              <w:right w:val="single" w:sz="4" w:space="0" w:color="auto"/>
            </w:tcBorders>
            <w:hideMark/>
          </w:tcPr>
          <w:p w14:paraId="2C0F23D2" w14:textId="77777777" w:rsidR="00350922" w:rsidRPr="00C23F0B" w:rsidRDefault="00350922" w:rsidP="00350922">
            <w:pPr>
              <w:pStyle w:val="Tabletext"/>
              <w:jc w:val="center"/>
            </w:pPr>
            <w:r w:rsidRPr="00C23F0B">
              <w:t>–61,5 dBW/Hz</w:t>
            </w:r>
          </w:p>
        </w:tc>
        <w:tc>
          <w:tcPr>
            <w:tcW w:w="2600" w:type="dxa"/>
            <w:tcBorders>
              <w:top w:val="single" w:sz="4" w:space="0" w:color="auto"/>
              <w:left w:val="single" w:sz="4" w:space="0" w:color="auto"/>
              <w:bottom w:val="single" w:sz="4" w:space="0" w:color="auto"/>
              <w:right w:val="single" w:sz="4" w:space="0" w:color="auto"/>
            </w:tcBorders>
            <w:hideMark/>
          </w:tcPr>
          <w:p w14:paraId="5BDDEE61" w14:textId="77777777" w:rsidR="00350922" w:rsidRPr="00C23F0B" w:rsidRDefault="00350922" w:rsidP="00350922">
            <w:pPr>
              <w:pStyle w:val="Tabletext"/>
              <w:jc w:val="center"/>
            </w:pPr>
            <w:r w:rsidRPr="00C23F0B">
              <w:t>–56,4 dBW/Hz</w:t>
            </w:r>
          </w:p>
        </w:tc>
      </w:tr>
      <w:tr w:rsidR="00350922" w:rsidRPr="00C23F0B" w14:paraId="177156F5"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105469D2" w14:textId="77777777" w:rsidR="00350922" w:rsidRPr="00C23F0B" w:rsidRDefault="00350922" w:rsidP="00350922">
            <w:pPr>
              <w:pStyle w:val="Tabletext"/>
            </w:pPr>
            <w:r w:rsidRPr="00C23F0B">
              <w:t>Ganancia de la antena de estación terrena</w:t>
            </w:r>
          </w:p>
        </w:tc>
        <w:tc>
          <w:tcPr>
            <w:tcW w:w="2449" w:type="dxa"/>
            <w:tcBorders>
              <w:top w:val="single" w:sz="4" w:space="0" w:color="auto"/>
              <w:left w:val="single" w:sz="4" w:space="0" w:color="auto"/>
              <w:bottom w:val="single" w:sz="4" w:space="0" w:color="auto"/>
              <w:right w:val="single" w:sz="4" w:space="0" w:color="auto"/>
            </w:tcBorders>
            <w:hideMark/>
          </w:tcPr>
          <w:p w14:paraId="116C58DC" w14:textId="77777777" w:rsidR="00350922" w:rsidRPr="00C23F0B" w:rsidRDefault="00350922" w:rsidP="00350922">
            <w:pPr>
              <w:pStyle w:val="Tabletext"/>
              <w:jc w:val="center"/>
            </w:pPr>
            <w:r w:rsidRPr="00C23F0B">
              <w:t>33,5 dBi</w:t>
            </w:r>
          </w:p>
        </w:tc>
        <w:tc>
          <w:tcPr>
            <w:tcW w:w="2600" w:type="dxa"/>
            <w:tcBorders>
              <w:top w:val="single" w:sz="4" w:space="0" w:color="auto"/>
              <w:left w:val="single" w:sz="4" w:space="0" w:color="auto"/>
              <w:bottom w:val="single" w:sz="4" w:space="0" w:color="auto"/>
              <w:right w:val="single" w:sz="4" w:space="0" w:color="auto"/>
            </w:tcBorders>
            <w:hideMark/>
          </w:tcPr>
          <w:p w14:paraId="0499B2E9" w14:textId="77777777" w:rsidR="00350922" w:rsidRPr="00C23F0B" w:rsidRDefault="00350922" w:rsidP="00350922">
            <w:pPr>
              <w:pStyle w:val="Tabletext"/>
              <w:jc w:val="center"/>
            </w:pPr>
            <w:r w:rsidRPr="00C23F0B">
              <w:t>57 dBi</w:t>
            </w:r>
          </w:p>
        </w:tc>
      </w:tr>
      <w:tr w:rsidR="00350922" w:rsidRPr="00C23F0B" w14:paraId="739E1BEF"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7221C553" w14:textId="77777777" w:rsidR="00350922" w:rsidRPr="00C23F0B" w:rsidRDefault="00350922" w:rsidP="00350922">
            <w:pPr>
              <w:pStyle w:val="Tabletext"/>
            </w:pPr>
            <w:r w:rsidRPr="00C23F0B">
              <w:t>Diámetro de antena de estación terrena</w:t>
            </w:r>
          </w:p>
        </w:tc>
        <w:tc>
          <w:tcPr>
            <w:tcW w:w="2449" w:type="dxa"/>
            <w:tcBorders>
              <w:top w:val="single" w:sz="4" w:space="0" w:color="auto"/>
              <w:left w:val="single" w:sz="4" w:space="0" w:color="auto"/>
              <w:bottom w:val="single" w:sz="4" w:space="0" w:color="auto"/>
              <w:right w:val="single" w:sz="4" w:space="0" w:color="auto"/>
            </w:tcBorders>
            <w:hideMark/>
          </w:tcPr>
          <w:p w14:paraId="149BF691" w14:textId="77777777" w:rsidR="00350922" w:rsidRPr="00C23F0B" w:rsidRDefault="00350922" w:rsidP="00350922">
            <w:pPr>
              <w:pStyle w:val="Tabletext"/>
              <w:jc w:val="center"/>
            </w:pPr>
            <w:r w:rsidRPr="00C23F0B">
              <w:t>0,6 m</w:t>
            </w:r>
          </w:p>
        </w:tc>
        <w:tc>
          <w:tcPr>
            <w:tcW w:w="2600" w:type="dxa"/>
            <w:tcBorders>
              <w:top w:val="single" w:sz="4" w:space="0" w:color="auto"/>
              <w:left w:val="single" w:sz="4" w:space="0" w:color="auto"/>
              <w:bottom w:val="single" w:sz="4" w:space="0" w:color="auto"/>
              <w:right w:val="single" w:sz="4" w:space="0" w:color="auto"/>
            </w:tcBorders>
            <w:hideMark/>
          </w:tcPr>
          <w:p w14:paraId="3E4EE46E" w14:textId="77777777" w:rsidR="00350922" w:rsidRPr="00C23F0B" w:rsidRDefault="00350922" w:rsidP="00350922">
            <w:pPr>
              <w:pStyle w:val="Tabletext"/>
              <w:jc w:val="center"/>
            </w:pPr>
            <w:r w:rsidRPr="00C23F0B">
              <w:t>5 m</w:t>
            </w:r>
          </w:p>
        </w:tc>
      </w:tr>
      <w:tr w:rsidR="00350922" w:rsidRPr="00C23F0B" w14:paraId="2370B0B1"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13A2A713" w14:textId="77777777" w:rsidR="00350922" w:rsidRPr="00C23F0B" w:rsidRDefault="00350922" w:rsidP="00350922">
            <w:pPr>
              <w:pStyle w:val="Tabletext"/>
            </w:pPr>
            <w:r w:rsidRPr="00C23F0B">
              <w:t>Diagrama de antena de estación terrena</w:t>
            </w:r>
          </w:p>
        </w:tc>
        <w:tc>
          <w:tcPr>
            <w:tcW w:w="2449" w:type="dxa"/>
            <w:tcBorders>
              <w:top w:val="single" w:sz="4" w:space="0" w:color="auto"/>
              <w:left w:val="single" w:sz="4" w:space="0" w:color="auto"/>
              <w:bottom w:val="single" w:sz="4" w:space="0" w:color="auto"/>
              <w:right w:val="single" w:sz="4" w:space="0" w:color="auto"/>
            </w:tcBorders>
            <w:hideMark/>
          </w:tcPr>
          <w:p w14:paraId="61F03222" w14:textId="77777777" w:rsidR="00350922" w:rsidRPr="00C23F0B" w:rsidRDefault="00350922" w:rsidP="00350922">
            <w:pPr>
              <w:pStyle w:val="Tabletext"/>
              <w:jc w:val="center"/>
            </w:pPr>
            <w:r w:rsidRPr="00C23F0B">
              <w:t>MODRES</w:t>
            </w:r>
          </w:p>
        </w:tc>
        <w:tc>
          <w:tcPr>
            <w:tcW w:w="2600" w:type="dxa"/>
            <w:tcBorders>
              <w:top w:val="single" w:sz="4" w:space="0" w:color="auto"/>
              <w:left w:val="single" w:sz="4" w:space="0" w:color="auto"/>
              <w:bottom w:val="single" w:sz="4" w:space="0" w:color="auto"/>
              <w:right w:val="single" w:sz="4" w:space="0" w:color="auto"/>
            </w:tcBorders>
            <w:hideMark/>
          </w:tcPr>
          <w:p w14:paraId="56C01EF6" w14:textId="77777777" w:rsidR="00350922" w:rsidRPr="00C23F0B" w:rsidRDefault="00350922" w:rsidP="00350922">
            <w:pPr>
              <w:pStyle w:val="Tabletext"/>
              <w:jc w:val="center"/>
            </w:pPr>
            <w:r w:rsidRPr="00C23F0B">
              <w:t>MODTES</w:t>
            </w:r>
          </w:p>
        </w:tc>
      </w:tr>
      <w:tr w:rsidR="00350922" w:rsidRPr="00C23F0B" w14:paraId="52FFB5E8"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35372A4D" w14:textId="77777777" w:rsidR="00350922" w:rsidRPr="00C23F0B" w:rsidRDefault="00350922" w:rsidP="00350922">
            <w:pPr>
              <w:pStyle w:val="Tabletext"/>
            </w:pPr>
            <w:r w:rsidRPr="00C23F0B">
              <w:t>Ancho del haz de 3 dB de estación terrena</w:t>
            </w:r>
          </w:p>
        </w:tc>
        <w:tc>
          <w:tcPr>
            <w:tcW w:w="2449" w:type="dxa"/>
            <w:tcBorders>
              <w:top w:val="single" w:sz="4" w:space="0" w:color="auto"/>
              <w:left w:val="single" w:sz="4" w:space="0" w:color="auto"/>
              <w:bottom w:val="single" w:sz="4" w:space="0" w:color="auto"/>
              <w:right w:val="single" w:sz="4" w:space="0" w:color="auto"/>
            </w:tcBorders>
            <w:hideMark/>
          </w:tcPr>
          <w:p w14:paraId="205EA810" w14:textId="77777777" w:rsidR="00350922" w:rsidRPr="00C23F0B" w:rsidRDefault="00350922" w:rsidP="00350922">
            <w:pPr>
              <w:pStyle w:val="Tabletext"/>
              <w:jc w:val="center"/>
            </w:pPr>
            <w:r w:rsidRPr="00C23F0B">
              <w:t>2,86°</w:t>
            </w:r>
          </w:p>
        </w:tc>
        <w:tc>
          <w:tcPr>
            <w:tcW w:w="2600" w:type="dxa"/>
            <w:tcBorders>
              <w:top w:val="single" w:sz="4" w:space="0" w:color="auto"/>
              <w:left w:val="single" w:sz="4" w:space="0" w:color="auto"/>
              <w:bottom w:val="single" w:sz="4" w:space="0" w:color="auto"/>
              <w:right w:val="single" w:sz="4" w:space="0" w:color="auto"/>
            </w:tcBorders>
            <w:hideMark/>
          </w:tcPr>
          <w:p w14:paraId="6A622A5A" w14:textId="77777777" w:rsidR="00350922" w:rsidRPr="00C23F0B" w:rsidRDefault="00350922" w:rsidP="00350922">
            <w:pPr>
              <w:pStyle w:val="Tabletext"/>
              <w:jc w:val="center"/>
            </w:pPr>
            <w:r w:rsidRPr="00C23F0B">
              <w:t>0,25°</w:t>
            </w:r>
          </w:p>
        </w:tc>
      </w:tr>
      <w:tr w:rsidR="00350922" w:rsidRPr="00C23F0B" w14:paraId="0D48BE32"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36F25EBF" w14:textId="77777777" w:rsidR="00350922" w:rsidRPr="00C23F0B" w:rsidRDefault="00350922" w:rsidP="00350922">
            <w:pPr>
              <w:pStyle w:val="Tabletext"/>
            </w:pPr>
            <w:r w:rsidRPr="00C23F0B">
              <w:t>10 canales</w:t>
            </w:r>
          </w:p>
        </w:tc>
        <w:tc>
          <w:tcPr>
            <w:tcW w:w="2449" w:type="dxa"/>
            <w:tcBorders>
              <w:top w:val="single" w:sz="4" w:space="0" w:color="auto"/>
              <w:left w:val="single" w:sz="4" w:space="0" w:color="auto"/>
              <w:bottom w:val="single" w:sz="4" w:space="0" w:color="auto"/>
              <w:right w:val="single" w:sz="4" w:space="0" w:color="auto"/>
            </w:tcBorders>
            <w:hideMark/>
          </w:tcPr>
          <w:p w14:paraId="0B299A95" w14:textId="77777777" w:rsidR="00350922" w:rsidRPr="00C23F0B" w:rsidRDefault="00350922" w:rsidP="00350922">
            <w:pPr>
              <w:pStyle w:val="Tabletext"/>
              <w:jc w:val="center"/>
            </w:pPr>
            <w:r w:rsidRPr="00C23F0B">
              <w:t>1, 2, 3, 4, 5, 6, 7, 8, 17, 18</w:t>
            </w:r>
          </w:p>
        </w:tc>
        <w:tc>
          <w:tcPr>
            <w:tcW w:w="2600" w:type="dxa"/>
            <w:tcBorders>
              <w:top w:val="single" w:sz="4" w:space="0" w:color="auto"/>
              <w:left w:val="single" w:sz="4" w:space="0" w:color="auto"/>
              <w:bottom w:val="single" w:sz="4" w:space="0" w:color="auto"/>
              <w:right w:val="single" w:sz="4" w:space="0" w:color="auto"/>
            </w:tcBorders>
            <w:hideMark/>
          </w:tcPr>
          <w:p w14:paraId="561C0DC2" w14:textId="77777777" w:rsidR="00350922" w:rsidRPr="00C23F0B" w:rsidRDefault="00350922" w:rsidP="00350922">
            <w:pPr>
              <w:pStyle w:val="Tabletext"/>
              <w:jc w:val="center"/>
            </w:pPr>
            <w:r w:rsidRPr="00C23F0B">
              <w:t>1, 2, 3, 4, 5, 6, 7, 8, 17, 18</w:t>
            </w:r>
          </w:p>
        </w:tc>
      </w:tr>
      <w:tr w:rsidR="00350922" w:rsidRPr="00C23F0B" w14:paraId="365E2B56"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3AB53B29" w14:textId="77777777" w:rsidR="00350922" w:rsidRPr="00C23F0B" w:rsidRDefault="00350922" w:rsidP="00350922">
            <w:pPr>
              <w:pStyle w:val="Tabletext"/>
            </w:pPr>
            <w:r w:rsidRPr="00C23F0B">
              <w:t>Ancho de banda por canal</w:t>
            </w:r>
          </w:p>
        </w:tc>
        <w:tc>
          <w:tcPr>
            <w:tcW w:w="2449" w:type="dxa"/>
            <w:tcBorders>
              <w:top w:val="single" w:sz="4" w:space="0" w:color="auto"/>
              <w:left w:val="single" w:sz="4" w:space="0" w:color="auto"/>
              <w:bottom w:val="single" w:sz="4" w:space="0" w:color="auto"/>
              <w:right w:val="single" w:sz="4" w:space="0" w:color="auto"/>
            </w:tcBorders>
            <w:hideMark/>
          </w:tcPr>
          <w:p w14:paraId="55AB7A2C" w14:textId="77777777" w:rsidR="00350922" w:rsidRPr="00C23F0B" w:rsidRDefault="00350922" w:rsidP="00350922">
            <w:pPr>
              <w:pStyle w:val="Tabletext"/>
              <w:jc w:val="center"/>
            </w:pPr>
            <w:r w:rsidRPr="00C23F0B">
              <w:t>33 MHz</w:t>
            </w:r>
          </w:p>
        </w:tc>
        <w:tc>
          <w:tcPr>
            <w:tcW w:w="2600" w:type="dxa"/>
            <w:tcBorders>
              <w:top w:val="single" w:sz="4" w:space="0" w:color="auto"/>
              <w:left w:val="single" w:sz="4" w:space="0" w:color="auto"/>
              <w:bottom w:val="single" w:sz="4" w:space="0" w:color="auto"/>
              <w:right w:val="single" w:sz="4" w:space="0" w:color="auto"/>
            </w:tcBorders>
            <w:hideMark/>
          </w:tcPr>
          <w:p w14:paraId="2E7AC181" w14:textId="77777777" w:rsidR="00350922" w:rsidRPr="00C23F0B" w:rsidRDefault="00350922" w:rsidP="00350922">
            <w:pPr>
              <w:pStyle w:val="Tabletext"/>
              <w:jc w:val="center"/>
            </w:pPr>
            <w:r w:rsidRPr="00C23F0B">
              <w:t>33 MHz</w:t>
            </w:r>
          </w:p>
        </w:tc>
      </w:tr>
      <w:tr w:rsidR="00350922" w:rsidRPr="00C23F0B" w14:paraId="2A0A6A40"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55B141EE" w14:textId="77777777" w:rsidR="00350922" w:rsidRPr="00C23F0B" w:rsidRDefault="00350922" w:rsidP="00350922">
            <w:pPr>
              <w:pStyle w:val="Tabletext"/>
            </w:pPr>
            <w:r w:rsidRPr="00C23F0B">
              <w:t>Polarización</w:t>
            </w:r>
          </w:p>
        </w:tc>
        <w:tc>
          <w:tcPr>
            <w:tcW w:w="2449" w:type="dxa"/>
            <w:tcBorders>
              <w:top w:val="single" w:sz="4" w:space="0" w:color="auto"/>
              <w:left w:val="single" w:sz="4" w:space="0" w:color="auto"/>
              <w:bottom w:val="single" w:sz="4" w:space="0" w:color="auto"/>
              <w:right w:val="single" w:sz="4" w:space="0" w:color="auto"/>
            </w:tcBorders>
            <w:hideMark/>
          </w:tcPr>
          <w:p w14:paraId="0C3B3070" w14:textId="77777777" w:rsidR="00350922" w:rsidRPr="00C23F0B" w:rsidRDefault="00350922" w:rsidP="00350922">
            <w:pPr>
              <w:pStyle w:val="Tabletext"/>
              <w:jc w:val="center"/>
            </w:pPr>
            <w:r w:rsidRPr="00C23F0B">
              <w:t>Lineal impar 0°</w:t>
            </w:r>
          </w:p>
          <w:p w14:paraId="55BDFE85" w14:textId="77777777" w:rsidR="00350922" w:rsidRPr="00C23F0B" w:rsidRDefault="00350922" w:rsidP="00350922">
            <w:pPr>
              <w:pStyle w:val="Tabletext"/>
              <w:jc w:val="center"/>
            </w:pPr>
            <w:r w:rsidRPr="00C23F0B">
              <w:t>Lineal par 90°</w:t>
            </w:r>
          </w:p>
        </w:tc>
        <w:tc>
          <w:tcPr>
            <w:tcW w:w="2600" w:type="dxa"/>
            <w:tcBorders>
              <w:top w:val="single" w:sz="4" w:space="0" w:color="auto"/>
              <w:left w:val="single" w:sz="4" w:space="0" w:color="auto"/>
              <w:bottom w:val="single" w:sz="4" w:space="0" w:color="auto"/>
              <w:right w:val="single" w:sz="4" w:space="0" w:color="auto"/>
            </w:tcBorders>
            <w:hideMark/>
          </w:tcPr>
          <w:p w14:paraId="74DA193E" w14:textId="77777777" w:rsidR="00350922" w:rsidRPr="00C23F0B" w:rsidRDefault="00350922" w:rsidP="00350922">
            <w:pPr>
              <w:pStyle w:val="Tabletext"/>
              <w:jc w:val="center"/>
            </w:pPr>
            <w:r w:rsidRPr="00C23F0B">
              <w:t>Lineal impar 0°</w:t>
            </w:r>
          </w:p>
          <w:p w14:paraId="6E07530F" w14:textId="77777777" w:rsidR="00350922" w:rsidRPr="00C23F0B" w:rsidRDefault="00350922" w:rsidP="00350922">
            <w:pPr>
              <w:pStyle w:val="Tabletext"/>
              <w:jc w:val="center"/>
            </w:pPr>
            <w:r w:rsidRPr="00C23F0B">
              <w:t>Lineal par 90</w:t>
            </w:r>
            <w:r w:rsidRPr="00C23F0B">
              <w:sym w:font="Symbol" w:char="F0B0"/>
            </w:r>
          </w:p>
        </w:tc>
      </w:tr>
      <w:tr w:rsidR="00350922" w:rsidRPr="00C23F0B" w14:paraId="33F9BFB2"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6C9AE034" w14:textId="77777777" w:rsidR="00350922" w:rsidRPr="00C23F0B" w:rsidRDefault="00350922" w:rsidP="00350922">
            <w:pPr>
              <w:pStyle w:val="Tabletext"/>
            </w:pPr>
            <w:r w:rsidRPr="00C23F0B">
              <w:t>Designación de la emisión</w:t>
            </w:r>
          </w:p>
        </w:tc>
        <w:tc>
          <w:tcPr>
            <w:tcW w:w="2449" w:type="dxa"/>
            <w:tcBorders>
              <w:top w:val="single" w:sz="4" w:space="0" w:color="auto"/>
              <w:left w:val="single" w:sz="4" w:space="0" w:color="auto"/>
              <w:bottom w:val="single" w:sz="4" w:space="0" w:color="auto"/>
              <w:right w:val="single" w:sz="4" w:space="0" w:color="auto"/>
            </w:tcBorders>
            <w:hideMark/>
          </w:tcPr>
          <w:p w14:paraId="0C982B9F" w14:textId="77777777" w:rsidR="00350922" w:rsidRPr="00C23F0B" w:rsidRDefault="00350922" w:rsidP="00350922">
            <w:pPr>
              <w:pStyle w:val="Tabletext"/>
              <w:jc w:val="center"/>
            </w:pPr>
            <w:r w:rsidRPr="00C23F0B">
              <w:t>33M0G7W--</w:t>
            </w:r>
          </w:p>
        </w:tc>
        <w:tc>
          <w:tcPr>
            <w:tcW w:w="2600" w:type="dxa"/>
            <w:tcBorders>
              <w:top w:val="single" w:sz="4" w:space="0" w:color="auto"/>
              <w:left w:val="single" w:sz="4" w:space="0" w:color="auto"/>
              <w:bottom w:val="single" w:sz="4" w:space="0" w:color="auto"/>
              <w:right w:val="single" w:sz="4" w:space="0" w:color="auto"/>
            </w:tcBorders>
            <w:hideMark/>
          </w:tcPr>
          <w:p w14:paraId="44CE28A3" w14:textId="77777777" w:rsidR="00350922" w:rsidRPr="00C23F0B" w:rsidRDefault="00350922" w:rsidP="00350922">
            <w:pPr>
              <w:pStyle w:val="Tabletext"/>
              <w:jc w:val="center"/>
            </w:pPr>
            <w:r w:rsidRPr="00C23F0B">
              <w:t>33M0G7W--</w:t>
            </w:r>
          </w:p>
        </w:tc>
      </w:tr>
      <w:tr w:rsidR="00350922" w:rsidRPr="00C23F0B" w14:paraId="7B88847B"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0F3BD846" w14:textId="77777777" w:rsidR="00350922" w:rsidRPr="00C23F0B" w:rsidRDefault="00350922" w:rsidP="00350922">
            <w:pPr>
              <w:pStyle w:val="Tabletext"/>
            </w:pPr>
            <w:r w:rsidRPr="00C23F0B">
              <w:t>Control de potencia</w:t>
            </w:r>
          </w:p>
        </w:tc>
        <w:tc>
          <w:tcPr>
            <w:tcW w:w="2449" w:type="dxa"/>
            <w:tcBorders>
              <w:top w:val="single" w:sz="4" w:space="0" w:color="auto"/>
              <w:left w:val="single" w:sz="4" w:space="0" w:color="auto"/>
              <w:bottom w:val="single" w:sz="4" w:space="0" w:color="auto"/>
              <w:right w:val="single" w:sz="4" w:space="0" w:color="auto"/>
            </w:tcBorders>
          </w:tcPr>
          <w:p w14:paraId="05E4A949" w14:textId="77777777" w:rsidR="00350922" w:rsidRPr="00C23F0B" w:rsidRDefault="00350922" w:rsidP="00350922">
            <w:pPr>
              <w:pStyle w:val="Tabletext"/>
              <w:jc w:val="center"/>
            </w:pPr>
          </w:p>
        </w:tc>
        <w:tc>
          <w:tcPr>
            <w:tcW w:w="2600" w:type="dxa"/>
            <w:tcBorders>
              <w:top w:val="single" w:sz="4" w:space="0" w:color="auto"/>
              <w:left w:val="single" w:sz="4" w:space="0" w:color="auto"/>
              <w:bottom w:val="single" w:sz="4" w:space="0" w:color="auto"/>
              <w:right w:val="single" w:sz="4" w:space="0" w:color="auto"/>
            </w:tcBorders>
            <w:hideMark/>
          </w:tcPr>
          <w:p w14:paraId="303EFD4F" w14:textId="77777777" w:rsidR="00350922" w:rsidRPr="00C23F0B" w:rsidRDefault="00350922" w:rsidP="00350922">
            <w:pPr>
              <w:pStyle w:val="Tabletext"/>
              <w:jc w:val="center"/>
            </w:pPr>
            <w:r w:rsidRPr="00C23F0B">
              <w:t>3 dB</w:t>
            </w:r>
          </w:p>
        </w:tc>
      </w:tr>
      <w:tr w:rsidR="00350922" w:rsidRPr="00C23F0B" w14:paraId="7E9A3190"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3F4F5925" w14:textId="77777777" w:rsidR="00350922" w:rsidRPr="00C23F0B" w:rsidRDefault="00350922" w:rsidP="00350922">
            <w:pPr>
              <w:pStyle w:val="Tabletext"/>
            </w:pPr>
            <w:r w:rsidRPr="00C23F0B">
              <w:t>Control automático de ganancia</w:t>
            </w:r>
          </w:p>
        </w:tc>
        <w:tc>
          <w:tcPr>
            <w:tcW w:w="2449" w:type="dxa"/>
            <w:tcBorders>
              <w:top w:val="single" w:sz="4" w:space="0" w:color="auto"/>
              <w:left w:val="single" w:sz="4" w:space="0" w:color="auto"/>
              <w:bottom w:val="single" w:sz="4" w:space="0" w:color="auto"/>
              <w:right w:val="single" w:sz="4" w:space="0" w:color="auto"/>
            </w:tcBorders>
          </w:tcPr>
          <w:p w14:paraId="621BC106" w14:textId="77777777" w:rsidR="00350922" w:rsidRPr="00C23F0B" w:rsidRDefault="00350922" w:rsidP="00350922">
            <w:pPr>
              <w:pStyle w:val="Tabletext"/>
              <w:jc w:val="center"/>
            </w:pPr>
          </w:p>
        </w:tc>
        <w:tc>
          <w:tcPr>
            <w:tcW w:w="2600" w:type="dxa"/>
            <w:tcBorders>
              <w:top w:val="single" w:sz="4" w:space="0" w:color="auto"/>
              <w:left w:val="single" w:sz="4" w:space="0" w:color="auto"/>
              <w:bottom w:val="single" w:sz="4" w:space="0" w:color="auto"/>
              <w:right w:val="single" w:sz="4" w:space="0" w:color="auto"/>
            </w:tcBorders>
            <w:hideMark/>
          </w:tcPr>
          <w:p w14:paraId="5DC8E230" w14:textId="77777777" w:rsidR="00350922" w:rsidRPr="00C23F0B" w:rsidRDefault="00350922" w:rsidP="00350922">
            <w:pPr>
              <w:pStyle w:val="Tabletext"/>
              <w:jc w:val="center"/>
            </w:pPr>
            <w:r w:rsidRPr="00C23F0B">
              <w:t>15 dB</w:t>
            </w:r>
          </w:p>
        </w:tc>
      </w:tr>
      <w:tr w:rsidR="00350922" w:rsidRPr="00C23F0B" w14:paraId="1125FAD5"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7C6C5141" w14:textId="77777777" w:rsidR="00350922" w:rsidRPr="00C23F0B" w:rsidRDefault="00350922" w:rsidP="00350922">
            <w:pPr>
              <w:pStyle w:val="Tabletext"/>
            </w:pPr>
            <w:r w:rsidRPr="00C23F0B">
              <w:t>Temperatura de ruido</w:t>
            </w:r>
          </w:p>
        </w:tc>
        <w:tc>
          <w:tcPr>
            <w:tcW w:w="2449" w:type="dxa"/>
            <w:tcBorders>
              <w:top w:val="single" w:sz="4" w:space="0" w:color="auto"/>
              <w:left w:val="single" w:sz="4" w:space="0" w:color="auto"/>
              <w:bottom w:val="single" w:sz="4" w:space="0" w:color="auto"/>
              <w:right w:val="single" w:sz="4" w:space="0" w:color="auto"/>
            </w:tcBorders>
          </w:tcPr>
          <w:p w14:paraId="627612D6" w14:textId="77777777" w:rsidR="00350922" w:rsidRPr="00C23F0B" w:rsidRDefault="00350922" w:rsidP="00350922">
            <w:pPr>
              <w:pStyle w:val="Tabletext"/>
              <w:jc w:val="center"/>
            </w:pPr>
          </w:p>
        </w:tc>
        <w:tc>
          <w:tcPr>
            <w:tcW w:w="2600" w:type="dxa"/>
            <w:tcBorders>
              <w:top w:val="single" w:sz="4" w:space="0" w:color="auto"/>
              <w:left w:val="single" w:sz="4" w:space="0" w:color="auto"/>
              <w:bottom w:val="single" w:sz="4" w:space="0" w:color="auto"/>
              <w:right w:val="single" w:sz="4" w:space="0" w:color="auto"/>
            </w:tcBorders>
            <w:hideMark/>
          </w:tcPr>
          <w:p w14:paraId="66BD8F0E" w14:textId="77777777" w:rsidR="00350922" w:rsidRPr="00C23F0B" w:rsidRDefault="00350922" w:rsidP="00350922">
            <w:pPr>
              <w:pStyle w:val="Tabletext"/>
              <w:jc w:val="center"/>
            </w:pPr>
            <w:r w:rsidRPr="00C23F0B">
              <w:t>600 K</w:t>
            </w:r>
          </w:p>
        </w:tc>
      </w:tr>
      <w:tr w:rsidR="00350922" w:rsidRPr="00C23F0B" w14:paraId="05321824" w14:textId="77777777" w:rsidTr="00A06ADC">
        <w:trPr>
          <w:jc w:val="center"/>
        </w:trPr>
        <w:tc>
          <w:tcPr>
            <w:tcW w:w="3593" w:type="dxa"/>
            <w:tcBorders>
              <w:top w:val="single" w:sz="4" w:space="0" w:color="auto"/>
              <w:left w:val="single" w:sz="4" w:space="0" w:color="auto"/>
              <w:bottom w:val="single" w:sz="4" w:space="0" w:color="auto"/>
              <w:right w:val="single" w:sz="4" w:space="0" w:color="auto"/>
            </w:tcBorders>
            <w:hideMark/>
          </w:tcPr>
          <w:p w14:paraId="791482AF" w14:textId="77777777" w:rsidR="00350922" w:rsidRPr="00C23F0B" w:rsidRDefault="00350922" w:rsidP="00350922">
            <w:pPr>
              <w:pStyle w:val="Tabletext"/>
            </w:pPr>
            <w:r w:rsidRPr="00C23F0B">
              <w:t>Código de grupo de operación exclusivo</w:t>
            </w:r>
          </w:p>
        </w:tc>
        <w:tc>
          <w:tcPr>
            <w:tcW w:w="2449" w:type="dxa"/>
            <w:tcBorders>
              <w:top w:val="single" w:sz="4" w:space="0" w:color="auto"/>
              <w:left w:val="single" w:sz="4" w:space="0" w:color="auto"/>
              <w:bottom w:val="single" w:sz="4" w:space="0" w:color="auto"/>
              <w:right w:val="single" w:sz="4" w:space="0" w:color="auto"/>
            </w:tcBorders>
            <w:hideMark/>
          </w:tcPr>
          <w:p w14:paraId="22E67474" w14:textId="77777777" w:rsidR="00350922" w:rsidRPr="00C23F0B" w:rsidRDefault="00350922" w:rsidP="00350922">
            <w:pPr>
              <w:pStyle w:val="Tabletext"/>
              <w:jc w:val="center"/>
            </w:pPr>
            <w:r w:rsidRPr="00C23F0B">
              <w:t>E5</w:t>
            </w:r>
          </w:p>
        </w:tc>
        <w:tc>
          <w:tcPr>
            <w:tcW w:w="2600" w:type="dxa"/>
            <w:tcBorders>
              <w:top w:val="single" w:sz="4" w:space="0" w:color="auto"/>
              <w:left w:val="single" w:sz="4" w:space="0" w:color="auto"/>
              <w:bottom w:val="single" w:sz="4" w:space="0" w:color="auto"/>
              <w:right w:val="single" w:sz="4" w:space="0" w:color="auto"/>
            </w:tcBorders>
            <w:hideMark/>
          </w:tcPr>
          <w:p w14:paraId="7E0E49CC" w14:textId="77777777" w:rsidR="00350922" w:rsidRPr="00C23F0B" w:rsidRDefault="00350922" w:rsidP="00350922">
            <w:pPr>
              <w:pStyle w:val="Tabletext"/>
              <w:jc w:val="center"/>
            </w:pPr>
            <w:r w:rsidRPr="00C23F0B">
              <w:t>E5</w:t>
            </w:r>
          </w:p>
        </w:tc>
      </w:tr>
    </w:tbl>
    <w:p w14:paraId="6DD4C876" w14:textId="2F48CFB8" w:rsidR="00350922" w:rsidRPr="00C23F0B" w:rsidRDefault="00350922" w:rsidP="00350922">
      <w:pPr>
        <w:pStyle w:val="TableNo"/>
      </w:pPr>
      <w:r w:rsidRPr="00C23F0B">
        <w:t>CUADRO 2</w:t>
      </w:r>
    </w:p>
    <w:p w14:paraId="171B373A" w14:textId="77777777" w:rsidR="00350922" w:rsidRPr="00C23F0B" w:rsidRDefault="00350922" w:rsidP="00350922">
      <w:pPr>
        <w:pStyle w:val="Tabletitle"/>
      </w:pPr>
      <w:r w:rsidRPr="00C23F0B">
        <w:t>Haces de la red de satélites BULSAT-BSS-1.2W-W cuyas</w:t>
      </w:r>
      <w:r w:rsidRPr="00C23F0B">
        <w:br/>
        <w:t>asignaciones de frecuencias se han de suprimir</w:t>
      </w:r>
    </w:p>
    <w:tbl>
      <w:tblPr>
        <w:tblStyle w:val="TableGrid"/>
        <w:tblW w:w="0" w:type="auto"/>
        <w:jc w:val="center"/>
        <w:tblLook w:val="04A0" w:firstRow="1" w:lastRow="0" w:firstColumn="1" w:lastColumn="0" w:noHBand="0" w:noVBand="1"/>
      </w:tblPr>
      <w:tblGrid>
        <w:gridCol w:w="2690"/>
        <w:gridCol w:w="1926"/>
        <w:gridCol w:w="2664"/>
        <w:gridCol w:w="2012"/>
      </w:tblGrid>
      <w:tr w:rsidR="00350922" w:rsidRPr="00C23F0B" w14:paraId="7155642B" w14:textId="77777777" w:rsidTr="00A06ADC">
        <w:trPr>
          <w:jc w:val="center"/>
        </w:trPr>
        <w:tc>
          <w:tcPr>
            <w:tcW w:w="2690" w:type="dxa"/>
            <w:tcBorders>
              <w:top w:val="single" w:sz="4" w:space="0" w:color="auto"/>
              <w:left w:val="single" w:sz="4" w:space="0" w:color="auto"/>
              <w:bottom w:val="single" w:sz="4" w:space="0" w:color="auto"/>
              <w:right w:val="single" w:sz="4" w:space="0" w:color="auto"/>
            </w:tcBorders>
            <w:hideMark/>
          </w:tcPr>
          <w:p w14:paraId="0A227654" w14:textId="77777777" w:rsidR="00350922" w:rsidRPr="00C23F0B" w:rsidRDefault="00350922" w:rsidP="00350922">
            <w:pPr>
              <w:pStyle w:val="Tablehead"/>
            </w:pPr>
            <w:r w:rsidRPr="00C23F0B">
              <w:t>Nombre del satélite</w:t>
            </w:r>
          </w:p>
        </w:tc>
        <w:tc>
          <w:tcPr>
            <w:tcW w:w="1926" w:type="dxa"/>
            <w:tcBorders>
              <w:top w:val="single" w:sz="4" w:space="0" w:color="auto"/>
              <w:left w:val="single" w:sz="4" w:space="0" w:color="auto"/>
              <w:bottom w:val="single" w:sz="4" w:space="0" w:color="auto"/>
              <w:right w:val="single" w:sz="4" w:space="0" w:color="auto"/>
            </w:tcBorders>
            <w:hideMark/>
          </w:tcPr>
          <w:p w14:paraId="67222837" w14:textId="77777777" w:rsidR="00350922" w:rsidRPr="00C23F0B" w:rsidRDefault="00350922" w:rsidP="00350922">
            <w:pPr>
              <w:pStyle w:val="Tablehead"/>
            </w:pPr>
            <w:r w:rsidRPr="00C23F0B">
              <w:t>Posición orbital</w:t>
            </w:r>
          </w:p>
        </w:tc>
        <w:tc>
          <w:tcPr>
            <w:tcW w:w="2664" w:type="dxa"/>
            <w:tcBorders>
              <w:top w:val="single" w:sz="4" w:space="0" w:color="auto"/>
              <w:left w:val="single" w:sz="4" w:space="0" w:color="auto"/>
              <w:bottom w:val="single" w:sz="4" w:space="0" w:color="auto"/>
              <w:right w:val="single" w:sz="4" w:space="0" w:color="auto"/>
            </w:tcBorders>
            <w:hideMark/>
          </w:tcPr>
          <w:p w14:paraId="246DAC8F" w14:textId="77777777" w:rsidR="00350922" w:rsidRPr="00C23F0B" w:rsidRDefault="00350922" w:rsidP="00350922">
            <w:pPr>
              <w:pStyle w:val="Tablehead"/>
            </w:pPr>
            <w:r w:rsidRPr="00C23F0B">
              <w:t>Sección Especial (Parte B)</w:t>
            </w:r>
          </w:p>
        </w:tc>
        <w:tc>
          <w:tcPr>
            <w:tcW w:w="2012" w:type="dxa"/>
            <w:tcBorders>
              <w:top w:val="single" w:sz="4" w:space="0" w:color="auto"/>
              <w:left w:val="single" w:sz="4" w:space="0" w:color="auto"/>
              <w:bottom w:val="single" w:sz="4" w:space="0" w:color="auto"/>
              <w:right w:val="single" w:sz="4" w:space="0" w:color="auto"/>
            </w:tcBorders>
            <w:hideMark/>
          </w:tcPr>
          <w:p w14:paraId="1E81B6FA" w14:textId="77777777" w:rsidR="00350922" w:rsidRPr="00C23F0B" w:rsidRDefault="00350922" w:rsidP="00350922">
            <w:pPr>
              <w:pStyle w:val="Tablehead"/>
            </w:pPr>
            <w:r w:rsidRPr="00C23F0B">
              <w:t>Haz</w:t>
            </w:r>
          </w:p>
        </w:tc>
      </w:tr>
      <w:tr w:rsidR="00350922" w:rsidRPr="00C23F0B" w14:paraId="038AD6BB" w14:textId="77777777" w:rsidTr="00A06ADC">
        <w:trPr>
          <w:jc w:val="center"/>
        </w:trPr>
        <w:tc>
          <w:tcPr>
            <w:tcW w:w="2690" w:type="dxa"/>
            <w:vMerge w:val="restart"/>
            <w:tcBorders>
              <w:top w:val="single" w:sz="4" w:space="0" w:color="auto"/>
              <w:left w:val="single" w:sz="4" w:space="0" w:color="auto"/>
              <w:bottom w:val="single" w:sz="4" w:space="0" w:color="auto"/>
              <w:right w:val="single" w:sz="4" w:space="0" w:color="auto"/>
            </w:tcBorders>
            <w:vAlign w:val="center"/>
            <w:hideMark/>
          </w:tcPr>
          <w:p w14:paraId="73F0AD2B" w14:textId="77777777" w:rsidR="00350922" w:rsidRPr="00C23F0B" w:rsidRDefault="00350922" w:rsidP="00350922">
            <w:pPr>
              <w:pStyle w:val="Tabletext"/>
              <w:jc w:val="center"/>
            </w:pPr>
            <w:r w:rsidRPr="00C23F0B">
              <w:t>BULSAT-BSS-1.2W-W</w:t>
            </w:r>
          </w:p>
        </w:tc>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73304C05" w14:textId="77777777" w:rsidR="00350922" w:rsidRPr="00C23F0B" w:rsidRDefault="00350922" w:rsidP="00350922">
            <w:pPr>
              <w:pStyle w:val="Tabletext"/>
              <w:jc w:val="center"/>
            </w:pPr>
            <w:r w:rsidRPr="00C23F0B">
              <w:t>1,9° E</w:t>
            </w:r>
          </w:p>
        </w:tc>
        <w:tc>
          <w:tcPr>
            <w:tcW w:w="2664" w:type="dxa"/>
            <w:tcBorders>
              <w:top w:val="single" w:sz="4" w:space="0" w:color="auto"/>
              <w:left w:val="single" w:sz="4" w:space="0" w:color="auto"/>
              <w:bottom w:val="single" w:sz="4" w:space="0" w:color="auto"/>
              <w:right w:val="single" w:sz="4" w:space="0" w:color="auto"/>
            </w:tcBorders>
            <w:vAlign w:val="center"/>
            <w:hideMark/>
          </w:tcPr>
          <w:p w14:paraId="1EE15055" w14:textId="77777777" w:rsidR="00350922" w:rsidRPr="00C23F0B" w:rsidRDefault="00350922" w:rsidP="00350922">
            <w:pPr>
              <w:pStyle w:val="Tabletext"/>
              <w:jc w:val="center"/>
            </w:pPr>
            <w:r w:rsidRPr="00C23F0B">
              <w:t>AP30/E/599</w:t>
            </w:r>
          </w:p>
        </w:tc>
        <w:tc>
          <w:tcPr>
            <w:tcW w:w="2012" w:type="dxa"/>
            <w:tcBorders>
              <w:top w:val="single" w:sz="4" w:space="0" w:color="auto"/>
              <w:left w:val="single" w:sz="4" w:space="0" w:color="auto"/>
              <w:bottom w:val="single" w:sz="4" w:space="0" w:color="auto"/>
              <w:right w:val="single" w:sz="4" w:space="0" w:color="auto"/>
            </w:tcBorders>
            <w:vAlign w:val="center"/>
            <w:hideMark/>
          </w:tcPr>
          <w:p w14:paraId="44D391BD" w14:textId="77777777" w:rsidR="00350922" w:rsidRPr="00C23F0B" w:rsidRDefault="00350922" w:rsidP="00350922">
            <w:pPr>
              <w:pStyle w:val="Tabletext"/>
              <w:jc w:val="center"/>
            </w:pPr>
            <w:r w:rsidRPr="00C23F0B">
              <w:t>CEED</w:t>
            </w:r>
          </w:p>
        </w:tc>
      </w:tr>
      <w:tr w:rsidR="00350922" w:rsidRPr="00C23F0B" w14:paraId="7D046C01" w14:textId="77777777" w:rsidTr="00A06AD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C79F6" w14:textId="77777777" w:rsidR="00350922" w:rsidRPr="00C23F0B" w:rsidRDefault="00350922" w:rsidP="00350922">
            <w:pPr>
              <w:pStyle w:val="Tabletext"/>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F846B" w14:textId="77777777" w:rsidR="00350922" w:rsidRPr="00C23F0B" w:rsidRDefault="00350922" w:rsidP="00350922">
            <w:pPr>
              <w:pStyle w:val="Tabletext"/>
              <w:jc w:val="center"/>
            </w:pPr>
          </w:p>
        </w:tc>
        <w:tc>
          <w:tcPr>
            <w:tcW w:w="2664" w:type="dxa"/>
            <w:tcBorders>
              <w:top w:val="single" w:sz="4" w:space="0" w:color="auto"/>
              <w:left w:val="single" w:sz="4" w:space="0" w:color="auto"/>
              <w:bottom w:val="single" w:sz="4" w:space="0" w:color="auto"/>
              <w:right w:val="single" w:sz="4" w:space="0" w:color="auto"/>
            </w:tcBorders>
            <w:vAlign w:val="center"/>
            <w:hideMark/>
          </w:tcPr>
          <w:p w14:paraId="2C47E39A" w14:textId="77777777" w:rsidR="00350922" w:rsidRPr="00C23F0B" w:rsidRDefault="00350922" w:rsidP="00350922">
            <w:pPr>
              <w:pStyle w:val="Tabletext"/>
              <w:jc w:val="center"/>
            </w:pPr>
            <w:r w:rsidRPr="00C23F0B">
              <w:t>AP30A/E/542</w:t>
            </w:r>
          </w:p>
        </w:tc>
        <w:tc>
          <w:tcPr>
            <w:tcW w:w="2012" w:type="dxa"/>
            <w:tcBorders>
              <w:top w:val="single" w:sz="4" w:space="0" w:color="auto"/>
              <w:left w:val="single" w:sz="4" w:space="0" w:color="auto"/>
              <w:bottom w:val="single" w:sz="4" w:space="0" w:color="auto"/>
              <w:right w:val="single" w:sz="4" w:space="0" w:color="auto"/>
            </w:tcBorders>
            <w:vAlign w:val="center"/>
            <w:hideMark/>
          </w:tcPr>
          <w:p w14:paraId="5CF34E01" w14:textId="77777777" w:rsidR="00350922" w:rsidRPr="00C23F0B" w:rsidRDefault="00350922" w:rsidP="00350922">
            <w:pPr>
              <w:pStyle w:val="Tabletext"/>
              <w:jc w:val="center"/>
            </w:pPr>
            <w:r w:rsidRPr="00C23F0B">
              <w:t>CER</w:t>
            </w:r>
          </w:p>
        </w:tc>
      </w:tr>
    </w:tbl>
    <w:p w14:paraId="2DB054EE" w14:textId="77777777" w:rsidR="00350922" w:rsidRPr="00C23F0B" w:rsidRDefault="00350922" w:rsidP="00350922"/>
    <w:tbl>
      <w:tblPr>
        <w:tblStyle w:val="TableGrid"/>
        <w:tblW w:w="0" w:type="auto"/>
        <w:tblLook w:val="04A0" w:firstRow="1" w:lastRow="0" w:firstColumn="1" w:lastColumn="0" w:noHBand="0" w:noVBand="1"/>
      </w:tblPr>
      <w:tblGrid>
        <w:gridCol w:w="4866"/>
        <w:gridCol w:w="4763"/>
      </w:tblGrid>
      <w:tr w:rsidR="00350922" w:rsidRPr="00C23F0B" w14:paraId="2728D56C" w14:textId="77777777" w:rsidTr="00A06ADC">
        <w:tc>
          <w:tcPr>
            <w:tcW w:w="4866" w:type="dxa"/>
            <w:tcBorders>
              <w:top w:val="single" w:sz="4" w:space="0" w:color="auto"/>
              <w:left w:val="single" w:sz="4" w:space="0" w:color="auto"/>
              <w:bottom w:val="single" w:sz="4" w:space="0" w:color="auto"/>
              <w:right w:val="single" w:sz="4" w:space="0" w:color="auto"/>
            </w:tcBorders>
            <w:hideMark/>
          </w:tcPr>
          <w:p w14:paraId="60B6FDF5" w14:textId="77777777" w:rsidR="00350922" w:rsidRPr="00C934FD" w:rsidRDefault="00350922" w:rsidP="00C934FD">
            <w:pPr>
              <w:spacing w:after="120"/>
              <w:jc w:val="center"/>
              <w:rPr>
                <w:sz w:val="20"/>
              </w:rPr>
            </w:pPr>
            <w:r w:rsidRPr="00C934FD">
              <w:rPr>
                <w:sz w:val="20"/>
              </w:rPr>
              <w:t>Haz de enlace descendente CEED</w:t>
            </w:r>
          </w:p>
        </w:tc>
        <w:tc>
          <w:tcPr>
            <w:tcW w:w="4763" w:type="dxa"/>
            <w:tcBorders>
              <w:top w:val="single" w:sz="4" w:space="0" w:color="auto"/>
              <w:left w:val="single" w:sz="4" w:space="0" w:color="auto"/>
              <w:bottom w:val="single" w:sz="4" w:space="0" w:color="auto"/>
              <w:right w:val="single" w:sz="4" w:space="0" w:color="auto"/>
            </w:tcBorders>
            <w:hideMark/>
          </w:tcPr>
          <w:p w14:paraId="6739957D" w14:textId="77777777" w:rsidR="00350922" w:rsidRPr="00C934FD" w:rsidRDefault="00350922" w:rsidP="00C934FD">
            <w:pPr>
              <w:spacing w:after="120"/>
              <w:jc w:val="center"/>
              <w:rPr>
                <w:sz w:val="20"/>
              </w:rPr>
            </w:pPr>
            <w:r w:rsidRPr="00C934FD">
              <w:rPr>
                <w:sz w:val="20"/>
              </w:rPr>
              <w:t>Haz de enlace de conexión CER</w:t>
            </w:r>
          </w:p>
        </w:tc>
      </w:tr>
      <w:tr w:rsidR="00350922" w:rsidRPr="00C23F0B" w14:paraId="0F84F7A5" w14:textId="77777777" w:rsidTr="00A06ADC">
        <w:tc>
          <w:tcPr>
            <w:tcW w:w="9629" w:type="dxa"/>
            <w:gridSpan w:val="2"/>
            <w:tcBorders>
              <w:top w:val="single" w:sz="4" w:space="0" w:color="auto"/>
              <w:left w:val="single" w:sz="4" w:space="0" w:color="auto"/>
              <w:bottom w:val="single" w:sz="4" w:space="0" w:color="auto"/>
              <w:right w:val="single" w:sz="4" w:space="0" w:color="auto"/>
            </w:tcBorders>
            <w:hideMark/>
          </w:tcPr>
          <w:p w14:paraId="6490511F" w14:textId="77777777" w:rsidR="00350922" w:rsidRPr="00C934FD" w:rsidRDefault="00350922" w:rsidP="00C934FD">
            <w:pPr>
              <w:spacing w:after="120"/>
              <w:jc w:val="center"/>
              <w:rPr>
                <w:b/>
                <w:bCs/>
                <w:sz w:val="20"/>
              </w:rPr>
            </w:pPr>
            <w:r w:rsidRPr="00C934FD">
              <w:rPr>
                <w:b/>
                <w:bCs/>
                <w:sz w:val="20"/>
              </w:rPr>
              <w:t>Cobertura copolar</w:t>
            </w:r>
          </w:p>
        </w:tc>
      </w:tr>
      <w:tr w:rsidR="00350922" w:rsidRPr="00C23F0B" w14:paraId="49906769" w14:textId="77777777" w:rsidTr="00A06ADC">
        <w:tc>
          <w:tcPr>
            <w:tcW w:w="4866" w:type="dxa"/>
            <w:tcBorders>
              <w:top w:val="single" w:sz="4" w:space="0" w:color="auto"/>
              <w:left w:val="single" w:sz="4" w:space="0" w:color="auto"/>
              <w:bottom w:val="single" w:sz="4" w:space="0" w:color="auto"/>
              <w:right w:val="single" w:sz="4" w:space="0" w:color="auto"/>
            </w:tcBorders>
            <w:hideMark/>
          </w:tcPr>
          <w:p w14:paraId="7B1D1F33" w14:textId="55BFB110" w:rsidR="00350922" w:rsidRPr="00C23F0B" w:rsidRDefault="00350922" w:rsidP="0089667B">
            <w:pPr>
              <w:pStyle w:val="Figure"/>
              <w:keepNext w:val="0"/>
              <w:keepLines w:val="0"/>
            </w:pPr>
            <w:r w:rsidRPr="00C23F0B">
              <w:rPr>
                <w:noProof/>
                <w:lang w:eastAsia="zh-CN"/>
              </w:rPr>
              <w:drawing>
                <wp:inline distT="0" distB="0" distL="0" distR="0" wp14:anchorId="0C5F2F48" wp14:editId="3AA5A41D">
                  <wp:extent cx="2581154" cy="25787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825465"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94258" cy="2591832"/>
                          </a:xfrm>
                          <a:prstGeom prst="rect">
                            <a:avLst/>
                          </a:prstGeom>
                          <a:noFill/>
                          <a:ln>
                            <a:noFill/>
                          </a:ln>
                        </pic:spPr>
                      </pic:pic>
                    </a:graphicData>
                  </a:graphic>
                </wp:inline>
              </w:drawing>
            </w:r>
          </w:p>
        </w:tc>
        <w:tc>
          <w:tcPr>
            <w:tcW w:w="4763" w:type="dxa"/>
            <w:tcBorders>
              <w:top w:val="single" w:sz="4" w:space="0" w:color="auto"/>
              <w:left w:val="single" w:sz="4" w:space="0" w:color="auto"/>
              <w:bottom w:val="single" w:sz="4" w:space="0" w:color="auto"/>
              <w:right w:val="single" w:sz="4" w:space="0" w:color="auto"/>
            </w:tcBorders>
            <w:hideMark/>
          </w:tcPr>
          <w:p w14:paraId="2742D274" w14:textId="4785201D" w:rsidR="00350922" w:rsidRPr="00C23F0B" w:rsidRDefault="00350922" w:rsidP="0089667B">
            <w:pPr>
              <w:pStyle w:val="Figure"/>
              <w:keepNext w:val="0"/>
              <w:keepLines w:val="0"/>
            </w:pPr>
            <w:r w:rsidRPr="00C23F0B">
              <w:rPr>
                <w:noProof/>
                <w:lang w:eastAsia="zh-CN"/>
              </w:rPr>
              <w:drawing>
                <wp:inline distT="0" distB="0" distL="0" distR="0" wp14:anchorId="62DC4D2B" wp14:editId="38895FF6">
                  <wp:extent cx="2549171" cy="2546790"/>
                  <wp:effectExtent l="0" t="0" r="381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72465"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58275" cy="2555886"/>
                          </a:xfrm>
                          <a:prstGeom prst="rect">
                            <a:avLst/>
                          </a:prstGeom>
                          <a:noFill/>
                          <a:ln>
                            <a:noFill/>
                          </a:ln>
                        </pic:spPr>
                      </pic:pic>
                    </a:graphicData>
                  </a:graphic>
                </wp:inline>
              </w:drawing>
            </w:r>
          </w:p>
        </w:tc>
      </w:tr>
      <w:tr w:rsidR="00350922" w:rsidRPr="00C23F0B" w14:paraId="68444A8E" w14:textId="77777777" w:rsidTr="00A06ADC">
        <w:tc>
          <w:tcPr>
            <w:tcW w:w="9629" w:type="dxa"/>
            <w:gridSpan w:val="2"/>
            <w:tcBorders>
              <w:top w:val="single" w:sz="4" w:space="0" w:color="auto"/>
              <w:left w:val="single" w:sz="4" w:space="0" w:color="auto"/>
              <w:bottom w:val="single" w:sz="4" w:space="0" w:color="auto"/>
              <w:right w:val="single" w:sz="4" w:space="0" w:color="auto"/>
            </w:tcBorders>
            <w:hideMark/>
          </w:tcPr>
          <w:p w14:paraId="43DBF49F" w14:textId="77777777" w:rsidR="00350922" w:rsidRPr="00C934FD" w:rsidRDefault="00350922" w:rsidP="00C934FD">
            <w:pPr>
              <w:keepNext/>
              <w:keepLines/>
              <w:spacing w:after="120"/>
              <w:jc w:val="center"/>
              <w:rPr>
                <w:b/>
                <w:bCs/>
                <w:sz w:val="20"/>
              </w:rPr>
            </w:pPr>
            <w:r w:rsidRPr="00C934FD">
              <w:rPr>
                <w:b/>
                <w:bCs/>
                <w:sz w:val="20"/>
              </w:rPr>
              <w:lastRenderedPageBreak/>
              <w:t>Cobertura con polarización cruzada</w:t>
            </w:r>
          </w:p>
        </w:tc>
      </w:tr>
      <w:tr w:rsidR="00350922" w:rsidRPr="00C23F0B" w14:paraId="032BB08D" w14:textId="77777777" w:rsidTr="00A06ADC">
        <w:tc>
          <w:tcPr>
            <w:tcW w:w="4866" w:type="dxa"/>
            <w:tcBorders>
              <w:top w:val="single" w:sz="4" w:space="0" w:color="auto"/>
              <w:left w:val="single" w:sz="4" w:space="0" w:color="auto"/>
              <w:bottom w:val="single" w:sz="4" w:space="0" w:color="auto"/>
              <w:right w:val="single" w:sz="4" w:space="0" w:color="auto"/>
            </w:tcBorders>
            <w:hideMark/>
          </w:tcPr>
          <w:p w14:paraId="1EED1EC7" w14:textId="25A3A571" w:rsidR="00350922" w:rsidRPr="00C23F0B" w:rsidRDefault="00350922" w:rsidP="0089667B">
            <w:pPr>
              <w:pStyle w:val="Figure"/>
              <w:keepNext w:val="0"/>
              <w:keepLines w:val="0"/>
            </w:pPr>
            <w:r w:rsidRPr="00C23F0B">
              <w:rPr>
                <w:noProof/>
                <w:lang w:eastAsia="zh-CN"/>
              </w:rPr>
              <w:drawing>
                <wp:inline distT="0" distB="0" distL="0" distR="0" wp14:anchorId="51A0A96C" wp14:editId="1B9083E1">
                  <wp:extent cx="2947928" cy="2945173"/>
                  <wp:effectExtent l="0" t="0" r="508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56452"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955033" cy="2952271"/>
                          </a:xfrm>
                          <a:prstGeom prst="rect">
                            <a:avLst/>
                          </a:prstGeom>
                          <a:noFill/>
                          <a:ln>
                            <a:noFill/>
                          </a:ln>
                        </pic:spPr>
                      </pic:pic>
                    </a:graphicData>
                  </a:graphic>
                </wp:inline>
              </w:drawing>
            </w:r>
          </w:p>
        </w:tc>
        <w:tc>
          <w:tcPr>
            <w:tcW w:w="4763" w:type="dxa"/>
            <w:tcBorders>
              <w:top w:val="single" w:sz="4" w:space="0" w:color="auto"/>
              <w:left w:val="single" w:sz="4" w:space="0" w:color="auto"/>
              <w:bottom w:val="single" w:sz="4" w:space="0" w:color="auto"/>
              <w:right w:val="single" w:sz="4" w:space="0" w:color="auto"/>
            </w:tcBorders>
            <w:hideMark/>
          </w:tcPr>
          <w:p w14:paraId="09C26F12" w14:textId="120EA669" w:rsidR="00350922" w:rsidRPr="00C23F0B" w:rsidRDefault="00350922" w:rsidP="0089667B">
            <w:pPr>
              <w:pStyle w:val="Figure"/>
              <w:keepNext w:val="0"/>
              <w:keepLines w:val="0"/>
            </w:pPr>
            <w:r w:rsidRPr="00C23F0B">
              <w:rPr>
                <w:noProof/>
                <w:lang w:eastAsia="zh-CN"/>
              </w:rPr>
              <w:drawing>
                <wp:inline distT="0" distB="0" distL="0" distR="0" wp14:anchorId="0B98FA7E" wp14:editId="06CE6DD9">
                  <wp:extent cx="2828394" cy="2893671"/>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08697"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837744" cy="2903237"/>
                          </a:xfrm>
                          <a:prstGeom prst="rect">
                            <a:avLst/>
                          </a:prstGeom>
                          <a:noFill/>
                          <a:ln>
                            <a:noFill/>
                          </a:ln>
                        </pic:spPr>
                      </pic:pic>
                    </a:graphicData>
                  </a:graphic>
                </wp:inline>
              </w:drawing>
            </w:r>
          </w:p>
        </w:tc>
      </w:tr>
    </w:tbl>
    <w:p w14:paraId="3E20CEBD" w14:textId="77777777" w:rsidR="00350922" w:rsidRPr="00C23F0B" w:rsidRDefault="00350922" w:rsidP="00350922">
      <w:pPr>
        <w:pStyle w:val="Headingi"/>
      </w:pPr>
      <w:r w:rsidRPr="00C23F0B">
        <w:t>Solicitud relativa a la red de satélites INSAT-EXK82.5E</w:t>
      </w:r>
    </w:p>
    <w:p w14:paraId="0BA80760" w14:textId="77777777" w:rsidR="00350922" w:rsidRPr="00C23F0B" w:rsidRDefault="00350922" w:rsidP="00350922">
      <w:r w:rsidRPr="00C23F0B">
        <w:t xml:space="preserve">La CMR-19 consideró la solicitud específica formulada por India en el Documento </w:t>
      </w:r>
      <w:hyperlink r:id="rId13" w:history="1">
        <w:r w:rsidRPr="00C23F0B">
          <w:rPr>
            <w:rStyle w:val="Hyperlink"/>
          </w:rPr>
          <w:t>92(A</w:t>
        </w:r>
        <w:r w:rsidRPr="00C23F0B">
          <w:rPr>
            <w:rStyle w:val="Hyperlink"/>
          </w:rPr>
          <w:t>d</w:t>
        </w:r>
        <w:r w:rsidRPr="00C23F0B">
          <w:rPr>
            <w:rStyle w:val="Hyperlink"/>
          </w:rPr>
          <w:t>d.22)</w:t>
        </w:r>
      </w:hyperlink>
      <w:r w:rsidRPr="00C23F0B">
        <w:t xml:space="preserve"> en relación con la prórroga del plazo reglamentario de puesta en servicio de la red de satélites INSAT</w:t>
      </w:r>
      <w:r w:rsidRPr="00C23F0B">
        <w:noBreakHyphen/>
        <w:t>EXK82.5E. Habida cuenta de las cuestiones particulares planteadas en él, la CMR-19 decidió acceder a esta solicitud y encargó, en consecuencia, a la Oficina de Radiocomunicaciones:</w:t>
      </w:r>
    </w:p>
    <w:p w14:paraId="482FA8C5" w14:textId="704F4ABF" w:rsidR="00350922" w:rsidRPr="00C23F0B" w:rsidRDefault="00350922" w:rsidP="00350922">
      <w:pPr>
        <w:pStyle w:val="enumlev1"/>
      </w:pPr>
      <w:r w:rsidRPr="00C23F0B">
        <w:t>1)</w:t>
      </w:r>
      <w:r w:rsidRPr="00C23F0B">
        <w:tab/>
        <w:t>que considere la prórroga del plazo reglamentario de puesta en servicio de las asignaciones de frecuencias la red de satélites INSAT</w:t>
      </w:r>
      <w:r w:rsidR="0089667B">
        <w:t>-</w:t>
      </w:r>
      <w:r w:rsidRPr="00C23F0B">
        <w:t>EXK82.5E del 30 de marzo de 2017 al 30 de junio de 2017;</w:t>
      </w:r>
    </w:p>
    <w:p w14:paraId="676A5E90" w14:textId="77777777" w:rsidR="00350922" w:rsidRPr="00C23F0B" w:rsidRDefault="00350922" w:rsidP="00350922">
      <w:pPr>
        <w:pStyle w:val="enumlev1"/>
      </w:pPr>
      <w:r w:rsidRPr="00C23F0B">
        <w:t>2)</w:t>
      </w:r>
      <w:r w:rsidRPr="00C23F0B">
        <w:tab/>
        <w:t>que inscriba como fecha de puesta en servicio de dichas asignaciones de frecuencias el 30 de junio de 2017;</w:t>
      </w:r>
    </w:p>
    <w:p w14:paraId="76BAA1B6" w14:textId="77777777" w:rsidR="00350922" w:rsidRPr="00C23F0B" w:rsidRDefault="00350922" w:rsidP="00350922">
      <w:pPr>
        <w:pStyle w:val="enumlev1"/>
      </w:pPr>
      <w:r w:rsidRPr="00C23F0B">
        <w:t>3)</w:t>
      </w:r>
      <w:r w:rsidRPr="00C23F0B">
        <w:tab/>
        <w:t xml:space="preserve">que inscriba como fecha suspensión de dichas asignaciones de frecuencias de acuerdo con el § 8.17 del Artículo 8 del Apéndice </w:t>
      </w:r>
      <w:r w:rsidRPr="00007D26">
        <w:rPr>
          <w:b/>
          <w:bCs/>
        </w:rPr>
        <w:t>30B</w:t>
      </w:r>
      <w:r w:rsidRPr="00C23F0B">
        <w:t xml:space="preserve"> el 3 de enero de 2018 (de manera que el periodo de suspensión de tres años al que se hace referencia en esa disposición finalice el 3 de enero de 2021);</w:t>
      </w:r>
    </w:p>
    <w:p w14:paraId="70DAB66E" w14:textId="77777777" w:rsidR="00350922" w:rsidRPr="00C23F0B" w:rsidRDefault="00350922" w:rsidP="00350922">
      <w:pPr>
        <w:pStyle w:val="enumlev1"/>
      </w:pPr>
      <w:r w:rsidRPr="00C23F0B">
        <w:t>4)</w:t>
      </w:r>
      <w:r w:rsidRPr="00C23F0B">
        <w:tab/>
        <w:t>y que tramite en consecuencia la Parte B y la Notificación de dichas asignaciones de frecuencias con una fecha de recepción oficial de 22 de noviembre de 2019.</w:t>
      </w:r>
    </w:p>
    <w:p w14:paraId="119588C8" w14:textId="0F86E158" w:rsidR="00350922" w:rsidRPr="00C23F0B" w:rsidRDefault="00350922" w:rsidP="00350922">
      <w:pPr>
        <w:pStyle w:val="Headingi"/>
      </w:pPr>
      <w:r w:rsidRPr="00C23F0B">
        <w:t>Solicitud relativa a la red de satélites KYPROS-SAT-3 (39°</w:t>
      </w:r>
      <w:r w:rsidR="00820FE2">
        <w:t> </w:t>
      </w:r>
      <w:r w:rsidRPr="00C23F0B">
        <w:t>E)</w:t>
      </w:r>
    </w:p>
    <w:p w14:paraId="30AD2D02" w14:textId="42677B55" w:rsidR="00350922" w:rsidRPr="00C23F0B" w:rsidRDefault="00350922" w:rsidP="00350922">
      <w:r w:rsidRPr="00C23F0B">
        <w:t xml:space="preserve">La CMR-19 consideró la solicitud específica formulada por Chipre en el Documento </w:t>
      </w:r>
      <w:hyperlink r:id="rId14" w:history="1">
        <w:r w:rsidRPr="00C23F0B">
          <w:rPr>
            <w:rStyle w:val="Hyperlink"/>
          </w:rPr>
          <w:t>48(Add.22)</w:t>
        </w:r>
      </w:hyperlink>
      <w:r w:rsidRPr="00C23F0B">
        <w:t xml:space="preserve"> en relación con la puesta en servicio de la red de satélites KYPROS-SAT-3 en la posición orbital</w:t>
      </w:r>
      <w:r w:rsidR="00820FE2">
        <w:t xml:space="preserve"> </w:t>
      </w:r>
      <w:r w:rsidRPr="00C23F0B">
        <w:t>39</w:t>
      </w:r>
      <w:r w:rsidR="00820FE2">
        <w:t>° </w:t>
      </w:r>
      <w:r w:rsidRPr="00C23F0B">
        <w:t>E. Una vez solventadas las dificultades iniciales en relación con esta solicitud, la CMR</w:t>
      </w:r>
      <w:r w:rsidR="00820FE2">
        <w:noBreakHyphen/>
      </w:r>
      <w:r w:rsidRPr="00C23F0B">
        <w:t xml:space="preserve">19 acordó a título excepcional fijar la fecha de puesta en servicio de las asignaciones de frecuencias a la red de satélites KYPROS-SAT-3 en el 7 de marzo de 2016. La CMR-19 señaló que esas asignaciones de frecuencias se suspendieron el 6 de junio de 2016 y que su funcionamiento se reanudó dentro del periodo de 3 años previsto en el número </w:t>
      </w:r>
      <w:r w:rsidRPr="00C23F0B">
        <w:rPr>
          <w:b/>
          <w:bCs/>
        </w:rPr>
        <w:t>11.49</w:t>
      </w:r>
      <w:r w:rsidRPr="00C23F0B">
        <w:t>.</w:t>
      </w:r>
    </w:p>
    <w:p w14:paraId="7EA48315" w14:textId="77777777" w:rsidR="00350922" w:rsidRPr="00C23F0B" w:rsidRDefault="00350922" w:rsidP="00350922">
      <w:pPr>
        <w:pStyle w:val="Headingi"/>
      </w:pPr>
      <w:r w:rsidRPr="00C23F0B">
        <w:lastRenderedPageBreak/>
        <w:t>Solicitud relativa a la red de satélites PALAPA-C1-B (113° E)</w:t>
      </w:r>
    </w:p>
    <w:p w14:paraId="0845C946" w14:textId="77777777" w:rsidR="00350922" w:rsidRPr="00C23F0B" w:rsidRDefault="00350922" w:rsidP="00491A9D">
      <w:pPr>
        <w:keepNext/>
        <w:keepLines/>
      </w:pPr>
      <w:r w:rsidRPr="00C23F0B">
        <w:t xml:space="preserve">La CMR-19 consideró la solicitud específica formulada por Indonesia en el Documento </w:t>
      </w:r>
      <w:hyperlink r:id="rId15" w:history="1">
        <w:r w:rsidRPr="00C23F0B">
          <w:rPr>
            <w:rStyle w:val="Hyperlink"/>
          </w:rPr>
          <w:t>35(Add.25)</w:t>
        </w:r>
      </w:hyperlink>
      <w:r w:rsidRPr="00C23F0B">
        <w:t xml:space="preserve"> en relación con la prórroga del plazo reglamentario para la puesta en servicio de las asignaciones de frecuencias </w:t>
      </w:r>
      <w:bookmarkStart w:id="34" w:name="_Hlk22224616"/>
      <w:r w:rsidRPr="00C23F0B">
        <w:t xml:space="preserve">a la red de satélites </w:t>
      </w:r>
      <w:bookmarkEnd w:id="34"/>
      <w:r w:rsidRPr="00C23F0B">
        <w:t>PALAPA-C1-B (113° E) en las bandas de frecuencias 11 452</w:t>
      </w:r>
      <w:r w:rsidRPr="00C23F0B">
        <w:noBreakHyphen/>
        <w:t>11 678 MHz, 12 252-12 532 MHz, 13 758</w:t>
      </w:r>
      <w:r w:rsidRPr="00C23F0B">
        <w:noBreakHyphen/>
        <w:t>13 984 MHz, 14 000-14 280 MHz del 6 de agosto de 2019 al 31 de julio de 2020. La CMR-19 accedió conceder esta prórroga limitada tras confirmar que se había completado para esta red de satélites toda la coordinación de frecuencias solicitada por otras administraciones durante la CMR-19.</w:t>
      </w:r>
    </w:p>
    <w:p w14:paraId="784733A8" w14:textId="4E3C778B" w:rsidR="00350922" w:rsidRPr="00C23F0B" w:rsidRDefault="00350922" w:rsidP="00350922">
      <w:pPr>
        <w:pStyle w:val="Headingi"/>
      </w:pPr>
      <w:r w:rsidRPr="00C23F0B">
        <w:t>Solicitud relativa a las redes de satélites MNG00000 y SANSAR-1 (113,6°</w:t>
      </w:r>
      <w:r w:rsidR="00007D26">
        <w:t> </w:t>
      </w:r>
      <w:r w:rsidRPr="00C23F0B">
        <w:t>E)</w:t>
      </w:r>
    </w:p>
    <w:p w14:paraId="5E959AD5" w14:textId="6312BE3D" w:rsidR="00350922" w:rsidRPr="00C23F0B" w:rsidRDefault="00350922" w:rsidP="00350922">
      <w:r w:rsidRPr="00C23F0B">
        <w:t xml:space="preserve">La CMR-19 consideró la solicitud específica formulada por Mongolia en el Documento </w:t>
      </w:r>
      <w:hyperlink r:id="rId16" w:history="1">
        <w:r w:rsidRPr="00C23F0B">
          <w:rPr>
            <w:rStyle w:val="Hyperlink"/>
          </w:rPr>
          <w:t>164</w:t>
        </w:r>
      </w:hyperlink>
      <w:r w:rsidRPr="00C23F0B">
        <w:t xml:space="preserve"> en relación con la situación de referencia del sistema satelital de Mongolia (113,6° E) en el Plan del SFS. La CMR-19 encarga a la Oficina de Radiocomunicaciones aplicar, en relación con las redes MNG00000 y SANSAR-1 de Mongolia, los criterios que figuran en el § 2.1 del Anexo </w:t>
      </w:r>
      <w:r w:rsidRPr="00C23F0B">
        <w:rPr>
          <w:b/>
          <w:bCs/>
        </w:rPr>
        <w:t>4</w:t>
      </w:r>
      <w:r w:rsidRPr="00C23F0B">
        <w:t xml:space="preserve"> del Apéndice </w:t>
      </w:r>
      <w:r w:rsidRPr="00C23F0B">
        <w:rPr>
          <w:b/>
          <w:bCs/>
        </w:rPr>
        <w:t>30B</w:t>
      </w:r>
      <w:r w:rsidRPr="00C23F0B">
        <w:t xml:space="preserve"> del RR (revisado por la CMR-19) al examinar las asignaciones presentadas en el marco del § 6.17 del Apéndice </w:t>
      </w:r>
      <w:r w:rsidRPr="00C23F0B">
        <w:rPr>
          <w:b/>
          <w:bCs/>
        </w:rPr>
        <w:t>30B</w:t>
      </w:r>
      <w:r w:rsidRPr="00C23F0B">
        <w:t xml:space="preserve"> del RR después del 22 de noviembre de 2019».</w:t>
      </w:r>
    </w:p>
    <w:p w14:paraId="004C5EF3" w14:textId="10440B01" w:rsidR="002F376C" w:rsidRDefault="002F376C" w:rsidP="002F376C">
      <w:bookmarkStart w:id="35" w:name="lt_pId332"/>
      <w:r>
        <w:t>2.5</w:t>
      </w:r>
      <w:r>
        <w:tab/>
        <w:t xml:space="preserve">El </w:t>
      </w:r>
      <w:r w:rsidRPr="002F376C">
        <w:rPr>
          <w:b/>
          <w:bCs/>
        </w:rPr>
        <w:t>Presidente de la Comisión 5</w:t>
      </w:r>
      <w:r>
        <w:t xml:space="preserve"> observa que Indonesia, además de la solicitud presentada en relación con la red de satélites PALAPA-C1-B (113°</w:t>
      </w:r>
      <w:r w:rsidR="000921C1">
        <w:t> </w:t>
      </w:r>
      <w:r>
        <w:t>E), ha presentado otras dos solicitudes relativas a las redes de satélites PSN-146E (146°</w:t>
      </w:r>
      <w:r w:rsidR="000921C1">
        <w:t> </w:t>
      </w:r>
      <w:r>
        <w:t>E) y GARUDA-2 (123°</w:t>
      </w:r>
      <w:r w:rsidR="000921C1">
        <w:t> </w:t>
      </w:r>
      <w:r>
        <w:t>E). Desde la última reunión de la Comisión, Australia e Indonesia han llegado a un acuerdo sobre la red de satélites PSN-146E (146°</w:t>
      </w:r>
      <w:r w:rsidR="000921C1">
        <w:t> </w:t>
      </w:r>
      <w:r>
        <w:t xml:space="preserve">E) y se preparará un texto para su examen en una </w:t>
      </w:r>
      <w:r w:rsidR="005E6CDA">
        <w:t>ulterior S</w:t>
      </w:r>
      <w:r>
        <w:t xml:space="preserve">esión </w:t>
      </w:r>
      <w:r w:rsidR="005E6CDA">
        <w:t>P</w:t>
      </w:r>
      <w:r>
        <w:t xml:space="preserve">lenaria. Todavía no se ha logrado </w:t>
      </w:r>
      <w:r w:rsidR="005E6CDA">
        <w:t xml:space="preserve">llegar a un </w:t>
      </w:r>
      <w:r>
        <w:t xml:space="preserve">consenso </w:t>
      </w:r>
      <w:r w:rsidR="005E6CDA">
        <w:t xml:space="preserve">sobre </w:t>
      </w:r>
      <w:r>
        <w:t>la red de satélites GARUDA-2 (123°</w:t>
      </w:r>
      <w:r w:rsidR="000921C1">
        <w:t> </w:t>
      </w:r>
      <w:r>
        <w:t>E).</w:t>
      </w:r>
    </w:p>
    <w:p w14:paraId="0CE34CBF" w14:textId="33C67ABE" w:rsidR="002F376C" w:rsidRDefault="002F376C" w:rsidP="002F376C">
      <w:r>
        <w:t>2.6</w:t>
      </w:r>
      <w:r w:rsidR="005E6CDA">
        <w:tab/>
      </w:r>
      <w:r>
        <w:t xml:space="preserve">El </w:t>
      </w:r>
      <w:r w:rsidRPr="005E6CDA">
        <w:rPr>
          <w:b/>
          <w:bCs/>
        </w:rPr>
        <w:t>delegado de Indonesia</w:t>
      </w:r>
      <w:r>
        <w:t xml:space="preserve"> </w:t>
      </w:r>
      <w:r w:rsidR="005E6CDA">
        <w:t xml:space="preserve">celebra que se haya llegado a una </w:t>
      </w:r>
      <w:r>
        <w:t>conclusión favorable respecto de la red de satélites PALAPA-C1-B (113</w:t>
      </w:r>
      <w:r w:rsidR="000921C1">
        <w:t>° </w:t>
      </w:r>
      <w:r>
        <w:t xml:space="preserve">E). </w:t>
      </w:r>
      <w:r w:rsidR="005E6CDA">
        <w:t xml:space="preserve">Da las gracias </w:t>
      </w:r>
      <w:r>
        <w:t xml:space="preserve">a la Administración de Australia y a su operador </w:t>
      </w:r>
      <w:r w:rsidR="005E6CDA">
        <w:t xml:space="preserve">por </w:t>
      </w:r>
      <w:r>
        <w:t>su cooperación, que ha permitido llegar a un acuerdo sobre la red de satélites PSN-146E (146°</w:t>
      </w:r>
      <w:r w:rsidR="000921C1">
        <w:t> </w:t>
      </w:r>
      <w:r>
        <w:t xml:space="preserve">E). Se necesita más tiempo para establecer contacto con las administraciones interesadas y resolver los asuntos de coordinación relacionados con la </w:t>
      </w:r>
      <w:r w:rsidR="005A3386">
        <w:t xml:space="preserve">solicitud </w:t>
      </w:r>
      <w:r>
        <w:t>de la red de satélites GARUDA-2 (123°</w:t>
      </w:r>
      <w:r w:rsidR="000921C1">
        <w:t> </w:t>
      </w:r>
      <w:r>
        <w:t>E)</w:t>
      </w:r>
      <w:r w:rsidR="005A3386">
        <w:t xml:space="preserve">, pero </w:t>
      </w:r>
      <w:r>
        <w:t xml:space="preserve">espera informar sobre los progresos </w:t>
      </w:r>
      <w:r w:rsidR="005A3386">
        <w:t xml:space="preserve">logrados </w:t>
      </w:r>
      <w:r>
        <w:t xml:space="preserve">en una </w:t>
      </w:r>
      <w:r w:rsidR="005A3386">
        <w:t>ulterior S</w:t>
      </w:r>
      <w:r>
        <w:t xml:space="preserve">esión </w:t>
      </w:r>
      <w:r w:rsidR="005A3386">
        <w:t>P</w:t>
      </w:r>
      <w:r>
        <w:t>lenaria.</w:t>
      </w:r>
    </w:p>
    <w:p w14:paraId="07040545" w14:textId="6D57511E" w:rsidR="002F376C" w:rsidRDefault="002F376C" w:rsidP="002F376C">
      <w:r>
        <w:t>2.7</w:t>
      </w:r>
      <w:r w:rsidR="005A3386">
        <w:tab/>
      </w:r>
      <w:r w:rsidR="000921C1">
        <w:t>La</w:t>
      </w:r>
      <w:r>
        <w:t xml:space="preserve"> </w:t>
      </w:r>
      <w:r w:rsidRPr="005A3386">
        <w:rPr>
          <w:b/>
          <w:bCs/>
        </w:rPr>
        <w:t>delegad</w:t>
      </w:r>
      <w:r w:rsidR="000921C1">
        <w:rPr>
          <w:b/>
          <w:bCs/>
        </w:rPr>
        <w:t>a</w:t>
      </w:r>
      <w:r w:rsidRPr="005A3386">
        <w:rPr>
          <w:b/>
          <w:bCs/>
        </w:rPr>
        <w:t xml:space="preserve"> de Australia</w:t>
      </w:r>
      <w:r>
        <w:t xml:space="preserve"> confirm</w:t>
      </w:r>
      <w:r w:rsidR="005A3386">
        <w:t>a</w:t>
      </w:r>
      <w:r>
        <w:t xml:space="preserve"> que las administraciones de Indonesia y Australia han concertado y ratificado un acuerdo. Espera que el texto preparado por ambas administraciones para </w:t>
      </w:r>
      <w:r w:rsidR="002F3FA2">
        <w:t xml:space="preserve">que conste </w:t>
      </w:r>
      <w:r>
        <w:t xml:space="preserve">en </w:t>
      </w:r>
      <w:r w:rsidR="002F3FA2">
        <w:t xml:space="preserve">las </w:t>
      </w:r>
      <w:r>
        <w:t>acta</w:t>
      </w:r>
      <w:r w:rsidR="002F3FA2">
        <w:t>s</w:t>
      </w:r>
      <w:r>
        <w:t xml:space="preserve"> se examin</w:t>
      </w:r>
      <w:r w:rsidR="002F3FA2">
        <w:t>e</w:t>
      </w:r>
      <w:r>
        <w:t xml:space="preserve"> en una </w:t>
      </w:r>
      <w:r w:rsidR="002F3FA2">
        <w:t>ulterior S</w:t>
      </w:r>
      <w:r>
        <w:t xml:space="preserve">esión </w:t>
      </w:r>
      <w:r w:rsidR="002F3FA2">
        <w:t>P</w:t>
      </w:r>
      <w:r>
        <w:t>lenaria.</w:t>
      </w:r>
    </w:p>
    <w:p w14:paraId="404AEDAA" w14:textId="6D35478C" w:rsidR="002F376C" w:rsidRDefault="002F376C" w:rsidP="002F376C">
      <w:r>
        <w:t>2.8</w:t>
      </w:r>
      <w:r w:rsidR="007C5E7C">
        <w:tab/>
      </w:r>
      <w:r>
        <w:t xml:space="preserve">El </w:t>
      </w:r>
      <w:r w:rsidRPr="007C5E7C">
        <w:rPr>
          <w:b/>
          <w:bCs/>
        </w:rPr>
        <w:t>delegado de la República Islámica del Irán</w:t>
      </w:r>
      <w:r>
        <w:t xml:space="preserve"> </w:t>
      </w:r>
      <w:r w:rsidR="007C5E7C">
        <w:t xml:space="preserve">recuerda </w:t>
      </w:r>
      <w:r>
        <w:t xml:space="preserve">que su delegación ha </w:t>
      </w:r>
      <w:r w:rsidR="007C5E7C">
        <w:t xml:space="preserve">solicitado </w:t>
      </w:r>
      <w:r>
        <w:t xml:space="preserve">que se </w:t>
      </w:r>
      <w:r w:rsidR="007C5E7C">
        <w:t xml:space="preserve">dé </w:t>
      </w:r>
      <w:r>
        <w:t xml:space="preserve">a la delegación de Indonesia la oportunidad de </w:t>
      </w:r>
      <w:r w:rsidR="007C5E7C">
        <w:t xml:space="preserve">terminar </w:t>
      </w:r>
      <w:r>
        <w:t>la coordinación y agrade</w:t>
      </w:r>
      <w:r w:rsidR="0067170C">
        <w:t>ce</w:t>
      </w:r>
      <w:r>
        <w:t xml:space="preserve"> a la Administración de Australia y a su operador sus esfuerzos para encontrar una solución. Espera que se conceda a Indonesia tiempo adicional para </w:t>
      </w:r>
      <w:r w:rsidR="007C5E7C">
        <w:t xml:space="preserve">finalizar </w:t>
      </w:r>
      <w:r>
        <w:t>la labor de coordinación pendiente.</w:t>
      </w:r>
    </w:p>
    <w:p w14:paraId="271D4A3B" w14:textId="3006BA00" w:rsidR="002D424C" w:rsidRDefault="002D424C" w:rsidP="002D424C">
      <w:bookmarkStart w:id="36" w:name="lt_pId345"/>
      <w:bookmarkEnd w:id="35"/>
      <w:r>
        <w:t>2.9</w:t>
      </w:r>
      <w:r>
        <w:tab/>
        <w:t xml:space="preserve">El </w:t>
      </w:r>
      <w:r w:rsidRPr="002D424C">
        <w:rPr>
          <w:b/>
          <w:bCs/>
        </w:rPr>
        <w:t>delegado de los Emiratos Árabes Unidos</w:t>
      </w:r>
      <w:r>
        <w:t xml:space="preserve"> declara que su administración está colaborando con la </w:t>
      </w:r>
      <w:r w:rsidR="003A4B46">
        <w:t xml:space="preserve">Administración </w:t>
      </w:r>
      <w:r>
        <w:t>de Indonesia para terminar la coordinación con respecto a la red GARUDA-2 (123°</w:t>
      </w:r>
      <w:r w:rsidR="0067170C">
        <w:t> </w:t>
      </w:r>
      <w:r>
        <w:t>E) e informará a la Plenaria sobre los progresos logrados.</w:t>
      </w:r>
    </w:p>
    <w:p w14:paraId="29B589D5" w14:textId="0E4AF48A" w:rsidR="002D424C" w:rsidRDefault="002D424C" w:rsidP="002D424C">
      <w:r>
        <w:t>2.10</w:t>
      </w:r>
      <w:r>
        <w:tab/>
        <w:t xml:space="preserve">El </w:t>
      </w:r>
      <w:r w:rsidRPr="002D424C">
        <w:rPr>
          <w:b/>
          <w:bCs/>
        </w:rPr>
        <w:t>delegado de Luxemburgo</w:t>
      </w:r>
      <w:r>
        <w:t xml:space="preserve"> observa que se ha alcanzado un acuerdo para aplicar los criterios del § 2.1 del Anexo 4 al Apéndice </w:t>
      </w:r>
      <w:r w:rsidRPr="004163C5">
        <w:rPr>
          <w:b/>
          <w:bCs/>
        </w:rPr>
        <w:t>30B</w:t>
      </w:r>
      <w:r>
        <w:t xml:space="preserve"> del Reglamento de Radiocomunicaciones, revisado por la CMR-19, a la petición de las redes de satélite MNG00000 y SANSAR-1 (113,6° E) presentada</w:t>
      </w:r>
      <w:r w:rsidR="00FB5E2F">
        <w:t>s</w:t>
      </w:r>
      <w:r>
        <w:t xml:space="preserve"> por Mongolia. Se </w:t>
      </w:r>
      <w:r w:rsidR="00C815F0">
        <w:t>pregun</w:t>
      </w:r>
      <w:r w:rsidR="003A4B46">
        <w:t>t</w:t>
      </w:r>
      <w:r w:rsidR="00C815F0">
        <w:t xml:space="preserve">a si se </w:t>
      </w:r>
      <w:r>
        <w:t>aplicar</w:t>
      </w:r>
      <w:r w:rsidR="00C815F0">
        <w:t>á</w:t>
      </w:r>
      <w:r>
        <w:t xml:space="preserve">n esos mismos criterios a las asignaciones presentadas </w:t>
      </w:r>
      <w:r w:rsidR="00C815F0">
        <w:t xml:space="preserve">con arreglo al </w:t>
      </w:r>
      <w:r>
        <w:t>§ 6.1 antes del 23 de noviembre de 2019</w:t>
      </w:r>
      <w:r w:rsidR="00C815F0">
        <w:t>.</w:t>
      </w:r>
    </w:p>
    <w:p w14:paraId="34758666" w14:textId="4E1F147C" w:rsidR="002D424C" w:rsidRDefault="002D424C" w:rsidP="002D424C">
      <w:r>
        <w:t>2.11</w:t>
      </w:r>
      <w:r w:rsidR="00C815F0">
        <w:tab/>
      </w:r>
      <w:r>
        <w:t xml:space="preserve">El </w:t>
      </w:r>
      <w:r w:rsidRPr="00C815F0">
        <w:rPr>
          <w:b/>
          <w:bCs/>
        </w:rPr>
        <w:t>delegado de la República Islámica del Irán</w:t>
      </w:r>
      <w:r>
        <w:t xml:space="preserve"> </w:t>
      </w:r>
      <w:r w:rsidR="00C815F0">
        <w:t xml:space="preserve">aduce </w:t>
      </w:r>
      <w:r>
        <w:t xml:space="preserve">que podría </w:t>
      </w:r>
      <w:r w:rsidR="00081A7C">
        <w:t xml:space="preserve">alcanzarse un </w:t>
      </w:r>
      <w:r>
        <w:t xml:space="preserve">mejor </w:t>
      </w:r>
      <w:r w:rsidR="00081A7C">
        <w:t xml:space="preserve">acuerdo </w:t>
      </w:r>
      <w:r>
        <w:t xml:space="preserve">y </w:t>
      </w:r>
      <w:r w:rsidR="00081A7C">
        <w:t xml:space="preserve">pide </w:t>
      </w:r>
      <w:r>
        <w:t>a la BR</w:t>
      </w:r>
      <w:r w:rsidR="00081A7C">
        <w:t xml:space="preserve"> orientación al respecto</w:t>
      </w:r>
      <w:r>
        <w:t>.</w:t>
      </w:r>
    </w:p>
    <w:p w14:paraId="1BB1BE9D" w14:textId="6F0CE1AA" w:rsidR="002D424C" w:rsidRDefault="002D424C" w:rsidP="002D424C">
      <w:r>
        <w:lastRenderedPageBreak/>
        <w:t>2.12</w:t>
      </w:r>
      <w:r w:rsidR="00081A7C">
        <w:tab/>
      </w:r>
      <w:r>
        <w:t xml:space="preserve">El </w:t>
      </w:r>
      <w:r w:rsidRPr="00E65C18">
        <w:rPr>
          <w:b/>
          <w:bCs/>
        </w:rPr>
        <w:t>representante de la BR</w:t>
      </w:r>
      <w:r>
        <w:t xml:space="preserve"> </w:t>
      </w:r>
      <w:r w:rsidR="00E65C18">
        <w:t xml:space="preserve">aduce </w:t>
      </w:r>
      <w:r>
        <w:t xml:space="preserve">que la Oficina </w:t>
      </w:r>
      <w:r w:rsidR="00E65C18">
        <w:t xml:space="preserve">sigue manteniendo </w:t>
      </w:r>
      <w:r>
        <w:t xml:space="preserve">consultas con las administraciones de Mongolia y </w:t>
      </w:r>
      <w:r w:rsidR="004163C5">
        <w:t xml:space="preserve">de la </w:t>
      </w:r>
      <w:r>
        <w:t xml:space="preserve">Federación de Rusia a fin de aclarar un </w:t>
      </w:r>
      <w:r w:rsidR="00E65C18">
        <w:t xml:space="preserve">aspecto </w:t>
      </w:r>
      <w:r>
        <w:t xml:space="preserve">práctico relativo a la </w:t>
      </w:r>
      <w:r w:rsidR="00E65C18">
        <w:t>implementación</w:t>
      </w:r>
      <w:r>
        <w:t>. Una vez concluidas esas consultas, se presentar</w:t>
      </w:r>
      <w:r w:rsidR="00E65C18">
        <w:t>á</w:t>
      </w:r>
      <w:r>
        <w:t xml:space="preserve"> un texto definitivo a la Plenaria. Podría ser necesaria una aclaración adicional para garantizar que </w:t>
      </w:r>
      <w:r w:rsidR="005805E7">
        <w:t xml:space="preserve">toda </w:t>
      </w:r>
      <w:r>
        <w:t xml:space="preserve">decisión que se adopte </w:t>
      </w:r>
      <w:r w:rsidR="005805E7">
        <w:t xml:space="preserve">resulte </w:t>
      </w:r>
      <w:r>
        <w:t>aceptable para todas las administraciones.</w:t>
      </w:r>
    </w:p>
    <w:p w14:paraId="0CEA526C" w14:textId="55D32C38" w:rsidR="002D424C" w:rsidRDefault="002D424C" w:rsidP="002D424C">
      <w:r>
        <w:t>2.13</w:t>
      </w:r>
      <w:r w:rsidR="005805E7">
        <w:tab/>
      </w:r>
      <w:r>
        <w:t xml:space="preserve">El </w:t>
      </w:r>
      <w:r w:rsidRPr="005805E7">
        <w:rPr>
          <w:b/>
          <w:bCs/>
        </w:rPr>
        <w:t>Presidente</w:t>
      </w:r>
      <w:r>
        <w:t xml:space="preserve"> </w:t>
      </w:r>
      <w:r w:rsidR="005805E7">
        <w:t xml:space="preserve">propone </w:t>
      </w:r>
      <w:r>
        <w:t xml:space="preserve">que, </w:t>
      </w:r>
      <w:r w:rsidR="005805E7">
        <w:t xml:space="preserve">habida cuenta </w:t>
      </w:r>
      <w:r>
        <w:t xml:space="preserve">de los comentarios </w:t>
      </w:r>
      <w:r w:rsidR="005805E7">
        <w:t>precedentes</w:t>
      </w:r>
      <w:r>
        <w:t xml:space="preserve">, se </w:t>
      </w:r>
      <w:r w:rsidR="005805E7">
        <w:t xml:space="preserve">apruebe </w:t>
      </w:r>
      <w:r>
        <w:t xml:space="preserve">el texto presentado en el Documento 518, </w:t>
      </w:r>
      <w:r w:rsidR="005805E7">
        <w:t xml:space="preserve">salvo </w:t>
      </w:r>
      <w:r>
        <w:t xml:space="preserve">el último párrafo, para </w:t>
      </w:r>
      <w:r w:rsidR="005805E7">
        <w:t xml:space="preserve">que conste </w:t>
      </w:r>
      <w:r>
        <w:t xml:space="preserve">en </w:t>
      </w:r>
      <w:r w:rsidR="005805E7">
        <w:t xml:space="preserve">las </w:t>
      </w:r>
      <w:r>
        <w:t>acta</w:t>
      </w:r>
      <w:r w:rsidR="005805E7">
        <w:t>s</w:t>
      </w:r>
      <w:r>
        <w:t xml:space="preserve"> de la </w:t>
      </w:r>
      <w:r w:rsidR="005805E7">
        <w:t>S</w:t>
      </w:r>
      <w:r>
        <w:t xml:space="preserve">esión </w:t>
      </w:r>
      <w:r w:rsidR="005805E7">
        <w:t>P</w:t>
      </w:r>
      <w:r>
        <w:t xml:space="preserve">lenaria </w:t>
      </w:r>
      <w:r w:rsidR="005805E7">
        <w:t xml:space="preserve">a modo de </w:t>
      </w:r>
      <w:r>
        <w:t xml:space="preserve">decisión de la Conferencia, y que se </w:t>
      </w:r>
      <w:r w:rsidR="005805E7">
        <w:t xml:space="preserve">dé </w:t>
      </w:r>
      <w:r>
        <w:t xml:space="preserve">más tiempo a Indonesia para </w:t>
      </w:r>
      <w:r w:rsidR="005805E7">
        <w:t xml:space="preserve">terminar </w:t>
      </w:r>
      <w:r>
        <w:t xml:space="preserve">las consultas con </w:t>
      </w:r>
      <w:r w:rsidR="005805E7">
        <w:t xml:space="preserve">las demás </w:t>
      </w:r>
      <w:r>
        <w:t xml:space="preserve">partes. </w:t>
      </w:r>
    </w:p>
    <w:bookmarkEnd w:id="36"/>
    <w:p w14:paraId="6DC9AC3E" w14:textId="6D1EF103" w:rsidR="00A06ADC" w:rsidRPr="00C23F0B" w:rsidRDefault="00A06ADC" w:rsidP="00A06ADC">
      <w:pPr>
        <w:rPr>
          <w:b/>
          <w:bCs/>
        </w:rPr>
      </w:pPr>
      <w:r w:rsidRPr="00C23F0B">
        <w:t>2.14</w:t>
      </w:r>
      <w:r w:rsidRPr="00C23F0B">
        <w:tab/>
      </w:r>
      <w:bookmarkStart w:id="37" w:name="lt_pId347"/>
      <w:r w:rsidR="001A318A" w:rsidRPr="00C23F0B">
        <w:t xml:space="preserve">Así se </w:t>
      </w:r>
      <w:r w:rsidR="001A318A" w:rsidRPr="00C23F0B">
        <w:rPr>
          <w:b/>
          <w:bCs/>
        </w:rPr>
        <w:t>acuerda</w:t>
      </w:r>
      <w:r w:rsidRPr="00C23F0B">
        <w:t>.</w:t>
      </w:r>
      <w:bookmarkEnd w:id="37"/>
    </w:p>
    <w:p w14:paraId="6CE1C9F2" w14:textId="4218B54D" w:rsidR="00A06ADC" w:rsidRPr="000921C1" w:rsidRDefault="00A06ADC" w:rsidP="00A06ADC">
      <w:r w:rsidRPr="00C23F0B">
        <w:t>2.15</w:t>
      </w:r>
      <w:r w:rsidRPr="00C23F0B">
        <w:tab/>
      </w:r>
      <w:bookmarkStart w:id="38" w:name="lt_pId349"/>
      <w:r w:rsidR="005805E7">
        <w:t>En la inteligencia de lo anterior</w:t>
      </w:r>
      <w:r w:rsidRPr="00C23F0B">
        <w:t xml:space="preserve">, </w:t>
      </w:r>
      <w:r w:rsidR="005805E7">
        <w:t xml:space="preserve">se </w:t>
      </w:r>
      <w:r w:rsidR="005805E7">
        <w:rPr>
          <w:b/>
          <w:bCs/>
        </w:rPr>
        <w:t>aprueba</w:t>
      </w:r>
      <w:r w:rsidR="005805E7" w:rsidRPr="00491A9D">
        <w:t xml:space="preserve"> e</w:t>
      </w:r>
      <w:r w:rsidR="005805E7">
        <w:t xml:space="preserve">l </w:t>
      </w:r>
      <w:r w:rsidRPr="00C23F0B">
        <w:t>Document</w:t>
      </w:r>
      <w:r w:rsidR="005805E7">
        <w:t>o</w:t>
      </w:r>
      <w:r w:rsidRPr="00C23F0B">
        <w:t xml:space="preserve"> 518.</w:t>
      </w:r>
      <w:bookmarkEnd w:id="38"/>
    </w:p>
    <w:p w14:paraId="50B623DF" w14:textId="4754C9C5" w:rsidR="00A06ADC" w:rsidRPr="00C23F0B" w:rsidRDefault="00A06ADC" w:rsidP="003B054C">
      <w:pPr>
        <w:pStyle w:val="Heading1"/>
      </w:pPr>
      <w:r w:rsidRPr="00C23F0B">
        <w:t>3</w:t>
      </w:r>
      <w:r w:rsidRPr="00C23F0B">
        <w:tab/>
      </w:r>
      <w:bookmarkStart w:id="39" w:name="lt_pId351"/>
      <w:r w:rsidR="003B054C" w:rsidRPr="00C23F0B">
        <w:t>Trigésima séptima serie de textos sometidos por la Comisión de Redacción en primera lectura (B37)</w:t>
      </w:r>
      <w:r w:rsidRPr="00C23F0B">
        <w:t xml:space="preserve"> (Document</w:t>
      </w:r>
      <w:r w:rsidR="003B054C" w:rsidRPr="00C23F0B">
        <w:t>o</w:t>
      </w:r>
      <w:r w:rsidRPr="00C23F0B">
        <w:t xml:space="preserve"> 496)</w:t>
      </w:r>
      <w:bookmarkEnd w:id="39"/>
    </w:p>
    <w:p w14:paraId="5DE54340" w14:textId="6FE062D7" w:rsidR="003B054C" w:rsidRPr="00C23F0B" w:rsidRDefault="003B054C" w:rsidP="003B054C">
      <w:bookmarkStart w:id="40" w:name="lt_pId356"/>
      <w:r w:rsidRPr="00C23F0B">
        <w:t>3.1</w:t>
      </w:r>
      <w:r w:rsidRPr="00C23F0B">
        <w:tab/>
        <w:t xml:space="preserve">El </w:t>
      </w:r>
      <w:r w:rsidRPr="00C23F0B">
        <w:rPr>
          <w:b/>
          <w:bCs/>
        </w:rPr>
        <w:t>Presidente de la Comisión de Redacción</w:t>
      </w:r>
      <w:r w:rsidRPr="00C23F0B">
        <w:t xml:space="preserve"> presenta el Documento 496.</w:t>
      </w:r>
    </w:p>
    <w:p w14:paraId="3F51E23D" w14:textId="2C27D73D" w:rsidR="003B054C" w:rsidRPr="00C23F0B" w:rsidRDefault="003B054C" w:rsidP="003B054C">
      <w:r w:rsidRPr="00C23F0B">
        <w:t>3.2</w:t>
      </w:r>
      <w:r w:rsidRPr="00C23F0B">
        <w:tab/>
        <w:t xml:space="preserve">El </w:t>
      </w:r>
      <w:r w:rsidRPr="00C23F0B">
        <w:rPr>
          <w:b/>
          <w:bCs/>
        </w:rPr>
        <w:t>Presidente</w:t>
      </w:r>
      <w:r w:rsidRPr="00C23F0B">
        <w:t xml:space="preserve"> invita a la reunión a examinar el Documento 496.</w:t>
      </w:r>
    </w:p>
    <w:p w14:paraId="056264A2" w14:textId="39D85143" w:rsidR="00A06ADC" w:rsidRPr="00C23F0B" w:rsidRDefault="00A06ADC" w:rsidP="003B054C">
      <w:pPr>
        <w:pStyle w:val="Headingb"/>
      </w:pPr>
      <w:r w:rsidRPr="00C23F0B">
        <w:t>Art</w:t>
      </w:r>
      <w:r w:rsidR="003B054C" w:rsidRPr="00C23F0B">
        <w:t>í</w:t>
      </w:r>
      <w:r w:rsidRPr="00C23F0B">
        <w:t>c</w:t>
      </w:r>
      <w:r w:rsidR="003B054C" w:rsidRPr="00C23F0B">
        <w:t>u</w:t>
      </w:r>
      <w:r w:rsidRPr="00C23F0B">
        <w:t>l</w:t>
      </w:r>
      <w:r w:rsidR="003B054C" w:rsidRPr="00C23F0B">
        <w:t>o</w:t>
      </w:r>
      <w:r w:rsidRPr="00C23F0B">
        <w:t xml:space="preserve"> 5 (MOD </w:t>
      </w:r>
      <w:r w:rsidR="003B054C" w:rsidRPr="00C23F0B">
        <w:t>Cuadro</w:t>
      </w:r>
      <w:r w:rsidRPr="00C23F0B">
        <w:t xml:space="preserve"> 1 300-1 525 MHz, MOD 5.346, MOD 5.346A); Ap</w:t>
      </w:r>
      <w:r w:rsidR="003B054C" w:rsidRPr="00C23F0B">
        <w:t>é</w:t>
      </w:r>
      <w:r w:rsidRPr="00C23F0B">
        <w:t>ndi</w:t>
      </w:r>
      <w:r w:rsidR="003B054C" w:rsidRPr="00C23F0B">
        <w:t>ce</w:t>
      </w:r>
      <w:r w:rsidRPr="00C23F0B">
        <w:t xml:space="preserve"> 5 (MOD</w:t>
      </w:r>
      <w:r w:rsidR="00491A9D">
        <w:t> </w:t>
      </w:r>
      <w:r w:rsidR="003B054C" w:rsidRPr="00C23F0B">
        <w:t>Cuadro</w:t>
      </w:r>
      <w:r w:rsidRPr="00C23F0B">
        <w:t> 5-1); MOD Resolu</w:t>
      </w:r>
      <w:r w:rsidR="003B054C" w:rsidRPr="00C23F0B">
        <w:t>c</w:t>
      </w:r>
      <w:r w:rsidRPr="00C23F0B">
        <w:t>i</w:t>
      </w:r>
      <w:r w:rsidR="003B054C" w:rsidRPr="00C23F0B">
        <w:t>ó</w:t>
      </w:r>
      <w:r w:rsidRPr="00C23F0B">
        <w:t>n 761 (C</w:t>
      </w:r>
      <w:r w:rsidR="003B054C" w:rsidRPr="00C23F0B">
        <w:t>MR</w:t>
      </w:r>
      <w:r w:rsidRPr="00C23F0B">
        <w:t>-15)</w:t>
      </w:r>
      <w:bookmarkEnd w:id="40"/>
    </w:p>
    <w:p w14:paraId="2ABB415E" w14:textId="3AB23DD9" w:rsidR="00A06ADC" w:rsidRPr="00C23F0B" w:rsidRDefault="00A06ADC" w:rsidP="00A06ADC">
      <w:r w:rsidRPr="00C23F0B">
        <w:t>3.3</w:t>
      </w:r>
      <w:r w:rsidRPr="00C23F0B">
        <w:tab/>
      </w:r>
      <w:bookmarkStart w:id="41" w:name="lt_pId358"/>
      <w:r w:rsidR="001A318A" w:rsidRPr="00C23F0B">
        <w:rPr>
          <w:b/>
          <w:bCs/>
        </w:rPr>
        <w:t>Aprobado</w:t>
      </w:r>
      <w:r w:rsidR="00491A9D">
        <w:rPr>
          <w:b/>
          <w:bCs/>
        </w:rPr>
        <w:t>s</w:t>
      </w:r>
      <w:r w:rsidRPr="00C23F0B">
        <w:t>.</w:t>
      </w:r>
      <w:bookmarkEnd w:id="41"/>
    </w:p>
    <w:p w14:paraId="64647071" w14:textId="64D4E1AA" w:rsidR="003B054C" w:rsidRPr="00491A9D" w:rsidRDefault="003B054C" w:rsidP="003B054C">
      <w:r w:rsidRPr="00C23F0B">
        <w:t>3.4</w:t>
      </w:r>
      <w:r w:rsidRPr="00C23F0B">
        <w:tab/>
      </w:r>
      <w:bookmarkStart w:id="42" w:name="lt_pId298"/>
      <w:r w:rsidRPr="00C23F0B">
        <w:t xml:space="preserve">Se </w:t>
      </w:r>
      <w:r w:rsidRPr="00C23F0B">
        <w:rPr>
          <w:b/>
          <w:bCs/>
        </w:rPr>
        <w:t>aprueba</w:t>
      </w:r>
      <w:r w:rsidRPr="00C23F0B">
        <w:t xml:space="preserve"> la trigésima séptima serie de textos presentada por la Comisión de Redacción en primera lectura (B37) (Documento 496).</w:t>
      </w:r>
      <w:bookmarkEnd w:id="42"/>
    </w:p>
    <w:p w14:paraId="2F3A7ACB" w14:textId="1C761A6C" w:rsidR="003B054C" w:rsidRPr="00C23F0B" w:rsidRDefault="003B054C" w:rsidP="003B054C">
      <w:pPr>
        <w:pStyle w:val="Heading1"/>
      </w:pPr>
      <w:r w:rsidRPr="00C23F0B">
        <w:t>4</w:t>
      </w:r>
      <w:r w:rsidRPr="00C23F0B">
        <w:tab/>
        <w:t>Trigésima séptima serie de textos sometidos por la Comisión de Redacción (B37) – segunda lectura (Documento 496)</w:t>
      </w:r>
    </w:p>
    <w:p w14:paraId="1298649D" w14:textId="11EB4619" w:rsidR="003B054C" w:rsidRPr="00C23F0B" w:rsidRDefault="003B054C" w:rsidP="003B054C">
      <w:r w:rsidRPr="00C23F0B">
        <w:t>4.1</w:t>
      </w:r>
      <w:r w:rsidRPr="00C23F0B">
        <w:tab/>
        <w:t xml:space="preserve">Se </w:t>
      </w:r>
      <w:r w:rsidRPr="00C23F0B">
        <w:rPr>
          <w:b/>
          <w:bCs/>
        </w:rPr>
        <w:t xml:space="preserve">aprueba </w:t>
      </w:r>
      <w:r w:rsidRPr="00C23F0B">
        <w:t>en segunda lectura</w:t>
      </w:r>
      <w:r w:rsidRPr="00C23F0B">
        <w:rPr>
          <w:b/>
          <w:bCs/>
        </w:rPr>
        <w:t xml:space="preserve"> </w:t>
      </w:r>
      <w:r w:rsidRPr="00C23F0B">
        <w:t>la trigésima séptima serie de textos sometidos por la Comisión de Redacción (B37) (Documento 496).</w:t>
      </w:r>
    </w:p>
    <w:p w14:paraId="39918271" w14:textId="5C3A2247" w:rsidR="00A06ADC" w:rsidRPr="00C23F0B" w:rsidRDefault="00A06ADC" w:rsidP="00A06ADC">
      <w:r w:rsidRPr="00C23F0B">
        <w:t>4.2</w:t>
      </w:r>
      <w:r w:rsidRPr="00C23F0B">
        <w:tab/>
      </w:r>
      <w:bookmarkStart w:id="43" w:name="lt_pId367"/>
      <w:r w:rsidR="002D5BE1" w:rsidRPr="002D5BE1">
        <w:t xml:space="preserve">El </w:t>
      </w:r>
      <w:r w:rsidR="002D5BE1" w:rsidRPr="002D5BE1">
        <w:rPr>
          <w:b/>
          <w:bCs/>
        </w:rPr>
        <w:t>delegado de Japón</w:t>
      </w:r>
      <w:r w:rsidR="002D5BE1" w:rsidRPr="002D5BE1">
        <w:t xml:space="preserve">, en calidad de Presidente del Grupo de Trabajo 4A3 y en nombre de su delegación, </w:t>
      </w:r>
      <w:r w:rsidR="00670B4D">
        <w:t>se congratu</w:t>
      </w:r>
      <w:r w:rsidR="00297504">
        <w:t>l</w:t>
      </w:r>
      <w:r w:rsidR="00670B4D">
        <w:t xml:space="preserve">a de que </w:t>
      </w:r>
      <w:r w:rsidR="002D5BE1" w:rsidRPr="002D5BE1">
        <w:t>los trabajos sobre el punto 9.1 del orden del día</w:t>
      </w:r>
      <w:r w:rsidR="00A26DC7">
        <w:t xml:space="preserve"> (Tema 9.1.2)</w:t>
      </w:r>
      <w:r w:rsidR="00670B4D">
        <w:t xml:space="preserve"> </w:t>
      </w:r>
      <w:r w:rsidR="00297504">
        <w:t>se hayan llevado a buen término</w:t>
      </w:r>
      <w:r w:rsidR="002D5BE1" w:rsidRPr="002D5BE1">
        <w:t xml:space="preserve">. </w:t>
      </w:r>
      <w:r w:rsidR="00297504">
        <w:t xml:space="preserve">Da las gracias </w:t>
      </w:r>
      <w:r w:rsidR="002D5BE1" w:rsidRPr="002D5BE1">
        <w:t xml:space="preserve">al Presidente de la Comisión 4, a los </w:t>
      </w:r>
      <w:r w:rsidR="00297504">
        <w:t>P</w:t>
      </w:r>
      <w:r w:rsidR="002D5BE1" w:rsidRPr="002D5BE1">
        <w:t xml:space="preserve">residentes de los Grupos de Trabajo y de los Grupos </w:t>
      </w:r>
      <w:r w:rsidR="002D5BE1" w:rsidRPr="00491A9D">
        <w:rPr>
          <w:i/>
          <w:iCs/>
        </w:rPr>
        <w:t>ad hoc</w:t>
      </w:r>
      <w:r w:rsidR="002D5BE1" w:rsidRPr="002D5BE1">
        <w:t xml:space="preserve"> que ha</w:t>
      </w:r>
      <w:r w:rsidR="004163C5">
        <w:t>n</w:t>
      </w:r>
      <w:r w:rsidR="002D5BE1" w:rsidRPr="002D5BE1">
        <w:t xml:space="preserve"> </w:t>
      </w:r>
      <w:r w:rsidR="00297504">
        <w:t xml:space="preserve">participado en los trabajos </w:t>
      </w:r>
      <w:r w:rsidR="002D5BE1" w:rsidRPr="002D5BE1">
        <w:t xml:space="preserve">sobre este punto, </w:t>
      </w:r>
      <w:r w:rsidR="00297504">
        <w:t xml:space="preserve">así como </w:t>
      </w:r>
      <w:r w:rsidR="002D5BE1" w:rsidRPr="002D5BE1">
        <w:t>a las administraciones y grupos regionales por su cooperación.</w:t>
      </w:r>
      <w:bookmarkEnd w:id="43"/>
    </w:p>
    <w:p w14:paraId="22D01540" w14:textId="260C6916" w:rsidR="003B054C" w:rsidRPr="00C23F0B" w:rsidRDefault="003B054C" w:rsidP="003B054C">
      <w:pPr>
        <w:pStyle w:val="Heading1"/>
      </w:pPr>
      <w:bookmarkStart w:id="44" w:name="lt_pId374"/>
      <w:r w:rsidRPr="00C23F0B">
        <w:t>5</w:t>
      </w:r>
      <w:r w:rsidRPr="00C23F0B">
        <w:tab/>
        <w:t>Trigésima octava serie de textos sometidos por la Comisión de Redacción en primera lectura (B38) (Documento 497)</w:t>
      </w:r>
    </w:p>
    <w:p w14:paraId="23CC0E0C" w14:textId="342DB1AD" w:rsidR="003B054C" w:rsidRPr="00C23F0B" w:rsidRDefault="003B054C" w:rsidP="003B054C">
      <w:r w:rsidRPr="00C23F0B">
        <w:t>5.1</w:t>
      </w:r>
      <w:r w:rsidRPr="00C23F0B">
        <w:tab/>
        <w:t xml:space="preserve">El </w:t>
      </w:r>
      <w:r w:rsidRPr="00C23F0B">
        <w:rPr>
          <w:b/>
          <w:bCs/>
        </w:rPr>
        <w:t>Presidente de la Comisión de Redacción</w:t>
      </w:r>
      <w:r w:rsidRPr="00C23F0B">
        <w:t xml:space="preserve"> presenta el Documento 497.</w:t>
      </w:r>
    </w:p>
    <w:p w14:paraId="66439502" w14:textId="790EFC8F" w:rsidR="003B054C" w:rsidRPr="00C23F0B" w:rsidRDefault="003B054C" w:rsidP="003B054C">
      <w:r w:rsidRPr="00C23F0B">
        <w:t>5.2</w:t>
      </w:r>
      <w:r w:rsidRPr="00C23F0B">
        <w:tab/>
        <w:t xml:space="preserve">El </w:t>
      </w:r>
      <w:r w:rsidRPr="00C23F0B">
        <w:rPr>
          <w:b/>
          <w:bCs/>
        </w:rPr>
        <w:t>Presidente</w:t>
      </w:r>
      <w:r w:rsidRPr="00C23F0B">
        <w:t xml:space="preserve"> invita a la reunión a examinar el Documento 497.</w:t>
      </w:r>
    </w:p>
    <w:p w14:paraId="485A9C4E" w14:textId="30FEDD3B" w:rsidR="00A06ADC" w:rsidRPr="00C23F0B" w:rsidRDefault="00A06ADC" w:rsidP="00A06ADC">
      <w:pPr>
        <w:rPr>
          <w:b/>
        </w:rPr>
      </w:pPr>
      <w:r w:rsidRPr="00C23F0B">
        <w:rPr>
          <w:b/>
        </w:rPr>
        <w:t>Art</w:t>
      </w:r>
      <w:r w:rsidR="003B054C" w:rsidRPr="00C23F0B">
        <w:rPr>
          <w:b/>
        </w:rPr>
        <w:t>í</w:t>
      </w:r>
      <w:r w:rsidRPr="00C23F0B">
        <w:rPr>
          <w:b/>
        </w:rPr>
        <w:t>c</w:t>
      </w:r>
      <w:r w:rsidR="003B054C" w:rsidRPr="00C23F0B">
        <w:rPr>
          <w:b/>
        </w:rPr>
        <w:t>u</w:t>
      </w:r>
      <w:r w:rsidRPr="00C23F0B">
        <w:rPr>
          <w:b/>
        </w:rPr>
        <w:t>l</w:t>
      </w:r>
      <w:r w:rsidR="003B054C" w:rsidRPr="00C23F0B">
        <w:rPr>
          <w:b/>
        </w:rPr>
        <w:t>o</w:t>
      </w:r>
      <w:r w:rsidRPr="00C23F0B">
        <w:rPr>
          <w:b/>
        </w:rPr>
        <w:t xml:space="preserve"> 5 (MOD 5.161A, MOD 5.164, MOD 5.279, MOD 5.297, MOD 5.312, MOD 5.323, MOD 5.325A, MOD 5.389F, MOD 5.401, MOD 5.429, MOD 5.431, MOD 5.447); MOD Resolu</w:t>
      </w:r>
      <w:r w:rsidR="003B054C" w:rsidRPr="00C23F0B">
        <w:rPr>
          <w:b/>
        </w:rPr>
        <w:t>c</w:t>
      </w:r>
      <w:r w:rsidRPr="00C23F0B">
        <w:rPr>
          <w:b/>
        </w:rPr>
        <w:t>i</w:t>
      </w:r>
      <w:r w:rsidR="003B054C" w:rsidRPr="00C23F0B">
        <w:rPr>
          <w:b/>
        </w:rPr>
        <w:t>ó</w:t>
      </w:r>
      <w:r w:rsidRPr="00C23F0B">
        <w:rPr>
          <w:b/>
        </w:rPr>
        <w:t>n 26 (Rev.C</w:t>
      </w:r>
      <w:r w:rsidR="003B054C" w:rsidRPr="00C23F0B">
        <w:rPr>
          <w:b/>
        </w:rPr>
        <w:t>MR</w:t>
      </w:r>
      <w:r w:rsidRPr="00C23F0B">
        <w:rPr>
          <w:b/>
        </w:rPr>
        <w:t>-07); MOD Resolu</w:t>
      </w:r>
      <w:r w:rsidR="003B054C" w:rsidRPr="00C23F0B">
        <w:rPr>
          <w:b/>
        </w:rPr>
        <w:t>c</w:t>
      </w:r>
      <w:r w:rsidRPr="00C23F0B">
        <w:rPr>
          <w:b/>
        </w:rPr>
        <w:t>i</w:t>
      </w:r>
      <w:r w:rsidR="003B054C" w:rsidRPr="00C23F0B">
        <w:rPr>
          <w:b/>
        </w:rPr>
        <w:t>ó</w:t>
      </w:r>
      <w:r w:rsidRPr="00C23F0B">
        <w:rPr>
          <w:b/>
        </w:rPr>
        <w:t>n 155 (C</w:t>
      </w:r>
      <w:r w:rsidR="003B054C" w:rsidRPr="00C23F0B">
        <w:rPr>
          <w:b/>
        </w:rPr>
        <w:t>MR</w:t>
      </w:r>
      <w:r w:rsidRPr="00C23F0B">
        <w:rPr>
          <w:b/>
        </w:rPr>
        <w:t>-15); MOD Resolu</w:t>
      </w:r>
      <w:r w:rsidR="003B054C" w:rsidRPr="00C23F0B">
        <w:rPr>
          <w:b/>
        </w:rPr>
        <w:t>c</w:t>
      </w:r>
      <w:r w:rsidRPr="00C23F0B">
        <w:rPr>
          <w:b/>
        </w:rPr>
        <w:t>i</w:t>
      </w:r>
      <w:r w:rsidR="003B054C" w:rsidRPr="00C23F0B">
        <w:rPr>
          <w:b/>
        </w:rPr>
        <w:t>ó</w:t>
      </w:r>
      <w:r w:rsidRPr="00C23F0B">
        <w:rPr>
          <w:b/>
        </w:rPr>
        <w:t>n 804 (Rev.C</w:t>
      </w:r>
      <w:r w:rsidR="003B054C" w:rsidRPr="00C23F0B">
        <w:rPr>
          <w:b/>
        </w:rPr>
        <w:t>MR</w:t>
      </w:r>
      <w:r w:rsidRPr="00C23F0B">
        <w:rPr>
          <w:b/>
        </w:rPr>
        <w:t>-12)</w:t>
      </w:r>
      <w:bookmarkEnd w:id="44"/>
    </w:p>
    <w:p w14:paraId="572B2551" w14:textId="66208833" w:rsidR="00A06ADC" w:rsidRPr="00C23F0B" w:rsidRDefault="00A06ADC" w:rsidP="00A06ADC">
      <w:r w:rsidRPr="00C23F0B">
        <w:t>5.3</w:t>
      </w:r>
      <w:r w:rsidRPr="00C23F0B">
        <w:tab/>
      </w:r>
      <w:bookmarkStart w:id="45" w:name="lt_pId376"/>
      <w:r w:rsidR="001A318A" w:rsidRPr="00C23F0B">
        <w:rPr>
          <w:b/>
          <w:bCs/>
        </w:rPr>
        <w:t>Aprobado</w:t>
      </w:r>
      <w:r w:rsidR="00491A9D">
        <w:rPr>
          <w:b/>
          <w:bCs/>
        </w:rPr>
        <w:t>s</w:t>
      </w:r>
      <w:r w:rsidRPr="00C23F0B">
        <w:t>.</w:t>
      </w:r>
      <w:bookmarkEnd w:id="45"/>
    </w:p>
    <w:p w14:paraId="4800765E" w14:textId="3832C393" w:rsidR="004014BF" w:rsidRPr="00C23F0B" w:rsidRDefault="004014BF" w:rsidP="004014BF">
      <w:pPr>
        <w:rPr>
          <w:b/>
          <w:bCs/>
        </w:rPr>
      </w:pPr>
      <w:r w:rsidRPr="00C23F0B">
        <w:t>5.4</w:t>
      </w:r>
      <w:r w:rsidRPr="00C23F0B">
        <w:tab/>
        <w:t xml:space="preserve">Se </w:t>
      </w:r>
      <w:r w:rsidRPr="00C23F0B">
        <w:rPr>
          <w:b/>
          <w:bCs/>
        </w:rPr>
        <w:t>aprueba</w:t>
      </w:r>
      <w:r w:rsidRPr="00C23F0B">
        <w:t xml:space="preserve"> la trigésima octava serie de textos presentada por la Comisión de Redacción en primera lectura (B38) (Documento 497).</w:t>
      </w:r>
    </w:p>
    <w:p w14:paraId="29B58BD0" w14:textId="07BDE30B" w:rsidR="004014BF" w:rsidRPr="00C23F0B" w:rsidRDefault="004014BF" w:rsidP="004014BF">
      <w:pPr>
        <w:pStyle w:val="Heading1"/>
      </w:pPr>
      <w:r w:rsidRPr="00C23F0B">
        <w:lastRenderedPageBreak/>
        <w:t>6</w:t>
      </w:r>
      <w:r w:rsidRPr="00C23F0B">
        <w:tab/>
        <w:t>Trigésima octava serie de textos sometidos por la Comisión de Redacción (B38) – segunda lectura (Documento 497)</w:t>
      </w:r>
    </w:p>
    <w:p w14:paraId="34C16203" w14:textId="3F73B8F9" w:rsidR="004014BF" w:rsidRPr="00C23F0B" w:rsidRDefault="004014BF" w:rsidP="004014BF">
      <w:r w:rsidRPr="00C23F0B">
        <w:t>6.1</w:t>
      </w:r>
      <w:r w:rsidRPr="00C23F0B">
        <w:tab/>
        <w:t xml:space="preserve">Se </w:t>
      </w:r>
      <w:r w:rsidRPr="00C23F0B">
        <w:rPr>
          <w:b/>
          <w:bCs/>
        </w:rPr>
        <w:t xml:space="preserve">aprueba </w:t>
      </w:r>
      <w:r w:rsidRPr="00C23F0B">
        <w:t>en segunda lectura</w:t>
      </w:r>
      <w:r w:rsidRPr="00C23F0B">
        <w:rPr>
          <w:b/>
          <w:bCs/>
        </w:rPr>
        <w:t xml:space="preserve"> </w:t>
      </w:r>
      <w:r w:rsidRPr="00C23F0B">
        <w:t>la trigésima octava serie de textos sometidos por la Comisión de Redacción (B38) (Documento 497).</w:t>
      </w:r>
    </w:p>
    <w:p w14:paraId="005E3352" w14:textId="5ED05376" w:rsidR="004014BF" w:rsidRPr="00C23F0B" w:rsidRDefault="004014BF" w:rsidP="004014BF">
      <w:pPr>
        <w:pStyle w:val="Heading1"/>
      </w:pPr>
      <w:bookmarkStart w:id="46" w:name="lt_pId389"/>
      <w:r w:rsidRPr="00C23F0B">
        <w:t>7</w:t>
      </w:r>
      <w:r w:rsidRPr="00C23F0B">
        <w:tab/>
        <w:t>Trigésima novena serie de textos sometidos por la Comisión de Redacción en primera lectura (B39) (Documento 501)</w:t>
      </w:r>
    </w:p>
    <w:p w14:paraId="38E37AE6" w14:textId="2D18D875" w:rsidR="004014BF" w:rsidRPr="00C23F0B" w:rsidRDefault="004014BF" w:rsidP="004014BF">
      <w:r w:rsidRPr="00C23F0B">
        <w:t>7.1</w:t>
      </w:r>
      <w:r w:rsidRPr="00C23F0B">
        <w:tab/>
        <w:t xml:space="preserve">El </w:t>
      </w:r>
      <w:r w:rsidRPr="00C23F0B">
        <w:rPr>
          <w:b/>
          <w:bCs/>
        </w:rPr>
        <w:t>Presidente de la Comisión de Redacción</w:t>
      </w:r>
      <w:r w:rsidRPr="00C23F0B">
        <w:t xml:space="preserve"> presenta el Documento 501.</w:t>
      </w:r>
    </w:p>
    <w:p w14:paraId="09EEA68C" w14:textId="5C9B56D1" w:rsidR="004014BF" w:rsidRPr="00C23F0B" w:rsidRDefault="004014BF" w:rsidP="004014BF">
      <w:r w:rsidRPr="00C23F0B">
        <w:t>7.2</w:t>
      </w:r>
      <w:r w:rsidRPr="00C23F0B">
        <w:tab/>
        <w:t xml:space="preserve">El </w:t>
      </w:r>
      <w:r w:rsidRPr="00C23F0B">
        <w:rPr>
          <w:b/>
          <w:bCs/>
        </w:rPr>
        <w:t>Presidente</w:t>
      </w:r>
      <w:r w:rsidRPr="00C23F0B">
        <w:t xml:space="preserve"> invita a la reunión a examinar el Documento 501.</w:t>
      </w:r>
    </w:p>
    <w:p w14:paraId="28EF6645" w14:textId="25FF5E8C" w:rsidR="00A06ADC" w:rsidRPr="00C23F0B" w:rsidRDefault="00A06ADC" w:rsidP="00A06ADC">
      <w:pPr>
        <w:rPr>
          <w:b/>
        </w:rPr>
      </w:pPr>
      <w:r w:rsidRPr="00C23F0B">
        <w:rPr>
          <w:b/>
        </w:rPr>
        <w:t>Ap</w:t>
      </w:r>
      <w:r w:rsidR="004014BF" w:rsidRPr="00C23F0B">
        <w:rPr>
          <w:b/>
        </w:rPr>
        <w:t>é</w:t>
      </w:r>
      <w:r w:rsidRPr="00C23F0B">
        <w:rPr>
          <w:b/>
        </w:rPr>
        <w:t>ndi</w:t>
      </w:r>
      <w:r w:rsidR="004014BF" w:rsidRPr="00C23F0B">
        <w:rPr>
          <w:b/>
        </w:rPr>
        <w:t>ce</w:t>
      </w:r>
      <w:r w:rsidRPr="00C23F0B">
        <w:rPr>
          <w:b/>
        </w:rPr>
        <w:t xml:space="preserve"> 7 (MOD 1, MOD 2.1.2, MOD </w:t>
      </w:r>
      <w:r w:rsidR="004014BF" w:rsidRPr="00C23F0B">
        <w:rPr>
          <w:b/>
        </w:rPr>
        <w:t>Cuadro</w:t>
      </w:r>
      <w:r w:rsidRPr="00C23F0B">
        <w:rPr>
          <w:b/>
        </w:rPr>
        <w:t xml:space="preserve"> 2, MOD 3.1, MOD 3.1.1; Anex</w:t>
      </w:r>
      <w:r w:rsidR="004014BF" w:rsidRPr="00C23F0B">
        <w:rPr>
          <w:b/>
        </w:rPr>
        <w:t>o</w:t>
      </w:r>
      <w:r w:rsidRPr="00C23F0B">
        <w:rPr>
          <w:b/>
        </w:rPr>
        <w:t xml:space="preserve"> 5 </w:t>
      </w:r>
      <w:r w:rsidR="00491A9D" w:rsidRPr="00491A9D">
        <w:rPr>
          <w:b/>
        </w:rPr>
        <w:t>–</w:t>
      </w:r>
      <w:r w:rsidRPr="00C23F0B">
        <w:rPr>
          <w:b/>
        </w:rPr>
        <w:t xml:space="preserve"> MOD 1, MOD 2; Anex</w:t>
      </w:r>
      <w:r w:rsidR="004014BF" w:rsidRPr="00C23F0B">
        <w:rPr>
          <w:b/>
        </w:rPr>
        <w:t>o</w:t>
      </w:r>
      <w:r w:rsidRPr="00C23F0B">
        <w:rPr>
          <w:b/>
        </w:rPr>
        <w:t xml:space="preserve"> 7 </w:t>
      </w:r>
      <w:r w:rsidR="00011F9C" w:rsidRPr="00011F9C">
        <w:rPr>
          <w:b/>
        </w:rPr>
        <w:t>–</w:t>
      </w:r>
      <w:r w:rsidRPr="00C23F0B">
        <w:rPr>
          <w:b/>
        </w:rPr>
        <w:t xml:space="preserve"> MOD </w:t>
      </w:r>
      <w:r w:rsidR="004014BF" w:rsidRPr="00C23F0B">
        <w:rPr>
          <w:b/>
        </w:rPr>
        <w:t>Cuadro</w:t>
      </w:r>
      <w:r w:rsidRPr="00C23F0B">
        <w:rPr>
          <w:b/>
        </w:rPr>
        <w:t xml:space="preserve"> 7c, MOD </w:t>
      </w:r>
      <w:r w:rsidR="004014BF" w:rsidRPr="00C23F0B">
        <w:rPr>
          <w:b/>
        </w:rPr>
        <w:t>Cuadro</w:t>
      </w:r>
      <w:r w:rsidRPr="00C23F0B">
        <w:rPr>
          <w:b/>
        </w:rPr>
        <w:t xml:space="preserve"> 8d, MOD </w:t>
      </w:r>
      <w:r w:rsidR="004014BF" w:rsidRPr="00C23F0B">
        <w:rPr>
          <w:b/>
        </w:rPr>
        <w:t>Cuadro</w:t>
      </w:r>
      <w:r w:rsidRPr="00C23F0B">
        <w:rPr>
          <w:b/>
        </w:rPr>
        <w:t xml:space="preserve"> 9a, MOD </w:t>
      </w:r>
      <w:r w:rsidR="004014BF" w:rsidRPr="00C23F0B">
        <w:rPr>
          <w:b/>
        </w:rPr>
        <w:t>Cuadro</w:t>
      </w:r>
      <w:r w:rsidRPr="00C23F0B">
        <w:rPr>
          <w:b/>
        </w:rPr>
        <w:t xml:space="preserve"> 9b, MOD </w:t>
      </w:r>
      <w:r w:rsidR="004014BF" w:rsidRPr="00C23F0B">
        <w:rPr>
          <w:b/>
        </w:rPr>
        <w:t>Cuadro</w:t>
      </w:r>
      <w:r w:rsidRPr="00C23F0B">
        <w:rPr>
          <w:b/>
        </w:rPr>
        <w:t xml:space="preserve"> 10)</w:t>
      </w:r>
      <w:bookmarkEnd w:id="46"/>
    </w:p>
    <w:p w14:paraId="0333401C" w14:textId="50DAEAF6" w:rsidR="00A06ADC" w:rsidRPr="00C23F0B" w:rsidRDefault="00A06ADC" w:rsidP="00A06ADC">
      <w:r w:rsidRPr="00C23F0B">
        <w:t>7.3</w:t>
      </w:r>
      <w:r w:rsidRPr="00C23F0B">
        <w:tab/>
      </w:r>
      <w:bookmarkStart w:id="47" w:name="lt_pId391"/>
      <w:r w:rsidR="001A318A" w:rsidRPr="00C23F0B">
        <w:rPr>
          <w:b/>
          <w:bCs/>
        </w:rPr>
        <w:t>Aprobado</w:t>
      </w:r>
      <w:r w:rsidRPr="00C23F0B">
        <w:t>.</w:t>
      </w:r>
      <w:bookmarkEnd w:id="47"/>
    </w:p>
    <w:p w14:paraId="1C172923" w14:textId="4741EF16" w:rsidR="004014BF" w:rsidRPr="00491A9D" w:rsidRDefault="004014BF" w:rsidP="004014BF">
      <w:r w:rsidRPr="00C23F0B">
        <w:t>7.4</w:t>
      </w:r>
      <w:r w:rsidRPr="00C23F0B">
        <w:tab/>
        <w:t xml:space="preserve">Se </w:t>
      </w:r>
      <w:r w:rsidRPr="00C23F0B">
        <w:rPr>
          <w:b/>
          <w:bCs/>
        </w:rPr>
        <w:t>aprueba</w:t>
      </w:r>
      <w:r w:rsidRPr="00C23F0B">
        <w:t xml:space="preserve"> la trigésima novena serie de textos presentada por la Comisión de Redacción en primera lectura (B39) (Documento 501).</w:t>
      </w:r>
    </w:p>
    <w:p w14:paraId="2904D4F7" w14:textId="6874B43B" w:rsidR="004551DE" w:rsidRPr="00C23F0B" w:rsidRDefault="004551DE" w:rsidP="004551DE">
      <w:pPr>
        <w:pStyle w:val="Heading1"/>
      </w:pPr>
      <w:bookmarkStart w:id="48" w:name="_Hlk25151991"/>
      <w:r w:rsidRPr="00C23F0B">
        <w:t>8</w:t>
      </w:r>
      <w:r w:rsidRPr="00C23F0B">
        <w:tab/>
        <w:t>Trigésima novena serie de textos sometidos por la Comisión de Redacción (B39) – segunda lectura (Documento 501)</w:t>
      </w:r>
    </w:p>
    <w:p w14:paraId="396ACC5E" w14:textId="522CF672" w:rsidR="004551DE" w:rsidRPr="00C23F0B" w:rsidRDefault="004551DE" w:rsidP="004551DE">
      <w:r w:rsidRPr="00C23F0B">
        <w:t>8.1</w:t>
      </w:r>
      <w:r w:rsidRPr="00C23F0B">
        <w:tab/>
        <w:t xml:space="preserve">Se </w:t>
      </w:r>
      <w:r w:rsidRPr="00C23F0B">
        <w:rPr>
          <w:b/>
          <w:bCs/>
        </w:rPr>
        <w:t xml:space="preserve">aprueba </w:t>
      </w:r>
      <w:r w:rsidRPr="00C23F0B">
        <w:t>en segunda lectura</w:t>
      </w:r>
      <w:r w:rsidRPr="00C23F0B">
        <w:rPr>
          <w:b/>
          <w:bCs/>
        </w:rPr>
        <w:t xml:space="preserve"> </w:t>
      </w:r>
      <w:r w:rsidRPr="00C23F0B">
        <w:t>la trigésima novena serie de textos sometidos por la Comisión de Redacción (B39) (Documento 501).</w:t>
      </w:r>
    </w:p>
    <w:bookmarkEnd w:id="48"/>
    <w:p w14:paraId="681DAD09" w14:textId="38BCCF4B" w:rsidR="004551DE" w:rsidRPr="00C23F0B" w:rsidRDefault="004551DE" w:rsidP="004551DE">
      <w:pPr>
        <w:pStyle w:val="Heading1"/>
      </w:pPr>
      <w:r w:rsidRPr="00C23F0B">
        <w:t>9</w:t>
      </w:r>
      <w:r w:rsidRPr="00C23F0B">
        <w:tab/>
        <w:t>Cuadragésima serie de textos sometidos por la Comisión de Redacción en primera lectura (B40) (Documento 502)</w:t>
      </w:r>
    </w:p>
    <w:p w14:paraId="55841998" w14:textId="6840802E" w:rsidR="004551DE" w:rsidRPr="00C23F0B" w:rsidRDefault="004551DE" w:rsidP="004551DE">
      <w:r w:rsidRPr="00C23F0B">
        <w:t>9.1</w:t>
      </w:r>
      <w:r w:rsidRPr="00C23F0B">
        <w:tab/>
        <w:t xml:space="preserve">El </w:t>
      </w:r>
      <w:r w:rsidRPr="00C23F0B">
        <w:rPr>
          <w:b/>
          <w:bCs/>
        </w:rPr>
        <w:t>Presidente de la Comisión de Redacción</w:t>
      </w:r>
      <w:r w:rsidRPr="00C23F0B">
        <w:t xml:space="preserve"> presenta el Documento 502.</w:t>
      </w:r>
    </w:p>
    <w:p w14:paraId="47D6C891" w14:textId="5B0D9D38" w:rsidR="004551DE" w:rsidRPr="00C23F0B" w:rsidRDefault="004551DE" w:rsidP="004551DE">
      <w:r w:rsidRPr="00C23F0B">
        <w:t>9.2</w:t>
      </w:r>
      <w:r w:rsidRPr="00C23F0B">
        <w:tab/>
        <w:t xml:space="preserve">El </w:t>
      </w:r>
      <w:r w:rsidRPr="00C23F0B">
        <w:rPr>
          <w:b/>
          <w:bCs/>
        </w:rPr>
        <w:t>Presidente</w:t>
      </w:r>
      <w:r w:rsidRPr="00C23F0B">
        <w:t xml:space="preserve"> invita a la reunión a examinar el Documento 502.</w:t>
      </w:r>
    </w:p>
    <w:p w14:paraId="2C61BF50" w14:textId="2CB63870" w:rsidR="00350922" w:rsidRPr="00C23F0B" w:rsidRDefault="00A06ADC" w:rsidP="004551DE">
      <w:pPr>
        <w:pStyle w:val="Headingb"/>
      </w:pPr>
      <w:r w:rsidRPr="00C23F0B">
        <w:t>Art</w:t>
      </w:r>
      <w:r w:rsidR="004551DE" w:rsidRPr="00C23F0B">
        <w:t>í</w:t>
      </w:r>
      <w:r w:rsidRPr="00C23F0B">
        <w:t>c</w:t>
      </w:r>
      <w:r w:rsidR="004551DE" w:rsidRPr="00C23F0B">
        <w:t>u</w:t>
      </w:r>
      <w:r w:rsidRPr="00C23F0B">
        <w:t>l</w:t>
      </w:r>
      <w:r w:rsidR="004551DE" w:rsidRPr="00C23F0B">
        <w:t>o</w:t>
      </w:r>
      <w:r w:rsidRPr="00C23F0B">
        <w:t xml:space="preserve"> 11 (MOD 11.44, MOD 11.44.2, MOD 11.44.3, MOD 11.44C, ADD 11.44C.1 </w:t>
      </w:r>
      <w:r w:rsidR="004551DE" w:rsidRPr="00C23F0B">
        <w:t>y</w:t>
      </w:r>
      <w:r w:rsidRPr="00C23F0B">
        <w:t xml:space="preserve"> 11.44D.1, ADD 11.44C.3, ADD 11.44C.4, MOD 11.44D, MOD 11.44E, MOD 11.49, ADD</w:t>
      </w:r>
      <w:r w:rsidR="003E45EA">
        <w:t> </w:t>
      </w:r>
      <w:r w:rsidRPr="00C23F0B">
        <w:t>11.49.2, ADD 11.49.3, ADD 11.49.4, ADD 11.49.5, ADD Sec</w:t>
      </w:r>
      <w:r w:rsidR="004551DE" w:rsidRPr="00C23F0B">
        <w:t>c</w:t>
      </w:r>
      <w:r w:rsidRPr="00C23F0B">
        <w:t>i</w:t>
      </w:r>
      <w:r w:rsidR="004551DE" w:rsidRPr="00C23F0B">
        <w:t>ó</w:t>
      </w:r>
      <w:r w:rsidRPr="00C23F0B">
        <w:t xml:space="preserve">n III, </w:t>
      </w:r>
      <w:r w:rsidR="000921C1" w:rsidRPr="00C23F0B">
        <w:t xml:space="preserve">ADD </w:t>
      </w:r>
      <w:r w:rsidRPr="00C23F0B">
        <w:t>11.51); Art</w:t>
      </w:r>
      <w:r w:rsidR="004551DE" w:rsidRPr="00C23F0B">
        <w:t>í</w:t>
      </w:r>
      <w:r w:rsidRPr="00C23F0B">
        <w:t>c</w:t>
      </w:r>
      <w:r w:rsidR="004551DE" w:rsidRPr="00C23F0B">
        <w:t>u</w:t>
      </w:r>
      <w:r w:rsidRPr="00C23F0B">
        <w:t>l</w:t>
      </w:r>
      <w:r w:rsidR="004551DE" w:rsidRPr="00C23F0B">
        <w:t>o</w:t>
      </w:r>
      <w:r w:rsidR="003E45EA">
        <w:t> </w:t>
      </w:r>
      <w:r w:rsidRPr="00C23F0B">
        <w:t>13 (MOD 13.6, ADD 13.6.1); Ap</w:t>
      </w:r>
      <w:r w:rsidR="004551DE" w:rsidRPr="00C23F0B">
        <w:t>é</w:t>
      </w:r>
      <w:r w:rsidRPr="00C23F0B">
        <w:t>ndi</w:t>
      </w:r>
      <w:r w:rsidR="004551DE" w:rsidRPr="00C23F0B">
        <w:t>ce</w:t>
      </w:r>
      <w:r w:rsidRPr="00C23F0B">
        <w:t xml:space="preserve"> 4 (MOD </w:t>
      </w:r>
      <w:r w:rsidR="004551DE" w:rsidRPr="00C23F0B">
        <w:t>Cuadro</w:t>
      </w:r>
      <w:r w:rsidRPr="00C23F0B">
        <w:t xml:space="preserve"> A – </w:t>
      </w:r>
      <w:r w:rsidR="00491A9D">
        <w:t xml:space="preserve">puntos </w:t>
      </w:r>
      <w:r w:rsidRPr="00C23F0B">
        <w:t xml:space="preserve">A.20 </w:t>
      </w:r>
      <w:r w:rsidR="00491A9D">
        <w:t>y</w:t>
      </w:r>
      <w:r w:rsidRPr="00C23F0B">
        <w:t xml:space="preserve"> A.2.a); ADD Resolu</w:t>
      </w:r>
      <w:r w:rsidR="004551DE" w:rsidRPr="00C23F0B">
        <w:t>c</w:t>
      </w:r>
      <w:r w:rsidRPr="00C23F0B">
        <w:t>i</w:t>
      </w:r>
      <w:r w:rsidR="004551DE" w:rsidRPr="00C23F0B">
        <w:t>ó</w:t>
      </w:r>
      <w:r w:rsidRPr="00C23F0B">
        <w:t>n COM5/7 (</w:t>
      </w:r>
      <w:r w:rsidR="004551DE" w:rsidRPr="00C23F0B">
        <w:t>CM</w:t>
      </w:r>
      <w:r w:rsidRPr="00C23F0B">
        <w:t>R-19) –</w:t>
      </w:r>
      <w:r w:rsidR="004551DE" w:rsidRPr="00C23F0B">
        <w:t xml:space="preserve"> Métodos por etapas para la implementación de asignaciones de frecuencias a estaciones espaciales de sistemas de satélites no geoestacionarios en bandas de frecuencias y servicios específicos</w:t>
      </w:r>
    </w:p>
    <w:p w14:paraId="5B32BC44" w14:textId="132EADE4" w:rsidR="00A06ADC" w:rsidRPr="00C23F0B" w:rsidRDefault="00A06ADC" w:rsidP="00A06ADC">
      <w:r w:rsidRPr="00C23F0B">
        <w:t>9.3</w:t>
      </w:r>
      <w:r w:rsidRPr="00C23F0B">
        <w:tab/>
      </w:r>
      <w:bookmarkStart w:id="49" w:name="lt_pId406"/>
      <w:r w:rsidR="001A318A" w:rsidRPr="00C23F0B">
        <w:rPr>
          <w:b/>
          <w:bCs/>
        </w:rPr>
        <w:t>Aprobado</w:t>
      </w:r>
      <w:r w:rsidR="00491A9D">
        <w:rPr>
          <w:b/>
          <w:bCs/>
        </w:rPr>
        <w:t>s</w:t>
      </w:r>
      <w:r w:rsidRPr="00C23F0B">
        <w:t>.</w:t>
      </w:r>
      <w:bookmarkEnd w:id="49"/>
    </w:p>
    <w:p w14:paraId="7512A613" w14:textId="541C365A" w:rsidR="004551DE" w:rsidRPr="00091102" w:rsidRDefault="004551DE" w:rsidP="004551DE">
      <w:r w:rsidRPr="00C23F0B">
        <w:t>9.4</w:t>
      </w:r>
      <w:r w:rsidRPr="00C23F0B">
        <w:tab/>
        <w:t xml:space="preserve">Se </w:t>
      </w:r>
      <w:r w:rsidRPr="00C23F0B">
        <w:rPr>
          <w:b/>
          <w:bCs/>
        </w:rPr>
        <w:t>aprueba</w:t>
      </w:r>
      <w:r w:rsidRPr="00C23F0B">
        <w:t xml:space="preserve"> la cuadragésima serie de textos presentada por la Comisión de Redacción en primera lectura (B40) (Documento 502).</w:t>
      </w:r>
    </w:p>
    <w:p w14:paraId="5C023122" w14:textId="5E82E043" w:rsidR="004551DE" w:rsidRPr="00C23F0B" w:rsidRDefault="004551DE" w:rsidP="004551DE">
      <w:pPr>
        <w:pStyle w:val="Heading1"/>
      </w:pPr>
      <w:r w:rsidRPr="00C23F0B">
        <w:t>10</w:t>
      </w:r>
      <w:r w:rsidRPr="00C23F0B">
        <w:tab/>
        <w:t>Cuadragésima serie de textos sometidos por la Comisión de Redacción (B40) – segunda lectura (Documento</w:t>
      </w:r>
      <w:r w:rsidR="00A769AE" w:rsidRPr="00C23F0B">
        <w:t>s</w:t>
      </w:r>
      <w:r w:rsidRPr="00C23F0B">
        <w:t xml:space="preserve"> </w:t>
      </w:r>
      <w:r w:rsidR="00A769AE" w:rsidRPr="00C23F0B">
        <w:t>499, 500 y 502</w:t>
      </w:r>
      <w:r w:rsidRPr="00C23F0B">
        <w:t>)</w:t>
      </w:r>
    </w:p>
    <w:p w14:paraId="5B23D6CB" w14:textId="09503DFB" w:rsidR="004551DE" w:rsidRPr="00C23F0B" w:rsidRDefault="00A769AE" w:rsidP="004551DE">
      <w:r w:rsidRPr="00C23F0B">
        <w:t>10</w:t>
      </w:r>
      <w:r w:rsidR="004551DE" w:rsidRPr="00C23F0B">
        <w:t>.1</w:t>
      </w:r>
      <w:r w:rsidR="004551DE" w:rsidRPr="00C23F0B">
        <w:tab/>
        <w:t xml:space="preserve">Se </w:t>
      </w:r>
      <w:r w:rsidR="004551DE" w:rsidRPr="00C23F0B">
        <w:rPr>
          <w:b/>
          <w:bCs/>
        </w:rPr>
        <w:t xml:space="preserve">aprueba </w:t>
      </w:r>
      <w:r w:rsidR="004551DE" w:rsidRPr="00C23F0B">
        <w:t>en segunda lectura</w:t>
      </w:r>
      <w:r w:rsidR="004551DE" w:rsidRPr="00C23F0B">
        <w:rPr>
          <w:b/>
          <w:bCs/>
        </w:rPr>
        <w:t xml:space="preserve"> </w:t>
      </w:r>
      <w:r w:rsidR="004551DE" w:rsidRPr="00C23F0B">
        <w:t xml:space="preserve">la </w:t>
      </w:r>
      <w:r w:rsidR="00775DC2" w:rsidRPr="00C23F0B">
        <w:t xml:space="preserve">cuadragésima </w:t>
      </w:r>
      <w:r w:rsidR="004551DE" w:rsidRPr="00C23F0B">
        <w:t>serie de textos sometidos por la Comisión de Redacción (B</w:t>
      </w:r>
      <w:r w:rsidR="00C97F39" w:rsidRPr="00C23F0B">
        <w:t>40</w:t>
      </w:r>
      <w:r w:rsidR="004551DE" w:rsidRPr="00C23F0B">
        <w:t>) (Documento 50</w:t>
      </w:r>
      <w:r w:rsidR="00C97F39" w:rsidRPr="00C23F0B">
        <w:t>2</w:t>
      </w:r>
      <w:r w:rsidR="004551DE" w:rsidRPr="00C23F0B">
        <w:t>).</w:t>
      </w:r>
    </w:p>
    <w:p w14:paraId="37008864" w14:textId="75367690" w:rsidR="00A06ADC" w:rsidRPr="00C23F0B" w:rsidRDefault="00A06ADC" w:rsidP="00491A9D">
      <w:pPr>
        <w:keepNext/>
        <w:keepLines/>
      </w:pPr>
      <w:r w:rsidRPr="00C23F0B">
        <w:lastRenderedPageBreak/>
        <w:t>10.2</w:t>
      </w:r>
      <w:r w:rsidRPr="00C23F0B">
        <w:tab/>
      </w:r>
      <w:bookmarkStart w:id="50" w:name="lt_pId415"/>
      <w:r w:rsidR="00A7609F" w:rsidRPr="00A7609F">
        <w:t xml:space="preserve">El </w:t>
      </w:r>
      <w:r w:rsidR="00A7609F" w:rsidRPr="00A7609F">
        <w:rPr>
          <w:b/>
          <w:bCs/>
        </w:rPr>
        <w:t>Presidente</w:t>
      </w:r>
      <w:r w:rsidR="00A7609F" w:rsidRPr="00A7609F">
        <w:t xml:space="preserve"> invita a los participantes a </w:t>
      </w:r>
      <w:r w:rsidR="00A7609F">
        <w:t xml:space="preserve">examinar </w:t>
      </w:r>
      <w:r w:rsidR="00A7609F" w:rsidRPr="00A7609F">
        <w:t>el Documento 499, cuya aprobación fue aplazada ante</w:t>
      </w:r>
      <w:r w:rsidR="00A7609F">
        <w:t>riormente</w:t>
      </w:r>
      <w:r w:rsidR="00A7609F" w:rsidRPr="00A7609F">
        <w:t xml:space="preserve"> </w:t>
      </w:r>
      <w:r w:rsidR="00A7609F">
        <w:t xml:space="preserve">en </w:t>
      </w:r>
      <w:r w:rsidR="00A7609F" w:rsidRPr="00A7609F">
        <w:t xml:space="preserve">la reunión. </w:t>
      </w:r>
      <w:r w:rsidR="00733048">
        <w:t>Se p</w:t>
      </w:r>
      <w:r w:rsidR="00A7609F" w:rsidRPr="00A7609F">
        <w:t xml:space="preserve">ropone que se apruebe el siguiente texto, </w:t>
      </w:r>
      <w:r w:rsidR="00733048">
        <w:t xml:space="preserve">contenido </w:t>
      </w:r>
      <w:r w:rsidR="00A7609F" w:rsidRPr="00A7609F">
        <w:t xml:space="preserve">en </w:t>
      </w:r>
      <w:r w:rsidR="00733048">
        <w:t xml:space="preserve">dicho </w:t>
      </w:r>
      <w:r w:rsidR="00A7609F" w:rsidRPr="00A7609F">
        <w:t xml:space="preserve">documento, y que se incluya en </w:t>
      </w:r>
      <w:r w:rsidR="00733048">
        <w:t xml:space="preserve">las </w:t>
      </w:r>
      <w:r w:rsidR="00A7609F" w:rsidRPr="00A7609F">
        <w:t>acta</w:t>
      </w:r>
      <w:r w:rsidR="00733048">
        <w:t>s</w:t>
      </w:r>
      <w:r w:rsidR="00A7609F" w:rsidRPr="00A7609F">
        <w:t xml:space="preserve"> de la </w:t>
      </w:r>
      <w:r w:rsidR="00733048">
        <w:t>S</w:t>
      </w:r>
      <w:r w:rsidR="00A7609F" w:rsidRPr="00A7609F">
        <w:t xml:space="preserve">esión </w:t>
      </w:r>
      <w:r w:rsidR="00733048">
        <w:t>P</w:t>
      </w:r>
      <w:r w:rsidR="00A7609F" w:rsidRPr="00A7609F">
        <w:t xml:space="preserve">lenaria </w:t>
      </w:r>
      <w:r w:rsidR="00733048">
        <w:t xml:space="preserve">a modo de </w:t>
      </w:r>
      <w:r w:rsidR="00A7609F" w:rsidRPr="00A7609F">
        <w:t xml:space="preserve">decisión de la </w:t>
      </w:r>
      <w:r w:rsidR="00733048">
        <w:t>C</w:t>
      </w:r>
      <w:r w:rsidR="00A7609F" w:rsidRPr="00A7609F">
        <w:t>onferencia</w:t>
      </w:r>
      <w:r w:rsidRPr="00C23F0B">
        <w:t>:</w:t>
      </w:r>
      <w:bookmarkEnd w:id="50"/>
    </w:p>
    <w:p w14:paraId="3FBAF081" w14:textId="454CE750" w:rsidR="00A06ADC" w:rsidRPr="00C23F0B" w:rsidRDefault="00A06ADC" w:rsidP="00A06ADC">
      <w:pPr>
        <w:pStyle w:val="Title4"/>
      </w:pPr>
      <w:r w:rsidRPr="00C23F0B">
        <w:t xml:space="preserve">«Entendimiento de la Oficina de Radiocomunicaciones del </w:t>
      </w:r>
      <w:r w:rsidRPr="00C23F0B">
        <w:rPr>
          <w:i/>
          <w:iCs/>
        </w:rPr>
        <w:t>resuelve</w:t>
      </w:r>
      <w:r w:rsidRPr="00C23F0B">
        <w:t xml:space="preserve"> 11 y del Anexo 2 a la Resolución [7(A)-NGSO-MILESTONES] (CMR-19)</w:t>
      </w:r>
    </w:p>
    <w:p w14:paraId="01A9532B" w14:textId="77777777" w:rsidR="00A06ADC" w:rsidRPr="00C23F0B" w:rsidRDefault="00A06ADC" w:rsidP="00A06ADC">
      <w:r w:rsidRPr="00C23F0B">
        <w:t xml:space="preserve">La Oficina señala que la Resolución </w:t>
      </w:r>
      <w:r w:rsidRPr="00C23F0B">
        <w:rPr>
          <w:b/>
        </w:rPr>
        <w:t>[7(A)-NGSO-MILESTONES] (CMR-19)</w:t>
      </w:r>
      <w:r w:rsidRPr="00C23F0B">
        <w:t xml:space="preserve">, incluido su Anexo 2, no sustituye a la aplicación pertinente de las disposiciones del Artículo </w:t>
      </w:r>
      <w:r w:rsidRPr="00C23F0B">
        <w:rPr>
          <w:b/>
          <w:bCs/>
        </w:rPr>
        <w:t>9</w:t>
      </w:r>
      <w:r w:rsidRPr="00C23F0B">
        <w:t xml:space="preserve"> del Reglamento de Radiocomunicaciones, en particular el número </w:t>
      </w:r>
      <w:r w:rsidRPr="00C23F0B">
        <w:rPr>
          <w:b/>
        </w:rPr>
        <w:t>9.6</w:t>
      </w:r>
      <w:r w:rsidRPr="00C23F0B">
        <w:t xml:space="preserve"> (inicio del proceso de coordinación), los números </w:t>
      </w:r>
      <w:r w:rsidRPr="00C23F0B">
        <w:rPr>
          <w:b/>
        </w:rPr>
        <w:t>9.50</w:t>
      </w:r>
      <w:r w:rsidRPr="00C23F0B">
        <w:t xml:space="preserve"> al </w:t>
      </w:r>
      <w:r w:rsidRPr="00C23F0B">
        <w:rPr>
          <w:b/>
        </w:rPr>
        <w:t>9.52</w:t>
      </w:r>
      <w:r w:rsidRPr="00C23F0B">
        <w:t xml:space="preserve">, el número </w:t>
      </w:r>
      <w:r w:rsidRPr="00C23F0B">
        <w:rPr>
          <w:b/>
        </w:rPr>
        <w:t>9.52C</w:t>
      </w:r>
      <w:r w:rsidRPr="00C23F0B">
        <w:t xml:space="preserve"> (actuación ante una solicitud de coordinación) y el número </w:t>
      </w:r>
      <w:r w:rsidRPr="00C23F0B">
        <w:rPr>
          <w:b/>
        </w:rPr>
        <w:t>9.53</w:t>
      </w:r>
      <w:r w:rsidRPr="00C23F0B">
        <w:t xml:space="preserve"> (esfuerzos mutuos de la administración solicitante y de la administración que responde para superar las dificultades) del RR.</w:t>
      </w:r>
    </w:p>
    <w:p w14:paraId="57E844FA" w14:textId="77777777" w:rsidR="00A06ADC" w:rsidRPr="00C23F0B" w:rsidRDefault="00A06ADC" w:rsidP="00A06ADC">
      <w:r w:rsidRPr="00C23F0B">
        <w:t>Este conjunto de disposiciones crea un marco equilibrado en el que ambas administraciones solicitantes y que responde realizan una serie de actos que constituyen el proceso de coordinación bilateral:</w:t>
      </w:r>
    </w:p>
    <w:p w14:paraId="04AB190C" w14:textId="77777777" w:rsidR="00A06ADC" w:rsidRPr="00C23F0B" w:rsidRDefault="00A06ADC" w:rsidP="008E7DB0">
      <w:pPr>
        <w:pStyle w:val="enumlev1"/>
      </w:pPr>
      <w:r w:rsidRPr="00C23F0B">
        <w:t>–</w:t>
      </w:r>
      <w:r w:rsidRPr="00C23F0B">
        <w:tab/>
        <w:t>la administración solicitante inicia el proceso;</w:t>
      </w:r>
    </w:p>
    <w:p w14:paraId="32EC815B" w14:textId="77777777" w:rsidR="00A06ADC" w:rsidRPr="00C23F0B" w:rsidRDefault="00A06ADC" w:rsidP="008E7DB0">
      <w:pPr>
        <w:pStyle w:val="enumlev1"/>
      </w:pPr>
      <w:r w:rsidRPr="00C23F0B">
        <w:t>–</w:t>
      </w:r>
      <w:r w:rsidRPr="00C23F0B">
        <w:tab/>
        <w:t>la administración que responde contesta a esta solicitud dando su acuerdo o indicando su desacuerdo junto con información relativa a sus asignaciones en las que se basa el desacuerdo y las sugerencias que pueda ofrecer con miras a una resolución satisfactoria de la cuestión;</w:t>
      </w:r>
    </w:p>
    <w:p w14:paraId="362B490A" w14:textId="77777777" w:rsidR="00A06ADC" w:rsidRPr="00C23F0B" w:rsidRDefault="00A06ADC" w:rsidP="008E7DB0">
      <w:pPr>
        <w:pStyle w:val="enumlev1"/>
      </w:pPr>
      <w:r w:rsidRPr="00C23F0B">
        <w:t>–</w:t>
      </w:r>
      <w:r w:rsidRPr="00C23F0B">
        <w:tab/>
        <w:t>ambas administraciones harán todo lo posible para superar las dificultades, de una forma satisfactoria para las partes implicadas.</w:t>
      </w:r>
    </w:p>
    <w:p w14:paraId="359DDB53" w14:textId="77777777" w:rsidR="00A06ADC" w:rsidRPr="00C23F0B" w:rsidRDefault="00A06ADC" w:rsidP="00A06ADC">
      <w:r w:rsidRPr="00C23F0B">
        <w:t xml:space="preserve">Por consiguiente, la Oficina entiende que las administraciones notificantes, cuando presenten, entre otros, el punto 3 del Anexo 2 a la Resolución </w:t>
      </w:r>
      <w:r w:rsidRPr="00C23F0B">
        <w:rPr>
          <w:b/>
        </w:rPr>
        <w:t>[7(A)-NGSO-MILESTONES] (CMR-19)</w:t>
      </w:r>
      <w:r w:rsidRPr="00C23F0B">
        <w:t xml:space="preserve"> con arreglo a lo dispuesto en el </w:t>
      </w:r>
      <w:r w:rsidRPr="00C23F0B">
        <w:rPr>
          <w:i/>
          <w:iCs/>
        </w:rPr>
        <w:t xml:space="preserve">resuelve </w:t>
      </w:r>
      <w:r w:rsidRPr="00C23F0B">
        <w:t>11 de esta Resolución, deberán informar sobre el estado de la coordinación y sobre los esfuerzos realizados en la coordinación con los sistemas o redes de satélites identificados en virtud de las disposiciones pertinentes de la Sección II del Artículo </w:t>
      </w:r>
      <w:r w:rsidRPr="00C23F0B">
        <w:rPr>
          <w:b/>
          <w:bCs/>
        </w:rPr>
        <w:t>9</w:t>
      </w:r>
      <w:r w:rsidRPr="00C23F0B">
        <w:t xml:space="preserve"> del RR.</w:t>
      </w:r>
    </w:p>
    <w:p w14:paraId="03F3DF11" w14:textId="77777777" w:rsidR="00A06ADC" w:rsidRPr="00C23F0B" w:rsidRDefault="00A06ADC" w:rsidP="00A06ADC">
      <w:r w:rsidRPr="00C23F0B">
        <w:t xml:space="preserve">Las administraciones notificantes también pueden incluir en este punto 3 información sobre actividades de coordinación con sistemas o redes de satélites notificadas ulteriormente de los que tengan conocimiento, que la Oficina entiende que benefician a una administración que solicite la aplicación del </w:t>
      </w:r>
      <w:r w:rsidRPr="00C23F0B">
        <w:rPr>
          <w:i/>
          <w:iCs/>
        </w:rPr>
        <w:t>resuelve</w:t>
      </w:r>
      <w:r w:rsidRPr="00C23F0B">
        <w:t> 11. La Oficina señala que es materialmente imposible para una administración incluir información relativa a casos en los que la administración solicitante no ha iniciado contactos a fin de iniciar debates técnicos y de funcionamiento antes de la presentación de la petición de informe en virtud del punto 3.</w:t>
      </w:r>
    </w:p>
    <w:p w14:paraId="3DC12F78" w14:textId="37A9A84F" w:rsidR="00A06ADC" w:rsidRPr="00C23F0B" w:rsidRDefault="00A06ADC" w:rsidP="00A06ADC">
      <w:r w:rsidRPr="00C23F0B">
        <w:t xml:space="preserve">La Oficina entiende finalmente que, al adoptar el </w:t>
      </w:r>
      <w:r w:rsidRPr="00C23F0B">
        <w:rPr>
          <w:i/>
          <w:iCs/>
        </w:rPr>
        <w:t>resuelve</w:t>
      </w:r>
      <w:r w:rsidRPr="00C23F0B">
        <w:t xml:space="preserve"> 11 y el Anexo 2 a la Resolución </w:t>
      </w:r>
      <w:r w:rsidRPr="00C23F0B">
        <w:rPr>
          <w:b/>
        </w:rPr>
        <w:t>[7(A)</w:t>
      </w:r>
      <w:r w:rsidRPr="00C23F0B">
        <w:rPr>
          <w:b/>
        </w:rPr>
        <w:noBreakHyphen/>
        <w:t>NGSO-MILESTONES] (CMR-19)</w:t>
      </w:r>
      <w:r w:rsidRPr="00C23F0B">
        <w:t xml:space="preserve">, la CMR-19 decidió establecer un proceso transparente que está abierto a comentarios: cualquier administración que esté en desacuerdo con el contenido del informe facilitado en virtud del punto 3 del Anexo 2 a esta Resolución tendrá la oportunidad de presentar su punto de vista a la Junta del Reglamento de Radiocomunicaciones y la administración que ha presentado el informe tendrá la oportunidad de facilitar aclaraciones sobre la materia. La RRB tendrá en cuenta esta información cuando aplique el </w:t>
      </w:r>
      <w:r w:rsidRPr="00C23F0B">
        <w:rPr>
          <w:i/>
          <w:iCs/>
        </w:rPr>
        <w:t>resuelve</w:t>
      </w:r>
      <w:r w:rsidRPr="00C23F0B">
        <w:t> 11</w:t>
      </w:r>
      <w:r w:rsidRPr="00C23F0B">
        <w:rPr>
          <w:i/>
        </w:rPr>
        <w:t>b)</w:t>
      </w:r>
      <w:r w:rsidRPr="00C23F0B">
        <w:t xml:space="preserve"> de esta Resolución</w:t>
      </w:r>
      <w:r w:rsidR="008E7DB0" w:rsidRPr="00C23F0B">
        <w:t>»</w:t>
      </w:r>
      <w:r w:rsidR="00EE27D6" w:rsidRPr="00C23F0B">
        <w:t>.</w:t>
      </w:r>
    </w:p>
    <w:p w14:paraId="76BA0703" w14:textId="42E327F4" w:rsidR="008E7DB0" w:rsidRPr="00C23F0B" w:rsidRDefault="008E7DB0" w:rsidP="008E7DB0">
      <w:r w:rsidRPr="00C23F0B">
        <w:t>10.3</w:t>
      </w:r>
      <w:r w:rsidRPr="00C23F0B">
        <w:tab/>
      </w:r>
      <w:bookmarkStart w:id="51" w:name="lt_pId431"/>
      <w:r w:rsidR="001A318A" w:rsidRPr="00C23F0B">
        <w:t xml:space="preserve">Así se </w:t>
      </w:r>
      <w:r w:rsidR="001A318A" w:rsidRPr="00C23F0B">
        <w:rPr>
          <w:b/>
          <w:bCs/>
        </w:rPr>
        <w:t>acuerda</w:t>
      </w:r>
      <w:r w:rsidRPr="00C23F0B">
        <w:t>.</w:t>
      </w:r>
      <w:bookmarkEnd w:id="51"/>
    </w:p>
    <w:p w14:paraId="59ABF4ED" w14:textId="69164B53" w:rsidR="008E7DB0" w:rsidRPr="00C23F0B" w:rsidRDefault="008E7DB0" w:rsidP="008E7DB0">
      <w:r w:rsidRPr="00C23F0B">
        <w:t>10.4</w:t>
      </w:r>
      <w:r w:rsidRPr="00C23F0B">
        <w:tab/>
      </w:r>
      <w:bookmarkStart w:id="52" w:name="lt_pId433"/>
      <w:r w:rsidR="00E95AD9" w:rsidRPr="00C23F0B">
        <w:t xml:space="preserve">Se </w:t>
      </w:r>
      <w:r w:rsidR="00E95AD9" w:rsidRPr="00C23F0B">
        <w:rPr>
          <w:b/>
          <w:bCs/>
        </w:rPr>
        <w:t>aprueba</w:t>
      </w:r>
      <w:r w:rsidR="00E95AD9" w:rsidRPr="00C23F0B">
        <w:t xml:space="preserve"> el Documento</w:t>
      </w:r>
      <w:r w:rsidRPr="00C23F0B">
        <w:t xml:space="preserve"> 499.</w:t>
      </w:r>
      <w:bookmarkEnd w:id="52"/>
    </w:p>
    <w:p w14:paraId="7B41E512" w14:textId="7E2D49E4" w:rsidR="00B22BF1" w:rsidRPr="00C23F0B" w:rsidRDefault="008E7DB0" w:rsidP="0044541C">
      <w:r w:rsidRPr="00C23F0B">
        <w:lastRenderedPageBreak/>
        <w:t>10.5</w:t>
      </w:r>
      <w:r w:rsidRPr="00C23F0B">
        <w:tab/>
      </w:r>
      <w:bookmarkStart w:id="53" w:name="lt_pId435"/>
      <w:r w:rsidR="005B6446" w:rsidRPr="00A7609F">
        <w:t xml:space="preserve">El </w:t>
      </w:r>
      <w:r w:rsidR="005B6446" w:rsidRPr="00A7609F">
        <w:rPr>
          <w:b/>
          <w:bCs/>
        </w:rPr>
        <w:t>Presidente</w:t>
      </w:r>
      <w:r w:rsidR="005B6446" w:rsidRPr="00A7609F">
        <w:t xml:space="preserve"> invita a los participantes a </w:t>
      </w:r>
      <w:r w:rsidR="005B6446">
        <w:t xml:space="preserve">examinar </w:t>
      </w:r>
      <w:r w:rsidR="005B6446" w:rsidRPr="00A7609F">
        <w:t xml:space="preserve">el Documento </w:t>
      </w:r>
      <w:r w:rsidR="005B6446">
        <w:t>500</w:t>
      </w:r>
      <w:r w:rsidR="005B6446" w:rsidRPr="00A7609F">
        <w:t>, cuya aprobación fue aplazada ante</w:t>
      </w:r>
      <w:r w:rsidR="005B6446">
        <w:t>riormente</w:t>
      </w:r>
      <w:r w:rsidR="005B6446" w:rsidRPr="00A7609F">
        <w:t xml:space="preserve"> </w:t>
      </w:r>
      <w:r w:rsidR="005B6446">
        <w:t xml:space="preserve">en </w:t>
      </w:r>
      <w:r w:rsidR="005B6446" w:rsidRPr="00A7609F">
        <w:t xml:space="preserve">la reunión. </w:t>
      </w:r>
      <w:r w:rsidR="005B6446">
        <w:t>Se p</w:t>
      </w:r>
      <w:r w:rsidR="005B6446" w:rsidRPr="00A7609F">
        <w:t xml:space="preserve">ropone que se apruebe el siguiente texto, </w:t>
      </w:r>
      <w:r w:rsidR="005B6446">
        <w:t xml:space="preserve">contenido </w:t>
      </w:r>
      <w:r w:rsidR="005B6446" w:rsidRPr="00A7609F">
        <w:t xml:space="preserve">en </w:t>
      </w:r>
      <w:r w:rsidR="005B6446">
        <w:t xml:space="preserve">dicho </w:t>
      </w:r>
      <w:r w:rsidR="005B6446" w:rsidRPr="00A7609F">
        <w:t xml:space="preserve">documento, y que se incluya en </w:t>
      </w:r>
      <w:r w:rsidR="005B6446">
        <w:t xml:space="preserve">las </w:t>
      </w:r>
      <w:r w:rsidR="005B6446" w:rsidRPr="00A7609F">
        <w:t>acta</w:t>
      </w:r>
      <w:r w:rsidR="005B6446">
        <w:t>s</w:t>
      </w:r>
      <w:r w:rsidR="005B6446" w:rsidRPr="00A7609F">
        <w:t xml:space="preserve"> de la </w:t>
      </w:r>
      <w:r w:rsidR="005B6446">
        <w:t>S</w:t>
      </w:r>
      <w:r w:rsidR="005B6446" w:rsidRPr="00A7609F">
        <w:t xml:space="preserve">esión </w:t>
      </w:r>
      <w:r w:rsidR="005B6446">
        <w:t>P</w:t>
      </w:r>
      <w:r w:rsidR="005B6446" w:rsidRPr="00A7609F">
        <w:t xml:space="preserve">lenaria </w:t>
      </w:r>
      <w:r w:rsidR="005B6446">
        <w:t xml:space="preserve">a modo de </w:t>
      </w:r>
      <w:r w:rsidR="005B6446" w:rsidRPr="00A7609F">
        <w:t xml:space="preserve">decisión de la </w:t>
      </w:r>
      <w:r w:rsidR="005B6446">
        <w:t>C</w:t>
      </w:r>
      <w:r w:rsidR="005B6446" w:rsidRPr="00A7609F">
        <w:t>onferencia</w:t>
      </w:r>
      <w:bookmarkStart w:id="54" w:name="lt_pId436"/>
      <w:bookmarkEnd w:id="53"/>
      <w:r w:rsidRPr="00C23F0B">
        <w:t>:</w:t>
      </w:r>
      <w:bookmarkEnd w:id="54"/>
    </w:p>
    <w:p w14:paraId="2E277AC4" w14:textId="77777777" w:rsidR="008E7DB0" w:rsidRPr="00C23F0B" w:rsidRDefault="008E7DB0" w:rsidP="008E7DB0">
      <w:r w:rsidRPr="00C23F0B">
        <w:t>«1</w:t>
      </w:r>
      <w:r w:rsidRPr="00C23F0B">
        <w:tab/>
        <w:t xml:space="preserve">La CMR-19 ha adoptado un nuevo enfoque basado en objetivos intermedios para el despliegue de los sistemas de satélites no geoestacionarios en bandas y servicios específicos. La CMR-19 indica al Director de la Oficina de Radiocomunicaciones que, con el enfoque por objetivos, la CMR-19 no promueve la utilización rutinaria del número </w:t>
      </w:r>
      <w:r w:rsidRPr="00C23F0B">
        <w:rPr>
          <w:b/>
          <w:bCs/>
        </w:rPr>
        <w:t>13.6</w:t>
      </w:r>
      <w:r w:rsidRPr="00C23F0B">
        <w:t xml:space="preserve"> del Reglamento de Radiocomunicaciones cuando no se disponga de información fiable, con el objeto de recabar la confirmación del despliegue del número de satélites en los planos orbitales notificados para los sistemas de satélites de órbita no geoestacionaria en las bandas de frecuencias y los servicios no enumerados en el </w:t>
      </w:r>
      <w:r w:rsidRPr="00C23F0B">
        <w:rPr>
          <w:i/>
          <w:iCs/>
        </w:rPr>
        <w:t>resuelve</w:t>
      </w:r>
      <w:r w:rsidRPr="00C23F0B">
        <w:t> 1 de la nueva Resolución.</w:t>
      </w:r>
    </w:p>
    <w:p w14:paraId="3B9D6F3F" w14:textId="77777777" w:rsidR="008E7DB0" w:rsidRPr="00C23F0B" w:rsidRDefault="008E7DB0" w:rsidP="008E7DB0">
      <w:r w:rsidRPr="00C23F0B">
        <w:t>2</w:t>
      </w:r>
      <w:r w:rsidRPr="00C23F0B">
        <w:tab/>
        <w:t>La CMR-19 invita al UIT-R a estudiar, con carácter de urgencia, las tolerancias de determinadas características orbitales de las estaciones espaciales no OSG de los servicios fijo por satélite, móvil por satélite o de radiodifusión por satélite a fin de tener en cuenta las posibles diferencias entre las características orbitales notificadas y desplegadas respecto de la inclinación del plano orbital, la altitud del apogeo de la estación espacial, la altitud del perigeo de la estación espacial y el argumento del perigeo del plano orbital.</w:t>
      </w:r>
    </w:p>
    <w:p w14:paraId="21C186A6" w14:textId="77777777" w:rsidR="008E7DB0" w:rsidRPr="00C23F0B" w:rsidRDefault="008E7DB0" w:rsidP="008E7DB0">
      <w:r w:rsidRPr="00C23F0B">
        <w:t>3</w:t>
      </w:r>
      <w:r w:rsidRPr="00C23F0B">
        <w:tab/>
        <w:t xml:space="preserve">La CMR-19 invita al UIT-R a estudiar, con carácter urgente, la posible elaboración de un procedimiento para después de cada objetivo intermedio, teniendo en cuenta la información definida en el § 18 de la Resolución </w:t>
      </w:r>
      <w:r w:rsidRPr="00C23F0B">
        <w:rPr>
          <w:b/>
          <w:bCs/>
        </w:rPr>
        <w:t>[7(A)-NGSO-MILESTONES]</w:t>
      </w:r>
      <w:r w:rsidRPr="00C23F0B">
        <w:t>.</w:t>
      </w:r>
    </w:p>
    <w:p w14:paraId="0AD1F076" w14:textId="48514791" w:rsidR="00B22BF1" w:rsidRPr="00C23F0B" w:rsidRDefault="008E7DB0" w:rsidP="0044541C">
      <w:r w:rsidRPr="00C23F0B">
        <w:t>Además, la CMR-19 encarga a la Oficina que, al aplicar las disposiciones pertinentes del RR (por ejemplo, el número </w:t>
      </w:r>
      <w:r w:rsidRPr="00C23F0B">
        <w:rPr>
          <w:b/>
          <w:bCs/>
        </w:rPr>
        <w:t>11.44C.2</w:t>
      </w:r>
      <w:r w:rsidRPr="00C23F0B">
        <w:t xml:space="preserve"> o el </w:t>
      </w:r>
      <w:r w:rsidRPr="00C23F0B">
        <w:rPr>
          <w:i/>
          <w:iCs/>
        </w:rPr>
        <w:t>resuelve</w:t>
      </w:r>
      <w:r w:rsidRPr="00C23F0B">
        <w:t> 9</w:t>
      </w:r>
      <w:r w:rsidRPr="00C23F0B">
        <w:rPr>
          <w:i/>
          <w:iCs/>
        </w:rPr>
        <w:t>d)</w:t>
      </w:r>
      <w:r w:rsidRPr="00C23F0B">
        <w:t xml:space="preserve"> de la Resolución </w:t>
      </w:r>
      <w:r w:rsidRPr="00C23F0B">
        <w:rPr>
          <w:b/>
          <w:bCs/>
        </w:rPr>
        <w:t>[7(A)</w:t>
      </w:r>
      <w:r w:rsidRPr="00C23F0B">
        <w:rPr>
          <w:b/>
          <w:bCs/>
        </w:rPr>
        <w:noBreakHyphen/>
        <w:t>NGSO</w:t>
      </w:r>
      <w:r w:rsidRPr="00C23F0B">
        <w:rPr>
          <w:b/>
          <w:bCs/>
        </w:rPr>
        <w:noBreakHyphen/>
        <w:t>MILESTONES]</w:t>
      </w:r>
      <w:r w:rsidRPr="00C23F0B">
        <w:t>), actúe con la máxima cautela hasta que el UIT-R concluya los estudios sobre tolerancias»</w:t>
      </w:r>
      <w:r w:rsidR="00EE27D6">
        <w:t>.</w:t>
      </w:r>
    </w:p>
    <w:p w14:paraId="1045FBF1" w14:textId="257FE400" w:rsidR="008E7DB0" w:rsidRPr="00C23F0B" w:rsidRDefault="008E7DB0" w:rsidP="008E7DB0">
      <w:r w:rsidRPr="00C23F0B">
        <w:t>10.6</w:t>
      </w:r>
      <w:r w:rsidRPr="00C23F0B">
        <w:tab/>
      </w:r>
      <w:bookmarkStart w:id="55" w:name="lt_pId446"/>
      <w:r w:rsidR="001A318A" w:rsidRPr="00C23F0B">
        <w:t xml:space="preserve">Así se </w:t>
      </w:r>
      <w:r w:rsidR="001A318A" w:rsidRPr="00C23F0B">
        <w:rPr>
          <w:b/>
          <w:bCs/>
        </w:rPr>
        <w:t>acuerda</w:t>
      </w:r>
      <w:r w:rsidRPr="00C23F0B">
        <w:t>.</w:t>
      </w:r>
      <w:bookmarkEnd w:id="55"/>
    </w:p>
    <w:p w14:paraId="67DF0738" w14:textId="0322D251" w:rsidR="008E7DB0" w:rsidRPr="00C23F0B" w:rsidRDefault="008E7DB0" w:rsidP="008E7DB0">
      <w:r w:rsidRPr="00C23F0B">
        <w:t>10.7</w:t>
      </w:r>
      <w:r w:rsidRPr="00C23F0B">
        <w:tab/>
      </w:r>
      <w:bookmarkStart w:id="56" w:name="lt_pId448"/>
      <w:r w:rsidR="00E95AD9" w:rsidRPr="00C23F0B">
        <w:t xml:space="preserve">Se </w:t>
      </w:r>
      <w:r w:rsidR="00E95AD9" w:rsidRPr="00C23F0B">
        <w:rPr>
          <w:b/>
          <w:bCs/>
        </w:rPr>
        <w:t>aprueba</w:t>
      </w:r>
      <w:r w:rsidR="00E95AD9" w:rsidRPr="00C23F0B">
        <w:t xml:space="preserve"> el Documento</w:t>
      </w:r>
      <w:r w:rsidRPr="00C23F0B">
        <w:t xml:space="preserve"> 500.</w:t>
      </w:r>
      <w:bookmarkEnd w:id="56"/>
    </w:p>
    <w:p w14:paraId="727F4999" w14:textId="727F5A11" w:rsidR="00A769AE" w:rsidRPr="00C23F0B" w:rsidRDefault="00A769AE" w:rsidP="00A769AE">
      <w:pPr>
        <w:pStyle w:val="Heading1"/>
      </w:pPr>
      <w:bookmarkStart w:id="57" w:name="lt_pId455"/>
      <w:r w:rsidRPr="00C23F0B">
        <w:t>11</w:t>
      </w:r>
      <w:r w:rsidRPr="00C23F0B">
        <w:tab/>
        <w:t>Cuadragésima quinta serie de textos sometidos por la Comisión de Redacción en primera lectura (B45) (Documento 507)</w:t>
      </w:r>
    </w:p>
    <w:p w14:paraId="183758F0" w14:textId="7D73779E" w:rsidR="00A769AE" w:rsidRPr="00C23F0B" w:rsidRDefault="00A769AE" w:rsidP="00A769AE">
      <w:r w:rsidRPr="00C23F0B">
        <w:t>11.1</w:t>
      </w:r>
      <w:r w:rsidRPr="00C23F0B">
        <w:tab/>
        <w:t xml:space="preserve">El </w:t>
      </w:r>
      <w:r w:rsidRPr="00C23F0B">
        <w:rPr>
          <w:b/>
          <w:bCs/>
        </w:rPr>
        <w:t>Presidente de la Comisión de Redacción</w:t>
      </w:r>
      <w:r w:rsidRPr="00C23F0B">
        <w:t xml:space="preserve"> presenta el Documento 507.</w:t>
      </w:r>
    </w:p>
    <w:p w14:paraId="1E5BA776" w14:textId="69090A19" w:rsidR="00A769AE" w:rsidRPr="00C23F0B" w:rsidRDefault="00A769AE" w:rsidP="00A769AE">
      <w:r w:rsidRPr="00C23F0B">
        <w:t>11.2</w:t>
      </w:r>
      <w:r w:rsidRPr="00C23F0B">
        <w:tab/>
        <w:t xml:space="preserve">El </w:t>
      </w:r>
      <w:r w:rsidRPr="00C23F0B">
        <w:rPr>
          <w:b/>
          <w:bCs/>
        </w:rPr>
        <w:t>Presidente</w:t>
      </w:r>
      <w:r w:rsidRPr="00C23F0B">
        <w:t xml:space="preserve"> invita a la reunión a examinar el Documento 507.</w:t>
      </w:r>
    </w:p>
    <w:p w14:paraId="4F19C8B5" w14:textId="5E78CA98" w:rsidR="008E7DB0" w:rsidRPr="00C23F0B" w:rsidRDefault="008E7DB0" w:rsidP="00A769AE">
      <w:pPr>
        <w:pStyle w:val="Headingb"/>
      </w:pPr>
      <w:r w:rsidRPr="00C23F0B">
        <w:t>Ap</w:t>
      </w:r>
      <w:r w:rsidR="00A769AE" w:rsidRPr="00C23F0B">
        <w:t>é</w:t>
      </w:r>
      <w:r w:rsidRPr="00C23F0B">
        <w:t>ndi</w:t>
      </w:r>
      <w:r w:rsidR="00A769AE" w:rsidRPr="00C23F0B">
        <w:t>ce</w:t>
      </w:r>
      <w:r w:rsidRPr="00C23F0B">
        <w:t xml:space="preserve"> 30B (MOD Art</w:t>
      </w:r>
      <w:r w:rsidR="00A769AE" w:rsidRPr="00C23F0B">
        <w:t>í</w:t>
      </w:r>
      <w:r w:rsidRPr="00C23F0B">
        <w:t>c</w:t>
      </w:r>
      <w:r w:rsidR="00A769AE" w:rsidRPr="00C23F0B">
        <w:t>u</w:t>
      </w:r>
      <w:r w:rsidRPr="00C23F0B">
        <w:t>l</w:t>
      </w:r>
      <w:r w:rsidR="00A769AE" w:rsidRPr="00C23F0B">
        <w:t>o</w:t>
      </w:r>
      <w:r w:rsidRPr="00C23F0B">
        <w:t xml:space="preserve"> 6)</w:t>
      </w:r>
      <w:bookmarkEnd w:id="57"/>
    </w:p>
    <w:p w14:paraId="2B35A065" w14:textId="2C262F54" w:rsidR="008E7DB0" w:rsidRPr="00C23F0B" w:rsidRDefault="008E7DB0" w:rsidP="008E7DB0">
      <w:r w:rsidRPr="00C23F0B">
        <w:t>11.3</w:t>
      </w:r>
      <w:r w:rsidRPr="00C23F0B">
        <w:tab/>
      </w:r>
      <w:bookmarkStart w:id="58" w:name="lt_pId457"/>
      <w:r w:rsidR="001A318A" w:rsidRPr="00C23F0B">
        <w:rPr>
          <w:b/>
          <w:bCs/>
        </w:rPr>
        <w:t>Aprobado</w:t>
      </w:r>
      <w:r w:rsidRPr="00C23F0B">
        <w:t>.</w:t>
      </w:r>
      <w:bookmarkEnd w:id="58"/>
    </w:p>
    <w:p w14:paraId="07868B2F" w14:textId="4B1E8CBE" w:rsidR="00B22BF1" w:rsidRPr="00C23F0B" w:rsidRDefault="008E7DB0" w:rsidP="00A769AE">
      <w:pPr>
        <w:pStyle w:val="Headingb"/>
      </w:pPr>
      <w:r w:rsidRPr="00C23F0B">
        <w:t>ADD Resolu</w:t>
      </w:r>
      <w:r w:rsidR="00A769AE" w:rsidRPr="00C23F0B">
        <w:t>c</w:t>
      </w:r>
      <w:r w:rsidRPr="00C23F0B">
        <w:t>i</w:t>
      </w:r>
      <w:r w:rsidR="00A769AE" w:rsidRPr="00C23F0B">
        <w:t>ó</w:t>
      </w:r>
      <w:r w:rsidRPr="00C23F0B">
        <w:t>n COM5/8 (C</w:t>
      </w:r>
      <w:r w:rsidR="00A769AE" w:rsidRPr="00C23F0B">
        <w:t>MR</w:t>
      </w:r>
      <w:r w:rsidRPr="00C23F0B">
        <w:t>-19) –</w:t>
      </w:r>
      <w:r w:rsidR="00A769AE" w:rsidRPr="00C23F0B">
        <w:t xml:space="preserve"> Medidas adicionales para redes de satélites del servicio fijo por satélite en bandas de frecuencias sujetas al Apéndice 30B para la mejora del acceso equitativo a estas bandas de frecuencias</w:t>
      </w:r>
    </w:p>
    <w:p w14:paraId="68FD1933" w14:textId="35219329" w:rsidR="00434D98" w:rsidRDefault="00434D98" w:rsidP="00434D98">
      <w:bookmarkStart w:id="59" w:name="lt_pId468"/>
      <w:r>
        <w:t>11.4</w:t>
      </w:r>
      <w:r>
        <w:tab/>
        <w:t xml:space="preserve">El </w:t>
      </w:r>
      <w:r w:rsidRPr="00434D98">
        <w:rPr>
          <w:b/>
          <w:bCs/>
        </w:rPr>
        <w:t>delegado de la República de Corea</w:t>
      </w:r>
      <w:r>
        <w:t xml:space="preserve"> propone que, para utilizar de manera coherente la terminología, se sustituya la palabra </w:t>
      </w:r>
      <w:r w:rsidR="000921C1">
        <w:t>«</w:t>
      </w:r>
      <w:r>
        <w:t>administración</w:t>
      </w:r>
      <w:r w:rsidR="000921C1">
        <w:t>»</w:t>
      </w:r>
      <w:r>
        <w:t xml:space="preserve"> en el párrafo 2) del Apéndice 1 </w:t>
      </w:r>
      <w:r w:rsidR="00E30A11">
        <w:t>a</w:t>
      </w:r>
      <w:r>
        <w:t>l A</w:t>
      </w:r>
      <w:r w:rsidR="00E30A11">
        <w:t>djunto</w:t>
      </w:r>
      <w:r w:rsidR="00491A9D">
        <w:t> </w:t>
      </w:r>
      <w:r>
        <w:t xml:space="preserve">1 por </w:t>
      </w:r>
      <w:r w:rsidR="00491A9D">
        <w:t>«</w:t>
      </w:r>
      <w:r>
        <w:t>asignación</w:t>
      </w:r>
      <w:r w:rsidR="00491A9D">
        <w:t>»</w:t>
      </w:r>
      <w:r>
        <w:t>.</w:t>
      </w:r>
    </w:p>
    <w:p w14:paraId="50BCA220" w14:textId="64175B64" w:rsidR="00434D98" w:rsidRDefault="00434D98" w:rsidP="00434D98">
      <w:r>
        <w:t>11.5</w:t>
      </w:r>
      <w:r w:rsidR="00CF3153">
        <w:tab/>
      </w:r>
      <w:r>
        <w:t xml:space="preserve">El </w:t>
      </w:r>
      <w:r w:rsidRPr="00CF3153">
        <w:rPr>
          <w:b/>
          <w:bCs/>
        </w:rPr>
        <w:t>delegado de la República Islámica del Irán</w:t>
      </w:r>
      <w:r>
        <w:t xml:space="preserve">, </w:t>
      </w:r>
      <w:r w:rsidR="00CF3153">
        <w:t xml:space="preserve">con el apoyo </w:t>
      </w:r>
      <w:r>
        <w:t xml:space="preserve">el </w:t>
      </w:r>
      <w:r w:rsidRPr="00CF3153">
        <w:rPr>
          <w:b/>
          <w:bCs/>
        </w:rPr>
        <w:t>delegado de Egipto</w:t>
      </w:r>
      <w:r>
        <w:t xml:space="preserve"> </w:t>
      </w:r>
      <w:r w:rsidR="00CF3153">
        <w:t xml:space="preserve">en calidad de </w:t>
      </w:r>
      <w:r>
        <w:t xml:space="preserve">Presidente del Grupo de Trabajo 5B, </w:t>
      </w:r>
      <w:r w:rsidR="00CF3153">
        <w:t xml:space="preserve">declara </w:t>
      </w:r>
      <w:r>
        <w:t xml:space="preserve">que </w:t>
      </w:r>
      <w:r w:rsidR="00CF3153">
        <w:t xml:space="preserve">es </w:t>
      </w:r>
      <w:r>
        <w:t xml:space="preserve">habitual referirse en el Reglamento de Radiocomunicaciones a una </w:t>
      </w:r>
      <w:r w:rsidR="000921C1">
        <w:t>«</w:t>
      </w:r>
      <w:r>
        <w:t>administración afectada</w:t>
      </w:r>
      <w:r w:rsidR="000921C1">
        <w:t>»</w:t>
      </w:r>
      <w:r>
        <w:t xml:space="preserve"> y que el texto deb</w:t>
      </w:r>
      <w:r w:rsidR="00CF3153">
        <w:t>e</w:t>
      </w:r>
      <w:r>
        <w:t xml:space="preserve"> </w:t>
      </w:r>
      <w:r w:rsidR="00CF3153">
        <w:t>dejarse como está</w:t>
      </w:r>
      <w:r>
        <w:t xml:space="preserve">. Los comentarios del delegado de la República de Corea </w:t>
      </w:r>
      <w:r w:rsidR="00CF3153">
        <w:t xml:space="preserve">pueden hacerse constar en </w:t>
      </w:r>
      <w:r>
        <w:t>acta.</w:t>
      </w:r>
    </w:p>
    <w:p w14:paraId="6FA49557" w14:textId="5AB94702" w:rsidR="00434D98" w:rsidRDefault="00434D98" w:rsidP="00434D98">
      <w:r>
        <w:lastRenderedPageBreak/>
        <w:t>11.6</w:t>
      </w:r>
      <w:r w:rsidR="00CF3153">
        <w:tab/>
      </w:r>
      <w:r>
        <w:t xml:space="preserve">El </w:t>
      </w:r>
      <w:r w:rsidRPr="00CF3153">
        <w:rPr>
          <w:b/>
          <w:bCs/>
        </w:rPr>
        <w:t>representante de la BR</w:t>
      </w:r>
      <w:r>
        <w:t xml:space="preserve"> </w:t>
      </w:r>
      <w:r w:rsidR="00CF3153">
        <w:t xml:space="preserve">declara </w:t>
      </w:r>
      <w:r>
        <w:t>que la modificación propuesta no tendría repercusiones en la aplicación de la disposición por la Oficina. Señal</w:t>
      </w:r>
      <w:r w:rsidR="00FF7BA0">
        <w:t>a</w:t>
      </w:r>
      <w:r>
        <w:t xml:space="preserve"> que no </w:t>
      </w:r>
      <w:r w:rsidR="00FF7BA0">
        <w:t xml:space="preserve">hay </w:t>
      </w:r>
      <w:r>
        <w:t>ninguna contradicción entre la interpretación del delegado de la República de Corea y lo acordado en la Comisión.</w:t>
      </w:r>
    </w:p>
    <w:p w14:paraId="18022424" w14:textId="10E5FDC8" w:rsidR="00434D98" w:rsidRDefault="00434D98" w:rsidP="00434D98">
      <w:r>
        <w:t>11.7</w:t>
      </w:r>
      <w:r w:rsidR="00FF7BA0">
        <w:tab/>
      </w:r>
      <w:r>
        <w:t xml:space="preserve">El </w:t>
      </w:r>
      <w:r w:rsidRPr="00E30A11">
        <w:rPr>
          <w:b/>
          <w:bCs/>
        </w:rPr>
        <w:t>Presidente</w:t>
      </w:r>
      <w:r>
        <w:t xml:space="preserve"> consider</w:t>
      </w:r>
      <w:r w:rsidR="00FF7BA0">
        <w:t>a</w:t>
      </w:r>
      <w:r>
        <w:t xml:space="preserve"> que la Plenaria desea mantener el texto sin cambios y toma nota de </w:t>
      </w:r>
      <w:r w:rsidR="00FF7BA0">
        <w:t xml:space="preserve">las observaciones formuladas por </w:t>
      </w:r>
      <w:r>
        <w:t>el delegado de la República de Corea.</w:t>
      </w:r>
    </w:p>
    <w:bookmarkEnd w:id="59"/>
    <w:p w14:paraId="41363700" w14:textId="4D845D08" w:rsidR="008E7DB0" w:rsidRPr="00C23F0B" w:rsidRDefault="008E7DB0" w:rsidP="008E7DB0">
      <w:r w:rsidRPr="00C23F0B">
        <w:t>11.8</w:t>
      </w:r>
      <w:r w:rsidRPr="00C23F0B">
        <w:tab/>
      </w:r>
      <w:bookmarkStart w:id="60" w:name="lt_pId470"/>
      <w:r w:rsidR="001A318A" w:rsidRPr="00C23F0B">
        <w:t xml:space="preserve">Así se </w:t>
      </w:r>
      <w:r w:rsidR="001A318A" w:rsidRPr="00C23F0B">
        <w:rPr>
          <w:b/>
          <w:bCs/>
        </w:rPr>
        <w:t>acuerda</w:t>
      </w:r>
      <w:r w:rsidRPr="00C23F0B">
        <w:t>.</w:t>
      </w:r>
      <w:bookmarkEnd w:id="60"/>
    </w:p>
    <w:p w14:paraId="57E8E1F3" w14:textId="65CBFA5B" w:rsidR="008E7DB0" w:rsidRPr="00C23F0B" w:rsidRDefault="008E7DB0" w:rsidP="008E7DB0">
      <w:r w:rsidRPr="00C23F0B">
        <w:t>11.9</w:t>
      </w:r>
      <w:r w:rsidRPr="00C23F0B">
        <w:tab/>
      </w:r>
      <w:bookmarkStart w:id="61" w:name="lt_pId472"/>
      <w:r w:rsidR="00FF7BA0" w:rsidRPr="00C23F0B">
        <w:t xml:space="preserve">Se </w:t>
      </w:r>
      <w:r w:rsidR="00FF7BA0" w:rsidRPr="00C23F0B">
        <w:rPr>
          <w:b/>
          <w:bCs/>
        </w:rPr>
        <w:t>aprueba</w:t>
      </w:r>
      <w:r w:rsidR="00FF7BA0" w:rsidRPr="00C23F0B">
        <w:t xml:space="preserve"> la </w:t>
      </w:r>
      <w:r w:rsidRPr="00C23F0B">
        <w:t xml:space="preserve">ADD </w:t>
      </w:r>
      <w:r w:rsidR="00FF7BA0">
        <w:t xml:space="preserve">Resolución </w:t>
      </w:r>
      <w:r w:rsidRPr="00C23F0B">
        <w:t>COM5/8 (</w:t>
      </w:r>
      <w:r w:rsidR="00FF7BA0">
        <w:t>CMR</w:t>
      </w:r>
      <w:r w:rsidRPr="00C23F0B">
        <w:t>-19).</w:t>
      </w:r>
      <w:bookmarkEnd w:id="61"/>
    </w:p>
    <w:p w14:paraId="62F9B51C" w14:textId="6B5C015C" w:rsidR="00A769AE" w:rsidRPr="00C23F0B" w:rsidRDefault="00A769AE" w:rsidP="00A769AE">
      <w:pPr>
        <w:rPr>
          <w:b/>
          <w:bCs/>
        </w:rPr>
      </w:pPr>
      <w:r w:rsidRPr="00C23F0B">
        <w:t>11.10</w:t>
      </w:r>
      <w:r w:rsidRPr="00C23F0B">
        <w:tab/>
        <w:t xml:space="preserve">Se </w:t>
      </w:r>
      <w:r w:rsidRPr="00C23F0B">
        <w:rPr>
          <w:b/>
          <w:bCs/>
        </w:rPr>
        <w:t>aprueba</w:t>
      </w:r>
      <w:r w:rsidRPr="00C23F0B">
        <w:t xml:space="preserve"> la cuadragésima quinta serie de textos presentada por la Comisión de Redacción en primera lectura (B45) (Documento 507).</w:t>
      </w:r>
    </w:p>
    <w:p w14:paraId="197268E8" w14:textId="1E9B7D97" w:rsidR="00A769AE" w:rsidRPr="00C23F0B" w:rsidRDefault="00A769AE" w:rsidP="00A769AE">
      <w:pPr>
        <w:pStyle w:val="Heading1"/>
      </w:pPr>
      <w:r w:rsidRPr="00C23F0B">
        <w:t>12</w:t>
      </w:r>
      <w:r w:rsidRPr="00C23F0B">
        <w:tab/>
        <w:t>Cuadragésima quinta serie de textos sometidos por la Comisión de Redacción (B45) – segunda lectura (Documentos 507 y 509)</w:t>
      </w:r>
    </w:p>
    <w:p w14:paraId="552F3F02" w14:textId="3F63AC52" w:rsidR="00A769AE" w:rsidRPr="00C23F0B" w:rsidRDefault="00A769AE" w:rsidP="00A769AE">
      <w:r w:rsidRPr="00C23F0B">
        <w:t>12.1</w:t>
      </w:r>
      <w:r w:rsidRPr="00C23F0B">
        <w:tab/>
        <w:t xml:space="preserve">Se </w:t>
      </w:r>
      <w:r w:rsidRPr="00C23F0B">
        <w:rPr>
          <w:b/>
          <w:bCs/>
        </w:rPr>
        <w:t xml:space="preserve">aprueba </w:t>
      </w:r>
      <w:r w:rsidRPr="00C23F0B">
        <w:t>en segunda lectura</w:t>
      </w:r>
      <w:r w:rsidRPr="00C23F0B">
        <w:rPr>
          <w:b/>
          <w:bCs/>
        </w:rPr>
        <w:t xml:space="preserve"> </w:t>
      </w:r>
      <w:r w:rsidRPr="00C23F0B">
        <w:t>la cuadragésima quinta serie de textos sometidos por la Comisión de Redacción (B45) (Documento 507).</w:t>
      </w:r>
    </w:p>
    <w:p w14:paraId="51E97A36" w14:textId="6E1E77C7" w:rsidR="00B22BF1" w:rsidRPr="00C23F0B" w:rsidRDefault="008E7DB0" w:rsidP="0044541C">
      <w:r w:rsidRPr="00C23F0B">
        <w:t>12.2</w:t>
      </w:r>
      <w:r w:rsidRPr="00C23F0B">
        <w:tab/>
      </w:r>
      <w:bookmarkStart w:id="62" w:name="lt_pId480"/>
      <w:r w:rsidR="00FF7BA0" w:rsidRPr="00A7609F">
        <w:t xml:space="preserve">El </w:t>
      </w:r>
      <w:r w:rsidR="00FF7BA0" w:rsidRPr="00A7609F">
        <w:rPr>
          <w:b/>
          <w:bCs/>
        </w:rPr>
        <w:t>Presidente</w:t>
      </w:r>
      <w:r w:rsidR="00FF7BA0" w:rsidRPr="00A7609F">
        <w:t xml:space="preserve"> invita a los participantes a </w:t>
      </w:r>
      <w:r w:rsidR="00FF7BA0">
        <w:t xml:space="preserve">examinar </w:t>
      </w:r>
      <w:r w:rsidR="00FF7BA0" w:rsidRPr="00A7609F">
        <w:t xml:space="preserve">el Documento </w:t>
      </w:r>
      <w:r w:rsidR="00FF7BA0">
        <w:t>509</w:t>
      </w:r>
      <w:r w:rsidR="00FF7BA0" w:rsidRPr="00A7609F">
        <w:t>, cuya aprobación fue aplazada ante</w:t>
      </w:r>
      <w:r w:rsidR="00FF7BA0">
        <w:t>riormente</w:t>
      </w:r>
      <w:r w:rsidR="00FF7BA0" w:rsidRPr="00A7609F">
        <w:t xml:space="preserve"> </w:t>
      </w:r>
      <w:r w:rsidR="00FF7BA0">
        <w:t xml:space="preserve">en </w:t>
      </w:r>
      <w:r w:rsidR="00FF7BA0" w:rsidRPr="00A7609F">
        <w:t xml:space="preserve">la reunión. </w:t>
      </w:r>
      <w:r w:rsidR="00FF7BA0">
        <w:t>Se p</w:t>
      </w:r>
      <w:r w:rsidR="00FF7BA0" w:rsidRPr="00A7609F">
        <w:t xml:space="preserve">ropone que se apruebe el siguiente texto, </w:t>
      </w:r>
      <w:r w:rsidR="00FF7BA0">
        <w:t xml:space="preserve">contenido </w:t>
      </w:r>
      <w:r w:rsidR="00FF7BA0" w:rsidRPr="00A7609F">
        <w:t xml:space="preserve">en </w:t>
      </w:r>
      <w:r w:rsidR="00FF7BA0">
        <w:t xml:space="preserve">dicho </w:t>
      </w:r>
      <w:r w:rsidR="00FF7BA0" w:rsidRPr="00A7609F">
        <w:t xml:space="preserve">documento, y que se incluya en </w:t>
      </w:r>
      <w:r w:rsidR="00FF7BA0">
        <w:t xml:space="preserve">las </w:t>
      </w:r>
      <w:r w:rsidR="00FF7BA0" w:rsidRPr="00A7609F">
        <w:t>acta</w:t>
      </w:r>
      <w:r w:rsidR="00FF7BA0">
        <w:t>s</w:t>
      </w:r>
      <w:r w:rsidR="00FF7BA0" w:rsidRPr="00A7609F">
        <w:t xml:space="preserve"> de la </w:t>
      </w:r>
      <w:r w:rsidR="00FF7BA0">
        <w:t>S</w:t>
      </w:r>
      <w:r w:rsidR="00FF7BA0" w:rsidRPr="00A7609F">
        <w:t xml:space="preserve">esión </w:t>
      </w:r>
      <w:r w:rsidR="00FF7BA0">
        <w:t>P</w:t>
      </w:r>
      <w:r w:rsidR="00FF7BA0" w:rsidRPr="00A7609F">
        <w:t xml:space="preserve">lenaria </w:t>
      </w:r>
      <w:r w:rsidR="00FF7BA0">
        <w:t xml:space="preserve">a modo de </w:t>
      </w:r>
      <w:r w:rsidR="00FF7BA0" w:rsidRPr="00A7609F">
        <w:t xml:space="preserve">decisión de la </w:t>
      </w:r>
      <w:r w:rsidR="00FF7BA0">
        <w:t>C</w:t>
      </w:r>
      <w:r w:rsidR="00FF7BA0" w:rsidRPr="00A7609F">
        <w:t>onferencia</w:t>
      </w:r>
      <w:bookmarkStart w:id="63" w:name="lt_pId481"/>
      <w:bookmarkEnd w:id="62"/>
      <w:r w:rsidRPr="00C23F0B">
        <w:t>:</w:t>
      </w:r>
      <w:bookmarkEnd w:id="63"/>
    </w:p>
    <w:p w14:paraId="3F69135E" w14:textId="52A59843" w:rsidR="008E7DB0" w:rsidRPr="00C23F0B" w:rsidRDefault="008E7DB0" w:rsidP="008E7DB0">
      <w:pPr>
        <w:pStyle w:val="Title4"/>
      </w:pPr>
      <w:r w:rsidRPr="00C23F0B">
        <w:t>«Instrucciones a la Oficina de Radiocomunicaciones al aplicar</w:t>
      </w:r>
      <w:r w:rsidRPr="00C23F0B">
        <w:br/>
        <w:t>la Resolución [A7(E)-AP30B] (CMR-19)</w:t>
      </w:r>
    </w:p>
    <w:p w14:paraId="3D18E2C0" w14:textId="61D97BAA" w:rsidR="008E7DB0" w:rsidRPr="00C23F0B" w:rsidRDefault="008E7DB0" w:rsidP="008E7DB0">
      <w:pPr>
        <w:pStyle w:val="Heading1"/>
      </w:pPr>
      <w:r w:rsidRPr="00C23F0B">
        <w:t>1</w:t>
      </w:r>
      <w:r w:rsidRPr="00C23F0B">
        <w:tab/>
        <w:t>Aplicación del § 2 del Adjunto a la Resolución [A7(E)-AP30B] (CMR</w:t>
      </w:r>
      <w:r w:rsidR="00E30A11">
        <w:noBreakHyphen/>
      </w:r>
      <w:r w:rsidRPr="00C23F0B">
        <w:t>19) para la modificación en el marco del § 6.1 del Apéndice 30B de una comunicación previamente enviada a la Oficina en virtud del § 6.1 del Apéndice 30B</w:t>
      </w:r>
    </w:p>
    <w:p w14:paraId="7EBFC546" w14:textId="68BA050F" w:rsidR="008E7DB0" w:rsidRPr="00C23F0B" w:rsidRDefault="008E7DB0" w:rsidP="00775DC2">
      <w:r w:rsidRPr="00C23F0B">
        <w:t xml:space="preserve">Cuando, al aplicar el § 2 del Adjunto a la Resolución </w:t>
      </w:r>
      <w:r w:rsidRPr="00C23F0B">
        <w:rPr>
          <w:b/>
          <w:bCs/>
        </w:rPr>
        <w:t>[A7(E)-AP30B] (CMR-19)</w:t>
      </w:r>
      <w:r w:rsidRPr="00C23F0B">
        <w:t xml:space="preserve"> una </w:t>
      </w:r>
      <w:r w:rsidR="00E55A92">
        <w:t>a</w:t>
      </w:r>
      <w:r w:rsidRPr="00C23F0B">
        <w:t>dministración pretenda modificar una comunicación previamente enviada a la Oficina en virtud del §</w:t>
      </w:r>
      <w:r w:rsidR="00E55A92">
        <w:t> </w:t>
      </w:r>
      <w:r w:rsidRPr="00C23F0B">
        <w:t xml:space="preserve">6.1 del Apéndice </w:t>
      </w:r>
      <w:r w:rsidRPr="00C23F0B">
        <w:rPr>
          <w:b/>
        </w:rPr>
        <w:t xml:space="preserve">30B </w:t>
      </w:r>
      <w:r w:rsidRPr="00C23F0B">
        <w:rPr>
          <w:bCs/>
        </w:rPr>
        <w:t>del RR</w:t>
      </w:r>
      <w:r w:rsidRPr="00C23F0B">
        <w:t xml:space="preserve">, para volver a presentar esta comunicación en virtud del § 6.1 del Apéndice </w:t>
      </w:r>
      <w:r w:rsidRPr="00C23F0B">
        <w:rPr>
          <w:b/>
        </w:rPr>
        <w:t>30B</w:t>
      </w:r>
      <w:r w:rsidRPr="00C23F0B">
        <w:t xml:space="preserve"> del RR mediante el procedimiento especial descrito en el Adjunto a la Resolución </w:t>
      </w:r>
      <w:r w:rsidRPr="00C23F0B">
        <w:rPr>
          <w:b/>
          <w:bCs/>
        </w:rPr>
        <w:t>[A7(E)-AP30B]</w:t>
      </w:r>
      <w:r w:rsidRPr="00C23F0B">
        <w:t xml:space="preserve"> </w:t>
      </w:r>
      <w:r w:rsidRPr="00C23F0B">
        <w:rPr>
          <w:b/>
        </w:rPr>
        <w:t>(CMR-19)</w:t>
      </w:r>
      <w:r w:rsidRPr="00C23F0B">
        <w:t xml:space="preserve">, la Oficina comprobará si la elipse mínima presentada siguiendo este procedimiento se encuentra dentro de los márgenes de la comunicación inicial en virtud del § 6.1 del Apéndice </w:t>
      </w:r>
      <w:r w:rsidRPr="00C23F0B">
        <w:rPr>
          <w:b/>
        </w:rPr>
        <w:t>30B</w:t>
      </w:r>
      <w:r w:rsidRPr="00C23F0B">
        <w:rPr>
          <w:bCs/>
        </w:rPr>
        <w:t>.</w:t>
      </w:r>
      <w:r w:rsidRPr="00C23F0B">
        <w:rPr>
          <w:b/>
        </w:rPr>
        <w:t xml:space="preserve"> </w:t>
      </w:r>
      <w:r w:rsidRPr="00C23F0B">
        <w:rPr>
          <w:bCs/>
        </w:rPr>
        <w:t>En dicho caso, la Oficina</w:t>
      </w:r>
      <w:r w:rsidRPr="00C23F0B">
        <w:t xml:space="preserve"> mantendrá la fecha de recepción inicial de la comunicación inicial con arreglo al § 6.1 del Apéndice </w:t>
      </w:r>
      <w:r w:rsidRPr="00C23F0B">
        <w:rPr>
          <w:b/>
        </w:rPr>
        <w:t>30B</w:t>
      </w:r>
      <w:r w:rsidRPr="00C23F0B">
        <w:rPr>
          <w:bCs/>
        </w:rPr>
        <w:t xml:space="preserve">, volverá a iniciar el examen de compatibilidad con la notificación existente y publicará una nueva Sección Especial. </w:t>
      </w:r>
      <w:r w:rsidRPr="00C23F0B">
        <w:t>En otro caso, la Oficina comunicará una nueva fecha de recepción que será la fecha de recepción de la solicitud de aplicación de este procedimiento.</w:t>
      </w:r>
    </w:p>
    <w:p w14:paraId="1E00135B" w14:textId="53BB592E" w:rsidR="008E7DB0" w:rsidRPr="00C23F0B" w:rsidRDefault="008E7DB0" w:rsidP="008E7DB0">
      <w:pPr>
        <w:pStyle w:val="Heading1"/>
      </w:pPr>
      <w:r w:rsidRPr="00C23F0B">
        <w:t>2</w:t>
      </w:r>
      <w:r w:rsidRPr="00C23F0B">
        <w:tab/>
        <w:t>Aplicación del § 2 del Adjunto a la Resolución [A7(E)-AP30B] (CMR</w:t>
      </w:r>
      <w:r w:rsidR="00E30A11">
        <w:noBreakHyphen/>
      </w:r>
      <w:r w:rsidRPr="00C23F0B">
        <w:t>19) para la notificación directa con arreglo al § 6.17 del Apéndice 30B de una comunicación previamente enviada a la Oficina en virtud del § 6.1 del Apéndice 30B</w:t>
      </w:r>
    </w:p>
    <w:p w14:paraId="03F34688" w14:textId="24BBB0E7" w:rsidR="008E7DB0" w:rsidRPr="00C23F0B" w:rsidRDefault="008E7DB0" w:rsidP="00E30A11">
      <w:pPr>
        <w:pStyle w:val="enumlev1"/>
        <w:keepNext/>
      </w:pPr>
      <w:r w:rsidRPr="00C23F0B">
        <w:t>a)</w:t>
      </w:r>
      <w:r w:rsidRPr="00C23F0B">
        <w:tab/>
        <w:t>Presentación de una elipse conforme al § 6.17 del Apéndice 30B</w:t>
      </w:r>
    </w:p>
    <w:p w14:paraId="26E572ED" w14:textId="7D80CB92" w:rsidR="008E7DB0" w:rsidRPr="000921C1" w:rsidRDefault="008E7DB0" w:rsidP="008E7DB0">
      <w:pPr>
        <w:pStyle w:val="enumlev1"/>
      </w:pPr>
      <w:r w:rsidRPr="00C23F0B">
        <w:lastRenderedPageBreak/>
        <w:tab/>
        <w:t xml:space="preserve">Cuando, al aplicar el § 2 del Adjunto a la Resolución </w:t>
      </w:r>
      <w:r w:rsidRPr="00C23F0B">
        <w:rPr>
          <w:b/>
          <w:bCs/>
        </w:rPr>
        <w:t>[A7(E)-AP30B] (CMR-19)</w:t>
      </w:r>
      <w:r w:rsidRPr="00C23F0B">
        <w:t xml:space="preserve"> una administración pretenda una notificación directa en virtud del § 6.17 del Apéndice </w:t>
      </w:r>
      <w:r w:rsidRPr="00C23F0B">
        <w:rPr>
          <w:b/>
        </w:rPr>
        <w:t>30B</w:t>
      </w:r>
      <w:r w:rsidRPr="00C23F0B">
        <w:t xml:space="preserve"> del RR aplicando el procedimiento especial descrito en el Adjunto a la Resolución </w:t>
      </w:r>
      <w:r w:rsidRPr="00C23F0B">
        <w:rPr>
          <w:b/>
          <w:bCs/>
        </w:rPr>
        <w:t xml:space="preserve">[A7(E)-AP30B] </w:t>
      </w:r>
      <w:r w:rsidRPr="00C23F0B">
        <w:rPr>
          <w:b/>
        </w:rPr>
        <w:t>(</w:t>
      </w:r>
      <w:r w:rsidR="000921C1">
        <w:rPr>
          <w:b/>
        </w:rPr>
        <w:t>CMR</w:t>
      </w:r>
      <w:r w:rsidRPr="00C23F0B">
        <w:rPr>
          <w:b/>
        </w:rPr>
        <w:t>-19)</w:t>
      </w:r>
      <w:r w:rsidRPr="00C23F0B">
        <w:t xml:space="preserve"> a una comunicación previamente enviada a la Oficina en virtud del § 6.1 del Apéndice </w:t>
      </w:r>
      <w:r w:rsidRPr="00C23F0B">
        <w:rPr>
          <w:b/>
        </w:rPr>
        <w:t>30B</w:t>
      </w:r>
      <w:r w:rsidRPr="00C23F0B">
        <w:rPr>
          <w:bCs/>
        </w:rPr>
        <w:t>,</w:t>
      </w:r>
      <w:r w:rsidRPr="00C23F0B">
        <w:t xml:space="preserve"> la Oficina comprobará si la elipse mínima presentada siguiendo este procedimiento se encuentra dentro de los márgenes de la comunicación inicial con arreglo al § 6.1 del Apéndice </w:t>
      </w:r>
      <w:r w:rsidRPr="00C23F0B">
        <w:rPr>
          <w:b/>
        </w:rPr>
        <w:t>30B</w:t>
      </w:r>
      <w:r w:rsidRPr="00C23F0B">
        <w:rPr>
          <w:bCs/>
        </w:rPr>
        <w:t>.</w:t>
      </w:r>
      <w:r w:rsidRPr="00C23F0B">
        <w:rPr>
          <w:b/>
        </w:rPr>
        <w:t xml:space="preserve"> </w:t>
      </w:r>
      <w:r w:rsidRPr="00C23F0B">
        <w:rPr>
          <w:bCs/>
        </w:rPr>
        <w:t>En dicho caso, la Oficina</w:t>
      </w:r>
      <w:r w:rsidRPr="00C23F0B">
        <w:t xml:space="preserve"> mantendrá la fecha de recepción inicial de la comunicación inicial en virtud del § 6.1 del Apéndice</w:t>
      </w:r>
      <w:r w:rsidR="00E55A92">
        <w:t> </w:t>
      </w:r>
      <w:r w:rsidRPr="00C23F0B">
        <w:rPr>
          <w:b/>
        </w:rPr>
        <w:t>30B</w:t>
      </w:r>
      <w:r w:rsidRPr="00C23F0B">
        <w:t xml:space="preserve"> y llevará a cabo el examen con arreglo al § 6.17 del Apéndice </w:t>
      </w:r>
      <w:r w:rsidRPr="00C23F0B">
        <w:rPr>
          <w:b/>
        </w:rPr>
        <w:t>30B</w:t>
      </w:r>
      <w:r w:rsidRPr="00C23F0B">
        <w:t xml:space="preserve"> basándose en esta elipse mínima. En otro caso, la Oficina devolverá la notificación a la administración.</w:t>
      </w:r>
    </w:p>
    <w:p w14:paraId="4B76A552" w14:textId="4F7E4C7C" w:rsidR="008E7DB0" w:rsidRPr="00E30A11" w:rsidRDefault="008E7DB0" w:rsidP="008E7DB0">
      <w:pPr>
        <w:pStyle w:val="enumlev1"/>
      </w:pPr>
      <w:r w:rsidRPr="00E30A11">
        <w:t>b)</w:t>
      </w:r>
      <w:r w:rsidRPr="00E30A11">
        <w:tab/>
        <w:t>Presentación de un haz conformado en virtud del § 6.17 del Apéndice 30B</w:t>
      </w:r>
    </w:p>
    <w:p w14:paraId="21B10F9C" w14:textId="510E93BA" w:rsidR="008E7DB0" w:rsidRPr="00C23F0B" w:rsidRDefault="008E7DB0" w:rsidP="008E7DB0">
      <w:pPr>
        <w:pStyle w:val="enumlev1"/>
      </w:pPr>
      <w:r w:rsidRPr="00C23F0B">
        <w:tab/>
        <w:t xml:space="preserve">Cuando, al aplicar el § 2 del Adjunto a la Resolución </w:t>
      </w:r>
      <w:r w:rsidRPr="00C23F0B">
        <w:rPr>
          <w:b/>
          <w:bCs/>
        </w:rPr>
        <w:t>[A7(E)-AP30B] (CMR</w:t>
      </w:r>
      <w:r w:rsidRPr="00C23F0B">
        <w:rPr>
          <w:b/>
          <w:bCs/>
        </w:rPr>
        <w:noBreakHyphen/>
        <w:t>19)</w:t>
      </w:r>
      <w:r w:rsidRPr="00C23F0B">
        <w:t xml:space="preserve"> una administración pretenda una notificación directa en virtud del § 6.17 del Apéndice </w:t>
      </w:r>
      <w:r w:rsidRPr="00C23F0B">
        <w:rPr>
          <w:b/>
        </w:rPr>
        <w:t>30B</w:t>
      </w:r>
      <w:r w:rsidRPr="00C23F0B">
        <w:t xml:space="preserve"> del RR aplicando el procedimiento especial descrito en el Adjunto a la Resolución </w:t>
      </w:r>
      <w:r w:rsidRPr="00C23F0B">
        <w:rPr>
          <w:b/>
          <w:bCs/>
        </w:rPr>
        <w:t xml:space="preserve">[A7(E)-AP30B] </w:t>
      </w:r>
      <w:r w:rsidRPr="00C23F0B">
        <w:rPr>
          <w:b/>
        </w:rPr>
        <w:t>(</w:t>
      </w:r>
      <w:r w:rsidR="000921C1">
        <w:rPr>
          <w:b/>
        </w:rPr>
        <w:t>CMR</w:t>
      </w:r>
      <w:r w:rsidRPr="00C23F0B">
        <w:rPr>
          <w:b/>
        </w:rPr>
        <w:t>-19)</w:t>
      </w:r>
      <w:r w:rsidRPr="00C23F0B">
        <w:t xml:space="preserve"> a una comunicación previamente enviada a la Oficina en virtud del § 6.1 del Apéndice </w:t>
      </w:r>
      <w:r w:rsidRPr="00C23F0B">
        <w:rPr>
          <w:b/>
        </w:rPr>
        <w:t>30B</w:t>
      </w:r>
      <w:r w:rsidRPr="00C23F0B">
        <w:rPr>
          <w:bCs/>
        </w:rPr>
        <w:t>,</w:t>
      </w:r>
      <w:r w:rsidRPr="00C23F0B">
        <w:t xml:space="preserve"> la Oficina comprobará si el haz conformado presentado siguiendo este procedimiento se encuentra dentro de los márgenes de la elipse mínima generada por la Oficina, teniendo en cuenta los puntos de prueba correspondientes, y dentro de los márgenes de la comunicación inicial con arreglo al § 6.1 del Apéndice </w:t>
      </w:r>
      <w:r w:rsidRPr="00C23F0B">
        <w:rPr>
          <w:b/>
        </w:rPr>
        <w:t>30B</w:t>
      </w:r>
      <w:r w:rsidRPr="00C23F0B">
        <w:rPr>
          <w:bCs/>
        </w:rPr>
        <w:t>.</w:t>
      </w:r>
      <w:r w:rsidRPr="00C23F0B">
        <w:rPr>
          <w:b/>
        </w:rPr>
        <w:t xml:space="preserve"> </w:t>
      </w:r>
      <w:r w:rsidRPr="00C23F0B">
        <w:rPr>
          <w:bCs/>
        </w:rPr>
        <w:t>En dicho caso, la Oficina</w:t>
      </w:r>
      <w:r w:rsidRPr="00C23F0B">
        <w:t xml:space="preserve"> mantendrá la fecha de recepción inicial de la comunicación inicial en virtud del § 6.1 del Apéndice </w:t>
      </w:r>
      <w:r w:rsidRPr="00C23F0B">
        <w:rPr>
          <w:b/>
        </w:rPr>
        <w:t>30B</w:t>
      </w:r>
      <w:r w:rsidRPr="00C23F0B">
        <w:t xml:space="preserve"> y llevará a cabo el examen con arreglo al § 6.17 del Apéndice </w:t>
      </w:r>
      <w:r w:rsidRPr="00C23F0B">
        <w:rPr>
          <w:b/>
        </w:rPr>
        <w:t>30B</w:t>
      </w:r>
      <w:r w:rsidRPr="00C23F0B">
        <w:t xml:space="preserve"> basándose en esta elipse mínima. En otro caso, la Oficina devolverá la notificación a la administración.</w:t>
      </w:r>
    </w:p>
    <w:p w14:paraId="20B09ED4" w14:textId="77777777" w:rsidR="008E7DB0" w:rsidRPr="00C23F0B" w:rsidRDefault="008E7DB0" w:rsidP="008E7DB0">
      <w:pPr>
        <w:pStyle w:val="Heading1"/>
      </w:pPr>
      <w:r w:rsidRPr="00C23F0B">
        <w:t>3</w:t>
      </w:r>
      <w:r w:rsidRPr="00C23F0B">
        <w:tab/>
        <w:t>Haz creado cuando una administración que actúa en nombre de un grupo de administraciones designadas presenta un sistema adicional</w:t>
      </w:r>
    </w:p>
    <w:p w14:paraId="32C9E59C" w14:textId="3B48FE39" w:rsidR="008E7DB0" w:rsidRPr="00C23F0B" w:rsidRDefault="008E7DB0" w:rsidP="00775DC2">
      <w:r w:rsidRPr="00C23F0B">
        <w:t>En el caso de la presentación de un sistema adicional por una administración que actúa en nombre de un grupo de administraciones designadas, el haz de la presentación está formado por la combinación de todas las elipses mínimas individuales asociadas a cada una de las administraciones del grupo:</w:t>
      </w:r>
    </w:p>
    <w:p w14:paraId="067A6D2A" w14:textId="1265F32F" w:rsidR="008E7DB0" w:rsidRPr="00C23F0B" w:rsidRDefault="008E7DB0" w:rsidP="00775DC2">
      <w:pPr>
        <w:pStyle w:val="enumlev1"/>
      </w:pPr>
      <w:r w:rsidRPr="00C23F0B">
        <w:t>–</w:t>
      </w:r>
      <w:r w:rsidRPr="00C23F0B">
        <w:tab/>
        <w:t>Si todas las elipses mínimas individuales se superponen entre sí, el haz s</w:t>
      </w:r>
      <w:r w:rsidR="00E55A92">
        <w:t>ó</w:t>
      </w:r>
      <w:r w:rsidRPr="00C23F0B">
        <w:t>lo contiene la zona de cobertura formada por el contorno de la combinación de todas las elipses mínimas individuales.</w:t>
      </w:r>
    </w:p>
    <w:p w14:paraId="21BA8F6B" w14:textId="561FB481" w:rsidR="008E7DB0" w:rsidRPr="00C23F0B" w:rsidRDefault="008E7DB0" w:rsidP="00775DC2">
      <w:pPr>
        <w:pStyle w:val="enumlev1"/>
      </w:pPr>
      <w:r w:rsidRPr="00C23F0B">
        <w:t>–</w:t>
      </w:r>
      <w:r w:rsidRPr="00C23F0B">
        <w:tab/>
        <w:t xml:space="preserve">Si no todas las elipses mínimas individuales se superponen entre sí, el haz consta de múltiples haces puntuales derivados de las elipses que no se superponen y cada haz puntual está formado </w:t>
      </w:r>
      <w:r w:rsidR="00E55A92">
        <w:t xml:space="preserve">por </w:t>
      </w:r>
      <w:r w:rsidRPr="00C23F0B">
        <w:t>el contorno formado por la combinación de las elipses mínimas individuales que se superponen entre sí.</w:t>
      </w:r>
    </w:p>
    <w:p w14:paraId="0D1CC754" w14:textId="77777777" w:rsidR="008E7DB0" w:rsidRPr="00C23F0B" w:rsidRDefault="008E7DB0" w:rsidP="008E7DB0">
      <w:pPr>
        <w:pStyle w:val="Heading1"/>
      </w:pPr>
      <w:r w:rsidRPr="00C23F0B">
        <w:t>4</w:t>
      </w:r>
      <w:r w:rsidRPr="00C23F0B">
        <w:tab/>
        <w:t>Aplicación del § 12 del Adjunto a la Resolución [A7(E)-AP30B] (CMR</w:t>
      </w:r>
      <w:r w:rsidRPr="00C23F0B">
        <w:noBreakHyphen/>
        <w:t>19) cuando no existe colaboración por parte de la administración notificante de la red existente</w:t>
      </w:r>
    </w:p>
    <w:p w14:paraId="4649A9FD" w14:textId="5EC0C69D" w:rsidR="00B22BF1" w:rsidRPr="00C23F0B" w:rsidRDefault="008E7DB0" w:rsidP="00775DC2">
      <w:r w:rsidRPr="00C23F0B">
        <w:t xml:space="preserve">Cuando, en aplicación del § 12 del Adjunto a la Resolución </w:t>
      </w:r>
      <w:r w:rsidRPr="00C23F0B">
        <w:rPr>
          <w:b/>
          <w:bCs/>
        </w:rPr>
        <w:t>[A7(E)-AP30B] (CMR</w:t>
      </w:r>
      <w:r w:rsidRPr="00C23F0B">
        <w:rPr>
          <w:b/>
          <w:bCs/>
        </w:rPr>
        <w:noBreakHyphen/>
        <w:t>19)</w:t>
      </w:r>
      <w:r w:rsidRPr="00C23F0B">
        <w:t xml:space="preserve">, la Oficina no reciba la confirmación por parte de la administración notificante de la red entrante de que la colaboración entre las dos administraciones se ha iniciado adecuadamente, la administración notificante podrá solicitar la ayuda de la Oficina. La Oficina enviará inmediatamente un telefax a la administración notificante de la red existente solicitándole la entrega, en un plazo de 30 días, de las </w:t>
      </w:r>
      <w:r w:rsidRPr="00C23F0B">
        <w:lastRenderedPageBreak/>
        <w:t>condiciones para que los responsables de la operación verifiquen la interferencia perjudicial y la propuesta de fecha de aplicación de esas condiciones, en un plazo máximo de cuatro meses, para la aplicación del § 12 de la Resolución [</w:t>
      </w:r>
      <w:r w:rsidRPr="00C23F0B">
        <w:rPr>
          <w:b/>
          <w:bCs/>
        </w:rPr>
        <w:t>A7(E)-AP30B</w:t>
      </w:r>
      <w:r w:rsidRPr="00C23F0B">
        <w:t>]. En caso de no recibir dicha información, la Oficina enviará inmediatamente un recordatorio concediendo 15 días adicionales para la respuesta. De no recibirse el acuse de recibo en esos 15 días, se considerará que la administración notificante de la red existente, que no ha iniciado la colaboración, entiende que no se formulará queja alguna con respecto a las interferencias perjudiciales que afecten a sus propias asignaciones y que pudieran ser causadas por la asignación de la administración notificante de la red entrante para la que solicitó la coordinación</w:t>
      </w:r>
      <w:r w:rsidR="000921C1">
        <w:t>».</w:t>
      </w:r>
    </w:p>
    <w:p w14:paraId="14EACC0F" w14:textId="7C73FFA2" w:rsidR="008E7DB0" w:rsidRPr="00C23F0B" w:rsidRDefault="008E7DB0" w:rsidP="008E7DB0">
      <w:r w:rsidRPr="00C23F0B">
        <w:t>12.3</w:t>
      </w:r>
      <w:r w:rsidRPr="00C23F0B">
        <w:tab/>
      </w:r>
      <w:bookmarkStart w:id="64" w:name="lt_pId515"/>
      <w:r w:rsidR="001A318A" w:rsidRPr="00C23F0B">
        <w:t xml:space="preserve">Así se </w:t>
      </w:r>
      <w:r w:rsidR="001A318A" w:rsidRPr="00C23F0B">
        <w:rPr>
          <w:b/>
          <w:bCs/>
        </w:rPr>
        <w:t>acuerda</w:t>
      </w:r>
      <w:r w:rsidRPr="00C23F0B">
        <w:t>.</w:t>
      </w:r>
      <w:bookmarkEnd w:id="64"/>
    </w:p>
    <w:p w14:paraId="0EA326D5" w14:textId="0515AD5C" w:rsidR="008E7DB0" w:rsidRPr="00C23F0B" w:rsidRDefault="008E7DB0" w:rsidP="008E7DB0">
      <w:r w:rsidRPr="00C23F0B">
        <w:t>12.4</w:t>
      </w:r>
      <w:r w:rsidRPr="00C23F0B">
        <w:tab/>
      </w:r>
      <w:bookmarkStart w:id="65" w:name="lt_pId517"/>
      <w:r w:rsidR="00E95AD9" w:rsidRPr="00C23F0B">
        <w:t xml:space="preserve">Se </w:t>
      </w:r>
      <w:r w:rsidR="00E95AD9" w:rsidRPr="00C23F0B">
        <w:rPr>
          <w:b/>
          <w:bCs/>
        </w:rPr>
        <w:t>aprueba</w:t>
      </w:r>
      <w:r w:rsidR="00E95AD9" w:rsidRPr="00C23F0B">
        <w:t xml:space="preserve"> el Documento</w:t>
      </w:r>
      <w:r w:rsidRPr="00C23F0B">
        <w:t xml:space="preserve"> 509.</w:t>
      </w:r>
      <w:bookmarkEnd w:id="65"/>
    </w:p>
    <w:p w14:paraId="35182EEA" w14:textId="22F8C9CA" w:rsidR="00A769AE" w:rsidRPr="00C23F0B" w:rsidRDefault="00A769AE" w:rsidP="00A769AE">
      <w:pPr>
        <w:pStyle w:val="Heading1"/>
      </w:pPr>
      <w:bookmarkStart w:id="66" w:name="lt_pId524"/>
      <w:r w:rsidRPr="00C23F0B">
        <w:t>13</w:t>
      </w:r>
      <w:r w:rsidRPr="00C23F0B">
        <w:tab/>
        <w:t>Cuadragésima sexta serie de textos sometidos por la Comisión de Redacción en primera lectura (B46) (Documentos 508 y 510)</w:t>
      </w:r>
    </w:p>
    <w:p w14:paraId="7BCC8B57" w14:textId="734EF2D9" w:rsidR="00A769AE" w:rsidRPr="00C23F0B" w:rsidRDefault="00A769AE" w:rsidP="00A769AE">
      <w:r w:rsidRPr="00C23F0B">
        <w:t>13.1</w:t>
      </w:r>
      <w:r w:rsidRPr="00C23F0B">
        <w:tab/>
        <w:t xml:space="preserve">El </w:t>
      </w:r>
      <w:r w:rsidRPr="00C23F0B">
        <w:rPr>
          <w:b/>
          <w:bCs/>
        </w:rPr>
        <w:t>Presidente de la Comisión de Redacción</w:t>
      </w:r>
      <w:r w:rsidRPr="00C23F0B">
        <w:t xml:space="preserve"> presenta el Documento 508.</w:t>
      </w:r>
    </w:p>
    <w:p w14:paraId="710A7B9E" w14:textId="1D267092" w:rsidR="00A769AE" w:rsidRPr="00C23F0B" w:rsidRDefault="00A769AE" w:rsidP="00A769AE">
      <w:r w:rsidRPr="00C23F0B">
        <w:t>13.2</w:t>
      </w:r>
      <w:r w:rsidRPr="00C23F0B">
        <w:tab/>
        <w:t xml:space="preserve">El </w:t>
      </w:r>
      <w:r w:rsidRPr="00C23F0B">
        <w:rPr>
          <w:b/>
          <w:bCs/>
        </w:rPr>
        <w:t>Presidente</w:t>
      </w:r>
      <w:r w:rsidRPr="00C23F0B">
        <w:t xml:space="preserve"> invita a la reunión a examinar el Documento 508.</w:t>
      </w:r>
    </w:p>
    <w:p w14:paraId="23977CC8" w14:textId="6C135CA7" w:rsidR="008E7DB0" w:rsidRPr="00491A9D" w:rsidRDefault="008E7DB0" w:rsidP="00491A9D">
      <w:pPr>
        <w:pStyle w:val="Headingb"/>
        <w:rPr>
          <w:lang w:val="es-ES"/>
        </w:rPr>
      </w:pPr>
      <w:r w:rsidRPr="00491A9D">
        <w:rPr>
          <w:lang w:val="es-ES"/>
        </w:rPr>
        <w:t>Ap</w:t>
      </w:r>
      <w:r w:rsidR="00A769AE" w:rsidRPr="00491A9D">
        <w:rPr>
          <w:lang w:val="es-ES"/>
        </w:rPr>
        <w:t>é</w:t>
      </w:r>
      <w:r w:rsidRPr="00491A9D">
        <w:rPr>
          <w:lang w:val="es-ES"/>
        </w:rPr>
        <w:t>ndi</w:t>
      </w:r>
      <w:r w:rsidR="00A769AE" w:rsidRPr="00491A9D">
        <w:rPr>
          <w:lang w:val="es-ES"/>
        </w:rPr>
        <w:t>ce</w:t>
      </w:r>
      <w:r w:rsidRPr="00491A9D">
        <w:rPr>
          <w:lang w:val="es-ES"/>
        </w:rPr>
        <w:t xml:space="preserve"> 30B (MOD Anex</w:t>
      </w:r>
      <w:r w:rsidR="00A769AE" w:rsidRPr="00491A9D">
        <w:rPr>
          <w:lang w:val="es-ES"/>
        </w:rPr>
        <w:t>o</w:t>
      </w:r>
      <w:r w:rsidRPr="00491A9D">
        <w:rPr>
          <w:lang w:val="es-ES"/>
        </w:rPr>
        <w:t xml:space="preserve"> 3, MOD Anex</w:t>
      </w:r>
      <w:r w:rsidR="00A769AE" w:rsidRPr="00491A9D">
        <w:rPr>
          <w:lang w:val="es-ES"/>
        </w:rPr>
        <w:t>o</w:t>
      </w:r>
      <w:r w:rsidRPr="00491A9D">
        <w:rPr>
          <w:lang w:val="es-ES"/>
        </w:rPr>
        <w:t xml:space="preserve"> 4)</w:t>
      </w:r>
      <w:bookmarkEnd w:id="66"/>
    </w:p>
    <w:p w14:paraId="059AD578" w14:textId="20BB0461" w:rsidR="008E7DB0" w:rsidRPr="00C23F0B" w:rsidRDefault="008E7DB0" w:rsidP="008E7DB0">
      <w:r w:rsidRPr="00C23F0B">
        <w:t>13.3</w:t>
      </w:r>
      <w:r w:rsidRPr="00C23F0B">
        <w:tab/>
      </w:r>
      <w:bookmarkStart w:id="67" w:name="lt_pId526"/>
      <w:r w:rsidR="001A318A" w:rsidRPr="00C23F0B">
        <w:rPr>
          <w:b/>
          <w:bCs/>
        </w:rPr>
        <w:t>Aprobado</w:t>
      </w:r>
      <w:r w:rsidRPr="00C23F0B">
        <w:t>.</w:t>
      </w:r>
      <w:bookmarkEnd w:id="67"/>
    </w:p>
    <w:p w14:paraId="1FFC1F65" w14:textId="620ECE3D" w:rsidR="008E7DB0" w:rsidRPr="00C23F0B" w:rsidRDefault="008E7DB0" w:rsidP="008E7DB0">
      <w:r w:rsidRPr="00C23F0B">
        <w:t>13.4</w:t>
      </w:r>
      <w:r w:rsidRPr="00C23F0B">
        <w:tab/>
      </w:r>
      <w:bookmarkStart w:id="68" w:name="lt_pId528"/>
      <w:r w:rsidR="00FE0A36" w:rsidRPr="00FE0A36">
        <w:t>Tras un comentario de</w:t>
      </w:r>
      <w:r w:rsidR="000921C1">
        <w:t xml:space="preserve"> </w:t>
      </w:r>
      <w:r w:rsidR="00FE0A36" w:rsidRPr="00FE0A36">
        <w:t>l</w:t>
      </w:r>
      <w:r w:rsidR="000921C1">
        <w:t>a</w:t>
      </w:r>
      <w:r w:rsidR="00FE0A36" w:rsidRPr="00FE0A36">
        <w:t xml:space="preserve"> </w:t>
      </w:r>
      <w:r w:rsidR="00FE0A36" w:rsidRPr="00FE0A36">
        <w:rPr>
          <w:b/>
          <w:bCs/>
        </w:rPr>
        <w:t>delegad</w:t>
      </w:r>
      <w:r w:rsidR="000921C1">
        <w:rPr>
          <w:b/>
          <w:bCs/>
        </w:rPr>
        <w:t>a</w:t>
      </w:r>
      <w:r w:rsidR="00FE0A36" w:rsidRPr="00FE0A36">
        <w:rPr>
          <w:b/>
          <w:bCs/>
        </w:rPr>
        <w:t xml:space="preserve"> de Kazajstán</w:t>
      </w:r>
      <w:r w:rsidR="00FE0A36" w:rsidRPr="00FE0A36">
        <w:t xml:space="preserve">, el </w:t>
      </w:r>
      <w:r w:rsidR="00FE0A36" w:rsidRPr="00FE0A36">
        <w:rPr>
          <w:b/>
          <w:bCs/>
        </w:rPr>
        <w:t>Presidente</w:t>
      </w:r>
      <w:r w:rsidR="00FE0A36" w:rsidRPr="00FE0A36">
        <w:t xml:space="preserve"> </w:t>
      </w:r>
      <w:r w:rsidR="00FE0A36">
        <w:t xml:space="preserve">propone </w:t>
      </w:r>
      <w:r w:rsidR="00FE0A36" w:rsidRPr="00FE0A36">
        <w:t xml:space="preserve">que la Plenaria </w:t>
      </w:r>
      <w:r w:rsidR="00FE0A36">
        <w:t>aprueb</w:t>
      </w:r>
      <w:r w:rsidR="00E55A92">
        <w:t>e</w:t>
      </w:r>
      <w:r w:rsidR="00FE0A36">
        <w:t xml:space="preserve"> </w:t>
      </w:r>
      <w:r w:rsidR="00FE0A36" w:rsidRPr="00FE0A36">
        <w:t xml:space="preserve">el documento en primera lectura y lo remita de nuevo </w:t>
      </w:r>
      <w:r w:rsidR="00FE0A36">
        <w:t xml:space="preserve">a la Comisión </w:t>
      </w:r>
      <w:r w:rsidR="00FE0A36" w:rsidRPr="00FE0A36">
        <w:t>de Redacción para armonizar las versiones rus</w:t>
      </w:r>
      <w:r w:rsidR="00FE0A36">
        <w:t>a</w:t>
      </w:r>
      <w:r w:rsidR="00FE0A36" w:rsidRPr="00FE0A36">
        <w:t xml:space="preserve"> e ingl</w:t>
      </w:r>
      <w:r w:rsidR="00FE0A36">
        <w:t>esa</w:t>
      </w:r>
      <w:r w:rsidR="00FE0A36" w:rsidRPr="00FE0A36">
        <w:t xml:space="preserve"> antes de la segunda lectura</w:t>
      </w:r>
      <w:r w:rsidRPr="00C23F0B">
        <w:t>.</w:t>
      </w:r>
      <w:bookmarkEnd w:id="68"/>
    </w:p>
    <w:p w14:paraId="264D29C4" w14:textId="1D03BB0B" w:rsidR="008E7DB0" w:rsidRPr="00C23F0B" w:rsidRDefault="008E7DB0" w:rsidP="008E7DB0">
      <w:r w:rsidRPr="00C23F0B">
        <w:t>13.5</w:t>
      </w:r>
      <w:r w:rsidRPr="00C23F0B">
        <w:tab/>
      </w:r>
      <w:bookmarkStart w:id="69" w:name="lt_pId530"/>
      <w:r w:rsidR="001A318A" w:rsidRPr="00C23F0B">
        <w:t xml:space="preserve">Así se </w:t>
      </w:r>
      <w:r w:rsidR="001A318A" w:rsidRPr="00C23F0B">
        <w:rPr>
          <w:b/>
          <w:bCs/>
        </w:rPr>
        <w:t>acuerda</w:t>
      </w:r>
      <w:r w:rsidRPr="00C23F0B">
        <w:t>.</w:t>
      </w:r>
      <w:bookmarkEnd w:id="69"/>
    </w:p>
    <w:p w14:paraId="60BBC765" w14:textId="493CCC7F" w:rsidR="00A769AE" w:rsidRPr="000921C1" w:rsidRDefault="00A769AE" w:rsidP="00A769AE">
      <w:r w:rsidRPr="00C23F0B">
        <w:t>13.6</w:t>
      </w:r>
      <w:r w:rsidRPr="00C23F0B">
        <w:tab/>
        <w:t xml:space="preserve">Se </w:t>
      </w:r>
      <w:r w:rsidRPr="00C23F0B">
        <w:rPr>
          <w:b/>
          <w:bCs/>
        </w:rPr>
        <w:t>aprueba</w:t>
      </w:r>
      <w:r w:rsidRPr="00C23F0B">
        <w:t xml:space="preserve"> la cuadragésima sexta serie de textos presentada por la Comisión de Redacción en primera lectura (B46) (Documento 508).</w:t>
      </w:r>
    </w:p>
    <w:p w14:paraId="1E430ADC" w14:textId="1A0F6E0E" w:rsidR="00FE0A36" w:rsidRDefault="008E7DB0" w:rsidP="0044541C">
      <w:r w:rsidRPr="00C23F0B">
        <w:t>13.7</w:t>
      </w:r>
      <w:r w:rsidRPr="00C23F0B">
        <w:tab/>
      </w:r>
      <w:bookmarkStart w:id="70" w:name="lt_pId534"/>
      <w:r w:rsidR="00FE0A36" w:rsidRPr="00A7609F">
        <w:t xml:space="preserve">El </w:t>
      </w:r>
      <w:r w:rsidR="00FE0A36" w:rsidRPr="00A7609F">
        <w:rPr>
          <w:b/>
          <w:bCs/>
        </w:rPr>
        <w:t>Presidente</w:t>
      </w:r>
      <w:r w:rsidR="00FE0A36" w:rsidRPr="00A7609F">
        <w:t xml:space="preserve"> invita a los participantes a </w:t>
      </w:r>
      <w:r w:rsidR="00FE0A36">
        <w:t xml:space="preserve">examinar </w:t>
      </w:r>
      <w:r w:rsidR="00FE0A36" w:rsidRPr="00A7609F">
        <w:t xml:space="preserve">el Documento </w:t>
      </w:r>
      <w:r w:rsidR="00FE0A36">
        <w:t>510</w:t>
      </w:r>
      <w:r w:rsidR="00FE0A36" w:rsidRPr="00A7609F">
        <w:t>, cuya aprobación fue aplazada ante</w:t>
      </w:r>
      <w:r w:rsidR="00FE0A36">
        <w:t>riormente</w:t>
      </w:r>
      <w:r w:rsidR="00FE0A36" w:rsidRPr="00A7609F">
        <w:t xml:space="preserve"> </w:t>
      </w:r>
      <w:r w:rsidR="00FE0A36">
        <w:t xml:space="preserve">en </w:t>
      </w:r>
      <w:r w:rsidR="00FE0A36" w:rsidRPr="00A7609F">
        <w:t xml:space="preserve">la reunión. </w:t>
      </w:r>
      <w:r w:rsidR="00FE0A36">
        <w:t>Se p</w:t>
      </w:r>
      <w:r w:rsidR="00FE0A36" w:rsidRPr="00A7609F">
        <w:t xml:space="preserve">ropone que se apruebe el siguiente texto, </w:t>
      </w:r>
      <w:r w:rsidR="00FE0A36">
        <w:t xml:space="preserve">contenido </w:t>
      </w:r>
      <w:r w:rsidR="00FE0A36" w:rsidRPr="00A7609F">
        <w:t xml:space="preserve">en </w:t>
      </w:r>
      <w:r w:rsidR="00FE0A36">
        <w:t xml:space="preserve">dicho </w:t>
      </w:r>
      <w:r w:rsidR="00FE0A36" w:rsidRPr="00A7609F">
        <w:t xml:space="preserve">documento, y que se incluya en </w:t>
      </w:r>
      <w:r w:rsidR="00FE0A36">
        <w:t xml:space="preserve">las </w:t>
      </w:r>
      <w:r w:rsidR="00FE0A36" w:rsidRPr="00A7609F">
        <w:t>acta</w:t>
      </w:r>
      <w:r w:rsidR="00FE0A36">
        <w:t>s</w:t>
      </w:r>
      <w:r w:rsidR="00FE0A36" w:rsidRPr="00A7609F">
        <w:t xml:space="preserve"> de la </w:t>
      </w:r>
      <w:r w:rsidR="00FE0A36">
        <w:t>S</w:t>
      </w:r>
      <w:r w:rsidR="00FE0A36" w:rsidRPr="00A7609F">
        <w:t xml:space="preserve">esión </w:t>
      </w:r>
      <w:r w:rsidR="00FE0A36">
        <w:t>P</w:t>
      </w:r>
      <w:r w:rsidR="00FE0A36" w:rsidRPr="00A7609F">
        <w:t xml:space="preserve">lenaria </w:t>
      </w:r>
      <w:r w:rsidR="00FE0A36">
        <w:t xml:space="preserve">a modo de </w:t>
      </w:r>
      <w:r w:rsidR="00FE0A36" w:rsidRPr="00A7609F">
        <w:t xml:space="preserve">decisión de la </w:t>
      </w:r>
      <w:r w:rsidR="00FE0A36">
        <w:t>C</w:t>
      </w:r>
      <w:r w:rsidR="00FE0A36" w:rsidRPr="00A7609F">
        <w:t>onferencia</w:t>
      </w:r>
      <w:r w:rsidR="000921C1">
        <w:t>:</w:t>
      </w:r>
    </w:p>
    <w:bookmarkEnd w:id="70"/>
    <w:p w14:paraId="047D987E" w14:textId="17DF9DA3" w:rsidR="002262A5" w:rsidRPr="00C23F0B" w:rsidRDefault="002262A5" w:rsidP="00B5250B">
      <w:pPr>
        <w:pStyle w:val="Title4"/>
        <w:keepNext/>
        <w:keepLines/>
      </w:pPr>
      <w:r w:rsidRPr="00C23F0B">
        <w:t>«</w:t>
      </w:r>
      <w:r w:rsidRPr="00C23F0B">
        <w:t xml:space="preserve">Instrucciones a la Oficina de Radiocomunicaciones en aplicación del Anexo 3 y el Anexo 4 del Apéndice 30B del RR, así como de los criterios a los que se hace referencia en la Resolución [A7(E)-AP30B] (CMR-19) en su tramitación, después del 22 de noviembre de 2019, de las notificaciones </w:t>
      </w:r>
      <w:r w:rsidR="00B5250B">
        <w:br/>
      </w:r>
      <w:r w:rsidRPr="00C23F0B">
        <w:t>recibidas en virtud de dicho Apéndice</w:t>
      </w:r>
    </w:p>
    <w:p w14:paraId="614FC874" w14:textId="77777777" w:rsidR="002262A5" w:rsidRPr="00C23F0B" w:rsidRDefault="002262A5" w:rsidP="002262A5">
      <w:pPr>
        <w:pStyle w:val="Normalaftertitle"/>
      </w:pPr>
      <w:r w:rsidRPr="00C23F0B">
        <w:t xml:space="preserve">La Oficina de Radiocomunicaciones seguirá calculando y actualizando valores procedentes de una sola fuente ya aceptados, tanto del enlace ascendente como del enlace descendente, para todas las redes de satélites del Apéndice </w:t>
      </w:r>
      <w:r w:rsidRPr="00C23F0B">
        <w:rPr>
          <w:b/>
          <w:bCs/>
        </w:rPr>
        <w:t>30B</w:t>
      </w:r>
      <w:r w:rsidRPr="00C23F0B">
        <w:t xml:space="preserve"> del RR de acuerdo con lo dispuesto en las notas X2 y X3 al punto 2.1 del Anexo 4 del Apéndice </w:t>
      </w:r>
      <w:r w:rsidRPr="00C23F0B">
        <w:rPr>
          <w:b/>
          <w:bCs/>
        </w:rPr>
        <w:t>30B</w:t>
      </w:r>
      <w:r w:rsidRPr="00C23F0B">
        <w:t xml:space="preserve"> </w:t>
      </w:r>
      <w:r w:rsidRPr="00C23F0B">
        <w:rPr>
          <w:b/>
          <w:bCs/>
        </w:rPr>
        <w:t>(Rev.CMR-19)</w:t>
      </w:r>
      <w:r w:rsidRPr="00C23F0B">
        <w:t xml:space="preserve"> del RR, de manera que dicha información pueda ser utilizada por las administraciones durante la coordinación de sus redes respectivas. La Oficina de Radiocomunicaciones aplicará:</w:t>
      </w:r>
    </w:p>
    <w:p w14:paraId="4CC9EA33" w14:textId="77777777" w:rsidR="002262A5" w:rsidRPr="00C23F0B" w:rsidRDefault="002262A5" w:rsidP="002262A5">
      <w:pPr>
        <w:pStyle w:val="enumlev1"/>
      </w:pPr>
      <w:r w:rsidRPr="00C23F0B">
        <w:t>1</w:t>
      </w:r>
      <w:r w:rsidRPr="00C23F0B">
        <w:tab/>
        <w:t xml:space="preserve">Para las notificaciones completas con arreglo al § 6.1 </w:t>
      </w:r>
      <w:bookmarkStart w:id="71" w:name="_Hlk24908567"/>
      <w:r w:rsidRPr="00C23F0B">
        <w:t>recibidas por la Oficina antes del 23 de noviembre de 2019</w:t>
      </w:r>
      <w:bookmarkEnd w:id="71"/>
      <w:r w:rsidRPr="00C23F0B">
        <w:t>:</w:t>
      </w:r>
    </w:p>
    <w:p w14:paraId="792A7B1E" w14:textId="77777777" w:rsidR="002262A5" w:rsidRPr="00C23F0B" w:rsidRDefault="002262A5" w:rsidP="002262A5">
      <w:pPr>
        <w:pStyle w:val="enumlev2"/>
      </w:pPr>
      <w:r w:rsidRPr="00B5250B">
        <w:rPr>
          <w:i/>
          <w:iCs/>
        </w:rPr>
        <w:t>a)</w:t>
      </w:r>
      <w:r w:rsidRPr="00C23F0B">
        <w:tab/>
        <w:t>el Anexo 3 (CMR-07) en su examen en virtud del § 6.3 b);</w:t>
      </w:r>
    </w:p>
    <w:p w14:paraId="6DC230DF" w14:textId="77777777" w:rsidR="002262A5" w:rsidRPr="00C23F0B" w:rsidRDefault="002262A5" w:rsidP="002262A5">
      <w:pPr>
        <w:pStyle w:val="enumlev2"/>
      </w:pPr>
      <w:r w:rsidRPr="00B5250B">
        <w:rPr>
          <w:i/>
          <w:iCs/>
        </w:rPr>
        <w:lastRenderedPageBreak/>
        <w:t>b)</w:t>
      </w:r>
      <w:r w:rsidRPr="00C23F0B">
        <w:tab/>
        <w:t>el Anexo 4 (Rev.CMR-07) en su examen en virtud del § 6.5.</w:t>
      </w:r>
    </w:p>
    <w:p w14:paraId="4DD9C855" w14:textId="10A2E52B" w:rsidR="002262A5" w:rsidRPr="00C23F0B" w:rsidRDefault="00E13977" w:rsidP="00E13977">
      <w:pPr>
        <w:pStyle w:val="Note"/>
        <w:ind w:left="1134"/>
      </w:pPr>
      <w:r w:rsidRPr="00C23F0B">
        <w:t>NOTA</w:t>
      </w:r>
      <w:r>
        <w:t xml:space="preserve"> –</w:t>
      </w:r>
      <w:r w:rsidR="002262A5" w:rsidRPr="00C23F0B">
        <w:t xml:space="preserve"> Incluida la protección de las notificaciones en el marco del Tema E examinadas antes de la Parte A.</w:t>
      </w:r>
    </w:p>
    <w:p w14:paraId="36E73F51" w14:textId="77777777" w:rsidR="002262A5" w:rsidRPr="00C23F0B" w:rsidRDefault="002262A5" w:rsidP="002262A5">
      <w:pPr>
        <w:pStyle w:val="enumlev1"/>
      </w:pPr>
      <w:r w:rsidRPr="00C23F0B">
        <w:t>2</w:t>
      </w:r>
      <w:r w:rsidRPr="00C23F0B">
        <w:tab/>
        <w:t>Para las notificaciones completas con arreglo al § 6.17 recibidas por la Oficina antes del 23 de noviembre de 2019:</w:t>
      </w:r>
    </w:p>
    <w:p w14:paraId="6074E97B" w14:textId="77777777" w:rsidR="002262A5" w:rsidRPr="00C23F0B" w:rsidRDefault="002262A5" w:rsidP="002262A5">
      <w:pPr>
        <w:pStyle w:val="enumlev2"/>
      </w:pPr>
      <w:r w:rsidRPr="00B5250B">
        <w:rPr>
          <w:i/>
          <w:iCs/>
        </w:rPr>
        <w:t>a)</w:t>
      </w:r>
      <w:r w:rsidRPr="00C23F0B">
        <w:tab/>
        <w:t>el Anexo 3 (CMR-07) en su examen en virtud del § 6.19 c);</w:t>
      </w:r>
    </w:p>
    <w:p w14:paraId="002DF279" w14:textId="77777777" w:rsidR="002262A5" w:rsidRPr="00C23F0B" w:rsidRDefault="002262A5" w:rsidP="002262A5">
      <w:pPr>
        <w:pStyle w:val="enumlev2"/>
      </w:pPr>
      <w:r w:rsidRPr="00B5250B">
        <w:rPr>
          <w:i/>
          <w:iCs/>
        </w:rPr>
        <w:t>b)</w:t>
      </w:r>
      <w:r w:rsidRPr="00C23F0B">
        <w:tab/>
        <w:t>el Anexo 4 (Rev.CMR-07) en su examen en virtud del § 6.21;</w:t>
      </w:r>
    </w:p>
    <w:p w14:paraId="7DBBB6D0" w14:textId="77777777" w:rsidR="002262A5" w:rsidRPr="00C23F0B" w:rsidRDefault="002262A5" w:rsidP="002262A5">
      <w:pPr>
        <w:pStyle w:val="enumlev2"/>
      </w:pPr>
      <w:r w:rsidRPr="00B5250B">
        <w:rPr>
          <w:i/>
          <w:iCs/>
        </w:rPr>
        <w:t>c)</w:t>
      </w:r>
      <w:r w:rsidRPr="00C23F0B">
        <w:tab/>
        <w:t>el Anexo 4 (Rev.CMR-07) en su examen adicional con arreglo a la nueva nota al § 6.21 c);</w:t>
      </w:r>
    </w:p>
    <w:p w14:paraId="256145DF" w14:textId="77777777" w:rsidR="002262A5" w:rsidRPr="00C23F0B" w:rsidRDefault="002262A5" w:rsidP="002262A5">
      <w:pPr>
        <w:pStyle w:val="enumlev2"/>
      </w:pPr>
      <w:r w:rsidRPr="00B5250B">
        <w:rPr>
          <w:i/>
          <w:iCs/>
        </w:rPr>
        <w:t>d)</w:t>
      </w:r>
      <w:r w:rsidRPr="00C23F0B">
        <w:tab/>
        <w:t>el Anexo 4 (Rev.CMR-07) en su examen en virtud del § 6.22.</w:t>
      </w:r>
    </w:p>
    <w:p w14:paraId="1FC24B10" w14:textId="5CEF6E51" w:rsidR="002262A5" w:rsidRPr="00C23F0B" w:rsidRDefault="00E13977" w:rsidP="00E13977">
      <w:pPr>
        <w:pStyle w:val="Note"/>
        <w:ind w:left="1134"/>
      </w:pPr>
      <w:r w:rsidRPr="00C23F0B">
        <w:t>NOTA</w:t>
      </w:r>
      <w:r>
        <w:t xml:space="preserve"> –</w:t>
      </w:r>
      <w:r w:rsidR="002262A5" w:rsidRPr="00C23F0B">
        <w:t xml:space="preserve"> Incluida la protección de las notificaciones en el marco del Tema E examinadas antes de la Parte B.</w:t>
      </w:r>
    </w:p>
    <w:p w14:paraId="7BC6707D" w14:textId="77777777" w:rsidR="002262A5" w:rsidRPr="00C23F0B" w:rsidRDefault="002262A5" w:rsidP="002262A5">
      <w:pPr>
        <w:pStyle w:val="enumlev1"/>
      </w:pPr>
      <w:r w:rsidRPr="00C23F0B">
        <w:t>3</w:t>
      </w:r>
      <w:r w:rsidRPr="00C23F0B">
        <w:tab/>
        <w:t xml:space="preserve">Para las notificaciones completas con arreglo al § 6.17 recibidas por la Oficina después del 22 de noviembre de 2019, </w:t>
      </w:r>
      <w:bookmarkStart w:id="72" w:name="_Hlk24908899"/>
      <w:r w:rsidRPr="00C23F0B">
        <w:t>relacionadas con las notificaciones completas con arreglo al § 6.1 recibidas por la Oficina antes del 23 de noviembre de 2019</w:t>
      </w:r>
      <w:bookmarkEnd w:id="72"/>
      <w:r w:rsidRPr="00C23F0B">
        <w:t>:</w:t>
      </w:r>
    </w:p>
    <w:p w14:paraId="06D656C9" w14:textId="77777777" w:rsidR="002262A5" w:rsidRPr="00C23F0B" w:rsidRDefault="002262A5" w:rsidP="002262A5">
      <w:pPr>
        <w:pStyle w:val="enumlev2"/>
      </w:pPr>
      <w:r w:rsidRPr="00B5250B">
        <w:rPr>
          <w:i/>
          <w:iCs/>
        </w:rPr>
        <w:t>a)</w:t>
      </w:r>
      <w:r w:rsidRPr="00C23F0B">
        <w:tab/>
        <w:t>el Anexo 3 (CMR-07) en su examen en virtud del § 6.19 c);</w:t>
      </w:r>
    </w:p>
    <w:p w14:paraId="67CC1BBB" w14:textId="77777777" w:rsidR="002262A5" w:rsidRPr="00C23F0B" w:rsidRDefault="002262A5" w:rsidP="002262A5">
      <w:pPr>
        <w:pStyle w:val="enumlev2"/>
      </w:pPr>
      <w:r w:rsidRPr="00B5250B">
        <w:rPr>
          <w:i/>
          <w:iCs/>
        </w:rPr>
        <w:t>b)</w:t>
      </w:r>
      <w:r w:rsidRPr="00C23F0B">
        <w:tab/>
        <w:t>el Anexo 4 (</w:t>
      </w:r>
      <w:bookmarkStart w:id="73" w:name="_Hlk24976503"/>
      <w:r w:rsidRPr="00C23F0B">
        <w:t>Rev.</w:t>
      </w:r>
      <w:bookmarkEnd w:id="73"/>
      <w:r w:rsidRPr="00C23F0B">
        <w:t>CMR-07) en su examen en virtud del § 6.21;</w:t>
      </w:r>
    </w:p>
    <w:p w14:paraId="1C50D66A" w14:textId="77777777" w:rsidR="002262A5" w:rsidRPr="00C23F0B" w:rsidRDefault="002262A5" w:rsidP="002262A5">
      <w:pPr>
        <w:pStyle w:val="enumlev2"/>
      </w:pPr>
      <w:r w:rsidRPr="00B5250B">
        <w:rPr>
          <w:i/>
          <w:iCs/>
        </w:rPr>
        <w:t>c)</w:t>
      </w:r>
      <w:r w:rsidRPr="00C23F0B">
        <w:tab/>
        <w:t>el Anexo 4 (Rev.CMR-07) en su examen adicional con arreglo a la nota YY al § 6.21 c) si las demás asignaciones afectadas están inscritas en la Lista antes del 23 de noviembre de 2019;</w:t>
      </w:r>
    </w:p>
    <w:p w14:paraId="643E4F30" w14:textId="77777777" w:rsidR="002262A5" w:rsidRPr="00C23F0B" w:rsidRDefault="002262A5" w:rsidP="002262A5">
      <w:pPr>
        <w:pStyle w:val="enumlev2"/>
      </w:pPr>
      <w:r w:rsidRPr="00B5250B">
        <w:rPr>
          <w:i/>
          <w:iCs/>
        </w:rPr>
        <w:t>d)</w:t>
      </w:r>
      <w:r w:rsidRPr="00C23F0B">
        <w:tab/>
        <w:t>el Anexo 4 (Rev.CMR-19) en su examen adicional con arreglo a la nota YY al § 6.21 c) si las demás asignaciones afectadas están inscritas en la Lista después del 22 de noviembre de 2019;</w:t>
      </w:r>
    </w:p>
    <w:p w14:paraId="4570C47F" w14:textId="77777777" w:rsidR="002262A5" w:rsidRPr="00C23F0B" w:rsidRDefault="002262A5" w:rsidP="002262A5">
      <w:pPr>
        <w:pStyle w:val="enumlev2"/>
      </w:pPr>
      <w:r w:rsidRPr="00B5250B">
        <w:rPr>
          <w:i/>
          <w:iCs/>
        </w:rPr>
        <w:t>e)</w:t>
      </w:r>
      <w:r w:rsidRPr="00C23F0B">
        <w:tab/>
        <w:t>el Anexo 4 (Rev.CMR-19) en su examen en virtud del § 6.22.</w:t>
      </w:r>
    </w:p>
    <w:p w14:paraId="122F10BC" w14:textId="6E1E729D" w:rsidR="002262A5" w:rsidRPr="00C23F0B" w:rsidRDefault="00E13977" w:rsidP="00E13977">
      <w:pPr>
        <w:pStyle w:val="Note"/>
        <w:ind w:left="1134"/>
      </w:pPr>
      <w:r w:rsidRPr="00C23F0B">
        <w:t>NOTA</w:t>
      </w:r>
      <w:r>
        <w:t xml:space="preserve"> –</w:t>
      </w:r>
      <w:r w:rsidR="002262A5" w:rsidRPr="00C23F0B">
        <w:t xml:space="preserve"> Incluida la protección de las notificaciones en el marco del Tema E examinadas antes de la Parte A y/o de la Parte B.</w:t>
      </w:r>
    </w:p>
    <w:p w14:paraId="32A1B28C" w14:textId="77777777" w:rsidR="002262A5" w:rsidRPr="00C23F0B" w:rsidRDefault="002262A5" w:rsidP="002262A5">
      <w:pPr>
        <w:pStyle w:val="enumlev1"/>
      </w:pPr>
      <w:r w:rsidRPr="00C23F0B">
        <w:t>4</w:t>
      </w:r>
      <w:r w:rsidRPr="00C23F0B">
        <w:tab/>
      </w:r>
      <w:bookmarkStart w:id="74" w:name="_Hlk24909044"/>
      <w:r w:rsidRPr="00C23F0B">
        <w:t xml:space="preserve">Para las notificaciones completas con arreglo al § 6.1 </w:t>
      </w:r>
      <w:bookmarkEnd w:id="74"/>
      <w:r w:rsidRPr="00C23F0B">
        <w:t>recibidas por la Oficina después del 22 de noviembre de 2019:</w:t>
      </w:r>
    </w:p>
    <w:p w14:paraId="004B6BD2" w14:textId="77777777" w:rsidR="002262A5" w:rsidRPr="00C23F0B" w:rsidRDefault="002262A5" w:rsidP="002262A5">
      <w:pPr>
        <w:pStyle w:val="enumlev2"/>
      </w:pPr>
      <w:r w:rsidRPr="00B5250B">
        <w:rPr>
          <w:i/>
          <w:iCs/>
        </w:rPr>
        <w:t>a)</w:t>
      </w:r>
      <w:r w:rsidRPr="00C23F0B">
        <w:tab/>
        <w:t>el Anexo 3 (Rev.CMR-19) en su examen en virtud del § 6.3 b);</w:t>
      </w:r>
    </w:p>
    <w:p w14:paraId="68740B4A" w14:textId="77777777" w:rsidR="002262A5" w:rsidRPr="00C23F0B" w:rsidRDefault="002262A5" w:rsidP="002262A5">
      <w:pPr>
        <w:pStyle w:val="enumlev2"/>
      </w:pPr>
      <w:r w:rsidRPr="00B5250B">
        <w:rPr>
          <w:i/>
          <w:iCs/>
        </w:rPr>
        <w:t>b)</w:t>
      </w:r>
      <w:r w:rsidRPr="00C23F0B">
        <w:tab/>
        <w:t>el Anexo 4 (Rev.CMR-19) en su examen en virtud del § 6.5.</w:t>
      </w:r>
    </w:p>
    <w:p w14:paraId="46E1F1F9" w14:textId="77777777" w:rsidR="002262A5" w:rsidRPr="00C23F0B" w:rsidRDefault="002262A5" w:rsidP="002262A5">
      <w:pPr>
        <w:pStyle w:val="enumlev1"/>
      </w:pPr>
      <w:r w:rsidRPr="00C23F0B">
        <w:t>5</w:t>
      </w:r>
      <w:r w:rsidRPr="00C23F0B">
        <w:tab/>
        <w:t>Para las notificaciones completas con arreglo al § 6.17 recibidas por la Oficina después del 22 de noviembre de 2019, relacionadas con las notificaciones completas con arreglo al § 6.1 recibidas por la Oficina después del 22 de noviembre de 2019:</w:t>
      </w:r>
    </w:p>
    <w:p w14:paraId="650CA862" w14:textId="77777777" w:rsidR="002262A5" w:rsidRPr="00C23F0B" w:rsidRDefault="002262A5" w:rsidP="002262A5">
      <w:pPr>
        <w:pStyle w:val="enumlev2"/>
      </w:pPr>
      <w:r w:rsidRPr="00B5250B">
        <w:rPr>
          <w:i/>
          <w:iCs/>
        </w:rPr>
        <w:t>a)</w:t>
      </w:r>
      <w:r w:rsidRPr="00C23F0B">
        <w:tab/>
        <w:t>el Anexo 3 (Rev.CMR-19) en su examen en virtud del § 6.19 c);</w:t>
      </w:r>
    </w:p>
    <w:p w14:paraId="31A4AA05" w14:textId="77777777" w:rsidR="002262A5" w:rsidRPr="00C23F0B" w:rsidRDefault="002262A5" w:rsidP="002262A5">
      <w:pPr>
        <w:pStyle w:val="enumlev2"/>
      </w:pPr>
      <w:r w:rsidRPr="00B5250B">
        <w:rPr>
          <w:i/>
          <w:iCs/>
        </w:rPr>
        <w:t>b)</w:t>
      </w:r>
      <w:r w:rsidRPr="00C23F0B">
        <w:tab/>
        <w:t>el Anexo 4 (Rev.CMR-19) en su examen en virtud del § 6.21;</w:t>
      </w:r>
    </w:p>
    <w:p w14:paraId="151B434F" w14:textId="77777777" w:rsidR="002262A5" w:rsidRPr="00C23F0B" w:rsidRDefault="002262A5" w:rsidP="002262A5">
      <w:pPr>
        <w:pStyle w:val="enumlev2"/>
      </w:pPr>
      <w:r w:rsidRPr="00B5250B">
        <w:rPr>
          <w:i/>
          <w:iCs/>
        </w:rPr>
        <w:t>c)</w:t>
      </w:r>
      <w:r w:rsidRPr="00C23F0B">
        <w:tab/>
        <w:t>el Anexo 4 (Rev.CMR-19) en su examen en virtud del § 6.22.</w:t>
      </w:r>
    </w:p>
    <w:p w14:paraId="51F1D7BC" w14:textId="77777777" w:rsidR="002262A5" w:rsidRPr="00C23F0B" w:rsidRDefault="002262A5" w:rsidP="002262A5">
      <w:pPr>
        <w:pStyle w:val="enumlev1"/>
      </w:pPr>
      <w:r w:rsidRPr="00C23F0B">
        <w:t>6</w:t>
      </w:r>
      <w:r w:rsidRPr="00C23F0B">
        <w:tab/>
        <w:t xml:space="preserve">Para las notificaciones completas con arreglo al § 6.1 en aplicación de la Resolución </w:t>
      </w:r>
      <w:r w:rsidRPr="00C23F0B">
        <w:rPr>
          <w:b/>
          <w:bCs/>
        </w:rPr>
        <w:t>[A7(E)-AP30B] (CMR-19)</w:t>
      </w:r>
      <w:r w:rsidRPr="00C23F0B">
        <w:t>:</w:t>
      </w:r>
    </w:p>
    <w:p w14:paraId="45EE1D51" w14:textId="77777777" w:rsidR="002262A5" w:rsidRPr="00C23F0B" w:rsidRDefault="002262A5" w:rsidP="002262A5">
      <w:pPr>
        <w:pStyle w:val="enumlev2"/>
      </w:pPr>
      <w:r w:rsidRPr="00B5250B">
        <w:rPr>
          <w:i/>
          <w:iCs/>
        </w:rPr>
        <w:t>a)</w:t>
      </w:r>
      <w:r w:rsidRPr="00C23F0B">
        <w:tab/>
        <w:t>el Anexo 3 (Rev.CMR-19) en su examen en virtud del § 6.3 b);</w:t>
      </w:r>
    </w:p>
    <w:p w14:paraId="5AE773FB" w14:textId="77777777" w:rsidR="002262A5" w:rsidRPr="00C23F0B" w:rsidRDefault="002262A5" w:rsidP="002262A5">
      <w:pPr>
        <w:pStyle w:val="enumlev2"/>
      </w:pPr>
      <w:r w:rsidRPr="00B5250B">
        <w:rPr>
          <w:i/>
          <w:iCs/>
        </w:rPr>
        <w:t>b)</w:t>
      </w:r>
      <w:r w:rsidRPr="00C23F0B">
        <w:tab/>
        <w:t xml:space="preserve">el Anexo 4 (Rev.CMR-19) y los nuevos criterios a los que se hace referencia en la Resolución </w:t>
      </w:r>
      <w:r w:rsidRPr="00C23F0B">
        <w:rPr>
          <w:b/>
          <w:bCs/>
        </w:rPr>
        <w:t>[A7(E)</w:t>
      </w:r>
      <w:r w:rsidRPr="00C23F0B">
        <w:rPr>
          <w:b/>
          <w:bCs/>
        </w:rPr>
        <w:noBreakHyphen/>
        <w:t xml:space="preserve">AP30B] (CMR-19) </w:t>
      </w:r>
      <w:r w:rsidRPr="00C23F0B">
        <w:t>en su examen en virtud del § 6.5, según corresponda.</w:t>
      </w:r>
    </w:p>
    <w:p w14:paraId="7C594FED" w14:textId="54245BF6" w:rsidR="002262A5" w:rsidRPr="00C23F0B" w:rsidRDefault="00E13977" w:rsidP="00E13977">
      <w:pPr>
        <w:pStyle w:val="Note"/>
        <w:ind w:left="1134"/>
      </w:pPr>
      <w:r w:rsidRPr="00C23F0B">
        <w:lastRenderedPageBreak/>
        <w:t>NOTA</w:t>
      </w:r>
      <w:r>
        <w:t xml:space="preserve"> –</w:t>
      </w:r>
      <w:r w:rsidR="002262A5" w:rsidRPr="00C23F0B">
        <w:t xml:space="preserve"> Incluido el examen de las notificaciones en el marco del Tema E antes del examen de la última Parte A y/o Parte B normal recibidas antes del 23 de noviembre de</w:t>
      </w:r>
      <w:r>
        <w:t> </w:t>
      </w:r>
      <w:r w:rsidR="002262A5" w:rsidRPr="00C23F0B">
        <w:t>2019.</w:t>
      </w:r>
    </w:p>
    <w:p w14:paraId="095C3EF2" w14:textId="77777777" w:rsidR="002262A5" w:rsidRPr="00C23F0B" w:rsidRDefault="002262A5" w:rsidP="002262A5">
      <w:pPr>
        <w:pStyle w:val="enumlev1"/>
      </w:pPr>
      <w:r w:rsidRPr="00C23F0B">
        <w:t>7</w:t>
      </w:r>
      <w:r w:rsidRPr="00C23F0B">
        <w:tab/>
        <w:t xml:space="preserve">Para las notificaciones completas con arreglo al § 6.17 en aplicación de la Resolución </w:t>
      </w:r>
      <w:r w:rsidRPr="00C23F0B">
        <w:rPr>
          <w:b/>
          <w:bCs/>
        </w:rPr>
        <w:t>[A7(E)-AP30B] (CMR-19)</w:t>
      </w:r>
      <w:r w:rsidRPr="00C23F0B">
        <w:t>, la Oficina aplicará:</w:t>
      </w:r>
    </w:p>
    <w:p w14:paraId="32E78988" w14:textId="77777777" w:rsidR="002262A5" w:rsidRPr="00C23F0B" w:rsidRDefault="002262A5" w:rsidP="002262A5">
      <w:pPr>
        <w:pStyle w:val="enumlev2"/>
      </w:pPr>
      <w:r w:rsidRPr="00B5250B">
        <w:rPr>
          <w:i/>
          <w:iCs/>
        </w:rPr>
        <w:t>a)</w:t>
      </w:r>
      <w:r w:rsidRPr="00C23F0B">
        <w:tab/>
        <w:t>el Anexo 3 (Rev.CMR-19) en su examen en virtud del § 6.19 c);</w:t>
      </w:r>
    </w:p>
    <w:p w14:paraId="7793E20C" w14:textId="77777777" w:rsidR="002262A5" w:rsidRPr="00C23F0B" w:rsidRDefault="002262A5" w:rsidP="002262A5">
      <w:pPr>
        <w:pStyle w:val="enumlev2"/>
      </w:pPr>
      <w:r w:rsidRPr="00B5250B">
        <w:rPr>
          <w:i/>
          <w:iCs/>
        </w:rPr>
        <w:t>b)</w:t>
      </w:r>
      <w:r w:rsidRPr="00C23F0B">
        <w:tab/>
        <w:t xml:space="preserve">el Anexo 4 (Rev.CMR-19) y los nuevos criterios a los que se hace referencia en la Resolución </w:t>
      </w:r>
      <w:r w:rsidRPr="00C23F0B">
        <w:rPr>
          <w:b/>
          <w:bCs/>
        </w:rPr>
        <w:t>[A7(E)</w:t>
      </w:r>
      <w:r w:rsidRPr="00C23F0B">
        <w:rPr>
          <w:b/>
          <w:bCs/>
        </w:rPr>
        <w:noBreakHyphen/>
        <w:t xml:space="preserve">AP30B] (CMR-19) </w:t>
      </w:r>
      <w:r w:rsidRPr="00C23F0B">
        <w:t>en su examen en virtud del § 6.21, según corresponda;</w:t>
      </w:r>
    </w:p>
    <w:p w14:paraId="7F53D6AC" w14:textId="77777777" w:rsidR="002262A5" w:rsidRPr="00C23F0B" w:rsidRDefault="002262A5" w:rsidP="002262A5">
      <w:pPr>
        <w:pStyle w:val="enumlev2"/>
      </w:pPr>
      <w:r w:rsidRPr="00B5250B">
        <w:rPr>
          <w:i/>
          <w:iCs/>
        </w:rPr>
        <w:t>c)</w:t>
      </w:r>
      <w:r w:rsidRPr="00C23F0B">
        <w:tab/>
        <w:t xml:space="preserve">el Anexo 4 (Rev.CMR-19) y los nuevos criterios a los que se hace referencia en la Resolución </w:t>
      </w:r>
      <w:r w:rsidRPr="00C23F0B">
        <w:rPr>
          <w:b/>
          <w:bCs/>
        </w:rPr>
        <w:t>[A7(E)</w:t>
      </w:r>
      <w:r w:rsidRPr="00C23F0B">
        <w:rPr>
          <w:b/>
          <w:bCs/>
        </w:rPr>
        <w:noBreakHyphen/>
        <w:t>AP30B] (CMR-19)</w:t>
      </w:r>
      <w:r w:rsidRPr="00C23F0B">
        <w:t xml:space="preserve"> en su examen adicional con arreglo a la nota YY al § 6.21 c), según corresponda;</w:t>
      </w:r>
    </w:p>
    <w:p w14:paraId="4E5F8F7A" w14:textId="77777777" w:rsidR="002262A5" w:rsidRPr="00C23F0B" w:rsidRDefault="002262A5" w:rsidP="002262A5">
      <w:pPr>
        <w:pStyle w:val="enumlev2"/>
      </w:pPr>
      <w:r w:rsidRPr="00B5250B">
        <w:rPr>
          <w:i/>
          <w:iCs/>
        </w:rPr>
        <w:t>d)</w:t>
      </w:r>
      <w:r w:rsidRPr="00C23F0B">
        <w:tab/>
        <w:t xml:space="preserve">el Anexo 4 (Rev.CMR-19) y los nuevos criterios a los que se hace referencia en la Resolución </w:t>
      </w:r>
      <w:r w:rsidRPr="00C23F0B">
        <w:rPr>
          <w:b/>
          <w:bCs/>
        </w:rPr>
        <w:t>[A7(E)</w:t>
      </w:r>
      <w:r w:rsidRPr="00C23F0B">
        <w:rPr>
          <w:b/>
          <w:bCs/>
        </w:rPr>
        <w:noBreakHyphen/>
        <w:t>AP30B] (CMR-19)</w:t>
      </w:r>
      <w:r w:rsidRPr="00C23F0B">
        <w:t xml:space="preserve"> en su examen en virtud del § 6.22, según corresponda.</w:t>
      </w:r>
    </w:p>
    <w:p w14:paraId="43101310" w14:textId="77777777" w:rsidR="002262A5" w:rsidRPr="00C23F0B" w:rsidRDefault="002262A5" w:rsidP="002262A5">
      <w:r w:rsidRPr="00C23F0B">
        <w:t>Aplicación del § 6.16:</w:t>
      </w:r>
    </w:p>
    <w:p w14:paraId="5AB81B30" w14:textId="77777777" w:rsidR="002262A5" w:rsidRPr="00C23F0B" w:rsidRDefault="002262A5" w:rsidP="002262A5">
      <w:pPr>
        <w:pStyle w:val="enumlev1"/>
      </w:pPr>
      <w:r w:rsidRPr="00C23F0B">
        <w:t>–</w:t>
      </w:r>
      <w:r w:rsidRPr="00C23F0B">
        <w:tab/>
        <w:t>Al excluir los territorios de las administraciones concernidas, la Oficina aplicará el Anexo 4 (Rev.CMR-07) hasta que haya sido examinada la última notificación completa con arreglo al § 6.1 o al § 6.17 recibida por la Oficina antes del 23 de noviembre de 2019, y después el Anexo 4 (Rev.CMR-19).</w:t>
      </w:r>
    </w:p>
    <w:p w14:paraId="63F7DA20" w14:textId="77777777" w:rsidR="002262A5" w:rsidRPr="00C23F0B" w:rsidRDefault="002262A5" w:rsidP="002262A5">
      <w:pPr>
        <w:pStyle w:val="enumlev1"/>
      </w:pPr>
      <w:r w:rsidRPr="00C23F0B">
        <w:t>–</w:t>
      </w:r>
      <w:r w:rsidRPr="00C23F0B">
        <w:tab/>
        <w:t>Si se presenta la solicitud del § 6.16 a fin de que se tome en cuenta para el examen de una notificación completa con arreglo al § 6.17, al examinar dichas notificaciones, la Oficina aplicará el Anexo 4 apropiado utilizado en el examen con arreglo al § 6.21 y al § 6.22 según se indica más arriba.</w:t>
      </w:r>
    </w:p>
    <w:p w14:paraId="3677E7B9" w14:textId="77777777" w:rsidR="002262A5" w:rsidRPr="00C23F0B" w:rsidRDefault="002262A5" w:rsidP="002262A5">
      <w:r w:rsidRPr="00C23F0B">
        <w:t>Aplicación del § 6.27 al actualizar los criterios: La Oficina aplicará el Anexo 4 (Rev.CMR-07) hasta que se haya examinado la última notificación completa con arreglo al § 6.1 o § 6.17 recibida por la Oficina antes del 23 de noviembre de 2019, y después el Anexo 4 (Rev.CMR-19).</w:t>
      </w:r>
    </w:p>
    <w:p w14:paraId="310185D7" w14:textId="77777777" w:rsidR="002262A5" w:rsidRPr="00C23F0B" w:rsidRDefault="002262A5" w:rsidP="002262A5">
      <w:r w:rsidRPr="00C23F0B">
        <w:t>Aplicación del § 7.5:</w:t>
      </w:r>
    </w:p>
    <w:p w14:paraId="22785695" w14:textId="77777777" w:rsidR="002262A5" w:rsidRPr="00C23F0B" w:rsidRDefault="002262A5" w:rsidP="002262A5">
      <w:pPr>
        <w:pStyle w:val="enumlev1"/>
      </w:pPr>
      <w:r w:rsidRPr="00C23F0B">
        <w:t>–</w:t>
      </w:r>
      <w:r w:rsidRPr="00C23F0B">
        <w:tab/>
        <w:t>Para una solicitud con arreglo al Artículo </w:t>
      </w:r>
      <w:r w:rsidRPr="00C23F0B">
        <w:rPr>
          <w:b/>
          <w:bCs/>
        </w:rPr>
        <w:t>7</w:t>
      </w:r>
      <w:r w:rsidRPr="00C23F0B">
        <w:t xml:space="preserve"> recibida antes del 23 de noviembre de 2019, la Oficina aplicará el Anexo 3 (CMR-07) y el Anexo 4 (Rev.CMR-07).</w:t>
      </w:r>
    </w:p>
    <w:p w14:paraId="7D9E64EC" w14:textId="77777777" w:rsidR="002262A5" w:rsidRPr="00C23F0B" w:rsidRDefault="002262A5" w:rsidP="002262A5">
      <w:pPr>
        <w:pStyle w:val="enumlev1"/>
      </w:pPr>
      <w:r w:rsidRPr="00C23F0B">
        <w:t>–</w:t>
      </w:r>
      <w:r w:rsidRPr="00C23F0B">
        <w:tab/>
        <w:t>Para una solicitud con arreglo al Artículo </w:t>
      </w:r>
      <w:r w:rsidRPr="00C23F0B">
        <w:rPr>
          <w:b/>
          <w:bCs/>
        </w:rPr>
        <w:t>7</w:t>
      </w:r>
      <w:r w:rsidRPr="00C23F0B">
        <w:t xml:space="preserve"> recibida después del 22 de noviembre de 2019, la Oficina aplicará el Anexo 3 (Rev.CMR-19) y el Anexo 4 (Rev.CMR-19).</w:t>
      </w:r>
    </w:p>
    <w:p w14:paraId="698D84F8" w14:textId="73D8D337" w:rsidR="00B22BF1" w:rsidRPr="00C23F0B" w:rsidRDefault="002262A5" w:rsidP="0044541C">
      <w:r w:rsidRPr="00C23F0B">
        <w:t xml:space="preserve">En su examen en virtud del 6.21 c), la Oficina también tendrá en cuenta las notificaciones completas con arreglo al § 6.1 en aplicación de la Resolución </w:t>
      </w:r>
      <w:r w:rsidRPr="00C23F0B">
        <w:rPr>
          <w:b/>
          <w:bCs/>
        </w:rPr>
        <w:t>[A7(E)-AP30B] (CMR-19)</w:t>
      </w:r>
      <w:r w:rsidRPr="00C23F0B">
        <w:t xml:space="preserve"> y la solicitud del Artículo </w:t>
      </w:r>
      <w:r w:rsidRPr="00C23F0B">
        <w:rPr>
          <w:b/>
          <w:bCs/>
        </w:rPr>
        <w:t>7</w:t>
      </w:r>
      <w:r w:rsidRPr="00C23F0B">
        <w:t xml:space="preserve"> transferida al Artículo </w:t>
      </w:r>
      <w:r w:rsidRPr="00FF4A7E">
        <w:t>6</w:t>
      </w:r>
      <w:r w:rsidRPr="00C23F0B">
        <w:t xml:space="preserve"> con arreglo al § 7.7 que ha sido examinada antes de la fecha de recepción de la notificación examinada presentada con arreglo al § 6.1</w:t>
      </w:r>
      <w:r w:rsidRPr="00C23F0B">
        <w:t>»</w:t>
      </w:r>
      <w:r w:rsidR="000921C1" w:rsidRPr="00C23F0B">
        <w:t>.</w:t>
      </w:r>
    </w:p>
    <w:p w14:paraId="08367612" w14:textId="2017A9A8" w:rsidR="00A37329" w:rsidRPr="00C23F0B" w:rsidRDefault="00A37329" w:rsidP="00A37329">
      <w:r w:rsidRPr="00C23F0B">
        <w:t>13.8</w:t>
      </w:r>
      <w:r w:rsidRPr="00C23F0B">
        <w:tab/>
      </w:r>
      <w:bookmarkStart w:id="75" w:name="lt_pId615"/>
      <w:r w:rsidR="001A318A" w:rsidRPr="00C23F0B">
        <w:t xml:space="preserve">Así se </w:t>
      </w:r>
      <w:r w:rsidR="001A318A" w:rsidRPr="00C23F0B">
        <w:rPr>
          <w:b/>
          <w:bCs/>
        </w:rPr>
        <w:t>acuerda</w:t>
      </w:r>
      <w:r w:rsidRPr="00C23F0B">
        <w:t>.</w:t>
      </w:r>
      <w:bookmarkEnd w:id="75"/>
    </w:p>
    <w:p w14:paraId="2C5C4358" w14:textId="543E1C59" w:rsidR="00A37329" w:rsidRPr="00C23F0B" w:rsidRDefault="00A37329" w:rsidP="00A37329">
      <w:r w:rsidRPr="00C23F0B">
        <w:t>13.9</w:t>
      </w:r>
      <w:r w:rsidRPr="00C23F0B">
        <w:tab/>
      </w:r>
      <w:bookmarkStart w:id="76" w:name="lt_pId617"/>
      <w:r w:rsidR="00E95AD9" w:rsidRPr="00C23F0B">
        <w:t xml:space="preserve">Se </w:t>
      </w:r>
      <w:r w:rsidR="00E95AD9" w:rsidRPr="00C23F0B">
        <w:rPr>
          <w:b/>
          <w:bCs/>
        </w:rPr>
        <w:t>aprueba</w:t>
      </w:r>
      <w:r w:rsidR="00E95AD9" w:rsidRPr="00C23F0B">
        <w:t xml:space="preserve"> el Documento </w:t>
      </w:r>
      <w:r w:rsidRPr="00C23F0B">
        <w:t>510.</w:t>
      </w:r>
      <w:bookmarkEnd w:id="76"/>
    </w:p>
    <w:p w14:paraId="58C3851E" w14:textId="38B2CA41" w:rsidR="00A37329" w:rsidRPr="00C23F0B" w:rsidRDefault="00A37329" w:rsidP="00A769AE">
      <w:pPr>
        <w:pStyle w:val="Heading1"/>
      </w:pPr>
      <w:r w:rsidRPr="00C23F0B">
        <w:t>14</w:t>
      </w:r>
      <w:r w:rsidRPr="00C23F0B">
        <w:tab/>
      </w:r>
      <w:bookmarkStart w:id="77" w:name="lt_pId619"/>
      <w:r w:rsidR="00E95AD9" w:rsidRPr="00C23F0B">
        <w:t>Tercera serie de textos sometidos por la Comisión de Redacción en segunda lectura (R3)</w:t>
      </w:r>
      <w:r w:rsidRPr="00C23F0B">
        <w:t xml:space="preserve"> (Document</w:t>
      </w:r>
      <w:r w:rsidR="00E95AD9" w:rsidRPr="00C23F0B">
        <w:t>o</w:t>
      </w:r>
      <w:r w:rsidRPr="00C23F0B">
        <w:t xml:space="preserve"> 498)</w:t>
      </w:r>
      <w:bookmarkEnd w:id="77"/>
    </w:p>
    <w:p w14:paraId="5FD6C22A" w14:textId="6F23271B" w:rsidR="00A37329" w:rsidRPr="00C23F0B" w:rsidRDefault="00A37329" w:rsidP="00A37329">
      <w:r w:rsidRPr="00C23F0B">
        <w:t>14.1</w:t>
      </w:r>
      <w:r w:rsidRPr="00C23F0B">
        <w:tab/>
      </w:r>
      <w:bookmarkStart w:id="78" w:name="lt_pId621"/>
      <w:r w:rsidR="0063082A">
        <w:t>El</w:t>
      </w:r>
      <w:r w:rsidRPr="00C23F0B">
        <w:t xml:space="preserve"> </w:t>
      </w:r>
      <w:r w:rsidR="0063082A">
        <w:rPr>
          <w:b/>
          <w:bCs/>
        </w:rPr>
        <w:t xml:space="preserve">Presidente de la Comisión de Redacción </w:t>
      </w:r>
      <w:r w:rsidR="0063082A">
        <w:t xml:space="preserve">declara que en el </w:t>
      </w:r>
      <w:r w:rsidRPr="00C23F0B">
        <w:t>Document</w:t>
      </w:r>
      <w:r w:rsidR="0063082A">
        <w:t>o</w:t>
      </w:r>
      <w:r w:rsidRPr="00C23F0B">
        <w:t xml:space="preserve"> 498 </w:t>
      </w:r>
      <w:r w:rsidR="0063082A">
        <w:t xml:space="preserve">se han integrado las modificaciones introducidas en la </w:t>
      </w:r>
      <w:r w:rsidRPr="00C23F0B">
        <w:t xml:space="preserve">ADD </w:t>
      </w:r>
      <w:r w:rsidR="0063082A">
        <w:t xml:space="preserve">Resolución </w:t>
      </w:r>
      <w:r w:rsidRPr="00C23F0B">
        <w:t>COM4/1 (C</w:t>
      </w:r>
      <w:r w:rsidR="000921C1">
        <w:t>MR</w:t>
      </w:r>
      <w:r w:rsidRPr="00C23F0B">
        <w:t xml:space="preserve">-19) </w:t>
      </w:r>
      <w:r w:rsidR="0063082A">
        <w:t>en la octava Sesión Plenaria</w:t>
      </w:r>
      <w:r w:rsidRPr="00C23F0B">
        <w:t>.</w:t>
      </w:r>
      <w:bookmarkEnd w:id="78"/>
    </w:p>
    <w:p w14:paraId="5522F104" w14:textId="6C695364" w:rsidR="00E95AD9" w:rsidRPr="00C23F0B" w:rsidRDefault="00E95AD9" w:rsidP="00E95AD9">
      <w:r w:rsidRPr="00C23F0B">
        <w:lastRenderedPageBreak/>
        <w:t>14.2</w:t>
      </w:r>
      <w:r w:rsidRPr="00C23F0B">
        <w:tab/>
        <w:t xml:space="preserve">Se </w:t>
      </w:r>
      <w:r w:rsidRPr="00C23F0B">
        <w:rPr>
          <w:b/>
          <w:bCs/>
        </w:rPr>
        <w:t>aprueba</w:t>
      </w:r>
      <w:r w:rsidRPr="00C23F0B">
        <w:t xml:space="preserve"> la tercera serie de textos sometidos por la Comisión de Redacción en segunda lectura (R3) (Documento 498).</w:t>
      </w:r>
    </w:p>
    <w:p w14:paraId="535E33A0" w14:textId="47BE43C5" w:rsidR="00A37329" w:rsidRPr="00C23F0B" w:rsidRDefault="00A37329" w:rsidP="003B054C">
      <w:pPr>
        <w:pStyle w:val="Heading1"/>
      </w:pPr>
      <w:r w:rsidRPr="00C23F0B">
        <w:t>15</w:t>
      </w:r>
      <w:r w:rsidRPr="00C23F0B">
        <w:tab/>
      </w:r>
      <w:bookmarkStart w:id="79" w:name="lt_pId625"/>
      <w:r w:rsidR="0063082A">
        <w:t>Comentarios generales y organización de los trabajos</w:t>
      </w:r>
      <w:bookmarkEnd w:id="79"/>
    </w:p>
    <w:p w14:paraId="0ECE2C02" w14:textId="64C9FD29" w:rsidR="006D796F" w:rsidRDefault="006D796F" w:rsidP="006D796F">
      <w:bookmarkStart w:id="80" w:name="lt_pId642"/>
      <w:r>
        <w:t>15.1</w:t>
      </w:r>
      <w:r>
        <w:tab/>
        <w:t xml:space="preserve">La </w:t>
      </w:r>
      <w:r w:rsidRPr="006D796F">
        <w:rPr>
          <w:b/>
          <w:bCs/>
        </w:rPr>
        <w:t>delegada de China</w:t>
      </w:r>
      <w:r>
        <w:t xml:space="preserve"> declara que su país, uno de los principales proveedores mundiales de datos meteorológicos gratuitos, está inquieto por el punto 1.13 del orden del día. En su calidad de importante </w:t>
      </w:r>
      <w:r w:rsidR="00A729FE">
        <w:t>actor</w:t>
      </w:r>
      <w:r>
        <w:t xml:space="preserve">, desea participar en las consultas sobre ese tema, en particular porque los resultados podrían afectar a la protección de los sistemas del </w:t>
      </w:r>
      <w:r w:rsidR="00311D36">
        <w:t xml:space="preserve">SETS </w:t>
      </w:r>
      <w:r>
        <w:t xml:space="preserve">y tener graves repercusiones </w:t>
      </w:r>
      <w:r w:rsidR="00311D36">
        <w:t xml:space="preserve">para </w:t>
      </w:r>
      <w:r>
        <w:t xml:space="preserve">los servicios meteorológicos. </w:t>
      </w:r>
    </w:p>
    <w:p w14:paraId="167B0BF1" w14:textId="3401EDBB" w:rsidR="006D796F" w:rsidRDefault="006D796F" w:rsidP="006D796F">
      <w:r>
        <w:t>15.2</w:t>
      </w:r>
      <w:r w:rsidR="00311D36">
        <w:tab/>
      </w:r>
      <w:r>
        <w:t xml:space="preserve">El </w:t>
      </w:r>
      <w:r w:rsidRPr="00311D36">
        <w:rPr>
          <w:b/>
          <w:bCs/>
        </w:rPr>
        <w:t>Presidente</w:t>
      </w:r>
      <w:r>
        <w:t xml:space="preserve"> </w:t>
      </w:r>
      <w:r w:rsidR="00311D36">
        <w:t xml:space="preserve">declara </w:t>
      </w:r>
      <w:r>
        <w:t xml:space="preserve">que </w:t>
      </w:r>
      <w:r w:rsidR="00311D36">
        <w:t xml:space="preserve">dichos </w:t>
      </w:r>
      <w:r>
        <w:t xml:space="preserve">debates se </w:t>
      </w:r>
      <w:r w:rsidR="00311D36">
        <w:t xml:space="preserve">celebraron </w:t>
      </w:r>
      <w:r>
        <w:t xml:space="preserve">la tarde </w:t>
      </w:r>
      <w:r w:rsidR="00311D36">
        <w:t xml:space="preserve">del día </w:t>
      </w:r>
      <w:r>
        <w:t xml:space="preserve">anterior y que se espera </w:t>
      </w:r>
      <w:r w:rsidR="00A8592E">
        <w:t xml:space="preserve">que se presente </w:t>
      </w:r>
      <w:r>
        <w:t xml:space="preserve">una </w:t>
      </w:r>
      <w:r w:rsidR="00311D36">
        <w:t>R</w:t>
      </w:r>
      <w:r>
        <w:t xml:space="preserve">esolución más tarde ese mismo día. No obstante, la delegación de China </w:t>
      </w:r>
      <w:r w:rsidR="00A8592E">
        <w:t xml:space="preserve">podrá </w:t>
      </w:r>
      <w:r>
        <w:t xml:space="preserve">asistir a cualquier otra reunión. El punto 1.13 del orden del día </w:t>
      </w:r>
      <w:r w:rsidR="00A8592E">
        <w:t xml:space="preserve">es </w:t>
      </w:r>
      <w:r>
        <w:t xml:space="preserve">muy importante y </w:t>
      </w:r>
      <w:r w:rsidR="00A8592E">
        <w:t xml:space="preserve">requiere </w:t>
      </w:r>
      <w:r w:rsidR="00F824D1">
        <w:t xml:space="preserve">llegar un </w:t>
      </w:r>
      <w:r>
        <w:t>consenso. Es importante lograr un resultado que sea justo y que ayude a fomentar el desarrollo.</w:t>
      </w:r>
    </w:p>
    <w:p w14:paraId="0985CD68" w14:textId="792C1685" w:rsidR="006D796F" w:rsidRDefault="006D796F" w:rsidP="006D796F">
      <w:r>
        <w:t>15.3</w:t>
      </w:r>
      <w:r w:rsidR="00F824D1">
        <w:tab/>
      </w:r>
      <w:r>
        <w:t xml:space="preserve">El </w:t>
      </w:r>
      <w:r w:rsidRPr="00F824D1">
        <w:rPr>
          <w:b/>
          <w:bCs/>
        </w:rPr>
        <w:t>delegado de la República Islámica del Irán</w:t>
      </w:r>
      <w:r>
        <w:t xml:space="preserve"> </w:t>
      </w:r>
      <w:r w:rsidR="00F824D1">
        <w:t>se muestra a favor de</w:t>
      </w:r>
      <w:r>
        <w:t xml:space="preserve"> la petición formulada por l</w:t>
      </w:r>
      <w:r w:rsidR="000921C1">
        <w:t>a</w:t>
      </w:r>
      <w:r>
        <w:t xml:space="preserve"> delegad</w:t>
      </w:r>
      <w:r w:rsidR="000921C1">
        <w:t>a</w:t>
      </w:r>
      <w:r>
        <w:t xml:space="preserve"> de China. Sería prudente incluir en los debates a los principales actores, así como a los grupos regionales, de conformidad con el principio de universalidad. </w:t>
      </w:r>
      <w:r w:rsidR="00A729FE">
        <w:t>Ruega</w:t>
      </w:r>
      <w:r>
        <w:t xml:space="preserve"> a los participantes que </w:t>
      </w:r>
      <w:r w:rsidR="00A729FE">
        <w:t xml:space="preserve">demuestren </w:t>
      </w:r>
      <w:r>
        <w:t xml:space="preserve">un espíritu de compromiso. </w:t>
      </w:r>
    </w:p>
    <w:p w14:paraId="6D25D2BD" w14:textId="4909DE9F" w:rsidR="006D796F" w:rsidRDefault="006D796F" w:rsidP="006D796F">
      <w:r>
        <w:t>15.4</w:t>
      </w:r>
      <w:r w:rsidR="00A729FE">
        <w:tab/>
      </w:r>
      <w:r>
        <w:t xml:space="preserve">El </w:t>
      </w:r>
      <w:r w:rsidRPr="00A729FE">
        <w:rPr>
          <w:b/>
          <w:bCs/>
        </w:rPr>
        <w:t>delegado de México</w:t>
      </w:r>
      <w:r>
        <w:t xml:space="preserve"> </w:t>
      </w:r>
      <w:r w:rsidR="00A729FE">
        <w:t xml:space="preserve">declara </w:t>
      </w:r>
      <w:r>
        <w:t xml:space="preserve">que, </w:t>
      </w:r>
      <w:r w:rsidR="00A729FE">
        <w:t xml:space="preserve">una vez concluidas </w:t>
      </w:r>
      <w:r>
        <w:t xml:space="preserve">las negociaciones con Estados Unidos, México desea retirar su solicitud de </w:t>
      </w:r>
      <w:r w:rsidR="002E63A5">
        <w:t xml:space="preserve">que se añada su nombre </w:t>
      </w:r>
      <w:r>
        <w:t>a la nota 5.441A.</w:t>
      </w:r>
    </w:p>
    <w:p w14:paraId="5F129332" w14:textId="67D4700F" w:rsidR="006D796F" w:rsidRDefault="006D796F" w:rsidP="006D796F">
      <w:r>
        <w:t>15.5</w:t>
      </w:r>
      <w:r w:rsidR="002E63A5">
        <w:tab/>
      </w:r>
      <w:r w:rsidR="000921C1">
        <w:t>La</w:t>
      </w:r>
      <w:r>
        <w:t xml:space="preserve"> </w:t>
      </w:r>
      <w:r w:rsidRPr="002E63A5">
        <w:rPr>
          <w:b/>
          <w:bCs/>
        </w:rPr>
        <w:t>Secretari</w:t>
      </w:r>
      <w:r w:rsidR="000921C1">
        <w:rPr>
          <w:b/>
          <w:bCs/>
        </w:rPr>
        <w:t>a</w:t>
      </w:r>
      <w:r w:rsidRPr="002E63A5">
        <w:rPr>
          <w:b/>
          <w:bCs/>
        </w:rPr>
        <w:t xml:space="preserve"> de la Plenaria</w:t>
      </w:r>
      <w:r>
        <w:t xml:space="preserve"> </w:t>
      </w:r>
      <w:r w:rsidR="002E63A5">
        <w:t xml:space="preserve">declara </w:t>
      </w:r>
      <w:r>
        <w:t xml:space="preserve">que el documento pertinente se ha dejado en suspenso hasta que concluyan las negociaciones. Una vez que el documento haya sido revisado para </w:t>
      </w:r>
      <w:r w:rsidR="002E63A5">
        <w:t xml:space="preserve">incorporar </w:t>
      </w:r>
      <w:r>
        <w:t>los acuerdos alcanzados, se presentará a la Plenaria.</w:t>
      </w:r>
    </w:p>
    <w:p w14:paraId="1899EF6C" w14:textId="2F0EB27F" w:rsidR="00845BE2" w:rsidRDefault="00845BE2" w:rsidP="00845BE2">
      <w:bookmarkStart w:id="81" w:name="lt_pId651"/>
      <w:bookmarkEnd w:id="80"/>
      <w:r>
        <w:t>15.6</w:t>
      </w:r>
      <w:r>
        <w:tab/>
        <w:t xml:space="preserve">El </w:t>
      </w:r>
      <w:r w:rsidRPr="00845BE2">
        <w:rPr>
          <w:b/>
          <w:bCs/>
        </w:rPr>
        <w:t>Presidente de la Comisión 5</w:t>
      </w:r>
      <w:r>
        <w:t xml:space="preserve"> propone que los trabajos sobre los puntos 1.6 y 9.1 del orden del día </w:t>
      </w:r>
      <w:r w:rsidR="00A26DC7">
        <w:t xml:space="preserve">(Tema 9.1.3) </w:t>
      </w:r>
      <w:r>
        <w:t xml:space="preserve">requieren la coordinación a nivel de los grupos regionales. </w:t>
      </w:r>
    </w:p>
    <w:p w14:paraId="6482B9E7" w14:textId="61E270B3" w:rsidR="00845BE2" w:rsidRDefault="00845BE2" w:rsidP="00845BE2">
      <w:r>
        <w:t>15.7</w:t>
      </w:r>
      <w:r>
        <w:tab/>
        <w:t xml:space="preserve">El </w:t>
      </w:r>
      <w:r w:rsidRPr="00845BE2">
        <w:rPr>
          <w:b/>
          <w:bCs/>
        </w:rPr>
        <w:t>Presidente</w:t>
      </w:r>
      <w:r>
        <w:t xml:space="preserve"> declara que es importante hacer todo lo necesario para avanzar en esos </w:t>
      </w:r>
      <w:r w:rsidR="006135E4">
        <w:t>puntos del orden del día</w:t>
      </w:r>
      <w:r>
        <w:t>.</w:t>
      </w:r>
    </w:p>
    <w:p w14:paraId="0622D18D" w14:textId="5BDBE66F" w:rsidR="00845BE2" w:rsidRDefault="00845BE2" w:rsidP="00845BE2">
      <w:r>
        <w:t>15.8</w:t>
      </w:r>
      <w:r w:rsidR="006135E4">
        <w:tab/>
      </w:r>
      <w:r>
        <w:t xml:space="preserve">El </w:t>
      </w:r>
      <w:r w:rsidRPr="006135E4">
        <w:rPr>
          <w:b/>
          <w:bCs/>
        </w:rPr>
        <w:t xml:space="preserve">Presidente del Grupo </w:t>
      </w:r>
      <w:r w:rsidRPr="000921C1">
        <w:rPr>
          <w:b/>
          <w:bCs/>
          <w:i/>
          <w:iCs/>
        </w:rPr>
        <w:t>ad hoc</w:t>
      </w:r>
      <w:r w:rsidRPr="006135E4">
        <w:rPr>
          <w:b/>
          <w:bCs/>
        </w:rPr>
        <w:t xml:space="preserve"> </w:t>
      </w:r>
      <w:r w:rsidR="006135E4" w:rsidRPr="006135E4">
        <w:rPr>
          <w:b/>
          <w:bCs/>
        </w:rPr>
        <w:t>6</w:t>
      </w:r>
      <w:r w:rsidR="006135E4">
        <w:t xml:space="preserve"> </w:t>
      </w:r>
      <w:r w:rsidRPr="006135E4">
        <w:rPr>
          <w:b/>
          <w:bCs/>
        </w:rPr>
        <w:t xml:space="preserve">de la Plenaria </w:t>
      </w:r>
      <w:r w:rsidR="001700AD">
        <w:t xml:space="preserve">pide </w:t>
      </w:r>
      <w:r>
        <w:t xml:space="preserve">a la Plenaria que </w:t>
      </w:r>
      <w:r w:rsidR="001700AD">
        <w:t xml:space="preserve">examine </w:t>
      </w:r>
      <w:r>
        <w:t xml:space="preserve">si </w:t>
      </w:r>
      <w:r w:rsidR="001700AD">
        <w:t xml:space="preserve">es </w:t>
      </w:r>
      <w:r>
        <w:t xml:space="preserve">necesario celebrar una nueva reunión del </w:t>
      </w:r>
      <w:r w:rsidR="001700AD">
        <w:t>G</w:t>
      </w:r>
      <w:r>
        <w:t xml:space="preserve">rupo </w:t>
      </w:r>
      <w:r w:rsidRPr="000921C1">
        <w:rPr>
          <w:i/>
          <w:iCs/>
        </w:rPr>
        <w:t>ad hoc</w:t>
      </w:r>
      <w:r>
        <w:t xml:space="preserve"> para </w:t>
      </w:r>
      <w:r w:rsidR="001700AD">
        <w:t xml:space="preserve">examinar los temas </w:t>
      </w:r>
      <w:r>
        <w:t>relacionad</w:t>
      </w:r>
      <w:r w:rsidR="001700AD">
        <w:t>o</w:t>
      </w:r>
      <w:r>
        <w:t>s con el punto 10 del orden del día.</w:t>
      </w:r>
    </w:p>
    <w:p w14:paraId="00CDC0A7" w14:textId="777375F5" w:rsidR="00845BE2" w:rsidRDefault="00845BE2" w:rsidP="00845BE2">
      <w:r>
        <w:t>15.9</w:t>
      </w:r>
      <w:r w:rsidR="001700AD">
        <w:tab/>
      </w:r>
      <w:r>
        <w:t xml:space="preserve">El </w:t>
      </w:r>
      <w:r w:rsidRPr="001700AD">
        <w:rPr>
          <w:b/>
          <w:bCs/>
        </w:rPr>
        <w:t>delegado de la República Islámica del Irán</w:t>
      </w:r>
      <w:r>
        <w:t xml:space="preserve"> </w:t>
      </w:r>
      <w:r w:rsidR="001700AD">
        <w:t xml:space="preserve">declara </w:t>
      </w:r>
      <w:r>
        <w:t xml:space="preserve">que, </w:t>
      </w:r>
      <w:r w:rsidR="00B71859">
        <w:t xml:space="preserve">si </w:t>
      </w:r>
      <w:r>
        <w:t>se celebr</w:t>
      </w:r>
      <w:r w:rsidR="00B71859">
        <w:t>a</w:t>
      </w:r>
      <w:r>
        <w:t xml:space="preserve"> una reunión adicional, ésta </w:t>
      </w:r>
      <w:r w:rsidR="00B71859">
        <w:t>deberá con</w:t>
      </w:r>
      <w:r>
        <w:t xml:space="preserve">centrarse en el orden del día de la CMR-23, en particular en las </w:t>
      </w:r>
      <w:r w:rsidR="00B71859">
        <w:t xml:space="preserve">aspectos </w:t>
      </w:r>
      <w:r>
        <w:t xml:space="preserve">que </w:t>
      </w:r>
      <w:r w:rsidR="00B71859">
        <w:t xml:space="preserve">están </w:t>
      </w:r>
      <w:r>
        <w:t xml:space="preserve">entre corchetes. No </w:t>
      </w:r>
      <w:r w:rsidR="00AC2F81">
        <w:t xml:space="preserve">hay </w:t>
      </w:r>
      <w:r>
        <w:t>tiempo suficiente para examinar detalladamente la Resolución relativa al orden del día de la CMR-27.</w:t>
      </w:r>
    </w:p>
    <w:p w14:paraId="22F4CD5F" w14:textId="23813DAE" w:rsidR="00AC2F81" w:rsidRDefault="00AC2F81" w:rsidP="00AC2F81">
      <w:bookmarkStart w:id="82" w:name="lt_pId661"/>
      <w:bookmarkEnd w:id="81"/>
      <w:r>
        <w:t>15.10</w:t>
      </w:r>
      <w:r>
        <w:tab/>
        <w:t xml:space="preserve">El </w:t>
      </w:r>
      <w:r w:rsidRPr="00AC2F81">
        <w:rPr>
          <w:b/>
          <w:bCs/>
        </w:rPr>
        <w:t xml:space="preserve">Presidente del Grupo </w:t>
      </w:r>
      <w:r w:rsidRPr="000921C1">
        <w:rPr>
          <w:b/>
          <w:bCs/>
          <w:i/>
          <w:iCs/>
        </w:rPr>
        <w:t>ad hoc</w:t>
      </w:r>
      <w:r w:rsidRPr="00AC2F81">
        <w:rPr>
          <w:b/>
          <w:bCs/>
        </w:rPr>
        <w:t xml:space="preserve"> 6</w:t>
      </w:r>
      <w:r>
        <w:t xml:space="preserve"> </w:t>
      </w:r>
      <w:r w:rsidRPr="00AC2F81">
        <w:rPr>
          <w:b/>
          <w:bCs/>
        </w:rPr>
        <w:t xml:space="preserve">de la Plenaria </w:t>
      </w:r>
      <w:r>
        <w:t xml:space="preserve">aduce que, </w:t>
      </w:r>
      <w:r w:rsidR="009C6C03">
        <w:t xml:space="preserve">como </w:t>
      </w:r>
      <w:r>
        <w:t>ya se ha debatido ampliamente el orden del día de la CMR-23, ser</w:t>
      </w:r>
      <w:r w:rsidR="009C6C03">
        <w:t>ía</w:t>
      </w:r>
      <w:r>
        <w:t xml:space="preserve"> útil examinar más detalladamente la situación relativa al orden del día de la CMR-27. Invit</w:t>
      </w:r>
      <w:r w:rsidR="007C0BF2">
        <w:t>a</w:t>
      </w:r>
      <w:r>
        <w:t xml:space="preserve"> a los representantes de las organizaciones regionales a asistir a una reunión adicional y a exponer sus opiniones.</w:t>
      </w:r>
    </w:p>
    <w:p w14:paraId="2477694A" w14:textId="3027F17C" w:rsidR="00AC2F81" w:rsidRDefault="00AC2F81" w:rsidP="00AC2F81">
      <w:r>
        <w:t>15.11</w:t>
      </w:r>
      <w:r w:rsidR="007C0BF2">
        <w:tab/>
      </w:r>
      <w:r>
        <w:t xml:space="preserve">El </w:t>
      </w:r>
      <w:r w:rsidRPr="007C0BF2">
        <w:rPr>
          <w:b/>
          <w:bCs/>
        </w:rPr>
        <w:t>Presidente</w:t>
      </w:r>
      <w:r>
        <w:t xml:space="preserve"> </w:t>
      </w:r>
      <w:r w:rsidR="007C0BF2">
        <w:t xml:space="preserve">insta </w:t>
      </w:r>
      <w:r>
        <w:t xml:space="preserve">al Grupo </w:t>
      </w:r>
      <w:r w:rsidRPr="000921C1">
        <w:rPr>
          <w:i/>
          <w:iCs/>
        </w:rPr>
        <w:t>ad hoc</w:t>
      </w:r>
      <w:r>
        <w:t xml:space="preserve"> a celebrar las reuniones que necesit</w:t>
      </w:r>
      <w:r w:rsidR="007C0BF2">
        <w:t>e</w:t>
      </w:r>
      <w:r>
        <w:t>, dada la importancia de terminar los trabajos sobre el punto 10 del orden del día. E</w:t>
      </w:r>
      <w:r w:rsidR="00961CE5">
        <w:t>xtiende e</w:t>
      </w:r>
      <w:r>
        <w:t xml:space="preserve">l mismo consejo a los demás </w:t>
      </w:r>
      <w:r w:rsidR="00961CE5">
        <w:t>G</w:t>
      </w:r>
      <w:r>
        <w:t xml:space="preserve">rupos </w:t>
      </w:r>
      <w:r w:rsidRPr="000921C1">
        <w:rPr>
          <w:i/>
          <w:iCs/>
        </w:rPr>
        <w:t>ad hoc</w:t>
      </w:r>
      <w:r>
        <w:t xml:space="preserve">. En caso de </w:t>
      </w:r>
      <w:r w:rsidR="00961CE5">
        <w:t>que se produzca un estancamiento</w:t>
      </w:r>
      <w:r>
        <w:t xml:space="preserve"> de las cuestiones, </w:t>
      </w:r>
      <w:r w:rsidR="00961CE5">
        <w:t xml:space="preserve">insta </w:t>
      </w:r>
      <w:r>
        <w:t xml:space="preserve">a los participantes a </w:t>
      </w:r>
      <w:r w:rsidR="00961CE5">
        <w:t xml:space="preserve">ponerse </w:t>
      </w:r>
      <w:r>
        <w:t xml:space="preserve">en contacto con él directamente. Lo mejor </w:t>
      </w:r>
      <w:r w:rsidR="00961CE5">
        <w:t xml:space="preserve">es </w:t>
      </w:r>
      <w:r>
        <w:t xml:space="preserve">resolver las cuestiones en los grupos especiales, y no en </w:t>
      </w:r>
      <w:r w:rsidR="00961CE5">
        <w:t>la Plenari</w:t>
      </w:r>
      <w:r w:rsidR="0017368A">
        <w:t>a</w:t>
      </w:r>
      <w:r>
        <w:t>.</w:t>
      </w:r>
    </w:p>
    <w:p w14:paraId="140F0311" w14:textId="07680182" w:rsidR="00AC2F81" w:rsidRDefault="00AC2F81" w:rsidP="0007683B">
      <w:r>
        <w:lastRenderedPageBreak/>
        <w:t>15.12</w:t>
      </w:r>
      <w:r w:rsidR="00961CE5">
        <w:tab/>
      </w:r>
      <w:r>
        <w:t xml:space="preserve">Tras </w:t>
      </w:r>
      <w:r w:rsidR="00961CE5">
        <w:t xml:space="preserve">unas deliberaciones </w:t>
      </w:r>
      <w:r>
        <w:t xml:space="preserve">en </w:t>
      </w:r>
      <w:r w:rsidR="00961CE5">
        <w:t xml:space="preserve">las </w:t>
      </w:r>
      <w:r>
        <w:t xml:space="preserve">que participaron los delegados de Emiratos Árabes Unidos, República Islámica del Irán, Alemania, Reino Unido, Luxemburgo y Eslovenia sobre </w:t>
      </w:r>
      <w:r w:rsidR="00961CE5">
        <w:t xml:space="preserve">los temas </w:t>
      </w:r>
      <w:r>
        <w:t>y documentos que deb</w:t>
      </w:r>
      <w:r w:rsidR="00961CE5">
        <w:t>e</w:t>
      </w:r>
      <w:r>
        <w:t xml:space="preserve"> </w:t>
      </w:r>
      <w:r w:rsidR="00961CE5">
        <w:t xml:space="preserve">examinar </w:t>
      </w:r>
      <w:r>
        <w:t xml:space="preserve">el Grupo </w:t>
      </w:r>
      <w:r w:rsidRPr="000921C1">
        <w:rPr>
          <w:i/>
          <w:iCs/>
        </w:rPr>
        <w:t>ad hoc</w:t>
      </w:r>
      <w:r>
        <w:t xml:space="preserve"> </w:t>
      </w:r>
      <w:r w:rsidR="00961CE5">
        <w:t xml:space="preserve">6 </w:t>
      </w:r>
      <w:r>
        <w:t xml:space="preserve">de la </w:t>
      </w:r>
      <w:r w:rsidR="00961CE5">
        <w:t>P</w:t>
      </w:r>
      <w:r>
        <w:t xml:space="preserve">lenaria, el Presidente del Grupo </w:t>
      </w:r>
      <w:r w:rsidRPr="000921C1">
        <w:rPr>
          <w:i/>
          <w:iCs/>
        </w:rPr>
        <w:t>ad hoc</w:t>
      </w:r>
      <w:r>
        <w:t xml:space="preserve"> </w:t>
      </w:r>
      <w:r w:rsidR="00961CE5">
        <w:t xml:space="preserve">6 </w:t>
      </w:r>
      <w:r>
        <w:t xml:space="preserve">de la </w:t>
      </w:r>
      <w:r w:rsidR="00961CE5">
        <w:t>P</w:t>
      </w:r>
      <w:r>
        <w:t xml:space="preserve">lenaria </w:t>
      </w:r>
      <w:r w:rsidR="009855E2">
        <w:t xml:space="preserve">accede a que </w:t>
      </w:r>
      <w:r w:rsidR="00961CE5">
        <w:t>se celebr</w:t>
      </w:r>
      <w:r w:rsidR="009855E2">
        <w:t>e</w:t>
      </w:r>
      <w:r w:rsidR="00961CE5">
        <w:t xml:space="preserve"> </w:t>
      </w:r>
      <w:r>
        <w:t>una reunión adicional, pero no est</w:t>
      </w:r>
      <w:r w:rsidR="00961CE5">
        <w:t>á</w:t>
      </w:r>
      <w:r>
        <w:t xml:space="preserve"> dispuesto a reabrir el debate sobre los puntos ya acordados.</w:t>
      </w:r>
    </w:p>
    <w:p w14:paraId="41DAAD5F" w14:textId="21427F28" w:rsidR="001A318A" w:rsidRPr="00C23F0B" w:rsidRDefault="001A318A" w:rsidP="001A318A">
      <w:pPr>
        <w:rPr>
          <w:b/>
          <w:bCs/>
        </w:rPr>
      </w:pPr>
      <w:bookmarkStart w:id="83" w:name="lt_pId662"/>
      <w:bookmarkEnd w:id="82"/>
      <w:r w:rsidRPr="00C23F0B">
        <w:rPr>
          <w:b/>
          <w:bCs/>
        </w:rPr>
        <w:t>Se levanta la sesión a las 1</w:t>
      </w:r>
      <w:r w:rsidR="003B054C" w:rsidRPr="00C23F0B">
        <w:rPr>
          <w:b/>
          <w:bCs/>
        </w:rPr>
        <w:t>0</w:t>
      </w:r>
      <w:r w:rsidRPr="00C23F0B">
        <w:rPr>
          <w:b/>
          <w:bCs/>
        </w:rPr>
        <w:t>.5</w:t>
      </w:r>
      <w:r w:rsidR="003B054C" w:rsidRPr="00C23F0B">
        <w:rPr>
          <w:b/>
          <w:bCs/>
        </w:rPr>
        <w:t>0</w:t>
      </w:r>
      <w:r w:rsidRPr="00C23F0B">
        <w:rPr>
          <w:b/>
          <w:bCs/>
        </w:rPr>
        <w:t xml:space="preserve"> horas.</w:t>
      </w:r>
    </w:p>
    <w:bookmarkEnd w:id="83"/>
    <w:p w14:paraId="44FE7CB4" w14:textId="372D5651" w:rsidR="00B22BF1" w:rsidRPr="00C23F0B" w:rsidRDefault="00B22BF1" w:rsidP="00A37329">
      <w:pPr>
        <w:tabs>
          <w:tab w:val="clear" w:pos="1134"/>
          <w:tab w:val="clear" w:pos="1871"/>
          <w:tab w:val="clear" w:pos="2268"/>
          <w:tab w:val="center" w:pos="7655"/>
        </w:tabs>
        <w:spacing w:before="1320"/>
      </w:pPr>
      <w:r w:rsidRPr="00C23F0B">
        <w:t>El Secretario General:</w:t>
      </w:r>
      <w:r w:rsidRPr="00C23F0B">
        <w:tab/>
        <w:t>El Presidente:</w:t>
      </w:r>
      <w:r w:rsidRPr="00C23F0B">
        <w:br/>
        <w:t>H. ZHAO</w:t>
      </w:r>
      <w:r w:rsidRPr="00C23F0B">
        <w:tab/>
        <w:t>A. BADAWI</w:t>
      </w:r>
    </w:p>
    <w:sectPr w:rsidR="00B22BF1" w:rsidRPr="00C23F0B">
      <w:headerReference w:type="default" r:id="rId17"/>
      <w:footerReference w:type="even" r:id="rId18"/>
      <w:footerReference w:type="default" r:id="rId19"/>
      <w:footerReference w:type="first" r:id="rId2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9AFC6" w14:textId="77777777" w:rsidR="00491A9D" w:rsidRDefault="00491A9D">
      <w:r>
        <w:separator/>
      </w:r>
    </w:p>
  </w:endnote>
  <w:endnote w:type="continuationSeparator" w:id="0">
    <w:p w14:paraId="1AFEB743" w14:textId="77777777" w:rsidR="00491A9D" w:rsidRDefault="0049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B9C7B" w14:textId="77777777" w:rsidR="00491A9D" w:rsidRDefault="00491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4EE491" w14:textId="03B54F57" w:rsidR="00491A9D" w:rsidRPr="00803D45" w:rsidRDefault="00491A9D">
    <w:pPr>
      <w:ind w:right="360"/>
    </w:pPr>
    <w:r>
      <w:fldChar w:fldCharType="begin"/>
    </w:r>
    <w:r w:rsidRPr="00803D45">
      <w:instrText xml:space="preserve"> FILENAME \p  \* MERGEFORMAT </w:instrText>
    </w:r>
    <w:r>
      <w:fldChar w:fldCharType="separate"/>
    </w:r>
    <w:r w:rsidR="00803D45">
      <w:rPr>
        <w:noProof/>
      </w:rPr>
      <w:t>P:\ESP\ITU-R\CONF-R\CMR19\500\571S.docx</w:t>
    </w:r>
    <w:r>
      <w:fldChar w:fldCharType="end"/>
    </w:r>
    <w:r w:rsidRPr="00803D45">
      <w:tab/>
    </w:r>
    <w:r>
      <w:fldChar w:fldCharType="begin"/>
    </w:r>
    <w:r>
      <w:instrText xml:space="preserve"> SAVEDATE \@ DD.MM.YY </w:instrText>
    </w:r>
    <w:r>
      <w:fldChar w:fldCharType="separate"/>
    </w:r>
    <w:r w:rsidR="00803D45">
      <w:rPr>
        <w:noProof/>
      </w:rPr>
      <w:t>17.01.20</w:t>
    </w:r>
    <w:r>
      <w:fldChar w:fldCharType="end"/>
    </w:r>
    <w:r w:rsidRPr="00803D45">
      <w:tab/>
    </w:r>
    <w:r>
      <w:fldChar w:fldCharType="begin"/>
    </w:r>
    <w:r>
      <w:instrText xml:space="preserve"> PRINTDATE \@ DD.MM.YY </w:instrText>
    </w:r>
    <w:r>
      <w:fldChar w:fldCharType="separate"/>
    </w:r>
    <w:r w:rsidR="00803D45">
      <w:rPr>
        <w:noProof/>
      </w:rPr>
      <w:t>17.01.20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5D60" w14:textId="782349F5" w:rsidR="00491A9D" w:rsidRPr="003B25F7" w:rsidRDefault="000921C1" w:rsidP="000921C1">
    <w:pPr>
      <w:pStyle w:val="Footer"/>
      <w:rPr>
        <w:lang w:val="en-US"/>
      </w:rPr>
    </w:pPr>
    <w:fldSimple w:instr=" FILENAME \p  \* MERGEFORMAT ">
      <w:r w:rsidR="00803D45">
        <w:t>P:\ESP\ITU-R\CONF-R\CMR19\500\571S.docx</w:t>
      </w:r>
    </w:fldSimple>
    <w:r>
      <w:t xml:space="preserve"> (465904)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C0A27" w14:textId="339FDDBF" w:rsidR="00491A9D" w:rsidRPr="000921C1" w:rsidRDefault="000921C1" w:rsidP="000921C1">
    <w:pPr>
      <w:pStyle w:val="Footer"/>
      <w:rPr>
        <w:lang w:val="en-US"/>
      </w:rPr>
    </w:pPr>
    <w:r>
      <w:fldChar w:fldCharType="begin"/>
    </w:r>
    <w:r>
      <w:instrText xml:space="preserve"> FILENAME \p  \* MERGEFORMAT </w:instrText>
    </w:r>
    <w:r>
      <w:fldChar w:fldCharType="separate"/>
    </w:r>
    <w:r w:rsidR="00803D45">
      <w:t>P:\ESP\ITU-R\CONF-R\CMR19\500\571S.docx</w:t>
    </w:r>
    <w:r>
      <w:fldChar w:fldCharType="end"/>
    </w:r>
    <w:r>
      <w:t xml:space="preserve"> (465904)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C0FA3" w14:textId="77777777" w:rsidR="00491A9D" w:rsidRDefault="00491A9D">
      <w:r>
        <w:rPr>
          <w:b/>
        </w:rPr>
        <w:t>_______________</w:t>
      </w:r>
    </w:p>
  </w:footnote>
  <w:footnote w:type="continuationSeparator" w:id="0">
    <w:p w14:paraId="3600F535" w14:textId="77777777" w:rsidR="00491A9D" w:rsidRDefault="00491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1668" w14:textId="77777777" w:rsidR="00491A9D" w:rsidRDefault="00491A9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71838A5" w14:textId="14AC68CB" w:rsidR="00491A9D" w:rsidRDefault="00491A9D" w:rsidP="00A4450C">
    <w:pPr>
      <w:pStyle w:val="Header"/>
      <w:rPr>
        <w:lang w:val="en-US"/>
      </w:rPr>
    </w:pPr>
    <w:r>
      <w:rPr>
        <w:lang w:val="en-US"/>
      </w:rPr>
      <w:t>CMR19/571-S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0A"/>
    <w:rsid w:val="00007D26"/>
    <w:rsid w:val="00011F9C"/>
    <w:rsid w:val="0007683B"/>
    <w:rsid w:val="00081A7C"/>
    <w:rsid w:val="00087AE8"/>
    <w:rsid w:val="00091102"/>
    <w:rsid w:val="000921C1"/>
    <w:rsid w:val="000C0C78"/>
    <w:rsid w:val="000D1059"/>
    <w:rsid w:val="000E45E1"/>
    <w:rsid w:val="000E5BF9"/>
    <w:rsid w:val="000F0E6D"/>
    <w:rsid w:val="000F188B"/>
    <w:rsid w:val="00121170"/>
    <w:rsid w:val="00123CC5"/>
    <w:rsid w:val="0015142D"/>
    <w:rsid w:val="001616DC"/>
    <w:rsid w:val="00163962"/>
    <w:rsid w:val="001700AD"/>
    <w:rsid w:val="0017368A"/>
    <w:rsid w:val="0018648A"/>
    <w:rsid w:val="00191A97"/>
    <w:rsid w:val="00192FFF"/>
    <w:rsid w:val="001A318A"/>
    <w:rsid w:val="001C41FA"/>
    <w:rsid w:val="001E2B52"/>
    <w:rsid w:val="001E3F27"/>
    <w:rsid w:val="00213110"/>
    <w:rsid w:val="0021562A"/>
    <w:rsid w:val="002262A5"/>
    <w:rsid w:val="00232EA2"/>
    <w:rsid w:val="00236D2A"/>
    <w:rsid w:val="0023791D"/>
    <w:rsid w:val="00252A92"/>
    <w:rsid w:val="002530C4"/>
    <w:rsid w:val="00255F12"/>
    <w:rsid w:val="00262C09"/>
    <w:rsid w:val="002763BB"/>
    <w:rsid w:val="002765CD"/>
    <w:rsid w:val="00280126"/>
    <w:rsid w:val="00294541"/>
    <w:rsid w:val="00297504"/>
    <w:rsid w:val="002A791F"/>
    <w:rsid w:val="002C1B26"/>
    <w:rsid w:val="002D424C"/>
    <w:rsid w:val="002D5BE1"/>
    <w:rsid w:val="002E63A5"/>
    <w:rsid w:val="002E701F"/>
    <w:rsid w:val="002F376C"/>
    <w:rsid w:val="002F3FA2"/>
    <w:rsid w:val="00306F2B"/>
    <w:rsid w:val="00311D36"/>
    <w:rsid w:val="00312DE7"/>
    <w:rsid w:val="0032680B"/>
    <w:rsid w:val="0034280A"/>
    <w:rsid w:val="00350922"/>
    <w:rsid w:val="00363A65"/>
    <w:rsid w:val="00377704"/>
    <w:rsid w:val="003A4B46"/>
    <w:rsid w:val="003B054C"/>
    <w:rsid w:val="003B25F7"/>
    <w:rsid w:val="003C2508"/>
    <w:rsid w:val="003D0AA3"/>
    <w:rsid w:val="003E45EA"/>
    <w:rsid w:val="004014BF"/>
    <w:rsid w:val="00401614"/>
    <w:rsid w:val="004163C5"/>
    <w:rsid w:val="00434D98"/>
    <w:rsid w:val="0044541C"/>
    <w:rsid w:val="00454553"/>
    <w:rsid w:val="004551DE"/>
    <w:rsid w:val="00485F03"/>
    <w:rsid w:val="00491A9D"/>
    <w:rsid w:val="00496238"/>
    <w:rsid w:val="004A0986"/>
    <w:rsid w:val="004B124A"/>
    <w:rsid w:val="004B31A7"/>
    <w:rsid w:val="004D08CA"/>
    <w:rsid w:val="00532097"/>
    <w:rsid w:val="005805E7"/>
    <w:rsid w:val="0058350F"/>
    <w:rsid w:val="005A3386"/>
    <w:rsid w:val="005B6446"/>
    <w:rsid w:val="005C14B5"/>
    <w:rsid w:val="005E6CDA"/>
    <w:rsid w:val="005F2605"/>
    <w:rsid w:val="005F730D"/>
    <w:rsid w:val="006135E4"/>
    <w:rsid w:val="0063082A"/>
    <w:rsid w:val="00631810"/>
    <w:rsid w:val="006414E7"/>
    <w:rsid w:val="00651114"/>
    <w:rsid w:val="00660E5F"/>
    <w:rsid w:val="00662BA0"/>
    <w:rsid w:val="00670B4D"/>
    <w:rsid w:val="0067170C"/>
    <w:rsid w:val="00686E85"/>
    <w:rsid w:val="0069267F"/>
    <w:rsid w:val="006926B8"/>
    <w:rsid w:val="00692AAE"/>
    <w:rsid w:val="006D6E67"/>
    <w:rsid w:val="006D796F"/>
    <w:rsid w:val="00701C20"/>
    <w:rsid w:val="00733048"/>
    <w:rsid w:val="007354E9"/>
    <w:rsid w:val="007542C0"/>
    <w:rsid w:val="00765578"/>
    <w:rsid w:val="0077084A"/>
    <w:rsid w:val="00775DC2"/>
    <w:rsid w:val="007C0BF2"/>
    <w:rsid w:val="007C2317"/>
    <w:rsid w:val="007C5E7C"/>
    <w:rsid w:val="007D330A"/>
    <w:rsid w:val="00803D45"/>
    <w:rsid w:val="008202A9"/>
    <w:rsid w:val="00820FE2"/>
    <w:rsid w:val="008406C2"/>
    <w:rsid w:val="00845BE2"/>
    <w:rsid w:val="00866AE6"/>
    <w:rsid w:val="00872F93"/>
    <w:rsid w:val="00895B91"/>
    <w:rsid w:val="0089667B"/>
    <w:rsid w:val="008E7DB0"/>
    <w:rsid w:val="009165C3"/>
    <w:rsid w:val="00924277"/>
    <w:rsid w:val="0094091F"/>
    <w:rsid w:val="009421A8"/>
    <w:rsid w:val="009538D2"/>
    <w:rsid w:val="00961CE5"/>
    <w:rsid w:val="00973754"/>
    <w:rsid w:val="009855E2"/>
    <w:rsid w:val="009A599E"/>
    <w:rsid w:val="009C0BED"/>
    <w:rsid w:val="009C6C03"/>
    <w:rsid w:val="009E11EC"/>
    <w:rsid w:val="009F6FD5"/>
    <w:rsid w:val="00A06ADC"/>
    <w:rsid w:val="00A118DB"/>
    <w:rsid w:val="00A26DC7"/>
    <w:rsid w:val="00A317F9"/>
    <w:rsid w:val="00A37329"/>
    <w:rsid w:val="00A4450C"/>
    <w:rsid w:val="00A729FE"/>
    <w:rsid w:val="00A7609F"/>
    <w:rsid w:val="00A769AE"/>
    <w:rsid w:val="00A8592E"/>
    <w:rsid w:val="00AA5E6C"/>
    <w:rsid w:val="00AC2F81"/>
    <w:rsid w:val="00AE5677"/>
    <w:rsid w:val="00AF2F78"/>
    <w:rsid w:val="00AF3856"/>
    <w:rsid w:val="00B22BF1"/>
    <w:rsid w:val="00B515BC"/>
    <w:rsid w:val="00B5250B"/>
    <w:rsid w:val="00B52D55"/>
    <w:rsid w:val="00B630D9"/>
    <w:rsid w:val="00B71859"/>
    <w:rsid w:val="00B95DD9"/>
    <w:rsid w:val="00BC3379"/>
    <w:rsid w:val="00BE2E80"/>
    <w:rsid w:val="00BE5EDD"/>
    <w:rsid w:val="00BE6A1F"/>
    <w:rsid w:val="00C0360B"/>
    <w:rsid w:val="00C104EC"/>
    <w:rsid w:val="00C126C4"/>
    <w:rsid w:val="00C23F0B"/>
    <w:rsid w:val="00C27D9B"/>
    <w:rsid w:val="00C63EB5"/>
    <w:rsid w:val="00C815F0"/>
    <w:rsid w:val="00C8286D"/>
    <w:rsid w:val="00C86728"/>
    <w:rsid w:val="00C918CF"/>
    <w:rsid w:val="00C934FD"/>
    <w:rsid w:val="00C97F39"/>
    <w:rsid w:val="00CC01E0"/>
    <w:rsid w:val="00CE60D2"/>
    <w:rsid w:val="00CE648A"/>
    <w:rsid w:val="00CF3153"/>
    <w:rsid w:val="00D0288A"/>
    <w:rsid w:val="00D04D3F"/>
    <w:rsid w:val="00D405F7"/>
    <w:rsid w:val="00D417C4"/>
    <w:rsid w:val="00D56218"/>
    <w:rsid w:val="00D72A5D"/>
    <w:rsid w:val="00DC629B"/>
    <w:rsid w:val="00E13977"/>
    <w:rsid w:val="00E1770A"/>
    <w:rsid w:val="00E262F1"/>
    <w:rsid w:val="00E30A11"/>
    <w:rsid w:val="00E323EE"/>
    <w:rsid w:val="00E33A9D"/>
    <w:rsid w:val="00E55A92"/>
    <w:rsid w:val="00E65C18"/>
    <w:rsid w:val="00E71D14"/>
    <w:rsid w:val="00E95AD9"/>
    <w:rsid w:val="00EA746B"/>
    <w:rsid w:val="00EE27D6"/>
    <w:rsid w:val="00F228A6"/>
    <w:rsid w:val="00F31E1E"/>
    <w:rsid w:val="00F40D83"/>
    <w:rsid w:val="00F8150C"/>
    <w:rsid w:val="00F824D1"/>
    <w:rsid w:val="00FB5E2F"/>
    <w:rsid w:val="00FC4BE9"/>
    <w:rsid w:val="00FE0A36"/>
    <w:rsid w:val="00FE4574"/>
    <w:rsid w:val="00FF4A7E"/>
    <w:rsid w:val="00FF7B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4E69C3"/>
  <w15:docId w15:val="{867014BD-AB72-45C4-B811-75AEEE41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table" w:styleId="TableGrid">
    <w:name w:val="Table Grid"/>
    <w:basedOn w:val="TableNormal"/>
    <w:rsid w:val="00350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50922"/>
    <w:rPr>
      <w:color w:val="0000FF" w:themeColor="hyperlink"/>
      <w:u w:val="single"/>
    </w:rPr>
  </w:style>
  <w:style w:type="character" w:styleId="UnresolvedMention">
    <w:name w:val="Unresolved Mention"/>
    <w:basedOn w:val="DefaultParagraphFont"/>
    <w:uiPriority w:val="99"/>
    <w:semiHidden/>
    <w:unhideWhenUsed/>
    <w:rsid w:val="00350922"/>
    <w:rPr>
      <w:color w:val="605E5C"/>
      <w:shd w:val="clear" w:color="auto" w:fill="E1DFDD"/>
    </w:rPr>
  </w:style>
  <w:style w:type="character" w:styleId="FollowedHyperlink">
    <w:name w:val="FollowedHyperlink"/>
    <w:basedOn w:val="DefaultParagraphFont"/>
    <w:semiHidden/>
    <w:unhideWhenUsed/>
    <w:rsid w:val="008966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meetingdoc.asp?lang=es&amp;parent=R16-WRC19-C-009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16-WRC19-C-0164/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www.itu.int/md/meetingdoc.asp?lang=es&amp;parent=R16-WRC19-C-0035" TargetMode="Externa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itu.int/md/meetingdoc.asp?lang=es&amp;parent=R16-WRC19-C-0048"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168E6-6BBF-48CF-B97F-A0865580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167</TotalTime>
  <Pages>20</Pages>
  <Words>8612</Words>
  <Characters>43432</Characters>
  <Application>Microsoft Office Word</Application>
  <DocSecurity>0</DocSecurity>
  <Lines>361</Lines>
  <Paragraphs>103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51941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Spanish</dc:creator>
  <cp:keywords/>
  <cp:lastModifiedBy>Spanish83</cp:lastModifiedBy>
  <cp:revision>28</cp:revision>
  <cp:lastPrinted>2020-01-17T10:48:00Z</cp:lastPrinted>
  <dcterms:created xsi:type="dcterms:W3CDTF">2020-01-17T10:25:00Z</dcterms:created>
  <dcterms:modified xsi:type="dcterms:W3CDTF">2020-01-17T14:00:00Z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