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0E354C" w14:paraId="215A9864" w14:textId="77777777" w:rsidTr="00773113">
        <w:trPr>
          <w:cantSplit/>
        </w:trPr>
        <w:tc>
          <w:tcPr>
            <w:tcW w:w="6911" w:type="dxa"/>
          </w:tcPr>
          <w:p w14:paraId="72A9FEA6" w14:textId="77777777" w:rsidR="00587A4E" w:rsidRPr="000E354C" w:rsidRDefault="00587A4E" w:rsidP="00C231DE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0E354C">
              <w:rPr>
                <w:rFonts w:ascii="Verdana" w:hAnsi="Verdana"/>
                <w:b/>
                <w:bCs/>
                <w:sz w:val="20"/>
              </w:rPr>
              <w:t>Conférence mondiale des radiocommunications (CMR-19)</w:t>
            </w:r>
            <w:r w:rsidRPr="000E354C">
              <w:rPr>
                <w:rFonts w:ascii="Verdana" w:hAnsi="Verdana"/>
                <w:b/>
                <w:bCs/>
                <w:sz w:val="20"/>
              </w:rPr>
              <w:br/>
            </w:r>
            <w:r w:rsidRPr="000E354C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134655" w:rsidRPr="000E354C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0E354C">
              <w:rPr>
                <w:rFonts w:ascii="Verdana" w:hAnsi="Verdana"/>
                <w:b/>
                <w:bCs/>
                <w:sz w:val="18"/>
                <w:szCs w:val="18"/>
              </w:rPr>
              <w:t xml:space="preserve">gypte, 28 octobre </w:t>
            </w:r>
            <w:r w:rsidR="009765A8" w:rsidRPr="000E354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E354C">
              <w:rPr>
                <w:rFonts w:ascii="Verdana" w:hAnsi="Verdana"/>
                <w:b/>
                <w:bCs/>
                <w:sz w:val="18"/>
                <w:szCs w:val="18"/>
              </w:rPr>
              <w:t xml:space="preserve"> 22 novembre 2019</w:t>
            </w:r>
          </w:p>
        </w:tc>
        <w:tc>
          <w:tcPr>
            <w:tcW w:w="3120" w:type="dxa"/>
          </w:tcPr>
          <w:p w14:paraId="7E9B2801" w14:textId="77777777" w:rsidR="00587A4E" w:rsidRPr="000E354C" w:rsidRDefault="00587A4E" w:rsidP="00C231DE">
            <w:pPr>
              <w:spacing w:before="0"/>
              <w:jc w:val="right"/>
            </w:pPr>
            <w:bookmarkStart w:id="0" w:name="ditulogo"/>
            <w:bookmarkEnd w:id="0"/>
            <w:r w:rsidRPr="000E354C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70067C44" wp14:editId="43DA2EA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0E354C" w14:paraId="20E09A4E" w14:textId="77777777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94E8B4" w14:textId="77777777" w:rsidR="00587A4E" w:rsidRPr="000E354C" w:rsidRDefault="00587A4E" w:rsidP="00C231D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B019F6" w14:textId="77777777" w:rsidR="00587A4E" w:rsidRPr="000E354C" w:rsidRDefault="00587A4E" w:rsidP="00C231D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0E354C" w14:paraId="5140F998" w14:textId="77777777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8C750E" w14:textId="77777777" w:rsidR="00587A4E" w:rsidRPr="000E354C" w:rsidRDefault="00587A4E" w:rsidP="00C231D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73884F" w14:textId="77777777" w:rsidR="00587A4E" w:rsidRPr="000E354C" w:rsidRDefault="00587A4E" w:rsidP="00C231D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0E354C" w14:paraId="273F228E" w14:textId="77777777" w:rsidTr="00773113">
        <w:trPr>
          <w:cantSplit/>
        </w:trPr>
        <w:tc>
          <w:tcPr>
            <w:tcW w:w="6911" w:type="dxa"/>
          </w:tcPr>
          <w:p w14:paraId="44B40D37" w14:textId="29DA372F" w:rsidR="00587A4E" w:rsidRPr="000E354C" w:rsidRDefault="00CD785F" w:rsidP="00C231D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E354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4A6BDE62" w14:textId="242AF7A7" w:rsidR="00587A4E" w:rsidRPr="000E354C" w:rsidRDefault="00587A4E" w:rsidP="00C231DE">
            <w:pPr>
              <w:spacing w:before="0"/>
              <w:rPr>
                <w:rFonts w:ascii="Verdana" w:hAnsi="Verdana"/>
                <w:sz w:val="20"/>
              </w:rPr>
            </w:pPr>
            <w:r w:rsidRPr="000E354C">
              <w:rPr>
                <w:rFonts w:ascii="Verdana" w:hAnsi="Verdana"/>
                <w:b/>
                <w:sz w:val="20"/>
              </w:rPr>
              <w:t xml:space="preserve">Document </w:t>
            </w:r>
            <w:r w:rsidR="00CD785F" w:rsidRPr="000E354C">
              <w:rPr>
                <w:rFonts w:ascii="Verdana" w:hAnsi="Verdana"/>
                <w:b/>
                <w:sz w:val="20"/>
              </w:rPr>
              <w:t>570</w:t>
            </w:r>
            <w:r w:rsidRPr="000E354C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0E354C" w14:paraId="26568DEF" w14:textId="77777777" w:rsidTr="00773113">
        <w:trPr>
          <w:cantSplit/>
        </w:trPr>
        <w:tc>
          <w:tcPr>
            <w:tcW w:w="6911" w:type="dxa"/>
          </w:tcPr>
          <w:p w14:paraId="3C1D69F8" w14:textId="77777777" w:rsidR="00587A4E" w:rsidRPr="000E354C" w:rsidRDefault="00587A4E" w:rsidP="00C231D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4F771467" w14:textId="479D34FD" w:rsidR="00587A4E" w:rsidRPr="000E354C" w:rsidRDefault="00CD785F" w:rsidP="00C231D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E354C">
              <w:rPr>
                <w:rFonts w:ascii="Verdana" w:hAnsi="Verdana"/>
                <w:b/>
                <w:sz w:val="20"/>
              </w:rPr>
              <w:t>16 décembre</w:t>
            </w:r>
            <w:r w:rsidR="00587A4E" w:rsidRPr="000E354C">
              <w:rPr>
                <w:rFonts w:ascii="Verdana" w:hAnsi="Verdana"/>
                <w:b/>
                <w:sz w:val="20"/>
              </w:rPr>
              <w:t xml:space="preserve"> 201</w:t>
            </w:r>
            <w:r w:rsidR="009765A8" w:rsidRPr="000E354C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87A4E" w:rsidRPr="000E354C" w14:paraId="574E5FB7" w14:textId="77777777" w:rsidTr="00773113">
        <w:trPr>
          <w:cantSplit/>
        </w:trPr>
        <w:tc>
          <w:tcPr>
            <w:tcW w:w="6911" w:type="dxa"/>
          </w:tcPr>
          <w:p w14:paraId="618FCD7C" w14:textId="77777777" w:rsidR="00587A4E" w:rsidRPr="000E354C" w:rsidRDefault="00587A4E" w:rsidP="00C231D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4CAE8B5" w14:textId="77777777" w:rsidR="00587A4E" w:rsidRPr="000E354C" w:rsidRDefault="00587A4E" w:rsidP="00C231D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E354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0E354C" w14:paraId="3BAD8D44" w14:textId="77777777" w:rsidTr="00773113">
        <w:trPr>
          <w:cantSplit/>
        </w:trPr>
        <w:tc>
          <w:tcPr>
            <w:tcW w:w="10031" w:type="dxa"/>
            <w:gridSpan w:val="2"/>
          </w:tcPr>
          <w:p w14:paraId="74BAC1E6" w14:textId="77777777" w:rsidR="00587A4E" w:rsidRPr="000E354C" w:rsidRDefault="00587A4E" w:rsidP="00C231D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0E354C" w14:paraId="0B311601" w14:textId="77777777" w:rsidTr="00773113">
        <w:trPr>
          <w:cantSplit/>
        </w:trPr>
        <w:tc>
          <w:tcPr>
            <w:tcW w:w="10031" w:type="dxa"/>
            <w:gridSpan w:val="2"/>
          </w:tcPr>
          <w:p w14:paraId="0C113529" w14:textId="54890FD7" w:rsidR="00CD785F" w:rsidRPr="000E354C" w:rsidRDefault="00CD785F" w:rsidP="00C231DE">
            <w:bookmarkStart w:id="2" w:name="dsource" w:colFirst="0" w:colLast="0"/>
          </w:p>
        </w:tc>
      </w:tr>
      <w:tr w:rsidR="00587A4E" w:rsidRPr="000E354C" w14:paraId="459CFE62" w14:textId="77777777" w:rsidTr="00773113">
        <w:trPr>
          <w:cantSplit/>
        </w:trPr>
        <w:tc>
          <w:tcPr>
            <w:tcW w:w="10031" w:type="dxa"/>
            <w:gridSpan w:val="2"/>
          </w:tcPr>
          <w:p w14:paraId="46B2A5A7" w14:textId="77777777" w:rsidR="00CD785F" w:rsidRPr="000E354C" w:rsidRDefault="00CD785F" w:rsidP="00C231DE">
            <w:pPr>
              <w:pStyle w:val="Title1"/>
            </w:pPr>
            <w:bookmarkStart w:id="3" w:name="dtitle1" w:colFirst="0" w:colLast="0"/>
            <w:bookmarkEnd w:id="2"/>
            <w:r w:rsidRPr="000E354C">
              <w:t>PROCèS-VERBAL</w:t>
            </w:r>
          </w:p>
          <w:p w14:paraId="41343481" w14:textId="77777777" w:rsidR="00CD785F" w:rsidRPr="000E354C" w:rsidRDefault="00CD785F" w:rsidP="00C231DE">
            <w:pPr>
              <w:pStyle w:val="Title1"/>
            </w:pPr>
            <w:r w:rsidRPr="000E354C">
              <w:t>DE LA</w:t>
            </w:r>
          </w:p>
          <w:p w14:paraId="7525C900" w14:textId="178AC1A9" w:rsidR="00CD785F" w:rsidRPr="000E354C" w:rsidRDefault="00CD785F" w:rsidP="00C231DE">
            <w:pPr>
              <w:pStyle w:val="Title1"/>
            </w:pPr>
            <w:r w:rsidRPr="000E354C">
              <w:t>NEUVIèME SéANCE PLéNIèRE</w:t>
            </w:r>
          </w:p>
        </w:tc>
      </w:tr>
      <w:tr w:rsidR="00587A4E" w:rsidRPr="000E354C" w14:paraId="1DB962A7" w14:textId="77777777" w:rsidTr="00773113">
        <w:trPr>
          <w:cantSplit/>
        </w:trPr>
        <w:tc>
          <w:tcPr>
            <w:tcW w:w="10031" w:type="dxa"/>
            <w:gridSpan w:val="2"/>
          </w:tcPr>
          <w:p w14:paraId="32D7D955" w14:textId="5D2EC09A" w:rsidR="00587A4E" w:rsidRPr="000E354C" w:rsidRDefault="00587A4E" w:rsidP="00C231D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587A4E" w:rsidRPr="000E354C" w14:paraId="67F0EB92" w14:textId="77777777" w:rsidTr="00773113">
        <w:trPr>
          <w:cantSplit/>
        </w:trPr>
        <w:tc>
          <w:tcPr>
            <w:tcW w:w="10031" w:type="dxa"/>
            <w:gridSpan w:val="2"/>
          </w:tcPr>
          <w:p w14:paraId="3932B3F8" w14:textId="77777777" w:rsidR="00CD785F" w:rsidRPr="000E354C" w:rsidRDefault="00CD785F" w:rsidP="00C231DE">
            <w:pPr>
              <w:pStyle w:val="Agendaitem"/>
              <w:rPr>
                <w:sz w:val="24"/>
                <w:szCs w:val="24"/>
                <w:lang w:val="fr-FR"/>
              </w:rPr>
            </w:pPr>
            <w:bookmarkStart w:id="5" w:name="dtitle3" w:colFirst="0" w:colLast="0"/>
            <w:bookmarkEnd w:id="4"/>
            <w:r w:rsidRPr="000E354C">
              <w:rPr>
                <w:sz w:val="24"/>
                <w:szCs w:val="24"/>
                <w:lang w:val="fr-FR"/>
              </w:rPr>
              <w:t>Mardi 19 novembre 2019, à 14 heures</w:t>
            </w:r>
          </w:p>
          <w:p w14:paraId="6C0A7329" w14:textId="25B845FA" w:rsidR="00587A4E" w:rsidRPr="000E354C" w:rsidRDefault="00CD785F" w:rsidP="00C231DE">
            <w:pPr>
              <w:pStyle w:val="Agendaitem"/>
              <w:rPr>
                <w:lang w:val="fr-FR"/>
              </w:rPr>
            </w:pPr>
            <w:r w:rsidRPr="000E354C">
              <w:rPr>
                <w:b/>
                <w:bCs/>
                <w:sz w:val="24"/>
                <w:szCs w:val="24"/>
                <w:lang w:val="fr-FR"/>
              </w:rPr>
              <w:t>Président</w:t>
            </w:r>
            <w:r w:rsidRPr="000E354C">
              <w:rPr>
                <w:sz w:val="24"/>
                <w:szCs w:val="24"/>
                <w:lang w:val="fr-FR"/>
              </w:rPr>
              <w:t>: M. A. BADAWI (</w:t>
            </w:r>
            <w:r w:rsidR="007E1834" w:rsidRPr="000E354C">
              <w:rPr>
                <w:sz w:val="24"/>
                <w:szCs w:val="24"/>
                <w:lang w:val="fr-FR"/>
              </w:rPr>
              <w:t>É</w:t>
            </w:r>
            <w:r w:rsidRPr="000E354C">
              <w:rPr>
                <w:sz w:val="24"/>
                <w:szCs w:val="24"/>
                <w:lang w:val="fr-FR"/>
              </w:rPr>
              <w:t>gypte)</w:t>
            </w:r>
            <w:r w:rsidRPr="000E354C">
              <w:rPr>
                <w:lang w:val="fr-FR"/>
              </w:rPr>
              <w:t xml:space="preserve"> </w:t>
            </w:r>
          </w:p>
        </w:tc>
      </w:tr>
      <w:bookmarkEnd w:id="5"/>
    </w:tbl>
    <w:p w14:paraId="208A2DA9" w14:textId="12B70FB9" w:rsidR="00587A4E" w:rsidRPr="000E354C" w:rsidRDefault="00587A4E" w:rsidP="00C231DE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CD785F" w:rsidRPr="00CD785F" w14:paraId="036BD6C8" w14:textId="77777777" w:rsidTr="00190648">
        <w:tc>
          <w:tcPr>
            <w:tcW w:w="534" w:type="dxa"/>
          </w:tcPr>
          <w:p w14:paraId="569DF933" w14:textId="77777777" w:rsidR="00CD785F" w:rsidRPr="00CD785F" w:rsidRDefault="00CD785F" w:rsidP="00C231DE">
            <w:pPr>
              <w:rPr>
                <w:b/>
              </w:rPr>
            </w:pPr>
          </w:p>
        </w:tc>
        <w:tc>
          <w:tcPr>
            <w:tcW w:w="7159" w:type="dxa"/>
          </w:tcPr>
          <w:p w14:paraId="056DFC36" w14:textId="77777777" w:rsidR="00CD785F" w:rsidRPr="00CD785F" w:rsidRDefault="00CD785F" w:rsidP="00C231DE">
            <w:pPr>
              <w:rPr>
                <w:b/>
              </w:rPr>
            </w:pPr>
            <w:r w:rsidRPr="00CD785F">
              <w:rPr>
                <w:b/>
                <w:bCs/>
              </w:rPr>
              <w:t>Sujets traités</w:t>
            </w:r>
          </w:p>
        </w:tc>
        <w:tc>
          <w:tcPr>
            <w:tcW w:w="2338" w:type="dxa"/>
          </w:tcPr>
          <w:p w14:paraId="67715F8F" w14:textId="77777777" w:rsidR="00CD785F" w:rsidRPr="00CD785F" w:rsidRDefault="00CD785F" w:rsidP="00C231DE">
            <w:pPr>
              <w:jc w:val="center"/>
              <w:rPr>
                <w:b/>
              </w:rPr>
            </w:pPr>
            <w:r w:rsidRPr="00CD785F">
              <w:rPr>
                <w:b/>
              </w:rPr>
              <w:t>Documents</w:t>
            </w:r>
          </w:p>
        </w:tc>
      </w:tr>
      <w:tr w:rsidR="00CD785F" w:rsidRPr="00CD785F" w14:paraId="1CB2BEA7" w14:textId="77777777" w:rsidTr="00190648">
        <w:tc>
          <w:tcPr>
            <w:tcW w:w="534" w:type="dxa"/>
          </w:tcPr>
          <w:p w14:paraId="5B1B645C" w14:textId="77777777" w:rsidR="00CD785F" w:rsidRPr="00CD785F" w:rsidRDefault="00CD785F" w:rsidP="00C231DE">
            <w:pPr>
              <w:rPr>
                <w:bCs/>
              </w:rPr>
            </w:pPr>
            <w:r w:rsidRPr="00CD785F">
              <w:rPr>
                <w:bCs/>
              </w:rPr>
              <w:t>1</w:t>
            </w:r>
          </w:p>
        </w:tc>
        <w:tc>
          <w:tcPr>
            <w:tcW w:w="7159" w:type="dxa"/>
          </w:tcPr>
          <w:p w14:paraId="44E615FB" w14:textId="53B556AD" w:rsidR="00CD785F" w:rsidRPr="00CD785F" w:rsidRDefault="007E1834" w:rsidP="00C231DE">
            <w:pPr>
              <w:rPr>
                <w:b/>
                <w:bCs/>
              </w:rPr>
            </w:pPr>
            <w:r w:rsidRPr="007E1834">
              <w:rPr>
                <w:bCs/>
              </w:rPr>
              <w:t>Vingt-deuxième série de textes soumis par la Commission de rédaction en première lecture</w:t>
            </w:r>
            <w:r w:rsidRPr="000E354C">
              <w:rPr>
                <w:bCs/>
              </w:rPr>
              <w:t xml:space="preserve"> </w:t>
            </w:r>
            <w:r w:rsidRPr="007E1834">
              <w:rPr>
                <w:bCs/>
              </w:rPr>
              <w:t>(B22)</w:t>
            </w:r>
          </w:p>
        </w:tc>
        <w:tc>
          <w:tcPr>
            <w:tcW w:w="2338" w:type="dxa"/>
          </w:tcPr>
          <w:p w14:paraId="49E621FD" w14:textId="77777777" w:rsidR="00CD785F" w:rsidRPr="00CD785F" w:rsidRDefault="00CD785F" w:rsidP="00C231DE">
            <w:pPr>
              <w:jc w:val="center"/>
            </w:pPr>
            <w:r w:rsidRPr="00CD785F">
              <w:t>326, 402</w:t>
            </w:r>
          </w:p>
        </w:tc>
      </w:tr>
      <w:tr w:rsidR="00CD785F" w:rsidRPr="00CD785F" w14:paraId="38395D1E" w14:textId="77777777" w:rsidTr="00190648">
        <w:tc>
          <w:tcPr>
            <w:tcW w:w="534" w:type="dxa"/>
          </w:tcPr>
          <w:p w14:paraId="1048DB0C" w14:textId="77777777" w:rsidR="00CD785F" w:rsidRPr="00CD785F" w:rsidRDefault="00CD785F" w:rsidP="00C231DE">
            <w:pPr>
              <w:rPr>
                <w:bCs/>
              </w:rPr>
            </w:pPr>
            <w:r w:rsidRPr="00CD785F">
              <w:rPr>
                <w:bCs/>
              </w:rPr>
              <w:t>2</w:t>
            </w:r>
          </w:p>
        </w:tc>
        <w:tc>
          <w:tcPr>
            <w:tcW w:w="7159" w:type="dxa"/>
            <w:shd w:val="clear" w:color="auto" w:fill="auto"/>
          </w:tcPr>
          <w:p w14:paraId="56080EAF" w14:textId="1CB4185C" w:rsidR="00CD785F" w:rsidRPr="00CD785F" w:rsidRDefault="007E1834" w:rsidP="00C231DE">
            <w:pPr>
              <w:rPr>
                <w:bCs/>
              </w:rPr>
            </w:pPr>
            <w:r w:rsidRPr="000E354C">
              <w:rPr>
                <w:bCs/>
              </w:rPr>
              <w:t xml:space="preserve">Vingt-deuxième série de textes soumis par la Commission de rédaction (B22) – deuxième lecture </w:t>
            </w:r>
          </w:p>
        </w:tc>
        <w:tc>
          <w:tcPr>
            <w:tcW w:w="2338" w:type="dxa"/>
          </w:tcPr>
          <w:p w14:paraId="0E2839AD" w14:textId="77777777" w:rsidR="00CD785F" w:rsidRPr="00CD785F" w:rsidRDefault="00CD785F" w:rsidP="00C231DE">
            <w:pPr>
              <w:jc w:val="center"/>
            </w:pPr>
            <w:r w:rsidRPr="00CD785F">
              <w:t>326</w:t>
            </w:r>
          </w:p>
        </w:tc>
      </w:tr>
      <w:tr w:rsidR="00CD785F" w:rsidRPr="00CD785F" w14:paraId="65AEDAD5" w14:textId="77777777" w:rsidTr="00190648">
        <w:tc>
          <w:tcPr>
            <w:tcW w:w="534" w:type="dxa"/>
          </w:tcPr>
          <w:p w14:paraId="0BB61561" w14:textId="77777777" w:rsidR="00CD785F" w:rsidRPr="00CD785F" w:rsidRDefault="00CD785F" w:rsidP="00C231DE">
            <w:pPr>
              <w:rPr>
                <w:bCs/>
              </w:rPr>
            </w:pPr>
            <w:r w:rsidRPr="00CD785F">
              <w:rPr>
                <w:bCs/>
              </w:rPr>
              <w:t>3</w:t>
            </w:r>
          </w:p>
        </w:tc>
        <w:tc>
          <w:tcPr>
            <w:tcW w:w="7159" w:type="dxa"/>
          </w:tcPr>
          <w:p w14:paraId="635ED6AB" w14:textId="4087FCFF" w:rsidR="00CD785F" w:rsidRPr="00CD785F" w:rsidRDefault="007E1834" w:rsidP="00C231DE">
            <w:pPr>
              <w:rPr>
                <w:bCs/>
              </w:rPr>
            </w:pPr>
            <w:r w:rsidRPr="000E354C">
              <w:rPr>
                <w:bCs/>
              </w:rPr>
              <w:t>Trente-troisième série de textes soumis par la Commission de rédaction en première lecture (B33)</w:t>
            </w:r>
          </w:p>
        </w:tc>
        <w:tc>
          <w:tcPr>
            <w:tcW w:w="2338" w:type="dxa"/>
          </w:tcPr>
          <w:p w14:paraId="485E534F" w14:textId="77777777" w:rsidR="00CD785F" w:rsidRPr="00CD785F" w:rsidRDefault="00CD785F" w:rsidP="00C231DE">
            <w:pPr>
              <w:jc w:val="center"/>
              <w:rPr>
                <w:bCs/>
              </w:rPr>
            </w:pPr>
            <w:r w:rsidRPr="00CD785F">
              <w:rPr>
                <w:bCs/>
              </w:rPr>
              <w:t>462</w:t>
            </w:r>
          </w:p>
        </w:tc>
      </w:tr>
      <w:tr w:rsidR="00CD785F" w:rsidRPr="00CD785F" w14:paraId="46AFDE3C" w14:textId="77777777" w:rsidTr="00190648">
        <w:tc>
          <w:tcPr>
            <w:tcW w:w="534" w:type="dxa"/>
          </w:tcPr>
          <w:p w14:paraId="000E151E" w14:textId="77777777" w:rsidR="00CD785F" w:rsidRPr="00CD785F" w:rsidRDefault="00CD785F" w:rsidP="00C231DE">
            <w:pPr>
              <w:rPr>
                <w:bCs/>
              </w:rPr>
            </w:pPr>
            <w:r w:rsidRPr="00CD785F">
              <w:rPr>
                <w:bCs/>
              </w:rPr>
              <w:t>4</w:t>
            </w:r>
          </w:p>
        </w:tc>
        <w:tc>
          <w:tcPr>
            <w:tcW w:w="7159" w:type="dxa"/>
          </w:tcPr>
          <w:p w14:paraId="374CDD6A" w14:textId="3CFCF116" w:rsidR="00CD785F" w:rsidRPr="00CD785F" w:rsidRDefault="007E1834" w:rsidP="00C231DE">
            <w:r w:rsidRPr="000E354C">
              <w:t>Trente-troisième série de textes soumis par la Commission de rédaction (B33) – deuxième lecture</w:t>
            </w:r>
          </w:p>
        </w:tc>
        <w:tc>
          <w:tcPr>
            <w:tcW w:w="2338" w:type="dxa"/>
          </w:tcPr>
          <w:p w14:paraId="1AD70A39" w14:textId="77777777" w:rsidR="00CD785F" w:rsidRPr="00CD785F" w:rsidRDefault="00CD785F" w:rsidP="00C231DE">
            <w:pPr>
              <w:jc w:val="center"/>
            </w:pPr>
            <w:r w:rsidRPr="00CD785F">
              <w:t>462</w:t>
            </w:r>
          </w:p>
        </w:tc>
      </w:tr>
      <w:tr w:rsidR="00CD785F" w:rsidRPr="00CD785F" w14:paraId="72275E79" w14:textId="77777777" w:rsidTr="00190648">
        <w:tc>
          <w:tcPr>
            <w:tcW w:w="534" w:type="dxa"/>
          </w:tcPr>
          <w:p w14:paraId="63ED801B" w14:textId="77777777" w:rsidR="00CD785F" w:rsidRPr="00CD785F" w:rsidRDefault="00CD785F" w:rsidP="00C231DE">
            <w:pPr>
              <w:rPr>
                <w:bCs/>
              </w:rPr>
            </w:pPr>
            <w:r w:rsidRPr="00CD785F">
              <w:rPr>
                <w:bCs/>
              </w:rPr>
              <w:t>5</w:t>
            </w:r>
          </w:p>
        </w:tc>
        <w:tc>
          <w:tcPr>
            <w:tcW w:w="7159" w:type="dxa"/>
          </w:tcPr>
          <w:p w14:paraId="2958839F" w14:textId="441731C0" w:rsidR="00CD785F" w:rsidRPr="00CD785F" w:rsidRDefault="007E1834" w:rsidP="00C231DE">
            <w:pPr>
              <w:rPr>
                <w:b/>
                <w:bCs/>
              </w:rPr>
            </w:pPr>
            <w:r w:rsidRPr="000E354C">
              <w:rPr>
                <w:bCs/>
              </w:rPr>
              <w:t>Trente-quatrième série de textes soumis par la Commission de rédaction en première lecture</w:t>
            </w:r>
            <w:r w:rsidR="00AD6804">
              <w:rPr>
                <w:bCs/>
              </w:rPr>
              <w:t xml:space="preserve"> </w:t>
            </w:r>
            <w:r w:rsidRPr="000E354C">
              <w:rPr>
                <w:bCs/>
              </w:rPr>
              <w:t>(B34)</w:t>
            </w:r>
          </w:p>
        </w:tc>
        <w:tc>
          <w:tcPr>
            <w:tcW w:w="2338" w:type="dxa"/>
          </w:tcPr>
          <w:p w14:paraId="43BE2F3F" w14:textId="77777777" w:rsidR="00CD785F" w:rsidRPr="00CD785F" w:rsidRDefault="00CD785F" w:rsidP="00C231DE">
            <w:pPr>
              <w:jc w:val="center"/>
              <w:rPr>
                <w:bCs/>
              </w:rPr>
            </w:pPr>
            <w:r w:rsidRPr="00CD785F">
              <w:rPr>
                <w:bCs/>
              </w:rPr>
              <w:t>463</w:t>
            </w:r>
          </w:p>
        </w:tc>
      </w:tr>
      <w:tr w:rsidR="00CD785F" w:rsidRPr="00CD785F" w14:paraId="6FB8F31C" w14:textId="77777777" w:rsidTr="00190648">
        <w:tc>
          <w:tcPr>
            <w:tcW w:w="534" w:type="dxa"/>
          </w:tcPr>
          <w:p w14:paraId="6B6038F2" w14:textId="77777777" w:rsidR="00CD785F" w:rsidRPr="00CD785F" w:rsidRDefault="00CD785F" w:rsidP="00C231DE">
            <w:r w:rsidRPr="00CD785F">
              <w:t>6</w:t>
            </w:r>
          </w:p>
        </w:tc>
        <w:tc>
          <w:tcPr>
            <w:tcW w:w="7159" w:type="dxa"/>
          </w:tcPr>
          <w:p w14:paraId="657598D1" w14:textId="371E6396" w:rsidR="00CD785F" w:rsidRPr="00CD785F" w:rsidRDefault="007E1834" w:rsidP="00C231DE">
            <w:pPr>
              <w:rPr>
                <w:b/>
              </w:rPr>
            </w:pPr>
            <w:r w:rsidRPr="000E354C">
              <w:t>Trente-quatrième série de textes soumis par la Commission de rédaction (B34) – deuxième lecture</w:t>
            </w:r>
          </w:p>
        </w:tc>
        <w:tc>
          <w:tcPr>
            <w:tcW w:w="2338" w:type="dxa"/>
          </w:tcPr>
          <w:p w14:paraId="6B748255" w14:textId="77777777" w:rsidR="00CD785F" w:rsidRPr="00CD785F" w:rsidRDefault="00CD785F" w:rsidP="00C231DE">
            <w:pPr>
              <w:jc w:val="center"/>
            </w:pPr>
            <w:r w:rsidRPr="00CD785F">
              <w:t>463</w:t>
            </w:r>
          </w:p>
        </w:tc>
      </w:tr>
      <w:tr w:rsidR="00CD785F" w:rsidRPr="00CD785F" w14:paraId="3C71ED95" w14:textId="77777777" w:rsidTr="00190648">
        <w:tc>
          <w:tcPr>
            <w:tcW w:w="534" w:type="dxa"/>
          </w:tcPr>
          <w:p w14:paraId="2553594F" w14:textId="77777777" w:rsidR="00CD785F" w:rsidRPr="00CD785F" w:rsidRDefault="00CD785F" w:rsidP="00C231DE">
            <w:r w:rsidRPr="00CD785F">
              <w:t>7</w:t>
            </w:r>
          </w:p>
        </w:tc>
        <w:tc>
          <w:tcPr>
            <w:tcW w:w="7159" w:type="dxa"/>
          </w:tcPr>
          <w:p w14:paraId="0995E0FA" w14:textId="1D335C0F" w:rsidR="00CD785F" w:rsidRPr="00CD785F" w:rsidRDefault="007E1834" w:rsidP="00C231DE">
            <w:r w:rsidRPr="000E354C">
              <w:t>Trente-cinquième série de textes soumis par la Commission de rédaction en première lecture (B35)</w:t>
            </w:r>
          </w:p>
        </w:tc>
        <w:tc>
          <w:tcPr>
            <w:tcW w:w="2338" w:type="dxa"/>
          </w:tcPr>
          <w:p w14:paraId="55E48FEA" w14:textId="77777777" w:rsidR="00CD785F" w:rsidRPr="00CD785F" w:rsidRDefault="00CD785F" w:rsidP="00C231DE">
            <w:pPr>
              <w:jc w:val="center"/>
            </w:pPr>
            <w:r w:rsidRPr="00CD785F">
              <w:t>464</w:t>
            </w:r>
          </w:p>
        </w:tc>
      </w:tr>
      <w:tr w:rsidR="00CD785F" w:rsidRPr="00CD785F" w14:paraId="39204738" w14:textId="77777777" w:rsidTr="00190648">
        <w:tc>
          <w:tcPr>
            <w:tcW w:w="534" w:type="dxa"/>
          </w:tcPr>
          <w:p w14:paraId="79B44458" w14:textId="77777777" w:rsidR="00CD785F" w:rsidRPr="00CD785F" w:rsidRDefault="00CD785F" w:rsidP="00C231DE">
            <w:r w:rsidRPr="00CD785F">
              <w:t>8</w:t>
            </w:r>
          </w:p>
        </w:tc>
        <w:tc>
          <w:tcPr>
            <w:tcW w:w="7159" w:type="dxa"/>
          </w:tcPr>
          <w:p w14:paraId="13AECE4C" w14:textId="2EF3AAAB" w:rsidR="00CD785F" w:rsidRPr="00CD785F" w:rsidRDefault="007E1834" w:rsidP="00C231DE">
            <w:r w:rsidRPr="000E354C">
              <w:t>Trente-cinquième série de textes soumis par la Commission de rédaction (B35) – deuxième lecture</w:t>
            </w:r>
          </w:p>
        </w:tc>
        <w:tc>
          <w:tcPr>
            <w:tcW w:w="2338" w:type="dxa"/>
          </w:tcPr>
          <w:p w14:paraId="342CE37F" w14:textId="77777777" w:rsidR="00CD785F" w:rsidRPr="00CD785F" w:rsidRDefault="00CD785F" w:rsidP="00C231DE">
            <w:pPr>
              <w:jc w:val="center"/>
            </w:pPr>
            <w:r w:rsidRPr="00CD785F">
              <w:t>464</w:t>
            </w:r>
          </w:p>
        </w:tc>
      </w:tr>
      <w:tr w:rsidR="00CD785F" w:rsidRPr="00CD785F" w14:paraId="30E22659" w14:textId="77777777" w:rsidTr="00190648">
        <w:tc>
          <w:tcPr>
            <w:tcW w:w="534" w:type="dxa"/>
          </w:tcPr>
          <w:p w14:paraId="2658FF25" w14:textId="77777777" w:rsidR="00CD785F" w:rsidRPr="00CD785F" w:rsidRDefault="00CD785F" w:rsidP="00C231DE">
            <w:r w:rsidRPr="00CD785F">
              <w:t>9</w:t>
            </w:r>
          </w:p>
        </w:tc>
        <w:tc>
          <w:tcPr>
            <w:tcW w:w="7159" w:type="dxa"/>
          </w:tcPr>
          <w:p w14:paraId="3F40F313" w14:textId="7719CE43" w:rsidR="00CD785F" w:rsidRPr="00CD785F" w:rsidRDefault="007E1834" w:rsidP="00C231DE">
            <w:r w:rsidRPr="000E354C">
              <w:t>Trente-sixième série de textes soumis par la Commission de rédaction en première lecture (B36)</w:t>
            </w:r>
          </w:p>
        </w:tc>
        <w:tc>
          <w:tcPr>
            <w:tcW w:w="2338" w:type="dxa"/>
          </w:tcPr>
          <w:p w14:paraId="39BA086E" w14:textId="77777777" w:rsidR="00CD785F" w:rsidRPr="00CD785F" w:rsidRDefault="00CD785F" w:rsidP="00C231DE">
            <w:pPr>
              <w:jc w:val="center"/>
            </w:pPr>
            <w:r w:rsidRPr="00CD785F">
              <w:t>465</w:t>
            </w:r>
          </w:p>
        </w:tc>
      </w:tr>
      <w:tr w:rsidR="00CD785F" w:rsidRPr="00CD785F" w14:paraId="4D5EEB91" w14:textId="77777777" w:rsidTr="00190648">
        <w:tc>
          <w:tcPr>
            <w:tcW w:w="534" w:type="dxa"/>
          </w:tcPr>
          <w:p w14:paraId="6EE5FB9F" w14:textId="77777777" w:rsidR="00CD785F" w:rsidRPr="00CD785F" w:rsidRDefault="00CD785F" w:rsidP="00C231DE">
            <w:r w:rsidRPr="00CD785F">
              <w:t>10</w:t>
            </w:r>
          </w:p>
        </w:tc>
        <w:tc>
          <w:tcPr>
            <w:tcW w:w="7159" w:type="dxa"/>
          </w:tcPr>
          <w:p w14:paraId="07F2F40F" w14:textId="58574FA6" w:rsidR="00CD785F" w:rsidRPr="00CD785F" w:rsidRDefault="007E1834" w:rsidP="00C231DE">
            <w:r w:rsidRPr="000E354C">
              <w:t>Trente-sixième série de textes soumis par la Commission de rédaction (B36) – deuxième lecture</w:t>
            </w:r>
          </w:p>
        </w:tc>
        <w:tc>
          <w:tcPr>
            <w:tcW w:w="2338" w:type="dxa"/>
          </w:tcPr>
          <w:p w14:paraId="0E898924" w14:textId="77777777" w:rsidR="00CD785F" w:rsidRPr="00CD785F" w:rsidRDefault="00CD785F" w:rsidP="00C231DE">
            <w:pPr>
              <w:jc w:val="center"/>
            </w:pPr>
            <w:r w:rsidRPr="00CD785F">
              <w:t>465</w:t>
            </w:r>
          </w:p>
        </w:tc>
      </w:tr>
    </w:tbl>
    <w:p w14:paraId="1ECE99AA" w14:textId="3023D2F8" w:rsidR="00CD785F" w:rsidRPr="000E354C" w:rsidRDefault="00CD785F" w:rsidP="00C231DE">
      <w:pPr>
        <w:pStyle w:val="Heading1"/>
      </w:pPr>
      <w:r w:rsidRPr="000E354C">
        <w:lastRenderedPageBreak/>
        <w:t>1</w:t>
      </w:r>
      <w:r w:rsidRPr="000E354C">
        <w:tab/>
        <w:t>Vingt-deuxième série de textes soumis par la Commission de rédaction en première lecture (B22) (Documents 326 et 402)</w:t>
      </w:r>
    </w:p>
    <w:p w14:paraId="76E9DC01" w14:textId="4602105D" w:rsidR="00CD785F" w:rsidRPr="000E354C" w:rsidRDefault="00CD785F" w:rsidP="00C231DE">
      <w:r w:rsidRPr="000E354C">
        <w:t>1.1</w:t>
      </w:r>
      <w:r w:rsidRPr="000E354C">
        <w:tab/>
      </w:r>
      <w:r w:rsidRPr="000E354C">
        <w:rPr>
          <w:szCs w:val="24"/>
        </w:rPr>
        <w:t xml:space="preserve">Le </w:t>
      </w:r>
      <w:r w:rsidRPr="000E354C">
        <w:rPr>
          <w:b/>
          <w:szCs w:val="24"/>
        </w:rPr>
        <w:t>Président de la Commission de rédaction</w:t>
      </w:r>
      <w:r w:rsidRPr="000E354C">
        <w:rPr>
          <w:szCs w:val="24"/>
        </w:rPr>
        <w:t xml:space="preserve"> présente le </w:t>
      </w:r>
      <w:r w:rsidRPr="000E354C">
        <w:t>Document 326 et rappelle que ce document doit être examiné conjointement avec le Document 402, dont l</w:t>
      </w:r>
      <w:r w:rsidR="007E1834" w:rsidRPr="000E354C">
        <w:t>'</w:t>
      </w:r>
      <w:r w:rsidRPr="000E354C">
        <w:t>examen a été reporté au cours de la séance plénière précédente.</w:t>
      </w:r>
    </w:p>
    <w:p w14:paraId="04AA1CFC" w14:textId="38CDB7B0" w:rsidR="00CD785F" w:rsidRPr="000E354C" w:rsidRDefault="00CD785F" w:rsidP="00C231DE">
      <w:r w:rsidRPr="000E354C">
        <w:t>1.2</w:t>
      </w:r>
      <w:r w:rsidRPr="000E354C">
        <w:tab/>
        <w:t xml:space="preserve">Le </w:t>
      </w:r>
      <w:r w:rsidRPr="000E354C">
        <w:rPr>
          <w:b/>
          <w:bCs/>
        </w:rPr>
        <w:t>Président de la Commission 4</w:t>
      </w:r>
      <w:r w:rsidRPr="000E354C">
        <w:t xml:space="preserve"> présente à nouveau le Document 402 et informe les participants à la conférence que ce document contient un texte relatif au point 9.1.5 de l</w:t>
      </w:r>
      <w:r w:rsidR="007E1834" w:rsidRPr="000E354C">
        <w:t>'</w:t>
      </w:r>
      <w:r w:rsidRPr="000E354C">
        <w:t>ordre du jour qui a été soumis par les délégations de la France et de l</w:t>
      </w:r>
      <w:r w:rsidR="007E1834" w:rsidRPr="000E354C">
        <w:t>'</w:t>
      </w:r>
      <w:r w:rsidRPr="000E354C">
        <w:t xml:space="preserve">Allemagne, en vue de son insertion dans le procès-verbal de la plénière. </w:t>
      </w:r>
    </w:p>
    <w:p w14:paraId="0D26A486" w14:textId="77777777" w:rsidR="00CD785F" w:rsidRPr="000E354C" w:rsidRDefault="00CD785F" w:rsidP="00C231DE">
      <w:pPr>
        <w:rPr>
          <w:b/>
          <w:bCs/>
        </w:rPr>
      </w:pPr>
      <w:r w:rsidRPr="000E354C">
        <w:t>1.3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invite les participants à examiner le Document 326.</w:t>
      </w:r>
    </w:p>
    <w:p w14:paraId="1E826C44" w14:textId="22CECE01" w:rsidR="00CD785F" w:rsidRPr="000E354C" w:rsidRDefault="00CD785F" w:rsidP="00C231DE">
      <w:pPr>
        <w:pStyle w:val="Headingb"/>
      </w:pPr>
      <w:r w:rsidRPr="000E354C">
        <w:t>Article 5 (MOD 5.447F, MOD 5.450A); MOD Résolution 229 (Rév. CMR-12); SUP Résolution</w:t>
      </w:r>
      <w:r w:rsidR="00C231DE" w:rsidRPr="000E354C">
        <w:t> </w:t>
      </w:r>
      <w:r w:rsidRPr="000E354C">
        <w:t>764 (CMR-15)</w:t>
      </w:r>
    </w:p>
    <w:p w14:paraId="0C804067" w14:textId="7F98ABA7" w:rsidR="00CD785F" w:rsidRPr="000E354C" w:rsidRDefault="00CD785F" w:rsidP="00C231DE">
      <w:r w:rsidRPr="000E354C">
        <w:t>1.4</w:t>
      </w:r>
      <w:r w:rsidRPr="000E354C">
        <w:tab/>
      </w:r>
      <w:r w:rsidRPr="000E354C">
        <w:rPr>
          <w:b/>
          <w:bCs/>
        </w:rPr>
        <w:t>Approuvé</w:t>
      </w:r>
      <w:r w:rsidR="006F7ED6">
        <w:rPr>
          <w:b/>
          <w:bCs/>
        </w:rPr>
        <w:t>s</w:t>
      </w:r>
      <w:r w:rsidRPr="000E354C">
        <w:t>.</w:t>
      </w:r>
    </w:p>
    <w:p w14:paraId="2F335EC6" w14:textId="755FF7FC" w:rsidR="00CD785F" w:rsidRPr="000E354C" w:rsidRDefault="00CD785F" w:rsidP="00C231DE">
      <w:r w:rsidRPr="000E354C">
        <w:t>1.5</w:t>
      </w:r>
      <w:r w:rsidRPr="000E354C">
        <w:tab/>
      </w:r>
      <w:r w:rsidRPr="000E354C">
        <w:rPr>
          <w:szCs w:val="22"/>
        </w:rPr>
        <w:t xml:space="preserve">La vingt-deuxième série de textes soumis par la Commission de rédaction </w:t>
      </w:r>
      <w:r w:rsidRPr="000E354C">
        <w:t xml:space="preserve">(B22) (Document 326) </w:t>
      </w:r>
      <w:r w:rsidRPr="000E354C">
        <w:rPr>
          <w:szCs w:val="22"/>
        </w:rPr>
        <w:t>est</w:t>
      </w:r>
      <w:r w:rsidRPr="000E354C">
        <w:rPr>
          <w:b/>
          <w:szCs w:val="22"/>
        </w:rPr>
        <w:t xml:space="preserve"> approuvée</w:t>
      </w:r>
      <w:r w:rsidRPr="000E354C">
        <w:rPr>
          <w:szCs w:val="22"/>
        </w:rPr>
        <w:t xml:space="preserve"> en première lecture.</w:t>
      </w:r>
      <w:r w:rsidRPr="000E354C">
        <w:t xml:space="preserve"> </w:t>
      </w:r>
    </w:p>
    <w:p w14:paraId="60C7A3F9" w14:textId="77777777" w:rsidR="00CD785F" w:rsidRPr="000E354C" w:rsidRDefault="00CD785F" w:rsidP="00C231DE">
      <w:r w:rsidRPr="000E354C">
        <w:t>1.6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invite les participants à examiner le Document 402.</w:t>
      </w:r>
    </w:p>
    <w:p w14:paraId="65EA83B0" w14:textId="4C27840D" w:rsidR="00CD785F" w:rsidRPr="000E354C" w:rsidRDefault="00CD785F" w:rsidP="00C231DE">
      <w:r w:rsidRPr="000E354C">
        <w:t>1.7</w:t>
      </w:r>
      <w:r w:rsidRPr="000E354C">
        <w:tab/>
        <w:t xml:space="preserve">En réponse à une demande du </w:t>
      </w:r>
      <w:r w:rsidRPr="00240B97">
        <w:rPr>
          <w:b/>
          <w:bCs/>
        </w:rPr>
        <w:t>délégué des États-Unis</w:t>
      </w:r>
      <w:r w:rsidRPr="000E354C">
        <w:t xml:space="preserve">, qui souhaite obtenir des précisions quant à la finalité du texte figurant dans le document, le </w:t>
      </w:r>
      <w:r w:rsidRPr="00240B97">
        <w:rPr>
          <w:b/>
          <w:bCs/>
        </w:rPr>
        <w:t>délégué de la France</w:t>
      </w:r>
      <w:r w:rsidRPr="000E354C">
        <w:t xml:space="preserve"> précise que la révision du point 8 du </w:t>
      </w:r>
      <w:r w:rsidRPr="00AD6804">
        <w:rPr>
          <w:i/>
          <w:iCs/>
        </w:rPr>
        <w:t>décide</w:t>
      </w:r>
      <w:r w:rsidRPr="000E354C">
        <w:t xml:space="preserve"> de la Résolution 229 (Rév. CMR-19) découle de la Recommandation UIT-R M.1652, en vertu de laquelle le critère de protection des radars météorologiques est de –6 dB. Toutefois, conformément à la Recommandation UIT-R M.1849-1, les critères de protection sont dans certains cas inférieurs à </w:t>
      </w:r>
      <w:r w:rsidR="00AD6804">
        <w:t>–</w:t>
      </w:r>
      <w:r w:rsidRPr="000E354C">
        <w:t>10 dB. En conséquence, le texte proposé vise à souligner le fait que l</w:t>
      </w:r>
      <w:r w:rsidR="007E1834" w:rsidRPr="000E354C">
        <w:t>'</w:t>
      </w:r>
      <w:r w:rsidRPr="000E354C">
        <w:t>ancien critère de protection ne s</w:t>
      </w:r>
      <w:r w:rsidR="007E1834" w:rsidRPr="000E354C">
        <w:t>'</w:t>
      </w:r>
      <w:r w:rsidRPr="000E354C">
        <w:t>applique qu</w:t>
      </w:r>
      <w:r w:rsidR="007E1834" w:rsidRPr="000E354C">
        <w:t>'</w:t>
      </w:r>
      <w:r w:rsidRPr="000E354C">
        <w:t xml:space="preserve">en ce qui concerne le point 8 du </w:t>
      </w:r>
      <w:r w:rsidRPr="00AD6804">
        <w:rPr>
          <w:i/>
          <w:iCs/>
        </w:rPr>
        <w:t>décide</w:t>
      </w:r>
      <w:r w:rsidRPr="000E354C">
        <w:t xml:space="preserve"> de la Résolution 229 (</w:t>
      </w:r>
      <w:r w:rsidR="00567EA6" w:rsidRPr="000E354C">
        <w:t>Rév. </w:t>
      </w:r>
      <w:r w:rsidRPr="000E354C">
        <w:t>CMR-19)</w:t>
      </w:r>
      <w:r w:rsidR="00B448AF" w:rsidRPr="000E354C">
        <w:t>,</w:t>
      </w:r>
      <w:r w:rsidRPr="000E354C">
        <w:t xml:space="preserve"> l</w:t>
      </w:r>
      <w:r w:rsidR="007E1834" w:rsidRPr="000E354C">
        <w:t>'</w:t>
      </w:r>
      <w:r w:rsidRPr="000E354C">
        <w:t xml:space="preserve">objectif étant </w:t>
      </w:r>
      <w:r w:rsidR="007E1834" w:rsidRPr="000E354C">
        <w:t>ainsi</w:t>
      </w:r>
      <w:r w:rsidRPr="000E354C">
        <w:t xml:space="preserve"> de traiter le point</w:t>
      </w:r>
      <w:r w:rsidR="007E1834" w:rsidRPr="000E354C">
        <w:t> </w:t>
      </w:r>
      <w:r w:rsidRPr="000E354C">
        <w:t>9.1.5 de l</w:t>
      </w:r>
      <w:r w:rsidR="007E1834" w:rsidRPr="000E354C">
        <w:t>'</w:t>
      </w:r>
      <w:r w:rsidRPr="000E354C">
        <w:t>ordre du jour</w:t>
      </w:r>
      <w:r w:rsidR="00B448AF" w:rsidRPr="000E354C">
        <w:t>.</w:t>
      </w:r>
      <w:r w:rsidRPr="000E354C">
        <w:t xml:space="preserve"> Cependant, les études éventuelles qui seront menées dans l</w:t>
      </w:r>
      <w:r w:rsidR="007E1834" w:rsidRPr="000E354C">
        <w:t>'</w:t>
      </w:r>
      <w:r w:rsidRPr="000E354C">
        <w:t>avenir devraient s</w:t>
      </w:r>
      <w:r w:rsidR="007E1834" w:rsidRPr="000E354C">
        <w:t>'</w:t>
      </w:r>
      <w:r w:rsidRPr="000E354C">
        <w:t xml:space="preserve">appuyer sur les critères </w:t>
      </w:r>
      <w:r w:rsidR="007E1834" w:rsidRPr="000E354C">
        <w:t xml:space="preserve">de protection </w:t>
      </w:r>
      <w:r w:rsidRPr="000E354C">
        <w:t>indiqués dans la Recommandation UIT-R M.1849</w:t>
      </w:r>
      <w:r w:rsidR="007E1834" w:rsidRPr="000E354C">
        <w:noBreakHyphen/>
      </w:r>
      <w:r w:rsidRPr="000E354C">
        <w:t xml:space="preserve">1. </w:t>
      </w:r>
    </w:p>
    <w:p w14:paraId="70CAD6EB" w14:textId="16EBB2FA" w:rsidR="00CD785F" w:rsidRPr="000E354C" w:rsidRDefault="00CD785F" w:rsidP="00C231DE">
      <w:r w:rsidRPr="000E354C">
        <w:t>1.8</w:t>
      </w:r>
      <w:r w:rsidRPr="000E354C">
        <w:tab/>
        <w:t xml:space="preserve">Le </w:t>
      </w:r>
      <w:r w:rsidRPr="00240B97">
        <w:rPr>
          <w:b/>
          <w:bCs/>
        </w:rPr>
        <w:t>délégué des États-Unis</w:t>
      </w:r>
      <w:r w:rsidRPr="000E354C">
        <w:t xml:space="preserve"> fait observer que le texte proposé, dans son libellé actuel, n</w:t>
      </w:r>
      <w:r w:rsidR="007E1834" w:rsidRPr="000E354C">
        <w:t>'</w:t>
      </w:r>
      <w:r w:rsidRPr="000E354C">
        <w:t>indique pas clairement qu</w:t>
      </w:r>
      <w:r w:rsidR="007E1834" w:rsidRPr="000E354C">
        <w:t>'</w:t>
      </w:r>
      <w:r w:rsidRPr="000E354C">
        <w:t xml:space="preserve">il faudra peut-être définir des valeurs plus strictes pour les critères de protection pour les nouveaux radars météorologiques qui </w:t>
      </w:r>
      <w:r w:rsidR="007E1834" w:rsidRPr="000E354C">
        <w:t>pourraient</w:t>
      </w:r>
      <w:r w:rsidRPr="000E354C">
        <w:t xml:space="preserve"> par la suite </w:t>
      </w:r>
      <w:r w:rsidR="007E1834" w:rsidRPr="000E354C">
        <w:t xml:space="preserve">être </w:t>
      </w:r>
      <w:r w:rsidRPr="000E354C">
        <w:t>pris en compte au titre de la Recommandation UIT-R M.1849. En conséquence, l</w:t>
      </w:r>
      <w:r w:rsidR="007E1834" w:rsidRPr="000E354C">
        <w:t>'</w:t>
      </w:r>
      <w:r w:rsidRPr="000E354C">
        <w:t>orateur suggère de réviser le texte afin de tenir compte de cette préoccupation et de reporter en conséquence l</w:t>
      </w:r>
      <w:r w:rsidR="007E1834" w:rsidRPr="000E354C">
        <w:t>'</w:t>
      </w:r>
      <w:r w:rsidRPr="000E354C">
        <w:t>examen du Document</w:t>
      </w:r>
      <w:r w:rsidR="007E1834" w:rsidRPr="000E354C">
        <w:t> 402</w:t>
      </w:r>
      <w:r w:rsidRPr="000E354C">
        <w:t xml:space="preserve"> à une séance plénière ultérieure</w:t>
      </w:r>
      <w:r w:rsidR="00AD6804">
        <w:t>.</w:t>
      </w:r>
    </w:p>
    <w:p w14:paraId="30A3E95D" w14:textId="03756A50" w:rsidR="00CD785F" w:rsidRPr="000E354C" w:rsidRDefault="00CD785F" w:rsidP="00C231DE">
      <w:r w:rsidRPr="000E354C">
        <w:t>1.9</w:t>
      </w:r>
      <w:r w:rsidRPr="000E354C">
        <w:tab/>
        <w:t xml:space="preserve">Le </w:t>
      </w:r>
      <w:r w:rsidRPr="00240B97">
        <w:rPr>
          <w:b/>
          <w:bCs/>
        </w:rPr>
        <w:t xml:space="preserve">délégué de la </w:t>
      </w:r>
      <w:r w:rsidR="007E1834" w:rsidRPr="00240B97">
        <w:rPr>
          <w:b/>
          <w:bCs/>
        </w:rPr>
        <w:t>R</w:t>
      </w:r>
      <w:r w:rsidRPr="00240B97">
        <w:rPr>
          <w:b/>
          <w:bCs/>
        </w:rPr>
        <w:t>épublique islamique d</w:t>
      </w:r>
      <w:r w:rsidR="007E1834" w:rsidRPr="00240B97">
        <w:rPr>
          <w:b/>
          <w:bCs/>
        </w:rPr>
        <w:t>'</w:t>
      </w:r>
      <w:r w:rsidRPr="00240B97">
        <w:rPr>
          <w:b/>
          <w:bCs/>
        </w:rPr>
        <w:t>Iran</w:t>
      </w:r>
      <w:r w:rsidRPr="000E354C">
        <w:t xml:space="preserve"> demande si la Recommandation UIT</w:t>
      </w:r>
      <w:r w:rsidRPr="000E354C">
        <w:noBreakHyphen/>
        <w:t>R M.1849 est incorporée par référence dans le Règlement des radiocommunications, sachant qu</w:t>
      </w:r>
      <w:r w:rsidR="007E1834" w:rsidRPr="000E354C">
        <w:t>'</w:t>
      </w:r>
      <w:r w:rsidRPr="000E354C">
        <w:t>en général, il n</w:t>
      </w:r>
      <w:r w:rsidR="007E1834" w:rsidRPr="000E354C">
        <w:t>'</w:t>
      </w:r>
      <w:r w:rsidRPr="000E354C">
        <w:t xml:space="preserve">est pas demandé à la conférence de formuler des observations sur </w:t>
      </w:r>
      <w:r w:rsidR="007E1834" w:rsidRPr="000E354C">
        <w:t>d</w:t>
      </w:r>
      <w:r w:rsidRPr="000E354C">
        <w:t>es critères définis dans des Recommandations UIT-R</w:t>
      </w:r>
      <w:r w:rsidR="00B448AF" w:rsidRPr="000E354C">
        <w:t>.</w:t>
      </w:r>
      <w:r w:rsidRPr="000E354C">
        <w:t xml:space="preserve"> En tout état de cause, il n</w:t>
      </w:r>
      <w:r w:rsidR="007E1834" w:rsidRPr="000E354C">
        <w:t>'</w:t>
      </w:r>
      <w:r w:rsidRPr="000E354C">
        <w:t>est pas opportun de faire figurer des commentaires sur des questions de réglementation dans les procès-verbaux de la plénière</w:t>
      </w:r>
      <w:r w:rsidR="00B448AF" w:rsidRPr="000E354C">
        <w:t>.</w:t>
      </w:r>
      <w:r w:rsidRPr="000E354C">
        <w:t xml:space="preserve"> En revanche, un texte approuvé par la conférence</w:t>
      </w:r>
      <w:r w:rsidRPr="000E354C">
        <w:rPr>
          <w:color w:val="000000"/>
        </w:rPr>
        <w:t xml:space="preserve"> devrait faire l'objet d'une note de bas de page renvoyant au</w:t>
      </w:r>
      <w:r w:rsidRPr="000E354C">
        <w:t xml:space="preserve"> point 8 du </w:t>
      </w:r>
      <w:r w:rsidRPr="00AD6804">
        <w:rPr>
          <w:i/>
          <w:iCs/>
        </w:rPr>
        <w:t>décide</w:t>
      </w:r>
      <w:r w:rsidRPr="000E354C">
        <w:t xml:space="preserve"> de la Résolution 229 (</w:t>
      </w:r>
      <w:r w:rsidR="00567EA6" w:rsidRPr="000E354C">
        <w:t>Rév. </w:t>
      </w:r>
      <w:r w:rsidRPr="000E354C">
        <w:t xml:space="preserve">CMR-19) ou être ajouté dans le texte existant. </w:t>
      </w:r>
    </w:p>
    <w:p w14:paraId="1B3C4F28" w14:textId="1F7044CE" w:rsidR="00CD785F" w:rsidRPr="000E354C" w:rsidRDefault="00CD785F" w:rsidP="00C231DE">
      <w:r w:rsidRPr="000E354C">
        <w:t>1.10</w:t>
      </w:r>
      <w:r w:rsidRPr="000E354C">
        <w:tab/>
        <w:t xml:space="preserve">Le </w:t>
      </w:r>
      <w:r w:rsidRPr="00240B97">
        <w:rPr>
          <w:b/>
          <w:bCs/>
        </w:rPr>
        <w:t>délégué des États-Unis</w:t>
      </w:r>
      <w:r w:rsidRPr="000E354C">
        <w:t xml:space="preserve"> souligne que la Recommandation UIT-R M.1849 n</w:t>
      </w:r>
      <w:r w:rsidR="007E1834" w:rsidRPr="000E354C">
        <w:t>'</w:t>
      </w:r>
      <w:r w:rsidRPr="000E354C">
        <w:t>est pas incorporée par référence dans le Règlement des radiocommunications, alors qu</w:t>
      </w:r>
      <w:r w:rsidR="007E1834" w:rsidRPr="000E354C">
        <w:t>'</w:t>
      </w:r>
      <w:r w:rsidRPr="000E354C">
        <w:t>elle le sera si le texte est ajouté dans la Résolution comme le suggère l</w:t>
      </w:r>
      <w:r w:rsidR="007E1834" w:rsidRPr="000E354C">
        <w:t>'</w:t>
      </w:r>
      <w:r w:rsidRPr="000E354C">
        <w:t xml:space="preserve">orateur précédent. Il est indispensable de maintenir le compromis délicat </w:t>
      </w:r>
      <w:r w:rsidRPr="000E354C">
        <w:rPr>
          <w:color w:val="000000"/>
        </w:rPr>
        <w:t>qui apparaît</w:t>
      </w:r>
      <w:r w:rsidRPr="000E354C">
        <w:t xml:space="preserve"> dans le texte relatif au point 9.1.5 de l</w:t>
      </w:r>
      <w:r w:rsidR="007E1834" w:rsidRPr="000E354C">
        <w:t>'</w:t>
      </w:r>
      <w:r w:rsidRPr="000E354C">
        <w:t xml:space="preserve">ordre du jour. </w:t>
      </w:r>
    </w:p>
    <w:p w14:paraId="73B5781C" w14:textId="325572F2" w:rsidR="00CD785F" w:rsidRPr="000E354C" w:rsidRDefault="00CD785F" w:rsidP="00C231DE">
      <w:r w:rsidRPr="000E354C">
        <w:lastRenderedPageBreak/>
        <w:t>1.11</w:t>
      </w:r>
      <w:r w:rsidRPr="000E354C">
        <w:tab/>
        <w:t xml:space="preserve">Le </w:t>
      </w:r>
      <w:r w:rsidRPr="00240B97">
        <w:rPr>
          <w:b/>
          <w:bCs/>
        </w:rPr>
        <w:t>délégué de la France</w:t>
      </w:r>
      <w:r w:rsidRPr="000E354C">
        <w:t xml:space="preserve"> suggère de tenir des discussions informelles, en vue de réviser le texte à la lumière des observations formulées. </w:t>
      </w:r>
    </w:p>
    <w:p w14:paraId="13CDCE6C" w14:textId="4D7EEC88" w:rsidR="00CD785F" w:rsidRPr="000E354C" w:rsidRDefault="00CD785F" w:rsidP="00C231DE">
      <w:r w:rsidRPr="000E354C">
        <w:t>1.12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considère que la conférence souhaite reporter l</w:t>
      </w:r>
      <w:r w:rsidR="007E1834" w:rsidRPr="000E354C">
        <w:t>'</w:t>
      </w:r>
      <w:r w:rsidRPr="000E354C">
        <w:t>examen du Document 402</w:t>
      </w:r>
      <w:r w:rsidR="00B448AF" w:rsidRPr="000E354C">
        <w:t>,</w:t>
      </w:r>
      <w:r w:rsidRPr="000E354C">
        <w:t xml:space="preserve"> afin de laisser aux parties intéressées le temps de mener des consultations informelles à cette fin. </w:t>
      </w:r>
    </w:p>
    <w:p w14:paraId="5974CFA3" w14:textId="73C93B4B" w:rsidR="00CD785F" w:rsidRPr="000E354C" w:rsidRDefault="00CD785F" w:rsidP="00C231DE">
      <w:r w:rsidRPr="000E354C">
        <w:t>1.13</w:t>
      </w:r>
      <w:r w:rsidRPr="000E354C">
        <w:tab/>
        <w:t xml:space="preserve">Il en est ainsi </w:t>
      </w:r>
      <w:r w:rsidR="000E354C" w:rsidRPr="00240B97">
        <w:rPr>
          <w:b/>
          <w:bCs/>
        </w:rPr>
        <w:t>décidé</w:t>
      </w:r>
      <w:r w:rsidR="000E354C" w:rsidRPr="000E354C">
        <w:t>.</w:t>
      </w:r>
      <w:r w:rsidRPr="000E354C">
        <w:t xml:space="preserve"> </w:t>
      </w:r>
    </w:p>
    <w:p w14:paraId="714E8836" w14:textId="14004570" w:rsidR="00CD785F" w:rsidRPr="000E354C" w:rsidRDefault="00CD785F" w:rsidP="00C231DE">
      <w:pPr>
        <w:pStyle w:val="Heading1"/>
      </w:pPr>
      <w:r w:rsidRPr="000E354C">
        <w:t>2</w:t>
      </w:r>
      <w:r w:rsidRPr="000E354C">
        <w:tab/>
        <w:t>Vingt-deuxième série de textes soumis par la Commission de rédaction (B22) – deuxième lecture (Document 326)</w:t>
      </w:r>
    </w:p>
    <w:p w14:paraId="6CCC8450" w14:textId="4792B6A3" w:rsidR="00CD785F" w:rsidRPr="000E354C" w:rsidRDefault="00CD785F" w:rsidP="00C231DE">
      <w:r w:rsidRPr="000E354C">
        <w:t>2.1</w:t>
      </w:r>
      <w:r w:rsidRPr="000E354C">
        <w:tab/>
        <w:t xml:space="preserve">La vingt-deuxième série de textes soumis par la Commission de rédaction (B22) (Document 326) est </w:t>
      </w:r>
      <w:r w:rsidRPr="00240B97">
        <w:rPr>
          <w:b/>
          <w:bCs/>
        </w:rPr>
        <w:t>approuvée</w:t>
      </w:r>
      <w:r w:rsidRPr="000E354C">
        <w:t xml:space="preserve"> en deuxième lecture.</w:t>
      </w:r>
    </w:p>
    <w:p w14:paraId="7CFCE546" w14:textId="4E7E8711" w:rsidR="00CD785F" w:rsidRPr="000E354C" w:rsidRDefault="00CD785F" w:rsidP="00C231DE">
      <w:pPr>
        <w:pStyle w:val="Heading1"/>
      </w:pPr>
      <w:bookmarkStart w:id="6" w:name="_Hlk25064218"/>
      <w:r w:rsidRPr="000E354C">
        <w:t>3</w:t>
      </w:r>
      <w:r w:rsidRPr="000E354C">
        <w:tab/>
        <w:t>Trente-troisième série de textes soumis par la Commission de rédaction en première lecture (B33) (Document 462)</w:t>
      </w:r>
    </w:p>
    <w:bookmarkEnd w:id="6"/>
    <w:p w14:paraId="0CF4A425" w14:textId="61C21F22" w:rsidR="00CD785F" w:rsidRPr="000E354C" w:rsidRDefault="00CD785F" w:rsidP="00C231DE">
      <w:r w:rsidRPr="000E354C">
        <w:t>3.1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</w:t>
      </w:r>
      <w:r w:rsidRPr="000E354C">
        <w:rPr>
          <w:b/>
          <w:bCs/>
        </w:rPr>
        <w:t xml:space="preserve">de la Commission de rédaction </w:t>
      </w:r>
      <w:r w:rsidRPr="000E354C">
        <w:t>présente le Document 462.</w:t>
      </w:r>
    </w:p>
    <w:p w14:paraId="2049E0B5" w14:textId="77777777" w:rsidR="00CD785F" w:rsidRPr="000E354C" w:rsidRDefault="00CD785F" w:rsidP="00C231DE">
      <w:bookmarkStart w:id="7" w:name="_Hlk25065079"/>
      <w:r w:rsidRPr="000E354C">
        <w:t>3.2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invite les participants à examiner le Document 462</w:t>
      </w:r>
      <w:bookmarkEnd w:id="7"/>
      <w:r w:rsidRPr="000E354C">
        <w:t>.</w:t>
      </w:r>
    </w:p>
    <w:p w14:paraId="4D3E3B3F" w14:textId="41B22ECA" w:rsidR="00CD785F" w:rsidRPr="000E354C" w:rsidRDefault="00CD785F" w:rsidP="00C231DE">
      <w:pPr>
        <w:pStyle w:val="Headingb"/>
        <w:rPr>
          <w:szCs w:val="24"/>
        </w:rPr>
      </w:pPr>
      <w:r w:rsidRPr="000E354C">
        <w:t xml:space="preserve">Article 9 (MOD </w:t>
      </w:r>
      <w:r w:rsidR="000E354C">
        <w:t>Titre</w:t>
      </w:r>
      <w:r w:rsidRPr="000E354C">
        <w:t>, MOD A.9.4, MOD 9.1, MOD 9.2B, MOD 9.3, ADD 9.3.1); Article</w:t>
      </w:r>
      <w:r w:rsidR="00C231DE" w:rsidRPr="000E354C">
        <w:t> </w:t>
      </w:r>
      <w:r w:rsidRPr="000E354C">
        <w:t>11</w:t>
      </w:r>
      <w:r w:rsidR="00C231DE" w:rsidRPr="000E354C">
        <w:t> </w:t>
      </w:r>
      <w:r w:rsidRPr="000E354C">
        <w:t xml:space="preserve">(MOD </w:t>
      </w:r>
      <w:r w:rsidR="000E354C">
        <w:t>Titre</w:t>
      </w:r>
      <w:r w:rsidRPr="000E354C">
        <w:t>, MOD A.11.2); Appendice 4 (MOD Tableau A); ADD</w:t>
      </w:r>
      <w:r w:rsidR="00C231DE" w:rsidRPr="000E354C">
        <w:t> </w:t>
      </w:r>
      <w:r w:rsidRPr="000E354C">
        <w:t>Résolution</w:t>
      </w:r>
      <w:r w:rsidR="00C231DE" w:rsidRPr="000E354C">
        <w:t> </w:t>
      </w:r>
      <w:r w:rsidRPr="000E354C">
        <w:t>COM5/5 (CMR</w:t>
      </w:r>
      <w:r w:rsidR="00C231DE" w:rsidRPr="000E354C">
        <w:noBreakHyphen/>
      </w:r>
      <w:r w:rsidRPr="000E354C">
        <w:t xml:space="preserve">19) – </w:t>
      </w:r>
      <w:r w:rsidRPr="000E354C">
        <w:rPr>
          <w:color w:val="000000"/>
        </w:rPr>
        <w:t>Procédures réglementaires à suivre pour les assignations de fréquence aux réseaux à satellite non géostationnaire ou aux systèmes à satellites non géostationnaires identifiés en tant que mission de courte durée non assujetties à l'application de la Section II de l'Article 9</w:t>
      </w:r>
    </w:p>
    <w:p w14:paraId="6773C244" w14:textId="15F459DD" w:rsidR="00CD785F" w:rsidRPr="000E354C" w:rsidRDefault="00CD785F" w:rsidP="00C231DE">
      <w:r w:rsidRPr="000E354C">
        <w:t>3.3</w:t>
      </w:r>
      <w:r w:rsidRPr="000E354C">
        <w:tab/>
      </w:r>
      <w:r w:rsidRPr="000E354C">
        <w:rPr>
          <w:b/>
          <w:bCs/>
        </w:rPr>
        <w:t>Approuvé</w:t>
      </w:r>
      <w:r w:rsidR="006F7ED6">
        <w:rPr>
          <w:b/>
          <w:bCs/>
        </w:rPr>
        <w:t>s</w:t>
      </w:r>
      <w:r w:rsidRPr="000E354C">
        <w:t>.</w:t>
      </w:r>
    </w:p>
    <w:p w14:paraId="5EF0977F" w14:textId="1F056CCE" w:rsidR="00CD785F" w:rsidRPr="000E354C" w:rsidRDefault="00CD785F" w:rsidP="00C231DE">
      <w:r w:rsidRPr="000E354C">
        <w:t>3.4</w:t>
      </w:r>
      <w:r w:rsidRPr="000E354C">
        <w:tab/>
        <w:t>La trente-troisième série de textes soumis par la Commission de rédaction en première lecture</w:t>
      </w:r>
      <w:r w:rsidR="008A0C14" w:rsidRPr="000E354C">
        <w:t xml:space="preserve"> </w:t>
      </w:r>
      <w:r w:rsidRPr="000E354C">
        <w:t xml:space="preserve">(B33) (Document 462) est </w:t>
      </w:r>
      <w:r w:rsidRPr="00240B97">
        <w:rPr>
          <w:b/>
          <w:bCs/>
        </w:rPr>
        <w:t>approuvée</w:t>
      </w:r>
      <w:r w:rsidR="00B448AF" w:rsidRPr="000E354C">
        <w:t>.</w:t>
      </w:r>
    </w:p>
    <w:p w14:paraId="4EF0D973" w14:textId="2E2BE218" w:rsidR="00CD785F" w:rsidRPr="000E354C" w:rsidRDefault="00CD785F" w:rsidP="00C231DE">
      <w:pPr>
        <w:pStyle w:val="Heading1"/>
      </w:pPr>
      <w:r w:rsidRPr="000E354C">
        <w:t>4</w:t>
      </w:r>
      <w:r w:rsidRPr="000E354C">
        <w:tab/>
        <w:t>Trente-troisième série de textes soumis par la Commission de rédaction (B33) – deuxième lecture</w:t>
      </w:r>
      <w:r w:rsidR="008A0C14" w:rsidRPr="000E354C">
        <w:t xml:space="preserve"> </w:t>
      </w:r>
      <w:r w:rsidRPr="000E354C">
        <w:t>(Document 462)</w:t>
      </w:r>
    </w:p>
    <w:p w14:paraId="08D2E35A" w14:textId="2253936A" w:rsidR="00CD785F" w:rsidRPr="000E354C" w:rsidRDefault="00CD785F" w:rsidP="00C231DE">
      <w:r w:rsidRPr="000E354C">
        <w:t>4.1</w:t>
      </w:r>
      <w:r w:rsidRPr="000E354C">
        <w:tab/>
        <w:t xml:space="preserve">La trente-troisième série de textes soumis par la Commission de rédaction (B33) (Document 462) est </w:t>
      </w:r>
      <w:r w:rsidRPr="00240B97">
        <w:rPr>
          <w:b/>
          <w:bCs/>
        </w:rPr>
        <w:t>approuvée</w:t>
      </w:r>
      <w:r w:rsidRPr="000E354C">
        <w:t xml:space="preserve"> en deuxième lecture.</w:t>
      </w:r>
    </w:p>
    <w:p w14:paraId="1D68AD9E" w14:textId="648D8297" w:rsidR="00CD785F" w:rsidRPr="000E354C" w:rsidRDefault="00CD785F" w:rsidP="00C231DE">
      <w:pPr>
        <w:pStyle w:val="Heading1"/>
      </w:pPr>
      <w:bookmarkStart w:id="8" w:name="_Hlk25064151"/>
      <w:r w:rsidRPr="000E354C">
        <w:t>5</w:t>
      </w:r>
      <w:r w:rsidRPr="000E354C">
        <w:tab/>
        <w:t>Trente-quatrième série de textes soumis par la Commission de rédaction en première lecture</w:t>
      </w:r>
      <w:r w:rsidR="008A0C14" w:rsidRPr="000E354C">
        <w:t xml:space="preserve"> </w:t>
      </w:r>
      <w:r w:rsidRPr="000E354C">
        <w:t>(B34) (Document 463)</w:t>
      </w:r>
    </w:p>
    <w:bookmarkEnd w:id="8"/>
    <w:p w14:paraId="53D94989" w14:textId="0A75B794" w:rsidR="00CD785F" w:rsidRPr="000E354C" w:rsidRDefault="00CD785F" w:rsidP="00C231DE">
      <w:r w:rsidRPr="000E354C">
        <w:t>5.1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</w:t>
      </w:r>
      <w:r w:rsidRPr="000E354C">
        <w:rPr>
          <w:b/>
          <w:bCs/>
        </w:rPr>
        <w:t xml:space="preserve">de la Commission de rédaction </w:t>
      </w:r>
      <w:r w:rsidRPr="000E354C">
        <w:t>présente le Document 463.</w:t>
      </w:r>
    </w:p>
    <w:p w14:paraId="51E6DD04" w14:textId="77777777" w:rsidR="00CD785F" w:rsidRPr="000E354C" w:rsidRDefault="00CD785F" w:rsidP="00C231DE">
      <w:r w:rsidRPr="000E354C">
        <w:t>5.2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invite les participants à examiner le Document 463.</w:t>
      </w:r>
    </w:p>
    <w:p w14:paraId="20B9D0E6" w14:textId="351FEEA9" w:rsidR="00CD785F" w:rsidRPr="000E354C" w:rsidRDefault="00CD785F" w:rsidP="00C231DE">
      <w:pPr>
        <w:pStyle w:val="Headingb"/>
      </w:pPr>
      <w:r w:rsidRPr="000E354C">
        <w:t>Article 5 (MOD Tableau 15</w:t>
      </w:r>
      <w:r w:rsidR="00AD6804">
        <w:t>,</w:t>
      </w:r>
      <w:r w:rsidRPr="000E354C">
        <w:t>4-18</w:t>
      </w:r>
      <w:r w:rsidR="00AD6804">
        <w:t>,</w:t>
      </w:r>
      <w:r w:rsidRPr="000E354C">
        <w:t>4 GHz, ADD 5.A15, MOD Tableau 18</w:t>
      </w:r>
      <w:r w:rsidR="00AD6804">
        <w:t>,</w:t>
      </w:r>
      <w:r w:rsidRPr="000E354C">
        <w:t>4-22 GHz, MOD</w:t>
      </w:r>
      <w:r w:rsidR="008A0C14" w:rsidRPr="000E354C">
        <w:t> </w:t>
      </w:r>
      <w:r w:rsidRPr="000E354C">
        <w:t>Tableau 24</w:t>
      </w:r>
      <w:r w:rsidR="00AD6804">
        <w:t>,</w:t>
      </w:r>
      <w:r w:rsidRPr="000E354C">
        <w:t>75-29</w:t>
      </w:r>
      <w:r w:rsidR="00AD6804">
        <w:t>,</w:t>
      </w:r>
      <w:r w:rsidRPr="000E354C">
        <w:t xml:space="preserve">9 GHz); Appendice 4 (MOD Tableau A); ADD Résolution COM5/6 (CMR-19) – </w:t>
      </w:r>
      <w:r w:rsidRPr="000E354C">
        <w:rPr>
          <w:color w:val="000000"/>
        </w:rPr>
        <w:t>Utilisation des bandes de fréquences 17,7-19,7 GHz et 27,5-29,5 GHz par les stations terriennes en mouvement communiquant avec des stations spatiales géostationnaires du service fixe par satellite</w:t>
      </w:r>
      <w:r w:rsidRPr="000E354C">
        <w:t xml:space="preserve">; SUP Résolution 158 (CMR-15) </w:t>
      </w:r>
    </w:p>
    <w:p w14:paraId="138FD75B" w14:textId="1EFE1EE8" w:rsidR="00CD785F" w:rsidRPr="000E354C" w:rsidRDefault="00CD785F" w:rsidP="00C231DE">
      <w:r w:rsidRPr="000E354C">
        <w:t>5.3</w:t>
      </w:r>
      <w:r w:rsidRPr="000E354C">
        <w:tab/>
      </w:r>
      <w:r w:rsidRPr="000E354C">
        <w:rPr>
          <w:b/>
          <w:bCs/>
        </w:rPr>
        <w:t>Approuvé</w:t>
      </w:r>
      <w:r w:rsidR="006F7ED6">
        <w:rPr>
          <w:b/>
          <w:bCs/>
        </w:rPr>
        <w:t>s</w:t>
      </w:r>
      <w:r w:rsidR="008A0C14" w:rsidRPr="000E354C">
        <w:t>.</w:t>
      </w:r>
    </w:p>
    <w:p w14:paraId="104582B2" w14:textId="697496E7" w:rsidR="00CD785F" w:rsidRPr="000E354C" w:rsidRDefault="00CD785F" w:rsidP="00C231DE">
      <w:r w:rsidRPr="000E354C">
        <w:t>5.4</w:t>
      </w:r>
      <w:r w:rsidRPr="000E354C">
        <w:tab/>
        <w:t>La trente-quatrième série de textes soumis par la Commission de rédaction en première lecture</w:t>
      </w:r>
      <w:r w:rsidR="00AD6804">
        <w:t xml:space="preserve"> </w:t>
      </w:r>
      <w:r w:rsidRPr="000E354C">
        <w:t xml:space="preserve">(B34) (Document 463) est </w:t>
      </w:r>
      <w:r w:rsidRPr="00240B97">
        <w:rPr>
          <w:b/>
          <w:bCs/>
        </w:rPr>
        <w:t>approuvée</w:t>
      </w:r>
      <w:r w:rsidR="00B448AF" w:rsidRPr="000E354C">
        <w:t>.</w:t>
      </w:r>
    </w:p>
    <w:p w14:paraId="55B3A8D3" w14:textId="085D1DBF" w:rsidR="00CD785F" w:rsidRPr="000E354C" w:rsidRDefault="00CD785F" w:rsidP="00C231DE">
      <w:pPr>
        <w:pStyle w:val="Heading1"/>
      </w:pPr>
      <w:r w:rsidRPr="000E354C">
        <w:lastRenderedPageBreak/>
        <w:t>6</w:t>
      </w:r>
      <w:r w:rsidRPr="000E354C">
        <w:tab/>
        <w:t>Trente-quatrième série de textes soumis par la Commission de rédaction (B34) – deuxième lecture</w:t>
      </w:r>
      <w:r w:rsidR="008A0C14" w:rsidRPr="000E354C">
        <w:t xml:space="preserve"> </w:t>
      </w:r>
      <w:r w:rsidRPr="000E354C">
        <w:t>(Document 463)</w:t>
      </w:r>
    </w:p>
    <w:p w14:paraId="68608F66" w14:textId="7883EB8A" w:rsidR="00CD785F" w:rsidRPr="000E354C" w:rsidRDefault="00CD785F" w:rsidP="00C231DE">
      <w:pPr>
        <w:rPr>
          <w:b/>
          <w:bCs/>
        </w:rPr>
      </w:pPr>
      <w:r w:rsidRPr="000E354C">
        <w:t>6.1</w:t>
      </w:r>
      <w:r w:rsidRPr="000E354C">
        <w:tab/>
        <w:t xml:space="preserve">La trente-quatrième série de textes soumis par la Commission de rédaction (B34) (Document 463) est </w:t>
      </w:r>
      <w:r w:rsidRPr="00240B97">
        <w:rPr>
          <w:b/>
          <w:bCs/>
        </w:rPr>
        <w:t>approuvée</w:t>
      </w:r>
      <w:r w:rsidRPr="000E354C">
        <w:t xml:space="preserve"> en deuxième lecture.</w:t>
      </w:r>
    </w:p>
    <w:p w14:paraId="5B6A39B5" w14:textId="4EE911D0" w:rsidR="00CD785F" w:rsidRPr="000E354C" w:rsidRDefault="00CD785F" w:rsidP="00C231DE">
      <w:pPr>
        <w:pStyle w:val="Heading1"/>
      </w:pPr>
      <w:r w:rsidRPr="000E354C">
        <w:t>7</w:t>
      </w:r>
      <w:r w:rsidRPr="000E354C">
        <w:tab/>
        <w:t>Trente-cinquième série de textes soumis par la Commission de rédaction en première lecture (B35) (Document 464)</w:t>
      </w:r>
    </w:p>
    <w:p w14:paraId="1534C60C" w14:textId="4EED35CC" w:rsidR="00CD785F" w:rsidRPr="000E354C" w:rsidRDefault="00CD785F" w:rsidP="00C231DE">
      <w:r w:rsidRPr="000E354C">
        <w:t>7.1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</w:t>
      </w:r>
      <w:r w:rsidRPr="000E354C">
        <w:rPr>
          <w:b/>
          <w:bCs/>
        </w:rPr>
        <w:t xml:space="preserve">de la Commission de rédaction </w:t>
      </w:r>
      <w:r w:rsidRPr="000E354C">
        <w:t>présente le Document 464.</w:t>
      </w:r>
    </w:p>
    <w:p w14:paraId="249E866A" w14:textId="77777777" w:rsidR="00CD785F" w:rsidRPr="000E354C" w:rsidRDefault="00CD785F" w:rsidP="00C231DE">
      <w:r w:rsidRPr="000E354C">
        <w:t>7.2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invite les participants à examiner le Document 464.</w:t>
      </w:r>
    </w:p>
    <w:p w14:paraId="709751FE" w14:textId="3B154C0D" w:rsidR="00CD785F" w:rsidRPr="000E354C" w:rsidRDefault="00CD785F" w:rsidP="00C231DE">
      <w:pPr>
        <w:pStyle w:val="Headingb"/>
      </w:pPr>
      <w:r w:rsidRPr="000E354C">
        <w:t>Appendice 4 (MOD Tableau A, MOD Tableau B, MOD Tableau C, MOD Tableau D)</w:t>
      </w:r>
    </w:p>
    <w:p w14:paraId="78317408" w14:textId="5A2833DF" w:rsidR="00CD785F" w:rsidRPr="000E354C" w:rsidRDefault="00CD785F" w:rsidP="00C231DE">
      <w:r w:rsidRPr="000E354C">
        <w:t>7.3</w:t>
      </w:r>
      <w:r w:rsidRPr="000E354C">
        <w:tab/>
      </w:r>
      <w:r w:rsidRPr="000E354C">
        <w:rPr>
          <w:b/>
          <w:bCs/>
        </w:rPr>
        <w:t>Approuvé</w:t>
      </w:r>
      <w:r w:rsidR="006F7ED6">
        <w:rPr>
          <w:b/>
          <w:bCs/>
        </w:rPr>
        <w:t>s</w:t>
      </w:r>
      <w:bookmarkStart w:id="9" w:name="_GoBack"/>
      <w:bookmarkEnd w:id="9"/>
      <w:r w:rsidR="008A0C14" w:rsidRPr="000E354C">
        <w:t>.</w:t>
      </w:r>
    </w:p>
    <w:p w14:paraId="1C3D535D" w14:textId="3004AE98" w:rsidR="00CD785F" w:rsidRPr="000E354C" w:rsidRDefault="00CD785F" w:rsidP="00C231DE">
      <w:r w:rsidRPr="000E354C">
        <w:t>7.4</w:t>
      </w:r>
      <w:r w:rsidRPr="000E354C">
        <w:tab/>
        <w:t>La trente-cinquième série de textes soumis par la Commission de rédaction en première lecture</w:t>
      </w:r>
      <w:r w:rsidR="00B02406">
        <w:t xml:space="preserve"> </w:t>
      </w:r>
      <w:r w:rsidRPr="000E354C">
        <w:t xml:space="preserve">(B35) (Document 464) est </w:t>
      </w:r>
      <w:r w:rsidRPr="00240B97">
        <w:rPr>
          <w:b/>
          <w:bCs/>
        </w:rPr>
        <w:t>approuvée</w:t>
      </w:r>
      <w:r w:rsidR="00B448AF" w:rsidRPr="000E354C">
        <w:t>.</w:t>
      </w:r>
    </w:p>
    <w:p w14:paraId="77B3E562" w14:textId="4DFC27E9" w:rsidR="00CD785F" w:rsidRPr="000E354C" w:rsidRDefault="00CD785F" w:rsidP="00C231DE">
      <w:pPr>
        <w:pStyle w:val="Heading1"/>
      </w:pPr>
      <w:r w:rsidRPr="000E354C">
        <w:t>8</w:t>
      </w:r>
      <w:r w:rsidRPr="000E354C">
        <w:tab/>
        <w:t>Trente-cinquième série de textes soumis par la Commission de rédaction (B35) – deuxième lecture</w:t>
      </w:r>
      <w:r w:rsidR="008A0C14" w:rsidRPr="000E354C">
        <w:t xml:space="preserve"> </w:t>
      </w:r>
      <w:r w:rsidRPr="000E354C">
        <w:t>(Document 464)</w:t>
      </w:r>
    </w:p>
    <w:p w14:paraId="4B73CF32" w14:textId="26E98EB1" w:rsidR="00CD785F" w:rsidRPr="000E354C" w:rsidRDefault="00CD785F" w:rsidP="00C231DE">
      <w:r w:rsidRPr="000E354C">
        <w:t>8.1</w:t>
      </w:r>
      <w:r w:rsidRPr="000E354C">
        <w:tab/>
        <w:t xml:space="preserve">La trente-cinquième série de textes soumis par la Commission de rédaction (B35) (Document 464) est </w:t>
      </w:r>
      <w:r w:rsidRPr="00240B97">
        <w:rPr>
          <w:b/>
          <w:bCs/>
        </w:rPr>
        <w:t>approuvée</w:t>
      </w:r>
      <w:r w:rsidRPr="000E354C">
        <w:t xml:space="preserve"> en deuxième lecture.</w:t>
      </w:r>
    </w:p>
    <w:p w14:paraId="34E08EE6" w14:textId="7387FBFA" w:rsidR="00CD785F" w:rsidRPr="000E354C" w:rsidRDefault="00CD785F" w:rsidP="00C231DE">
      <w:pPr>
        <w:pStyle w:val="Heading1"/>
      </w:pPr>
      <w:bookmarkStart w:id="10" w:name="_Hlk25065128"/>
      <w:r w:rsidRPr="000E354C">
        <w:t>9</w:t>
      </w:r>
      <w:r w:rsidRPr="000E354C">
        <w:tab/>
        <w:t>Trente-sixième série de textes soumis par la Commission de rédaction en première lecture (B36) (Document 465)</w:t>
      </w:r>
    </w:p>
    <w:bookmarkEnd w:id="10"/>
    <w:p w14:paraId="25D6F050" w14:textId="5DEAC876" w:rsidR="00CD785F" w:rsidRPr="000E354C" w:rsidRDefault="00CD785F" w:rsidP="00C231DE">
      <w:r w:rsidRPr="000E354C">
        <w:t>9.1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</w:t>
      </w:r>
      <w:r w:rsidRPr="000E354C">
        <w:rPr>
          <w:b/>
          <w:bCs/>
        </w:rPr>
        <w:t xml:space="preserve">de la Commission de rédaction </w:t>
      </w:r>
      <w:r w:rsidRPr="000E354C">
        <w:t>présente le Document 465.</w:t>
      </w:r>
    </w:p>
    <w:p w14:paraId="41CDEFF9" w14:textId="77777777" w:rsidR="00CD785F" w:rsidRPr="000E354C" w:rsidRDefault="00CD785F" w:rsidP="00C231DE">
      <w:r w:rsidRPr="000E354C">
        <w:t>9.2</w:t>
      </w:r>
      <w:r w:rsidRPr="000E354C">
        <w:tab/>
        <w:t xml:space="preserve">Le </w:t>
      </w:r>
      <w:r w:rsidRPr="00240B97">
        <w:rPr>
          <w:b/>
          <w:bCs/>
        </w:rPr>
        <w:t>Président</w:t>
      </w:r>
      <w:r w:rsidRPr="000E354C">
        <w:t xml:space="preserve"> invite les participants à examiner le Document 465.</w:t>
      </w:r>
    </w:p>
    <w:p w14:paraId="147C052B" w14:textId="76BFAD16" w:rsidR="00CD785F" w:rsidRPr="000E354C" w:rsidRDefault="00CD785F" w:rsidP="00C231DE">
      <w:pPr>
        <w:pStyle w:val="Headingb"/>
      </w:pPr>
      <w:r w:rsidRPr="000E354C">
        <w:t>Appendice 4 (MOD Tableau A)</w:t>
      </w:r>
    </w:p>
    <w:p w14:paraId="74DEF0B3" w14:textId="5D93FE9E" w:rsidR="00CD785F" w:rsidRPr="000E354C" w:rsidRDefault="00CD785F" w:rsidP="00C231DE">
      <w:r w:rsidRPr="000E354C">
        <w:t>9.3</w:t>
      </w:r>
      <w:r w:rsidRPr="000E354C">
        <w:tab/>
      </w:r>
      <w:r w:rsidRPr="000E354C">
        <w:rPr>
          <w:b/>
          <w:bCs/>
        </w:rPr>
        <w:t>Approuvé</w:t>
      </w:r>
      <w:r w:rsidRPr="000E354C">
        <w:t>.</w:t>
      </w:r>
    </w:p>
    <w:p w14:paraId="27C4F811" w14:textId="3EECD508" w:rsidR="00CD785F" w:rsidRPr="000E354C" w:rsidRDefault="00CD785F" w:rsidP="00C231DE">
      <w:r w:rsidRPr="000E354C">
        <w:t>9.4</w:t>
      </w:r>
      <w:r w:rsidRPr="000E354C">
        <w:tab/>
        <w:t xml:space="preserve">La trente-sixième série de textes soumis par la Commission de rédaction en première lecture (B36) (Document 465) est </w:t>
      </w:r>
      <w:r w:rsidRPr="00240B97">
        <w:rPr>
          <w:b/>
          <w:bCs/>
        </w:rPr>
        <w:t>approuvée</w:t>
      </w:r>
      <w:r w:rsidR="00B448AF" w:rsidRPr="000E354C">
        <w:t>.</w:t>
      </w:r>
    </w:p>
    <w:p w14:paraId="4A6D7386" w14:textId="119BEB10" w:rsidR="00CD785F" w:rsidRPr="000E354C" w:rsidRDefault="00CD785F" w:rsidP="00C231DE">
      <w:pPr>
        <w:pStyle w:val="Heading1"/>
      </w:pPr>
      <w:r w:rsidRPr="000E354C">
        <w:t>10</w:t>
      </w:r>
      <w:r w:rsidRPr="000E354C">
        <w:tab/>
        <w:t>Trente-sixième série de textes soumis par la Commission de rédaction (B36) – deuxième lecture</w:t>
      </w:r>
      <w:r w:rsidR="008A0C14" w:rsidRPr="000E354C">
        <w:t xml:space="preserve"> </w:t>
      </w:r>
      <w:r w:rsidRPr="000E354C">
        <w:t>(Document 465)</w:t>
      </w:r>
    </w:p>
    <w:p w14:paraId="63F5C33B" w14:textId="30A911BA" w:rsidR="00CD785F" w:rsidRPr="000E354C" w:rsidRDefault="00CD785F" w:rsidP="00C231DE">
      <w:r w:rsidRPr="000E354C">
        <w:t>10.1</w:t>
      </w:r>
      <w:r w:rsidRPr="000E354C">
        <w:tab/>
        <w:t xml:space="preserve">La trente-sixième série de textes soumis par la Commission de rédaction (B36) (Document 465) est </w:t>
      </w:r>
      <w:r w:rsidRPr="00240B97">
        <w:rPr>
          <w:b/>
          <w:bCs/>
        </w:rPr>
        <w:t>approuvée</w:t>
      </w:r>
      <w:r w:rsidRPr="000E354C">
        <w:t xml:space="preserve"> en deuxième lecture.</w:t>
      </w:r>
    </w:p>
    <w:p w14:paraId="73F6044D" w14:textId="4D6047B3" w:rsidR="00CD785F" w:rsidRPr="00240B97" w:rsidRDefault="00CD785F" w:rsidP="00C231DE">
      <w:pPr>
        <w:rPr>
          <w:b/>
          <w:bCs/>
        </w:rPr>
      </w:pPr>
      <w:r w:rsidRPr="000E354C">
        <w:rPr>
          <w:rFonts w:cstheme="minorBidi"/>
          <w:b/>
          <w:szCs w:val="22"/>
        </w:rPr>
        <w:t xml:space="preserve">La séance est levée à </w:t>
      </w:r>
      <w:r w:rsidRPr="000E354C">
        <w:rPr>
          <w:b/>
          <w:bCs/>
        </w:rPr>
        <w:t>14h30</w:t>
      </w:r>
      <w:r w:rsidR="00B448AF" w:rsidRPr="000E354C">
        <w:rPr>
          <w:b/>
          <w:bCs/>
        </w:rPr>
        <w:t>.</w:t>
      </w:r>
    </w:p>
    <w:p w14:paraId="0140A1D9" w14:textId="3EF80EE5" w:rsidR="00CD785F" w:rsidRPr="00240B97" w:rsidRDefault="00CD785F" w:rsidP="00240B97">
      <w:pPr>
        <w:tabs>
          <w:tab w:val="clear" w:pos="1871"/>
          <w:tab w:val="clear" w:pos="2268"/>
          <w:tab w:val="left" w:pos="6379"/>
        </w:tabs>
        <w:spacing w:before="720"/>
        <w:rPr>
          <w:rFonts w:cstheme="minorBidi"/>
          <w:szCs w:val="22"/>
        </w:rPr>
      </w:pPr>
      <w:r w:rsidRPr="000E354C">
        <w:rPr>
          <w:rFonts w:cstheme="minorBidi"/>
          <w:szCs w:val="22"/>
        </w:rPr>
        <w:t>Le Secrétaire général:</w:t>
      </w:r>
      <w:r w:rsidRPr="000E354C">
        <w:rPr>
          <w:szCs w:val="22"/>
        </w:rPr>
        <w:tab/>
      </w:r>
      <w:r w:rsidRPr="000E354C">
        <w:rPr>
          <w:rFonts w:cstheme="minorBidi"/>
          <w:szCs w:val="22"/>
        </w:rPr>
        <w:t>Le Président:</w:t>
      </w:r>
      <w:r w:rsidRPr="000E354C">
        <w:t xml:space="preserve"> </w:t>
      </w:r>
      <w:r w:rsidR="00240B97">
        <w:br/>
      </w:r>
      <w:r w:rsidRPr="00240B97">
        <w:rPr>
          <w:rFonts w:cstheme="minorBidi"/>
          <w:szCs w:val="22"/>
        </w:rPr>
        <w:t>H. ZHAO</w:t>
      </w:r>
      <w:r w:rsidRPr="00240B97">
        <w:rPr>
          <w:rFonts w:cstheme="minorBidi"/>
          <w:szCs w:val="22"/>
        </w:rPr>
        <w:tab/>
      </w:r>
      <w:r w:rsidRPr="00240B97">
        <w:rPr>
          <w:rFonts w:cstheme="minorBidi"/>
          <w:szCs w:val="22"/>
        </w:rPr>
        <w:tab/>
        <w:t>A. BADAWI</w:t>
      </w:r>
    </w:p>
    <w:sectPr w:rsidR="00CD785F" w:rsidRPr="00240B9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72077" w14:textId="77777777" w:rsidR="00CD785F" w:rsidRDefault="00CD785F">
      <w:r>
        <w:separator/>
      </w:r>
    </w:p>
  </w:endnote>
  <w:endnote w:type="continuationSeparator" w:id="0">
    <w:p w14:paraId="3873F1AB" w14:textId="77777777" w:rsidR="00CD785F" w:rsidRDefault="00CD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D1B31" w14:textId="4C4148F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4D67">
      <w:rPr>
        <w:noProof/>
        <w:lang w:val="en-US"/>
      </w:rPr>
      <w:t>P:\FRA\ITU-R\CONF-R\CMR19\500\570F.docx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7ED6">
      <w:rPr>
        <w:noProof/>
      </w:rPr>
      <w:t>23.12.19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D67">
      <w:rPr>
        <w:noProof/>
      </w:rPr>
      <w:t>23.12.19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F220" w14:textId="7D44F390" w:rsidR="00936D25" w:rsidRDefault="008A0C14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4D67">
      <w:rPr>
        <w:lang w:val="en-US"/>
      </w:rPr>
      <w:t>P:\FRA\ITU-R\CONF-R\CMR19\500\570F.docx</w:t>
    </w:r>
    <w:r>
      <w:fldChar w:fldCharType="end"/>
    </w:r>
    <w:r>
      <w:t xml:space="preserve"> (465903)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A871" w14:textId="293A9CCE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4D67">
      <w:rPr>
        <w:lang w:val="en-US"/>
      </w:rPr>
      <w:t>P:\FRA\ITU-R\CONF-R\CMR19\500\570F.docx</w:t>
    </w:r>
    <w:r>
      <w:fldChar w:fldCharType="end"/>
    </w:r>
    <w:r w:rsidR="008A0C14">
      <w:t xml:space="preserve"> (465903)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EFAC" w14:textId="77777777" w:rsidR="00CD785F" w:rsidRDefault="00CD785F">
      <w:r>
        <w:rPr>
          <w:b/>
        </w:rPr>
        <w:t>_______________</w:t>
      </w:r>
    </w:p>
  </w:footnote>
  <w:footnote w:type="continuationSeparator" w:id="0">
    <w:p w14:paraId="3CEDD833" w14:textId="77777777" w:rsidR="00CD785F" w:rsidRDefault="00CD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3B4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60CDD79B" w14:textId="7DA315FD"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8A0C14">
      <w:t>570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5F"/>
    <w:rsid w:val="00016648"/>
    <w:rsid w:val="0003522F"/>
    <w:rsid w:val="00080E2C"/>
    <w:rsid w:val="000A4755"/>
    <w:rsid w:val="000B2E0C"/>
    <w:rsid w:val="000B3D0C"/>
    <w:rsid w:val="000E354C"/>
    <w:rsid w:val="001167B9"/>
    <w:rsid w:val="001267A0"/>
    <w:rsid w:val="00134655"/>
    <w:rsid w:val="00160C64"/>
    <w:rsid w:val="0019352B"/>
    <w:rsid w:val="001960D0"/>
    <w:rsid w:val="00232FD2"/>
    <w:rsid w:val="00240B97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E28C3"/>
    <w:rsid w:val="004F1F8E"/>
    <w:rsid w:val="00567EA6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F7ED6"/>
    <w:rsid w:val="00701BAE"/>
    <w:rsid w:val="00730E95"/>
    <w:rsid w:val="00774362"/>
    <w:rsid w:val="007A04E8"/>
    <w:rsid w:val="007E1834"/>
    <w:rsid w:val="0084553F"/>
    <w:rsid w:val="008A0C14"/>
    <w:rsid w:val="008A3120"/>
    <w:rsid w:val="008C000E"/>
    <w:rsid w:val="008D41BE"/>
    <w:rsid w:val="008D58D3"/>
    <w:rsid w:val="00923064"/>
    <w:rsid w:val="00936D25"/>
    <w:rsid w:val="00941EA5"/>
    <w:rsid w:val="00951BFF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D6804"/>
    <w:rsid w:val="00AE36A0"/>
    <w:rsid w:val="00B00294"/>
    <w:rsid w:val="00B02406"/>
    <w:rsid w:val="00B448AF"/>
    <w:rsid w:val="00B64FD0"/>
    <w:rsid w:val="00BF26E7"/>
    <w:rsid w:val="00C01C69"/>
    <w:rsid w:val="00C231DE"/>
    <w:rsid w:val="00C814B9"/>
    <w:rsid w:val="00CD516F"/>
    <w:rsid w:val="00CD785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D4D67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9722E"/>
    <w:rsid w:val="00FA3BBF"/>
    <w:rsid w:val="00FC0101"/>
    <w:rsid w:val="00FC38FE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880728B"/>
  <w15:docId w15:val="{4A0E8A4B-F175-4A02-8322-25C842FD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37</TotalTime>
  <Pages>4</Pages>
  <Words>1416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French</dc:creator>
  <cp:keywords/>
  <cp:lastModifiedBy>French</cp:lastModifiedBy>
  <cp:revision>13</cp:revision>
  <cp:lastPrinted>2019-12-23T12:57:00Z</cp:lastPrinted>
  <dcterms:created xsi:type="dcterms:W3CDTF">2019-12-23T12:28:00Z</dcterms:created>
  <dcterms:modified xsi:type="dcterms:W3CDTF">2019-12-23T14:29:00Z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