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0E354C" w14:paraId="215A9864" w14:textId="77777777" w:rsidTr="00773113">
        <w:trPr>
          <w:cantSplit/>
        </w:trPr>
        <w:tc>
          <w:tcPr>
            <w:tcW w:w="6911" w:type="dxa"/>
          </w:tcPr>
          <w:p w14:paraId="72A9FEA6" w14:textId="28678FC3" w:rsidR="00587A4E" w:rsidRPr="000E354C" w:rsidRDefault="00587A4E" w:rsidP="00C231DE">
            <w:pPr>
              <w:spacing w:before="400" w:after="48"/>
              <w:rPr>
                <w:rFonts w:ascii="Verdana" w:hAnsi="Verdana"/>
                <w:b/>
                <w:bCs/>
                <w:sz w:val="20"/>
              </w:rPr>
            </w:pPr>
            <w:r w:rsidRPr="000E354C">
              <w:rPr>
                <w:rFonts w:ascii="Verdana" w:hAnsi="Verdana"/>
                <w:b/>
                <w:bCs/>
                <w:sz w:val="20"/>
              </w:rPr>
              <w:t>Conférence mondiale des radiocommunications (CMR-19)</w:t>
            </w:r>
            <w:r w:rsidRPr="000E354C">
              <w:rPr>
                <w:rFonts w:ascii="Verdana" w:hAnsi="Verdana"/>
                <w:b/>
                <w:bCs/>
                <w:sz w:val="20"/>
              </w:rPr>
              <w:br/>
            </w:r>
            <w:r w:rsidRPr="000E354C">
              <w:rPr>
                <w:rFonts w:ascii="Verdana" w:hAnsi="Verdana"/>
                <w:b/>
                <w:bCs/>
                <w:sz w:val="18"/>
                <w:szCs w:val="18"/>
              </w:rPr>
              <w:t>Charm</w:t>
            </w:r>
            <w:bookmarkStart w:id="0" w:name="_GoBack"/>
            <w:bookmarkEnd w:id="0"/>
            <w:r w:rsidRPr="000E354C">
              <w:rPr>
                <w:rFonts w:ascii="Verdana" w:hAnsi="Verdana"/>
                <w:b/>
                <w:bCs/>
                <w:sz w:val="18"/>
                <w:szCs w:val="18"/>
              </w:rPr>
              <w:t xml:space="preserve"> el-Cheikh, </w:t>
            </w:r>
            <w:r w:rsidR="00134655" w:rsidRPr="000E354C">
              <w:rPr>
                <w:rFonts w:ascii="Verdana" w:hAnsi="Verdana"/>
                <w:b/>
                <w:bCs/>
                <w:sz w:val="18"/>
                <w:szCs w:val="18"/>
              </w:rPr>
              <w:t>É</w:t>
            </w:r>
            <w:r w:rsidRPr="000E354C">
              <w:rPr>
                <w:rFonts w:ascii="Verdana" w:hAnsi="Verdana"/>
                <w:b/>
                <w:bCs/>
                <w:sz w:val="18"/>
                <w:szCs w:val="18"/>
              </w:rPr>
              <w:t xml:space="preserve">gypte, 28 octobre </w:t>
            </w:r>
            <w:r w:rsidR="009765A8" w:rsidRPr="000E354C">
              <w:rPr>
                <w:rFonts w:ascii="Verdana" w:hAnsi="Verdana"/>
                <w:b/>
                <w:bCs/>
                <w:sz w:val="18"/>
                <w:szCs w:val="18"/>
              </w:rPr>
              <w:t>–</w:t>
            </w:r>
            <w:r w:rsidRPr="000E354C">
              <w:rPr>
                <w:rFonts w:ascii="Verdana" w:hAnsi="Verdana"/>
                <w:b/>
                <w:bCs/>
                <w:sz w:val="18"/>
                <w:szCs w:val="18"/>
              </w:rPr>
              <w:t xml:space="preserve"> 22 novembre 2019</w:t>
            </w:r>
          </w:p>
        </w:tc>
        <w:tc>
          <w:tcPr>
            <w:tcW w:w="3120" w:type="dxa"/>
          </w:tcPr>
          <w:p w14:paraId="7E9B2801" w14:textId="77777777" w:rsidR="00587A4E" w:rsidRPr="000E354C" w:rsidRDefault="00587A4E" w:rsidP="00C231DE">
            <w:pPr>
              <w:spacing w:before="0"/>
              <w:jc w:val="right"/>
            </w:pPr>
            <w:bookmarkStart w:id="1" w:name="ditulogo"/>
            <w:bookmarkEnd w:id="1"/>
            <w:r w:rsidRPr="000E354C">
              <w:rPr>
                <w:rFonts w:ascii="Verdana" w:hAnsi="Verdana"/>
                <w:b/>
                <w:bCs/>
                <w:noProof/>
                <w:lang w:eastAsia="zh-CN"/>
              </w:rPr>
              <w:drawing>
                <wp:inline distT="0" distB="0" distL="0" distR="0" wp14:anchorId="70067C44" wp14:editId="43DA2EA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0E354C" w14:paraId="20E09A4E" w14:textId="77777777" w:rsidTr="00773113">
        <w:trPr>
          <w:cantSplit/>
        </w:trPr>
        <w:tc>
          <w:tcPr>
            <w:tcW w:w="6911" w:type="dxa"/>
            <w:tcBorders>
              <w:bottom w:val="single" w:sz="12" w:space="0" w:color="auto"/>
            </w:tcBorders>
          </w:tcPr>
          <w:p w14:paraId="2B94E8B4" w14:textId="77777777" w:rsidR="00587A4E" w:rsidRPr="000E354C" w:rsidRDefault="00587A4E" w:rsidP="00C231DE">
            <w:pPr>
              <w:spacing w:before="0" w:after="48"/>
              <w:rPr>
                <w:b/>
                <w:smallCaps/>
                <w:szCs w:val="24"/>
              </w:rPr>
            </w:pPr>
            <w:bookmarkStart w:id="2" w:name="dhead"/>
          </w:p>
        </w:tc>
        <w:tc>
          <w:tcPr>
            <w:tcW w:w="3120" w:type="dxa"/>
            <w:tcBorders>
              <w:bottom w:val="single" w:sz="12" w:space="0" w:color="auto"/>
            </w:tcBorders>
          </w:tcPr>
          <w:p w14:paraId="0AB019F6" w14:textId="77777777" w:rsidR="00587A4E" w:rsidRPr="000E354C" w:rsidRDefault="00587A4E" w:rsidP="00C231DE">
            <w:pPr>
              <w:spacing w:before="0"/>
              <w:rPr>
                <w:rFonts w:ascii="Verdana" w:hAnsi="Verdana"/>
                <w:szCs w:val="24"/>
              </w:rPr>
            </w:pPr>
          </w:p>
        </w:tc>
      </w:tr>
      <w:tr w:rsidR="00587A4E" w:rsidRPr="000E354C" w14:paraId="5140F998" w14:textId="77777777" w:rsidTr="00773113">
        <w:trPr>
          <w:cantSplit/>
        </w:trPr>
        <w:tc>
          <w:tcPr>
            <w:tcW w:w="6911" w:type="dxa"/>
            <w:tcBorders>
              <w:top w:val="single" w:sz="12" w:space="0" w:color="auto"/>
            </w:tcBorders>
          </w:tcPr>
          <w:p w14:paraId="638C750E" w14:textId="77777777" w:rsidR="00587A4E" w:rsidRPr="000E354C" w:rsidRDefault="00587A4E" w:rsidP="00C231DE">
            <w:pPr>
              <w:spacing w:before="0" w:after="48"/>
              <w:rPr>
                <w:rFonts w:ascii="Verdana" w:hAnsi="Verdana"/>
                <w:b/>
                <w:smallCaps/>
                <w:sz w:val="20"/>
              </w:rPr>
            </w:pPr>
          </w:p>
        </w:tc>
        <w:tc>
          <w:tcPr>
            <w:tcW w:w="3120" w:type="dxa"/>
            <w:tcBorders>
              <w:top w:val="single" w:sz="12" w:space="0" w:color="auto"/>
            </w:tcBorders>
          </w:tcPr>
          <w:p w14:paraId="1E73884F" w14:textId="77777777" w:rsidR="00587A4E" w:rsidRPr="000E354C" w:rsidRDefault="00587A4E" w:rsidP="00C231DE">
            <w:pPr>
              <w:spacing w:before="0"/>
              <w:rPr>
                <w:rFonts w:ascii="Verdana" w:hAnsi="Verdana"/>
                <w:sz w:val="20"/>
              </w:rPr>
            </w:pPr>
          </w:p>
        </w:tc>
      </w:tr>
      <w:tr w:rsidR="00587A4E" w:rsidRPr="000E354C" w14:paraId="273F228E" w14:textId="77777777" w:rsidTr="00773113">
        <w:trPr>
          <w:cantSplit/>
        </w:trPr>
        <w:tc>
          <w:tcPr>
            <w:tcW w:w="6911" w:type="dxa"/>
          </w:tcPr>
          <w:p w14:paraId="44B40D37" w14:textId="29DA372F" w:rsidR="00587A4E" w:rsidRPr="000E354C" w:rsidRDefault="00CD785F" w:rsidP="00C231DE">
            <w:pPr>
              <w:spacing w:before="0"/>
              <w:rPr>
                <w:rFonts w:ascii="Verdana" w:hAnsi="Verdana"/>
                <w:b/>
                <w:sz w:val="20"/>
              </w:rPr>
            </w:pPr>
            <w:r w:rsidRPr="000E354C">
              <w:rPr>
                <w:rFonts w:ascii="Verdana" w:hAnsi="Verdana"/>
                <w:b/>
                <w:sz w:val="20"/>
              </w:rPr>
              <w:t>SÉANCE PLÉNIÈRE</w:t>
            </w:r>
          </w:p>
        </w:tc>
        <w:tc>
          <w:tcPr>
            <w:tcW w:w="3120" w:type="dxa"/>
          </w:tcPr>
          <w:p w14:paraId="4A6BDE62" w14:textId="02DD76F8" w:rsidR="00587A4E" w:rsidRPr="000E354C" w:rsidRDefault="00587A4E" w:rsidP="00C231DE">
            <w:pPr>
              <w:spacing w:before="0"/>
              <w:rPr>
                <w:rFonts w:ascii="Verdana" w:hAnsi="Verdana"/>
                <w:sz w:val="20"/>
              </w:rPr>
            </w:pPr>
            <w:r w:rsidRPr="000E354C">
              <w:rPr>
                <w:rFonts w:ascii="Verdana" w:hAnsi="Verdana"/>
                <w:b/>
                <w:sz w:val="20"/>
              </w:rPr>
              <w:t xml:space="preserve">Document </w:t>
            </w:r>
            <w:r w:rsidR="00F21740">
              <w:rPr>
                <w:rFonts w:ascii="Verdana" w:hAnsi="Verdana"/>
                <w:b/>
                <w:sz w:val="20"/>
              </w:rPr>
              <w:t>569</w:t>
            </w:r>
            <w:r w:rsidRPr="000E354C">
              <w:rPr>
                <w:rFonts w:ascii="Verdana" w:hAnsi="Verdana"/>
                <w:b/>
                <w:sz w:val="20"/>
              </w:rPr>
              <w:t>-F</w:t>
            </w:r>
          </w:p>
        </w:tc>
      </w:tr>
      <w:bookmarkEnd w:id="2"/>
      <w:tr w:rsidR="00587A4E" w:rsidRPr="000E354C" w14:paraId="26568DEF" w14:textId="77777777" w:rsidTr="00773113">
        <w:trPr>
          <w:cantSplit/>
        </w:trPr>
        <w:tc>
          <w:tcPr>
            <w:tcW w:w="6911" w:type="dxa"/>
          </w:tcPr>
          <w:p w14:paraId="3C1D69F8" w14:textId="77777777" w:rsidR="00587A4E" w:rsidRPr="000E354C" w:rsidRDefault="00587A4E" w:rsidP="00C231DE">
            <w:pPr>
              <w:spacing w:before="0"/>
              <w:rPr>
                <w:rFonts w:ascii="Verdana" w:hAnsi="Verdana"/>
                <w:b/>
                <w:sz w:val="20"/>
              </w:rPr>
            </w:pPr>
          </w:p>
        </w:tc>
        <w:tc>
          <w:tcPr>
            <w:tcW w:w="3120" w:type="dxa"/>
          </w:tcPr>
          <w:p w14:paraId="4F771467" w14:textId="57DA0F3F" w:rsidR="00587A4E" w:rsidRPr="000E354C" w:rsidRDefault="001466AA" w:rsidP="00C231DE">
            <w:pPr>
              <w:spacing w:before="0"/>
              <w:rPr>
                <w:rFonts w:ascii="Verdana" w:hAnsi="Verdana"/>
                <w:b/>
                <w:sz w:val="20"/>
              </w:rPr>
            </w:pPr>
            <w:r>
              <w:rPr>
                <w:rFonts w:ascii="Verdana" w:hAnsi="Verdana"/>
                <w:b/>
                <w:sz w:val="20"/>
              </w:rPr>
              <w:t xml:space="preserve">17 novembre </w:t>
            </w:r>
            <w:r w:rsidR="00587A4E" w:rsidRPr="000E354C">
              <w:rPr>
                <w:rFonts w:ascii="Verdana" w:hAnsi="Verdana"/>
                <w:b/>
                <w:sz w:val="20"/>
              </w:rPr>
              <w:t>201</w:t>
            </w:r>
            <w:r w:rsidR="009765A8" w:rsidRPr="000E354C">
              <w:rPr>
                <w:rFonts w:ascii="Verdana" w:hAnsi="Verdana"/>
                <w:b/>
                <w:sz w:val="20"/>
              </w:rPr>
              <w:t>9</w:t>
            </w:r>
          </w:p>
        </w:tc>
      </w:tr>
      <w:tr w:rsidR="00587A4E" w:rsidRPr="000E354C" w14:paraId="574E5FB7" w14:textId="77777777" w:rsidTr="00773113">
        <w:trPr>
          <w:cantSplit/>
        </w:trPr>
        <w:tc>
          <w:tcPr>
            <w:tcW w:w="6911" w:type="dxa"/>
          </w:tcPr>
          <w:p w14:paraId="618FCD7C" w14:textId="77777777" w:rsidR="00587A4E" w:rsidRPr="000E354C" w:rsidRDefault="00587A4E" w:rsidP="00C231DE">
            <w:pPr>
              <w:spacing w:before="0" w:after="48"/>
              <w:rPr>
                <w:rFonts w:ascii="Verdana" w:hAnsi="Verdana"/>
                <w:b/>
                <w:smallCaps/>
                <w:sz w:val="20"/>
              </w:rPr>
            </w:pPr>
          </w:p>
        </w:tc>
        <w:tc>
          <w:tcPr>
            <w:tcW w:w="3120" w:type="dxa"/>
          </w:tcPr>
          <w:p w14:paraId="64CAE8B5" w14:textId="77777777" w:rsidR="00587A4E" w:rsidRPr="000E354C" w:rsidRDefault="00587A4E" w:rsidP="00C231DE">
            <w:pPr>
              <w:spacing w:before="0"/>
              <w:rPr>
                <w:rFonts w:ascii="Verdana" w:hAnsi="Verdana"/>
                <w:b/>
                <w:sz w:val="20"/>
              </w:rPr>
            </w:pPr>
            <w:r w:rsidRPr="000E354C">
              <w:rPr>
                <w:rFonts w:ascii="Verdana" w:hAnsi="Verdana"/>
                <w:b/>
                <w:sz w:val="20"/>
              </w:rPr>
              <w:t>Original: anglais</w:t>
            </w:r>
          </w:p>
        </w:tc>
      </w:tr>
      <w:tr w:rsidR="00587A4E" w:rsidRPr="000E354C" w14:paraId="3BAD8D44" w14:textId="77777777" w:rsidTr="00773113">
        <w:trPr>
          <w:cantSplit/>
        </w:trPr>
        <w:tc>
          <w:tcPr>
            <w:tcW w:w="10031" w:type="dxa"/>
            <w:gridSpan w:val="2"/>
          </w:tcPr>
          <w:p w14:paraId="74BAC1E6" w14:textId="77777777" w:rsidR="00587A4E" w:rsidRPr="000E354C" w:rsidRDefault="00587A4E" w:rsidP="00C231DE">
            <w:pPr>
              <w:spacing w:before="0"/>
              <w:rPr>
                <w:rFonts w:ascii="Verdana" w:hAnsi="Verdana"/>
                <w:b/>
                <w:sz w:val="20"/>
              </w:rPr>
            </w:pPr>
          </w:p>
        </w:tc>
      </w:tr>
      <w:tr w:rsidR="00587A4E" w:rsidRPr="000E354C" w14:paraId="0B311601" w14:textId="77777777" w:rsidTr="00773113">
        <w:trPr>
          <w:cantSplit/>
        </w:trPr>
        <w:tc>
          <w:tcPr>
            <w:tcW w:w="10031" w:type="dxa"/>
            <w:gridSpan w:val="2"/>
          </w:tcPr>
          <w:p w14:paraId="0C113529" w14:textId="54890FD7" w:rsidR="00CD785F" w:rsidRPr="000E354C" w:rsidRDefault="00CD785F" w:rsidP="00C231DE">
            <w:bookmarkStart w:id="3" w:name="dsource" w:colFirst="0" w:colLast="0"/>
          </w:p>
        </w:tc>
      </w:tr>
      <w:tr w:rsidR="00587A4E" w:rsidRPr="000E354C" w14:paraId="459CFE62" w14:textId="77777777" w:rsidTr="00773113">
        <w:trPr>
          <w:cantSplit/>
        </w:trPr>
        <w:tc>
          <w:tcPr>
            <w:tcW w:w="10031" w:type="dxa"/>
            <w:gridSpan w:val="2"/>
          </w:tcPr>
          <w:p w14:paraId="46B2A5A7" w14:textId="77777777" w:rsidR="00CD785F" w:rsidRPr="000E354C" w:rsidRDefault="00CD785F" w:rsidP="00C231DE">
            <w:pPr>
              <w:pStyle w:val="Title1"/>
            </w:pPr>
            <w:bookmarkStart w:id="4" w:name="dtitle1" w:colFirst="0" w:colLast="0"/>
            <w:bookmarkEnd w:id="3"/>
            <w:r w:rsidRPr="000E354C">
              <w:t>PROCèS-VERBAL</w:t>
            </w:r>
          </w:p>
          <w:p w14:paraId="41343481" w14:textId="77777777" w:rsidR="00CD785F" w:rsidRPr="000E354C" w:rsidRDefault="00CD785F" w:rsidP="00C231DE">
            <w:pPr>
              <w:pStyle w:val="Title1"/>
            </w:pPr>
            <w:r w:rsidRPr="000E354C">
              <w:t>DE LA</w:t>
            </w:r>
          </w:p>
          <w:p w14:paraId="7525C900" w14:textId="39F15365" w:rsidR="00CD785F" w:rsidRPr="000E354C" w:rsidRDefault="001466AA" w:rsidP="00C231DE">
            <w:pPr>
              <w:pStyle w:val="Title1"/>
            </w:pPr>
            <w:bookmarkStart w:id="5" w:name="lt_pId011"/>
            <w:r w:rsidRPr="001466AA">
              <w:t>HUITIÈME SÉANCE PLÉNIÈRE</w:t>
            </w:r>
            <w:bookmarkEnd w:id="5"/>
          </w:p>
        </w:tc>
      </w:tr>
      <w:tr w:rsidR="00587A4E" w:rsidRPr="000E354C" w14:paraId="1DB962A7" w14:textId="77777777" w:rsidTr="00773113">
        <w:trPr>
          <w:cantSplit/>
        </w:trPr>
        <w:tc>
          <w:tcPr>
            <w:tcW w:w="10031" w:type="dxa"/>
            <w:gridSpan w:val="2"/>
          </w:tcPr>
          <w:p w14:paraId="32D7D955" w14:textId="5D2EC09A" w:rsidR="00587A4E" w:rsidRPr="000E354C" w:rsidRDefault="00587A4E" w:rsidP="00C231DE">
            <w:pPr>
              <w:pStyle w:val="Title2"/>
            </w:pPr>
            <w:bookmarkStart w:id="6" w:name="dtitle2" w:colFirst="0" w:colLast="0"/>
            <w:bookmarkEnd w:id="4"/>
          </w:p>
        </w:tc>
      </w:tr>
      <w:tr w:rsidR="00587A4E" w:rsidRPr="000E354C" w14:paraId="67F0EB92" w14:textId="77777777" w:rsidTr="00773113">
        <w:trPr>
          <w:cantSplit/>
        </w:trPr>
        <w:tc>
          <w:tcPr>
            <w:tcW w:w="10031" w:type="dxa"/>
            <w:gridSpan w:val="2"/>
          </w:tcPr>
          <w:p w14:paraId="3932B3F8" w14:textId="631A66A1" w:rsidR="00CD785F" w:rsidRPr="000E354C" w:rsidRDefault="001466AA" w:rsidP="00C231DE">
            <w:pPr>
              <w:pStyle w:val="Agendaitem"/>
              <w:rPr>
                <w:sz w:val="24"/>
                <w:szCs w:val="24"/>
                <w:lang w:val="fr-FR"/>
              </w:rPr>
            </w:pPr>
            <w:bookmarkStart w:id="7" w:name="lt_pId012"/>
            <w:bookmarkStart w:id="8" w:name="dtitle3" w:colFirst="0" w:colLast="0"/>
            <w:bookmarkEnd w:id="6"/>
            <w:r w:rsidRPr="001466AA">
              <w:rPr>
                <w:sz w:val="24"/>
                <w:szCs w:val="24"/>
                <w:lang w:val="fr-FR"/>
              </w:rPr>
              <w:t xml:space="preserve">Mardi 19 novembre 2019 à 9 </w:t>
            </w:r>
            <w:bookmarkEnd w:id="7"/>
            <w:r>
              <w:rPr>
                <w:sz w:val="24"/>
                <w:szCs w:val="24"/>
                <w:lang w:val="fr-FR"/>
              </w:rPr>
              <w:t>h</w:t>
            </w:r>
            <w:r w:rsidR="003C62D8">
              <w:rPr>
                <w:sz w:val="24"/>
                <w:szCs w:val="24"/>
                <w:lang w:val="fr-FR"/>
              </w:rPr>
              <w:t xml:space="preserve"> 00</w:t>
            </w:r>
          </w:p>
          <w:p w14:paraId="6C0A7329" w14:textId="25B845FA" w:rsidR="00587A4E" w:rsidRPr="000E354C" w:rsidRDefault="00CD785F" w:rsidP="00C231DE">
            <w:pPr>
              <w:pStyle w:val="Agendaitem"/>
              <w:rPr>
                <w:lang w:val="fr-FR"/>
              </w:rPr>
            </w:pPr>
            <w:r w:rsidRPr="000E354C">
              <w:rPr>
                <w:b/>
                <w:bCs/>
                <w:sz w:val="24"/>
                <w:szCs w:val="24"/>
                <w:lang w:val="fr-FR"/>
              </w:rPr>
              <w:t>Président</w:t>
            </w:r>
            <w:r w:rsidRPr="000F25B4">
              <w:rPr>
                <w:b/>
                <w:bCs/>
                <w:sz w:val="24"/>
                <w:szCs w:val="24"/>
                <w:lang w:val="fr-FR"/>
              </w:rPr>
              <w:t>:</w:t>
            </w:r>
            <w:r w:rsidRPr="000E354C">
              <w:rPr>
                <w:sz w:val="24"/>
                <w:szCs w:val="24"/>
                <w:lang w:val="fr-FR"/>
              </w:rPr>
              <w:t xml:space="preserve"> M. A. BADAWI (</w:t>
            </w:r>
            <w:r w:rsidR="007E1834" w:rsidRPr="000E354C">
              <w:rPr>
                <w:sz w:val="24"/>
                <w:szCs w:val="24"/>
                <w:lang w:val="fr-FR"/>
              </w:rPr>
              <w:t>É</w:t>
            </w:r>
            <w:r w:rsidRPr="000E354C">
              <w:rPr>
                <w:sz w:val="24"/>
                <w:szCs w:val="24"/>
                <w:lang w:val="fr-FR"/>
              </w:rPr>
              <w:t>gypte)</w:t>
            </w:r>
            <w:r w:rsidRPr="000E354C">
              <w:rPr>
                <w:lang w:val="fr-FR"/>
              </w:rPr>
              <w:t xml:space="preserve"> </w:t>
            </w:r>
          </w:p>
        </w:tc>
      </w:tr>
      <w:bookmarkEnd w:id="8"/>
    </w:tbl>
    <w:p w14:paraId="208A2DA9" w14:textId="12B70FB9" w:rsidR="00587A4E" w:rsidRPr="000E354C" w:rsidRDefault="00587A4E" w:rsidP="00C231DE"/>
    <w:tbl>
      <w:tblPr>
        <w:tblW w:w="10031" w:type="dxa"/>
        <w:tblLook w:val="0000" w:firstRow="0" w:lastRow="0" w:firstColumn="0" w:lastColumn="0" w:noHBand="0" w:noVBand="0"/>
      </w:tblPr>
      <w:tblGrid>
        <w:gridCol w:w="534"/>
        <w:gridCol w:w="7159"/>
        <w:gridCol w:w="2338"/>
      </w:tblGrid>
      <w:tr w:rsidR="00CD785F" w:rsidRPr="00CD785F" w14:paraId="036BD6C8" w14:textId="77777777" w:rsidTr="003C62D8">
        <w:trPr>
          <w:tblHeader/>
        </w:trPr>
        <w:tc>
          <w:tcPr>
            <w:tcW w:w="534" w:type="dxa"/>
          </w:tcPr>
          <w:p w14:paraId="569DF933" w14:textId="77777777" w:rsidR="00CD785F" w:rsidRPr="00CD785F" w:rsidRDefault="00CD785F" w:rsidP="00C231DE">
            <w:pPr>
              <w:rPr>
                <w:b/>
              </w:rPr>
            </w:pPr>
          </w:p>
        </w:tc>
        <w:tc>
          <w:tcPr>
            <w:tcW w:w="7159" w:type="dxa"/>
          </w:tcPr>
          <w:p w14:paraId="056DFC36" w14:textId="77777777" w:rsidR="00CD785F" w:rsidRPr="00CD785F" w:rsidRDefault="00CD785F" w:rsidP="00C231DE">
            <w:pPr>
              <w:rPr>
                <w:b/>
              </w:rPr>
            </w:pPr>
            <w:r w:rsidRPr="00CD785F">
              <w:rPr>
                <w:b/>
                <w:bCs/>
              </w:rPr>
              <w:t>Sujets traités</w:t>
            </w:r>
          </w:p>
        </w:tc>
        <w:tc>
          <w:tcPr>
            <w:tcW w:w="2338" w:type="dxa"/>
          </w:tcPr>
          <w:p w14:paraId="67715F8F" w14:textId="77777777" w:rsidR="00CD785F" w:rsidRPr="00CD785F" w:rsidRDefault="00CD785F" w:rsidP="00C231DE">
            <w:pPr>
              <w:jc w:val="center"/>
              <w:rPr>
                <w:b/>
              </w:rPr>
            </w:pPr>
            <w:r w:rsidRPr="00CD785F">
              <w:rPr>
                <w:b/>
              </w:rPr>
              <w:t>Documents</w:t>
            </w:r>
          </w:p>
        </w:tc>
      </w:tr>
      <w:tr w:rsidR="001466AA" w:rsidRPr="00CD785F" w14:paraId="1CB2BEA7" w14:textId="77777777" w:rsidTr="00190648">
        <w:tc>
          <w:tcPr>
            <w:tcW w:w="534" w:type="dxa"/>
          </w:tcPr>
          <w:p w14:paraId="5B1B645C" w14:textId="1C7E5F5A" w:rsidR="001466AA" w:rsidRPr="00CD785F" w:rsidRDefault="001466AA" w:rsidP="001466AA">
            <w:pPr>
              <w:rPr>
                <w:bCs/>
              </w:rPr>
            </w:pPr>
            <w:r w:rsidRPr="00450CFF">
              <w:rPr>
                <w:szCs w:val="24"/>
              </w:rPr>
              <w:t>1</w:t>
            </w:r>
          </w:p>
        </w:tc>
        <w:tc>
          <w:tcPr>
            <w:tcW w:w="7159" w:type="dxa"/>
          </w:tcPr>
          <w:p w14:paraId="44E615FB" w14:textId="371CC514" w:rsidR="001466AA" w:rsidRPr="00CD785F" w:rsidRDefault="001466AA" w:rsidP="001466AA">
            <w:pPr>
              <w:rPr>
                <w:b/>
                <w:bCs/>
              </w:rPr>
            </w:pPr>
            <w:bookmarkStart w:id="9" w:name="lt_pId017"/>
            <w:r w:rsidRPr="00450CFF">
              <w:rPr>
                <w:szCs w:val="24"/>
              </w:rPr>
              <w:t>Remarques liminaires</w:t>
            </w:r>
            <w:bookmarkEnd w:id="9"/>
          </w:p>
        </w:tc>
        <w:tc>
          <w:tcPr>
            <w:tcW w:w="2338" w:type="dxa"/>
          </w:tcPr>
          <w:p w14:paraId="49E621FD" w14:textId="07763FE2" w:rsidR="001466AA" w:rsidRPr="00CD785F" w:rsidRDefault="00E2635B" w:rsidP="001466AA">
            <w:pPr>
              <w:jc w:val="center"/>
            </w:pPr>
            <w:r w:rsidRPr="00E2635B">
              <w:rPr>
                <w:szCs w:val="24"/>
              </w:rPr>
              <w:t>–</w:t>
            </w:r>
          </w:p>
        </w:tc>
      </w:tr>
      <w:tr w:rsidR="001466AA" w:rsidRPr="00CD785F" w14:paraId="38395D1E" w14:textId="77777777" w:rsidTr="00190648">
        <w:tc>
          <w:tcPr>
            <w:tcW w:w="534" w:type="dxa"/>
          </w:tcPr>
          <w:p w14:paraId="1048DB0C" w14:textId="4935924A" w:rsidR="001466AA" w:rsidRPr="00CD785F" w:rsidRDefault="001466AA" w:rsidP="001466AA">
            <w:pPr>
              <w:rPr>
                <w:bCs/>
              </w:rPr>
            </w:pPr>
            <w:r w:rsidRPr="00450CFF">
              <w:rPr>
                <w:szCs w:val="24"/>
              </w:rPr>
              <w:t>2</w:t>
            </w:r>
          </w:p>
        </w:tc>
        <w:tc>
          <w:tcPr>
            <w:tcW w:w="7159" w:type="dxa"/>
            <w:shd w:val="clear" w:color="auto" w:fill="auto"/>
          </w:tcPr>
          <w:p w14:paraId="56080EAF" w14:textId="2739FBEC" w:rsidR="001466AA" w:rsidRPr="00CD785F" w:rsidRDefault="001466AA" w:rsidP="001466AA">
            <w:pPr>
              <w:rPr>
                <w:bCs/>
              </w:rPr>
            </w:pPr>
            <w:bookmarkStart w:id="10" w:name="lt_pId020"/>
            <w:r w:rsidRPr="00450CFF">
              <w:rPr>
                <w:szCs w:val="24"/>
              </w:rPr>
              <w:t>Rapports verbaux des Présidents des Commissions et de la Présidente du Groupe ad hoc de la plénière</w:t>
            </w:r>
            <w:bookmarkEnd w:id="10"/>
          </w:p>
        </w:tc>
        <w:tc>
          <w:tcPr>
            <w:tcW w:w="2338" w:type="dxa"/>
          </w:tcPr>
          <w:p w14:paraId="0E2839AD" w14:textId="0D86A819" w:rsidR="001466AA" w:rsidRPr="00CD785F" w:rsidRDefault="00E2635B" w:rsidP="001466AA">
            <w:pPr>
              <w:jc w:val="center"/>
            </w:pPr>
            <w:r w:rsidRPr="00E2635B">
              <w:rPr>
                <w:szCs w:val="24"/>
              </w:rPr>
              <w:t>–</w:t>
            </w:r>
          </w:p>
        </w:tc>
      </w:tr>
      <w:tr w:rsidR="001466AA" w:rsidRPr="00CD785F" w14:paraId="65AEDAD5" w14:textId="77777777" w:rsidTr="00190648">
        <w:tc>
          <w:tcPr>
            <w:tcW w:w="534" w:type="dxa"/>
          </w:tcPr>
          <w:p w14:paraId="0BB61561" w14:textId="01E29B62" w:rsidR="001466AA" w:rsidRPr="00CD785F" w:rsidRDefault="001466AA" w:rsidP="001466AA">
            <w:pPr>
              <w:rPr>
                <w:bCs/>
              </w:rPr>
            </w:pPr>
            <w:r w:rsidRPr="00450CFF">
              <w:rPr>
                <w:szCs w:val="24"/>
              </w:rPr>
              <w:t>3</w:t>
            </w:r>
          </w:p>
        </w:tc>
        <w:tc>
          <w:tcPr>
            <w:tcW w:w="7159" w:type="dxa"/>
          </w:tcPr>
          <w:p w14:paraId="635ED6AB" w14:textId="6D6FAC88" w:rsidR="001466AA" w:rsidRPr="00CD785F" w:rsidRDefault="001466AA" w:rsidP="001466AA">
            <w:pPr>
              <w:rPr>
                <w:bCs/>
              </w:rPr>
            </w:pPr>
            <w:bookmarkStart w:id="11" w:name="lt_pId023"/>
            <w:r w:rsidRPr="00450CFF">
              <w:rPr>
                <w:szCs w:val="24"/>
              </w:rPr>
              <w:t>Documents soumis pour approbation</w:t>
            </w:r>
            <w:bookmarkEnd w:id="11"/>
          </w:p>
        </w:tc>
        <w:tc>
          <w:tcPr>
            <w:tcW w:w="2338" w:type="dxa"/>
          </w:tcPr>
          <w:p w14:paraId="485E534F" w14:textId="703AC482" w:rsidR="001466AA" w:rsidRPr="00CD785F" w:rsidRDefault="001466AA" w:rsidP="001466AA">
            <w:pPr>
              <w:jc w:val="center"/>
              <w:rPr>
                <w:bCs/>
              </w:rPr>
            </w:pPr>
            <w:r w:rsidRPr="00450CFF">
              <w:rPr>
                <w:szCs w:val="24"/>
              </w:rPr>
              <w:t>295, 344, 347, 402, 451, 452, 471, 472, 473</w:t>
            </w:r>
          </w:p>
        </w:tc>
      </w:tr>
      <w:tr w:rsidR="001466AA" w:rsidRPr="00CD785F" w14:paraId="46AFDE3C" w14:textId="77777777" w:rsidTr="00190648">
        <w:tc>
          <w:tcPr>
            <w:tcW w:w="534" w:type="dxa"/>
          </w:tcPr>
          <w:p w14:paraId="000E151E" w14:textId="19919DC0" w:rsidR="001466AA" w:rsidRPr="00CD785F" w:rsidRDefault="001466AA" w:rsidP="001466AA">
            <w:pPr>
              <w:rPr>
                <w:bCs/>
              </w:rPr>
            </w:pPr>
            <w:r w:rsidRPr="00450CFF">
              <w:rPr>
                <w:szCs w:val="24"/>
              </w:rPr>
              <w:t>4</w:t>
            </w:r>
          </w:p>
        </w:tc>
        <w:tc>
          <w:tcPr>
            <w:tcW w:w="7159" w:type="dxa"/>
          </w:tcPr>
          <w:p w14:paraId="374CDD6A" w14:textId="025D7F3C" w:rsidR="001466AA" w:rsidRPr="00CD785F" w:rsidRDefault="001466AA" w:rsidP="001466AA">
            <w:bookmarkStart w:id="12" w:name="lt_pId026"/>
            <w:r w:rsidRPr="00450CFF">
              <w:rPr>
                <w:szCs w:val="24"/>
              </w:rPr>
              <w:t>Vingt-troisième série de textes soumis par la Commission de rédaction en première lecture (B23) (suite)</w:t>
            </w:r>
            <w:bookmarkEnd w:id="12"/>
          </w:p>
        </w:tc>
        <w:tc>
          <w:tcPr>
            <w:tcW w:w="2338" w:type="dxa"/>
          </w:tcPr>
          <w:p w14:paraId="1AD70A39" w14:textId="57E6C1EA" w:rsidR="001466AA" w:rsidRPr="00CD785F" w:rsidRDefault="001466AA" w:rsidP="001466AA">
            <w:pPr>
              <w:jc w:val="center"/>
            </w:pPr>
            <w:r w:rsidRPr="00450CFF">
              <w:rPr>
                <w:szCs w:val="24"/>
              </w:rPr>
              <w:t>327</w:t>
            </w:r>
          </w:p>
        </w:tc>
      </w:tr>
      <w:tr w:rsidR="001466AA" w:rsidRPr="00CD785F" w14:paraId="72275E79" w14:textId="77777777" w:rsidTr="00190648">
        <w:tc>
          <w:tcPr>
            <w:tcW w:w="534" w:type="dxa"/>
          </w:tcPr>
          <w:p w14:paraId="63ED801B" w14:textId="4AAA12CA" w:rsidR="001466AA" w:rsidRPr="00CD785F" w:rsidRDefault="001466AA" w:rsidP="001466AA">
            <w:pPr>
              <w:rPr>
                <w:bCs/>
              </w:rPr>
            </w:pPr>
            <w:r w:rsidRPr="00450CFF">
              <w:rPr>
                <w:szCs w:val="24"/>
              </w:rPr>
              <w:t>5</w:t>
            </w:r>
          </w:p>
        </w:tc>
        <w:tc>
          <w:tcPr>
            <w:tcW w:w="7159" w:type="dxa"/>
          </w:tcPr>
          <w:p w14:paraId="2958839F" w14:textId="799FA59F" w:rsidR="001466AA" w:rsidRPr="00CD785F" w:rsidRDefault="001466AA" w:rsidP="001466AA">
            <w:pPr>
              <w:rPr>
                <w:b/>
                <w:bCs/>
              </w:rPr>
            </w:pPr>
            <w:bookmarkStart w:id="13" w:name="lt_pId029"/>
            <w:r>
              <w:rPr>
                <w:szCs w:val="24"/>
              </w:rPr>
              <w:t>Deuxième</w:t>
            </w:r>
            <w:r w:rsidRPr="00450CFF">
              <w:rPr>
                <w:szCs w:val="24"/>
              </w:rPr>
              <w:t xml:space="preserve"> série de textes soumis par la Commission de rédaction en seconde lecture (R2)</w:t>
            </w:r>
            <w:bookmarkEnd w:id="13"/>
          </w:p>
        </w:tc>
        <w:tc>
          <w:tcPr>
            <w:tcW w:w="2338" w:type="dxa"/>
          </w:tcPr>
          <w:p w14:paraId="43BE2F3F" w14:textId="7CA1C795" w:rsidR="001466AA" w:rsidRPr="00CD785F" w:rsidRDefault="001466AA" w:rsidP="001466AA">
            <w:pPr>
              <w:jc w:val="center"/>
              <w:rPr>
                <w:bCs/>
              </w:rPr>
            </w:pPr>
            <w:r w:rsidRPr="00450CFF">
              <w:rPr>
                <w:szCs w:val="24"/>
              </w:rPr>
              <w:t>381</w:t>
            </w:r>
          </w:p>
        </w:tc>
      </w:tr>
      <w:tr w:rsidR="001466AA" w:rsidRPr="00CD785F" w14:paraId="6FB8F31C" w14:textId="77777777" w:rsidTr="00190648">
        <w:tc>
          <w:tcPr>
            <w:tcW w:w="534" w:type="dxa"/>
          </w:tcPr>
          <w:p w14:paraId="6B6038F2" w14:textId="6572A506" w:rsidR="001466AA" w:rsidRPr="00CD785F" w:rsidRDefault="001466AA" w:rsidP="001466AA">
            <w:r w:rsidRPr="00450CFF">
              <w:rPr>
                <w:szCs w:val="24"/>
              </w:rPr>
              <w:t>6</w:t>
            </w:r>
          </w:p>
        </w:tc>
        <w:tc>
          <w:tcPr>
            <w:tcW w:w="7159" w:type="dxa"/>
          </w:tcPr>
          <w:p w14:paraId="657598D1" w14:textId="7A31C7CB" w:rsidR="001466AA" w:rsidRPr="00CD785F" w:rsidRDefault="001466AA" w:rsidP="001466AA">
            <w:pPr>
              <w:rPr>
                <w:b/>
              </w:rPr>
            </w:pPr>
            <w:bookmarkStart w:id="14" w:name="lt_pId032"/>
            <w:r w:rsidRPr="00450CFF">
              <w:rPr>
                <w:szCs w:val="24"/>
              </w:rPr>
              <w:t>Vingt-sixième série de textes soumis par la Commission de rédaction en première lecture (B26)</w:t>
            </w:r>
            <w:bookmarkEnd w:id="14"/>
          </w:p>
        </w:tc>
        <w:tc>
          <w:tcPr>
            <w:tcW w:w="2338" w:type="dxa"/>
          </w:tcPr>
          <w:p w14:paraId="6B748255" w14:textId="62CAB72C" w:rsidR="001466AA" w:rsidRPr="00CD785F" w:rsidRDefault="001466AA" w:rsidP="001466AA">
            <w:pPr>
              <w:jc w:val="center"/>
            </w:pPr>
            <w:r w:rsidRPr="00450CFF">
              <w:rPr>
                <w:szCs w:val="24"/>
              </w:rPr>
              <w:t>377</w:t>
            </w:r>
          </w:p>
        </w:tc>
      </w:tr>
      <w:tr w:rsidR="001466AA" w:rsidRPr="00CD785F" w14:paraId="3C71ED95" w14:textId="77777777" w:rsidTr="00190648">
        <w:tc>
          <w:tcPr>
            <w:tcW w:w="534" w:type="dxa"/>
          </w:tcPr>
          <w:p w14:paraId="2553594F" w14:textId="15E1F9B7" w:rsidR="001466AA" w:rsidRPr="00CD785F" w:rsidRDefault="001466AA" w:rsidP="001466AA">
            <w:r w:rsidRPr="00450CFF">
              <w:rPr>
                <w:szCs w:val="24"/>
              </w:rPr>
              <w:t>7</w:t>
            </w:r>
          </w:p>
        </w:tc>
        <w:tc>
          <w:tcPr>
            <w:tcW w:w="7159" w:type="dxa"/>
          </w:tcPr>
          <w:p w14:paraId="0995E0FA" w14:textId="19359615" w:rsidR="001466AA" w:rsidRPr="00CD785F" w:rsidRDefault="001466AA" w:rsidP="001466AA">
            <w:r w:rsidRPr="00450CFF">
              <w:rPr>
                <w:szCs w:val="24"/>
              </w:rPr>
              <w:t>Vingt-sixième série de textes soumis par la Commission de rédaction (B26) – seconde lecture</w:t>
            </w:r>
          </w:p>
        </w:tc>
        <w:tc>
          <w:tcPr>
            <w:tcW w:w="2338" w:type="dxa"/>
          </w:tcPr>
          <w:p w14:paraId="55E48FEA" w14:textId="37CB6ABD" w:rsidR="001466AA" w:rsidRPr="00CD785F" w:rsidRDefault="001466AA" w:rsidP="001466AA">
            <w:pPr>
              <w:jc w:val="center"/>
            </w:pPr>
            <w:r w:rsidRPr="00450CFF">
              <w:rPr>
                <w:szCs w:val="24"/>
              </w:rPr>
              <w:t>377</w:t>
            </w:r>
          </w:p>
        </w:tc>
      </w:tr>
      <w:tr w:rsidR="001466AA" w:rsidRPr="00CD785F" w14:paraId="39204738" w14:textId="77777777" w:rsidTr="00190648">
        <w:tc>
          <w:tcPr>
            <w:tcW w:w="534" w:type="dxa"/>
          </w:tcPr>
          <w:p w14:paraId="79B44458" w14:textId="11CA969A" w:rsidR="001466AA" w:rsidRPr="00CD785F" w:rsidRDefault="001466AA" w:rsidP="001466AA">
            <w:r w:rsidRPr="00450CFF">
              <w:rPr>
                <w:szCs w:val="24"/>
              </w:rPr>
              <w:t>8</w:t>
            </w:r>
          </w:p>
        </w:tc>
        <w:tc>
          <w:tcPr>
            <w:tcW w:w="7159" w:type="dxa"/>
          </w:tcPr>
          <w:p w14:paraId="13AECE4C" w14:textId="24003F6E" w:rsidR="001466AA" w:rsidRPr="00CD785F" w:rsidRDefault="001466AA" w:rsidP="001466AA">
            <w:r w:rsidRPr="00450CFF">
              <w:rPr>
                <w:szCs w:val="24"/>
              </w:rPr>
              <w:t>Vingt-septième série de textes soumis par la Commission de rédaction en première lecture (B27)</w:t>
            </w:r>
          </w:p>
        </w:tc>
        <w:tc>
          <w:tcPr>
            <w:tcW w:w="2338" w:type="dxa"/>
          </w:tcPr>
          <w:p w14:paraId="342CE37F" w14:textId="388E1C41" w:rsidR="001466AA" w:rsidRPr="00CD785F" w:rsidRDefault="001466AA" w:rsidP="001466AA">
            <w:pPr>
              <w:jc w:val="center"/>
            </w:pPr>
            <w:r w:rsidRPr="00450CFF">
              <w:rPr>
                <w:szCs w:val="24"/>
              </w:rPr>
              <w:t>378</w:t>
            </w:r>
          </w:p>
        </w:tc>
      </w:tr>
      <w:tr w:rsidR="001466AA" w:rsidRPr="00CD785F" w14:paraId="30E22659" w14:textId="77777777" w:rsidTr="00190648">
        <w:tc>
          <w:tcPr>
            <w:tcW w:w="534" w:type="dxa"/>
          </w:tcPr>
          <w:p w14:paraId="2658FF25" w14:textId="3EDEB36B" w:rsidR="001466AA" w:rsidRPr="00CD785F" w:rsidRDefault="001466AA" w:rsidP="001466AA">
            <w:r w:rsidRPr="00450CFF">
              <w:rPr>
                <w:szCs w:val="24"/>
              </w:rPr>
              <w:t>9</w:t>
            </w:r>
          </w:p>
        </w:tc>
        <w:tc>
          <w:tcPr>
            <w:tcW w:w="7159" w:type="dxa"/>
          </w:tcPr>
          <w:p w14:paraId="3F40F313" w14:textId="0095E67E" w:rsidR="001466AA" w:rsidRPr="00CD785F" w:rsidRDefault="001466AA" w:rsidP="001466AA">
            <w:r w:rsidRPr="00450CFF">
              <w:rPr>
                <w:szCs w:val="24"/>
              </w:rPr>
              <w:t>Vingt-septième série de textes soumis par la Commission de rédaction (B27) – seconde lecture</w:t>
            </w:r>
          </w:p>
        </w:tc>
        <w:tc>
          <w:tcPr>
            <w:tcW w:w="2338" w:type="dxa"/>
          </w:tcPr>
          <w:p w14:paraId="39BA086E" w14:textId="11B8225A" w:rsidR="001466AA" w:rsidRPr="00CD785F" w:rsidRDefault="001466AA" w:rsidP="001466AA">
            <w:pPr>
              <w:jc w:val="center"/>
            </w:pPr>
            <w:r w:rsidRPr="00450CFF">
              <w:rPr>
                <w:szCs w:val="24"/>
              </w:rPr>
              <w:t>378</w:t>
            </w:r>
          </w:p>
        </w:tc>
      </w:tr>
      <w:tr w:rsidR="001466AA" w:rsidRPr="00CD785F" w14:paraId="4D5EEB91" w14:textId="77777777" w:rsidTr="00190648">
        <w:tc>
          <w:tcPr>
            <w:tcW w:w="534" w:type="dxa"/>
          </w:tcPr>
          <w:p w14:paraId="6EE5FB9F" w14:textId="600AA179" w:rsidR="001466AA" w:rsidRPr="00CD785F" w:rsidRDefault="001466AA" w:rsidP="001466AA">
            <w:r w:rsidRPr="00450CFF">
              <w:rPr>
                <w:szCs w:val="24"/>
              </w:rPr>
              <w:t>10</w:t>
            </w:r>
          </w:p>
        </w:tc>
        <w:tc>
          <w:tcPr>
            <w:tcW w:w="7159" w:type="dxa"/>
          </w:tcPr>
          <w:p w14:paraId="07F2F40F" w14:textId="12E18EF1" w:rsidR="001466AA" w:rsidRPr="00CD785F" w:rsidRDefault="001466AA" w:rsidP="001466AA">
            <w:r w:rsidRPr="00450CFF">
              <w:rPr>
                <w:szCs w:val="24"/>
              </w:rPr>
              <w:t>Vingt-huitième série de textes soumis par la Commission de rédaction en première lecture (B28)</w:t>
            </w:r>
          </w:p>
        </w:tc>
        <w:tc>
          <w:tcPr>
            <w:tcW w:w="2338" w:type="dxa"/>
          </w:tcPr>
          <w:p w14:paraId="0E898924" w14:textId="7235659A" w:rsidR="001466AA" w:rsidRPr="00CD785F" w:rsidRDefault="001466AA" w:rsidP="001466AA">
            <w:pPr>
              <w:jc w:val="center"/>
            </w:pPr>
            <w:r w:rsidRPr="00450CFF">
              <w:rPr>
                <w:szCs w:val="24"/>
              </w:rPr>
              <w:t>379</w:t>
            </w:r>
          </w:p>
        </w:tc>
      </w:tr>
      <w:tr w:rsidR="001466AA" w:rsidRPr="00CD785F" w14:paraId="0BD9375A" w14:textId="77777777" w:rsidTr="00190648">
        <w:tc>
          <w:tcPr>
            <w:tcW w:w="534" w:type="dxa"/>
          </w:tcPr>
          <w:p w14:paraId="5717AA4B" w14:textId="272D29D3" w:rsidR="001466AA" w:rsidRPr="00450CFF" w:rsidRDefault="001466AA" w:rsidP="001466AA">
            <w:pPr>
              <w:rPr>
                <w:szCs w:val="24"/>
              </w:rPr>
            </w:pPr>
            <w:r w:rsidRPr="00450CFF">
              <w:rPr>
                <w:szCs w:val="24"/>
              </w:rPr>
              <w:lastRenderedPageBreak/>
              <w:t>11</w:t>
            </w:r>
          </w:p>
        </w:tc>
        <w:tc>
          <w:tcPr>
            <w:tcW w:w="7159" w:type="dxa"/>
          </w:tcPr>
          <w:p w14:paraId="41ECD377" w14:textId="0AAA4AFD" w:rsidR="001466AA" w:rsidRPr="00450CFF" w:rsidRDefault="001466AA" w:rsidP="001466AA">
            <w:pPr>
              <w:rPr>
                <w:szCs w:val="24"/>
              </w:rPr>
            </w:pPr>
            <w:r w:rsidRPr="00450CFF">
              <w:rPr>
                <w:szCs w:val="24"/>
              </w:rPr>
              <w:t>Vingt-huitième série de textes soumis par la Commission de rédaction (B28) – seconde lecture</w:t>
            </w:r>
          </w:p>
        </w:tc>
        <w:tc>
          <w:tcPr>
            <w:tcW w:w="2338" w:type="dxa"/>
          </w:tcPr>
          <w:p w14:paraId="35795C5D" w14:textId="420B7C64" w:rsidR="001466AA" w:rsidRPr="00450CFF" w:rsidRDefault="001466AA" w:rsidP="001466AA">
            <w:pPr>
              <w:jc w:val="center"/>
              <w:rPr>
                <w:szCs w:val="24"/>
              </w:rPr>
            </w:pPr>
            <w:r w:rsidRPr="00450CFF">
              <w:rPr>
                <w:szCs w:val="24"/>
              </w:rPr>
              <w:t>379</w:t>
            </w:r>
          </w:p>
        </w:tc>
      </w:tr>
      <w:tr w:rsidR="001466AA" w:rsidRPr="00CD785F" w14:paraId="233E289B" w14:textId="77777777" w:rsidTr="00190648">
        <w:tc>
          <w:tcPr>
            <w:tcW w:w="534" w:type="dxa"/>
          </w:tcPr>
          <w:p w14:paraId="08B67CC4" w14:textId="22A881C6" w:rsidR="001466AA" w:rsidRPr="00450CFF" w:rsidRDefault="001466AA" w:rsidP="001466AA">
            <w:pPr>
              <w:rPr>
                <w:szCs w:val="24"/>
              </w:rPr>
            </w:pPr>
            <w:r w:rsidRPr="00450CFF">
              <w:rPr>
                <w:szCs w:val="24"/>
              </w:rPr>
              <w:t>12</w:t>
            </w:r>
          </w:p>
        </w:tc>
        <w:tc>
          <w:tcPr>
            <w:tcW w:w="7159" w:type="dxa"/>
          </w:tcPr>
          <w:p w14:paraId="5BDD2366" w14:textId="35875D00" w:rsidR="001466AA" w:rsidRPr="00450CFF" w:rsidRDefault="001466AA" w:rsidP="001466AA">
            <w:pPr>
              <w:rPr>
                <w:szCs w:val="24"/>
              </w:rPr>
            </w:pPr>
            <w:r w:rsidRPr="00450CFF">
              <w:rPr>
                <w:szCs w:val="24"/>
              </w:rPr>
              <w:t>Vingt-neuvième série de textes soumis par la Commission de rédaction en première lecture (B29)</w:t>
            </w:r>
          </w:p>
        </w:tc>
        <w:tc>
          <w:tcPr>
            <w:tcW w:w="2338" w:type="dxa"/>
          </w:tcPr>
          <w:p w14:paraId="4DA3E2BC" w14:textId="25079B33" w:rsidR="001466AA" w:rsidRPr="00450CFF" w:rsidRDefault="001466AA" w:rsidP="001466AA">
            <w:pPr>
              <w:jc w:val="center"/>
              <w:rPr>
                <w:szCs w:val="24"/>
              </w:rPr>
            </w:pPr>
            <w:r w:rsidRPr="00450CFF">
              <w:rPr>
                <w:szCs w:val="24"/>
              </w:rPr>
              <w:t>380</w:t>
            </w:r>
          </w:p>
        </w:tc>
      </w:tr>
      <w:tr w:rsidR="001466AA" w:rsidRPr="00CD785F" w14:paraId="32C9C81A" w14:textId="77777777" w:rsidTr="00190648">
        <w:tc>
          <w:tcPr>
            <w:tcW w:w="534" w:type="dxa"/>
          </w:tcPr>
          <w:p w14:paraId="385EF197" w14:textId="020E4F89" w:rsidR="001466AA" w:rsidRPr="00450CFF" w:rsidRDefault="001466AA" w:rsidP="001466AA">
            <w:pPr>
              <w:rPr>
                <w:szCs w:val="24"/>
              </w:rPr>
            </w:pPr>
            <w:r w:rsidRPr="00450CFF">
              <w:rPr>
                <w:szCs w:val="24"/>
              </w:rPr>
              <w:t>13</w:t>
            </w:r>
          </w:p>
        </w:tc>
        <w:tc>
          <w:tcPr>
            <w:tcW w:w="7159" w:type="dxa"/>
          </w:tcPr>
          <w:p w14:paraId="2D66F198" w14:textId="7A0DF62F" w:rsidR="001466AA" w:rsidRPr="00450CFF" w:rsidRDefault="001466AA" w:rsidP="001466AA">
            <w:pPr>
              <w:rPr>
                <w:szCs w:val="24"/>
              </w:rPr>
            </w:pPr>
            <w:r w:rsidRPr="00450CFF">
              <w:rPr>
                <w:szCs w:val="24"/>
              </w:rPr>
              <w:t>Vingt-neuvième série de textes soumis par la Commission de rédaction (B29)</w:t>
            </w:r>
            <w:r>
              <w:rPr>
                <w:szCs w:val="24"/>
              </w:rPr>
              <w:t xml:space="preserve"> – seconde lecture</w:t>
            </w:r>
          </w:p>
        </w:tc>
        <w:tc>
          <w:tcPr>
            <w:tcW w:w="2338" w:type="dxa"/>
          </w:tcPr>
          <w:p w14:paraId="614F1AF3" w14:textId="04AA6ADB" w:rsidR="001466AA" w:rsidRPr="00450CFF" w:rsidRDefault="001466AA" w:rsidP="001466AA">
            <w:pPr>
              <w:jc w:val="center"/>
              <w:rPr>
                <w:szCs w:val="24"/>
              </w:rPr>
            </w:pPr>
            <w:r w:rsidRPr="00450CFF">
              <w:rPr>
                <w:szCs w:val="24"/>
              </w:rPr>
              <w:t>380</w:t>
            </w:r>
          </w:p>
        </w:tc>
      </w:tr>
      <w:tr w:rsidR="001466AA" w:rsidRPr="00CD785F" w14:paraId="122AF810" w14:textId="77777777" w:rsidTr="00190648">
        <w:tc>
          <w:tcPr>
            <w:tcW w:w="534" w:type="dxa"/>
          </w:tcPr>
          <w:p w14:paraId="7731FBDC" w14:textId="157B320A" w:rsidR="001466AA" w:rsidRPr="00450CFF" w:rsidRDefault="001466AA" w:rsidP="001466AA">
            <w:pPr>
              <w:rPr>
                <w:szCs w:val="24"/>
              </w:rPr>
            </w:pPr>
            <w:r w:rsidRPr="00450CFF">
              <w:rPr>
                <w:szCs w:val="24"/>
              </w:rPr>
              <w:t>14</w:t>
            </w:r>
          </w:p>
        </w:tc>
        <w:tc>
          <w:tcPr>
            <w:tcW w:w="7159" w:type="dxa"/>
          </w:tcPr>
          <w:p w14:paraId="53982A6C" w14:textId="323B7443" w:rsidR="001466AA" w:rsidRPr="00450CFF" w:rsidRDefault="001466AA" w:rsidP="001466AA">
            <w:pPr>
              <w:rPr>
                <w:szCs w:val="24"/>
              </w:rPr>
            </w:pPr>
            <w:r w:rsidRPr="00FA0164">
              <w:rPr>
                <w:szCs w:val="24"/>
              </w:rPr>
              <w:t>Trentième série de textes soumis par la Commission de rédaction en première lecture (B30)</w:t>
            </w:r>
          </w:p>
        </w:tc>
        <w:tc>
          <w:tcPr>
            <w:tcW w:w="2338" w:type="dxa"/>
          </w:tcPr>
          <w:p w14:paraId="0FA042AF" w14:textId="2DE804E2" w:rsidR="001466AA" w:rsidRPr="00450CFF" w:rsidRDefault="001466AA" w:rsidP="001466AA">
            <w:pPr>
              <w:jc w:val="center"/>
              <w:rPr>
                <w:szCs w:val="24"/>
              </w:rPr>
            </w:pPr>
            <w:r w:rsidRPr="00450CFF">
              <w:rPr>
                <w:szCs w:val="24"/>
              </w:rPr>
              <w:t>420</w:t>
            </w:r>
          </w:p>
        </w:tc>
      </w:tr>
      <w:tr w:rsidR="001466AA" w:rsidRPr="00CD785F" w14:paraId="46CD5290" w14:textId="77777777" w:rsidTr="00190648">
        <w:tc>
          <w:tcPr>
            <w:tcW w:w="534" w:type="dxa"/>
          </w:tcPr>
          <w:p w14:paraId="3F287A04" w14:textId="4DE53A40" w:rsidR="001466AA" w:rsidRPr="00450CFF" w:rsidRDefault="001466AA" w:rsidP="001466AA">
            <w:pPr>
              <w:rPr>
                <w:szCs w:val="24"/>
              </w:rPr>
            </w:pPr>
            <w:r w:rsidRPr="00450CFF">
              <w:rPr>
                <w:szCs w:val="24"/>
              </w:rPr>
              <w:t>15</w:t>
            </w:r>
          </w:p>
        </w:tc>
        <w:tc>
          <w:tcPr>
            <w:tcW w:w="7159" w:type="dxa"/>
          </w:tcPr>
          <w:p w14:paraId="0EDDCFB6" w14:textId="26442CD7" w:rsidR="001466AA" w:rsidRPr="00FA0164" w:rsidRDefault="001466AA" w:rsidP="001466AA">
            <w:pPr>
              <w:rPr>
                <w:szCs w:val="24"/>
              </w:rPr>
            </w:pPr>
            <w:r w:rsidRPr="00FA0164">
              <w:rPr>
                <w:szCs w:val="24"/>
              </w:rPr>
              <w:t>Trentième série de textes soumis par la Commission de rédaction (B30)</w:t>
            </w:r>
            <w:r w:rsidR="003C62D8">
              <w:rPr>
                <w:szCs w:val="24"/>
              </w:rPr>
              <w:t> </w:t>
            </w:r>
            <w:r w:rsidRPr="00FA0164">
              <w:rPr>
                <w:szCs w:val="24"/>
              </w:rPr>
              <w:t>– seconde lecture</w:t>
            </w:r>
          </w:p>
        </w:tc>
        <w:tc>
          <w:tcPr>
            <w:tcW w:w="2338" w:type="dxa"/>
          </w:tcPr>
          <w:p w14:paraId="6E762DF0" w14:textId="710F036E" w:rsidR="001466AA" w:rsidRPr="00450CFF" w:rsidRDefault="001466AA" w:rsidP="001466AA">
            <w:pPr>
              <w:jc w:val="center"/>
              <w:rPr>
                <w:szCs w:val="24"/>
              </w:rPr>
            </w:pPr>
            <w:r w:rsidRPr="00450CFF">
              <w:rPr>
                <w:szCs w:val="24"/>
              </w:rPr>
              <w:t>420</w:t>
            </w:r>
          </w:p>
        </w:tc>
      </w:tr>
      <w:tr w:rsidR="001466AA" w:rsidRPr="00CD785F" w14:paraId="35D44818" w14:textId="77777777" w:rsidTr="00190648">
        <w:tc>
          <w:tcPr>
            <w:tcW w:w="534" w:type="dxa"/>
          </w:tcPr>
          <w:p w14:paraId="2CEFF279" w14:textId="2BDE8115" w:rsidR="001466AA" w:rsidRPr="00450CFF" w:rsidRDefault="001466AA" w:rsidP="001466AA">
            <w:pPr>
              <w:rPr>
                <w:szCs w:val="24"/>
              </w:rPr>
            </w:pPr>
            <w:r w:rsidRPr="00450CFF">
              <w:rPr>
                <w:szCs w:val="24"/>
              </w:rPr>
              <w:t>16</w:t>
            </w:r>
          </w:p>
        </w:tc>
        <w:tc>
          <w:tcPr>
            <w:tcW w:w="7159" w:type="dxa"/>
          </w:tcPr>
          <w:p w14:paraId="0C35E307" w14:textId="258DB692" w:rsidR="001466AA" w:rsidRPr="00FA0164" w:rsidRDefault="001466AA" w:rsidP="001466AA">
            <w:pPr>
              <w:rPr>
                <w:szCs w:val="24"/>
              </w:rPr>
            </w:pPr>
            <w:r w:rsidRPr="00FA0164">
              <w:rPr>
                <w:szCs w:val="24"/>
              </w:rPr>
              <w:t>Trente</w:t>
            </w:r>
            <w:r w:rsidR="00EA5539">
              <w:rPr>
                <w:szCs w:val="24"/>
              </w:rPr>
              <w:t xml:space="preserve"> </w:t>
            </w:r>
            <w:r w:rsidRPr="00FA0164">
              <w:rPr>
                <w:szCs w:val="24"/>
              </w:rPr>
              <w:t>et</w:t>
            </w:r>
            <w:r w:rsidR="00EA5539">
              <w:rPr>
                <w:szCs w:val="24"/>
              </w:rPr>
              <w:t xml:space="preserve"> </w:t>
            </w:r>
            <w:r w:rsidRPr="00FA0164">
              <w:rPr>
                <w:szCs w:val="24"/>
              </w:rPr>
              <w:t>unième série de textes soumis par la Commission de rédaction en première lecture (B31)</w:t>
            </w:r>
          </w:p>
        </w:tc>
        <w:tc>
          <w:tcPr>
            <w:tcW w:w="2338" w:type="dxa"/>
          </w:tcPr>
          <w:p w14:paraId="0A533992" w14:textId="45E3D753" w:rsidR="001466AA" w:rsidRPr="00450CFF" w:rsidRDefault="001466AA" w:rsidP="001466AA">
            <w:pPr>
              <w:jc w:val="center"/>
              <w:rPr>
                <w:szCs w:val="24"/>
              </w:rPr>
            </w:pPr>
            <w:r w:rsidRPr="00450CFF">
              <w:rPr>
                <w:szCs w:val="24"/>
              </w:rPr>
              <w:t>421</w:t>
            </w:r>
          </w:p>
        </w:tc>
      </w:tr>
      <w:tr w:rsidR="001466AA" w:rsidRPr="00CD785F" w14:paraId="0C0E22DD" w14:textId="77777777" w:rsidTr="00190648">
        <w:tc>
          <w:tcPr>
            <w:tcW w:w="534" w:type="dxa"/>
          </w:tcPr>
          <w:p w14:paraId="1AE01BB3" w14:textId="155C3667" w:rsidR="001466AA" w:rsidRPr="00450CFF" w:rsidRDefault="001466AA" w:rsidP="001466AA">
            <w:pPr>
              <w:rPr>
                <w:szCs w:val="24"/>
              </w:rPr>
            </w:pPr>
            <w:r w:rsidRPr="00450CFF">
              <w:rPr>
                <w:szCs w:val="24"/>
              </w:rPr>
              <w:t>17</w:t>
            </w:r>
          </w:p>
        </w:tc>
        <w:tc>
          <w:tcPr>
            <w:tcW w:w="7159" w:type="dxa"/>
          </w:tcPr>
          <w:p w14:paraId="22935249" w14:textId="4B743CC0" w:rsidR="001466AA" w:rsidRPr="00FA0164" w:rsidRDefault="001466AA" w:rsidP="001466AA">
            <w:pPr>
              <w:rPr>
                <w:szCs w:val="24"/>
              </w:rPr>
            </w:pPr>
            <w:r w:rsidRPr="00FA0164">
              <w:rPr>
                <w:szCs w:val="24"/>
              </w:rPr>
              <w:t>Trente</w:t>
            </w:r>
            <w:r w:rsidR="00EA5539">
              <w:rPr>
                <w:szCs w:val="24"/>
              </w:rPr>
              <w:t xml:space="preserve"> </w:t>
            </w:r>
            <w:r w:rsidRPr="00FA0164">
              <w:rPr>
                <w:szCs w:val="24"/>
              </w:rPr>
              <w:t>et</w:t>
            </w:r>
            <w:r w:rsidR="00EA5539">
              <w:rPr>
                <w:szCs w:val="24"/>
              </w:rPr>
              <w:t xml:space="preserve"> </w:t>
            </w:r>
            <w:r w:rsidRPr="00FA0164">
              <w:rPr>
                <w:szCs w:val="24"/>
              </w:rPr>
              <w:t>unième série de textes soumis par la Commission de rédaction (B31) – seconde lecture</w:t>
            </w:r>
          </w:p>
        </w:tc>
        <w:tc>
          <w:tcPr>
            <w:tcW w:w="2338" w:type="dxa"/>
          </w:tcPr>
          <w:p w14:paraId="08C86D1A" w14:textId="480D9C74" w:rsidR="001466AA" w:rsidRPr="00450CFF" w:rsidRDefault="001466AA" w:rsidP="001466AA">
            <w:pPr>
              <w:jc w:val="center"/>
              <w:rPr>
                <w:szCs w:val="24"/>
              </w:rPr>
            </w:pPr>
            <w:r w:rsidRPr="00450CFF">
              <w:rPr>
                <w:szCs w:val="24"/>
              </w:rPr>
              <w:t>421</w:t>
            </w:r>
          </w:p>
        </w:tc>
      </w:tr>
      <w:tr w:rsidR="001466AA" w:rsidRPr="00CD785F" w14:paraId="58A7E666" w14:textId="77777777" w:rsidTr="00190648">
        <w:tc>
          <w:tcPr>
            <w:tcW w:w="534" w:type="dxa"/>
          </w:tcPr>
          <w:p w14:paraId="0B33543A" w14:textId="3C3EB5B1" w:rsidR="001466AA" w:rsidRPr="00450CFF" w:rsidRDefault="001466AA" w:rsidP="001466AA">
            <w:pPr>
              <w:rPr>
                <w:szCs w:val="24"/>
              </w:rPr>
            </w:pPr>
            <w:r w:rsidRPr="00450CFF">
              <w:rPr>
                <w:szCs w:val="24"/>
              </w:rPr>
              <w:t>18</w:t>
            </w:r>
          </w:p>
        </w:tc>
        <w:tc>
          <w:tcPr>
            <w:tcW w:w="7159" w:type="dxa"/>
          </w:tcPr>
          <w:p w14:paraId="4B32DC7B" w14:textId="4CCD0A96" w:rsidR="001466AA" w:rsidRPr="00FA0164" w:rsidRDefault="001466AA" w:rsidP="001466AA">
            <w:pPr>
              <w:rPr>
                <w:szCs w:val="24"/>
              </w:rPr>
            </w:pPr>
            <w:r w:rsidRPr="00FA0164">
              <w:rPr>
                <w:szCs w:val="24"/>
              </w:rPr>
              <w:t>Trente-deuxième série de textes soumis par la Commission de rédaction en première lecture (B32)</w:t>
            </w:r>
          </w:p>
        </w:tc>
        <w:tc>
          <w:tcPr>
            <w:tcW w:w="2338" w:type="dxa"/>
          </w:tcPr>
          <w:p w14:paraId="79414959" w14:textId="711BFAAD" w:rsidR="001466AA" w:rsidRPr="00450CFF" w:rsidRDefault="001466AA" w:rsidP="001466AA">
            <w:pPr>
              <w:jc w:val="center"/>
              <w:rPr>
                <w:szCs w:val="24"/>
              </w:rPr>
            </w:pPr>
            <w:r w:rsidRPr="00450CFF">
              <w:rPr>
                <w:szCs w:val="24"/>
              </w:rPr>
              <w:t>423</w:t>
            </w:r>
          </w:p>
        </w:tc>
      </w:tr>
      <w:tr w:rsidR="001466AA" w:rsidRPr="00CD785F" w14:paraId="0B4CCAEC" w14:textId="77777777" w:rsidTr="00190648">
        <w:tc>
          <w:tcPr>
            <w:tcW w:w="534" w:type="dxa"/>
          </w:tcPr>
          <w:p w14:paraId="25D5687F" w14:textId="1C117828" w:rsidR="001466AA" w:rsidRPr="00450CFF" w:rsidRDefault="001466AA" w:rsidP="001466AA">
            <w:pPr>
              <w:rPr>
                <w:szCs w:val="24"/>
              </w:rPr>
            </w:pPr>
            <w:r w:rsidRPr="00450CFF">
              <w:rPr>
                <w:szCs w:val="24"/>
              </w:rPr>
              <w:t>19</w:t>
            </w:r>
          </w:p>
        </w:tc>
        <w:tc>
          <w:tcPr>
            <w:tcW w:w="7159" w:type="dxa"/>
          </w:tcPr>
          <w:p w14:paraId="07169646" w14:textId="653B67C0" w:rsidR="001466AA" w:rsidRPr="00FA0164" w:rsidRDefault="001466AA" w:rsidP="001466AA">
            <w:pPr>
              <w:rPr>
                <w:szCs w:val="24"/>
              </w:rPr>
            </w:pPr>
            <w:r w:rsidRPr="00FA0164">
              <w:rPr>
                <w:szCs w:val="24"/>
              </w:rPr>
              <w:t>Trente-deuxième série de textes soumis par la Commission de rédaction (B32) – seconde lecture</w:t>
            </w:r>
          </w:p>
        </w:tc>
        <w:tc>
          <w:tcPr>
            <w:tcW w:w="2338" w:type="dxa"/>
          </w:tcPr>
          <w:p w14:paraId="088FAF82" w14:textId="33082D0F" w:rsidR="001466AA" w:rsidRPr="00450CFF" w:rsidRDefault="001466AA" w:rsidP="001466AA">
            <w:pPr>
              <w:jc w:val="center"/>
              <w:rPr>
                <w:szCs w:val="24"/>
              </w:rPr>
            </w:pPr>
            <w:r w:rsidRPr="00450CFF">
              <w:rPr>
                <w:szCs w:val="24"/>
              </w:rPr>
              <w:t>423</w:t>
            </w:r>
          </w:p>
        </w:tc>
      </w:tr>
      <w:tr w:rsidR="001466AA" w:rsidRPr="00CD785F" w14:paraId="5F885D6B" w14:textId="77777777" w:rsidTr="00190648">
        <w:tc>
          <w:tcPr>
            <w:tcW w:w="534" w:type="dxa"/>
          </w:tcPr>
          <w:p w14:paraId="358AB2B7" w14:textId="0D74C065" w:rsidR="001466AA" w:rsidRPr="00450CFF" w:rsidRDefault="001466AA" w:rsidP="001466AA">
            <w:pPr>
              <w:rPr>
                <w:szCs w:val="24"/>
              </w:rPr>
            </w:pPr>
            <w:r w:rsidRPr="00450CFF">
              <w:rPr>
                <w:szCs w:val="24"/>
              </w:rPr>
              <w:t>20</w:t>
            </w:r>
          </w:p>
        </w:tc>
        <w:tc>
          <w:tcPr>
            <w:tcW w:w="7159" w:type="dxa"/>
          </w:tcPr>
          <w:p w14:paraId="24F6DFC3" w14:textId="53059318" w:rsidR="001466AA" w:rsidRPr="00FA0164" w:rsidRDefault="001466AA" w:rsidP="001466AA">
            <w:pPr>
              <w:rPr>
                <w:szCs w:val="24"/>
              </w:rPr>
            </w:pPr>
            <w:r w:rsidRPr="00FA0164">
              <w:rPr>
                <w:szCs w:val="24"/>
              </w:rPr>
              <w:t>Approbation du procès-verbal – cinquième séance plénière</w:t>
            </w:r>
          </w:p>
        </w:tc>
        <w:tc>
          <w:tcPr>
            <w:tcW w:w="2338" w:type="dxa"/>
          </w:tcPr>
          <w:p w14:paraId="2DF3080B" w14:textId="17E8E699" w:rsidR="001466AA" w:rsidRPr="00450CFF" w:rsidRDefault="001466AA" w:rsidP="001466AA">
            <w:pPr>
              <w:jc w:val="center"/>
              <w:rPr>
                <w:szCs w:val="24"/>
              </w:rPr>
            </w:pPr>
            <w:r w:rsidRPr="00450CFF">
              <w:rPr>
                <w:szCs w:val="24"/>
              </w:rPr>
              <w:t>275</w:t>
            </w:r>
          </w:p>
        </w:tc>
      </w:tr>
      <w:tr w:rsidR="001466AA" w:rsidRPr="00CD785F" w14:paraId="4C9B19A6" w14:textId="77777777" w:rsidTr="00190648">
        <w:tc>
          <w:tcPr>
            <w:tcW w:w="534" w:type="dxa"/>
          </w:tcPr>
          <w:p w14:paraId="37A8D7A6" w14:textId="7533C061" w:rsidR="001466AA" w:rsidRPr="00450CFF" w:rsidRDefault="001466AA" w:rsidP="001466AA">
            <w:pPr>
              <w:rPr>
                <w:szCs w:val="24"/>
              </w:rPr>
            </w:pPr>
            <w:r w:rsidRPr="00450CFF">
              <w:rPr>
                <w:szCs w:val="24"/>
              </w:rPr>
              <w:t>21</w:t>
            </w:r>
          </w:p>
        </w:tc>
        <w:tc>
          <w:tcPr>
            <w:tcW w:w="7159" w:type="dxa"/>
          </w:tcPr>
          <w:p w14:paraId="6365DC2F" w14:textId="7F90AB63" w:rsidR="001466AA" w:rsidRPr="00FA0164" w:rsidRDefault="001466AA" w:rsidP="001466AA">
            <w:pPr>
              <w:rPr>
                <w:szCs w:val="24"/>
              </w:rPr>
            </w:pPr>
            <w:r w:rsidRPr="00FA0164">
              <w:rPr>
                <w:szCs w:val="24"/>
              </w:rPr>
              <w:t xml:space="preserve">Messages de condoléances à la suite du décès du cheikh </w:t>
            </w:r>
            <w:r w:rsidR="000D2E1D">
              <w:rPr>
                <w:szCs w:val="24"/>
              </w:rPr>
              <w:t>Sultan</w:t>
            </w:r>
            <w:r w:rsidRPr="00FA0164">
              <w:rPr>
                <w:szCs w:val="24"/>
              </w:rPr>
              <w:t xml:space="preserve"> bin Zayed Al Nahyan</w:t>
            </w:r>
          </w:p>
        </w:tc>
        <w:tc>
          <w:tcPr>
            <w:tcW w:w="2338" w:type="dxa"/>
          </w:tcPr>
          <w:p w14:paraId="55BCF1F5" w14:textId="243A5311" w:rsidR="001466AA" w:rsidRPr="00450CFF" w:rsidRDefault="00E2635B" w:rsidP="001466AA">
            <w:pPr>
              <w:jc w:val="center"/>
              <w:rPr>
                <w:szCs w:val="24"/>
              </w:rPr>
            </w:pPr>
            <w:r w:rsidRPr="00E2635B">
              <w:rPr>
                <w:szCs w:val="24"/>
              </w:rPr>
              <w:t>–</w:t>
            </w:r>
          </w:p>
        </w:tc>
      </w:tr>
      <w:tr w:rsidR="001466AA" w:rsidRPr="00CD785F" w14:paraId="6443657D" w14:textId="77777777" w:rsidTr="00190648">
        <w:tc>
          <w:tcPr>
            <w:tcW w:w="534" w:type="dxa"/>
          </w:tcPr>
          <w:p w14:paraId="20124BF4" w14:textId="0899564A" w:rsidR="001466AA" w:rsidRPr="00450CFF" w:rsidRDefault="001466AA" w:rsidP="001466AA">
            <w:pPr>
              <w:rPr>
                <w:szCs w:val="24"/>
              </w:rPr>
            </w:pPr>
            <w:r w:rsidRPr="00450CFF">
              <w:rPr>
                <w:szCs w:val="24"/>
              </w:rPr>
              <w:t>22</w:t>
            </w:r>
          </w:p>
        </w:tc>
        <w:tc>
          <w:tcPr>
            <w:tcW w:w="7159" w:type="dxa"/>
          </w:tcPr>
          <w:p w14:paraId="78F8873C" w14:textId="7D8FFB3E" w:rsidR="001466AA" w:rsidRPr="00FA0164" w:rsidRDefault="001466AA" w:rsidP="001466AA">
            <w:pPr>
              <w:rPr>
                <w:szCs w:val="24"/>
              </w:rPr>
            </w:pPr>
            <w:r w:rsidRPr="00FA0164">
              <w:rPr>
                <w:szCs w:val="24"/>
              </w:rPr>
              <w:t>Remarques de clôture</w:t>
            </w:r>
          </w:p>
        </w:tc>
        <w:tc>
          <w:tcPr>
            <w:tcW w:w="2338" w:type="dxa"/>
          </w:tcPr>
          <w:p w14:paraId="71690074" w14:textId="51D3496F" w:rsidR="001466AA" w:rsidRPr="00450CFF" w:rsidRDefault="00E2635B" w:rsidP="001466AA">
            <w:pPr>
              <w:jc w:val="center"/>
              <w:rPr>
                <w:szCs w:val="24"/>
              </w:rPr>
            </w:pPr>
            <w:r w:rsidRPr="00E2635B">
              <w:rPr>
                <w:szCs w:val="24"/>
              </w:rPr>
              <w:t>–</w:t>
            </w:r>
          </w:p>
        </w:tc>
      </w:tr>
    </w:tbl>
    <w:p w14:paraId="79E804BD" w14:textId="77777777" w:rsidR="003C62D8" w:rsidRDefault="003C62D8" w:rsidP="001466AA">
      <w:pPr>
        <w:pStyle w:val="Heading1"/>
        <w:rPr>
          <w:szCs w:val="28"/>
        </w:rPr>
      </w:pPr>
      <w:bookmarkStart w:id="15" w:name="lt_pId082"/>
      <w:r>
        <w:rPr>
          <w:szCs w:val="28"/>
        </w:rPr>
        <w:br w:type="page"/>
      </w:r>
    </w:p>
    <w:p w14:paraId="07EDC3E1" w14:textId="5AB20148" w:rsidR="001466AA" w:rsidRPr="00C0145A" w:rsidRDefault="001466AA" w:rsidP="001466AA">
      <w:pPr>
        <w:pStyle w:val="Heading1"/>
        <w:rPr>
          <w:szCs w:val="28"/>
        </w:rPr>
      </w:pPr>
      <w:r>
        <w:rPr>
          <w:szCs w:val="28"/>
        </w:rPr>
        <w:lastRenderedPageBreak/>
        <w:t>1</w:t>
      </w:r>
      <w:r>
        <w:rPr>
          <w:szCs w:val="28"/>
        </w:rPr>
        <w:tab/>
      </w:r>
      <w:r w:rsidRPr="00C0145A">
        <w:rPr>
          <w:szCs w:val="28"/>
        </w:rPr>
        <w:t>Remarques liminaires</w:t>
      </w:r>
      <w:bookmarkEnd w:id="15"/>
    </w:p>
    <w:p w14:paraId="4780498F" w14:textId="18BB46A0" w:rsidR="001466AA" w:rsidRPr="00C0145A" w:rsidRDefault="001466AA" w:rsidP="001466AA">
      <w:r w:rsidRPr="00C0145A">
        <w:t>1.1</w:t>
      </w:r>
      <w:r w:rsidRPr="00C0145A">
        <w:tab/>
      </w:r>
      <w:bookmarkStart w:id="16" w:name="lt_pId084"/>
      <w:r w:rsidRPr="00C0145A">
        <w:t xml:space="preserve">Le </w:t>
      </w:r>
      <w:r w:rsidRPr="00C0145A">
        <w:rPr>
          <w:b/>
          <w:bCs/>
        </w:rPr>
        <w:t>Directeur du BR</w:t>
      </w:r>
      <w:r w:rsidRPr="00C0145A">
        <w:t xml:space="preserve"> indique que, depuis la veille, la Conférence compte plus de</w:t>
      </w:r>
      <w:r w:rsidR="003C62D8">
        <w:t> </w:t>
      </w:r>
      <w:r w:rsidRPr="00C0145A">
        <w:t>3</w:t>
      </w:r>
      <w:r w:rsidR="00E2635B">
        <w:t> </w:t>
      </w:r>
      <w:r w:rsidRPr="00C0145A">
        <w:t>300</w:t>
      </w:r>
      <w:r w:rsidR="00E2635B">
        <w:t> </w:t>
      </w:r>
      <w:r w:rsidRPr="00C0145A">
        <w:t xml:space="preserve">participants, ce qui fait de la CMR-19 la plus grande conférence </w:t>
      </w:r>
      <w:r w:rsidR="006B44BD">
        <w:t xml:space="preserve">mondiale </w:t>
      </w:r>
      <w:r w:rsidRPr="00C0145A">
        <w:t>des radiocommunications</w:t>
      </w:r>
      <w:r w:rsidR="006B44BD">
        <w:t xml:space="preserve"> jamais organisée</w:t>
      </w:r>
      <w:r w:rsidRPr="00C0145A">
        <w:t>.</w:t>
      </w:r>
      <w:bookmarkEnd w:id="16"/>
    </w:p>
    <w:p w14:paraId="1F92BCFB" w14:textId="2730F7F2" w:rsidR="001466AA" w:rsidRPr="00C0145A" w:rsidRDefault="001466AA" w:rsidP="001466AA">
      <w:pPr>
        <w:rPr>
          <w:szCs w:val="24"/>
        </w:rPr>
      </w:pPr>
      <w:r w:rsidRPr="00C0145A">
        <w:rPr>
          <w:szCs w:val="24"/>
        </w:rPr>
        <w:t>1.2</w:t>
      </w:r>
      <w:r w:rsidRPr="00C0145A">
        <w:rPr>
          <w:szCs w:val="24"/>
        </w:rPr>
        <w:tab/>
      </w:r>
      <w:bookmarkStart w:id="17" w:name="lt_pId086"/>
      <w:r w:rsidRPr="00C0145A">
        <w:rPr>
          <w:szCs w:val="24"/>
        </w:rPr>
        <w:t xml:space="preserve">Le </w:t>
      </w:r>
      <w:r w:rsidRPr="00C0145A">
        <w:rPr>
          <w:b/>
          <w:bCs/>
          <w:szCs w:val="24"/>
        </w:rPr>
        <w:t>Président</w:t>
      </w:r>
      <w:r w:rsidRPr="00C0145A">
        <w:rPr>
          <w:szCs w:val="24"/>
        </w:rPr>
        <w:t xml:space="preserve"> informe les participants à la Conférence que les Commissions 4, 5 et 6 ont conclu leurs séances, </w:t>
      </w:r>
      <w:r w:rsidRPr="00FE355F">
        <w:rPr>
          <w:szCs w:val="24"/>
        </w:rPr>
        <w:t xml:space="preserve">ayant </w:t>
      </w:r>
      <w:r>
        <w:rPr>
          <w:szCs w:val="24"/>
        </w:rPr>
        <w:t>achevé leurs travaux concernant bon nombre de</w:t>
      </w:r>
      <w:r w:rsidR="006B44BD">
        <w:rPr>
          <w:szCs w:val="24"/>
        </w:rPr>
        <w:t>s</w:t>
      </w:r>
      <w:r>
        <w:rPr>
          <w:szCs w:val="24"/>
        </w:rPr>
        <w:t xml:space="preserve"> points de l'ordre du jour dont l'examen leur avait été confié</w:t>
      </w:r>
      <w:r w:rsidRPr="00C0145A">
        <w:rPr>
          <w:szCs w:val="24"/>
        </w:rPr>
        <w:t>.</w:t>
      </w:r>
      <w:bookmarkEnd w:id="17"/>
      <w:r w:rsidRPr="00C0145A">
        <w:rPr>
          <w:szCs w:val="24"/>
        </w:rPr>
        <w:t xml:space="preserve"> </w:t>
      </w:r>
      <w:bookmarkStart w:id="18" w:name="lt_pId087"/>
      <w:r w:rsidRPr="00C0145A">
        <w:rPr>
          <w:szCs w:val="24"/>
        </w:rPr>
        <w:t>Des groupes ad hoc de la plénière seront créés afin de traiter les éventuelles questions laissées en suspens.</w:t>
      </w:r>
      <w:bookmarkEnd w:id="18"/>
      <w:r w:rsidRPr="00C0145A">
        <w:rPr>
          <w:szCs w:val="24"/>
        </w:rPr>
        <w:t xml:space="preserve"> </w:t>
      </w:r>
      <w:bookmarkStart w:id="19" w:name="lt_pId088"/>
      <w:r w:rsidR="006B44BD">
        <w:rPr>
          <w:szCs w:val="24"/>
        </w:rPr>
        <w:t xml:space="preserve">Ces groupes soumettront les résultats de </w:t>
      </w:r>
      <w:r w:rsidRPr="00C0145A">
        <w:rPr>
          <w:szCs w:val="24"/>
        </w:rPr>
        <w:t>leurs travaux</w:t>
      </w:r>
      <w:r w:rsidR="006B44BD">
        <w:rPr>
          <w:szCs w:val="24"/>
        </w:rPr>
        <w:t xml:space="preserve"> </w:t>
      </w:r>
      <w:r w:rsidRPr="00C0145A">
        <w:rPr>
          <w:szCs w:val="24"/>
        </w:rPr>
        <w:t xml:space="preserve">directement </w:t>
      </w:r>
      <w:r w:rsidR="006B44BD" w:rsidRPr="00C0145A">
        <w:rPr>
          <w:szCs w:val="24"/>
        </w:rPr>
        <w:t xml:space="preserve">à la Commission 7 </w:t>
      </w:r>
      <w:r w:rsidRPr="00C0145A">
        <w:rPr>
          <w:szCs w:val="24"/>
        </w:rPr>
        <w:t>pour examen à une séance plénière ultérieure.</w:t>
      </w:r>
      <w:bookmarkEnd w:id="19"/>
      <w:r w:rsidRPr="00C0145A">
        <w:rPr>
          <w:szCs w:val="24"/>
        </w:rPr>
        <w:t xml:space="preserve"> </w:t>
      </w:r>
    </w:p>
    <w:p w14:paraId="5B68AE57" w14:textId="77777777" w:rsidR="001466AA" w:rsidRPr="00C0145A" w:rsidRDefault="001466AA" w:rsidP="001466AA">
      <w:pPr>
        <w:pStyle w:val="Heading1"/>
        <w:rPr>
          <w:szCs w:val="28"/>
        </w:rPr>
      </w:pPr>
      <w:r w:rsidRPr="00C0145A">
        <w:rPr>
          <w:szCs w:val="28"/>
        </w:rPr>
        <w:t>2</w:t>
      </w:r>
      <w:r w:rsidRPr="00C0145A">
        <w:rPr>
          <w:szCs w:val="28"/>
        </w:rPr>
        <w:tab/>
      </w:r>
      <w:bookmarkStart w:id="20" w:name="lt_pId090"/>
      <w:r w:rsidRPr="00C0145A">
        <w:rPr>
          <w:szCs w:val="28"/>
        </w:rPr>
        <w:t>Rapports verbaux des Présidents des Commissions et de la Présidente du Groupe ad hoc de la plénière</w:t>
      </w:r>
      <w:bookmarkEnd w:id="20"/>
    </w:p>
    <w:p w14:paraId="59F5328B" w14:textId="77777777" w:rsidR="001466AA" w:rsidRPr="00C0145A" w:rsidRDefault="001466AA" w:rsidP="001466AA">
      <w:pPr>
        <w:rPr>
          <w:szCs w:val="24"/>
        </w:rPr>
      </w:pPr>
      <w:r w:rsidRPr="00C0145A">
        <w:rPr>
          <w:szCs w:val="24"/>
        </w:rPr>
        <w:t>2.1</w:t>
      </w:r>
      <w:r w:rsidRPr="00C0145A">
        <w:rPr>
          <w:szCs w:val="24"/>
        </w:rPr>
        <w:tab/>
      </w:r>
      <w:bookmarkStart w:id="21" w:name="lt_pId092"/>
      <w:r w:rsidRPr="00C0145A">
        <w:rPr>
          <w:szCs w:val="24"/>
        </w:rPr>
        <w:t xml:space="preserve">Le </w:t>
      </w:r>
      <w:r w:rsidRPr="00C0145A">
        <w:rPr>
          <w:b/>
          <w:bCs/>
          <w:szCs w:val="24"/>
        </w:rPr>
        <w:t>Président de la Commission 2</w:t>
      </w:r>
      <w:r w:rsidRPr="00C0145A">
        <w:rPr>
          <w:szCs w:val="24"/>
        </w:rPr>
        <w:t xml:space="preserve"> fait savoir que sa commission a reçu et approuvé cinq nouveaux pouvoirs. Le Document 247 </w:t>
      </w:r>
      <w:r>
        <w:rPr>
          <w:szCs w:val="24"/>
        </w:rPr>
        <w:t>a été</w:t>
      </w:r>
      <w:r w:rsidRPr="00C0145A">
        <w:rPr>
          <w:szCs w:val="24"/>
        </w:rPr>
        <w:t xml:space="preserve"> modifié en conséquence. </w:t>
      </w:r>
      <w:bookmarkEnd w:id="21"/>
    </w:p>
    <w:p w14:paraId="2EA0F0C3" w14:textId="77777777" w:rsidR="001466AA" w:rsidRPr="00C0145A" w:rsidRDefault="001466AA" w:rsidP="001466AA">
      <w:pPr>
        <w:rPr>
          <w:szCs w:val="24"/>
        </w:rPr>
      </w:pPr>
      <w:r w:rsidRPr="00C0145A">
        <w:rPr>
          <w:szCs w:val="24"/>
        </w:rPr>
        <w:t>2.2</w:t>
      </w:r>
      <w:r w:rsidRPr="00C0145A">
        <w:rPr>
          <w:szCs w:val="24"/>
        </w:rPr>
        <w:tab/>
      </w:r>
      <w:bookmarkStart w:id="22" w:name="lt_pId094"/>
      <w:r w:rsidRPr="00C0145A">
        <w:rPr>
          <w:szCs w:val="24"/>
        </w:rPr>
        <w:t xml:space="preserve">Il est </w:t>
      </w:r>
      <w:r w:rsidRPr="00CF00FF">
        <w:rPr>
          <w:b/>
          <w:bCs/>
          <w:szCs w:val="24"/>
        </w:rPr>
        <w:t>pris note</w:t>
      </w:r>
      <w:r w:rsidRPr="00C0145A">
        <w:rPr>
          <w:szCs w:val="24"/>
        </w:rPr>
        <w:t xml:space="preserve"> du rapport verbal du Président de la Commission 2.</w:t>
      </w:r>
      <w:bookmarkEnd w:id="22"/>
    </w:p>
    <w:p w14:paraId="6F4142C0" w14:textId="0A371D70" w:rsidR="001466AA" w:rsidRPr="00C0145A" w:rsidRDefault="001466AA" w:rsidP="001466AA">
      <w:pPr>
        <w:rPr>
          <w:szCs w:val="24"/>
        </w:rPr>
      </w:pPr>
      <w:r w:rsidRPr="00C0145A">
        <w:rPr>
          <w:szCs w:val="24"/>
        </w:rPr>
        <w:t>2.3</w:t>
      </w:r>
      <w:r w:rsidRPr="00C0145A">
        <w:rPr>
          <w:szCs w:val="24"/>
        </w:rPr>
        <w:tab/>
      </w:r>
      <w:bookmarkStart w:id="23" w:name="lt_pId096"/>
      <w:r w:rsidRPr="00C0145A">
        <w:rPr>
          <w:szCs w:val="24"/>
        </w:rPr>
        <w:t xml:space="preserve">Le </w:t>
      </w:r>
      <w:r w:rsidRPr="00C0145A">
        <w:rPr>
          <w:b/>
          <w:bCs/>
          <w:szCs w:val="24"/>
        </w:rPr>
        <w:t>Président de la Commission 3</w:t>
      </w:r>
      <w:r w:rsidRPr="00C0145A">
        <w:rPr>
          <w:szCs w:val="24"/>
        </w:rPr>
        <w:t xml:space="preserve"> indique que sa commission a tenu sa dernière séance la veille au matin </w:t>
      </w:r>
      <w:r>
        <w:rPr>
          <w:szCs w:val="24"/>
        </w:rPr>
        <w:t>et préparé</w:t>
      </w:r>
      <w:r w:rsidRPr="00C0145A">
        <w:rPr>
          <w:szCs w:val="24"/>
        </w:rPr>
        <w:t xml:space="preserve"> un projet de rapport.</w:t>
      </w:r>
      <w:bookmarkEnd w:id="23"/>
      <w:r w:rsidRPr="00C0145A">
        <w:rPr>
          <w:szCs w:val="24"/>
        </w:rPr>
        <w:t xml:space="preserve"> </w:t>
      </w:r>
      <w:bookmarkStart w:id="24" w:name="lt_pId097"/>
      <w:r w:rsidRPr="00C0145A">
        <w:rPr>
          <w:szCs w:val="24"/>
        </w:rPr>
        <w:t>Elle attend toutefois d</w:t>
      </w:r>
      <w:r>
        <w:rPr>
          <w:szCs w:val="24"/>
        </w:rPr>
        <w:t>'</w:t>
      </w:r>
      <w:r w:rsidRPr="00C0145A">
        <w:rPr>
          <w:szCs w:val="24"/>
        </w:rPr>
        <w:t>obtenir des informations et des résultats issus des discussions menées par d</w:t>
      </w:r>
      <w:r>
        <w:rPr>
          <w:szCs w:val="24"/>
        </w:rPr>
        <w:t>'</w:t>
      </w:r>
      <w:r w:rsidRPr="00C0145A">
        <w:rPr>
          <w:szCs w:val="24"/>
        </w:rPr>
        <w:t>autres commissions susceptibles d</w:t>
      </w:r>
      <w:r>
        <w:rPr>
          <w:szCs w:val="24"/>
        </w:rPr>
        <w:t>'</w:t>
      </w:r>
      <w:r w:rsidRPr="00C0145A">
        <w:rPr>
          <w:szCs w:val="24"/>
        </w:rPr>
        <w:t>avoir des incidences sur le niveau des dépenses de l</w:t>
      </w:r>
      <w:r>
        <w:rPr>
          <w:szCs w:val="24"/>
        </w:rPr>
        <w:t>'</w:t>
      </w:r>
      <w:r w:rsidRPr="00C0145A">
        <w:rPr>
          <w:szCs w:val="24"/>
        </w:rPr>
        <w:t>Union tel qu</w:t>
      </w:r>
      <w:r>
        <w:rPr>
          <w:szCs w:val="24"/>
        </w:rPr>
        <w:t>'</w:t>
      </w:r>
      <w:r w:rsidRPr="00C0145A">
        <w:rPr>
          <w:szCs w:val="24"/>
        </w:rPr>
        <w:t>approuvé par le Conseil.</w:t>
      </w:r>
      <w:bookmarkEnd w:id="24"/>
      <w:r w:rsidRPr="00C0145A">
        <w:rPr>
          <w:szCs w:val="24"/>
        </w:rPr>
        <w:t xml:space="preserve"> </w:t>
      </w:r>
      <w:bookmarkStart w:id="25" w:name="lt_pId098"/>
      <w:r w:rsidRPr="00C0145A">
        <w:rPr>
          <w:szCs w:val="24"/>
        </w:rPr>
        <w:t>Le rapport sera modifié en conséquence.</w:t>
      </w:r>
      <w:bookmarkEnd w:id="25"/>
      <w:r w:rsidRPr="00C0145A">
        <w:rPr>
          <w:szCs w:val="24"/>
        </w:rPr>
        <w:t xml:space="preserve"> </w:t>
      </w:r>
    </w:p>
    <w:p w14:paraId="35AABEC1" w14:textId="77777777" w:rsidR="001466AA" w:rsidRPr="00C0145A" w:rsidRDefault="001466AA" w:rsidP="001466AA">
      <w:pPr>
        <w:rPr>
          <w:szCs w:val="24"/>
        </w:rPr>
      </w:pPr>
      <w:r w:rsidRPr="00C0145A">
        <w:rPr>
          <w:szCs w:val="24"/>
        </w:rPr>
        <w:t>2.4</w:t>
      </w:r>
      <w:r w:rsidRPr="00C0145A">
        <w:rPr>
          <w:szCs w:val="24"/>
        </w:rPr>
        <w:tab/>
      </w:r>
      <w:bookmarkStart w:id="26" w:name="lt_pId100"/>
      <w:r w:rsidRPr="00C0145A">
        <w:rPr>
          <w:szCs w:val="24"/>
        </w:rPr>
        <w:t xml:space="preserve">Il est </w:t>
      </w:r>
      <w:r w:rsidRPr="00765AE6">
        <w:rPr>
          <w:b/>
          <w:bCs/>
          <w:szCs w:val="24"/>
        </w:rPr>
        <w:t>pris note</w:t>
      </w:r>
      <w:r w:rsidRPr="00C0145A">
        <w:rPr>
          <w:szCs w:val="24"/>
        </w:rPr>
        <w:t xml:space="preserve"> du rapport verbal du Président de la Commission 3.</w:t>
      </w:r>
      <w:bookmarkEnd w:id="26"/>
    </w:p>
    <w:p w14:paraId="7264C774" w14:textId="51EDC855" w:rsidR="001466AA" w:rsidRPr="00C0145A" w:rsidRDefault="001466AA" w:rsidP="001466AA">
      <w:pPr>
        <w:rPr>
          <w:szCs w:val="24"/>
        </w:rPr>
      </w:pPr>
      <w:r w:rsidRPr="00C0145A">
        <w:rPr>
          <w:szCs w:val="24"/>
        </w:rPr>
        <w:t>2.5</w:t>
      </w:r>
      <w:r w:rsidRPr="00C0145A">
        <w:rPr>
          <w:szCs w:val="24"/>
        </w:rPr>
        <w:tab/>
      </w:r>
      <w:bookmarkStart w:id="27" w:name="lt_pId102"/>
      <w:r w:rsidRPr="00C0145A">
        <w:rPr>
          <w:szCs w:val="24"/>
        </w:rPr>
        <w:t xml:space="preserve">Le </w:t>
      </w:r>
      <w:r w:rsidRPr="00C0145A">
        <w:rPr>
          <w:b/>
          <w:bCs/>
          <w:szCs w:val="24"/>
        </w:rPr>
        <w:t>Président de la Commission 4</w:t>
      </w:r>
      <w:r w:rsidRPr="00C0145A">
        <w:rPr>
          <w:szCs w:val="24"/>
        </w:rPr>
        <w:t xml:space="preserve"> </w:t>
      </w:r>
      <w:r>
        <w:rPr>
          <w:szCs w:val="24"/>
        </w:rPr>
        <w:t>signale</w:t>
      </w:r>
      <w:r w:rsidRPr="00C0145A">
        <w:rPr>
          <w:szCs w:val="24"/>
        </w:rPr>
        <w:t xml:space="preserve"> que sa commission s</w:t>
      </w:r>
      <w:r>
        <w:rPr>
          <w:szCs w:val="24"/>
        </w:rPr>
        <w:t>'</w:t>
      </w:r>
      <w:r w:rsidRPr="00C0145A">
        <w:rPr>
          <w:szCs w:val="24"/>
        </w:rPr>
        <w:t>est réunie trois fois depuis la précédente séance plénière et qu</w:t>
      </w:r>
      <w:r>
        <w:rPr>
          <w:szCs w:val="24"/>
        </w:rPr>
        <w:t>'</w:t>
      </w:r>
      <w:r w:rsidRPr="00C0145A">
        <w:rPr>
          <w:szCs w:val="24"/>
        </w:rPr>
        <w:t>elle a résolu la plupart des questions dont l</w:t>
      </w:r>
      <w:r>
        <w:rPr>
          <w:szCs w:val="24"/>
        </w:rPr>
        <w:t>'</w:t>
      </w:r>
      <w:r w:rsidRPr="00C0145A">
        <w:rPr>
          <w:szCs w:val="24"/>
        </w:rPr>
        <w:t>examen lui avait été confié, mais que certains points de l</w:t>
      </w:r>
      <w:r>
        <w:rPr>
          <w:szCs w:val="24"/>
        </w:rPr>
        <w:t>'</w:t>
      </w:r>
      <w:r w:rsidRPr="00C0145A">
        <w:rPr>
          <w:szCs w:val="24"/>
        </w:rPr>
        <w:t>ordre du jour restent en suspens, à savoir les points</w:t>
      </w:r>
      <w:r w:rsidR="00E2635B">
        <w:rPr>
          <w:szCs w:val="24"/>
        </w:rPr>
        <w:t> </w:t>
      </w:r>
      <w:r w:rsidRPr="00C0145A">
        <w:rPr>
          <w:szCs w:val="24"/>
        </w:rPr>
        <w:t xml:space="preserve">1.13, 1.16, 1.14 (qui </w:t>
      </w:r>
      <w:r w:rsidR="006B44BD">
        <w:rPr>
          <w:szCs w:val="24"/>
        </w:rPr>
        <w:t>a</w:t>
      </w:r>
      <w:r w:rsidRPr="00C0145A">
        <w:rPr>
          <w:szCs w:val="24"/>
        </w:rPr>
        <w:t xml:space="preserve"> été résolu pour certaines bandes de fréquences, mais pas toutes) et 1.8 (pour lequel la commission a pris une décision concernant la Question A mais pas la Question B) de l</w:t>
      </w:r>
      <w:r>
        <w:rPr>
          <w:szCs w:val="24"/>
        </w:rPr>
        <w:t>'</w:t>
      </w:r>
      <w:r w:rsidRPr="00C0145A">
        <w:rPr>
          <w:szCs w:val="24"/>
        </w:rPr>
        <w:t>ordre du jour.</w:t>
      </w:r>
      <w:bookmarkEnd w:id="27"/>
      <w:r w:rsidRPr="00C0145A">
        <w:rPr>
          <w:szCs w:val="24"/>
        </w:rPr>
        <w:t xml:space="preserve"> </w:t>
      </w:r>
      <w:bookmarkStart w:id="28" w:name="lt_pId103"/>
      <w:r w:rsidRPr="00C0145A">
        <w:rPr>
          <w:szCs w:val="24"/>
        </w:rPr>
        <w:t>Les points 1.1 et 9.1.5 de l</w:t>
      </w:r>
      <w:r>
        <w:rPr>
          <w:szCs w:val="24"/>
        </w:rPr>
        <w:t>'</w:t>
      </w:r>
      <w:r w:rsidRPr="00C0145A">
        <w:rPr>
          <w:szCs w:val="24"/>
        </w:rPr>
        <w:t>ordre du jour font l</w:t>
      </w:r>
      <w:r>
        <w:rPr>
          <w:szCs w:val="24"/>
        </w:rPr>
        <w:t>'</w:t>
      </w:r>
      <w:r w:rsidRPr="00C0145A">
        <w:rPr>
          <w:szCs w:val="24"/>
        </w:rPr>
        <w:t>objet de documents soumis pour approbation à la présente séance plénière.</w:t>
      </w:r>
      <w:bookmarkEnd w:id="28"/>
      <w:r w:rsidRPr="00C0145A">
        <w:rPr>
          <w:szCs w:val="24"/>
        </w:rPr>
        <w:t xml:space="preserve"> </w:t>
      </w:r>
      <w:bookmarkStart w:id="29" w:name="lt_pId104"/>
      <w:r w:rsidRPr="00C0145A">
        <w:rPr>
          <w:szCs w:val="24"/>
        </w:rPr>
        <w:t xml:space="preserve">La commission demande que le Document 402 soit examiné </w:t>
      </w:r>
      <w:r w:rsidR="006B44BD">
        <w:rPr>
          <w:szCs w:val="24"/>
        </w:rPr>
        <w:t>conjoi</w:t>
      </w:r>
      <w:r w:rsidR="003C62D8">
        <w:rPr>
          <w:szCs w:val="24"/>
        </w:rPr>
        <w:t>n</w:t>
      </w:r>
      <w:r w:rsidR="006B44BD">
        <w:rPr>
          <w:szCs w:val="24"/>
        </w:rPr>
        <w:t xml:space="preserve">tement </w:t>
      </w:r>
      <w:r w:rsidRPr="00C0145A">
        <w:rPr>
          <w:szCs w:val="24"/>
        </w:rPr>
        <w:t>avec le Document 326</w:t>
      </w:r>
      <w:r>
        <w:rPr>
          <w:szCs w:val="24"/>
        </w:rPr>
        <w:t>,</w:t>
      </w:r>
      <w:r w:rsidRPr="00C0145A">
        <w:rPr>
          <w:szCs w:val="24"/>
        </w:rPr>
        <w:t xml:space="preserve"> à une séance plénière ultérieure.</w:t>
      </w:r>
      <w:bookmarkEnd w:id="29"/>
    </w:p>
    <w:p w14:paraId="1F44A913" w14:textId="27ECD74C" w:rsidR="001466AA" w:rsidRPr="00C0145A" w:rsidRDefault="001466AA" w:rsidP="001466AA">
      <w:pPr>
        <w:rPr>
          <w:szCs w:val="24"/>
        </w:rPr>
      </w:pPr>
      <w:r w:rsidRPr="00C0145A">
        <w:rPr>
          <w:szCs w:val="24"/>
        </w:rPr>
        <w:t>2.6</w:t>
      </w:r>
      <w:r w:rsidRPr="00C0145A">
        <w:rPr>
          <w:szCs w:val="24"/>
        </w:rPr>
        <w:tab/>
      </w:r>
      <w:bookmarkStart w:id="30" w:name="lt_pId106"/>
      <w:r w:rsidRPr="00C0145A">
        <w:rPr>
          <w:szCs w:val="24"/>
        </w:rPr>
        <w:t>Afin de traiter les points de l</w:t>
      </w:r>
      <w:r>
        <w:rPr>
          <w:szCs w:val="24"/>
        </w:rPr>
        <w:t>'</w:t>
      </w:r>
      <w:r w:rsidRPr="00C0145A">
        <w:rPr>
          <w:szCs w:val="24"/>
        </w:rPr>
        <w:t>ordre du jour que la Commission 4 a laissés en suspens, le</w:t>
      </w:r>
      <w:r w:rsidR="003C62D8">
        <w:rPr>
          <w:szCs w:val="24"/>
        </w:rPr>
        <w:t> </w:t>
      </w:r>
      <w:r w:rsidRPr="00765AE6">
        <w:rPr>
          <w:b/>
          <w:bCs/>
          <w:szCs w:val="24"/>
        </w:rPr>
        <w:t xml:space="preserve">Président </w:t>
      </w:r>
      <w:r w:rsidRPr="00C0145A">
        <w:rPr>
          <w:szCs w:val="24"/>
        </w:rPr>
        <w:t>propose de créer les Groupes ad hoc de la plénière suivants: 4A, convoqué par M.</w:t>
      </w:r>
      <w:r w:rsidR="00E2635B">
        <w:rPr>
          <w:szCs w:val="24"/>
        </w:rPr>
        <w:t> </w:t>
      </w:r>
      <w:r>
        <w:rPr>
          <w:szCs w:val="24"/>
        </w:rPr>
        <w:t>M.</w:t>
      </w:r>
      <w:r w:rsidR="00E2635B">
        <w:rPr>
          <w:szCs w:val="24"/>
        </w:rPr>
        <w:t> </w:t>
      </w:r>
      <w:r w:rsidRPr="00C0145A">
        <w:rPr>
          <w:szCs w:val="24"/>
        </w:rPr>
        <w:t>Krämer (Allemagne) et chargé d</w:t>
      </w:r>
      <w:r>
        <w:rPr>
          <w:szCs w:val="24"/>
        </w:rPr>
        <w:t>'</w:t>
      </w:r>
      <w:r w:rsidRPr="00C0145A">
        <w:rPr>
          <w:szCs w:val="24"/>
        </w:rPr>
        <w:t>examiner le point 1.13 de l</w:t>
      </w:r>
      <w:r>
        <w:rPr>
          <w:szCs w:val="24"/>
        </w:rPr>
        <w:t>'</w:t>
      </w:r>
      <w:r w:rsidRPr="00C0145A">
        <w:rPr>
          <w:szCs w:val="24"/>
        </w:rPr>
        <w:t>ordre du jour; 4B1, convoqué par M. M. Girouard (Canada) et chargé d</w:t>
      </w:r>
      <w:r>
        <w:rPr>
          <w:szCs w:val="24"/>
        </w:rPr>
        <w:t>'</w:t>
      </w:r>
      <w:r w:rsidRPr="00C0145A">
        <w:rPr>
          <w:szCs w:val="24"/>
        </w:rPr>
        <w:t>examiner le point 1.14 de l</w:t>
      </w:r>
      <w:r>
        <w:rPr>
          <w:szCs w:val="24"/>
        </w:rPr>
        <w:t>'</w:t>
      </w:r>
      <w:r w:rsidRPr="00C0145A">
        <w:rPr>
          <w:szCs w:val="24"/>
        </w:rPr>
        <w:t>ordre du jour; 4B2, convoqué par M. S. Talbot (Royaume-Uni) et chargé d</w:t>
      </w:r>
      <w:r>
        <w:rPr>
          <w:szCs w:val="24"/>
        </w:rPr>
        <w:t>'</w:t>
      </w:r>
      <w:r w:rsidRPr="00C0145A">
        <w:rPr>
          <w:szCs w:val="24"/>
        </w:rPr>
        <w:t>examiner le point 1.16 de l</w:t>
      </w:r>
      <w:r>
        <w:rPr>
          <w:szCs w:val="24"/>
        </w:rPr>
        <w:t>'</w:t>
      </w:r>
      <w:r w:rsidRPr="00C0145A">
        <w:rPr>
          <w:szCs w:val="24"/>
        </w:rPr>
        <w:t xml:space="preserve">ordre du jour; et 4C, convoqué par M. A. </w:t>
      </w:r>
      <w:r w:rsidR="0048287E" w:rsidRPr="0048287E">
        <w:rPr>
          <w:bCs/>
          <w:szCs w:val="24"/>
        </w:rPr>
        <w:t>El Hadjar (</w:t>
      </w:r>
      <w:r w:rsidR="0048287E" w:rsidRPr="0048287E">
        <w:rPr>
          <w:szCs w:val="24"/>
        </w:rPr>
        <w:t>Cameroun</w:t>
      </w:r>
      <w:r w:rsidR="0048287E" w:rsidRPr="0048287E">
        <w:rPr>
          <w:bCs/>
          <w:szCs w:val="24"/>
        </w:rPr>
        <w:t>)</w:t>
      </w:r>
      <w:r w:rsidR="0048287E" w:rsidRPr="0048287E">
        <w:rPr>
          <w:bCs/>
          <w:szCs w:val="24"/>
          <w:u w:val="single"/>
        </w:rPr>
        <w:t xml:space="preserve"> </w:t>
      </w:r>
      <w:r w:rsidRPr="00C0145A">
        <w:rPr>
          <w:szCs w:val="24"/>
        </w:rPr>
        <w:t>et chargé d</w:t>
      </w:r>
      <w:r>
        <w:rPr>
          <w:szCs w:val="24"/>
        </w:rPr>
        <w:t>'</w:t>
      </w:r>
      <w:r w:rsidRPr="00C0145A">
        <w:rPr>
          <w:szCs w:val="24"/>
        </w:rPr>
        <w:t>examiner le point 1.8 (Question B) de l</w:t>
      </w:r>
      <w:r>
        <w:rPr>
          <w:szCs w:val="24"/>
        </w:rPr>
        <w:t>'</w:t>
      </w:r>
      <w:r w:rsidRPr="00C0145A">
        <w:rPr>
          <w:szCs w:val="24"/>
        </w:rPr>
        <w:t>ordre du jour.</w:t>
      </w:r>
      <w:bookmarkEnd w:id="30"/>
      <w:r w:rsidRPr="00C0145A">
        <w:rPr>
          <w:szCs w:val="24"/>
        </w:rPr>
        <w:t xml:space="preserve"> </w:t>
      </w:r>
    </w:p>
    <w:p w14:paraId="2817022A" w14:textId="77777777" w:rsidR="001466AA" w:rsidRPr="00C0145A" w:rsidRDefault="001466AA" w:rsidP="001466AA">
      <w:pPr>
        <w:rPr>
          <w:szCs w:val="24"/>
        </w:rPr>
      </w:pPr>
      <w:r w:rsidRPr="00C0145A">
        <w:rPr>
          <w:szCs w:val="24"/>
        </w:rPr>
        <w:t>2.7</w:t>
      </w:r>
      <w:r w:rsidRPr="00C0145A">
        <w:rPr>
          <w:szCs w:val="24"/>
        </w:rPr>
        <w:tab/>
      </w:r>
      <w:bookmarkStart w:id="31" w:name="lt_pId108"/>
      <w:r w:rsidRPr="00C0145A">
        <w:rPr>
          <w:szCs w:val="24"/>
        </w:rPr>
        <w:t xml:space="preserve">Il en est ainsi </w:t>
      </w:r>
      <w:r w:rsidRPr="00765AE6">
        <w:rPr>
          <w:b/>
          <w:bCs/>
          <w:szCs w:val="24"/>
        </w:rPr>
        <w:t>décidé</w:t>
      </w:r>
      <w:r w:rsidRPr="00C0145A">
        <w:rPr>
          <w:szCs w:val="24"/>
        </w:rPr>
        <w:t>.</w:t>
      </w:r>
      <w:bookmarkEnd w:id="31"/>
    </w:p>
    <w:p w14:paraId="15BACAF2" w14:textId="77777777" w:rsidR="001466AA" w:rsidRPr="00C0145A" w:rsidRDefault="001466AA" w:rsidP="001466AA">
      <w:pPr>
        <w:rPr>
          <w:szCs w:val="24"/>
        </w:rPr>
      </w:pPr>
      <w:r w:rsidRPr="00C0145A">
        <w:rPr>
          <w:szCs w:val="24"/>
        </w:rPr>
        <w:t>2.8</w:t>
      </w:r>
      <w:r w:rsidRPr="00C0145A">
        <w:rPr>
          <w:szCs w:val="24"/>
        </w:rPr>
        <w:tab/>
      </w:r>
      <w:bookmarkStart w:id="32" w:name="lt_pId110"/>
      <w:r w:rsidRPr="00C0145A">
        <w:rPr>
          <w:szCs w:val="24"/>
        </w:rPr>
        <w:t xml:space="preserve">Il est </w:t>
      </w:r>
      <w:r w:rsidRPr="00765AE6">
        <w:rPr>
          <w:b/>
          <w:bCs/>
          <w:szCs w:val="24"/>
        </w:rPr>
        <w:t>pris note</w:t>
      </w:r>
      <w:r w:rsidRPr="00C0145A">
        <w:rPr>
          <w:szCs w:val="24"/>
        </w:rPr>
        <w:t xml:space="preserve"> du rapport verbal du Président de la Commission 4.</w:t>
      </w:r>
      <w:bookmarkEnd w:id="32"/>
    </w:p>
    <w:p w14:paraId="3A08568B" w14:textId="3A81DAB8" w:rsidR="001466AA" w:rsidRPr="00C0145A" w:rsidRDefault="001466AA" w:rsidP="001466AA">
      <w:pPr>
        <w:rPr>
          <w:szCs w:val="24"/>
        </w:rPr>
      </w:pPr>
      <w:bookmarkStart w:id="33" w:name="_Hlk23520614"/>
      <w:r w:rsidRPr="00C0145A">
        <w:rPr>
          <w:szCs w:val="24"/>
        </w:rPr>
        <w:t>2.9</w:t>
      </w:r>
      <w:r w:rsidRPr="00C0145A">
        <w:rPr>
          <w:szCs w:val="24"/>
        </w:rPr>
        <w:tab/>
      </w:r>
      <w:bookmarkStart w:id="34" w:name="lt_pId112"/>
      <w:bookmarkEnd w:id="33"/>
      <w:r w:rsidRPr="00C0145A">
        <w:rPr>
          <w:szCs w:val="24"/>
        </w:rPr>
        <w:t xml:space="preserve">Le </w:t>
      </w:r>
      <w:r w:rsidRPr="00C0145A">
        <w:rPr>
          <w:b/>
          <w:bCs/>
          <w:szCs w:val="24"/>
        </w:rPr>
        <w:t>Président de la Commission 5</w:t>
      </w:r>
      <w:r w:rsidRPr="00C0145A">
        <w:rPr>
          <w:szCs w:val="24"/>
        </w:rPr>
        <w:t xml:space="preserve"> signale que sa commission a mené à bien ses discussions, après s</w:t>
      </w:r>
      <w:r>
        <w:rPr>
          <w:szCs w:val="24"/>
        </w:rPr>
        <w:t>'</w:t>
      </w:r>
      <w:r w:rsidRPr="00C0145A">
        <w:rPr>
          <w:szCs w:val="24"/>
        </w:rPr>
        <w:t>être réunie à trois occasions depuis la précédente séance plénière</w:t>
      </w:r>
      <w:r>
        <w:rPr>
          <w:szCs w:val="24"/>
        </w:rPr>
        <w:t>,</w:t>
      </w:r>
      <w:r w:rsidRPr="00C0145A">
        <w:rPr>
          <w:szCs w:val="24"/>
        </w:rPr>
        <w:t xml:space="preserve"> et approuvé de nombreux documents, y compris </w:t>
      </w:r>
      <w:r>
        <w:rPr>
          <w:szCs w:val="24"/>
        </w:rPr>
        <w:t>concernant</w:t>
      </w:r>
      <w:r w:rsidRPr="00C0145A">
        <w:rPr>
          <w:szCs w:val="24"/>
        </w:rPr>
        <w:t xml:space="preserve"> certains des points les plus sensibles.</w:t>
      </w:r>
      <w:bookmarkEnd w:id="34"/>
      <w:r w:rsidRPr="00C0145A">
        <w:rPr>
          <w:szCs w:val="24"/>
        </w:rPr>
        <w:t xml:space="preserve"> </w:t>
      </w:r>
      <w:bookmarkStart w:id="35" w:name="lt_pId113"/>
      <w:r w:rsidRPr="00C0145A">
        <w:rPr>
          <w:szCs w:val="24"/>
        </w:rPr>
        <w:t>Elle n</w:t>
      </w:r>
      <w:r>
        <w:rPr>
          <w:szCs w:val="24"/>
        </w:rPr>
        <w:t>'</w:t>
      </w:r>
      <w:r w:rsidRPr="00C0145A">
        <w:rPr>
          <w:szCs w:val="24"/>
        </w:rPr>
        <w:t xml:space="preserve">a cependant pas été en mesure de parvenir à un </w:t>
      </w:r>
      <w:r w:rsidR="006B44BD">
        <w:rPr>
          <w:szCs w:val="24"/>
        </w:rPr>
        <w:t xml:space="preserve">compromis </w:t>
      </w:r>
      <w:r w:rsidRPr="00C0145A">
        <w:rPr>
          <w:szCs w:val="24"/>
        </w:rPr>
        <w:t>sur les points 1.3, 1.6, 1.7 et 9.1.3 de l</w:t>
      </w:r>
      <w:r>
        <w:rPr>
          <w:szCs w:val="24"/>
        </w:rPr>
        <w:t>'</w:t>
      </w:r>
      <w:r w:rsidRPr="00C0145A">
        <w:rPr>
          <w:szCs w:val="24"/>
        </w:rPr>
        <w:t xml:space="preserve">ordre du jour, raison pour laquelle </w:t>
      </w:r>
      <w:r>
        <w:rPr>
          <w:szCs w:val="24"/>
        </w:rPr>
        <w:t>l'orateur suggère</w:t>
      </w:r>
      <w:r w:rsidRPr="00C0145A">
        <w:rPr>
          <w:szCs w:val="24"/>
        </w:rPr>
        <w:t xml:space="preserve"> de créer deux </w:t>
      </w:r>
      <w:r>
        <w:rPr>
          <w:szCs w:val="24"/>
        </w:rPr>
        <w:t>G</w:t>
      </w:r>
      <w:r w:rsidRPr="00C0145A">
        <w:rPr>
          <w:szCs w:val="24"/>
        </w:rPr>
        <w:t>roupes ad hoc de la plénière qui seront chargés d</w:t>
      </w:r>
      <w:r>
        <w:rPr>
          <w:szCs w:val="24"/>
        </w:rPr>
        <w:t>'</w:t>
      </w:r>
      <w:r w:rsidRPr="00C0145A">
        <w:rPr>
          <w:szCs w:val="24"/>
        </w:rPr>
        <w:t>examiner ces points.</w:t>
      </w:r>
      <w:bookmarkEnd w:id="35"/>
    </w:p>
    <w:p w14:paraId="6CECE7E9" w14:textId="77777777" w:rsidR="001466AA" w:rsidRPr="00C0145A" w:rsidRDefault="001466AA" w:rsidP="001466AA">
      <w:pPr>
        <w:rPr>
          <w:szCs w:val="24"/>
        </w:rPr>
      </w:pPr>
      <w:r w:rsidRPr="00C0145A">
        <w:rPr>
          <w:szCs w:val="24"/>
        </w:rPr>
        <w:lastRenderedPageBreak/>
        <w:t>2.10</w:t>
      </w:r>
      <w:r w:rsidRPr="00C0145A">
        <w:rPr>
          <w:szCs w:val="24"/>
        </w:rPr>
        <w:tab/>
      </w:r>
      <w:bookmarkStart w:id="36" w:name="lt_pId115"/>
      <w:r w:rsidRPr="00C0145A">
        <w:rPr>
          <w:szCs w:val="24"/>
        </w:rPr>
        <w:t xml:space="preserve">Le </w:t>
      </w:r>
      <w:r w:rsidRPr="00E04098">
        <w:rPr>
          <w:b/>
          <w:bCs/>
          <w:szCs w:val="24"/>
        </w:rPr>
        <w:t>Président</w:t>
      </w:r>
      <w:r w:rsidRPr="00C0145A">
        <w:rPr>
          <w:szCs w:val="24"/>
        </w:rPr>
        <w:t xml:space="preserve"> propose de créer les Groupes ad hoc de la plénière suivants: 5A, convoqué par M. A. Amin (Émirats arabes unis) et chargé d</w:t>
      </w:r>
      <w:r>
        <w:rPr>
          <w:szCs w:val="24"/>
        </w:rPr>
        <w:t>'</w:t>
      </w:r>
      <w:r w:rsidRPr="00C0145A">
        <w:rPr>
          <w:szCs w:val="24"/>
        </w:rPr>
        <w:t>examiner les points 1.6 et 9.1.3 de l</w:t>
      </w:r>
      <w:r>
        <w:rPr>
          <w:szCs w:val="24"/>
        </w:rPr>
        <w:t>'</w:t>
      </w:r>
      <w:r w:rsidRPr="00C0145A">
        <w:rPr>
          <w:szCs w:val="24"/>
        </w:rPr>
        <w:t>ordre du jour; et 5C, convoqué par M. E. Allaix (France) et chargé d</w:t>
      </w:r>
      <w:r>
        <w:rPr>
          <w:szCs w:val="24"/>
        </w:rPr>
        <w:t>'</w:t>
      </w:r>
      <w:r w:rsidRPr="00C0145A">
        <w:rPr>
          <w:szCs w:val="24"/>
        </w:rPr>
        <w:t>examiner les points 1.3 et 1.7 de l</w:t>
      </w:r>
      <w:r>
        <w:rPr>
          <w:szCs w:val="24"/>
        </w:rPr>
        <w:t>'</w:t>
      </w:r>
      <w:r w:rsidRPr="00C0145A">
        <w:rPr>
          <w:szCs w:val="24"/>
        </w:rPr>
        <w:t>ordre du jour.</w:t>
      </w:r>
      <w:bookmarkEnd w:id="36"/>
    </w:p>
    <w:p w14:paraId="5789D88B" w14:textId="77777777" w:rsidR="001466AA" w:rsidRPr="00C0145A" w:rsidRDefault="001466AA" w:rsidP="001466AA">
      <w:pPr>
        <w:rPr>
          <w:szCs w:val="24"/>
        </w:rPr>
      </w:pPr>
      <w:r w:rsidRPr="00C0145A">
        <w:rPr>
          <w:szCs w:val="24"/>
        </w:rPr>
        <w:t>2.11</w:t>
      </w:r>
      <w:r w:rsidRPr="00C0145A">
        <w:rPr>
          <w:szCs w:val="24"/>
        </w:rPr>
        <w:tab/>
      </w:r>
      <w:bookmarkStart w:id="37" w:name="lt_pId117"/>
      <w:r w:rsidRPr="00C0145A">
        <w:rPr>
          <w:szCs w:val="24"/>
        </w:rPr>
        <w:t xml:space="preserve">Il en est ainsi </w:t>
      </w:r>
      <w:r w:rsidRPr="00E04098">
        <w:rPr>
          <w:b/>
          <w:bCs/>
          <w:szCs w:val="24"/>
        </w:rPr>
        <w:t>décidé</w:t>
      </w:r>
      <w:r w:rsidRPr="00C0145A">
        <w:rPr>
          <w:szCs w:val="24"/>
        </w:rPr>
        <w:t>.</w:t>
      </w:r>
      <w:bookmarkEnd w:id="37"/>
    </w:p>
    <w:p w14:paraId="5E4532EC" w14:textId="77777777" w:rsidR="001466AA" w:rsidRPr="00C0145A" w:rsidRDefault="001466AA" w:rsidP="001466AA">
      <w:pPr>
        <w:rPr>
          <w:szCs w:val="24"/>
        </w:rPr>
      </w:pPr>
      <w:r w:rsidRPr="00C0145A">
        <w:rPr>
          <w:szCs w:val="24"/>
        </w:rPr>
        <w:t>2.12</w:t>
      </w:r>
      <w:r w:rsidRPr="00C0145A">
        <w:rPr>
          <w:szCs w:val="24"/>
        </w:rPr>
        <w:tab/>
      </w:r>
      <w:bookmarkStart w:id="38" w:name="lt_pId119"/>
      <w:r w:rsidRPr="00C0145A">
        <w:rPr>
          <w:szCs w:val="24"/>
        </w:rPr>
        <w:t xml:space="preserve">Il est </w:t>
      </w:r>
      <w:r w:rsidRPr="00657B5F">
        <w:rPr>
          <w:b/>
          <w:bCs/>
          <w:szCs w:val="24"/>
        </w:rPr>
        <w:t>pris note</w:t>
      </w:r>
      <w:r w:rsidRPr="00C0145A">
        <w:rPr>
          <w:szCs w:val="24"/>
        </w:rPr>
        <w:t xml:space="preserve"> du rapport verbal du Président de la Commission 5.</w:t>
      </w:r>
      <w:bookmarkEnd w:id="38"/>
    </w:p>
    <w:p w14:paraId="1FBF6D31" w14:textId="77777777" w:rsidR="001466AA" w:rsidRPr="00C0145A" w:rsidRDefault="001466AA" w:rsidP="001466AA">
      <w:pPr>
        <w:rPr>
          <w:szCs w:val="24"/>
        </w:rPr>
      </w:pPr>
      <w:r w:rsidRPr="00C0145A">
        <w:rPr>
          <w:szCs w:val="24"/>
        </w:rPr>
        <w:t>2.13</w:t>
      </w:r>
      <w:r w:rsidRPr="00C0145A">
        <w:rPr>
          <w:szCs w:val="24"/>
        </w:rPr>
        <w:tab/>
      </w:r>
      <w:bookmarkStart w:id="39" w:name="lt_pId121"/>
      <w:r w:rsidRPr="00C0145A">
        <w:rPr>
          <w:szCs w:val="24"/>
        </w:rPr>
        <w:t xml:space="preserve">Le </w:t>
      </w:r>
      <w:r w:rsidRPr="00C0145A">
        <w:rPr>
          <w:b/>
          <w:bCs/>
          <w:szCs w:val="24"/>
        </w:rPr>
        <w:t>Président de la Commission 6</w:t>
      </w:r>
      <w:r w:rsidRPr="00C0145A">
        <w:rPr>
          <w:szCs w:val="24"/>
        </w:rPr>
        <w:t xml:space="preserve"> fait savoir que sa commission a conclu ses séances, après avoir achevé l</w:t>
      </w:r>
      <w:r>
        <w:rPr>
          <w:szCs w:val="24"/>
        </w:rPr>
        <w:t>'</w:t>
      </w:r>
      <w:r w:rsidRPr="00C0145A">
        <w:rPr>
          <w:szCs w:val="24"/>
        </w:rPr>
        <w:t>essentiel de ses travaux, mais pas tous.</w:t>
      </w:r>
      <w:bookmarkEnd w:id="39"/>
      <w:r w:rsidRPr="00C0145A">
        <w:rPr>
          <w:szCs w:val="24"/>
        </w:rPr>
        <w:t xml:space="preserve"> </w:t>
      </w:r>
      <w:bookmarkStart w:id="40" w:name="lt_pId122"/>
      <w:r w:rsidRPr="00C0145A">
        <w:rPr>
          <w:szCs w:val="24"/>
        </w:rPr>
        <w:t>La commission soumet trois documents</w:t>
      </w:r>
      <w:r w:rsidRPr="00657B5F">
        <w:rPr>
          <w:szCs w:val="24"/>
        </w:rPr>
        <w:t xml:space="preserve"> </w:t>
      </w:r>
      <w:r w:rsidRPr="00C0145A">
        <w:rPr>
          <w:szCs w:val="24"/>
        </w:rPr>
        <w:t>pour approbation à la plénière concernant les points 2, 4</w:t>
      </w:r>
      <w:r>
        <w:rPr>
          <w:szCs w:val="24"/>
        </w:rPr>
        <w:t xml:space="preserve">, </w:t>
      </w:r>
      <w:r w:rsidRPr="00C0145A">
        <w:rPr>
          <w:szCs w:val="24"/>
        </w:rPr>
        <w:t xml:space="preserve">8 </w:t>
      </w:r>
      <w:r>
        <w:rPr>
          <w:szCs w:val="24"/>
        </w:rPr>
        <w:t>et les</w:t>
      </w:r>
      <w:r w:rsidRPr="00C0145A">
        <w:rPr>
          <w:szCs w:val="24"/>
        </w:rPr>
        <w:t xml:space="preserve"> parties pertinentes du point 9 de l</w:t>
      </w:r>
      <w:r>
        <w:rPr>
          <w:szCs w:val="24"/>
        </w:rPr>
        <w:t>'</w:t>
      </w:r>
      <w:r w:rsidRPr="00C0145A">
        <w:rPr>
          <w:szCs w:val="24"/>
        </w:rPr>
        <w:t>ordre du jour.</w:t>
      </w:r>
      <w:bookmarkEnd w:id="40"/>
      <w:r w:rsidRPr="00C0145A">
        <w:rPr>
          <w:szCs w:val="24"/>
        </w:rPr>
        <w:t xml:space="preserve"> </w:t>
      </w:r>
      <w:bookmarkStart w:id="41" w:name="lt_pId123"/>
      <w:r w:rsidRPr="00C0145A">
        <w:rPr>
          <w:szCs w:val="24"/>
        </w:rPr>
        <w:t>Même si elle a fait tout son possible, la commission n</w:t>
      </w:r>
      <w:r>
        <w:rPr>
          <w:szCs w:val="24"/>
        </w:rPr>
        <w:t>'</w:t>
      </w:r>
      <w:r w:rsidRPr="00C0145A">
        <w:rPr>
          <w:szCs w:val="24"/>
        </w:rPr>
        <w:t>a pas pu mener à bien son examen du point 10 de l</w:t>
      </w:r>
      <w:r>
        <w:rPr>
          <w:szCs w:val="24"/>
        </w:rPr>
        <w:t>'</w:t>
      </w:r>
      <w:r w:rsidRPr="00C0145A">
        <w:rPr>
          <w:szCs w:val="24"/>
        </w:rPr>
        <w:t>ordre du jour, faute de temps durant les séances.</w:t>
      </w:r>
      <w:bookmarkEnd w:id="41"/>
    </w:p>
    <w:p w14:paraId="0DCCA208" w14:textId="1E4BB846" w:rsidR="001466AA" w:rsidRPr="00C0145A" w:rsidRDefault="001466AA" w:rsidP="001466AA">
      <w:pPr>
        <w:rPr>
          <w:szCs w:val="24"/>
        </w:rPr>
      </w:pPr>
      <w:r w:rsidRPr="00C0145A">
        <w:rPr>
          <w:szCs w:val="24"/>
        </w:rPr>
        <w:t>2.14</w:t>
      </w:r>
      <w:r w:rsidRPr="00C0145A">
        <w:rPr>
          <w:szCs w:val="24"/>
        </w:rPr>
        <w:tab/>
      </w:r>
      <w:bookmarkStart w:id="42" w:name="lt_pId125"/>
      <w:r w:rsidRPr="00C0145A">
        <w:rPr>
          <w:szCs w:val="24"/>
        </w:rPr>
        <w:t xml:space="preserve">Le </w:t>
      </w:r>
      <w:r w:rsidRPr="00657B5F">
        <w:rPr>
          <w:b/>
          <w:bCs/>
          <w:szCs w:val="24"/>
        </w:rPr>
        <w:t xml:space="preserve">Président </w:t>
      </w:r>
      <w:r w:rsidRPr="00C0145A">
        <w:rPr>
          <w:szCs w:val="24"/>
        </w:rPr>
        <w:t xml:space="preserve">propose de créer </w:t>
      </w:r>
      <w:r w:rsidR="006B44BD">
        <w:rPr>
          <w:szCs w:val="24"/>
        </w:rPr>
        <w:t xml:space="preserve">le </w:t>
      </w:r>
      <w:r w:rsidRPr="00C0145A">
        <w:rPr>
          <w:szCs w:val="24"/>
        </w:rPr>
        <w:t xml:space="preserve">Groupe ad hoc </w:t>
      </w:r>
      <w:r w:rsidR="006B44BD">
        <w:rPr>
          <w:szCs w:val="24"/>
        </w:rPr>
        <w:t xml:space="preserve">6 </w:t>
      </w:r>
      <w:r w:rsidRPr="00C0145A">
        <w:rPr>
          <w:szCs w:val="24"/>
        </w:rPr>
        <w:t>de la plénière, convoqué par le Président de la Commission 6</w:t>
      </w:r>
      <w:r>
        <w:rPr>
          <w:szCs w:val="24"/>
        </w:rPr>
        <w:t xml:space="preserve">, afin </w:t>
      </w:r>
      <w:r w:rsidRPr="00C0145A">
        <w:rPr>
          <w:szCs w:val="24"/>
        </w:rPr>
        <w:t>d</w:t>
      </w:r>
      <w:r>
        <w:rPr>
          <w:szCs w:val="24"/>
        </w:rPr>
        <w:t>'</w:t>
      </w:r>
      <w:r w:rsidRPr="00C0145A">
        <w:rPr>
          <w:szCs w:val="24"/>
        </w:rPr>
        <w:t>examiner les questions laissées en suspens au titre du point 10 de l</w:t>
      </w:r>
      <w:r>
        <w:rPr>
          <w:szCs w:val="24"/>
        </w:rPr>
        <w:t>'</w:t>
      </w:r>
      <w:r w:rsidRPr="00C0145A">
        <w:rPr>
          <w:szCs w:val="24"/>
        </w:rPr>
        <w:t>ordre du jour.</w:t>
      </w:r>
      <w:bookmarkEnd w:id="42"/>
    </w:p>
    <w:p w14:paraId="7E70CD57" w14:textId="77777777" w:rsidR="001466AA" w:rsidRPr="00C0145A" w:rsidRDefault="001466AA" w:rsidP="001466AA">
      <w:pPr>
        <w:rPr>
          <w:szCs w:val="24"/>
        </w:rPr>
      </w:pPr>
      <w:r w:rsidRPr="00C0145A">
        <w:rPr>
          <w:szCs w:val="24"/>
        </w:rPr>
        <w:t>2.15</w:t>
      </w:r>
      <w:r w:rsidRPr="00C0145A">
        <w:rPr>
          <w:szCs w:val="24"/>
        </w:rPr>
        <w:tab/>
      </w:r>
      <w:bookmarkStart w:id="43" w:name="lt_pId127"/>
      <w:r w:rsidRPr="00C0145A">
        <w:rPr>
          <w:szCs w:val="24"/>
        </w:rPr>
        <w:t xml:space="preserve">Il en est ainsi </w:t>
      </w:r>
      <w:r w:rsidRPr="004C0401">
        <w:rPr>
          <w:b/>
          <w:bCs/>
          <w:szCs w:val="24"/>
        </w:rPr>
        <w:t>décidé</w:t>
      </w:r>
      <w:r w:rsidRPr="00C0145A">
        <w:rPr>
          <w:szCs w:val="24"/>
        </w:rPr>
        <w:t>.</w:t>
      </w:r>
      <w:bookmarkEnd w:id="43"/>
    </w:p>
    <w:p w14:paraId="48828AE6" w14:textId="77777777" w:rsidR="001466AA" w:rsidRPr="00765B3C" w:rsidRDefault="001466AA" w:rsidP="001466AA">
      <w:pPr>
        <w:rPr>
          <w:szCs w:val="24"/>
        </w:rPr>
      </w:pPr>
      <w:r w:rsidRPr="00C0145A">
        <w:rPr>
          <w:szCs w:val="24"/>
        </w:rPr>
        <w:t>2.16</w:t>
      </w:r>
      <w:r w:rsidRPr="00C0145A">
        <w:rPr>
          <w:szCs w:val="24"/>
        </w:rPr>
        <w:tab/>
      </w:r>
      <w:bookmarkStart w:id="44" w:name="lt_pId129"/>
      <w:r w:rsidRPr="00C0145A">
        <w:rPr>
          <w:szCs w:val="24"/>
        </w:rPr>
        <w:t xml:space="preserve">Il est </w:t>
      </w:r>
      <w:r w:rsidRPr="004C0401">
        <w:rPr>
          <w:b/>
          <w:bCs/>
          <w:szCs w:val="24"/>
        </w:rPr>
        <w:t>pris note</w:t>
      </w:r>
      <w:r w:rsidRPr="00C0145A">
        <w:rPr>
          <w:szCs w:val="24"/>
        </w:rPr>
        <w:t xml:space="preserve"> du rapport verbal du Président de la Commission 6.</w:t>
      </w:r>
      <w:bookmarkEnd w:id="44"/>
    </w:p>
    <w:p w14:paraId="531782FA" w14:textId="77777777" w:rsidR="001466AA" w:rsidRPr="00765B3C" w:rsidRDefault="001466AA" w:rsidP="001466AA">
      <w:pPr>
        <w:rPr>
          <w:szCs w:val="24"/>
        </w:rPr>
      </w:pPr>
      <w:r w:rsidRPr="00765B3C">
        <w:rPr>
          <w:szCs w:val="24"/>
        </w:rPr>
        <w:t>2.17</w:t>
      </w:r>
      <w:r w:rsidRPr="00765B3C">
        <w:rPr>
          <w:szCs w:val="24"/>
        </w:rPr>
        <w:tab/>
      </w:r>
      <w:bookmarkStart w:id="45" w:name="lt_pId131"/>
      <w:r w:rsidRPr="00765B3C">
        <w:rPr>
          <w:szCs w:val="24"/>
        </w:rPr>
        <w:t xml:space="preserve">Les </w:t>
      </w:r>
      <w:r w:rsidRPr="00D1441F">
        <w:rPr>
          <w:b/>
          <w:bCs/>
          <w:szCs w:val="24"/>
        </w:rPr>
        <w:t>Présidents des Commissions 4, 5 et 6</w:t>
      </w:r>
      <w:r w:rsidRPr="00765B3C">
        <w:rPr>
          <w:szCs w:val="24"/>
        </w:rPr>
        <w:t xml:space="preserve"> remercient et félicitent tous ceux et toutes celles qui ont contribué aux travaux fructueux de leur commission.</w:t>
      </w:r>
      <w:bookmarkEnd w:id="45"/>
    </w:p>
    <w:p w14:paraId="4808A077" w14:textId="77777777" w:rsidR="001466AA" w:rsidRPr="00765B3C" w:rsidRDefault="001466AA" w:rsidP="001466AA">
      <w:pPr>
        <w:rPr>
          <w:szCs w:val="24"/>
        </w:rPr>
      </w:pPr>
      <w:r w:rsidRPr="00765B3C">
        <w:rPr>
          <w:szCs w:val="24"/>
        </w:rPr>
        <w:t>2.18</w:t>
      </w:r>
      <w:r w:rsidRPr="00765B3C">
        <w:rPr>
          <w:szCs w:val="24"/>
        </w:rPr>
        <w:tab/>
      </w:r>
      <w:bookmarkStart w:id="46" w:name="lt_pId133"/>
      <w:r w:rsidRPr="00765B3C">
        <w:rPr>
          <w:szCs w:val="24"/>
        </w:rPr>
        <w:t xml:space="preserve">Le </w:t>
      </w:r>
      <w:r w:rsidRPr="00D1441F">
        <w:rPr>
          <w:b/>
          <w:bCs/>
          <w:szCs w:val="24"/>
        </w:rPr>
        <w:t>délégué de la République islamique d</w:t>
      </w:r>
      <w:r>
        <w:rPr>
          <w:b/>
          <w:bCs/>
          <w:szCs w:val="24"/>
        </w:rPr>
        <w:t>'</w:t>
      </w:r>
      <w:r w:rsidRPr="00D1441F">
        <w:rPr>
          <w:b/>
          <w:bCs/>
          <w:szCs w:val="24"/>
        </w:rPr>
        <w:t>Iran</w:t>
      </w:r>
      <w:r w:rsidRPr="00765B3C">
        <w:rPr>
          <w:szCs w:val="24"/>
        </w:rPr>
        <w:t xml:space="preserve"> remercie les Présidents des Commissions 4, 5 et 6 ainsi que </w:t>
      </w:r>
      <w:r>
        <w:rPr>
          <w:szCs w:val="24"/>
        </w:rPr>
        <w:t>les</w:t>
      </w:r>
      <w:r w:rsidRPr="00765B3C">
        <w:rPr>
          <w:szCs w:val="24"/>
        </w:rPr>
        <w:t xml:space="preserve"> secrétaires respectifs </w:t>
      </w:r>
      <w:r>
        <w:rPr>
          <w:szCs w:val="24"/>
        </w:rPr>
        <w:t xml:space="preserve">des commissions </w:t>
      </w:r>
      <w:r w:rsidRPr="00765B3C">
        <w:rPr>
          <w:szCs w:val="24"/>
        </w:rPr>
        <w:t>d</w:t>
      </w:r>
      <w:r>
        <w:rPr>
          <w:szCs w:val="24"/>
        </w:rPr>
        <w:t>'</w:t>
      </w:r>
      <w:r w:rsidRPr="00765B3C">
        <w:rPr>
          <w:szCs w:val="24"/>
        </w:rPr>
        <w:t>avoir déployé des efforts assidus et mis à profit leurs compétences pour s</w:t>
      </w:r>
      <w:r>
        <w:rPr>
          <w:szCs w:val="24"/>
        </w:rPr>
        <w:t>'</w:t>
      </w:r>
      <w:r w:rsidRPr="00765B3C">
        <w:rPr>
          <w:szCs w:val="24"/>
        </w:rPr>
        <w:t>acquitter au mieux du mandat qui leur avait été confié. Il remercie en particulier le Président de la Commission 5, au nom de la Télécommunauté Asie-Pacifique.</w:t>
      </w:r>
      <w:bookmarkEnd w:id="46"/>
    </w:p>
    <w:p w14:paraId="0E00C170" w14:textId="77777777" w:rsidR="001466AA" w:rsidRPr="00765B3C" w:rsidRDefault="001466AA" w:rsidP="001466AA">
      <w:pPr>
        <w:rPr>
          <w:szCs w:val="24"/>
        </w:rPr>
      </w:pPr>
      <w:r w:rsidRPr="00765B3C">
        <w:rPr>
          <w:szCs w:val="24"/>
        </w:rPr>
        <w:t>2.19</w:t>
      </w:r>
      <w:r w:rsidRPr="00765B3C">
        <w:rPr>
          <w:szCs w:val="24"/>
        </w:rPr>
        <w:tab/>
      </w:r>
      <w:bookmarkStart w:id="47" w:name="lt_pId135"/>
      <w:r w:rsidRPr="00765B3C">
        <w:rPr>
          <w:szCs w:val="24"/>
        </w:rPr>
        <w:t xml:space="preserve">Le </w:t>
      </w:r>
      <w:r w:rsidRPr="004C0401">
        <w:rPr>
          <w:b/>
          <w:bCs/>
          <w:szCs w:val="24"/>
        </w:rPr>
        <w:t xml:space="preserve">Président </w:t>
      </w:r>
      <w:r w:rsidRPr="00765B3C">
        <w:rPr>
          <w:szCs w:val="24"/>
        </w:rPr>
        <w:t>salue également les Présidents des commissions pour leurs travaux.</w:t>
      </w:r>
      <w:bookmarkEnd w:id="47"/>
    </w:p>
    <w:p w14:paraId="4E098EBF" w14:textId="1F8C8444" w:rsidR="001466AA" w:rsidRPr="00765B3C" w:rsidRDefault="001466AA" w:rsidP="001466AA">
      <w:pPr>
        <w:rPr>
          <w:szCs w:val="24"/>
        </w:rPr>
      </w:pPr>
      <w:r w:rsidRPr="00765B3C">
        <w:rPr>
          <w:szCs w:val="24"/>
        </w:rPr>
        <w:t>2.20</w:t>
      </w:r>
      <w:r w:rsidRPr="00765B3C">
        <w:rPr>
          <w:szCs w:val="24"/>
        </w:rPr>
        <w:tab/>
      </w:r>
      <w:bookmarkStart w:id="48" w:name="lt_pId137"/>
      <w:r w:rsidRPr="00765B3C">
        <w:rPr>
          <w:szCs w:val="24"/>
        </w:rPr>
        <w:t xml:space="preserve">Le </w:t>
      </w:r>
      <w:r w:rsidRPr="00D1441F">
        <w:rPr>
          <w:b/>
          <w:bCs/>
          <w:szCs w:val="24"/>
        </w:rPr>
        <w:t>Président de la Commission 7</w:t>
      </w:r>
      <w:r w:rsidRPr="00765B3C">
        <w:rPr>
          <w:szCs w:val="24"/>
        </w:rPr>
        <w:t xml:space="preserve"> indique que sa commission s</w:t>
      </w:r>
      <w:r>
        <w:rPr>
          <w:szCs w:val="24"/>
        </w:rPr>
        <w:t>'</w:t>
      </w:r>
      <w:r w:rsidRPr="00765B3C">
        <w:rPr>
          <w:szCs w:val="24"/>
        </w:rPr>
        <w:t xml:space="preserve">est réunie à trois reprises depuis la précédente séance plénière et </w:t>
      </w:r>
      <w:r w:rsidRPr="007443EC">
        <w:rPr>
          <w:szCs w:val="24"/>
        </w:rPr>
        <w:t xml:space="preserve">qu'elle soumet </w:t>
      </w:r>
      <w:r w:rsidR="006B44BD">
        <w:rPr>
          <w:szCs w:val="24"/>
        </w:rPr>
        <w:t xml:space="preserve">à la présente séance plénière </w:t>
      </w:r>
      <w:r w:rsidRPr="007443EC">
        <w:rPr>
          <w:szCs w:val="24"/>
        </w:rPr>
        <w:t>huit</w:t>
      </w:r>
      <w:r w:rsidR="006B44BD">
        <w:rPr>
          <w:szCs w:val="24"/>
        </w:rPr>
        <w:t> </w:t>
      </w:r>
      <w:r w:rsidRPr="007443EC">
        <w:rPr>
          <w:szCs w:val="24"/>
        </w:rPr>
        <w:t xml:space="preserve">séries de textes pour approbation en première lecture et une série de textes pour approbation </w:t>
      </w:r>
      <w:r>
        <w:rPr>
          <w:szCs w:val="24"/>
        </w:rPr>
        <w:t>en seconde lecture</w:t>
      </w:r>
      <w:r w:rsidRPr="00765B3C">
        <w:rPr>
          <w:szCs w:val="24"/>
        </w:rPr>
        <w:t>.</w:t>
      </w:r>
      <w:bookmarkEnd w:id="48"/>
      <w:r w:rsidRPr="00765B3C">
        <w:rPr>
          <w:szCs w:val="24"/>
        </w:rPr>
        <w:t xml:space="preserve"> </w:t>
      </w:r>
    </w:p>
    <w:p w14:paraId="5FB623E8" w14:textId="77777777" w:rsidR="001466AA" w:rsidRPr="00C0145A" w:rsidRDefault="001466AA" w:rsidP="001466AA">
      <w:pPr>
        <w:rPr>
          <w:szCs w:val="24"/>
        </w:rPr>
      </w:pPr>
      <w:r w:rsidRPr="00C0145A">
        <w:rPr>
          <w:szCs w:val="24"/>
        </w:rPr>
        <w:t>2.21</w:t>
      </w:r>
      <w:r w:rsidRPr="00C0145A">
        <w:rPr>
          <w:szCs w:val="24"/>
        </w:rPr>
        <w:tab/>
      </w:r>
      <w:bookmarkStart w:id="49" w:name="lt_pId139"/>
      <w:r w:rsidRPr="00C0145A">
        <w:rPr>
          <w:szCs w:val="24"/>
        </w:rPr>
        <w:t xml:space="preserve">Il est </w:t>
      </w:r>
      <w:r w:rsidRPr="004C0401">
        <w:rPr>
          <w:b/>
          <w:bCs/>
          <w:szCs w:val="24"/>
        </w:rPr>
        <w:t>pris note</w:t>
      </w:r>
      <w:r w:rsidRPr="00C0145A">
        <w:rPr>
          <w:szCs w:val="24"/>
        </w:rPr>
        <w:t xml:space="preserve"> du rapport verbal du Président de la Commission 7.</w:t>
      </w:r>
      <w:bookmarkEnd w:id="49"/>
    </w:p>
    <w:p w14:paraId="698C520C" w14:textId="16B1D0DC" w:rsidR="001466AA" w:rsidRPr="00C0145A" w:rsidRDefault="001466AA" w:rsidP="001466AA">
      <w:pPr>
        <w:rPr>
          <w:szCs w:val="24"/>
        </w:rPr>
      </w:pPr>
      <w:r w:rsidRPr="00C0145A">
        <w:rPr>
          <w:szCs w:val="24"/>
        </w:rPr>
        <w:t>2.22</w:t>
      </w:r>
      <w:r w:rsidRPr="00C0145A">
        <w:rPr>
          <w:szCs w:val="24"/>
        </w:rPr>
        <w:tab/>
      </w:r>
      <w:bookmarkStart w:id="50" w:name="lt_pId141"/>
      <w:r w:rsidRPr="00C0145A">
        <w:rPr>
          <w:szCs w:val="24"/>
        </w:rPr>
        <w:t xml:space="preserve">La </w:t>
      </w:r>
      <w:r w:rsidRPr="00C0145A">
        <w:rPr>
          <w:b/>
          <w:bCs/>
          <w:szCs w:val="24"/>
        </w:rPr>
        <w:t>Présidente du Groupe ad hoc de la plénière</w:t>
      </w:r>
      <w:r w:rsidRPr="00C0145A">
        <w:rPr>
          <w:szCs w:val="24"/>
        </w:rPr>
        <w:t xml:space="preserve"> indique que son groupe a achevé ses travaux et élaboré le texte soumis</w:t>
      </w:r>
      <w:r>
        <w:rPr>
          <w:szCs w:val="24"/>
        </w:rPr>
        <w:t xml:space="preserve"> en tant que </w:t>
      </w:r>
      <w:r w:rsidRPr="00C0145A">
        <w:rPr>
          <w:szCs w:val="24"/>
        </w:rPr>
        <w:t xml:space="preserve">Document 295 </w:t>
      </w:r>
      <w:r>
        <w:rPr>
          <w:szCs w:val="24"/>
        </w:rPr>
        <w:t>pour</w:t>
      </w:r>
      <w:r w:rsidRPr="00C0145A">
        <w:rPr>
          <w:szCs w:val="24"/>
        </w:rPr>
        <w:t xml:space="preserve"> approbation </w:t>
      </w:r>
      <w:r w:rsidR="00593388">
        <w:rPr>
          <w:szCs w:val="24"/>
        </w:rPr>
        <w:t xml:space="preserve">par </w:t>
      </w:r>
      <w:r w:rsidRPr="00C0145A">
        <w:rPr>
          <w:szCs w:val="24"/>
        </w:rPr>
        <w:t>la plénière.</w:t>
      </w:r>
      <w:bookmarkEnd w:id="50"/>
    </w:p>
    <w:p w14:paraId="47347D3C" w14:textId="77777777" w:rsidR="001466AA" w:rsidRPr="00C0145A" w:rsidRDefault="001466AA" w:rsidP="001466AA">
      <w:pPr>
        <w:rPr>
          <w:szCs w:val="24"/>
        </w:rPr>
      </w:pPr>
      <w:r w:rsidRPr="00C0145A">
        <w:rPr>
          <w:szCs w:val="24"/>
        </w:rPr>
        <w:t>2.23</w:t>
      </w:r>
      <w:r w:rsidRPr="00C0145A">
        <w:rPr>
          <w:szCs w:val="24"/>
        </w:rPr>
        <w:tab/>
      </w:r>
      <w:bookmarkStart w:id="51" w:name="lt_pId143"/>
      <w:r w:rsidRPr="00C0145A">
        <w:rPr>
          <w:szCs w:val="24"/>
        </w:rPr>
        <w:t xml:space="preserve">Il est </w:t>
      </w:r>
      <w:r w:rsidRPr="004C0401">
        <w:rPr>
          <w:b/>
          <w:bCs/>
          <w:szCs w:val="24"/>
        </w:rPr>
        <w:t>pris note</w:t>
      </w:r>
      <w:r w:rsidRPr="00C0145A">
        <w:rPr>
          <w:szCs w:val="24"/>
        </w:rPr>
        <w:t xml:space="preserve"> du rapport verbal de la Présidente du Groupe ad hoc de la plénière.</w:t>
      </w:r>
      <w:bookmarkEnd w:id="51"/>
    </w:p>
    <w:p w14:paraId="43B54FB2" w14:textId="77777777" w:rsidR="001466AA" w:rsidRPr="00C0145A" w:rsidRDefault="001466AA" w:rsidP="001466AA">
      <w:pPr>
        <w:pStyle w:val="Heading1"/>
        <w:rPr>
          <w:bCs/>
          <w:szCs w:val="28"/>
        </w:rPr>
      </w:pPr>
      <w:r w:rsidRPr="00C0145A">
        <w:rPr>
          <w:szCs w:val="28"/>
        </w:rPr>
        <w:t>3</w:t>
      </w:r>
      <w:r w:rsidRPr="00C0145A">
        <w:rPr>
          <w:szCs w:val="28"/>
        </w:rPr>
        <w:tab/>
      </w:r>
      <w:bookmarkStart w:id="52" w:name="lt_pId145"/>
      <w:r w:rsidRPr="00C0145A">
        <w:rPr>
          <w:szCs w:val="28"/>
        </w:rPr>
        <w:t>Documents soumis pour approbation (Documents 295, 344, 347, 402, 451, 452, 471, 472 et 473)</w:t>
      </w:r>
      <w:bookmarkEnd w:id="52"/>
    </w:p>
    <w:p w14:paraId="1DBF44E5" w14:textId="71D6B97A" w:rsidR="001466AA" w:rsidRPr="00C0145A" w:rsidRDefault="001466AA" w:rsidP="001466AA">
      <w:pPr>
        <w:rPr>
          <w:szCs w:val="24"/>
        </w:rPr>
      </w:pPr>
      <w:r w:rsidRPr="00C0145A">
        <w:rPr>
          <w:szCs w:val="24"/>
        </w:rPr>
        <w:t>3.1</w:t>
      </w:r>
      <w:r w:rsidRPr="00C0145A">
        <w:rPr>
          <w:szCs w:val="24"/>
        </w:rPr>
        <w:tab/>
      </w:r>
      <w:bookmarkStart w:id="53" w:name="lt_pId147"/>
      <w:r w:rsidRPr="00C0145A">
        <w:rPr>
          <w:szCs w:val="24"/>
        </w:rPr>
        <w:t xml:space="preserve">Le </w:t>
      </w:r>
      <w:r w:rsidRPr="00C0145A">
        <w:rPr>
          <w:b/>
          <w:bCs/>
          <w:szCs w:val="24"/>
        </w:rPr>
        <w:t>Président de la Commission 4</w:t>
      </w:r>
      <w:r w:rsidRPr="00C0145A">
        <w:rPr>
          <w:szCs w:val="24"/>
        </w:rPr>
        <w:t xml:space="preserve"> propose que l</w:t>
      </w:r>
      <w:r>
        <w:rPr>
          <w:szCs w:val="24"/>
        </w:rPr>
        <w:t>'</w:t>
      </w:r>
      <w:r w:rsidRPr="00C0145A">
        <w:rPr>
          <w:szCs w:val="24"/>
        </w:rPr>
        <w:t>examen du Document 402</w:t>
      </w:r>
      <w:r w:rsidR="00593388">
        <w:rPr>
          <w:szCs w:val="24"/>
        </w:rPr>
        <w:t>,</w:t>
      </w:r>
      <w:r w:rsidRPr="00C0145A">
        <w:rPr>
          <w:szCs w:val="24"/>
        </w:rPr>
        <w:t xml:space="preserve"> relatif au point 9.1.5 de l</w:t>
      </w:r>
      <w:r>
        <w:rPr>
          <w:szCs w:val="24"/>
        </w:rPr>
        <w:t>'</w:t>
      </w:r>
      <w:r w:rsidRPr="00C0145A">
        <w:rPr>
          <w:szCs w:val="24"/>
        </w:rPr>
        <w:t>ordre du jour</w:t>
      </w:r>
      <w:r w:rsidR="00593388">
        <w:rPr>
          <w:szCs w:val="24"/>
        </w:rPr>
        <w:t>,</w:t>
      </w:r>
      <w:r w:rsidRPr="00C0145A">
        <w:rPr>
          <w:szCs w:val="24"/>
        </w:rPr>
        <w:t xml:space="preserve"> soit reporté jusqu</w:t>
      </w:r>
      <w:r>
        <w:rPr>
          <w:szCs w:val="24"/>
        </w:rPr>
        <w:t>'</w:t>
      </w:r>
      <w:r w:rsidRPr="00C0145A">
        <w:rPr>
          <w:szCs w:val="24"/>
        </w:rPr>
        <w:t xml:space="preserve">à ce que ce document puisse être examiné </w:t>
      </w:r>
      <w:r w:rsidR="00593388">
        <w:rPr>
          <w:szCs w:val="24"/>
        </w:rPr>
        <w:t xml:space="preserve">conjointement </w:t>
      </w:r>
      <w:r w:rsidRPr="00C0145A">
        <w:rPr>
          <w:szCs w:val="24"/>
        </w:rPr>
        <w:t xml:space="preserve">avec le Document 326, qui sera examiné à une séance plénière ultérieure. </w:t>
      </w:r>
      <w:bookmarkEnd w:id="53"/>
    </w:p>
    <w:p w14:paraId="4DC2C7E1" w14:textId="77777777" w:rsidR="001466AA" w:rsidRPr="00C0145A" w:rsidRDefault="001466AA" w:rsidP="001466AA">
      <w:pPr>
        <w:rPr>
          <w:szCs w:val="24"/>
        </w:rPr>
      </w:pPr>
      <w:r w:rsidRPr="00C0145A">
        <w:rPr>
          <w:szCs w:val="24"/>
        </w:rPr>
        <w:t>3.2</w:t>
      </w:r>
      <w:r w:rsidRPr="00C0145A">
        <w:rPr>
          <w:szCs w:val="24"/>
        </w:rPr>
        <w:tab/>
      </w:r>
      <w:bookmarkStart w:id="54" w:name="lt_pId149"/>
      <w:r w:rsidRPr="00C0145A">
        <w:rPr>
          <w:szCs w:val="24"/>
        </w:rPr>
        <w:t xml:space="preserve">Le </w:t>
      </w:r>
      <w:r w:rsidRPr="00C0145A">
        <w:rPr>
          <w:b/>
          <w:bCs/>
          <w:szCs w:val="24"/>
        </w:rPr>
        <w:t>délégué des États-Unis</w:t>
      </w:r>
      <w:r w:rsidRPr="00C0145A">
        <w:rPr>
          <w:szCs w:val="24"/>
        </w:rPr>
        <w:t xml:space="preserve"> souscrit à cette proposition.</w:t>
      </w:r>
      <w:bookmarkEnd w:id="54"/>
    </w:p>
    <w:p w14:paraId="447ACF8A" w14:textId="77777777" w:rsidR="001466AA" w:rsidRPr="00C0145A" w:rsidRDefault="001466AA" w:rsidP="001466AA">
      <w:pPr>
        <w:rPr>
          <w:szCs w:val="24"/>
        </w:rPr>
      </w:pPr>
      <w:r w:rsidRPr="00C0145A">
        <w:rPr>
          <w:szCs w:val="24"/>
        </w:rPr>
        <w:t>3.3</w:t>
      </w:r>
      <w:r w:rsidRPr="00C0145A">
        <w:rPr>
          <w:szCs w:val="24"/>
        </w:rPr>
        <w:tab/>
      </w:r>
      <w:bookmarkStart w:id="55" w:name="lt_pId151"/>
      <w:r w:rsidRPr="00C0145A">
        <w:rPr>
          <w:szCs w:val="24"/>
        </w:rPr>
        <w:t xml:space="preserve">Il en est ainsi </w:t>
      </w:r>
      <w:r w:rsidRPr="004C0401">
        <w:rPr>
          <w:b/>
          <w:bCs/>
          <w:szCs w:val="24"/>
        </w:rPr>
        <w:t>décidé</w:t>
      </w:r>
      <w:r w:rsidRPr="00C0145A">
        <w:rPr>
          <w:szCs w:val="24"/>
        </w:rPr>
        <w:t>.</w:t>
      </w:r>
      <w:bookmarkEnd w:id="55"/>
    </w:p>
    <w:p w14:paraId="1E30029B" w14:textId="77777777" w:rsidR="003C62D8" w:rsidRDefault="003C62D8" w:rsidP="001466AA">
      <w:pPr>
        <w:rPr>
          <w:szCs w:val="24"/>
        </w:rPr>
      </w:pPr>
      <w:r>
        <w:rPr>
          <w:szCs w:val="24"/>
        </w:rPr>
        <w:br w:type="page"/>
      </w:r>
    </w:p>
    <w:p w14:paraId="3678C1F1" w14:textId="07212909" w:rsidR="001466AA" w:rsidRPr="00C0145A" w:rsidRDefault="001466AA" w:rsidP="001466AA">
      <w:pPr>
        <w:rPr>
          <w:szCs w:val="24"/>
        </w:rPr>
      </w:pPr>
      <w:r w:rsidRPr="00C0145A">
        <w:rPr>
          <w:szCs w:val="24"/>
        </w:rPr>
        <w:lastRenderedPageBreak/>
        <w:t>3.4</w:t>
      </w:r>
      <w:r w:rsidRPr="00C0145A">
        <w:rPr>
          <w:szCs w:val="24"/>
        </w:rPr>
        <w:tab/>
      </w:r>
      <w:bookmarkStart w:id="56" w:name="lt_pId153"/>
      <w:r w:rsidRPr="00C0145A">
        <w:rPr>
          <w:szCs w:val="24"/>
        </w:rPr>
        <w:t xml:space="preserve">Le </w:t>
      </w:r>
      <w:r w:rsidRPr="004C0401">
        <w:rPr>
          <w:b/>
          <w:bCs/>
          <w:szCs w:val="24"/>
        </w:rPr>
        <w:t>Président de la Commission 5</w:t>
      </w:r>
      <w:r w:rsidRPr="00C0145A">
        <w:rPr>
          <w:szCs w:val="24"/>
        </w:rPr>
        <w:t xml:space="preserve"> présente le Document 344, qui contient le sixième rapport de la commission à la plénière, relatif aux conclusions de la commission sur le point 9.1 de l</w:t>
      </w:r>
      <w:r>
        <w:rPr>
          <w:szCs w:val="24"/>
        </w:rPr>
        <w:t>'</w:t>
      </w:r>
      <w:r w:rsidRPr="00C0145A">
        <w:rPr>
          <w:szCs w:val="24"/>
        </w:rPr>
        <w:t>ordre du jour.</w:t>
      </w:r>
      <w:bookmarkEnd w:id="56"/>
      <w:r w:rsidRPr="00C0145A">
        <w:rPr>
          <w:szCs w:val="24"/>
        </w:rPr>
        <w:t xml:space="preserve"> </w:t>
      </w:r>
      <w:bookmarkStart w:id="57" w:name="lt_pId154"/>
      <w:r w:rsidRPr="00C0145A">
        <w:rPr>
          <w:szCs w:val="24"/>
        </w:rPr>
        <w:t xml:space="preserve">Il est proposé que le texte ci-dessous, </w:t>
      </w:r>
      <w:r w:rsidR="00593388">
        <w:rPr>
          <w:szCs w:val="24"/>
        </w:rPr>
        <w:t xml:space="preserve">figurant </w:t>
      </w:r>
      <w:r w:rsidRPr="00C0145A">
        <w:rPr>
          <w:szCs w:val="24"/>
        </w:rPr>
        <w:t>dans le Document 344, soit approuvé et inclus dans le procès-verbal de la présente séance, en tant que décision de la Conférence:</w:t>
      </w:r>
      <w:bookmarkEnd w:id="57"/>
    </w:p>
    <w:p w14:paraId="51B5081A" w14:textId="60F3E55B" w:rsidR="001466AA" w:rsidRPr="00C0145A" w:rsidRDefault="007418D0" w:rsidP="001466AA">
      <w:pPr>
        <w:rPr>
          <w:szCs w:val="24"/>
        </w:rPr>
      </w:pPr>
      <w:bookmarkStart w:id="58" w:name="lt_pId155"/>
      <w:r>
        <w:rPr>
          <w:szCs w:val="24"/>
        </w:rPr>
        <w:t>«</w:t>
      </w:r>
      <w:r w:rsidR="001466AA" w:rsidRPr="00C0145A">
        <w:rPr>
          <w:szCs w:val="24"/>
        </w:rPr>
        <w:t>Le Document 92 (Add.21) soumis à la CMR-19 porte sur certaines préoccupations relatives aux brouillages sur la liaison montante qui sont actuellement subis par deux réseaux à satellite géostationnaire du SMS dans la bande de fréquences 2 670-2 690 MHz.</w:t>
      </w:r>
      <w:bookmarkEnd w:id="58"/>
      <w:r w:rsidR="001466AA" w:rsidRPr="00C0145A">
        <w:rPr>
          <w:szCs w:val="24"/>
        </w:rPr>
        <w:t xml:space="preserve"> </w:t>
      </w:r>
      <w:bookmarkStart w:id="59" w:name="lt_pId156"/>
      <w:r w:rsidR="001466AA" w:rsidRPr="00C0145A">
        <w:rPr>
          <w:szCs w:val="24"/>
        </w:rPr>
        <w:t>Cette question est également traitée dans la Partie 1 du rapport du Directeur (Document 4 (Add.1), Annexe 2, § 2.3.2) et a été examinée lors de l</w:t>
      </w:r>
      <w:r w:rsidR="001466AA">
        <w:rPr>
          <w:szCs w:val="24"/>
        </w:rPr>
        <w:t>'</w:t>
      </w:r>
      <w:r w:rsidR="001466AA" w:rsidRPr="00C0145A">
        <w:rPr>
          <w:szCs w:val="24"/>
        </w:rPr>
        <w:t>Assemblée des radiocommunications de 2019 (AR-19).</w:t>
      </w:r>
      <w:bookmarkEnd w:id="59"/>
      <w:r w:rsidR="001466AA" w:rsidRPr="00C0145A">
        <w:rPr>
          <w:szCs w:val="24"/>
        </w:rPr>
        <w:t xml:space="preserve"> </w:t>
      </w:r>
      <w:bookmarkStart w:id="60" w:name="lt_pId157"/>
      <w:r w:rsidR="001466AA" w:rsidRPr="00C0145A">
        <w:rPr>
          <w:szCs w:val="24"/>
        </w:rPr>
        <w:t>À l</w:t>
      </w:r>
      <w:r w:rsidR="001466AA">
        <w:rPr>
          <w:szCs w:val="24"/>
        </w:rPr>
        <w:t>'</w:t>
      </w:r>
      <w:r w:rsidR="001466AA" w:rsidRPr="00C0145A">
        <w:rPr>
          <w:szCs w:val="24"/>
        </w:rPr>
        <w:t>issue des débats, l</w:t>
      </w:r>
      <w:r w:rsidR="001466AA">
        <w:rPr>
          <w:szCs w:val="24"/>
        </w:rPr>
        <w:t>'</w:t>
      </w:r>
      <w:r w:rsidR="001466AA" w:rsidRPr="00C0145A">
        <w:rPr>
          <w:szCs w:val="24"/>
        </w:rPr>
        <w:t>AR-19 a pris acte des préoccupations soulevées en ce qui concerne les difficultés actuellement rencontrées en raison de l</w:t>
      </w:r>
      <w:r w:rsidR="001466AA">
        <w:rPr>
          <w:szCs w:val="24"/>
        </w:rPr>
        <w:t>'</w:t>
      </w:r>
      <w:r w:rsidR="001466AA" w:rsidRPr="00C0145A">
        <w:rPr>
          <w:szCs w:val="24"/>
        </w:rPr>
        <w:t>incompatibilité persistante entre le SMS et le SM et a invité la CMR-19 à prendre les mesures qu</w:t>
      </w:r>
      <w:r w:rsidR="001466AA">
        <w:rPr>
          <w:szCs w:val="24"/>
        </w:rPr>
        <w:t>'</w:t>
      </w:r>
      <w:r w:rsidR="001466AA" w:rsidRPr="00C0145A">
        <w:rPr>
          <w:szCs w:val="24"/>
        </w:rPr>
        <w:t>elle jugera appropriées afin de trouver au plus vite une solution satisfaisante à ce problème.</w:t>
      </w:r>
      <w:bookmarkEnd w:id="60"/>
    </w:p>
    <w:p w14:paraId="2904A736" w14:textId="7357703C" w:rsidR="001466AA" w:rsidRPr="00C0145A" w:rsidRDefault="001466AA" w:rsidP="003C62D8">
      <w:bookmarkStart w:id="61" w:name="lt_pId158"/>
      <w:r w:rsidRPr="00C0145A">
        <w:t>La CMR-19 a reconnu le caractère urgent de cette question, compte tenu des brouillages qui sont actuellement subis par ces réseaux.</w:t>
      </w:r>
      <w:bookmarkEnd w:id="61"/>
      <w:r w:rsidRPr="00C0145A">
        <w:t xml:space="preserve"> </w:t>
      </w:r>
      <w:bookmarkStart w:id="62" w:name="lt_pId159"/>
      <w:r w:rsidRPr="00C0145A">
        <w:t>Elle a également examiné d</w:t>
      </w:r>
      <w:r>
        <w:t>'</w:t>
      </w:r>
      <w:r w:rsidRPr="00C0145A">
        <w:t xml:space="preserve">éventuelles révisions à apporter à la Résolution </w:t>
      </w:r>
      <w:r w:rsidRPr="00246BAA">
        <w:rPr>
          <w:b/>
          <w:bCs/>
        </w:rPr>
        <w:t>225 (Rév.CMR-12)</w:t>
      </w:r>
      <w:r w:rsidRPr="00C0145A">
        <w:t xml:space="preserve"> afin d</w:t>
      </w:r>
      <w:r>
        <w:t>'</w:t>
      </w:r>
      <w:r w:rsidRPr="00C0145A">
        <w:t>appeler particulièrement l</w:t>
      </w:r>
      <w:r>
        <w:t>'</w:t>
      </w:r>
      <w:r w:rsidRPr="00C0145A">
        <w:t>attention sur cette question.</w:t>
      </w:r>
      <w:bookmarkEnd w:id="62"/>
      <w:r w:rsidRPr="00C0145A">
        <w:rPr>
          <w:iCs/>
        </w:rPr>
        <w:t xml:space="preserve"> </w:t>
      </w:r>
      <w:bookmarkStart w:id="63" w:name="lt_pId160"/>
      <w:r w:rsidRPr="00C0145A">
        <w:rPr>
          <w:iCs/>
        </w:rPr>
        <w:t>La proposition de révision n</w:t>
      </w:r>
      <w:r>
        <w:rPr>
          <w:iCs/>
        </w:rPr>
        <w:t>'</w:t>
      </w:r>
      <w:r w:rsidRPr="00C0145A">
        <w:rPr>
          <w:iCs/>
        </w:rPr>
        <w:t>a pas été approuvée, mais la CMR-19 a décidé d</w:t>
      </w:r>
      <w:r>
        <w:rPr>
          <w:iCs/>
        </w:rPr>
        <w:t>'</w:t>
      </w:r>
      <w:r w:rsidRPr="00C0145A">
        <w:rPr>
          <w:iCs/>
        </w:rPr>
        <w:t>inviter l</w:t>
      </w:r>
      <w:r>
        <w:rPr>
          <w:iCs/>
        </w:rPr>
        <w:t>'</w:t>
      </w:r>
      <w:r w:rsidRPr="00C0145A">
        <w:rPr>
          <w:iCs/>
        </w:rPr>
        <w:t>UIT-R à axer les efforts sur l</w:t>
      </w:r>
      <w:r>
        <w:rPr>
          <w:iCs/>
        </w:rPr>
        <w:t>'</w:t>
      </w:r>
      <w:r w:rsidRPr="00C0145A">
        <w:rPr>
          <w:iCs/>
        </w:rPr>
        <w:t>accélération des études de partage, de sorte que l</w:t>
      </w:r>
      <w:r>
        <w:rPr>
          <w:iCs/>
        </w:rPr>
        <w:t>'</w:t>
      </w:r>
      <w:r w:rsidRPr="00C0145A">
        <w:rPr>
          <w:iCs/>
        </w:rPr>
        <w:t>élaboration de Recommandations ou de Rapports UIT-R pertinents définissant des mesures techniques et opérationnelles pour la coexistence entre le service mobile par satellite et la composante de Terre des IMT dans la bande de fréquences 2 655-2 690 MHz soit menée à bien pendant la prochaine période d</w:t>
      </w:r>
      <w:r>
        <w:rPr>
          <w:iCs/>
        </w:rPr>
        <w:t>'</w:t>
      </w:r>
      <w:r w:rsidRPr="00C0145A">
        <w:rPr>
          <w:iCs/>
        </w:rPr>
        <w:t>études, c</w:t>
      </w:r>
      <w:r>
        <w:rPr>
          <w:iCs/>
        </w:rPr>
        <w:t>'</w:t>
      </w:r>
      <w:r w:rsidRPr="00C0145A">
        <w:rPr>
          <w:iCs/>
        </w:rPr>
        <w:t>est-à-dire avant 2023.</w:t>
      </w:r>
      <w:r w:rsidR="007418D0">
        <w:rPr>
          <w:iCs/>
        </w:rPr>
        <w:t>»</w:t>
      </w:r>
      <w:bookmarkEnd w:id="63"/>
    </w:p>
    <w:p w14:paraId="328F8D52" w14:textId="08E3811F" w:rsidR="001466AA" w:rsidRPr="00C0145A" w:rsidRDefault="001466AA" w:rsidP="001466AA">
      <w:pPr>
        <w:rPr>
          <w:szCs w:val="24"/>
        </w:rPr>
      </w:pPr>
      <w:r w:rsidRPr="00C0145A">
        <w:rPr>
          <w:szCs w:val="24"/>
        </w:rPr>
        <w:t>3.5</w:t>
      </w:r>
      <w:r w:rsidRPr="00C0145A">
        <w:rPr>
          <w:szCs w:val="24"/>
        </w:rPr>
        <w:tab/>
      </w:r>
      <w:bookmarkStart w:id="64" w:name="lt_pId162"/>
      <w:r w:rsidRPr="00C0145A">
        <w:rPr>
          <w:szCs w:val="24"/>
        </w:rPr>
        <w:t xml:space="preserve">Il en est ainsi </w:t>
      </w:r>
      <w:r w:rsidRPr="006F27A1">
        <w:rPr>
          <w:b/>
          <w:bCs/>
          <w:szCs w:val="24"/>
        </w:rPr>
        <w:t>décidé</w:t>
      </w:r>
      <w:r w:rsidRPr="00C0145A">
        <w:rPr>
          <w:szCs w:val="24"/>
        </w:rPr>
        <w:t>.</w:t>
      </w:r>
      <w:bookmarkEnd w:id="64"/>
    </w:p>
    <w:p w14:paraId="482D604D" w14:textId="77777777" w:rsidR="001466AA" w:rsidRPr="00C0145A" w:rsidRDefault="001466AA" w:rsidP="001466AA">
      <w:pPr>
        <w:rPr>
          <w:b/>
          <w:bCs/>
          <w:szCs w:val="24"/>
        </w:rPr>
      </w:pPr>
      <w:r w:rsidRPr="00C0145A">
        <w:rPr>
          <w:szCs w:val="24"/>
        </w:rPr>
        <w:t>3.6</w:t>
      </w:r>
      <w:r w:rsidRPr="00C0145A">
        <w:rPr>
          <w:szCs w:val="24"/>
        </w:rPr>
        <w:tab/>
      </w:r>
      <w:bookmarkStart w:id="65" w:name="lt_pId164"/>
      <w:r w:rsidRPr="00C0145A">
        <w:rPr>
          <w:szCs w:val="24"/>
        </w:rPr>
        <w:t xml:space="preserve">Le Document 344 est </w:t>
      </w:r>
      <w:r w:rsidRPr="006F27A1">
        <w:rPr>
          <w:b/>
          <w:bCs/>
          <w:szCs w:val="24"/>
        </w:rPr>
        <w:t>approuvé</w:t>
      </w:r>
      <w:r w:rsidRPr="00C0145A">
        <w:rPr>
          <w:szCs w:val="24"/>
        </w:rPr>
        <w:t>.</w:t>
      </w:r>
      <w:bookmarkEnd w:id="65"/>
    </w:p>
    <w:p w14:paraId="0FD437D4" w14:textId="5C802154" w:rsidR="001466AA" w:rsidRPr="00C0145A" w:rsidRDefault="001466AA" w:rsidP="001466AA">
      <w:pPr>
        <w:rPr>
          <w:szCs w:val="24"/>
        </w:rPr>
      </w:pPr>
      <w:r w:rsidRPr="00C0145A">
        <w:rPr>
          <w:szCs w:val="24"/>
        </w:rPr>
        <w:t>3.7</w:t>
      </w:r>
      <w:r w:rsidRPr="00C0145A">
        <w:rPr>
          <w:szCs w:val="24"/>
        </w:rPr>
        <w:tab/>
      </w:r>
      <w:bookmarkStart w:id="66" w:name="lt_pId166"/>
      <w:r w:rsidRPr="00C0145A">
        <w:rPr>
          <w:szCs w:val="24"/>
        </w:rPr>
        <w:t xml:space="preserve">Le </w:t>
      </w:r>
      <w:r w:rsidRPr="006F27A1">
        <w:rPr>
          <w:b/>
          <w:bCs/>
          <w:szCs w:val="24"/>
        </w:rPr>
        <w:t>délégué de l'Inde</w:t>
      </w:r>
      <w:r w:rsidRPr="00C0145A">
        <w:rPr>
          <w:szCs w:val="24"/>
        </w:rPr>
        <w:t xml:space="preserve"> exprime la gratitude de son Administration à la Conférence pour son examen de cette question.</w:t>
      </w:r>
      <w:bookmarkEnd w:id="66"/>
      <w:r w:rsidRPr="00C0145A">
        <w:rPr>
          <w:szCs w:val="24"/>
        </w:rPr>
        <w:t xml:space="preserve"> </w:t>
      </w:r>
      <w:bookmarkStart w:id="67" w:name="lt_pId167"/>
      <w:r w:rsidRPr="00C0145A">
        <w:rPr>
          <w:szCs w:val="24"/>
        </w:rPr>
        <w:t>Les brouillages préjudiciables causés par des systèmes IMT de Terre à l</w:t>
      </w:r>
      <w:r>
        <w:rPr>
          <w:szCs w:val="24"/>
        </w:rPr>
        <w:t>'</w:t>
      </w:r>
      <w:r w:rsidRPr="00C0145A">
        <w:rPr>
          <w:szCs w:val="24"/>
        </w:rPr>
        <w:t>extérieur de l</w:t>
      </w:r>
      <w:r>
        <w:rPr>
          <w:szCs w:val="24"/>
        </w:rPr>
        <w:t>'</w:t>
      </w:r>
      <w:r w:rsidRPr="00C0145A">
        <w:rPr>
          <w:szCs w:val="24"/>
        </w:rPr>
        <w:t xml:space="preserve">Inde nuisent gravement </w:t>
      </w:r>
      <w:r w:rsidR="00593388">
        <w:rPr>
          <w:szCs w:val="24"/>
        </w:rPr>
        <w:t xml:space="preserve">à l'exploitation </w:t>
      </w:r>
      <w:r w:rsidRPr="00C0145A">
        <w:rPr>
          <w:szCs w:val="24"/>
        </w:rPr>
        <w:t>du service mobile par satellite, qui revêt une importance cruciale pour le développement du pays, en particulier dans les zones rurales et isolées.</w:t>
      </w:r>
      <w:bookmarkStart w:id="68" w:name="lt_pId168"/>
      <w:bookmarkEnd w:id="67"/>
      <w:r w:rsidRPr="00C0145A">
        <w:rPr>
          <w:szCs w:val="24"/>
        </w:rPr>
        <w:t xml:space="preserve"> </w:t>
      </w:r>
      <w:r>
        <w:rPr>
          <w:szCs w:val="24"/>
        </w:rPr>
        <w:t>Il</w:t>
      </w:r>
      <w:r w:rsidRPr="00C0145A">
        <w:rPr>
          <w:szCs w:val="24"/>
        </w:rPr>
        <w:t xml:space="preserve"> est reconnaissant envers la Commission 5 ainsi que ses groupes de travail et ses sous-groupes de travail d</w:t>
      </w:r>
      <w:r>
        <w:rPr>
          <w:szCs w:val="24"/>
        </w:rPr>
        <w:t>'</w:t>
      </w:r>
      <w:r w:rsidRPr="00C0145A">
        <w:rPr>
          <w:szCs w:val="24"/>
        </w:rPr>
        <w:t>avoir examiné la proposition de l</w:t>
      </w:r>
      <w:r>
        <w:rPr>
          <w:szCs w:val="24"/>
        </w:rPr>
        <w:t>'</w:t>
      </w:r>
      <w:r w:rsidRPr="00C0145A">
        <w:rPr>
          <w:szCs w:val="24"/>
        </w:rPr>
        <w:t>Inde et attend avec intérêt les mesures que la CMR prendra pour résoudre ce problème.</w:t>
      </w:r>
      <w:bookmarkEnd w:id="68"/>
      <w:r w:rsidRPr="00C0145A">
        <w:rPr>
          <w:szCs w:val="24"/>
        </w:rPr>
        <w:t xml:space="preserve"> </w:t>
      </w:r>
      <w:bookmarkStart w:id="69" w:name="lt_pId169"/>
      <w:r>
        <w:rPr>
          <w:szCs w:val="24"/>
        </w:rPr>
        <w:t xml:space="preserve">L'orateur </w:t>
      </w:r>
      <w:r w:rsidRPr="00C0145A">
        <w:rPr>
          <w:szCs w:val="24"/>
        </w:rPr>
        <w:t>invite l</w:t>
      </w:r>
      <w:r>
        <w:rPr>
          <w:szCs w:val="24"/>
        </w:rPr>
        <w:t>'</w:t>
      </w:r>
      <w:r w:rsidRPr="00C0145A">
        <w:rPr>
          <w:szCs w:val="24"/>
        </w:rPr>
        <w:t xml:space="preserve">UIT-R à accélérer et à mener à bien </w:t>
      </w:r>
      <w:r w:rsidR="00593388">
        <w:rPr>
          <w:szCs w:val="24"/>
        </w:rPr>
        <w:t xml:space="preserve">les </w:t>
      </w:r>
      <w:r w:rsidRPr="00C0145A">
        <w:rPr>
          <w:szCs w:val="24"/>
        </w:rPr>
        <w:t xml:space="preserve">études pertinentes durant </w:t>
      </w:r>
      <w:r>
        <w:rPr>
          <w:szCs w:val="24"/>
        </w:rPr>
        <w:t>le</w:t>
      </w:r>
      <w:r w:rsidRPr="00C0145A">
        <w:rPr>
          <w:szCs w:val="24"/>
        </w:rPr>
        <w:t xml:space="preserve"> cycle</w:t>
      </w:r>
      <w:r>
        <w:rPr>
          <w:szCs w:val="24"/>
        </w:rPr>
        <w:t xml:space="preserve"> à venir</w:t>
      </w:r>
      <w:r w:rsidRPr="00C0145A">
        <w:rPr>
          <w:szCs w:val="24"/>
        </w:rPr>
        <w:t>.</w:t>
      </w:r>
      <w:bookmarkEnd w:id="69"/>
      <w:r w:rsidRPr="00C0145A">
        <w:rPr>
          <w:szCs w:val="24"/>
        </w:rPr>
        <w:t xml:space="preserve"> </w:t>
      </w:r>
      <w:bookmarkStart w:id="70" w:name="lt_pId170"/>
      <w:r w:rsidRPr="00C0145A">
        <w:rPr>
          <w:szCs w:val="24"/>
        </w:rPr>
        <w:t>L</w:t>
      </w:r>
      <w:r>
        <w:rPr>
          <w:szCs w:val="24"/>
        </w:rPr>
        <w:t>'</w:t>
      </w:r>
      <w:r w:rsidRPr="00C0145A">
        <w:rPr>
          <w:szCs w:val="24"/>
        </w:rPr>
        <w:t xml:space="preserve">Inde </w:t>
      </w:r>
      <w:r w:rsidR="00593388">
        <w:rPr>
          <w:szCs w:val="24"/>
        </w:rPr>
        <w:t xml:space="preserve">jouera un rôle actif </w:t>
      </w:r>
      <w:r w:rsidRPr="00C0145A">
        <w:rPr>
          <w:szCs w:val="24"/>
        </w:rPr>
        <w:t xml:space="preserve">à cet égard et appelle les </w:t>
      </w:r>
      <w:r w:rsidR="00593388">
        <w:rPr>
          <w:szCs w:val="24"/>
        </w:rPr>
        <w:t xml:space="preserve">autres </w:t>
      </w:r>
      <w:r w:rsidRPr="00C0145A">
        <w:rPr>
          <w:szCs w:val="24"/>
        </w:rPr>
        <w:t>États Membres à en faire de même.</w:t>
      </w:r>
      <w:bookmarkEnd w:id="70"/>
    </w:p>
    <w:p w14:paraId="5B6E68ED" w14:textId="3E464237" w:rsidR="001466AA" w:rsidRPr="00C0145A" w:rsidRDefault="001466AA" w:rsidP="001466AA">
      <w:pPr>
        <w:rPr>
          <w:szCs w:val="24"/>
        </w:rPr>
      </w:pPr>
      <w:r w:rsidRPr="00C0145A">
        <w:rPr>
          <w:szCs w:val="24"/>
        </w:rPr>
        <w:t>3.8</w:t>
      </w:r>
      <w:r w:rsidRPr="00C0145A">
        <w:rPr>
          <w:szCs w:val="24"/>
        </w:rPr>
        <w:tab/>
      </w:r>
      <w:bookmarkStart w:id="71" w:name="lt_pId172"/>
      <w:r w:rsidRPr="00C0145A">
        <w:rPr>
          <w:szCs w:val="24"/>
        </w:rPr>
        <w:t xml:space="preserve">Le </w:t>
      </w:r>
      <w:r w:rsidRPr="00375235">
        <w:rPr>
          <w:b/>
          <w:bCs/>
          <w:szCs w:val="24"/>
        </w:rPr>
        <w:t>Président de la Commission 5</w:t>
      </w:r>
      <w:r w:rsidRPr="00C0145A">
        <w:rPr>
          <w:szCs w:val="24"/>
        </w:rPr>
        <w:t xml:space="preserve"> présente le Document 347, qui contient le septième rapport de la commission à la plénière, relatif aux conclusions de la commission concernant le point</w:t>
      </w:r>
      <w:r w:rsidR="00593388">
        <w:rPr>
          <w:szCs w:val="24"/>
        </w:rPr>
        <w:t> </w:t>
      </w:r>
      <w:r w:rsidRPr="00C0145A">
        <w:rPr>
          <w:szCs w:val="24"/>
        </w:rPr>
        <w:t>9.3 de l</w:t>
      </w:r>
      <w:r>
        <w:rPr>
          <w:szCs w:val="24"/>
        </w:rPr>
        <w:t>'</w:t>
      </w:r>
      <w:r w:rsidRPr="00C0145A">
        <w:rPr>
          <w:szCs w:val="24"/>
        </w:rPr>
        <w:t>ordre du jour</w:t>
      </w:r>
      <w:r>
        <w:rPr>
          <w:szCs w:val="24"/>
        </w:rPr>
        <w:t>,</w:t>
      </w:r>
      <w:r w:rsidRPr="00C0145A">
        <w:rPr>
          <w:szCs w:val="24"/>
        </w:rPr>
        <w:t xml:space="preserve"> sur la suite donnée à la Résolution 80 (Rév.CMR-07).</w:t>
      </w:r>
      <w:bookmarkEnd w:id="71"/>
      <w:r w:rsidRPr="00C0145A">
        <w:rPr>
          <w:szCs w:val="24"/>
        </w:rPr>
        <w:t xml:space="preserve"> </w:t>
      </w:r>
      <w:bookmarkStart w:id="72" w:name="lt_pId173"/>
      <w:r w:rsidRPr="00C0145A">
        <w:rPr>
          <w:szCs w:val="24"/>
        </w:rPr>
        <w:t xml:space="preserve">Il est proposé que le texte ci-dessous, </w:t>
      </w:r>
      <w:r w:rsidR="00593388">
        <w:rPr>
          <w:szCs w:val="24"/>
        </w:rPr>
        <w:t xml:space="preserve">figurant </w:t>
      </w:r>
      <w:r w:rsidRPr="00C0145A">
        <w:rPr>
          <w:szCs w:val="24"/>
        </w:rPr>
        <w:t>dans le Document 347, soit approuvé et inclus dans le procès-verbal de la présente séance, en tant que décision de la Conférence:</w:t>
      </w:r>
      <w:bookmarkEnd w:id="72"/>
    </w:p>
    <w:p w14:paraId="75FCB4B8" w14:textId="77777777" w:rsidR="003C62D8" w:rsidRDefault="007418D0" w:rsidP="001466AA">
      <w:pPr>
        <w:rPr>
          <w:szCs w:val="24"/>
        </w:rPr>
      </w:pPr>
      <w:bookmarkStart w:id="73" w:name="lt_pId174"/>
      <w:r>
        <w:rPr>
          <w:szCs w:val="24"/>
        </w:rPr>
        <w:t>«</w:t>
      </w:r>
      <w:r w:rsidR="001466AA" w:rsidRPr="00C0145A">
        <w:rPr>
          <w:szCs w:val="24"/>
        </w:rPr>
        <w:t>Au titre du point 9.3 de l</w:t>
      </w:r>
      <w:r w:rsidR="001466AA">
        <w:rPr>
          <w:szCs w:val="24"/>
        </w:rPr>
        <w:t>'</w:t>
      </w:r>
      <w:r w:rsidR="001466AA" w:rsidRPr="00C0145A">
        <w:rPr>
          <w:szCs w:val="24"/>
        </w:rPr>
        <w:t xml:space="preserve">ordre du jour de la CMR-19, la Conférence a reçu le Document 15 du Comité du Règlement des radiocommunications, intitulé </w:t>
      </w:r>
      <w:r w:rsidR="001466AA" w:rsidRPr="00375235">
        <w:rPr>
          <w:i/>
          <w:iCs/>
          <w:szCs w:val="24"/>
        </w:rPr>
        <w:t xml:space="preserve">Rapport du Comité du Règlement des radiocommunications à la CMR-19 sur la </w:t>
      </w:r>
      <w:r w:rsidR="001466AA" w:rsidRPr="00B24970">
        <w:rPr>
          <w:i/>
          <w:iCs/>
          <w:szCs w:val="24"/>
        </w:rPr>
        <w:t>Résolution</w:t>
      </w:r>
      <w:r w:rsidR="001466AA" w:rsidRPr="00375235">
        <w:rPr>
          <w:b/>
          <w:bCs/>
          <w:i/>
          <w:iCs/>
          <w:szCs w:val="24"/>
        </w:rPr>
        <w:t xml:space="preserve"> 80 (Rév.CMR-07)</w:t>
      </w:r>
      <w:r w:rsidR="001466AA" w:rsidRPr="00C0145A">
        <w:rPr>
          <w:szCs w:val="24"/>
        </w:rPr>
        <w:t>.</w:t>
      </w:r>
      <w:bookmarkEnd w:id="73"/>
      <w:r w:rsidR="001466AA" w:rsidRPr="00C0145A">
        <w:rPr>
          <w:szCs w:val="24"/>
        </w:rPr>
        <w:t xml:space="preserve"> </w:t>
      </w:r>
      <w:bookmarkStart w:id="74" w:name="lt_pId175"/>
      <w:r w:rsidR="001466AA" w:rsidRPr="00C0145A">
        <w:rPr>
          <w:szCs w:val="24"/>
        </w:rPr>
        <w:t xml:space="preserve">Ce rapport présente une synthèse des activités du RRB concernant la </w:t>
      </w:r>
      <w:r w:rsidR="001466AA" w:rsidRPr="00B24970">
        <w:rPr>
          <w:szCs w:val="24"/>
        </w:rPr>
        <w:t xml:space="preserve">Résolution </w:t>
      </w:r>
      <w:r w:rsidR="001466AA" w:rsidRPr="00375235">
        <w:rPr>
          <w:b/>
          <w:bCs/>
          <w:szCs w:val="24"/>
        </w:rPr>
        <w:t>80 (Rév.CMR-07)</w:t>
      </w:r>
      <w:r w:rsidR="001466AA" w:rsidRPr="00C0145A">
        <w:rPr>
          <w:szCs w:val="24"/>
        </w:rPr>
        <w:t xml:space="preserve"> – Procédure de diligence due dans l</w:t>
      </w:r>
      <w:r w:rsidR="001466AA">
        <w:rPr>
          <w:szCs w:val="24"/>
        </w:rPr>
        <w:t>'</w:t>
      </w:r>
      <w:r w:rsidR="001466AA" w:rsidRPr="00C0145A">
        <w:rPr>
          <w:szCs w:val="24"/>
        </w:rPr>
        <w:t>application des principes énoncés dans la Constitution.</w:t>
      </w:r>
      <w:bookmarkEnd w:id="74"/>
      <w:r w:rsidR="001466AA" w:rsidRPr="00C0145A">
        <w:rPr>
          <w:szCs w:val="24"/>
        </w:rPr>
        <w:t xml:space="preserve"> </w:t>
      </w:r>
      <w:bookmarkStart w:id="75" w:name="lt_pId176"/>
      <w:r w:rsidR="001466AA" w:rsidRPr="00C0145A">
        <w:rPr>
          <w:szCs w:val="24"/>
        </w:rPr>
        <w:t>Le rapport du Comité à la CMR-19 consiste en une mise à jour du rapport à la CMR-15, l</w:t>
      </w:r>
      <w:r w:rsidR="001466AA">
        <w:rPr>
          <w:szCs w:val="24"/>
        </w:rPr>
        <w:t>'</w:t>
      </w:r>
      <w:r w:rsidR="001466AA" w:rsidRPr="00C0145A">
        <w:rPr>
          <w:szCs w:val="24"/>
        </w:rPr>
        <w:t xml:space="preserve">accent étant mis sur les efforts </w:t>
      </w:r>
      <w:r w:rsidR="003C62D8">
        <w:rPr>
          <w:szCs w:val="24"/>
        </w:rPr>
        <w:br w:type="page"/>
      </w:r>
    </w:p>
    <w:p w14:paraId="35BC2CAE" w14:textId="6279CEBB" w:rsidR="001466AA" w:rsidRPr="00C0145A" w:rsidRDefault="001466AA" w:rsidP="001466AA">
      <w:pPr>
        <w:rPr>
          <w:rFonts w:eastAsia="SimSun"/>
          <w:szCs w:val="24"/>
          <w:lang w:eastAsia="zh-CN"/>
        </w:rPr>
      </w:pPr>
      <w:r w:rsidRPr="00C0145A">
        <w:rPr>
          <w:szCs w:val="24"/>
        </w:rPr>
        <w:lastRenderedPageBreak/>
        <w:t>déployés par le Comité pour résoudre les problèmes rencontrés par le Comité et le Bureau des radiocommunications depuis la CMR-15, et qui ont une incidence sur le respect des principes énoncés dans l</w:t>
      </w:r>
      <w:r>
        <w:rPr>
          <w:szCs w:val="24"/>
        </w:rPr>
        <w:t>'</w:t>
      </w:r>
      <w:r w:rsidRPr="00C0145A">
        <w:rPr>
          <w:szCs w:val="24"/>
        </w:rPr>
        <w:t>article 44 de la Constitution de l</w:t>
      </w:r>
      <w:r>
        <w:rPr>
          <w:szCs w:val="24"/>
        </w:rPr>
        <w:t>'</w:t>
      </w:r>
      <w:r w:rsidRPr="00C0145A">
        <w:rPr>
          <w:szCs w:val="24"/>
        </w:rPr>
        <w:t>UIT ainsi qu</w:t>
      </w:r>
      <w:r>
        <w:rPr>
          <w:szCs w:val="24"/>
        </w:rPr>
        <w:t>'</w:t>
      </w:r>
      <w:r w:rsidRPr="00C0145A">
        <w:rPr>
          <w:szCs w:val="24"/>
        </w:rPr>
        <w:t xml:space="preserve">au numéro </w:t>
      </w:r>
      <w:r w:rsidRPr="00246BAA">
        <w:rPr>
          <w:b/>
          <w:bCs/>
          <w:szCs w:val="24"/>
        </w:rPr>
        <w:t>0.3</w:t>
      </w:r>
      <w:r w:rsidRPr="00C0145A">
        <w:rPr>
          <w:szCs w:val="24"/>
        </w:rPr>
        <w:t xml:space="preserve"> du Préambule du Règlement des radiocommunications.</w:t>
      </w:r>
      <w:bookmarkEnd w:id="75"/>
    </w:p>
    <w:p w14:paraId="0F0AEE39" w14:textId="77777777" w:rsidR="001466AA" w:rsidRPr="00C0145A" w:rsidRDefault="001466AA" w:rsidP="001466AA">
      <w:pPr>
        <w:rPr>
          <w:i/>
          <w:iCs/>
        </w:rPr>
      </w:pPr>
      <w:bookmarkStart w:id="76" w:name="lt_pId177"/>
      <w:r w:rsidRPr="00C0145A">
        <w:rPr>
          <w:szCs w:val="24"/>
          <w:lang w:eastAsia="ar-SA"/>
        </w:rPr>
        <w:t>Le rapport du Comité indique, entre autres, ce qui suit: «</w:t>
      </w:r>
      <w:r w:rsidRPr="00C0145A">
        <w:rPr>
          <w:i/>
          <w:iCs/>
          <w:szCs w:val="24"/>
          <w:lang w:eastAsia="ar-SA"/>
        </w:rPr>
        <w:t>Le Comité a examiné les inquiétudes exprimées par certaines administrations, qui se demandaient si l</w:t>
      </w:r>
      <w:r>
        <w:rPr>
          <w:i/>
          <w:iCs/>
          <w:szCs w:val="24"/>
          <w:lang w:eastAsia="ar-SA"/>
        </w:rPr>
        <w:t>'</w:t>
      </w:r>
      <w:r w:rsidRPr="00C0145A">
        <w:rPr>
          <w:i/>
          <w:iCs/>
          <w:szCs w:val="24"/>
          <w:lang w:eastAsia="ar-SA"/>
        </w:rPr>
        <w:t>application par d</w:t>
      </w:r>
      <w:r>
        <w:rPr>
          <w:i/>
          <w:iCs/>
          <w:szCs w:val="24"/>
          <w:lang w:eastAsia="ar-SA"/>
        </w:rPr>
        <w:t>'</w:t>
      </w:r>
      <w:r w:rsidRPr="00C0145A">
        <w:rPr>
          <w:i/>
          <w:iCs/>
          <w:szCs w:val="24"/>
          <w:lang w:eastAsia="ar-SA"/>
        </w:rPr>
        <w:t>autres administrations de l</w:t>
      </w:r>
      <w:r>
        <w:rPr>
          <w:i/>
          <w:iCs/>
          <w:szCs w:val="24"/>
          <w:lang w:eastAsia="ar-SA"/>
        </w:rPr>
        <w:t>'</w:t>
      </w:r>
      <w:r w:rsidRPr="00C0145A">
        <w:rPr>
          <w:i/>
          <w:iCs/>
          <w:szCs w:val="24"/>
          <w:lang w:eastAsia="ar-SA"/>
        </w:rPr>
        <w:t>article 48 de la Constitution de l</w:t>
      </w:r>
      <w:r>
        <w:rPr>
          <w:i/>
          <w:iCs/>
          <w:szCs w:val="24"/>
          <w:lang w:eastAsia="ar-SA"/>
        </w:rPr>
        <w:t>'</w:t>
      </w:r>
      <w:r w:rsidRPr="00C0145A">
        <w:rPr>
          <w:i/>
          <w:iCs/>
          <w:szCs w:val="24"/>
          <w:lang w:eastAsia="ar-SA"/>
        </w:rPr>
        <w:t>UIT était justifiée</w:t>
      </w:r>
      <w:bookmarkEnd w:id="76"/>
      <w:r w:rsidRPr="00C0145A">
        <w:rPr>
          <w:i/>
          <w:iCs/>
        </w:rPr>
        <w:t xml:space="preserve"> Les cas allégués de non</w:t>
      </w:r>
      <w:r w:rsidRPr="00C0145A">
        <w:rPr>
          <w:i/>
          <w:iCs/>
        </w:rPr>
        <w:noBreakHyphen/>
        <w:t>conformité à l</w:t>
      </w:r>
      <w:r>
        <w:rPr>
          <w:i/>
          <w:iCs/>
        </w:rPr>
        <w:t>'</w:t>
      </w:r>
      <w:r w:rsidRPr="00C0145A">
        <w:rPr>
          <w:i/>
          <w:iCs/>
        </w:rPr>
        <w:t>article 48 de la Constitution qui ont été présentés au Comité peuvent être résumés comme suit:</w:t>
      </w:r>
    </w:p>
    <w:p w14:paraId="3161C079" w14:textId="77777777" w:rsidR="001466AA" w:rsidRPr="00C0145A" w:rsidRDefault="001466AA" w:rsidP="001466AA">
      <w:pPr>
        <w:pStyle w:val="enumlev1"/>
        <w:rPr>
          <w:i/>
        </w:rPr>
      </w:pPr>
      <w:r w:rsidRPr="00C0145A">
        <w:rPr>
          <w:i/>
        </w:rPr>
        <w:t>–</w:t>
      </w:r>
      <w:r w:rsidRPr="00C0145A">
        <w:rPr>
          <w:i/>
        </w:rPr>
        <w:tab/>
        <w:t>Administrations invoquant l</w:t>
      </w:r>
      <w:r>
        <w:rPr>
          <w:i/>
        </w:rPr>
        <w:t>'</w:t>
      </w:r>
      <w:r w:rsidRPr="00C0145A">
        <w:rPr>
          <w:i/>
        </w:rPr>
        <w:t xml:space="preserve">article 48 de la Constitution après que le Bureau a entrepris un examen au titre du numéro </w:t>
      </w:r>
      <w:r w:rsidRPr="00C0145A">
        <w:rPr>
          <w:b/>
          <w:bCs/>
          <w:i/>
        </w:rPr>
        <w:t>13.6</w:t>
      </w:r>
      <w:r w:rsidRPr="00C0145A">
        <w:rPr>
          <w:i/>
        </w:rPr>
        <w:t xml:space="preserve"> du RR, pour en empêcher l</w:t>
      </w:r>
      <w:r>
        <w:rPr>
          <w:i/>
        </w:rPr>
        <w:t>'</w:t>
      </w:r>
      <w:r w:rsidRPr="00C0145A">
        <w:rPr>
          <w:i/>
        </w:rPr>
        <w:t>application et conserver leurs droits dans le Fichier de référence international des fréquences.</w:t>
      </w:r>
    </w:p>
    <w:p w14:paraId="0E21AB8A" w14:textId="231D192D" w:rsidR="001466AA" w:rsidRPr="00C0145A" w:rsidRDefault="001466AA" w:rsidP="001466AA">
      <w:pPr>
        <w:pStyle w:val="enumlev1"/>
      </w:pPr>
      <w:r w:rsidRPr="00C0145A">
        <w:rPr>
          <w:i/>
        </w:rPr>
        <w:t>–</w:t>
      </w:r>
      <w:r w:rsidRPr="00C0145A">
        <w:rPr>
          <w:i/>
        </w:rPr>
        <w:tab/>
        <w:t>Administrations invoquant l</w:t>
      </w:r>
      <w:r>
        <w:rPr>
          <w:i/>
        </w:rPr>
        <w:t>'</w:t>
      </w:r>
      <w:r w:rsidRPr="00C0145A">
        <w:rPr>
          <w:i/>
        </w:rPr>
        <w:t>article 48 de la Constitution pour des assignations de fréquence qui ne sont pas utilisées à des fins militaires</w:t>
      </w:r>
      <w:r w:rsidR="00117348">
        <w:rPr>
          <w:i/>
        </w:rPr>
        <w:t>.</w:t>
      </w:r>
      <w:r w:rsidRPr="00C0145A">
        <w:t>»</w:t>
      </w:r>
    </w:p>
    <w:p w14:paraId="3CBE8ED8" w14:textId="307A3CC9" w:rsidR="001466AA" w:rsidRPr="00C0145A" w:rsidRDefault="001466AA" w:rsidP="001466AA">
      <w:pPr>
        <w:rPr>
          <w:lang w:eastAsia="ar-SA"/>
        </w:rPr>
      </w:pPr>
      <w:r w:rsidRPr="00C0145A">
        <w:rPr>
          <w:lang w:eastAsia="ar-SA"/>
        </w:rPr>
        <w:t>En réponse au rapport du Comité, plusieurs administrations ont présenté des contributions à la Conférence faisant état de diverses mesures à soumettre à la Conférence pour répondre aux inquiétudes exprimées par les administrations; toutefois, il est entendu qu</w:t>
      </w:r>
      <w:r>
        <w:rPr>
          <w:lang w:eastAsia="ar-SA"/>
        </w:rPr>
        <w:t>'</w:t>
      </w:r>
      <w:r w:rsidRPr="00C0145A">
        <w:rPr>
          <w:lang w:eastAsia="ar-SA"/>
        </w:rPr>
        <w:t>aucune de ces mesures ne peut être mise en œuvre tant qu</w:t>
      </w:r>
      <w:r>
        <w:rPr>
          <w:lang w:eastAsia="ar-SA"/>
        </w:rPr>
        <w:t>'</w:t>
      </w:r>
      <w:r w:rsidRPr="00C0145A">
        <w:rPr>
          <w:lang w:eastAsia="ar-SA"/>
        </w:rPr>
        <w:t>une Conférence de plénipotentiaires n</w:t>
      </w:r>
      <w:r>
        <w:rPr>
          <w:lang w:eastAsia="ar-SA"/>
        </w:rPr>
        <w:t>'</w:t>
      </w:r>
      <w:r w:rsidRPr="00C0145A">
        <w:rPr>
          <w:lang w:eastAsia="ar-SA"/>
        </w:rPr>
        <w:t>a pas expressément chargé une CMR de le faire.</w:t>
      </w:r>
    </w:p>
    <w:p w14:paraId="757AD9C5" w14:textId="250DBC13" w:rsidR="001466AA" w:rsidRPr="00C0145A" w:rsidRDefault="001466AA" w:rsidP="001466AA">
      <w:pPr>
        <w:rPr>
          <w:lang w:eastAsia="ar-SA"/>
        </w:rPr>
      </w:pPr>
      <w:r w:rsidRPr="00C0145A">
        <w:rPr>
          <w:lang w:eastAsia="ar-SA"/>
        </w:rPr>
        <w:t xml:space="preserve">Compte tenu du rapport du Comité sur la Résolution </w:t>
      </w:r>
      <w:r w:rsidRPr="00C0145A">
        <w:rPr>
          <w:b/>
          <w:bCs/>
          <w:szCs w:val="24"/>
        </w:rPr>
        <w:t>80</w:t>
      </w:r>
      <w:r w:rsidRPr="00C0145A">
        <w:rPr>
          <w:szCs w:val="24"/>
        </w:rPr>
        <w:t xml:space="preserve"> </w:t>
      </w:r>
      <w:r w:rsidRPr="00C0145A">
        <w:rPr>
          <w:b/>
          <w:bCs/>
          <w:szCs w:val="24"/>
        </w:rPr>
        <w:t>(Rév.CMR-07)</w:t>
      </w:r>
      <w:r w:rsidRPr="00C0145A">
        <w:rPr>
          <w:szCs w:val="24"/>
        </w:rPr>
        <w:t>, ainsi que des contributions et des observations soumises à la CMR-19 en lien avec ce rapport, la CMR-19, au titre de l</w:t>
      </w:r>
      <w:r>
        <w:rPr>
          <w:szCs w:val="24"/>
        </w:rPr>
        <w:t>'</w:t>
      </w:r>
      <w:r w:rsidRPr="00C0145A">
        <w:rPr>
          <w:szCs w:val="24"/>
        </w:rPr>
        <w:t>article 21 de la Convention de l</w:t>
      </w:r>
      <w:r>
        <w:rPr>
          <w:szCs w:val="24"/>
        </w:rPr>
        <w:t>'</w:t>
      </w:r>
      <w:r w:rsidRPr="00C0145A">
        <w:rPr>
          <w:szCs w:val="24"/>
        </w:rPr>
        <w:t>UIT, invite la Conférence de plénipotentiaires de 2022 à examiner la question relative à l</w:t>
      </w:r>
      <w:r>
        <w:rPr>
          <w:szCs w:val="24"/>
        </w:rPr>
        <w:t>'</w:t>
      </w:r>
      <w:r w:rsidRPr="00C0145A">
        <w:rPr>
          <w:szCs w:val="24"/>
        </w:rPr>
        <w:t>invocation de l</w:t>
      </w:r>
      <w:r>
        <w:rPr>
          <w:szCs w:val="24"/>
        </w:rPr>
        <w:t>'</w:t>
      </w:r>
      <w:r w:rsidRPr="00C0145A">
        <w:rPr>
          <w:szCs w:val="24"/>
        </w:rPr>
        <w:t>article 48 de la Constitution en ce qui concerne le Règlement des radiocommunications, qui a été soulevée à la CMR-19, et à prendre les mesures nécessaires, selon qu</w:t>
      </w:r>
      <w:r>
        <w:rPr>
          <w:szCs w:val="24"/>
        </w:rPr>
        <w:t>'</w:t>
      </w:r>
      <w:r w:rsidRPr="00C0145A">
        <w:rPr>
          <w:szCs w:val="24"/>
        </w:rPr>
        <w:t>il convient.</w:t>
      </w:r>
    </w:p>
    <w:p w14:paraId="05014A97" w14:textId="65F40028" w:rsidR="001466AA" w:rsidRPr="00C0145A" w:rsidRDefault="001466AA" w:rsidP="001466AA">
      <w:pPr>
        <w:rPr>
          <w:szCs w:val="24"/>
        </w:rPr>
      </w:pPr>
      <w:r w:rsidRPr="00C0145A">
        <w:t>En outre, la CMR-19 a chargé le Bureau de continuer d</w:t>
      </w:r>
      <w:r>
        <w:t>'</w:t>
      </w:r>
      <w:r w:rsidRPr="00C0145A">
        <w:t>appliquer la pratique qu</w:t>
      </w:r>
      <w:r>
        <w:t>'</w:t>
      </w:r>
      <w:r w:rsidRPr="00C0145A">
        <w:t>il suit actuellement, qui consiste à répondre aux demandes spécifiques des administrations concernant la situation de certains réseaux à satellite donnés, y compris lorsqu</w:t>
      </w:r>
      <w:r>
        <w:t>'</w:t>
      </w:r>
      <w:r w:rsidRPr="00C0145A">
        <w:t>il s</w:t>
      </w:r>
      <w:r>
        <w:t>'</w:t>
      </w:r>
      <w:r w:rsidRPr="00C0145A">
        <w:t>agit d</w:t>
      </w:r>
      <w:r>
        <w:t>'</w:t>
      </w:r>
      <w:r w:rsidRPr="00C0145A">
        <w:t>indications précisant si l</w:t>
      </w:r>
      <w:r>
        <w:t>'</w:t>
      </w:r>
      <w:r w:rsidRPr="00C0145A">
        <w:t>article 48</w:t>
      </w:r>
      <w:r w:rsidRPr="00C0145A">
        <w:rPr>
          <w:szCs w:val="24"/>
        </w:rPr>
        <w:t xml:space="preserve"> de la Constitution a été invoqué pour un réseau à satellite</w:t>
      </w:r>
      <w:r w:rsidRPr="00C0145A">
        <w:t>.</w:t>
      </w:r>
      <w:r w:rsidR="007418D0">
        <w:t>»</w:t>
      </w:r>
    </w:p>
    <w:p w14:paraId="1D972540" w14:textId="77777777" w:rsidR="001466AA" w:rsidRPr="00C0145A" w:rsidRDefault="001466AA" w:rsidP="001466AA">
      <w:pPr>
        <w:rPr>
          <w:szCs w:val="24"/>
        </w:rPr>
      </w:pPr>
      <w:r w:rsidRPr="00C0145A">
        <w:rPr>
          <w:szCs w:val="24"/>
        </w:rPr>
        <w:t>3.9</w:t>
      </w:r>
      <w:r w:rsidRPr="00C0145A">
        <w:rPr>
          <w:szCs w:val="24"/>
        </w:rPr>
        <w:tab/>
      </w:r>
      <w:bookmarkStart w:id="77" w:name="lt_pId187"/>
      <w:r w:rsidRPr="00C0145A">
        <w:rPr>
          <w:szCs w:val="24"/>
        </w:rPr>
        <w:t xml:space="preserve">Il en est ainsi </w:t>
      </w:r>
      <w:r w:rsidRPr="00F95BFE">
        <w:rPr>
          <w:b/>
          <w:bCs/>
          <w:szCs w:val="24"/>
        </w:rPr>
        <w:t>décidé</w:t>
      </w:r>
      <w:r w:rsidRPr="00C0145A">
        <w:rPr>
          <w:szCs w:val="24"/>
        </w:rPr>
        <w:t>.</w:t>
      </w:r>
      <w:bookmarkEnd w:id="77"/>
    </w:p>
    <w:p w14:paraId="4A7CCA09" w14:textId="77777777" w:rsidR="001466AA" w:rsidRPr="00C0145A" w:rsidRDefault="001466AA" w:rsidP="001466AA">
      <w:pPr>
        <w:rPr>
          <w:szCs w:val="24"/>
        </w:rPr>
      </w:pPr>
      <w:r w:rsidRPr="00C0145A">
        <w:rPr>
          <w:szCs w:val="24"/>
        </w:rPr>
        <w:t>3.10</w:t>
      </w:r>
      <w:r w:rsidRPr="00C0145A">
        <w:rPr>
          <w:szCs w:val="24"/>
        </w:rPr>
        <w:tab/>
      </w:r>
      <w:bookmarkStart w:id="78" w:name="lt_pId189"/>
      <w:r w:rsidRPr="00C0145A">
        <w:rPr>
          <w:szCs w:val="24"/>
        </w:rPr>
        <w:t xml:space="preserve">Le Document 347 est </w:t>
      </w:r>
      <w:r w:rsidRPr="00F95BFE">
        <w:rPr>
          <w:b/>
          <w:bCs/>
          <w:szCs w:val="24"/>
        </w:rPr>
        <w:t>approuvé</w:t>
      </w:r>
      <w:r w:rsidRPr="00C0145A">
        <w:rPr>
          <w:szCs w:val="24"/>
        </w:rPr>
        <w:t>.</w:t>
      </w:r>
      <w:bookmarkEnd w:id="78"/>
    </w:p>
    <w:p w14:paraId="305FA78B" w14:textId="1A32EB82" w:rsidR="001466AA" w:rsidRPr="00C0145A" w:rsidRDefault="001466AA" w:rsidP="001466AA">
      <w:pPr>
        <w:rPr>
          <w:szCs w:val="24"/>
        </w:rPr>
      </w:pPr>
      <w:r w:rsidRPr="00C0145A">
        <w:rPr>
          <w:szCs w:val="24"/>
        </w:rPr>
        <w:t>3.11</w:t>
      </w:r>
      <w:r w:rsidRPr="00C0145A">
        <w:rPr>
          <w:szCs w:val="24"/>
        </w:rPr>
        <w:tab/>
      </w:r>
      <w:bookmarkStart w:id="79" w:name="lt_pId191"/>
      <w:r w:rsidRPr="00C0145A">
        <w:rPr>
          <w:szCs w:val="24"/>
        </w:rPr>
        <w:t xml:space="preserve">Le </w:t>
      </w:r>
      <w:r w:rsidRPr="00F95BFE">
        <w:rPr>
          <w:b/>
          <w:bCs/>
          <w:szCs w:val="24"/>
        </w:rPr>
        <w:t>Président de la Commission 5</w:t>
      </w:r>
      <w:r w:rsidRPr="00C0145A">
        <w:rPr>
          <w:szCs w:val="24"/>
        </w:rPr>
        <w:t xml:space="preserve"> présente le Document 451, qui contient le </w:t>
      </w:r>
      <w:r>
        <w:rPr>
          <w:szCs w:val="24"/>
        </w:rPr>
        <w:t>huitième</w:t>
      </w:r>
      <w:r w:rsidRPr="00C0145A">
        <w:rPr>
          <w:szCs w:val="24"/>
        </w:rPr>
        <w:t xml:space="preserve"> rapport de la commission à la plénière, relatif aux conclusions de la commission concernant le point</w:t>
      </w:r>
      <w:r w:rsidR="00593388">
        <w:rPr>
          <w:szCs w:val="24"/>
        </w:rPr>
        <w:t> </w:t>
      </w:r>
      <w:r w:rsidRPr="00C0145A">
        <w:rPr>
          <w:szCs w:val="24"/>
        </w:rPr>
        <w:t>9.2 de l</w:t>
      </w:r>
      <w:r>
        <w:rPr>
          <w:szCs w:val="24"/>
        </w:rPr>
        <w:t>'</w:t>
      </w:r>
      <w:r w:rsidRPr="00C0145A">
        <w:rPr>
          <w:szCs w:val="24"/>
        </w:rPr>
        <w:t>ordre du jour</w:t>
      </w:r>
      <w:r>
        <w:rPr>
          <w:szCs w:val="24"/>
        </w:rPr>
        <w:t>,</w:t>
      </w:r>
      <w:r w:rsidRPr="00C0145A">
        <w:rPr>
          <w:szCs w:val="24"/>
        </w:rPr>
        <w:t xml:space="preserve"> sur les difficultés rencontrées ou les incohérences constatées dans l</w:t>
      </w:r>
      <w:r>
        <w:rPr>
          <w:szCs w:val="24"/>
        </w:rPr>
        <w:t>'</w:t>
      </w:r>
      <w:r w:rsidRPr="00C0145A">
        <w:rPr>
          <w:szCs w:val="24"/>
        </w:rPr>
        <w:t>application du Règlement des radiocommunications.</w:t>
      </w:r>
      <w:bookmarkEnd w:id="79"/>
      <w:r w:rsidRPr="00C0145A">
        <w:rPr>
          <w:szCs w:val="24"/>
        </w:rPr>
        <w:t xml:space="preserve"> </w:t>
      </w:r>
      <w:bookmarkStart w:id="80" w:name="lt_pId192"/>
      <w:r w:rsidRPr="00C0145A">
        <w:rPr>
          <w:szCs w:val="24"/>
        </w:rPr>
        <w:t>Il est proposé qu</w:t>
      </w:r>
      <w:r>
        <w:rPr>
          <w:szCs w:val="24"/>
        </w:rPr>
        <w:t>'</w:t>
      </w:r>
      <w:r w:rsidRPr="00C0145A">
        <w:rPr>
          <w:szCs w:val="24"/>
        </w:rPr>
        <w:t xml:space="preserve">un texte </w:t>
      </w:r>
      <w:r w:rsidR="00593388">
        <w:rPr>
          <w:szCs w:val="24"/>
        </w:rPr>
        <w:t xml:space="preserve">figurant </w:t>
      </w:r>
      <w:r w:rsidRPr="00C0145A">
        <w:rPr>
          <w:szCs w:val="24"/>
        </w:rPr>
        <w:t>dans le Document</w:t>
      </w:r>
      <w:r w:rsidR="00593388">
        <w:rPr>
          <w:szCs w:val="24"/>
        </w:rPr>
        <w:t> </w:t>
      </w:r>
      <w:r w:rsidRPr="00C0145A">
        <w:rPr>
          <w:szCs w:val="24"/>
        </w:rPr>
        <w:t>451 soit approuvé et inclus dans le procès-verbal de la présente séance, en tant que décision de la Conférence.</w:t>
      </w:r>
      <w:bookmarkEnd w:id="80"/>
    </w:p>
    <w:p w14:paraId="60AB4507" w14:textId="0D550485" w:rsidR="001466AA" w:rsidRPr="00C0145A" w:rsidRDefault="001466AA" w:rsidP="001466AA">
      <w:pPr>
        <w:rPr>
          <w:szCs w:val="24"/>
        </w:rPr>
      </w:pPr>
      <w:r w:rsidRPr="00C0145A">
        <w:rPr>
          <w:szCs w:val="24"/>
        </w:rPr>
        <w:t>3.12</w:t>
      </w:r>
      <w:r w:rsidRPr="00C0145A">
        <w:rPr>
          <w:szCs w:val="24"/>
        </w:rPr>
        <w:tab/>
      </w:r>
      <w:bookmarkStart w:id="81" w:name="lt_pId194"/>
      <w:r w:rsidRPr="00C0145A">
        <w:rPr>
          <w:szCs w:val="24"/>
        </w:rPr>
        <w:t xml:space="preserve">Le </w:t>
      </w:r>
      <w:r w:rsidRPr="00F95BFE">
        <w:rPr>
          <w:b/>
          <w:bCs/>
          <w:szCs w:val="24"/>
        </w:rPr>
        <w:t>délégué de la République islamique d'Iran</w:t>
      </w:r>
      <w:r w:rsidRPr="00C0145A">
        <w:rPr>
          <w:szCs w:val="24"/>
        </w:rPr>
        <w:t xml:space="preserve"> app</w:t>
      </w:r>
      <w:r>
        <w:rPr>
          <w:szCs w:val="24"/>
        </w:rPr>
        <w:t>uie</w:t>
      </w:r>
      <w:r w:rsidRPr="00C0145A">
        <w:rPr>
          <w:szCs w:val="24"/>
        </w:rPr>
        <w:t xml:space="preserve"> </w:t>
      </w:r>
      <w:r>
        <w:rPr>
          <w:szCs w:val="24"/>
        </w:rPr>
        <w:t>c</w:t>
      </w:r>
      <w:r w:rsidRPr="00C0145A">
        <w:rPr>
          <w:szCs w:val="24"/>
        </w:rPr>
        <w:t xml:space="preserve">e texte mais propose que la phrase suivante soit ajoutée au paragraphe commençant par </w:t>
      </w:r>
      <w:r w:rsidR="007418D0">
        <w:rPr>
          <w:szCs w:val="24"/>
        </w:rPr>
        <w:t>«</w:t>
      </w:r>
      <w:r w:rsidRPr="00C0145A">
        <w:rPr>
          <w:szCs w:val="24"/>
        </w:rPr>
        <w:t>En ce qui concerne l</w:t>
      </w:r>
      <w:r>
        <w:rPr>
          <w:szCs w:val="24"/>
        </w:rPr>
        <w:t>'</w:t>
      </w:r>
      <w:r w:rsidRPr="00C0145A">
        <w:rPr>
          <w:szCs w:val="24"/>
        </w:rPr>
        <w:t>examen de la section 3.2.5.6</w:t>
      </w:r>
      <w:r>
        <w:rPr>
          <w:szCs w:val="24"/>
        </w:rPr>
        <w:t xml:space="preserve"> [...]</w:t>
      </w:r>
      <w:r w:rsidR="007418D0">
        <w:rPr>
          <w:szCs w:val="24"/>
        </w:rPr>
        <w:t>»</w:t>
      </w:r>
      <w:r w:rsidRPr="00C0145A">
        <w:rPr>
          <w:szCs w:val="24"/>
        </w:rPr>
        <w:t xml:space="preserve">: </w:t>
      </w:r>
      <w:r w:rsidR="007418D0">
        <w:rPr>
          <w:szCs w:val="24"/>
        </w:rPr>
        <w:t>«</w:t>
      </w:r>
      <w:r w:rsidRPr="00C0145A">
        <w:rPr>
          <w:szCs w:val="24"/>
        </w:rPr>
        <w:t xml:space="preserve">La CMR-19 a en outre décidé que le Bureau des radiocommunications ne devrait pas </w:t>
      </w:r>
      <w:r>
        <w:rPr>
          <w:szCs w:val="24"/>
        </w:rPr>
        <w:t>prendre</w:t>
      </w:r>
      <w:r w:rsidRPr="00C0145A">
        <w:rPr>
          <w:szCs w:val="24"/>
        </w:rPr>
        <w:t xml:space="preserve"> en considération </w:t>
      </w:r>
      <w:r>
        <w:rPr>
          <w:szCs w:val="24"/>
        </w:rPr>
        <w:t>l</w:t>
      </w:r>
      <w:r w:rsidRPr="00C0145A">
        <w:rPr>
          <w:szCs w:val="24"/>
        </w:rPr>
        <w:t xml:space="preserve">es points de mesure situés en mer dans son examen technique et réglementaire des soumissions pertinentes </w:t>
      </w:r>
      <w:r w:rsidR="00593388">
        <w:rPr>
          <w:szCs w:val="24"/>
        </w:rPr>
        <w:t>qui lui sont présentées</w:t>
      </w:r>
      <w:r w:rsidRPr="00C0145A">
        <w:rPr>
          <w:szCs w:val="24"/>
        </w:rPr>
        <w:t>.</w:t>
      </w:r>
      <w:r w:rsidR="007418D0">
        <w:rPr>
          <w:szCs w:val="24"/>
        </w:rPr>
        <w:t>»</w:t>
      </w:r>
      <w:bookmarkEnd w:id="81"/>
    </w:p>
    <w:p w14:paraId="25840CF7" w14:textId="77777777" w:rsidR="001466AA" w:rsidRPr="00C0145A" w:rsidRDefault="001466AA" w:rsidP="001466AA">
      <w:pPr>
        <w:rPr>
          <w:szCs w:val="24"/>
        </w:rPr>
      </w:pPr>
      <w:r w:rsidRPr="00C0145A">
        <w:rPr>
          <w:szCs w:val="24"/>
        </w:rPr>
        <w:t>3.13</w:t>
      </w:r>
      <w:r w:rsidRPr="00C0145A">
        <w:rPr>
          <w:szCs w:val="24"/>
        </w:rPr>
        <w:tab/>
      </w:r>
      <w:bookmarkStart w:id="82" w:name="lt_pId196"/>
      <w:r w:rsidRPr="00C0145A">
        <w:rPr>
          <w:szCs w:val="24"/>
        </w:rPr>
        <w:t xml:space="preserve">Le </w:t>
      </w:r>
      <w:r w:rsidRPr="00C645AA">
        <w:rPr>
          <w:b/>
          <w:bCs/>
          <w:szCs w:val="24"/>
        </w:rPr>
        <w:t>Directeur du BR</w:t>
      </w:r>
      <w:r w:rsidRPr="00C0145A">
        <w:rPr>
          <w:szCs w:val="24"/>
        </w:rPr>
        <w:t xml:space="preserve"> </w:t>
      </w:r>
      <w:r>
        <w:rPr>
          <w:szCs w:val="24"/>
        </w:rPr>
        <w:t>dit ne</w:t>
      </w:r>
      <w:r w:rsidRPr="00C0145A">
        <w:rPr>
          <w:szCs w:val="24"/>
        </w:rPr>
        <w:t xml:space="preserve"> pas</w:t>
      </w:r>
      <w:r>
        <w:rPr>
          <w:szCs w:val="24"/>
        </w:rPr>
        <w:t xml:space="preserve"> voir</w:t>
      </w:r>
      <w:r w:rsidRPr="00C0145A">
        <w:rPr>
          <w:szCs w:val="24"/>
        </w:rPr>
        <w:t xml:space="preserve"> d</w:t>
      </w:r>
      <w:r>
        <w:rPr>
          <w:szCs w:val="24"/>
        </w:rPr>
        <w:t>'</w:t>
      </w:r>
      <w:r w:rsidRPr="00C0145A">
        <w:rPr>
          <w:szCs w:val="24"/>
        </w:rPr>
        <w:t>inconvénient à ce que cette proposition soit ajoutée, étant donné qu</w:t>
      </w:r>
      <w:r>
        <w:rPr>
          <w:szCs w:val="24"/>
        </w:rPr>
        <w:t>'</w:t>
      </w:r>
      <w:r w:rsidRPr="00C0145A">
        <w:rPr>
          <w:szCs w:val="24"/>
        </w:rPr>
        <w:t>elle reflète la pratique suivie</w:t>
      </w:r>
      <w:r>
        <w:rPr>
          <w:szCs w:val="24"/>
        </w:rPr>
        <w:t xml:space="preserve"> actuellement</w:t>
      </w:r>
      <w:r w:rsidRPr="00C0145A">
        <w:rPr>
          <w:szCs w:val="24"/>
        </w:rPr>
        <w:t xml:space="preserve"> par le Bureau.</w:t>
      </w:r>
      <w:bookmarkEnd w:id="82"/>
    </w:p>
    <w:p w14:paraId="55F21707" w14:textId="77777777" w:rsidR="001466AA" w:rsidRPr="00C0145A" w:rsidRDefault="001466AA" w:rsidP="001466AA">
      <w:pPr>
        <w:rPr>
          <w:szCs w:val="24"/>
        </w:rPr>
      </w:pPr>
      <w:r w:rsidRPr="00C0145A">
        <w:rPr>
          <w:szCs w:val="24"/>
        </w:rPr>
        <w:lastRenderedPageBreak/>
        <w:t>3.14</w:t>
      </w:r>
      <w:r w:rsidRPr="00C0145A">
        <w:rPr>
          <w:szCs w:val="24"/>
        </w:rPr>
        <w:tab/>
      </w:r>
      <w:bookmarkStart w:id="83" w:name="lt_pId198"/>
      <w:r w:rsidRPr="00C0145A">
        <w:rPr>
          <w:szCs w:val="24"/>
        </w:rPr>
        <w:t xml:space="preserve">Le texte suivant est donc </w:t>
      </w:r>
      <w:r w:rsidRPr="0002714F">
        <w:rPr>
          <w:b/>
          <w:bCs/>
          <w:szCs w:val="24"/>
        </w:rPr>
        <w:t xml:space="preserve">approuvé </w:t>
      </w:r>
      <w:r w:rsidRPr="00C0145A">
        <w:rPr>
          <w:szCs w:val="24"/>
        </w:rPr>
        <w:t xml:space="preserve">en vue </w:t>
      </w:r>
      <w:r>
        <w:rPr>
          <w:szCs w:val="24"/>
        </w:rPr>
        <w:t>d'être inclus</w:t>
      </w:r>
      <w:r w:rsidRPr="00C0145A">
        <w:rPr>
          <w:szCs w:val="24"/>
        </w:rPr>
        <w:t xml:space="preserve"> dans le procès-verbal de la présente séance, en tant que décision de la Conférence:</w:t>
      </w:r>
      <w:bookmarkEnd w:id="83"/>
    </w:p>
    <w:p w14:paraId="436A4355" w14:textId="0574C05D" w:rsidR="001466AA" w:rsidRPr="00BE11D0" w:rsidRDefault="007418D0" w:rsidP="001466AA">
      <w:bookmarkStart w:id="84" w:name="lt_pId199"/>
      <w:r>
        <w:rPr>
          <w:szCs w:val="24"/>
        </w:rPr>
        <w:t>«</w:t>
      </w:r>
      <w:r w:rsidR="001466AA" w:rsidRPr="00C0145A">
        <w:rPr>
          <w:szCs w:val="24"/>
        </w:rPr>
        <w:t>Au titre du point 9.2 de l</w:t>
      </w:r>
      <w:r w:rsidR="001466AA">
        <w:rPr>
          <w:szCs w:val="24"/>
        </w:rPr>
        <w:t>'</w:t>
      </w:r>
      <w:r w:rsidR="001466AA" w:rsidRPr="00C0145A">
        <w:rPr>
          <w:szCs w:val="24"/>
        </w:rPr>
        <w:t>ordre du jour de la CMR-19, la Conférence a reçu l</w:t>
      </w:r>
      <w:r w:rsidR="001466AA">
        <w:rPr>
          <w:szCs w:val="24"/>
        </w:rPr>
        <w:t>'</w:t>
      </w:r>
      <w:r w:rsidR="001466AA" w:rsidRPr="00C0145A">
        <w:rPr>
          <w:szCs w:val="24"/>
        </w:rPr>
        <w:t>Addendum 2 au Document 4, établi par le Directeur du Bureau des radiocommunications et intitulé «Rapport du Directeur sur les activités du Secteur des radiocommunications, Partie 2»</w:t>
      </w:r>
      <w:r w:rsidR="00117348">
        <w:rPr>
          <w:szCs w:val="24"/>
        </w:rPr>
        <w:t>.</w:t>
      </w:r>
      <w:r w:rsidR="001466AA" w:rsidRPr="00C0145A">
        <w:rPr>
          <w:szCs w:val="24"/>
        </w:rPr>
        <w:t xml:space="preserve"> Ce rapport contient un résumé des résultats obtenus dans l</w:t>
      </w:r>
      <w:r w:rsidR="001466AA">
        <w:rPr>
          <w:szCs w:val="24"/>
        </w:rPr>
        <w:t>'</w:t>
      </w:r>
      <w:r w:rsidR="001466AA" w:rsidRPr="00C0145A">
        <w:rPr>
          <w:szCs w:val="24"/>
        </w:rPr>
        <w:t>application des procédures prévues dans le Règlement des radiocommunications et d</w:t>
      </w:r>
      <w:r w:rsidR="001466AA">
        <w:rPr>
          <w:szCs w:val="24"/>
        </w:rPr>
        <w:t>'</w:t>
      </w:r>
      <w:r w:rsidR="001466AA" w:rsidRPr="00C0145A">
        <w:rPr>
          <w:szCs w:val="24"/>
        </w:rPr>
        <w:t>autres sujets connexes.</w:t>
      </w:r>
      <w:bookmarkStart w:id="85" w:name="lt_pId200"/>
      <w:bookmarkEnd w:id="84"/>
      <w:r w:rsidR="00BE11D0">
        <w:rPr>
          <w:szCs w:val="24"/>
        </w:rPr>
        <w:t xml:space="preserve"> </w:t>
      </w:r>
      <w:r w:rsidR="001466AA" w:rsidRPr="00C0145A">
        <w:rPr>
          <w:szCs w:val="24"/>
        </w:rPr>
        <w:t xml:space="preserve">Le Document </w:t>
      </w:r>
      <w:hyperlink r:id="rId8" w:history="1">
        <w:r w:rsidR="001466AA" w:rsidRPr="00C0145A">
          <w:rPr>
            <w:rStyle w:val="Hyperlink"/>
            <w:szCs w:val="24"/>
          </w:rPr>
          <w:t>351</w:t>
        </w:r>
      </w:hyperlink>
      <w:r w:rsidR="00BE11D0" w:rsidRPr="00BE11D0">
        <w:t xml:space="preserve"> </w:t>
      </w:r>
      <w:r w:rsidR="001466AA" w:rsidRPr="00BE11D0">
        <w:t>regroupe les résultats obtenus par la CMR-19 dans le cadre de l'examen du rapport du Directeur.</w:t>
      </w:r>
      <w:bookmarkEnd w:id="85"/>
    </w:p>
    <w:p w14:paraId="5EA5DAE9" w14:textId="77777777" w:rsidR="001466AA" w:rsidRPr="00C0145A" w:rsidRDefault="001466AA" w:rsidP="001466AA">
      <w:pPr>
        <w:rPr>
          <w:szCs w:val="24"/>
          <w:lang w:eastAsia="ja-JP"/>
        </w:rPr>
      </w:pPr>
      <w:bookmarkStart w:id="86" w:name="lt_pId201"/>
      <w:r w:rsidRPr="00C0145A">
        <w:rPr>
          <w:szCs w:val="24"/>
          <w:lang w:eastAsia="ja-JP"/>
        </w:rPr>
        <w:t>En ce qui concerne l</w:t>
      </w:r>
      <w:r>
        <w:rPr>
          <w:szCs w:val="24"/>
          <w:lang w:eastAsia="ja-JP"/>
        </w:rPr>
        <w:t>'</w:t>
      </w:r>
      <w:r w:rsidRPr="00C0145A">
        <w:rPr>
          <w:szCs w:val="24"/>
          <w:lang w:eastAsia="ja-JP"/>
        </w:rPr>
        <w:t xml:space="preserve">examen de la section 3.1.2.1, intitulée «Besoins de coordination au titre du numéro </w:t>
      </w:r>
      <w:r w:rsidRPr="004809F6">
        <w:rPr>
          <w:b/>
          <w:bCs/>
          <w:szCs w:val="24"/>
          <w:lang w:eastAsia="ja-JP"/>
        </w:rPr>
        <w:t>9.7</w:t>
      </w:r>
      <w:r w:rsidRPr="00C0145A">
        <w:rPr>
          <w:szCs w:val="24"/>
          <w:lang w:eastAsia="ja-JP"/>
        </w:rPr>
        <w:t xml:space="preserve"> du RR dans le cas d</w:t>
      </w:r>
      <w:r>
        <w:rPr>
          <w:szCs w:val="24"/>
          <w:lang w:eastAsia="ja-JP"/>
        </w:rPr>
        <w:t>'</w:t>
      </w:r>
      <w:r w:rsidRPr="00C0145A">
        <w:rPr>
          <w:szCs w:val="24"/>
          <w:lang w:eastAsia="ja-JP"/>
        </w:rPr>
        <w:t xml:space="preserve">une liaison inter-satellites entre une station spatiale géostationnaire et une station spatiale non géostationnaire, conformément au numéro </w:t>
      </w:r>
      <w:r w:rsidRPr="004809F6">
        <w:rPr>
          <w:b/>
          <w:bCs/>
          <w:szCs w:val="24"/>
          <w:lang w:eastAsia="ja-JP"/>
        </w:rPr>
        <w:t>5.328B</w:t>
      </w:r>
      <w:r w:rsidRPr="00C0145A">
        <w:rPr>
          <w:szCs w:val="24"/>
          <w:lang w:eastAsia="ja-JP"/>
        </w:rPr>
        <w:t xml:space="preserve"> du RR», afin de satisfaire aux exigences du numéro </w:t>
      </w:r>
      <w:r w:rsidRPr="004809F6">
        <w:rPr>
          <w:b/>
          <w:bCs/>
          <w:szCs w:val="24"/>
          <w:lang w:eastAsia="ja-JP"/>
        </w:rPr>
        <w:t>5.328B</w:t>
      </w:r>
      <w:r w:rsidRPr="00C0145A">
        <w:rPr>
          <w:szCs w:val="24"/>
          <w:lang w:eastAsia="ja-JP"/>
        </w:rPr>
        <w:t xml:space="preserve"> du RR et du § 6.4 de la Règle de procédure relative au numéro </w:t>
      </w:r>
      <w:r w:rsidRPr="004809F6">
        <w:rPr>
          <w:b/>
          <w:bCs/>
          <w:szCs w:val="24"/>
          <w:lang w:eastAsia="ja-JP"/>
        </w:rPr>
        <w:t>11.32</w:t>
      </w:r>
      <w:r w:rsidRPr="00C0145A">
        <w:rPr>
          <w:szCs w:val="24"/>
          <w:lang w:eastAsia="ja-JP"/>
        </w:rPr>
        <w:t xml:space="preserve"> du RR, la CMR-19 charge le Bureau d</w:t>
      </w:r>
      <w:r>
        <w:rPr>
          <w:szCs w:val="24"/>
          <w:lang w:eastAsia="ja-JP"/>
        </w:rPr>
        <w:t>'</w:t>
      </w:r>
      <w:r w:rsidRPr="00C0145A">
        <w:rPr>
          <w:szCs w:val="24"/>
          <w:lang w:eastAsia="ja-JP"/>
        </w:rPr>
        <w:t>établir les besoins de coordination pour cette liaison d</w:t>
      </w:r>
      <w:r>
        <w:rPr>
          <w:szCs w:val="24"/>
          <w:lang w:eastAsia="ja-JP"/>
        </w:rPr>
        <w:t>'</w:t>
      </w:r>
      <w:r w:rsidRPr="00C0145A">
        <w:rPr>
          <w:szCs w:val="24"/>
          <w:lang w:eastAsia="ja-JP"/>
        </w:rPr>
        <w:t>une station OSG sur la base du chevauchement de fréquences, de la même façon que pour une station non OSG, jusqu</w:t>
      </w:r>
      <w:r>
        <w:rPr>
          <w:szCs w:val="24"/>
          <w:lang w:eastAsia="ja-JP"/>
        </w:rPr>
        <w:t>'</w:t>
      </w:r>
      <w:r w:rsidRPr="00C0145A">
        <w:rPr>
          <w:szCs w:val="24"/>
          <w:lang w:eastAsia="ja-JP"/>
        </w:rPr>
        <w:t>à ce que d</w:t>
      </w:r>
      <w:r>
        <w:rPr>
          <w:szCs w:val="24"/>
          <w:lang w:eastAsia="ja-JP"/>
        </w:rPr>
        <w:t>'</w:t>
      </w:r>
      <w:r w:rsidRPr="00C0145A">
        <w:rPr>
          <w:szCs w:val="24"/>
          <w:lang w:eastAsia="ja-JP"/>
        </w:rPr>
        <w:t>autres critères ou méthodes soient élaborés.</w:t>
      </w:r>
      <w:bookmarkEnd w:id="86"/>
    </w:p>
    <w:p w14:paraId="1BCBFDFB" w14:textId="77777777" w:rsidR="001466AA" w:rsidRPr="00C0145A" w:rsidRDefault="001466AA" w:rsidP="001466AA">
      <w:pPr>
        <w:rPr>
          <w:szCs w:val="24"/>
        </w:rPr>
      </w:pPr>
      <w:bookmarkStart w:id="87" w:name="lt_pId202"/>
      <w:r w:rsidRPr="00C0145A">
        <w:rPr>
          <w:szCs w:val="24"/>
          <w:lang w:eastAsia="ja-JP"/>
        </w:rPr>
        <w:t>En ce qui concerne l</w:t>
      </w:r>
      <w:r>
        <w:rPr>
          <w:szCs w:val="24"/>
          <w:lang w:eastAsia="ja-JP"/>
        </w:rPr>
        <w:t>'</w:t>
      </w:r>
      <w:r w:rsidRPr="00C0145A">
        <w:rPr>
          <w:szCs w:val="24"/>
          <w:lang w:eastAsia="ja-JP"/>
        </w:rPr>
        <w:t>examen de la section 3.1.3.4, intitulée «Projet de base de données CR/D mise à disposition dans la BR IFIC avant la publication d</w:t>
      </w:r>
      <w:r>
        <w:rPr>
          <w:szCs w:val="24"/>
          <w:lang w:eastAsia="ja-JP"/>
        </w:rPr>
        <w:t>'</w:t>
      </w:r>
      <w:r w:rsidRPr="00C0145A">
        <w:rPr>
          <w:szCs w:val="24"/>
          <w:lang w:eastAsia="ja-JP"/>
        </w:rPr>
        <w:t xml:space="preserve">une section spéciale CR/D conformément au numéro </w:t>
      </w:r>
      <w:r w:rsidRPr="004809F6">
        <w:rPr>
          <w:b/>
          <w:bCs/>
          <w:szCs w:val="24"/>
          <w:lang w:eastAsia="ja-JP"/>
        </w:rPr>
        <w:t>9.53A</w:t>
      </w:r>
      <w:r w:rsidRPr="00C0145A">
        <w:rPr>
          <w:szCs w:val="24"/>
          <w:lang w:eastAsia="ja-JP"/>
        </w:rPr>
        <w:t xml:space="preserve"> du RR», la CMR-19 charge le Bureau de cesser la pratique actuelle consistant à créer un projet de base de données CR/D.</w:t>
      </w:r>
      <w:bookmarkEnd w:id="87"/>
    </w:p>
    <w:p w14:paraId="7BDB37C8" w14:textId="77777777" w:rsidR="001466AA" w:rsidRPr="00C0145A" w:rsidRDefault="001466AA" w:rsidP="001466AA">
      <w:pPr>
        <w:rPr>
          <w:szCs w:val="24"/>
        </w:rPr>
      </w:pPr>
      <w:bookmarkStart w:id="88" w:name="lt_pId203"/>
      <w:r w:rsidRPr="00C0145A">
        <w:rPr>
          <w:szCs w:val="24"/>
          <w:lang w:eastAsia="ja-JP"/>
        </w:rPr>
        <w:t>En ce qui concerne l</w:t>
      </w:r>
      <w:r>
        <w:rPr>
          <w:szCs w:val="24"/>
          <w:lang w:eastAsia="ja-JP"/>
        </w:rPr>
        <w:t>'</w:t>
      </w:r>
      <w:r w:rsidRPr="00C0145A">
        <w:rPr>
          <w:szCs w:val="24"/>
          <w:lang w:eastAsia="ja-JP"/>
        </w:rPr>
        <w:t>examen de la section 3.1.4.2, intitulée «Statut de la coordination d</w:t>
      </w:r>
      <w:r>
        <w:rPr>
          <w:szCs w:val="24"/>
          <w:lang w:eastAsia="ja-JP"/>
        </w:rPr>
        <w:t>'</w:t>
      </w:r>
      <w:r w:rsidRPr="00C0145A">
        <w:rPr>
          <w:szCs w:val="24"/>
          <w:lang w:eastAsia="ja-JP"/>
        </w:rPr>
        <w:t>un réseau à satellite lors de l</w:t>
      </w:r>
      <w:r>
        <w:rPr>
          <w:szCs w:val="24"/>
          <w:lang w:eastAsia="ja-JP"/>
        </w:rPr>
        <w:t>'</w:t>
      </w:r>
      <w:r w:rsidRPr="00C0145A">
        <w:rPr>
          <w:szCs w:val="24"/>
          <w:lang w:eastAsia="ja-JP"/>
        </w:rPr>
        <w:t xml:space="preserve">examen au titre des numéros </w:t>
      </w:r>
      <w:r w:rsidRPr="004809F6">
        <w:rPr>
          <w:b/>
          <w:bCs/>
          <w:szCs w:val="24"/>
          <w:lang w:eastAsia="ja-JP"/>
        </w:rPr>
        <w:t>11.32</w:t>
      </w:r>
      <w:r w:rsidRPr="00C0145A">
        <w:rPr>
          <w:szCs w:val="24"/>
          <w:lang w:eastAsia="ja-JP"/>
        </w:rPr>
        <w:t xml:space="preserve"> et </w:t>
      </w:r>
      <w:r w:rsidRPr="004809F6">
        <w:rPr>
          <w:b/>
          <w:bCs/>
          <w:szCs w:val="24"/>
          <w:lang w:eastAsia="ja-JP"/>
        </w:rPr>
        <w:t>11.32A</w:t>
      </w:r>
      <w:r w:rsidRPr="00C0145A">
        <w:rPr>
          <w:szCs w:val="24"/>
          <w:lang w:eastAsia="ja-JP"/>
        </w:rPr>
        <w:t xml:space="preserve"> du RR», la CMR-19 souscrit à l</w:t>
      </w:r>
      <w:r>
        <w:rPr>
          <w:szCs w:val="24"/>
          <w:lang w:eastAsia="ja-JP"/>
        </w:rPr>
        <w:t>'</w:t>
      </w:r>
      <w:r w:rsidRPr="00C0145A">
        <w:rPr>
          <w:szCs w:val="24"/>
          <w:lang w:eastAsia="ja-JP"/>
        </w:rPr>
        <w:t>élaboration par le Bureau des outils logiciels décrits dans ce paragraphe du rapport du Directeur et confirme que les outils décrits dans ce paragraphe répondront aux besoins des administrations pour communiquer le statut de la coordination vis-à-vis d</w:t>
      </w:r>
      <w:r>
        <w:rPr>
          <w:szCs w:val="24"/>
          <w:lang w:eastAsia="ja-JP"/>
        </w:rPr>
        <w:t>'</w:t>
      </w:r>
      <w:r w:rsidRPr="00C0145A">
        <w:rPr>
          <w:szCs w:val="24"/>
          <w:lang w:eastAsia="ja-JP"/>
        </w:rPr>
        <w:t>une administration affectée.</w:t>
      </w:r>
      <w:bookmarkEnd w:id="88"/>
    </w:p>
    <w:p w14:paraId="23F7FD4D" w14:textId="77777777" w:rsidR="001466AA" w:rsidRPr="00C0145A" w:rsidRDefault="001466AA" w:rsidP="001466AA">
      <w:pPr>
        <w:rPr>
          <w:szCs w:val="24"/>
        </w:rPr>
      </w:pPr>
      <w:bookmarkStart w:id="89" w:name="lt_pId204"/>
      <w:r w:rsidRPr="00C0145A">
        <w:rPr>
          <w:szCs w:val="24"/>
        </w:rPr>
        <w:t>La CMR-19 charge le Bureau, lorsqu</w:t>
      </w:r>
      <w:r>
        <w:rPr>
          <w:szCs w:val="24"/>
        </w:rPr>
        <w:t>'</w:t>
      </w:r>
      <w:r w:rsidRPr="00C0145A">
        <w:rPr>
          <w:szCs w:val="24"/>
        </w:rPr>
        <w:t>il mène à bien l</w:t>
      </w:r>
      <w:r>
        <w:rPr>
          <w:szCs w:val="24"/>
        </w:rPr>
        <w:t>'</w:t>
      </w:r>
      <w:r w:rsidRPr="00C0145A">
        <w:rPr>
          <w:szCs w:val="24"/>
        </w:rPr>
        <w:t xml:space="preserve">examen au titre du numéro </w:t>
      </w:r>
      <w:r w:rsidRPr="004809F6">
        <w:rPr>
          <w:b/>
          <w:bCs/>
          <w:szCs w:val="24"/>
        </w:rPr>
        <w:t>11.32A</w:t>
      </w:r>
      <w:r w:rsidRPr="00C0145A">
        <w:rPr>
          <w:szCs w:val="24"/>
        </w:rPr>
        <w:t xml:space="preserve"> du RR, de tenir également compte du statut de l</w:t>
      </w:r>
      <w:r>
        <w:rPr>
          <w:szCs w:val="24"/>
        </w:rPr>
        <w:t>'</w:t>
      </w:r>
      <w:r w:rsidRPr="00C0145A">
        <w:rPr>
          <w:szCs w:val="24"/>
        </w:rPr>
        <w:t>accord de coordination vis-à-vis des réseaux à satellites des administrations affectées au niveau des fiches de notification lorsque ces renseignements sont fournis, afin que l</w:t>
      </w:r>
      <w:r>
        <w:rPr>
          <w:szCs w:val="24"/>
        </w:rPr>
        <w:t>'</w:t>
      </w:r>
      <w:r w:rsidRPr="00C0145A">
        <w:rPr>
          <w:szCs w:val="24"/>
        </w:rPr>
        <w:t>administration notificatrice puisse tirer parti des accords de coordination déjà obtenus.</w:t>
      </w:r>
      <w:bookmarkEnd w:id="89"/>
    </w:p>
    <w:p w14:paraId="7BBD405F" w14:textId="77777777" w:rsidR="001466AA" w:rsidRPr="00C0145A" w:rsidRDefault="001466AA" w:rsidP="00BE11D0">
      <w:bookmarkStart w:id="90" w:name="lt_pId205"/>
      <w:r w:rsidRPr="00C0145A">
        <w:t>La CMR-19 a décidé de modifier les parties pertinentes de l</w:t>
      </w:r>
      <w:r>
        <w:t>'</w:t>
      </w:r>
      <w:r w:rsidRPr="00C0145A">
        <w:t xml:space="preserve">Appendice </w:t>
      </w:r>
      <w:r w:rsidRPr="004809F6">
        <w:rPr>
          <w:b/>
          <w:bCs/>
        </w:rPr>
        <w:t>4</w:t>
      </w:r>
      <w:r w:rsidRPr="00C0145A">
        <w:t xml:space="preserve"> du RR pour permettre la réalisation de cet examen.</w:t>
      </w:r>
      <w:bookmarkEnd w:id="90"/>
    </w:p>
    <w:p w14:paraId="265B6EB4" w14:textId="77777777" w:rsidR="001466AA" w:rsidRPr="00C0145A" w:rsidRDefault="001466AA" w:rsidP="001466AA">
      <w:pPr>
        <w:rPr>
          <w:szCs w:val="24"/>
        </w:rPr>
      </w:pPr>
      <w:bookmarkStart w:id="91" w:name="lt_pId206"/>
      <w:r w:rsidRPr="00C0145A">
        <w:rPr>
          <w:szCs w:val="24"/>
          <w:lang w:eastAsia="ja-JP"/>
        </w:rPr>
        <w:t>En ce qui concerne l</w:t>
      </w:r>
      <w:r>
        <w:rPr>
          <w:szCs w:val="24"/>
          <w:lang w:eastAsia="ja-JP"/>
        </w:rPr>
        <w:t>'</w:t>
      </w:r>
      <w:r w:rsidRPr="00C0145A">
        <w:rPr>
          <w:szCs w:val="24"/>
          <w:lang w:eastAsia="ja-JP"/>
        </w:rPr>
        <w:t>examen de la section 3.1.4.3, intitulée «Éventuelle révision de l</w:t>
      </w:r>
      <w:r>
        <w:rPr>
          <w:szCs w:val="24"/>
          <w:lang w:eastAsia="ja-JP"/>
        </w:rPr>
        <w:t>'</w:t>
      </w:r>
      <w:r w:rsidRPr="00C0145A">
        <w:rPr>
          <w:szCs w:val="24"/>
          <w:lang w:eastAsia="ja-JP"/>
        </w:rPr>
        <w:t xml:space="preserve">application du numéro </w:t>
      </w:r>
      <w:r w:rsidRPr="004809F6">
        <w:rPr>
          <w:b/>
          <w:bCs/>
          <w:szCs w:val="24"/>
          <w:lang w:eastAsia="ja-JP"/>
        </w:rPr>
        <w:t>11.47</w:t>
      </w:r>
      <w:r w:rsidRPr="00C0145A">
        <w:rPr>
          <w:szCs w:val="24"/>
          <w:lang w:eastAsia="ja-JP"/>
        </w:rPr>
        <w:t xml:space="preserve"> du RR en ce qui concerne les inscriptions provisoires», la CMR-19 a choisi la seconde des deux options à privilégier qui sont présentées dans ce paragraphe du rapport afin de traiter la question soulevée, comme suit:</w:t>
      </w:r>
      <w:bookmarkEnd w:id="91"/>
    </w:p>
    <w:p w14:paraId="1CB2C257" w14:textId="2D053B85" w:rsidR="001466AA" w:rsidRPr="00C0145A" w:rsidRDefault="001466AA" w:rsidP="001466AA">
      <w:pPr>
        <w:rPr>
          <w:szCs w:val="24"/>
        </w:rPr>
      </w:pPr>
      <w:bookmarkStart w:id="92" w:name="lt_pId207"/>
      <w:r w:rsidRPr="00C0145A">
        <w:rPr>
          <w:szCs w:val="24"/>
        </w:rPr>
        <w:t xml:space="preserve">Le Bureau est chargé de remplacer automatiquement les dates prévues de mise en service dans la base de données par la date de fin du délai réglementaire prévu au numéro </w:t>
      </w:r>
      <w:r w:rsidRPr="004809F6">
        <w:rPr>
          <w:b/>
          <w:bCs/>
          <w:szCs w:val="24"/>
        </w:rPr>
        <w:t>11.44</w:t>
      </w:r>
      <w:r w:rsidRPr="00C0145A">
        <w:rPr>
          <w:szCs w:val="24"/>
        </w:rPr>
        <w:t xml:space="preserve"> du RR si le Bureau n</w:t>
      </w:r>
      <w:r>
        <w:rPr>
          <w:szCs w:val="24"/>
        </w:rPr>
        <w:t>'</w:t>
      </w:r>
      <w:r w:rsidRPr="00C0145A">
        <w:rPr>
          <w:szCs w:val="24"/>
        </w:rPr>
        <w:t>a pas reçu de confirmation dans les 4 mois qui suivent la date prévue de mise en service: la modification de la date de mise en service ne fera pas l</w:t>
      </w:r>
      <w:r>
        <w:rPr>
          <w:szCs w:val="24"/>
        </w:rPr>
        <w:t>'</w:t>
      </w:r>
      <w:r w:rsidRPr="00C0145A">
        <w:rPr>
          <w:szCs w:val="24"/>
        </w:rPr>
        <w:t>objet d</w:t>
      </w:r>
      <w:r>
        <w:rPr>
          <w:szCs w:val="24"/>
        </w:rPr>
        <w:t>'</w:t>
      </w:r>
      <w:r w:rsidRPr="00C0145A">
        <w:rPr>
          <w:szCs w:val="24"/>
        </w:rPr>
        <w:t>une publication, mais l</w:t>
      </w:r>
      <w:r>
        <w:rPr>
          <w:szCs w:val="24"/>
        </w:rPr>
        <w:t>'</w:t>
      </w:r>
      <w:r w:rsidRPr="00C0145A">
        <w:rPr>
          <w:szCs w:val="24"/>
        </w:rPr>
        <w:t>information sera mise en ligne sur le site web du BR.</w:t>
      </w:r>
      <w:bookmarkStart w:id="93" w:name="lt_pId208"/>
      <w:bookmarkEnd w:id="92"/>
      <w:r w:rsidR="007418D0">
        <w:rPr>
          <w:szCs w:val="24"/>
        </w:rPr>
        <w:t xml:space="preserve"> </w:t>
      </w:r>
      <w:r w:rsidRPr="00C0145A">
        <w:rPr>
          <w:szCs w:val="24"/>
        </w:rPr>
        <w:t>Cette option ne suppose pas de modification du Règlement des radiocommunications en vigueur.</w:t>
      </w:r>
      <w:bookmarkEnd w:id="93"/>
    </w:p>
    <w:p w14:paraId="0789752A" w14:textId="77777777" w:rsidR="00117348" w:rsidRDefault="001466AA" w:rsidP="001466AA">
      <w:pPr>
        <w:rPr>
          <w:szCs w:val="24"/>
          <w:lang w:eastAsia="ja-JP"/>
        </w:rPr>
      </w:pPr>
      <w:bookmarkStart w:id="94" w:name="lt_pId209"/>
      <w:r w:rsidRPr="00C0145A">
        <w:rPr>
          <w:szCs w:val="24"/>
          <w:lang w:eastAsia="ja-JP"/>
        </w:rPr>
        <w:t>En ce qui concerne l</w:t>
      </w:r>
      <w:r>
        <w:rPr>
          <w:szCs w:val="24"/>
          <w:lang w:eastAsia="ja-JP"/>
        </w:rPr>
        <w:t>'</w:t>
      </w:r>
      <w:r w:rsidRPr="00C0145A">
        <w:rPr>
          <w:szCs w:val="24"/>
          <w:lang w:eastAsia="ja-JP"/>
        </w:rPr>
        <w:t>examen de la section 3.1.7.1, intitulée «Limites de puissance surfacique de</w:t>
      </w:r>
      <w:r w:rsidR="00117348">
        <w:rPr>
          <w:szCs w:val="24"/>
          <w:lang w:eastAsia="ja-JP"/>
        </w:rPr>
        <w:t> </w:t>
      </w:r>
      <w:r w:rsidRPr="00C0145A">
        <w:rPr>
          <w:szCs w:val="24"/>
          <w:lang w:eastAsia="ja-JP"/>
        </w:rPr>
        <w:t>l</w:t>
      </w:r>
      <w:r>
        <w:rPr>
          <w:szCs w:val="24"/>
          <w:lang w:eastAsia="ja-JP"/>
        </w:rPr>
        <w:t>'</w:t>
      </w:r>
      <w:r w:rsidRPr="00C0145A">
        <w:rPr>
          <w:szCs w:val="24"/>
          <w:lang w:eastAsia="ja-JP"/>
        </w:rPr>
        <w:t xml:space="preserve">Article </w:t>
      </w:r>
      <w:r w:rsidRPr="004809F6">
        <w:rPr>
          <w:b/>
          <w:bCs/>
          <w:szCs w:val="24"/>
          <w:lang w:eastAsia="ja-JP"/>
        </w:rPr>
        <w:t>21</w:t>
      </w:r>
      <w:r w:rsidRPr="00C0145A">
        <w:rPr>
          <w:szCs w:val="24"/>
          <w:lang w:eastAsia="ja-JP"/>
        </w:rPr>
        <w:t xml:space="preserve"> du RR applicables au service mobile par satellite dans la bande de fréquences 40</w:t>
      </w:r>
      <w:r w:rsidR="00117348">
        <w:rPr>
          <w:szCs w:val="24"/>
          <w:lang w:eastAsia="ja-JP"/>
        </w:rPr>
        <w:noBreakHyphen/>
      </w:r>
      <w:r w:rsidRPr="00C0145A">
        <w:rPr>
          <w:szCs w:val="24"/>
          <w:lang w:eastAsia="ja-JP"/>
        </w:rPr>
        <w:t>40,5 GHz», la CMR</w:t>
      </w:r>
      <w:r w:rsidR="00117348">
        <w:rPr>
          <w:szCs w:val="24"/>
          <w:lang w:eastAsia="ja-JP"/>
        </w:rPr>
        <w:t>-</w:t>
      </w:r>
      <w:r w:rsidRPr="00C0145A">
        <w:rPr>
          <w:szCs w:val="24"/>
          <w:lang w:eastAsia="ja-JP"/>
        </w:rPr>
        <w:t xml:space="preserve">19 a décidé de rétablir la mention manquante du service mobile par satellite </w:t>
      </w:r>
      <w:r w:rsidR="00117348">
        <w:rPr>
          <w:szCs w:val="24"/>
          <w:lang w:eastAsia="ja-JP"/>
        </w:rPr>
        <w:br w:type="page"/>
      </w:r>
    </w:p>
    <w:p w14:paraId="10D63A02" w14:textId="0546C893" w:rsidR="001466AA" w:rsidRPr="00C0145A" w:rsidRDefault="001466AA" w:rsidP="001466AA">
      <w:pPr>
        <w:rPr>
          <w:szCs w:val="24"/>
        </w:rPr>
      </w:pPr>
      <w:r w:rsidRPr="00C0145A">
        <w:rPr>
          <w:szCs w:val="24"/>
          <w:lang w:eastAsia="ja-JP"/>
        </w:rPr>
        <w:lastRenderedPageBreak/>
        <w:t xml:space="preserve">dans la bande de fréquences 40-40,5 GHz dans le Tableau </w:t>
      </w:r>
      <w:r w:rsidRPr="004809F6">
        <w:rPr>
          <w:b/>
          <w:bCs/>
          <w:szCs w:val="24"/>
          <w:lang w:eastAsia="ja-JP"/>
        </w:rPr>
        <w:t>21-4</w:t>
      </w:r>
      <w:r w:rsidRPr="00C0145A">
        <w:rPr>
          <w:szCs w:val="24"/>
          <w:lang w:eastAsia="ja-JP"/>
        </w:rPr>
        <w:t xml:space="preserve"> du RR et de faire en sorte que cette modification entre en vigueur le 23 novembre 2019.</w:t>
      </w:r>
      <w:bookmarkEnd w:id="94"/>
      <w:r w:rsidRPr="00C0145A">
        <w:rPr>
          <w:szCs w:val="24"/>
        </w:rPr>
        <w:t xml:space="preserve"> </w:t>
      </w:r>
      <w:bookmarkStart w:id="95" w:name="lt_pId210"/>
      <w:r w:rsidRPr="00C0145A">
        <w:rPr>
          <w:szCs w:val="24"/>
        </w:rPr>
        <w:t>En outre, la CMR-19 a chargé le Bureau de ne pas examiner les assignations de fréquence au SMS déjà publiées au moment où ce rétablissement entrera en vigueur.</w:t>
      </w:r>
      <w:bookmarkEnd w:id="95"/>
    </w:p>
    <w:p w14:paraId="057C0D43" w14:textId="74AF39DA" w:rsidR="001466AA" w:rsidRPr="00C0145A" w:rsidRDefault="001466AA" w:rsidP="001466AA">
      <w:pPr>
        <w:rPr>
          <w:szCs w:val="24"/>
        </w:rPr>
      </w:pPr>
      <w:bookmarkStart w:id="96" w:name="lt_pId211"/>
      <w:r w:rsidRPr="00C0145A">
        <w:rPr>
          <w:szCs w:val="24"/>
          <w:lang w:eastAsia="ja-JP"/>
        </w:rPr>
        <w:t>En ce qui concerne l</w:t>
      </w:r>
      <w:r>
        <w:rPr>
          <w:szCs w:val="24"/>
          <w:lang w:eastAsia="ja-JP"/>
        </w:rPr>
        <w:t>'</w:t>
      </w:r>
      <w:r w:rsidRPr="00C0145A">
        <w:rPr>
          <w:szCs w:val="24"/>
          <w:lang w:eastAsia="ja-JP"/>
        </w:rPr>
        <w:t>examen de la section 3.1.7.2, intitulée «Facteur d</w:t>
      </w:r>
      <w:r>
        <w:rPr>
          <w:szCs w:val="24"/>
          <w:lang w:eastAsia="ja-JP"/>
        </w:rPr>
        <w:t>'</w:t>
      </w:r>
      <w:r w:rsidRPr="00C0145A">
        <w:rPr>
          <w:szCs w:val="24"/>
          <w:lang w:eastAsia="ja-JP"/>
        </w:rPr>
        <w:t>échelle dans la définition des limites de puissance surfacique, visées à l</w:t>
      </w:r>
      <w:r>
        <w:rPr>
          <w:szCs w:val="24"/>
          <w:lang w:eastAsia="ja-JP"/>
        </w:rPr>
        <w:t>'</w:t>
      </w:r>
      <w:r w:rsidRPr="00C0145A">
        <w:rPr>
          <w:szCs w:val="24"/>
          <w:lang w:eastAsia="ja-JP"/>
        </w:rPr>
        <w:t xml:space="preserve">Article </w:t>
      </w:r>
      <w:r w:rsidRPr="004809F6">
        <w:rPr>
          <w:b/>
          <w:bCs/>
          <w:szCs w:val="24"/>
          <w:lang w:eastAsia="ja-JP"/>
        </w:rPr>
        <w:t>21</w:t>
      </w:r>
      <w:r w:rsidRPr="00C0145A">
        <w:rPr>
          <w:szCs w:val="24"/>
          <w:lang w:eastAsia="ja-JP"/>
        </w:rPr>
        <w:t xml:space="preserve"> du RR, applicables aux systèmes à satellites non OSG du service fixe par satellite dans la bande de fréquences 17,7-19,3 GHz», la CMR-19 invite l</w:t>
      </w:r>
      <w:r>
        <w:rPr>
          <w:szCs w:val="24"/>
          <w:lang w:eastAsia="ja-JP"/>
        </w:rPr>
        <w:t>'</w:t>
      </w:r>
      <w:r w:rsidRPr="00C0145A">
        <w:rPr>
          <w:szCs w:val="24"/>
          <w:lang w:eastAsia="ja-JP"/>
        </w:rPr>
        <w:t xml:space="preserve">UIT-R à étudier si les équations figurant au numéro </w:t>
      </w:r>
      <w:r w:rsidRPr="004809F6">
        <w:rPr>
          <w:b/>
          <w:bCs/>
          <w:szCs w:val="24"/>
          <w:lang w:eastAsia="ja-JP"/>
        </w:rPr>
        <w:t>21.16.6</w:t>
      </w:r>
      <w:r w:rsidRPr="00C0145A">
        <w:rPr>
          <w:szCs w:val="24"/>
          <w:lang w:eastAsia="ja-JP"/>
        </w:rPr>
        <w:t xml:space="preserve"> du RR sont adaptées aux grands systèmes à satellites non OSG (par exemple ceux comprenant plus de 1 000 satellites).</w:t>
      </w:r>
      <w:bookmarkEnd w:id="96"/>
      <w:r w:rsidRPr="00C0145A">
        <w:rPr>
          <w:szCs w:val="24"/>
        </w:rPr>
        <w:t xml:space="preserve"> </w:t>
      </w:r>
      <w:bookmarkStart w:id="97" w:name="lt_pId212"/>
      <w:r w:rsidRPr="00C0145A">
        <w:rPr>
          <w:szCs w:val="24"/>
        </w:rPr>
        <w:t>Les résultats de ces études pourront être examinés par la CMR-23 au titre du point permanent 7 de l</w:t>
      </w:r>
      <w:r>
        <w:rPr>
          <w:szCs w:val="24"/>
        </w:rPr>
        <w:t>'</w:t>
      </w:r>
      <w:r w:rsidRPr="00C0145A">
        <w:rPr>
          <w:szCs w:val="24"/>
        </w:rPr>
        <w:t>ordre du jour si une Question au titre de ce point de l</w:t>
      </w:r>
      <w:r>
        <w:rPr>
          <w:szCs w:val="24"/>
        </w:rPr>
        <w:t>'</w:t>
      </w:r>
      <w:r w:rsidRPr="00C0145A">
        <w:rPr>
          <w:szCs w:val="24"/>
        </w:rPr>
        <w:t>ordre du jour figure dans le Rapport de la RPC-23.</w:t>
      </w:r>
      <w:bookmarkEnd w:id="97"/>
      <w:r w:rsidRPr="00C0145A">
        <w:rPr>
          <w:szCs w:val="24"/>
        </w:rPr>
        <w:t xml:space="preserve"> </w:t>
      </w:r>
      <w:bookmarkStart w:id="98" w:name="lt_pId213"/>
      <w:r w:rsidRPr="00C0145A">
        <w:rPr>
          <w:szCs w:val="24"/>
        </w:rPr>
        <w:t xml:space="preserve">De plus, la CMR-19 charge le Bureau des radiocommunications de formuler des conclusions favorables conditionnelles au titre des numéros </w:t>
      </w:r>
      <w:r w:rsidRPr="004809F6">
        <w:rPr>
          <w:b/>
          <w:bCs/>
          <w:szCs w:val="24"/>
        </w:rPr>
        <w:t>9.35/11.31</w:t>
      </w:r>
      <w:r w:rsidRPr="00C0145A">
        <w:rPr>
          <w:szCs w:val="24"/>
        </w:rPr>
        <w:t xml:space="preserve"> du RR lorsqu</w:t>
      </w:r>
      <w:r>
        <w:rPr>
          <w:szCs w:val="24"/>
        </w:rPr>
        <w:t>'</w:t>
      </w:r>
      <w:r w:rsidRPr="00C0145A">
        <w:rPr>
          <w:szCs w:val="24"/>
        </w:rPr>
        <w:t>il examinera si les assignations de fréquence aux systèmes à satellites non OSG du SFS respectent les limites de puissance surfacique de l</w:t>
      </w:r>
      <w:r>
        <w:rPr>
          <w:szCs w:val="24"/>
        </w:rPr>
        <w:t>'</w:t>
      </w:r>
      <w:r w:rsidRPr="00C0145A">
        <w:rPr>
          <w:szCs w:val="24"/>
        </w:rPr>
        <w:t xml:space="preserve">Article </w:t>
      </w:r>
      <w:r w:rsidRPr="004809F6">
        <w:rPr>
          <w:b/>
          <w:bCs/>
          <w:szCs w:val="24"/>
        </w:rPr>
        <w:t>21</w:t>
      </w:r>
      <w:r w:rsidRPr="00C0145A">
        <w:rPr>
          <w:szCs w:val="24"/>
        </w:rPr>
        <w:t xml:space="preserve"> du RR applicables dans la bande de fréquences 17,7</w:t>
      </w:r>
      <w:r w:rsidR="00117348">
        <w:rPr>
          <w:szCs w:val="24"/>
        </w:rPr>
        <w:t>-</w:t>
      </w:r>
      <w:r w:rsidRPr="00C0145A">
        <w:rPr>
          <w:szCs w:val="24"/>
        </w:rPr>
        <w:t>19,3 GHz, si l</w:t>
      </w:r>
      <w:r>
        <w:rPr>
          <w:szCs w:val="24"/>
        </w:rPr>
        <w:t>'</w:t>
      </w:r>
      <w:r w:rsidRPr="00C0145A">
        <w:rPr>
          <w:szCs w:val="24"/>
        </w:rPr>
        <w:t>administration notificatrice soumet une demande en ce sens.</w:t>
      </w:r>
      <w:bookmarkEnd w:id="98"/>
      <w:r w:rsidRPr="00C0145A">
        <w:rPr>
          <w:szCs w:val="24"/>
        </w:rPr>
        <w:t xml:space="preserve"> </w:t>
      </w:r>
      <w:bookmarkStart w:id="99" w:name="lt_pId214"/>
      <w:r w:rsidRPr="00C0145A">
        <w:rPr>
          <w:szCs w:val="24"/>
        </w:rPr>
        <w:t>Cette pratique s</w:t>
      </w:r>
      <w:r>
        <w:rPr>
          <w:szCs w:val="24"/>
        </w:rPr>
        <w:t>'</w:t>
      </w:r>
      <w:r w:rsidRPr="00C0145A">
        <w:rPr>
          <w:szCs w:val="24"/>
        </w:rPr>
        <w:t>applique aux systèmes à satellites non OSG du SFS pour lesquels des demandes de coordination ont été reçues entre le 23 novembre 2019 et le dernier jour de la CMR-23.</w:t>
      </w:r>
      <w:bookmarkEnd w:id="99"/>
    </w:p>
    <w:p w14:paraId="03156F1A" w14:textId="4433D56D" w:rsidR="001466AA" w:rsidRPr="00C0145A" w:rsidRDefault="001466AA" w:rsidP="001466AA">
      <w:pPr>
        <w:rPr>
          <w:szCs w:val="24"/>
        </w:rPr>
      </w:pPr>
      <w:bookmarkStart w:id="100" w:name="lt_pId215"/>
      <w:r w:rsidRPr="00C0145A">
        <w:rPr>
          <w:szCs w:val="24"/>
          <w:lang w:eastAsia="ja-JP"/>
        </w:rPr>
        <w:t>En ce qui concerne l</w:t>
      </w:r>
      <w:r>
        <w:rPr>
          <w:szCs w:val="24"/>
          <w:lang w:eastAsia="ja-JP"/>
        </w:rPr>
        <w:t>'</w:t>
      </w:r>
      <w:r w:rsidRPr="00C0145A">
        <w:rPr>
          <w:szCs w:val="24"/>
          <w:lang w:eastAsia="ja-JP"/>
        </w:rPr>
        <w:t>examen de la section 3.2.5.6, intitulée «Points de la grille en mer lors de l</w:t>
      </w:r>
      <w:r>
        <w:rPr>
          <w:szCs w:val="24"/>
          <w:lang w:eastAsia="ja-JP"/>
        </w:rPr>
        <w:t>'</w:t>
      </w:r>
      <w:r w:rsidRPr="00C0145A">
        <w:rPr>
          <w:szCs w:val="24"/>
          <w:lang w:eastAsia="ja-JP"/>
        </w:rPr>
        <w:t>examen à l</w:t>
      </w:r>
      <w:r>
        <w:rPr>
          <w:szCs w:val="24"/>
          <w:lang w:eastAsia="ja-JP"/>
        </w:rPr>
        <w:t>'</w:t>
      </w:r>
      <w:r w:rsidRPr="00C0145A">
        <w:rPr>
          <w:szCs w:val="24"/>
          <w:lang w:eastAsia="ja-JP"/>
        </w:rPr>
        <w:t>aide des méthodes énoncées à l</w:t>
      </w:r>
      <w:r>
        <w:rPr>
          <w:szCs w:val="24"/>
          <w:lang w:eastAsia="ja-JP"/>
        </w:rPr>
        <w:t>'</w:t>
      </w:r>
      <w:r w:rsidRPr="00C0145A">
        <w:rPr>
          <w:szCs w:val="24"/>
          <w:lang w:eastAsia="ja-JP"/>
        </w:rPr>
        <w:t>Annexe 4 de l</w:t>
      </w:r>
      <w:r>
        <w:rPr>
          <w:szCs w:val="24"/>
          <w:lang w:eastAsia="ja-JP"/>
        </w:rPr>
        <w:t>'</w:t>
      </w:r>
      <w:r w:rsidRPr="00C0145A">
        <w:rPr>
          <w:szCs w:val="24"/>
          <w:lang w:eastAsia="ja-JP"/>
        </w:rPr>
        <w:t xml:space="preserve">Appendice </w:t>
      </w:r>
      <w:r w:rsidRPr="004809F6">
        <w:rPr>
          <w:b/>
          <w:bCs/>
          <w:szCs w:val="24"/>
          <w:lang w:eastAsia="ja-JP"/>
        </w:rPr>
        <w:t>30B</w:t>
      </w:r>
      <w:r w:rsidRPr="00C0145A">
        <w:rPr>
          <w:szCs w:val="24"/>
          <w:lang w:eastAsia="ja-JP"/>
        </w:rPr>
        <w:t xml:space="preserve"> du RR», la CMR-19 a décidé que seuls les points de la grille situés sur terre et à l</w:t>
      </w:r>
      <w:r>
        <w:rPr>
          <w:szCs w:val="24"/>
          <w:lang w:eastAsia="ja-JP"/>
        </w:rPr>
        <w:t>'</w:t>
      </w:r>
      <w:r w:rsidRPr="00C0145A">
        <w:rPr>
          <w:szCs w:val="24"/>
          <w:lang w:eastAsia="ja-JP"/>
        </w:rPr>
        <w:t>intérieur de la zone de service devraient être pris en compte en plus des points de mesure en application du paragraphe 2.2 de l</w:t>
      </w:r>
      <w:r>
        <w:rPr>
          <w:szCs w:val="24"/>
          <w:lang w:eastAsia="ja-JP"/>
        </w:rPr>
        <w:t>'</w:t>
      </w:r>
      <w:r w:rsidRPr="00C0145A">
        <w:rPr>
          <w:szCs w:val="24"/>
          <w:lang w:eastAsia="ja-JP"/>
        </w:rPr>
        <w:t>Annexe 4 de l</w:t>
      </w:r>
      <w:r>
        <w:rPr>
          <w:szCs w:val="24"/>
          <w:lang w:eastAsia="ja-JP"/>
        </w:rPr>
        <w:t>'</w:t>
      </w:r>
      <w:r w:rsidRPr="00C0145A">
        <w:rPr>
          <w:szCs w:val="24"/>
          <w:lang w:eastAsia="ja-JP"/>
        </w:rPr>
        <w:t xml:space="preserve">Appendice </w:t>
      </w:r>
      <w:r w:rsidRPr="004809F6">
        <w:rPr>
          <w:b/>
          <w:bCs/>
          <w:szCs w:val="24"/>
          <w:lang w:eastAsia="ja-JP"/>
        </w:rPr>
        <w:t>30B</w:t>
      </w:r>
      <w:r w:rsidRPr="00C0145A">
        <w:rPr>
          <w:szCs w:val="24"/>
          <w:lang w:eastAsia="ja-JP"/>
        </w:rPr>
        <w:t>.</w:t>
      </w:r>
      <w:bookmarkEnd w:id="100"/>
      <w:r w:rsidRPr="00C0145A">
        <w:rPr>
          <w:szCs w:val="24"/>
        </w:rPr>
        <w:t xml:space="preserve"> </w:t>
      </w:r>
      <w:bookmarkStart w:id="101" w:name="lt_pId216"/>
      <w:r w:rsidRPr="00C0145A">
        <w:rPr>
          <w:szCs w:val="24"/>
        </w:rPr>
        <w:t>En prenant cette décision, la CMR-19 a reconnu que, si l</w:t>
      </w:r>
      <w:r>
        <w:rPr>
          <w:szCs w:val="24"/>
        </w:rPr>
        <w:t>'</w:t>
      </w:r>
      <w:r w:rsidRPr="00C0145A">
        <w:rPr>
          <w:szCs w:val="24"/>
        </w:rPr>
        <w:t>utilisation de l</w:t>
      </w:r>
      <w:r>
        <w:rPr>
          <w:szCs w:val="24"/>
        </w:rPr>
        <w:t>'</w:t>
      </w:r>
      <w:r w:rsidRPr="00C0145A">
        <w:rPr>
          <w:szCs w:val="24"/>
        </w:rPr>
        <w:t xml:space="preserve">Appendice </w:t>
      </w:r>
      <w:r w:rsidRPr="004809F6">
        <w:rPr>
          <w:b/>
          <w:bCs/>
          <w:szCs w:val="24"/>
        </w:rPr>
        <w:t>30B</w:t>
      </w:r>
      <w:r w:rsidRPr="00C0145A">
        <w:rPr>
          <w:szCs w:val="24"/>
        </w:rPr>
        <w:t xml:space="preserve"> venait à s</w:t>
      </w:r>
      <w:r>
        <w:rPr>
          <w:szCs w:val="24"/>
        </w:rPr>
        <w:t>'</w:t>
      </w:r>
      <w:r w:rsidRPr="00C0145A">
        <w:rPr>
          <w:szCs w:val="24"/>
        </w:rPr>
        <w:t>étendre au-delà de son utilisation actuelle, il sera peut-être nécessaire de revoir cette décision à l</w:t>
      </w:r>
      <w:r>
        <w:rPr>
          <w:szCs w:val="24"/>
        </w:rPr>
        <w:t>'</w:t>
      </w:r>
      <w:r w:rsidRPr="00C0145A">
        <w:rPr>
          <w:szCs w:val="24"/>
        </w:rPr>
        <w:t>avenir.</w:t>
      </w:r>
      <w:bookmarkEnd w:id="101"/>
      <w:r w:rsidRPr="00C0145A">
        <w:rPr>
          <w:szCs w:val="24"/>
        </w:rPr>
        <w:t xml:space="preserve"> La CMR-19 a en outre décidé que le Bureau des radiocommunications ne devrait pas </w:t>
      </w:r>
      <w:r>
        <w:rPr>
          <w:szCs w:val="24"/>
        </w:rPr>
        <w:t>prendre</w:t>
      </w:r>
      <w:r w:rsidRPr="00C0145A">
        <w:rPr>
          <w:szCs w:val="24"/>
        </w:rPr>
        <w:t xml:space="preserve"> en considération </w:t>
      </w:r>
      <w:r>
        <w:rPr>
          <w:szCs w:val="24"/>
        </w:rPr>
        <w:t>l</w:t>
      </w:r>
      <w:r w:rsidRPr="00C0145A">
        <w:rPr>
          <w:szCs w:val="24"/>
        </w:rPr>
        <w:t xml:space="preserve">es points de mesure situés en mer dans son examen technique et réglementaire des soumissions pertinentes </w:t>
      </w:r>
      <w:r w:rsidR="00593388">
        <w:rPr>
          <w:szCs w:val="24"/>
        </w:rPr>
        <w:t>qui lui sont présentées</w:t>
      </w:r>
      <w:r w:rsidRPr="00C0145A">
        <w:rPr>
          <w:szCs w:val="24"/>
        </w:rPr>
        <w:t>.</w:t>
      </w:r>
    </w:p>
    <w:p w14:paraId="6853EEEB" w14:textId="0340B160" w:rsidR="001466AA" w:rsidRPr="00C0145A" w:rsidRDefault="001466AA" w:rsidP="001466AA">
      <w:pPr>
        <w:rPr>
          <w:szCs w:val="24"/>
        </w:rPr>
      </w:pPr>
      <w:bookmarkStart w:id="102" w:name="lt_pId218"/>
      <w:r w:rsidRPr="00C0145A">
        <w:rPr>
          <w:szCs w:val="24"/>
          <w:lang w:eastAsia="ja-JP"/>
        </w:rPr>
        <w:t>En ce qui concerne l</w:t>
      </w:r>
      <w:r>
        <w:rPr>
          <w:szCs w:val="24"/>
          <w:lang w:eastAsia="ja-JP"/>
        </w:rPr>
        <w:t>'</w:t>
      </w:r>
      <w:r w:rsidRPr="00C0145A">
        <w:rPr>
          <w:szCs w:val="24"/>
          <w:lang w:eastAsia="ja-JP"/>
        </w:rPr>
        <w:t xml:space="preserve">examen de la section 3.3.1, intitulée «Résolution </w:t>
      </w:r>
      <w:r w:rsidRPr="004809F6">
        <w:rPr>
          <w:b/>
          <w:bCs/>
          <w:szCs w:val="24"/>
          <w:lang w:eastAsia="ja-JP"/>
        </w:rPr>
        <w:t>49 (Rév.CMR-15)</w:t>
      </w:r>
      <w:r w:rsidRPr="00C0145A">
        <w:rPr>
          <w:szCs w:val="24"/>
          <w:lang w:eastAsia="ja-JP"/>
        </w:rPr>
        <w:t>», la</w:t>
      </w:r>
      <w:r w:rsidR="00117348">
        <w:rPr>
          <w:szCs w:val="24"/>
          <w:lang w:eastAsia="ja-JP"/>
        </w:rPr>
        <w:t> </w:t>
      </w:r>
      <w:r w:rsidRPr="00C0145A">
        <w:rPr>
          <w:szCs w:val="24"/>
          <w:lang w:eastAsia="ja-JP"/>
        </w:rPr>
        <w:t>CMR</w:t>
      </w:r>
      <w:r w:rsidR="00E2635B">
        <w:rPr>
          <w:szCs w:val="24"/>
          <w:lang w:eastAsia="ja-JP"/>
        </w:rPr>
        <w:noBreakHyphen/>
      </w:r>
      <w:r w:rsidRPr="00C0145A">
        <w:rPr>
          <w:szCs w:val="24"/>
          <w:lang w:eastAsia="ja-JP"/>
        </w:rPr>
        <w:t>19 a décidé d</w:t>
      </w:r>
      <w:r>
        <w:rPr>
          <w:szCs w:val="24"/>
          <w:lang w:eastAsia="ja-JP"/>
        </w:rPr>
        <w:t>'</w:t>
      </w:r>
      <w:r w:rsidRPr="00C0145A">
        <w:rPr>
          <w:szCs w:val="24"/>
          <w:lang w:eastAsia="ja-JP"/>
        </w:rPr>
        <w:t>inviter l</w:t>
      </w:r>
      <w:r>
        <w:rPr>
          <w:szCs w:val="24"/>
          <w:lang w:eastAsia="ja-JP"/>
        </w:rPr>
        <w:t>'</w:t>
      </w:r>
      <w:r w:rsidRPr="00C0145A">
        <w:rPr>
          <w:szCs w:val="24"/>
          <w:lang w:eastAsia="ja-JP"/>
        </w:rPr>
        <w:t>UIT-R à étudier la question de l</w:t>
      </w:r>
      <w:r>
        <w:rPr>
          <w:szCs w:val="24"/>
          <w:lang w:eastAsia="ja-JP"/>
        </w:rPr>
        <w:t>'</w:t>
      </w:r>
      <w:r w:rsidRPr="00C0145A">
        <w:rPr>
          <w:szCs w:val="24"/>
          <w:lang w:eastAsia="ja-JP"/>
        </w:rPr>
        <w:t xml:space="preserve">exigence de mises à jour constante des données au titre de la Résolution </w:t>
      </w:r>
      <w:r w:rsidRPr="004809F6">
        <w:rPr>
          <w:b/>
          <w:bCs/>
          <w:szCs w:val="24"/>
          <w:lang w:eastAsia="ja-JP"/>
        </w:rPr>
        <w:t xml:space="preserve">49 (Rév.CMR-15) </w:t>
      </w:r>
      <w:r w:rsidRPr="00C0145A">
        <w:rPr>
          <w:szCs w:val="24"/>
          <w:lang w:eastAsia="ja-JP"/>
        </w:rPr>
        <w:t xml:space="preserve">et de la rationalisation de la soumission des données au titre de la Résolution </w:t>
      </w:r>
      <w:r w:rsidRPr="004809F6">
        <w:rPr>
          <w:b/>
          <w:bCs/>
          <w:szCs w:val="24"/>
          <w:lang w:eastAsia="ja-JP"/>
        </w:rPr>
        <w:t>49 (Rév.CMR-15)</w:t>
      </w:r>
      <w:r w:rsidRPr="00C0145A">
        <w:rPr>
          <w:szCs w:val="24"/>
          <w:lang w:eastAsia="ja-JP"/>
        </w:rPr>
        <w:t>.</w:t>
      </w:r>
      <w:bookmarkEnd w:id="102"/>
    </w:p>
    <w:p w14:paraId="7701893C" w14:textId="77777777" w:rsidR="001466AA" w:rsidRPr="00C0145A" w:rsidRDefault="001466AA" w:rsidP="001466AA">
      <w:pPr>
        <w:rPr>
          <w:szCs w:val="24"/>
          <w:lang w:eastAsia="zh-CN"/>
        </w:rPr>
      </w:pPr>
      <w:bookmarkStart w:id="103" w:name="lt_pId219"/>
      <w:r w:rsidRPr="00C0145A">
        <w:rPr>
          <w:szCs w:val="24"/>
          <w:lang w:eastAsia="ja-JP"/>
        </w:rPr>
        <w:t>En ce qui concerne l</w:t>
      </w:r>
      <w:r>
        <w:rPr>
          <w:szCs w:val="24"/>
          <w:lang w:eastAsia="ja-JP"/>
        </w:rPr>
        <w:t>'</w:t>
      </w:r>
      <w:r w:rsidRPr="00C0145A">
        <w:rPr>
          <w:szCs w:val="24"/>
          <w:lang w:eastAsia="ja-JP"/>
        </w:rPr>
        <w:t>examen de la section 3.4.2, intitulée «Stations terriennes types du service fixe par satellite», la CMR-19 charge le Bureau de cesser de recueillir des informations sur les stations terriennes types du service fixe par satellite.</w:t>
      </w:r>
      <w:bookmarkEnd w:id="103"/>
    </w:p>
    <w:p w14:paraId="10FAA7CE" w14:textId="56B91BDF" w:rsidR="001466AA" w:rsidRPr="00C0145A" w:rsidRDefault="001466AA" w:rsidP="001466AA">
      <w:pPr>
        <w:rPr>
          <w:szCs w:val="24"/>
          <w:lang w:eastAsia="ja-JP"/>
        </w:rPr>
      </w:pPr>
      <w:bookmarkStart w:id="104" w:name="lt_pId220"/>
      <w:r w:rsidRPr="00C0145A">
        <w:rPr>
          <w:szCs w:val="24"/>
          <w:lang w:eastAsia="ja-JP"/>
        </w:rPr>
        <w:t>En ce qui concerne l</w:t>
      </w:r>
      <w:r>
        <w:rPr>
          <w:szCs w:val="24"/>
          <w:lang w:eastAsia="ja-JP"/>
        </w:rPr>
        <w:t>'</w:t>
      </w:r>
      <w:r w:rsidRPr="00C0145A">
        <w:rPr>
          <w:szCs w:val="24"/>
          <w:lang w:eastAsia="ja-JP"/>
        </w:rPr>
        <w:t>examen de la section 3.4.3, intitulée «Paramètres en nombre excessif», la</w:t>
      </w:r>
      <w:r w:rsidR="00117348">
        <w:rPr>
          <w:szCs w:val="24"/>
          <w:lang w:eastAsia="ja-JP"/>
        </w:rPr>
        <w:t> </w:t>
      </w:r>
      <w:r w:rsidRPr="00C0145A">
        <w:rPr>
          <w:szCs w:val="24"/>
          <w:lang w:eastAsia="ja-JP"/>
        </w:rPr>
        <w:t>CMR-19 invite l</w:t>
      </w:r>
      <w:r>
        <w:rPr>
          <w:szCs w:val="24"/>
          <w:lang w:eastAsia="ja-JP"/>
        </w:rPr>
        <w:t>'</w:t>
      </w:r>
      <w:r w:rsidRPr="00C0145A">
        <w:rPr>
          <w:szCs w:val="24"/>
          <w:lang w:eastAsia="ja-JP"/>
        </w:rPr>
        <w:t>UIT-R à examiner les paramètres évoqués dans ce paragraphe du rapport au cours du prochain cycle d</w:t>
      </w:r>
      <w:r>
        <w:rPr>
          <w:szCs w:val="24"/>
          <w:lang w:eastAsia="ja-JP"/>
        </w:rPr>
        <w:t>'</w:t>
      </w:r>
      <w:r w:rsidRPr="00C0145A">
        <w:rPr>
          <w:szCs w:val="24"/>
          <w:lang w:eastAsia="ja-JP"/>
        </w:rPr>
        <w:t>études et à fournir les indications nécessaires au Bureau.</w:t>
      </w:r>
      <w:bookmarkEnd w:id="104"/>
      <w:r w:rsidR="007418D0">
        <w:rPr>
          <w:szCs w:val="24"/>
          <w:lang w:eastAsia="ja-JP"/>
        </w:rPr>
        <w:t>»</w:t>
      </w:r>
    </w:p>
    <w:p w14:paraId="7B04379D" w14:textId="77777777" w:rsidR="001466AA" w:rsidRPr="00C0145A" w:rsidRDefault="001466AA" w:rsidP="001466AA">
      <w:pPr>
        <w:rPr>
          <w:szCs w:val="24"/>
        </w:rPr>
      </w:pPr>
      <w:r w:rsidRPr="00C0145A">
        <w:rPr>
          <w:szCs w:val="24"/>
        </w:rPr>
        <w:t>3.15</w:t>
      </w:r>
      <w:r w:rsidRPr="00C0145A">
        <w:rPr>
          <w:szCs w:val="24"/>
        </w:rPr>
        <w:tab/>
      </w:r>
      <w:bookmarkStart w:id="105" w:name="lt_pId222"/>
      <w:r w:rsidRPr="00C0145A">
        <w:rPr>
          <w:szCs w:val="24"/>
        </w:rPr>
        <w:t xml:space="preserve">Le Document 451, tel que modifié, est </w:t>
      </w:r>
      <w:r w:rsidRPr="004809F6">
        <w:rPr>
          <w:b/>
          <w:bCs/>
          <w:szCs w:val="24"/>
        </w:rPr>
        <w:t>approuvé</w:t>
      </w:r>
      <w:r w:rsidRPr="00C0145A">
        <w:rPr>
          <w:szCs w:val="24"/>
        </w:rPr>
        <w:t>.</w:t>
      </w:r>
      <w:bookmarkEnd w:id="105"/>
    </w:p>
    <w:p w14:paraId="6BD68190" w14:textId="65D8B98F" w:rsidR="001466AA" w:rsidRPr="00C0145A" w:rsidRDefault="001466AA" w:rsidP="001466AA">
      <w:pPr>
        <w:rPr>
          <w:szCs w:val="24"/>
        </w:rPr>
      </w:pPr>
      <w:r w:rsidRPr="00C0145A">
        <w:rPr>
          <w:szCs w:val="24"/>
        </w:rPr>
        <w:t>3.16</w:t>
      </w:r>
      <w:r w:rsidRPr="00C0145A">
        <w:rPr>
          <w:szCs w:val="24"/>
        </w:rPr>
        <w:tab/>
      </w:r>
      <w:bookmarkStart w:id="106" w:name="lt_pId224"/>
      <w:r w:rsidRPr="00C0145A">
        <w:rPr>
          <w:szCs w:val="24"/>
        </w:rPr>
        <w:t xml:space="preserve">Le </w:t>
      </w:r>
      <w:r w:rsidRPr="004809F6">
        <w:rPr>
          <w:b/>
          <w:bCs/>
          <w:szCs w:val="24"/>
        </w:rPr>
        <w:t>Président de la Commission 5</w:t>
      </w:r>
      <w:r w:rsidRPr="00C0145A">
        <w:rPr>
          <w:szCs w:val="24"/>
        </w:rPr>
        <w:t xml:space="preserve"> présente le Document 452, qui contient le </w:t>
      </w:r>
      <w:r w:rsidR="00593388">
        <w:rPr>
          <w:szCs w:val="24"/>
        </w:rPr>
        <w:t xml:space="preserve">neuvième </w:t>
      </w:r>
      <w:r w:rsidRPr="00C0145A">
        <w:rPr>
          <w:szCs w:val="24"/>
        </w:rPr>
        <w:t xml:space="preserve">rapport de la commission à la plénière, </w:t>
      </w:r>
      <w:r w:rsidR="00593388">
        <w:rPr>
          <w:szCs w:val="24"/>
        </w:rPr>
        <w:t xml:space="preserve">relatif également aux </w:t>
      </w:r>
      <w:r w:rsidRPr="00C0145A">
        <w:rPr>
          <w:szCs w:val="24"/>
        </w:rPr>
        <w:t xml:space="preserve">conclusions </w:t>
      </w:r>
      <w:r>
        <w:rPr>
          <w:szCs w:val="24"/>
        </w:rPr>
        <w:t>de</w:t>
      </w:r>
      <w:r w:rsidRPr="00C0145A">
        <w:rPr>
          <w:szCs w:val="24"/>
        </w:rPr>
        <w:t xml:space="preserve"> la commission concernant le point 9.3 de l</w:t>
      </w:r>
      <w:r>
        <w:rPr>
          <w:szCs w:val="24"/>
        </w:rPr>
        <w:t>'</w:t>
      </w:r>
      <w:r w:rsidRPr="00C0145A">
        <w:rPr>
          <w:szCs w:val="24"/>
        </w:rPr>
        <w:t>ordre du jour.</w:t>
      </w:r>
      <w:bookmarkEnd w:id="106"/>
      <w:r w:rsidRPr="00C0145A">
        <w:rPr>
          <w:szCs w:val="24"/>
        </w:rPr>
        <w:t xml:space="preserve"> </w:t>
      </w:r>
      <w:bookmarkStart w:id="107" w:name="lt_pId225"/>
      <w:r w:rsidRPr="00C0145A">
        <w:rPr>
          <w:szCs w:val="24"/>
        </w:rPr>
        <w:t xml:space="preserve">Il est proposé que le texte ci-dessous, </w:t>
      </w:r>
      <w:r w:rsidR="00593388">
        <w:rPr>
          <w:szCs w:val="24"/>
        </w:rPr>
        <w:t xml:space="preserve">figurant </w:t>
      </w:r>
      <w:r w:rsidRPr="00C0145A">
        <w:rPr>
          <w:szCs w:val="24"/>
        </w:rPr>
        <w:t>dans le Document 452, soit approuvé et inclus dans le procès-verbal de la présente séance, en tant que décision de la Conférence:</w:t>
      </w:r>
      <w:bookmarkEnd w:id="107"/>
    </w:p>
    <w:p w14:paraId="1F355126" w14:textId="38DCE167" w:rsidR="001466AA" w:rsidRPr="00C0145A" w:rsidRDefault="007418D0" w:rsidP="001466AA">
      <w:pPr>
        <w:rPr>
          <w:szCs w:val="24"/>
        </w:rPr>
      </w:pPr>
      <w:bookmarkStart w:id="108" w:name="lt_pId226"/>
      <w:r w:rsidRPr="00C0145A">
        <w:rPr>
          <w:szCs w:val="24"/>
          <w:lang w:eastAsia="ja-JP"/>
        </w:rPr>
        <w:t>«</w:t>
      </w:r>
      <w:r w:rsidR="001466AA" w:rsidRPr="00C0145A">
        <w:rPr>
          <w:szCs w:val="24"/>
        </w:rPr>
        <w:t>Au titre du point 9.3 de l</w:t>
      </w:r>
      <w:r w:rsidR="001466AA">
        <w:rPr>
          <w:szCs w:val="24"/>
        </w:rPr>
        <w:t>'</w:t>
      </w:r>
      <w:r w:rsidR="001466AA" w:rsidRPr="00C0145A">
        <w:rPr>
          <w:szCs w:val="24"/>
        </w:rPr>
        <w:t xml:space="preserve">ordre du jour de la CMR-19, la Conférence a reçu le Document 15 du Comité du Règlement des radiocommunications, intitulé </w:t>
      </w:r>
      <w:r w:rsidR="001466AA" w:rsidRPr="004272B8">
        <w:rPr>
          <w:i/>
          <w:iCs/>
          <w:szCs w:val="24"/>
        </w:rPr>
        <w:t xml:space="preserve">Rapport du Comité du Règlement des radiocommunications à la CMR-19 sur la Résolution </w:t>
      </w:r>
      <w:r w:rsidR="001466AA" w:rsidRPr="00B24970">
        <w:rPr>
          <w:b/>
          <w:bCs/>
          <w:i/>
          <w:iCs/>
          <w:szCs w:val="24"/>
        </w:rPr>
        <w:t>80 (Rév.CMR-07)</w:t>
      </w:r>
      <w:r w:rsidR="001466AA" w:rsidRPr="00C0145A">
        <w:rPr>
          <w:szCs w:val="24"/>
        </w:rPr>
        <w:t>.</w:t>
      </w:r>
      <w:bookmarkEnd w:id="108"/>
      <w:r w:rsidR="001466AA" w:rsidRPr="00C0145A">
        <w:rPr>
          <w:szCs w:val="24"/>
        </w:rPr>
        <w:t xml:space="preserve"> </w:t>
      </w:r>
      <w:bookmarkStart w:id="109" w:name="lt_pId227"/>
      <w:r w:rsidR="001466AA" w:rsidRPr="00C0145A">
        <w:rPr>
          <w:szCs w:val="24"/>
        </w:rPr>
        <w:t xml:space="preserve">Ce rapport présente une synthèse des activités du RRB concernant la Résolution </w:t>
      </w:r>
      <w:r w:rsidR="001466AA" w:rsidRPr="00B24970">
        <w:rPr>
          <w:b/>
          <w:bCs/>
          <w:szCs w:val="24"/>
        </w:rPr>
        <w:t>80 (Rév.CMR-07)</w:t>
      </w:r>
      <w:r w:rsidR="001466AA" w:rsidRPr="00C0145A">
        <w:rPr>
          <w:szCs w:val="24"/>
        </w:rPr>
        <w:t>.</w:t>
      </w:r>
      <w:bookmarkEnd w:id="109"/>
    </w:p>
    <w:p w14:paraId="5B76DE91" w14:textId="77777777" w:rsidR="001466AA" w:rsidRPr="00C0145A" w:rsidRDefault="001466AA" w:rsidP="001466AA">
      <w:pPr>
        <w:rPr>
          <w:bCs/>
          <w:szCs w:val="24"/>
        </w:rPr>
      </w:pPr>
      <w:bookmarkStart w:id="110" w:name="lt_pId228"/>
      <w:r w:rsidRPr="00C0145A">
        <w:rPr>
          <w:szCs w:val="24"/>
          <w:lang w:eastAsia="ja-JP"/>
        </w:rPr>
        <w:lastRenderedPageBreak/>
        <w:t>Lors de l</w:t>
      </w:r>
      <w:r>
        <w:rPr>
          <w:szCs w:val="24"/>
          <w:lang w:eastAsia="ja-JP"/>
        </w:rPr>
        <w:t>'</w:t>
      </w:r>
      <w:r w:rsidRPr="00C0145A">
        <w:rPr>
          <w:szCs w:val="24"/>
          <w:lang w:eastAsia="ja-JP"/>
        </w:rPr>
        <w:t>examen du § 4.2 de ce rapport, intitulé «Liens entre la mise en service et la notification aux fins de l</w:t>
      </w:r>
      <w:r>
        <w:rPr>
          <w:szCs w:val="24"/>
          <w:lang w:eastAsia="ja-JP"/>
        </w:rPr>
        <w:t>'</w:t>
      </w:r>
      <w:r w:rsidRPr="00C0145A">
        <w:rPr>
          <w:szCs w:val="24"/>
          <w:lang w:eastAsia="ja-JP"/>
        </w:rPr>
        <w:t>inscription dans le Fichier de référence international des fréquences», la CMR-19 a décidé que, dans les cas où:</w:t>
      </w:r>
      <w:bookmarkEnd w:id="110"/>
    </w:p>
    <w:p w14:paraId="7A45509E" w14:textId="77777777" w:rsidR="001466AA" w:rsidRPr="00C0145A" w:rsidRDefault="001466AA" w:rsidP="001466AA">
      <w:pPr>
        <w:pStyle w:val="enumlev1"/>
        <w:rPr>
          <w:szCs w:val="24"/>
        </w:rPr>
      </w:pPr>
      <w:bookmarkStart w:id="111" w:name="lt_pId229"/>
      <w:r w:rsidRPr="00117348">
        <w:rPr>
          <w:bCs/>
          <w:szCs w:val="24"/>
        </w:rPr>
        <w:t>a)</w:t>
      </w:r>
      <w:bookmarkEnd w:id="111"/>
      <w:r w:rsidRPr="00C0145A">
        <w:rPr>
          <w:szCs w:val="24"/>
        </w:rPr>
        <w:tab/>
      </w:r>
      <w:bookmarkStart w:id="112" w:name="lt_pId230"/>
      <w:r w:rsidRPr="00C0145A">
        <w:rPr>
          <w:szCs w:val="24"/>
        </w:rPr>
        <w:t xml:space="preserve">les renseignements relatifs à la mise en service des assignations de fréquence dans les Appendices </w:t>
      </w:r>
      <w:r w:rsidRPr="00B24970">
        <w:rPr>
          <w:b/>
          <w:bCs/>
          <w:szCs w:val="24"/>
        </w:rPr>
        <w:t>30</w:t>
      </w:r>
      <w:r w:rsidRPr="00C0145A">
        <w:rPr>
          <w:szCs w:val="24"/>
        </w:rPr>
        <w:t xml:space="preserve">, </w:t>
      </w:r>
      <w:r w:rsidRPr="00B24970">
        <w:rPr>
          <w:b/>
          <w:bCs/>
          <w:szCs w:val="24"/>
        </w:rPr>
        <w:t>30A</w:t>
      </w:r>
      <w:r w:rsidRPr="00C0145A">
        <w:rPr>
          <w:szCs w:val="24"/>
        </w:rPr>
        <w:t xml:space="preserve"> ou </w:t>
      </w:r>
      <w:r w:rsidRPr="00B24970">
        <w:rPr>
          <w:b/>
          <w:bCs/>
          <w:szCs w:val="24"/>
        </w:rPr>
        <w:t>30B</w:t>
      </w:r>
      <w:r w:rsidRPr="00C0145A">
        <w:rPr>
          <w:szCs w:val="24"/>
        </w:rPr>
        <w:t xml:space="preserve"> du RR sont soumis avant la fin de l</w:t>
      </w:r>
      <w:r>
        <w:rPr>
          <w:szCs w:val="24"/>
        </w:rPr>
        <w:t>'</w:t>
      </w:r>
      <w:r w:rsidRPr="00C0145A">
        <w:rPr>
          <w:szCs w:val="24"/>
        </w:rPr>
        <w:t>examen des soumissions de ces assignations de fréquence au titre de la Partie B et pour la notification;</w:t>
      </w:r>
      <w:bookmarkEnd w:id="112"/>
    </w:p>
    <w:p w14:paraId="5032A579" w14:textId="77777777" w:rsidR="001466AA" w:rsidRPr="00C0145A" w:rsidRDefault="001466AA" w:rsidP="001466AA">
      <w:pPr>
        <w:pStyle w:val="enumlev1"/>
        <w:rPr>
          <w:szCs w:val="24"/>
        </w:rPr>
      </w:pPr>
      <w:bookmarkStart w:id="113" w:name="lt_pId231"/>
      <w:r w:rsidRPr="00117348">
        <w:rPr>
          <w:iCs/>
          <w:szCs w:val="24"/>
        </w:rPr>
        <w:t>b)</w:t>
      </w:r>
      <w:bookmarkEnd w:id="113"/>
      <w:r w:rsidRPr="00C0145A">
        <w:rPr>
          <w:szCs w:val="24"/>
        </w:rPr>
        <w:tab/>
      </w:r>
      <w:bookmarkStart w:id="114" w:name="lt_pId232"/>
      <w:r w:rsidRPr="00C0145A">
        <w:rPr>
          <w:szCs w:val="24"/>
        </w:rPr>
        <w:t xml:space="preserve">les exigences au titre des numéros </w:t>
      </w:r>
      <w:r w:rsidRPr="00B24970">
        <w:rPr>
          <w:b/>
          <w:bCs/>
          <w:szCs w:val="24"/>
        </w:rPr>
        <w:t>11.44</w:t>
      </w:r>
      <w:r w:rsidRPr="00C0145A">
        <w:rPr>
          <w:szCs w:val="24"/>
        </w:rPr>
        <w:t xml:space="preserve"> et </w:t>
      </w:r>
      <w:r w:rsidRPr="00B24970">
        <w:rPr>
          <w:b/>
          <w:bCs/>
          <w:szCs w:val="24"/>
        </w:rPr>
        <w:t>11.44B</w:t>
      </w:r>
      <w:r w:rsidRPr="00C0145A">
        <w:rPr>
          <w:szCs w:val="24"/>
        </w:rPr>
        <w:t xml:space="preserve"> du RR ont été respectées pour ces assignations de fréquence avant la fin de l</w:t>
      </w:r>
      <w:r>
        <w:rPr>
          <w:szCs w:val="24"/>
        </w:rPr>
        <w:t>'</w:t>
      </w:r>
      <w:r w:rsidRPr="00C0145A">
        <w:rPr>
          <w:szCs w:val="24"/>
        </w:rPr>
        <w:t>examen des soumissions de ces assignations de fréquence au titre de la Partie B et pour la notification;</w:t>
      </w:r>
      <w:bookmarkEnd w:id="114"/>
    </w:p>
    <w:p w14:paraId="4202F856" w14:textId="77777777" w:rsidR="001466AA" w:rsidRPr="00C0145A" w:rsidRDefault="001466AA" w:rsidP="001466AA">
      <w:pPr>
        <w:pStyle w:val="enumlev1"/>
        <w:rPr>
          <w:szCs w:val="24"/>
        </w:rPr>
      </w:pPr>
      <w:bookmarkStart w:id="115" w:name="lt_pId233"/>
      <w:r w:rsidRPr="00117348">
        <w:rPr>
          <w:iCs/>
          <w:szCs w:val="24"/>
        </w:rPr>
        <w:t>c)</w:t>
      </w:r>
      <w:bookmarkEnd w:id="115"/>
      <w:r w:rsidRPr="00C0145A">
        <w:rPr>
          <w:szCs w:val="24"/>
        </w:rPr>
        <w:tab/>
      </w:r>
      <w:bookmarkStart w:id="116" w:name="lt_pId234"/>
      <w:r w:rsidRPr="00C0145A">
        <w:rPr>
          <w:szCs w:val="24"/>
        </w:rPr>
        <w:t xml:space="preserve">après que les exigences au titre du numéro </w:t>
      </w:r>
      <w:r w:rsidRPr="00B24970">
        <w:rPr>
          <w:b/>
          <w:bCs/>
          <w:szCs w:val="24"/>
        </w:rPr>
        <w:t>11.44B</w:t>
      </w:r>
      <w:r w:rsidRPr="00C0145A">
        <w:rPr>
          <w:szCs w:val="24"/>
        </w:rPr>
        <w:t xml:space="preserve"> du RR ont été respectées, le satellite a été repositionné sur une autre position orbitale avant la fin de l</w:t>
      </w:r>
      <w:r>
        <w:rPr>
          <w:szCs w:val="24"/>
        </w:rPr>
        <w:t>'</w:t>
      </w:r>
      <w:r w:rsidRPr="00C0145A">
        <w:rPr>
          <w:szCs w:val="24"/>
        </w:rPr>
        <w:t>examen de la soumission de ces assignations relative à la notification;</w:t>
      </w:r>
      <w:bookmarkEnd w:id="116"/>
    </w:p>
    <w:p w14:paraId="06FDCBDE" w14:textId="77777777" w:rsidR="001466AA" w:rsidRPr="00C0145A" w:rsidRDefault="001466AA" w:rsidP="001466AA">
      <w:pPr>
        <w:pStyle w:val="enumlev1"/>
        <w:rPr>
          <w:szCs w:val="24"/>
        </w:rPr>
      </w:pPr>
      <w:bookmarkStart w:id="117" w:name="lt_pId235"/>
      <w:r w:rsidRPr="00117348">
        <w:rPr>
          <w:iCs/>
          <w:szCs w:val="24"/>
        </w:rPr>
        <w:t>d)</w:t>
      </w:r>
      <w:bookmarkEnd w:id="117"/>
      <w:r w:rsidRPr="00C0145A">
        <w:rPr>
          <w:szCs w:val="24"/>
        </w:rPr>
        <w:tab/>
      </w:r>
      <w:bookmarkStart w:id="118" w:name="lt_pId236"/>
      <w:r w:rsidRPr="00C0145A">
        <w:rPr>
          <w:szCs w:val="24"/>
        </w:rPr>
        <w:t>l</w:t>
      </w:r>
      <w:r>
        <w:rPr>
          <w:szCs w:val="24"/>
        </w:rPr>
        <w:t>'</w:t>
      </w:r>
      <w:r w:rsidRPr="00C0145A">
        <w:rPr>
          <w:szCs w:val="24"/>
        </w:rPr>
        <w:t>examen de la soumission de ces assignations de fréquence au titre de la Partie B conduit au renvoi de la fiche de notification à l</w:t>
      </w:r>
      <w:r>
        <w:rPr>
          <w:szCs w:val="24"/>
        </w:rPr>
        <w:t>'</w:t>
      </w:r>
      <w:r w:rsidRPr="00C0145A">
        <w:rPr>
          <w:szCs w:val="24"/>
        </w:rPr>
        <w:t>administration notificatrice en raison d</w:t>
      </w:r>
      <w:r>
        <w:rPr>
          <w:szCs w:val="24"/>
        </w:rPr>
        <w:t>'</w:t>
      </w:r>
      <w:r w:rsidRPr="00C0145A">
        <w:rPr>
          <w:szCs w:val="24"/>
        </w:rPr>
        <w:t>une erreur commise par inadvertance par l</w:t>
      </w:r>
      <w:r>
        <w:rPr>
          <w:szCs w:val="24"/>
        </w:rPr>
        <w:t>'</w:t>
      </w:r>
      <w:r w:rsidRPr="00C0145A">
        <w:rPr>
          <w:szCs w:val="24"/>
        </w:rPr>
        <w:t>administration notificatrice;</w:t>
      </w:r>
      <w:bookmarkEnd w:id="118"/>
    </w:p>
    <w:p w14:paraId="5182C835" w14:textId="77777777" w:rsidR="001466AA" w:rsidRPr="00C0145A" w:rsidRDefault="001466AA" w:rsidP="001466AA">
      <w:pPr>
        <w:pStyle w:val="enumlev1"/>
        <w:rPr>
          <w:szCs w:val="24"/>
        </w:rPr>
      </w:pPr>
      <w:bookmarkStart w:id="119" w:name="lt_pId237"/>
      <w:r w:rsidRPr="00117348">
        <w:rPr>
          <w:iCs/>
          <w:szCs w:val="24"/>
        </w:rPr>
        <w:t>e)</w:t>
      </w:r>
      <w:bookmarkEnd w:id="119"/>
      <w:r w:rsidRPr="00C0145A">
        <w:rPr>
          <w:szCs w:val="24"/>
        </w:rPr>
        <w:tab/>
      </w:r>
      <w:bookmarkStart w:id="120" w:name="lt_pId238"/>
      <w:r w:rsidRPr="00C0145A">
        <w:rPr>
          <w:szCs w:val="24"/>
        </w:rPr>
        <w:t>l</w:t>
      </w:r>
      <w:r>
        <w:rPr>
          <w:szCs w:val="24"/>
        </w:rPr>
        <w:t>'</w:t>
      </w:r>
      <w:r w:rsidRPr="00C0145A">
        <w:rPr>
          <w:szCs w:val="24"/>
        </w:rPr>
        <w:t>administration notificatrice informe le Bureau qu</w:t>
      </w:r>
      <w:r>
        <w:rPr>
          <w:szCs w:val="24"/>
        </w:rPr>
        <w:t>'</w:t>
      </w:r>
      <w:r w:rsidRPr="00C0145A">
        <w:rPr>
          <w:szCs w:val="24"/>
        </w:rPr>
        <w:t>elle n</w:t>
      </w:r>
      <w:r>
        <w:rPr>
          <w:szCs w:val="24"/>
        </w:rPr>
        <w:t>'</w:t>
      </w:r>
      <w:r w:rsidRPr="00C0145A">
        <w:rPr>
          <w:szCs w:val="24"/>
        </w:rPr>
        <w:t xml:space="preserve">est pas en mesure de respecter les exigences au titre des numéros </w:t>
      </w:r>
      <w:r w:rsidRPr="00B24970">
        <w:rPr>
          <w:b/>
          <w:bCs/>
          <w:szCs w:val="24"/>
        </w:rPr>
        <w:t>11.44</w:t>
      </w:r>
      <w:r w:rsidRPr="00C0145A">
        <w:rPr>
          <w:szCs w:val="24"/>
        </w:rPr>
        <w:t xml:space="preserve"> et </w:t>
      </w:r>
      <w:r w:rsidRPr="00B24970">
        <w:rPr>
          <w:b/>
          <w:bCs/>
          <w:szCs w:val="24"/>
        </w:rPr>
        <w:t>11.44B</w:t>
      </w:r>
      <w:r w:rsidRPr="00C0145A">
        <w:rPr>
          <w:szCs w:val="24"/>
        </w:rPr>
        <w:t xml:space="preserve"> du RR au moment de présenter une nouvelle soumission des renseignements au titre de la Partie B et pour la notification;</w:t>
      </w:r>
      <w:bookmarkEnd w:id="120"/>
    </w:p>
    <w:p w14:paraId="21477AD0" w14:textId="77777777" w:rsidR="001466AA" w:rsidRPr="00C0145A" w:rsidRDefault="001466AA" w:rsidP="001466AA">
      <w:pPr>
        <w:rPr>
          <w:szCs w:val="24"/>
        </w:rPr>
      </w:pPr>
      <w:bookmarkStart w:id="121" w:name="lt_pId239"/>
      <w:r w:rsidRPr="00C0145A">
        <w:rPr>
          <w:bCs/>
          <w:szCs w:val="24"/>
        </w:rPr>
        <w:t>le Comité du Règlement des radiocommunications est chargé d</w:t>
      </w:r>
      <w:r>
        <w:rPr>
          <w:bCs/>
          <w:szCs w:val="24"/>
        </w:rPr>
        <w:t>'</w:t>
      </w:r>
      <w:r w:rsidRPr="00C0145A">
        <w:rPr>
          <w:bCs/>
          <w:szCs w:val="24"/>
        </w:rPr>
        <w:t xml:space="preserve">examiner, au cas par cas, si le respect des exigences au titre des numéros </w:t>
      </w:r>
      <w:r w:rsidRPr="00B24970">
        <w:rPr>
          <w:b/>
          <w:szCs w:val="24"/>
        </w:rPr>
        <w:t>11.44</w:t>
      </w:r>
      <w:r w:rsidRPr="00C0145A">
        <w:rPr>
          <w:bCs/>
          <w:szCs w:val="24"/>
        </w:rPr>
        <w:t xml:space="preserve"> et </w:t>
      </w:r>
      <w:r w:rsidRPr="00B24970">
        <w:rPr>
          <w:b/>
          <w:szCs w:val="24"/>
        </w:rPr>
        <w:t>11.44B</w:t>
      </w:r>
      <w:r w:rsidRPr="00C0145A">
        <w:rPr>
          <w:bCs/>
          <w:szCs w:val="24"/>
        </w:rPr>
        <w:t xml:space="preserve"> du RR avant la fin de l</w:t>
      </w:r>
      <w:r>
        <w:rPr>
          <w:bCs/>
          <w:szCs w:val="24"/>
        </w:rPr>
        <w:t>'</w:t>
      </w:r>
      <w:r w:rsidRPr="00C0145A">
        <w:rPr>
          <w:bCs/>
          <w:szCs w:val="24"/>
        </w:rPr>
        <w:t>examen des soumissions de ces assignations de fréquence au titre de la Partie B et pour la notification est acceptable aux fins de la mise en service des assignations de fréquence.</w:t>
      </w:r>
      <w:bookmarkEnd w:id="121"/>
    </w:p>
    <w:p w14:paraId="4E3F4412" w14:textId="77777777" w:rsidR="001466AA" w:rsidRPr="00C0145A" w:rsidRDefault="001466AA" w:rsidP="001466AA">
      <w:pPr>
        <w:rPr>
          <w:szCs w:val="24"/>
          <w:lang w:eastAsia="zh-CN"/>
        </w:rPr>
      </w:pPr>
      <w:bookmarkStart w:id="122" w:name="lt_pId240"/>
      <w:r w:rsidRPr="00C0145A">
        <w:rPr>
          <w:szCs w:val="24"/>
          <w:lang w:eastAsia="ja-JP"/>
        </w:rPr>
        <w:t>Lors de l</w:t>
      </w:r>
      <w:r>
        <w:rPr>
          <w:szCs w:val="24"/>
          <w:lang w:eastAsia="ja-JP"/>
        </w:rPr>
        <w:t>'</w:t>
      </w:r>
      <w:r w:rsidRPr="00C0145A">
        <w:rPr>
          <w:szCs w:val="24"/>
          <w:lang w:eastAsia="ja-JP"/>
        </w:rPr>
        <w:t>examen du § 4.3 de ce rapport, intitulé «Questions relatives à la prorogation des délais applicables à la mise en service ou à la remise en service d</w:t>
      </w:r>
      <w:r>
        <w:rPr>
          <w:szCs w:val="24"/>
          <w:lang w:eastAsia="ja-JP"/>
        </w:rPr>
        <w:t>'</w:t>
      </w:r>
      <w:r w:rsidRPr="00C0145A">
        <w:rPr>
          <w:szCs w:val="24"/>
          <w:lang w:eastAsia="ja-JP"/>
        </w:rPr>
        <w:t>une assignation de fréquence»:</w:t>
      </w:r>
      <w:bookmarkEnd w:id="122"/>
    </w:p>
    <w:p w14:paraId="6C233D74" w14:textId="77777777" w:rsidR="001466AA" w:rsidRPr="00C0145A" w:rsidRDefault="001466AA" w:rsidP="001466AA">
      <w:pPr>
        <w:rPr>
          <w:szCs w:val="24"/>
          <w:lang w:eastAsia="ja-JP"/>
        </w:rPr>
      </w:pPr>
      <w:bookmarkStart w:id="123" w:name="lt_pId241"/>
      <w:r w:rsidRPr="00C0145A">
        <w:rPr>
          <w:szCs w:val="24"/>
          <w:lang w:eastAsia="zh-CN"/>
        </w:rPr>
        <w:t>En ce qui concerne le § 4.3.4, intitulé «Cas de retards dus à l</w:t>
      </w:r>
      <w:r>
        <w:rPr>
          <w:szCs w:val="24"/>
          <w:lang w:eastAsia="zh-CN"/>
        </w:rPr>
        <w:t>'</w:t>
      </w:r>
      <w:r w:rsidRPr="00C0145A">
        <w:rPr>
          <w:szCs w:val="24"/>
          <w:lang w:eastAsia="zh-CN"/>
        </w:rPr>
        <w:t>embarquement d</w:t>
      </w:r>
      <w:r>
        <w:rPr>
          <w:szCs w:val="24"/>
          <w:lang w:eastAsia="zh-CN"/>
        </w:rPr>
        <w:t>'</w:t>
      </w:r>
      <w:r w:rsidRPr="00C0145A">
        <w:rPr>
          <w:szCs w:val="24"/>
          <w:lang w:eastAsia="zh-CN"/>
        </w:rPr>
        <w:t>un autre satellite sur le même lanceur», la CMR-19 a décidé que le Comité doit examiner la nécessité que les renseignements suivants lui soient fournis, selon qu</w:t>
      </w:r>
      <w:r>
        <w:rPr>
          <w:szCs w:val="24"/>
          <w:lang w:eastAsia="zh-CN"/>
        </w:rPr>
        <w:t>'</w:t>
      </w:r>
      <w:r w:rsidRPr="00C0145A">
        <w:rPr>
          <w:szCs w:val="24"/>
          <w:lang w:eastAsia="zh-CN"/>
        </w:rPr>
        <w:t>il conviendra, lorsqu</w:t>
      </w:r>
      <w:r>
        <w:rPr>
          <w:szCs w:val="24"/>
          <w:lang w:eastAsia="zh-CN"/>
        </w:rPr>
        <w:t>'</w:t>
      </w:r>
      <w:r w:rsidRPr="00C0145A">
        <w:rPr>
          <w:szCs w:val="24"/>
          <w:lang w:eastAsia="zh-CN"/>
        </w:rPr>
        <w:t>il est amené à examiner une demande de prorogation du délai réglementaire en cas de retard dû à l</w:t>
      </w:r>
      <w:r>
        <w:rPr>
          <w:szCs w:val="24"/>
          <w:lang w:eastAsia="zh-CN"/>
        </w:rPr>
        <w:t>'</w:t>
      </w:r>
      <w:r w:rsidRPr="00C0145A">
        <w:rPr>
          <w:szCs w:val="24"/>
          <w:lang w:eastAsia="zh-CN"/>
        </w:rPr>
        <w:t>embarquement d</w:t>
      </w:r>
      <w:r>
        <w:rPr>
          <w:szCs w:val="24"/>
          <w:lang w:eastAsia="zh-CN"/>
        </w:rPr>
        <w:t>'</w:t>
      </w:r>
      <w:r w:rsidRPr="00C0145A">
        <w:rPr>
          <w:szCs w:val="24"/>
          <w:lang w:eastAsia="zh-CN"/>
        </w:rPr>
        <w:t>un autre satellite sur le même lanceur:</w:t>
      </w:r>
      <w:bookmarkEnd w:id="123"/>
    </w:p>
    <w:p w14:paraId="1EF97FF5" w14:textId="77777777" w:rsidR="001466AA" w:rsidRPr="00C0145A" w:rsidRDefault="001466AA" w:rsidP="001466AA">
      <w:pPr>
        <w:pStyle w:val="enumlev1"/>
        <w:rPr>
          <w:szCs w:val="24"/>
        </w:rPr>
      </w:pPr>
      <w:r w:rsidRPr="00C0145A">
        <w:rPr>
          <w:szCs w:val="24"/>
        </w:rPr>
        <w:t>–</w:t>
      </w:r>
      <w:r w:rsidRPr="00C0145A">
        <w:rPr>
          <w:szCs w:val="24"/>
        </w:rPr>
        <w:tab/>
      </w:r>
      <w:bookmarkStart w:id="124" w:name="lt_pId243"/>
      <w:r w:rsidRPr="00C0145A">
        <w:rPr>
          <w:szCs w:val="24"/>
        </w:rPr>
        <w:t>description succincte du satellite devant être lancé, accompagnée des bandes de fréquences;</w:t>
      </w:r>
      <w:bookmarkEnd w:id="124"/>
    </w:p>
    <w:p w14:paraId="64AE945F" w14:textId="77777777" w:rsidR="001466AA" w:rsidRPr="00C0145A" w:rsidRDefault="001466AA" w:rsidP="001466AA">
      <w:pPr>
        <w:pStyle w:val="enumlev1"/>
        <w:rPr>
          <w:szCs w:val="24"/>
        </w:rPr>
      </w:pPr>
      <w:r w:rsidRPr="00C0145A">
        <w:rPr>
          <w:szCs w:val="24"/>
        </w:rPr>
        <w:t>–</w:t>
      </w:r>
      <w:r w:rsidRPr="00C0145A">
        <w:rPr>
          <w:szCs w:val="24"/>
        </w:rPr>
        <w:tab/>
      </w:r>
      <w:bookmarkStart w:id="125" w:name="lt_pId245"/>
      <w:r w:rsidRPr="00C0145A">
        <w:rPr>
          <w:szCs w:val="24"/>
        </w:rPr>
        <w:t>nom du constructeur retenu pour la construction du satellite et date de signature du contrat;</w:t>
      </w:r>
      <w:bookmarkEnd w:id="125"/>
    </w:p>
    <w:p w14:paraId="187EED76" w14:textId="77777777" w:rsidR="001466AA" w:rsidRPr="00C0145A" w:rsidRDefault="001466AA" w:rsidP="001466AA">
      <w:pPr>
        <w:pStyle w:val="enumlev1"/>
        <w:rPr>
          <w:szCs w:val="24"/>
        </w:rPr>
      </w:pPr>
      <w:r w:rsidRPr="00C0145A">
        <w:rPr>
          <w:szCs w:val="24"/>
        </w:rPr>
        <w:t>–</w:t>
      </w:r>
      <w:r w:rsidRPr="00C0145A">
        <w:rPr>
          <w:szCs w:val="24"/>
        </w:rPr>
        <w:tab/>
      </w:r>
      <w:bookmarkStart w:id="126" w:name="lt_pId247"/>
      <w:r w:rsidRPr="00C0145A">
        <w:rPr>
          <w:szCs w:val="24"/>
        </w:rPr>
        <w:t>l</w:t>
      </w:r>
      <w:r>
        <w:rPr>
          <w:szCs w:val="24"/>
        </w:rPr>
        <w:t>'</w:t>
      </w:r>
      <w:r w:rsidRPr="00C0145A">
        <w:rPr>
          <w:szCs w:val="24"/>
        </w:rPr>
        <w:t>état d</w:t>
      </w:r>
      <w:r>
        <w:rPr>
          <w:szCs w:val="24"/>
        </w:rPr>
        <w:t>'</w:t>
      </w:r>
      <w:r w:rsidRPr="00C0145A">
        <w:rPr>
          <w:szCs w:val="24"/>
        </w:rPr>
        <w:t>avancement de la construction du satellite, y compris la date de début et une précision indiquant s</w:t>
      </w:r>
      <w:r>
        <w:rPr>
          <w:szCs w:val="24"/>
        </w:rPr>
        <w:t>'</w:t>
      </w:r>
      <w:r w:rsidRPr="00C0145A">
        <w:rPr>
          <w:szCs w:val="24"/>
        </w:rPr>
        <w:t>il était prévu que sa construction soit achevée avant la fenêtre de lancement initiale;</w:t>
      </w:r>
      <w:bookmarkEnd w:id="126"/>
    </w:p>
    <w:p w14:paraId="58687F63" w14:textId="77777777" w:rsidR="001466AA" w:rsidRPr="00C0145A" w:rsidRDefault="001466AA" w:rsidP="001466AA">
      <w:pPr>
        <w:pStyle w:val="enumlev1"/>
        <w:rPr>
          <w:szCs w:val="24"/>
        </w:rPr>
      </w:pPr>
      <w:r w:rsidRPr="00C0145A">
        <w:rPr>
          <w:szCs w:val="24"/>
        </w:rPr>
        <w:t>–</w:t>
      </w:r>
      <w:r w:rsidRPr="00C0145A">
        <w:rPr>
          <w:szCs w:val="24"/>
        </w:rPr>
        <w:tab/>
      </w:r>
      <w:bookmarkStart w:id="127" w:name="lt_pId249"/>
      <w:r w:rsidRPr="00C0145A">
        <w:rPr>
          <w:szCs w:val="24"/>
        </w:rPr>
        <w:t>nom du fournisseur du lanceur et date de signature du contrat;</w:t>
      </w:r>
      <w:bookmarkEnd w:id="127"/>
    </w:p>
    <w:p w14:paraId="3BEBE9A8" w14:textId="77777777" w:rsidR="001466AA" w:rsidRPr="00C0145A" w:rsidRDefault="001466AA" w:rsidP="001466AA">
      <w:pPr>
        <w:pStyle w:val="enumlev1"/>
        <w:rPr>
          <w:szCs w:val="24"/>
        </w:rPr>
      </w:pPr>
      <w:r w:rsidRPr="00C0145A">
        <w:rPr>
          <w:szCs w:val="24"/>
        </w:rPr>
        <w:t>–</w:t>
      </w:r>
      <w:r w:rsidRPr="00C0145A">
        <w:rPr>
          <w:szCs w:val="24"/>
        </w:rPr>
        <w:tab/>
      </w:r>
      <w:bookmarkStart w:id="128" w:name="lt_pId251"/>
      <w:r w:rsidRPr="00C0145A">
        <w:rPr>
          <w:szCs w:val="24"/>
        </w:rPr>
        <w:t>fenêtre de lancement initiale et révisée;</w:t>
      </w:r>
      <w:bookmarkEnd w:id="128"/>
    </w:p>
    <w:p w14:paraId="646FB310" w14:textId="77777777" w:rsidR="001466AA" w:rsidRPr="00C0145A" w:rsidRDefault="001466AA" w:rsidP="001466AA">
      <w:pPr>
        <w:pStyle w:val="enumlev1"/>
        <w:rPr>
          <w:szCs w:val="24"/>
        </w:rPr>
      </w:pPr>
      <w:r w:rsidRPr="00C0145A">
        <w:rPr>
          <w:szCs w:val="24"/>
        </w:rPr>
        <w:t>–</w:t>
      </w:r>
      <w:r w:rsidRPr="00C0145A">
        <w:rPr>
          <w:szCs w:val="24"/>
        </w:rPr>
        <w:tab/>
      </w:r>
      <w:bookmarkStart w:id="129" w:name="lt_pId253"/>
      <w:r w:rsidRPr="00C0145A">
        <w:rPr>
          <w:szCs w:val="24"/>
        </w:rPr>
        <w:t>précisions suffisantes pour justifier que la demande de prorogation est imputable à un retard dû à l</w:t>
      </w:r>
      <w:r>
        <w:rPr>
          <w:szCs w:val="24"/>
        </w:rPr>
        <w:t>'</w:t>
      </w:r>
      <w:r w:rsidRPr="00C0145A">
        <w:rPr>
          <w:szCs w:val="24"/>
        </w:rPr>
        <w:t>embarquement d</w:t>
      </w:r>
      <w:r>
        <w:rPr>
          <w:szCs w:val="24"/>
        </w:rPr>
        <w:t>'</w:t>
      </w:r>
      <w:r w:rsidRPr="00C0145A">
        <w:rPr>
          <w:szCs w:val="24"/>
        </w:rPr>
        <w:t>un autre satellite sur le même lanceur (par exemple lettre du fournisseur de lancement indiquant que le lancement est retardé en raison d</w:t>
      </w:r>
      <w:r>
        <w:rPr>
          <w:szCs w:val="24"/>
        </w:rPr>
        <w:t>'</w:t>
      </w:r>
      <w:r w:rsidRPr="00C0145A">
        <w:rPr>
          <w:szCs w:val="24"/>
        </w:rPr>
        <w:t>un retard ayant des incidences sur l</w:t>
      </w:r>
      <w:r>
        <w:rPr>
          <w:szCs w:val="24"/>
        </w:rPr>
        <w:t>'</w:t>
      </w:r>
      <w:r w:rsidRPr="00C0145A">
        <w:rPr>
          <w:szCs w:val="24"/>
        </w:rPr>
        <w:t>autre satellite à embarquer sur le même lanceur);</w:t>
      </w:r>
      <w:bookmarkEnd w:id="129"/>
    </w:p>
    <w:p w14:paraId="2C354F45" w14:textId="77777777" w:rsidR="001466AA" w:rsidRPr="00C0145A" w:rsidRDefault="001466AA" w:rsidP="001466AA">
      <w:pPr>
        <w:pStyle w:val="enumlev1"/>
        <w:rPr>
          <w:szCs w:val="24"/>
        </w:rPr>
      </w:pPr>
      <w:r w:rsidRPr="00C0145A">
        <w:rPr>
          <w:szCs w:val="24"/>
        </w:rPr>
        <w:t>–</w:t>
      </w:r>
      <w:r w:rsidRPr="00C0145A">
        <w:rPr>
          <w:szCs w:val="24"/>
        </w:rPr>
        <w:tab/>
      </w:r>
      <w:bookmarkStart w:id="130" w:name="lt_pId255"/>
      <w:r w:rsidRPr="00C0145A">
        <w:rPr>
          <w:szCs w:val="24"/>
        </w:rPr>
        <w:t>précisions suffisantes pour justifier la durée de la période de prorogation demandée;</w:t>
      </w:r>
      <w:bookmarkEnd w:id="130"/>
    </w:p>
    <w:p w14:paraId="142ED778" w14:textId="77777777" w:rsidR="001466AA" w:rsidRPr="00C0145A" w:rsidRDefault="001466AA" w:rsidP="001466AA">
      <w:pPr>
        <w:pStyle w:val="enumlev1"/>
        <w:rPr>
          <w:szCs w:val="24"/>
        </w:rPr>
      </w:pPr>
      <w:r w:rsidRPr="00C0145A">
        <w:rPr>
          <w:szCs w:val="24"/>
        </w:rPr>
        <w:t>–</w:t>
      </w:r>
      <w:r w:rsidRPr="00C0145A">
        <w:rPr>
          <w:szCs w:val="24"/>
        </w:rPr>
        <w:tab/>
      </w:r>
      <w:bookmarkStart w:id="131" w:name="lt_pId257"/>
      <w:r w:rsidRPr="00C0145A">
        <w:rPr>
          <w:szCs w:val="24"/>
        </w:rPr>
        <w:t>tout autre renseignement et document pertinents.</w:t>
      </w:r>
      <w:bookmarkEnd w:id="131"/>
    </w:p>
    <w:p w14:paraId="640CE26B" w14:textId="77777777" w:rsidR="001466AA" w:rsidRPr="00C0145A" w:rsidRDefault="001466AA" w:rsidP="001466AA">
      <w:pPr>
        <w:rPr>
          <w:szCs w:val="24"/>
          <w:lang w:eastAsia="zh-CN"/>
        </w:rPr>
      </w:pPr>
      <w:bookmarkStart w:id="132" w:name="lt_pId258"/>
      <w:r w:rsidRPr="00C0145A">
        <w:rPr>
          <w:szCs w:val="24"/>
          <w:lang w:eastAsia="zh-CN"/>
        </w:rPr>
        <w:lastRenderedPageBreak/>
        <w:t>En ce qui concerne le § 4.3.5, intitulé «Respects des délais réglementaires en ce qui concerne les stations spatiales utilisant la propulsion électrique», la CMR-19 a décidé d</w:t>
      </w:r>
      <w:r>
        <w:rPr>
          <w:szCs w:val="24"/>
          <w:lang w:eastAsia="zh-CN"/>
        </w:rPr>
        <w:t>'</w:t>
      </w:r>
      <w:r w:rsidRPr="00C0145A">
        <w:rPr>
          <w:szCs w:val="24"/>
          <w:lang w:eastAsia="zh-CN"/>
        </w:rPr>
        <w:t>inviter l</w:t>
      </w:r>
      <w:r>
        <w:rPr>
          <w:szCs w:val="24"/>
          <w:lang w:eastAsia="zh-CN"/>
        </w:rPr>
        <w:t>'</w:t>
      </w:r>
      <w:r w:rsidRPr="00C0145A">
        <w:rPr>
          <w:szCs w:val="24"/>
          <w:lang w:eastAsia="zh-CN"/>
        </w:rPr>
        <w:t>UIT-R à étudier si l</w:t>
      </w:r>
      <w:r>
        <w:rPr>
          <w:szCs w:val="24"/>
          <w:lang w:eastAsia="zh-CN"/>
        </w:rPr>
        <w:t>'</w:t>
      </w:r>
      <w:r w:rsidRPr="00C0145A">
        <w:rPr>
          <w:szCs w:val="24"/>
          <w:lang w:eastAsia="zh-CN"/>
        </w:rPr>
        <w:t>utilisation de technologies satellitaires à propulsion électrique devrait être prise en considération dans le Règlement des radiocommunications, pour examen par une future CMR compétente.</w:t>
      </w:r>
      <w:bookmarkEnd w:id="132"/>
    </w:p>
    <w:p w14:paraId="5D571C2E" w14:textId="77777777" w:rsidR="001466AA" w:rsidRPr="00C0145A" w:rsidRDefault="001466AA" w:rsidP="001466AA">
      <w:pPr>
        <w:rPr>
          <w:rFonts w:eastAsiaTheme="minorEastAsia"/>
          <w:szCs w:val="24"/>
          <w:lang w:eastAsia="zh-CN"/>
        </w:rPr>
      </w:pPr>
      <w:bookmarkStart w:id="133" w:name="lt_pId259"/>
      <w:r w:rsidRPr="00C0145A">
        <w:rPr>
          <w:szCs w:val="24"/>
          <w:lang w:eastAsia="zh-CN"/>
        </w:rPr>
        <w:t>Lors de l</w:t>
      </w:r>
      <w:r>
        <w:rPr>
          <w:szCs w:val="24"/>
          <w:lang w:eastAsia="zh-CN"/>
        </w:rPr>
        <w:t>'</w:t>
      </w:r>
      <w:r w:rsidRPr="00C0145A">
        <w:rPr>
          <w:szCs w:val="24"/>
          <w:lang w:eastAsia="zh-CN"/>
        </w:rPr>
        <w:t>examen des demandes remplissant les conditions requises pour être considérées comme un cas de force majeure ou un cas de retard dû à l</w:t>
      </w:r>
      <w:r>
        <w:rPr>
          <w:szCs w:val="24"/>
          <w:lang w:eastAsia="zh-CN"/>
        </w:rPr>
        <w:t>'</w:t>
      </w:r>
      <w:r w:rsidRPr="00C0145A">
        <w:rPr>
          <w:szCs w:val="24"/>
          <w:lang w:eastAsia="zh-CN"/>
        </w:rPr>
        <w:t>embarquement d</w:t>
      </w:r>
      <w:r>
        <w:rPr>
          <w:szCs w:val="24"/>
          <w:lang w:eastAsia="zh-CN"/>
        </w:rPr>
        <w:t>'</w:t>
      </w:r>
      <w:r w:rsidRPr="00C0145A">
        <w:rPr>
          <w:szCs w:val="24"/>
          <w:lang w:eastAsia="zh-CN"/>
        </w:rPr>
        <w:t>un autre satellite sur le même lanceur, la CMR-19 charge le RRB de continuer de prendre en considération l</w:t>
      </w:r>
      <w:r>
        <w:rPr>
          <w:szCs w:val="24"/>
          <w:lang w:eastAsia="zh-CN"/>
        </w:rPr>
        <w:t>'</w:t>
      </w:r>
      <w:r w:rsidRPr="00C0145A">
        <w:rPr>
          <w:szCs w:val="24"/>
          <w:lang w:eastAsia="zh-CN"/>
        </w:rPr>
        <w:t>utilisation de systèmes de propulsion électriques au cas par cas au moment de déterminer la durée de la prorogation, en fonction des spécificités de chaque cas.</w:t>
      </w:r>
      <w:bookmarkEnd w:id="133"/>
    </w:p>
    <w:p w14:paraId="71E0ED78" w14:textId="2C75B4D9" w:rsidR="001466AA" w:rsidRPr="00C0145A" w:rsidRDefault="001466AA" w:rsidP="001466AA">
      <w:pPr>
        <w:rPr>
          <w:iCs/>
          <w:szCs w:val="24"/>
          <w:lang w:eastAsia="zh-CN"/>
        </w:rPr>
      </w:pPr>
      <w:bookmarkStart w:id="134" w:name="lt_pId260"/>
      <w:r w:rsidRPr="00C0145A">
        <w:rPr>
          <w:szCs w:val="24"/>
          <w:lang w:eastAsia="zh-CN"/>
        </w:rPr>
        <w:t>En ce qui concerne le § 4.3.6, intitulé «Demandes de pays en développement ne remplissant pas les conditions requises pour être considérées comme un cas de force majeure ou un cas de retard dû à l</w:t>
      </w:r>
      <w:r>
        <w:rPr>
          <w:szCs w:val="24"/>
          <w:lang w:eastAsia="zh-CN"/>
        </w:rPr>
        <w:t>'</w:t>
      </w:r>
      <w:r w:rsidRPr="00C0145A">
        <w:rPr>
          <w:szCs w:val="24"/>
          <w:lang w:eastAsia="zh-CN"/>
        </w:rPr>
        <w:t>embarquement d</w:t>
      </w:r>
      <w:r>
        <w:rPr>
          <w:szCs w:val="24"/>
          <w:lang w:eastAsia="zh-CN"/>
        </w:rPr>
        <w:t>'</w:t>
      </w:r>
      <w:r w:rsidRPr="00C0145A">
        <w:rPr>
          <w:szCs w:val="24"/>
          <w:lang w:eastAsia="zh-CN"/>
        </w:rPr>
        <w:t>un autre satellite sur le même lanceur», la CMR-19 invite l</w:t>
      </w:r>
      <w:r>
        <w:rPr>
          <w:szCs w:val="24"/>
          <w:lang w:eastAsia="zh-CN"/>
        </w:rPr>
        <w:t>'</w:t>
      </w:r>
      <w:r w:rsidRPr="00C0145A">
        <w:rPr>
          <w:szCs w:val="24"/>
          <w:lang w:eastAsia="zh-CN"/>
        </w:rPr>
        <w:t>UIT-R à étudier la question des demandes de prorogation des délais réglementaires présentées par des pays en développement ne remplissant pas les conditions requises pour être considérées comme un cas de force majeure ou un cas de retard dû à l</w:t>
      </w:r>
      <w:r>
        <w:rPr>
          <w:szCs w:val="24"/>
          <w:lang w:eastAsia="zh-CN"/>
        </w:rPr>
        <w:t>'</w:t>
      </w:r>
      <w:r w:rsidRPr="00C0145A">
        <w:rPr>
          <w:szCs w:val="24"/>
          <w:lang w:eastAsia="zh-CN"/>
        </w:rPr>
        <w:t>embarquement d</w:t>
      </w:r>
      <w:r>
        <w:rPr>
          <w:szCs w:val="24"/>
          <w:lang w:eastAsia="zh-CN"/>
        </w:rPr>
        <w:t>'</w:t>
      </w:r>
      <w:r w:rsidRPr="00C0145A">
        <w:rPr>
          <w:szCs w:val="24"/>
          <w:lang w:eastAsia="zh-CN"/>
        </w:rPr>
        <w:t>un autre satellite sur le même lanceur et à élaborer les critères et les conditions spécifiques en fonction desquels le RRB pourrait envisager d</w:t>
      </w:r>
      <w:r>
        <w:rPr>
          <w:szCs w:val="24"/>
          <w:lang w:eastAsia="zh-CN"/>
        </w:rPr>
        <w:t>'</w:t>
      </w:r>
      <w:r w:rsidRPr="00C0145A">
        <w:rPr>
          <w:szCs w:val="24"/>
          <w:lang w:eastAsia="zh-CN"/>
        </w:rPr>
        <w:t>accorder une prorogation du délai réglementaire à un pays en développement.</w:t>
      </w:r>
      <w:bookmarkEnd w:id="134"/>
    </w:p>
    <w:p w14:paraId="5D030FD9" w14:textId="790696F9" w:rsidR="001466AA" w:rsidRPr="00C0145A" w:rsidRDefault="001466AA" w:rsidP="001466AA">
      <w:pPr>
        <w:rPr>
          <w:bCs/>
          <w:szCs w:val="24"/>
        </w:rPr>
      </w:pPr>
      <w:bookmarkStart w:id="135" w:name="lt_pId261"/>
      <w:bookmarkStart w:id="136" w:name="_Hlk24360461"/>
      <w:r w:rsidRPr="00C0145A">
        <w:rPr>
          <w:szCs w:val="24"/>
          <w:lang w:eastAsia="ja-JP"/>
        </w:rPr>
        <w:t>Lors de l</w:t>
      </w:r>
      <w:r>
        <w:rPr>
          <w:szCs w:val="24"/>
          <w:lang w:eastAsia="ja-JP"/>
        </w:rPr>
        <w:t>'</w:t>
      </w:r>
      <w:r w:rsidRPr="00C0145A">
        <w:rPr>
          <w:szCs w:val="24"/>
          <w:lang w:eastAsia="ja-JP"/>
        </w:rPr>
        <w:t>examen du § 4.4 de ce rapport, intitulé «Demandes de transfert de la fonction d</w:t>
      </w:r>
      <w:r>
        <w:rPr>
          <w:szCs w:val="24"/>
          <w:lang w:eastAsia="ja-JP"/>
        </w:rPr>
        <w:t>'</w:t>
      </w:r>
      <w:r w:rsidRPr="00C0145A">
        <w:rPr>
          <w:szCs w:val="24"/>
          <w:lang w:eastAsia="ja-JP"/>
        </w:rPr>
        <w:t>«administration notificatrice» d</w:t>
      </w:r>
      <w:r>
        <w:rPr>
          <w:szCs w:val="24"/>
          <w:lang w:eastAsia="ja-JP"/>
        </w:rPr>
        <w:t>'</w:t>
      </w:r>
      <w:r w:rsidRPr="00C0145A">
        <w:rPr>
          <w:szCs w:val="24"/>
          <w:lang w:eastAsia="ja-JP"/>
        </w:rPr>
        <w:t>une administration à une autre ou de changement d</w:t>
      </w:r>
      <w:r>
        <w:rPr>
          <w:szCs w:val="24"/>
          <w:lang w:eastAsia="ja-JP"/>
        </w:rPr>
        <w:t>'</w:t>
      </w:r>
      <w:r w:rsidRPr="00C0145A">
        <w:rPr>
          <w:szCs w:val="24"/>
          <w:lang w:eastAsia="ja-JP"/>
        </w:rPr>
        <w:t>«administration notificatrice»», la CMR a confirmé l</w:t>
      </w:r>
      <w:r>
        <w:rPr>
          <w:szCs w:val="24"/>
          <w:lang w:eastAsia="ja-JP"/>
        </w:rPr>
        <w:t>'</w:t>
      </w:r>
      <w:r w:rsidRPr="00C0145A">
        <w:rPr>
          <w:szCs w:val="24"/>
          <w:lang w:eastAsia="ja-JP"/>
        </w:rPr>
        <w:t>approche suivie jusqu</w:t>
      </w:r>
      <w:r>
        <w:rPr>
          <w:szCs w:val="24"/>
          <w:lang w:eastAsia="ja-JP"/>
        </w:rPr>
        <w:t>'</w:t>
      </w:r>
      <w:r w:rsidRPr="00C0145A">
        <w:rPr>
          <w:szCs w:val="24"/>
          <w:lang w:eastAsia="ja-JP"/>
        </w:rPr>
        <w:t>à présent par le Comité relative au traitement des cas de changement d</w:t>
      </w:r>
      <w:r>
        <w:rPr>
          <w:szCs w:val="24"/>
          <w:lang w:eastAsia="ja-JP"/>
        </w:rPr>
        <w:t>'</w:t>
      </w:r>
      <w:r w:rsidRPr="00C0145A">
        <w:rPr>
          <w:szCs w:val="24"/>
          <w:lang w:eastAsia="ja-JP"/>
        </w:rPr>
        <w:t>administration notificatrice, lorsque celle-ci assume les fonctions d</w:t>
      </w:r>
      <w:r>
        <w:rPr>
          <w:szCs w:val="24"/>
          <w:lang w:eastAsia="ja-JP"/>
        </w:rPr>
        <w:t>'</w:t>
      </w:r>
      <w:r w:rsidRPr="00C0145A">
        <w:rPr>
          <w:szCs w:val="24"/>
          <w:lang w:eastAsia="ja-JP"/>
        </w:rPr>
        <w:t>administration notificatrice agissant au nom d</w:t>
      </w:r>
      <w:r>
        <w:rPr>
          <w:szCs w:val="24"/>
          <w:lang w:eastAsia="ja-JP"/>
        </w:rPr>
        <w:t>'</w:t>
      </w:r>
      <w:r w:rsidRPr="00C0145A">
        <w:rPr>
          <w:szCs w:val="24"/>
          <w:lang w:eastAsia="ja-JP"/>
        </w:rPr>
        <w:t>une organisation intergouvernementale de télécommunications par satellite pour un réseau à satellite de cette organisation intergouvernementale, en faveur d</w:t>
      </w:r>
      <w:r>
        <w:rPr>
          <w:szCs w:val="24"/>
          <w:lang w:eastAsia="ja-JP"/>
        </w:rPr>
        <w:t>'</w:t>
      </w:r>
      <w:r w:rsidRPr="00C0145A">
        <w:rPr>
          <w:szCs w:val="24"/>
          <w:lang w:eastAsia="ja-JP"/>
        </w:rPr>
        <w:t>une administration, membre de cette organisation, agissant en son nom propre.</w:t>
      </w:r>
      <w:bookmarkEnd w:id="135"/>
      <w:r w:rsidRPr="00C0145A">
        <w:rPr>
          <w:bCs/>
          <w:szCs w:val="24"/>
        </w:rPr>
        <w:t xml:space="preserve"> </w:t>
      </w:r>
      <w:bookmarkStart w:id="137" w:name="lt_pId262"/>
      <w:r w:rsidRPr="00C0145A">
        <w:rPr>
          <w:bCs/>
          <w:szCs w:val="24"/>
        </w:rPr>
        <w:t>La CMR-19 a décidé en outre qu</w:t>
      </w:r>
      <w:r>
        <w:rPr>
          <w:bCs/>
          <w:szCs w:val="24"/>
        </w:rPr>
        <w:t>'</w:t>
      </w:r>
      <w:r w:rsidRPr="00C0145A">
        <w:rPr>
          <w:bCs/>
          <w:szCs w:val="24"/>
        </w:rPr>
        <w:t>une lettre d</w:t>
      </w:r>
      <w:r>
        <w:rPr>
          <w:bCs/>
          <w:szCs w:val="24"/>
        </w:rPr>
        <w:t>'</w:t>
      </w:r>
      <w:r w:rsidRPr="00C0145A">
        <w:rPr>
          <w:bCs/>
          <w:szCs w:val="24"/>
        </w:rPr>
        <w:t>une autorité compétente appropriée de cette organisation intergouvernementale de télécommunications par satellite est requise pour confirmer son approbation quant au changement d</w:t>
      </w:r>
      <w:r>
        <w:rPr>
          <w:bCs/>
          <w:szCs w:val="24"/>
        </w:rPr>
        <w:t>'</w:t>
      </w:r>
      <w:r w:rsidRPr="00C0145A">
        <w:rPr>
          <w:bCs/>
          <w:szCs w:val="24"/>
        </w:rPr>
        <w:t>administration notificatrice.</w:t>
      </w:r>
      <w:bookmarkEnd w:id="137"/>
      <w:r w:rsidRPr="00C0145A">
        <w:rPr>
          <w:bCs/>
          <w:szCs w:val="24"/>
        </w:rPr>
        <w:t xml:space="preserve"> </w:t>
      </w:r>
      <w:bookmarkStart w:id="138" w:name="lt_pId263"/>
      <w:r w:rsidRPr="00C0145A">
        <w:rPr>
          <w:bCs/>
          <w:szCs w:val="24"/>
        </w:rPr>
        <w:t>En outre, la CMR-19 a décidé que le Comité refusera une demande de changement dans les cas suivants:</w:t>
      </w:r>
      <w:bookmarkEnd w:id="138"/>
    </w:p>
    <w:p w14:paraId="5983F064" w14:textId="77777777" w:rsidR="001466AA" w:rsidRPr="00C0145A" w:rsidRDefault="001466AA" w:rsidP="001466AA">
      <w:pPr>
        <w:pStyle w:val="enumlev1"/>
        <w:rPr>
          <w:szCs w:val="24"/>
        </w:rPr>
      </w:pPr>
      <w:r w:rsidRPr="00C0145A">
        <w:rPr>
          <w:szCs w:val="24"/>
        </w:rPr>
        <w:t>–</w:t>
      </w:r>
      <w:r w:rsidRPr="00C0145A">
        <w:rPr>
          <w:szCs w:val="24"/>
        </w:rPr>
        <w:tab/>
      </w:r>
      <w:bookmarkStart w:id="139" w:name="lt_pId265"/>
      <w:r w:rsidRPr="00C0145A">
        <w:rPr>
          <w:szCs w:val="24"/>
        </w:rPr>
        <w:t>administration notificatrice agissant au nom d</w:t>
      </w:r>
      <w:r>
        <w:rPr>
          <w:szCs w:val="24"/>
        </w:rPr>
        <w:t>'</w:t>
      </w:r>
      <w:r w:rsidRPr="00C0145A">
        <w:rPr>
          <w:szCs w:val="24"/>
        </w:rPr>
        <w:t>une organisation intergouvernementale de télécommunications par satellite pour un réseau à satellite de cette organisation intergouvernementale, en faveur d</w:t>
      </w:r>
      <w:r>
        <w:rPr>
          <w:szCs w:val="24"/>
        </w:rPr>
        <w:t>'</w:t>
      </w:r>
      <w:r w:rsidRPr="00C0145A">
        <w:rPr>
          <w:szCs w:val="24"/>
        </w:rPr>
        <w:t>une administration qui n</w:t>
      </w:r>
      <w:r>
        <w:rPr>
          <w:szCs w:val="24"/>
        </w:rPr>
        <w:t>'</w:t>
      </w:r>
      <w:r w:rsidRPr="00C0145A">
        <w:rPr>
          <w:szCs w:val="24"/>
        </w:rPr>
        <w:t>est pas membre de cette organisation;</w:t>
      </w:r>
      <w:bookmarkEnd w:id="139"/>
    </w:p>
    <w:p w14:paraId="35AA1022" w14:textId="77777777" w:rsidR="001466AA" w:rsidRPr="00C0145A" w:rsidRDefault="001466AA" w:rsidP="001466AA">
      <w:pPr>
        <w:pStyle w:val="enumlev1"/>
        <w:rPr>
          <w:szCs w:val="24"/>
        </w:rPr>
      </w:pPr>
      <w:r w:rsidRPr="00C0145A">
        <w:rPr>
          <w:szCs w:val="24"/>
        </w:rPr>
        <w:t>–</w:t>
      </w:r>
      <w:r w:rsidRPr="00C0145A">
        <w:rPr>
          <w:szCs w:val="24"/>
        </w:rPr>
        <w:tab/>
      </w:r>
      <w:bookmarkStart w:id="140" w:name="lt_pId267"/>
      <w:r w:rsidRPr="00C0145A">
        <w:rPr>
          <w:szCs w:val="24"/>
        </w:rPr>
        <w:t>administration notificatrice agissant en son nom propre pour un réseau à satellite ou un système à satellites, en faveur d</w:t>
      </w:r>
      <w:r>
        <w:rPr>
          <w:szCs w:val="24"/>
        </w:rPr>
        <w:t>'</w:t>
      </w:r>
      <w:r w:rsidRPr="00C0145A">
        <w:rPr>
          <w:szCs w:val="24"/>
        </w:rPr>
        <w:t>une autre administration notificatrice agissant en son nom propre; ou</w:t>
      </w:r>
      <w:bookmarkEnd w:id="140"/>
      <w:r w:rsidRPr="00C0145A">
        <w:rPr>
          <w:szCs w:val="24"/>
        </w:rPr>
        <w:t xml:space="preserve"> </w:t>
      </w:r>
    </w:p>
    <w:p w14:paraId="5839C017" w14:textId="77777777" w:rsidR="001466AA" w:rsidRPr="00C0145A" w:rsidRDefault="001466AA" w:rsidP="001466AA">
      <w:pPr>
        <w:pStyle w:val="enumlev1"/>
        <w:rPr>
          <w:szCs w:val="24"/>
        </w:rPr>
      </w:pPr>
      <w:r w:rsidRPr="00C0145A">
        <w:rPr>
          <w:szCs w:val="24"/>
        </w:rPr>
        <w:t>–</w:t>
      </w:r>
      <w:r w:rsidRPr="00C0145A">
        <w:rPr>
          <w:szCs w:val="24"/>
        </w:rPr>
        <w:tab/>
      </w:r>
      <w:bookmarkStart w:id="141" w:name="lt_pId269"/>
      <w:bookmarkStart w:id="142" w:name="_Toc520420664"/>
      <w:bookmarkStart w:id="143" w:name="_Toc16501764"/>
      <w:bookmarkStart w:id="144" w:name="_Toc4119430"/>
      <w:bookmarkEnd w:id="136"/>
      <w:r w:rsidRPr="00C0145A">
        <w:rPr>
          <w:szCs w:val="24"/>
        </w:rPr>
        <w:t>administration notificatrice agissant au nom d</w:t>
      </w:r>
      <w:r>
        <w:rPr>
          <w:szCs w:val="24"/>
        </w:rPr>
        <w:t>'</w:t>
      </w:r>
      <w:r w:rsidRPr="00C0145A">
        <w:rPr>
          <w:szCs w:val="24"/>
        </w:rPr>
        <w:t>un groupe d</w:t>
      </w:r>
      <w:r>
        <w:rPr>
          <w:szCs w:val="24"/>
        </w:rPr>
        <w:t>'</w:t>
      </w:r>
      <w:r w:rsidRPr="00C0145A">
        <w:rPr>
          <w:szCs w:val="24"/>
        </w:rPr>
        <w:t>administrations nommément désignées qui ne sont pas membres d</w:t>
      </w:r>
      <w:r>
        <w:rPr>
          <w:szCs w:val="24"/>
        </w:rPr>
        <w:t>'</w:t>
      </w:r>
      <w:r w:rsidRPr="00C0145A">
        <w:rPr>
          <w:szCs w:val="24"/>
        </w:rPr>
        <w:t>une organisation intergouvernementale de télécommunications par satellite, en faveur d</w:t>
      </w:r>
      <w:r>
        <w:rPr>
          <w:szCs w:val="24"/>
        </w:rPr>
        <w:t>'</w:t>
      </w:r>
      <w:r w:rsidRPr="00C0145A">
        <w:rPr>
          <w:szCs w:val="24"/>
        </w:rPr>
        <w:t>une autre administration de ce groupe.</w:t>
      </w:r>
      <w:bookmarkEnd w:id="141"/>
    </w:p>
    <w:p w14:paraId="3A8B2718" w14:textId="3E6C3BC3" w:rsidR="001466AA" w:rsidRPr="00C0145A" w:rsidRDefault="001466AA" w:rsidP="001466AA">
      <w:pPr>
        <w:rPr>
          <w:szCs w:val="24"/>
        </w:rPr>
      </w:pPr>
      <w:bookmarkStart w:id="145" w:name="lt_pId270"/>
      <w:bookmarkEnd w:id="142"/>
      <w:bookmarkEnd w:id="143"/>
      <w:bookmarkEnd w:id="144"/>
      <w:r w:rsidRPr="00C0145A">
        <w:rPr>
          <w:szCs w:val="24"/>
          <w:lang w:eastAsia="ja-JP"/>
        </w:rPr>
        <w:t>Lors de l</w:t>
      </w:r>
      <w:r>
        <w:rPr>
          <w:szCs w:val="24"/>
          <w:lang w:eastAsia="ja-JP"/>
        </w:rPr>
        <w:t>'</w:t>
      </w:r>
      <w:r w:rsidRPr="00C0145A">
        <w:rPr>
          <w:szCs w:val="24"/>
          <w:lang w:eastAsia="ja-JP"/>
        </w:rPr>
        <w:t>examen du § 4.5 de ce rapport, intitulé «Interprétation de la définition d</w:t>
      </w:r>
      <w:r>
        <w:rPr>
          <w:szCs w:val="24"/>
          <w:lang w:eastAsia="ja-JP"/>
        </w:rPr>
        <w:t>'</w:t>
      </w:r>
      <w:r w:rsidRPr="00C0145A">
        <w:rPr>
          <w:szCs w:val="24"/>
          <w:lang w:eastAsia="ja-JP"/>
        </w:rPr>
        <w:t xml:space="preserve">un «réseau à satellite» donnée au numéro </w:t>
      </w:r>
      <w:r w:rsidRPr="00B24970">
        <w:rPr>
          <w:b/>
          <w:bCs/>
          <w:szCs w:val="24"/>
          <w:lang w:eastAsia="ja-JP"/>
        </w:rPr>
        <w:t>1.112</w:t>
      </w:r>
      <w:r w:rsidRPr="00C0145A">
        <w:rPr>
          <w:szCs w:val="24"/>
          <w:lang w:eastAsia="ja-JP"/>
        </w:rPr>
        <w:t xml:space="preserve"> du RR et dans la Règle de procédure relative au numéro </w:t>
      </w:r>
      <w:r w:rsidRPr="00B24970">
        <w:rPr>
          <w:b/>
          <w:bCs/>
          <w:szCs w:val="24"/>
          <w:lang w:eastAsia="ja-JP"/>
        </w:rPr>
        <w:t>1.112</w:t>
      </w:r>
      <w:r w:rsidRPr="00C0145A">
        <w:rPr>
          <w:szCs w:val="24"/>
          <w:lang w:eastAsia="ja-JP"/>
        </w:rPr>
        <w:t>», la CMR-19 a décidé que la question soulevée dans ce paragraphe du rapport était traitée directement au titre de la Question H du point 7 de l</w:t>
      </w:r>
      <w:r>
        <w:rPr>
          <w:szCs w:val="24"/>
          <w:lang w:eastAsia="ja-JP"/>
        </w:rPr>
        <w:t>'</w:t>
      </w:r>
      <w:r w:rsidRPr="00C0145A">
        <w:rPr>
          <w:szCs w:val="24"/>
          <w:lang w:eastAsia="ja-JP"/>
        </w:rPr>
        <w:t>ordre du jour de la CMR-19.</w:t>
      </w:r>
      <w:bookmarkEnd w:id="145"/>
      <w:r w:rsidR="007418D0">
        <w:rPr>
          <w:szCs w:val="24"/>
          <w:lang w:eastAsia="ja-JP"/>
        </w:rPr>
        <w:t>»</w:t>
      </w:r>
    </w:p>
    <w:p w14:paraId="07679D69" w14:textId="77777777" w:rsidR="001466AA" w:rsidRPr="00C0145A" w:rsidRDefault="001466AA" w:rsidP="001466AA">
      <w:pPr>
        <w:rPr>
          <w:szCs w:val="24"/>
        </w:rPr>
      </w:pPr>
      <w:r w:rsidRPr="00C0145A">
        <w:rPr>
          <w:szCs w:val="24"/>
        </w:rPr>
        <w:t>3.17</w:t>
      </w:r>
      <w:r w:rsidRPr="00C0145A">
        <w:rPr>
          <w:szCs w:val="24"/>
        </w:rPr>
        <w:tab/>
      </w:r>
      <w:bookmarkStart w:id="146" w:name="lt_pId272"/>
      <w:r w:rsidRPr="00C0145A">
        <w:rPr>
          <w:szCs w:val="24"/>
        </w:rPr>
        <w:t xml:space="preserve">Il en est ainsi </w:t>
      </w:r>
      <w:r w:rsidRPr="00B24970">
        <w:rPr>
          <w:b/>
          <w:bCs/>
          <w:szCs w:val="24"/>
        </w:rPr>
        <w:t>décidé</w:t>
      </w:r>
      <w:r w:rsidRPr="00C0145A">
        <w:rPr>
          <w:szCs w:val="24"/>
        </w:rPr>
        <w:t>.</w:t>
      </w:r>
      <w:bookmarkEnd w:id="146"/>
    </w:p>
    <w:p w14:paraId="2D0E88E2" w14:textId="77777777" w:rsidR="001466AA" w:rsidRPr="00C0145A" w:rsidRDefault="001466AA" w:rsidP="001466AA">
      <w:pPr>
        <w:rPr>
          <w:szCs w:val="24"/>
        </w:rPr>
      </w:pPr>
      <w:r w:rsidRPr="00C0145A">
        <w:rPr>
          <w:szCs w:val="24"/>
        </w:rPr>
        <w:t>3.18</w:t>
      </w:r>
      <w:r w:rsidRPr="00C0145A">
        <w:rPr>
          <w:szCs w:val="24"/>
        </w:rPr>
        <w:tab/>
      </w:r>
      <w:bookmarkStart w:id="147" w:name="lt_pId274"/>
      <w:r w:rsidRPr="00C0145A">
        <w:rPr>
          <w:szCs w:val="24"/>
        </w:rPr>
        <w:t xml:space="preserve">Le Document 452 est </w:t>
      </w:r>
      <w:r w:rsidRPr="00B24970">
        <w:rPr>
          <w:b/>
          <w:bCs/>
          <w:szCs w:val="24"/>
        </w:rPr>
        <w:t>approuvé</w:t>
      </w:r>
      <w:r w:rsidRPr="00C0145A">
        <w:rPr>
          <w:szCs w:val="24"/>
        </w:rPr>
        <w:t>.</w:t>
      </w:r>
      <w:bookmarkEnd w:id="147"/>
    </w:p>
    <w:p w14:paraId="21A6015F" w14:textId="1D81D006" w:rsidR="001466AA" w:rsidRPr="00C0145A" w:rsidRDefault="001466AA" w:rsidP="001466AA">
      <w:pPr>
        <w:rPr>
          <w:szCs w:val="24"/>
        </w:rPr>
      </w:pPr>
      <w:r w:rsidRPr="00C0145A">
        <w:rPr>
          <w:szCs w:val="24"/>
        </w:rPr>
        <w:lastRenderedPageBreak/>
        <w:t>3.19</w:t>
      </w:r>
      <w:r w:rsidRPr="00C0145A">
        <w:rPr>
          <w:szCs w:val="24"/>
        </w:rPr>
        <w:tab/>
      </w:r>
      <w:bookmarkStart w:id="148" w:name="lt_pId276"/>
      <w:r w:rsidRPr="00C0145A">
        <w:rPr>
          <w:szCs w:val="24"/>
        </w:rPr>
        <w:t xml:space="preserve">Le </w:t>
      </w:r>
      <w:r w:rsidRPr="00B24970">
        <w:rPr>
          <w:b/>
          <w:bCs/>
          <w:szCs w:val="24"/>
        </w:rPr>
        <w:t>Président de la Commission 6</w:t>
      </w:r>
      <w:r w:rsidRPr="00C0145A">
        <w:rPr>
          <w:szCs w:val="24"/>
        </w:rPr>
        <w:t xml:space="preserve"> présente le Document 471, qui contient le quatrième rapport de la commission à la plénière, relatif aux conclusions de </w:t>
      </w:r>
      <w:r>
        <w:rPr>
          <w:szCs w:val="24"/>
        </w:rPr>
        <w:t xml:space="preserve">la </w:t>
      </w:r>
      <w:r w:rsidRPr="00C0145A">
        <w:rPr>
          <w:szCs w:val="24"/>
        </w:rPr>
        <w:t xml:space="preserve">commission </w:t>
      </w:r>
      <w:r w:rsidR="00593388">
        <w:rPr>
          <w:szCs w:val="24"/>
        </w:rPr>
        <w:t xml:space="preserve">concernant </w:t>
      </w:r>
      <w:r w:rsidRPr="00C0145A">
        <w:rPr>
          <w:szCs w:val="24"/>
        </w:rPr>
        <w:t>le point</w:t>
      </w:r>
      <w:r w:rsidR="00593388">
        <w:rPr>
          <w:szCs w:val="24"/>
        </w:rPr>
        <w:t> </w:t>
      </w:r>
      <w:r w:rsidRPr="00C0145A">
        <w:rPr>
          <w:szCs w:val="24"/>
        </w:rPr>
        <w:t>4 de l</w:t>
      </w:r>
      <w:r>
        <w:rPr>
          <w:szCs w:val="24"/>
        </w:rPr>
        <w:t>'</w:t>
      </w:r>
      <w:r w:rsidRPr="00C0145A">
        <w:rPr>
          <w:szCs w:val="24"/>
        </w:rPr>
        <w:t>ordre du jour et les Résolutions 85 (CMR-03) et 750 (Rév.CMR-15).</w:t>
      </w:r>
      <w:bookmarkEnd w:id="148"/>
      <w:r w:rsidRPr="00C0145A">
        <w:rPr>
          <w:szCs w:val="24"/>
        </w:rPr>
        <w:t xml:space="preserve"> </w:t>
      </w:r>
      <w:bookmarkStart w:id="149" w:name="lt_pId277"/>
      <w:r w:rsidRPr="00C0145A">
        <w:rPr>
          <w:szCs w:val="24"/>
        </w:rPr>
        <w:t xml:space="preserve">Après </w:t>
      </w:r>
      <w:r w:rsidR="00593388">
        <w:rPr>
          <w:szCs w:val="24"/>
        </w:rPr>
        <w:t xml:space="preserve">avoir examiné les </w:t>
      </w:r>
      <w:r w:rsidRPr="00C0145A">
        <w:rPr>
          <w:szCs w:val="24"/>
        </w:rPr>
        <w:t xml:space="preserve">propositions pertinentes et </w:t>
      </w:r>
      <w:r w:rsidR="00593388">
        <w:rPr>
          <w:szCs w:val="24"/>
        </w:rPr>
        <w:t xml:space="preserve">consulté </w:t>
      </w:r>
      <w:r w:rsidRPr="00C0145A">
        <w:rPr>
          <w:szCs w:val="24"/>
        </w:rPr>
        <w:t>le Groupe de travail 5B, la Commission 6 est convenue de maintenir sans modification la Résolution 85 (CMR-03).</w:t>
      </w:r>
      <w:bookmarkEnd w:id="149"/>
      <w:r w:rsidRPr="00C0145A">
        <w:rPr>
          <w:szCs w:val="24"/>
        </w:rPr>
        <w:t xml:space="preserve"> </w:t>
      </w:r>
      <w:bookmarkStart w:id="150" w:name="lt_pId278"/>
      <w:r w:rsidRPr="00C0145A">
        <w:rPr>
          <w:szCs w:val="24"/>
        </w:rPr>
        <w:t>Ayant pris note de l</w:t>
      </w:r>
      <w:r>
        <w:rPr>
          <w:szCs w:val="24"/>
        </w:rPr>
        <w:t>'</w:t>
      </w:r>
      <w:r w:rsidRPr="00C0145A">
        <w:rPr>
          <w:szCs w:val="24"/>
        </w:rPr>
        <w:t>avis du Conseiller juridique de l</w:t>
      </w:r>
      <w:r>
        <w:rPr>
          <w:szCs w:val="24"/>
        </w:rPr>
        <w:t>'</w:t>
      </w:r>
      <w:r w:rsidRPr="00C0145A">
        <w:rPr>
          <w:szCs w:val="24"/>
        </w:rPr>
        <w:t>UIT, reproduit dans le Document 471, elle a en outre conclu qu</w:t>
      </w:r>
      <w:r>
        <w:rPr>
          <w:szCs w:val="24"/>
        </w:rPr>
        <w:t>'</w:t>
      </w:r>
      <w:r w:rsidRPr="00C0145A">
        <w:rPr>
          <w:szCs w:val="24"/>
        </w:rPr>
        <w:t>aucune modification de la Résolution 750 (Rév.CMR-15) n</w:t>
      </w:r>
      <w:r>
        <w:rPr>
          <w:szCs w:val="24"/>
        </w:rPr>
        <w:t>'</w:t>
      </w:r>
      <w:r w:rsidRPr="00C0145A">
        <w:rPr>
          <w:szCs w:val="24"/>
        </w:rPr>
        <w:t>était nécessaire au titre du point 4 de l</w:t>
      </w:r>
      <w:r>
        <w:rPr>
          <w:szCs w:val="24"/>
        </w:rPr>
        <w:t>'</w:t>
      </w:r>
      <w:r w:rsidRPr="00C0145A">
        <w:rPr>
          <w:szCs w:val="24"/>
        </w:rPr>
        <w:t>ordre du jour.</w:t>
      </w:r>
      <w:bookmarkEnd w:id="150"/>
      <w:r w:rsidRPr="00C0145A">
        <w:rPr>
          <w:szCs w:val="24"/>
        </w:rPr>
        <w:t xml:space="preserve"> </w:t>
      </w:r>
      <w:bookmarkStart w:id="151" w:name="lt_pId279"/>
      <w:r w:rsidRPr="00C0145A">
        <w:rPr>
          <w:szCs w:val="24"/>
        </w:rPr>
        <w:t>Enfin, elle a proposé que l</w:t>
      </w:r>
      <w:r>
        <w:rPr>
          <w:szCs w:val="24"/>
        </w:rPr>
        <w:t>'</w:t>
      </w:r>
      <w:r w:rsidRPr="00C0145A">
        <w:rPr>
          <w:szCs w:val="24"/>
        </w:rPr>
        <w:t>interprétation suivante du Conseiller juridique de l</w:t>
      </w:r>
      <w:r>
        <w:rPr>
          <w:szCs w:val="24"/>
        </w:rPr>
        <w:t>'</w:t>
      </w:r>
      <w:r w:rsidRPr="00C0145A">
        <w:rPr>
          <w:szCs w:val="24"/>
        </w:rPr>
        <w:t>UIT figure dans le procès-verbal de la plénière, comme ce qui a été compris par la Conférence:</w:t>
      </w:r>
      <w:bookmarkEnd w:id="151"/>
    </w:p>
    <w:p w14:paraId="788F66FC" w14:textId="24660743" w:rsidR="001466AA" w:rsidRPr="00C0145A" w:rsidRDefault="007418D0" w:rsidP="001466AA">
      <w:pPr>
        <w:rPr>
          <w:szCs w:val="24"/>
        </w:rPr>
      </w:pPr>
      <w:bookmarkStart w:id="152" w:name="lt_pId280"/>
      <w:r>
        <w:rPr>
          <w:iCs/>
          <w:szCs w:val="24"/>
        </w:rPr>
        <w:t>«</w:t>
      </w:r>
      <w:r w:rsidR="00593388">
        <w:rPr>
          <w:iCs/>
          <w:szCs w:val="24"/>
        </w:rPr>
        <w:t xml:space="preserve">S'agissant de </w:t>
      </w:r>
      <w:r w:rsidR="001466AA" w:rsidRPr="00C0145A">
        <w:rPr>
          <w:iCs/>
          <w:szCs w:val="24"/>
        </w:rPr>
        <w:t>l</w:t>
      </w:r>
      <w:r w:rsidR="001466AA">
        <w:rPr>
          <w:iCs/>
          <w:szCs w:val="24"/>
        </w:rPr>
        <w:t>'</w:t>
      </w:r>
      <w:r w:rsidR="001466AA" w:rsidRPr="00C0145A">
        <w:rPr>
          <w:iCs/>
          <w:szCs w:val="24"/>
        </w:rPr>
        <w:t xml:space="preserve">interprétation de la Résolution </w:t>
      </w:r>
      <w:r w:rsidR="001466AA" w:rsidRPr="00B24970">
        <w:rPr>
          <w:b/>
          <w:bCs/>
          <w:iCs/>
          <w:szCs w:val="24"/>
        </w:rPr>
        <w:t>750 (Rév.CMR-15)</w:t>
      </w:r>
      <w:r w:rsidR="001466AA" w:rsidRPr="00C0145A">
        <w:rPr>
          <w:iCs/>
          <w:szCs w:val="24"/>
        </w:rPr>
        <w:t xml:space="preserve">, les limites citées au point 1 du </w:t>
      </w:r>
      <w:r w:rsidR="001466AA" w:rsidRPr="00C0145A">
        <w:rPr>
          <w:i/>
          <w:iCs/>
          <w:szCs w:val="24"/>
        </w:rPr>
        <w:t xml:space="preserve">décide </w:t>
      </w:r>
      <w:r w:rsidR="001466AA" w:rsidRPr="00C0145A">
        <w:rPr>
          <w:iCs/>
          <w:szCs w:val="24"/>
        </w:rPr>
        <w:t>et dans le Tableau 1-1</w:t>
      </w:r>
      <w:r w:rsidR="001466AA">
        <w:rPr>
          <w:iCs/>
          <w:szCs w:val="24"/>
        </w:rPr>
        <w:t xml:space="preserve"> de cette Résolution</w:t>
      </w:r>
      <w:r w:rsidR="001466AA" w:rsidRPr="00C0145A">
        <w:rPr>
          <w:iCs/>
          <w:szCs w:val="24"/>
        </w:rPr>
        <w:t xml:space="preserve"> sont obligatoires, tandis que les limites citées au point 2 du </w:t>
      </w:r>
      <w:r w:rsidR="001466AA" w:rsidRPr="00C0145A">
        <w:rPr>
          <w:i/>
          <w:iCs/>
          <w:szCs w:val="24"/>
        </w:rPr>
        <w:t xml:space="preserve">décide </w:t>
      </w:r>
      <w:r w:rsidR="001466AA" w:rsidRPr="00C0145A">
        <w:rPr>
          <w:iCs/>
          <w:szCs w:val="24"/>
        </w:rPr>
        <w:t xml:space="preserve">et dans le Tableau 1-2 </w:t>
      </w:r>
      <w:r w:rsidR="001466AA">
        <w:rPr>
          <w:iCs/>
          <w:szCs w:val="24"/>
        </w:rPr>
        <w:t>de cette Résolution</w:t>
      </w:r>
      <w:r w:rsidR="001466AA" w:rsidRPr="00C0145A">
        <w:rPr>
          <w:iCs/>
          <w:szCs w:val="24"/>
        </w:rPr>
        <w:t xml:space="preserve"> ne sont pas obligatoires.</w:t>
      </w:r>
      <w:r>
        <w:rPr>
          <w:iCs/>
          <w:szCs w:val="24"/>
        </w:rPr>
        <w:t>»</w:t>
      </w:r>
      <w:bookmarkEnd w:id="152"/>
    </w:p>
    <w:p w14:paraId="306ECAB5" w14:textId="77777777" w:rsidR="001466AA" w:rsidRPr="00C0145A" w:rsidRDefault="001466AA" w:rsidP="001466AA">
      <w:pPr>
        <w:rPr>
          <w:szCs w:val="24"/>
        </w:rPr>
      </w:pPr>
      <w:r w:rsidRPr="00C0145A">
        <w:rPr>
          <w:szCs w:val="24"/>
        </w:rPr>
        <w:t>3.20</w:t>
      </w:r>
      <w:r w:rsidRPr="00C0145A">
        <w:rPr>
          <w:szCs w:val="24"/>
        </w:rPr>
        <w:tab/>
      </w:r>
      <w:bookmarkStart w:id="153" w:name="lt_pId282"/>
      <w:r w:rsidRPr="00C0145A">
        <w:rPr>
          <w:szCs w:val="24"/>
        </w:rPr>
        <w:t xml:space="preserve">Il en est ainsi </w:t>
      </w:r>
      <w:r w:rsidRPr="008749FA">
        <w:rPr>
          <w:b/>
          <w:bCs/>
          <w:szCs w:val="24"/>
        </w:rPr>
        <w:t>décidé</w:t>
      </w:r>
      <w:r w:rsidRPr="00C0145A">
        <w:rPr>
          <w:szCs w:val="24"/>
        </w:rPr>
        <w:t>.</w:t>
      </w:r>
      <w:bookmarkEnd w:id="153"/>
    </w:p>
    <w:p w14:paraId="256350A8" w14:textId="77777777" w:rsidR="001466AA" w:rsidRPr="00C0145A" w:rsidRDefault="001466AA" w:rsidP="001466AA">
      <w:pPr>
        <w:rPr>
          <w:szCs w:val="24"/>
        </w:rPr>
      </w:pPr>
      <w:r w:rsidRPr="00C0145A">
        <w:rPr>
          <w:szCs w:val="24"/>
        </w:rPr>
        <w:t>3.21</w:t>
      </w:r>
      <w:r w:rsidRPr="00C0145A">
        <w:rPr>
          <w:szCs w:val="24"/>
        </w:rPr>
        <w:tab/>
      </w:r>
      <w:bookmarkStart w:id="154" w:name="lt_pId284"/>
      <w:r w:rsidRPr="00C0145A">
        <w:rPr>
          <w:szCs w:val="24"/>
        </w:rPr>
        <w:t xml:space="preserve">Le Document 471 est </w:t>
      </w:r>
      <w:r w:rsidRPr="008749FA">
        <w:rPr>
          <w:b/>
          <w:bCs/>
          <w:szCs w:val="24"/>
        </w:rPr>
        <w:t>approuvé</w:t>
      </w:r>
      <w:r w:rsidRPr="00C0145A">
        <w:rPr>
          <w:szCs w:val="24"/>
        </w:rPr>
        <w:t>.</w:t>
      </w:r>
      <w:bookmarkEnd w:id="154"/>
    </w:p>
    <w:p w14:paraId="6E19FAC5" w14:textId="59491F79" w:rsidR="001466AA" w:rsidRPr="00C0145A" w:rsidRDefault="001466AA" w:rsidP="001466AA">
      <w:pPr>
        <w:rPr>
          <w:szCs w:val="24"/>
        </w:rPr>
      </w:pPr>
      <w:r w:rsidRPr="00C0145A">
        <w:rPr>
          <w:szCs w:val="24"/>
        </w:rPr>
        <w:t>3.22</w:t>
      </w:r>
      <w:r w:rsidRPr="00C0145A">
        <w:rPr>
          <w:szCs w:val="24"/>
        </w:rPr>
        <w:tab/>
      </w:r>
      <w:bookmarkStart w:id="155" w:name="lt_pId286"/>
      <w:r w:rsidRPr="00C0145A">
        <w:rPr>
          <w:szCs w:val="24"/>
        </w:rPr>
        <w:t xml:space="preserve">Le </w:t>
      </w:r>
      <w:r w:rsidRPr="008749FA">
        <w:rPr>
          <w:b/>
          <w:bCs/>
          <w:szCs w:val="24"/>
        </w:rPr>
        <w:t xml:space="preserve">Président de la Commission 6 </w:t>
      </w:r>
      <w:r w:rsidRPr="00C0145A">
        <w:rPr>
          <w:szCs w:val="24"/>
        </w:rPr>
        <w:t>présente le Document 472, qui contient le cinquième</w:t>
      </w:r>
      <w:r w:rsidR="00E2635B">
        <w:rPr>
          <w:szCs w:val="24"/>
        </w:rPr>
        <w:t> </w:t>
      </w:r>
      <w:r w:rsidRPr="00C0145A">
        <w:rPr>
          <w:szCs w:val="24"/>
        </w:rPr>
        <w:t xml:space="preserve">rapport de la commission à la plénière, relatif aux conclusions de la commission </w:t>
      </w:r>
      <w:r w:rsidR="00593388">
        <w:rPr>
          <w:szCs w:val="24"/>
        </w:rPr>
        <w:t xml:space="preserve">concernant </w:t>
      </w:r>
      <w:r w:rsidRPr="00C0145A">
        <w:rPr>
          <w:szCs w:val="24"/>
        </w:rPr>
        <w:t>le point</w:t>
      </w:r>
      <w:r w:rsidR="00593388">
        <w:rPr>
          <w:szCs w:val="24"/>
        </w:rPr>
        <w:t> </w:t>
      </w:r>
      <w:r w:rsidRPr="00C0145A">
        <w:rPr>
          <w:szCs w:val="24"/>
        </w:rPr>
        <w:t>10 de l</w:t>
      </w:r>
      <w:r>
        <w:rPr>
          <w:szCs w:val="24"/>
        </w:rPr>
        <w:t>'</w:t>
      </w:r>
      <w:r w:rsidRPr="00C0145A">
        <w:rPr>
          <w:szCs w:val="24"/>
        </w:rPr>
        <w:t>ordre du jour et la Résolution 86 (CMR-07).</w:t>
      </w:r>
      <w:bookmarkEnd w:id="155"/>
      <w:r w:rsidRPr="00C0145A">
        <w:rPr>
          <w:szCs w:val="24"/>
        </w:rPr>
        <w:t xml:space="preserve"> </w:t>
      </w:r>
      <w:bookmarkStart w:id="156" w:name="lt_pId287"/>
      <w:r w:rsidRPr="00C0145A">
        <w:rPr>
          <w:szCs w:val="24"/>
        </w:rPr>
        <w:t xml:space="preserve">Après </w:t>
      </w:r>
      <w:r w:rsidR="00593388">
        <w:rPr>
          <w:szCs w:val="24"/>
        </w:rPr>
        <w:t xml:space="preserve">avoir examiné les </w:t>
      </w:r>
      <w:r w:rsidRPr="00C0145A">
        <w:rPr>
          <w:szCs w:val="24"/>
        </w:rPr>
        <w:t xml:space="preserve">propositions pertinentes et </w:t>
      </w:r>
      <w:r w:rsidR="00593388">
        <w:rPr>
          <w:szCs w:val="24"/>
        </w:rPr>
        <w:t xml:space="preserve">consulté </w:t>
      </w:r>
      <w:r w:rsidRPr="00C0145A">
        <w:rPr>
          <w:szCs w:val="24"/>
        </w:rPr>
        <w:t>le Groupe de travail 5B, la Commission 6 est convenue de maintenir sans modification la Résolution 86 (CMR-07).</w:t>
      </w:r>
      <w:bookmarkEnd w:id="156"/>
      <w:r w:rsidRPr="00C0145A">
        <w:rPr>
          <w:szCs w:val="24"/>
        </w:rPr>
        <w:t xml:space="preserve"> </w:t>
      </w:r>
    </w:p>
    <w:p w14:paraId="75B64B2E" w14:textId="77777777" w:rsidR="001466AA" w:rsidRPr="00C0145A" w:rsidRDefault="001466AA" w:rsidP="001466AA">
      <w:pPr>
        <w:rPr>
          <w:szCs w:val="24"/>
        </w:rPr>
      </w:pPr>
      <w:r w:rsidRPr="00C0145A">
        <w:rPr>
          <w:szCs w:val="24"/>
        </w:rPr>
        <w:t>3.23</w:t>
      </w:r>
      <w:r w:rsidRPr="00C0145A">
        <w:rPr>
          <w:szCs w:val="24"/>
        </w:rPr>
        <w:tab/>
      </w:r>
      <w:bookmarkStart w:id="157" w:name="lt_pId289"/>
      <w:r w:rsidRPr="00C0145A">
        <w:rPr>
          <w:szCs w:val="24"/>
        </w:rPr>
        <w:t xml:space="preserve">Il en est ainsi </w:t>
      </w:r>
      <w:r w:rsidRPr="008749FA">
        <w:rPr>
          <w:b/>
          <w:bCs/>
          <w:szCs w:val="24"/>
        </w:rPr>
        <w:t>décidé</w:t>
      </w:r>
      <w:r w:rsidRPr="00C0145A">
        <w:rPr>
          <w:szCs w:val="24"/>
        </w:rPr>
        <w:t>.</w:t>
      </w:r>
      <w:bookmarkEnd w:id="157"/>
    </w:p>
    <w:p w14:paraId="6D6F080A" w14:textId="77777777" w:rsidR="001466AA" w:rsidRPr="00C0145A" w:rsidRDefault="001466AA" w:rsidP="001466AA">
      <w:pPr>
        <w:rPr>
          <w:szCs w:val="24"/>
        </w:rPr>
      </w:pPr>
      <w:r w:rsidRPr="00C0145A">
        <w:rPr>
          <w:szCs w:val="24"/>
        </w:rPr>
        <w:t>3.24</w:t>
      </w:r>
      <w:r w:rsidRPr="00C0145A">
        <w:rPr>
          <w:szCs w:val="24"/>
        </w:rPr>
        <w:tab/>
      </w:r>
      <w:bookmarkStart w:id="158" w:name="lt_pId291"/>
      <w:r w:rsidRPr="00C0145A">
        <w:rPr>
          <w:szCs w:val="24"/>
        </w:rPr>
        <w:t xml:space="preserve">Le Document 472 est </w:t>
      </w:r>
      <w:r w:rsidRPr="008749FA">
        <w:rPr>
          <w:b/>
          <w:bCs/>
          <w:szCs w:val="24"/>
        </w:rPr>
        <w:t>approuvé</w:t>
      </w:r>
      <w:r w:rsidRPr="00C0145A">
        <w:rPr>
          <w:szCs w:val="24"/>
        </w:rPr>
        <w:t>.</w:t>
      </w:r>
      <w:bookmarkEnd w:id="158"/>
    </w:p>
    <w:p w14:paraId="579449DD" w14:textId="36950251" w:rsidR="001466AA" w:rsidRPr="00C0145A" w:rsidRDefault="001466AA" w:rsidP="001466AA">
      <w:pPr>
        <w:rPr>
          <w:szCs w:val="24"/>
        </w:rPr>
      </w:pPr>
      <w:r w:rsidRPr="00C0145A">
        <w:rPr>
          <w:szCs w:val="24"/>
        </w:rPr>
        <w:t>3.25</w:t>
      </w:r>
      <w:r w:rsidRPr="00C0145A">
        <w:rPr>
          <w:szCs w:val="24"/>
        </w:rPr>
        <w:tab/>
      </w:r>
      <w:bookmarkStart w:id="159" w:name="lt_pId293"/>
      <w:r w:rsidRPr="00C0145A">
        <w:rPr>
          <w:szCs w:val="24"/>
        </w:rPr>
        <w:t xml:space="preserve">Le </w:t>
      </w:r>
      <w:r w:rsidRPr="008749FA">
        <w:rPr>
          <w:b/>
          <w:bCs/>
          <w:szCs w:val="24"/>
        </w:rPr>
        <w:t>Président de la Commission 6</w:t>
      </w:r>
      <w:r w:rsidRPr="00C0145A">
        <w:rPr>
          <w:szCs w:val="24"/>
        </w:rPr>
        <w:t xml:space="preserve"> présente le Document 473, qui contient le sixième rapport de la commission à la plénière, relatif aux conclusions de la commission </w:t>
      </w:r>
      <w:r w:rsidR="00593388">
        <w:rPr>
          <w:szCs w:val="24"/>
        </w:rPr>
        <w:t xml:space="preserve">concernant </w:t>
      </w:r>
      <w:r w:rsidRPr="00C0145A">
        <w:rPr>
          <w:szCs w:val="24"/>
        </w:rPr>
        <w:t>le point</w:t>
      </w:r>
      <w:r w:rsidR="00593388">
        <w:rPr>
          <w:szCs w:val="24"/>
        </w:rPr>
        <w:t> </w:t>
      </w:r>
      <w:r w:rsidRPr="00C0145A">
        <w:rPr>
          <w:szCs w:val="24"/>
        </w:rPr>
        <w:t>2 de l</w:t>
      </w:r>
      <w:r>
        <w:rPr>
          <w:szCs w:val="24"/>
        </w:rPr>
        <w:t>'</w:t>
      </w:r>
      <w:r w:rsidRPr="00C0145A">
        <w:rPr>
          <w:szCs w:val="24"/>
        </w:rPr>
        <w:t>ordre du jour et la liste récapitulative des textes incorporés par référence dans le Règlement des radiocommunications.</w:t>
      </w:r>
      <w:bookmarkEnd w:id="159"/>
      <w:r w:rsidRPr="00C0145A">
        <w:rPr>
          <w:szCs w:val="24"/>
        </w:rPr>
        <w:t xml:space="preserve"> </w:t>
      </w:r>
      <w:bookmarkStart w:id="160" w:name="lt_pId294"/>
      <w:r w:rsidRPr="00C0145A">
        <w:rPr>
          <w:szCs w:val="24"/>
        </w:rPr>
        <w:t xml:space="preserve">Les participants à la plénière sont invités à examiner et à approuver les conclusions de la commission et à </w:t>
      </w:r>
      <w:r>
        <w:rPr>
          <w:szCs w:val="24"/>
        </w:rPr>
        <w:t>compléter</w:t>
      </w:r>
      <w:r w:rsidRPr="00C0145A">
        <w:rPr>
          <w:szCs w:val="24"/>
        </w:rPr>
        <w:t xml:space="preserve"> la liste des Recommandations UIT-R à inclure dans le Volume 4 de la prochaine édition du Règlement des radiocommunications, à la lumière des décisions pertinentes </w:t>
      </w:r>
      <w:r>
        <w:rPr>
          <w:szCs w:val="24"/>
        </w:rPr>
        <w:t>que</w:t>
      </w:r>
      <w:r w:rsidRPr="00C0145A">
        <w:rPr>
          <w:szCs w:val="24"/>
        </w:rPr>
        <w:t xml:space="preserve"> la Conférence</w:t>
      </w:r>
      <w:r>
        <w:rPr>
          <w:szCs w:val="24"/>
        </w:rPr>
        <w:t xml:space="preserve"> prendra ultérieurement</w:t>
      </w:r>
      <w:r w:rsidRPr="00C0145A">
        <w:rPr>
          <w:szCs w:val="24"/>
        </w:rPr>
        <w:t>, selon qu</w:t>
      </w:r>
      <w:r>
        <w:rPr>
          <w:szCs w:val="24"/>
        </w:rPr>
        <w:t>'</w:t>
      </w:r>
      <w:r w:rsidRPr="00C0145A">
        <w:rPr>
          <w:szCs w:val="24"/>
        </w:rPr>
        <w:t>il convien</w:t>
      </w:r>
      <w:r>
        <w:rPr>
          <w:szCs w:val="24"/>
        </w:rPr>
        <w:t>dra</w:t>
      </w:r>
      <w:r w:rsidRPr="00C0145A">
        <w:rPr>
          <w:szCs w:val="24"/>
        </w:rPr>
        <w:t>.</w:t>
      </w:r>
      <w:bookmarkEnd w:id="160"/>
    </w:p>
    <w:p w14:paraId="6EE28237" w14:textId="77777777" w:rsidR="001466AA" w:rsidRPr="00C0145A" w:rsidRDefault="001466AA" w:rsidP="001466AA">
      <w:pPr>
        <w:rPr>
          <w:szCs w:val="24"/>
        </w:rPr>
      </w:pPr>
      <w:r w:rsidRPr="00C0145A">
        <w:rPr>
          <w:szCs w:val="24"/>
        </w:rPr>
        <w:t>3.26</w:t>
      </w:r>
      <w:r w:rsidRPr="00C0145A">
        <w:rPr>
          <w:szCs w:val="24"/>
        </w:rPr>
        <w:tab/>
      </w:r>
      <w:bookmarkStart w:id="161" w:name="lt_pId296"/>
      <w:r w:rsidRPr="00C0145A">
        <w:rPr>
          <w:szCs w:val="24"/>
        </w:rPr>
        <w:t xml:space="preserve">Le </w:t>
      </w:r>
      <w:r w:rsidRPr="00C04337">
        <w:rPr>
          <w:b/>
          <w:bCs/>
          <w:szCs w:val="24"/>
        </w:rPr>
        <w:t>Président</w:t>
      </w:r>
      <w:r w:rsidRPr="00C0145A">
        <w:rPr>
          <w:szCs w:val="24"/>
        </w:rPr>
        <w:t xml:space="preserve"> propose que les participants à la séance approuvent le Document 473 et prennent note du fait que la liste des Recommandations UIT-R pourrait être mise à jour par la suite, afin de tenir compte des décisions pertinentes </w:t>
      </w:r>
      <w:r>
        <w:rPr>
          <w:szCs w:val="24"/>
        </w:rPr>
        <w:t>que</w:t>
      </w:r>
      <w:r w:rsidRPr="00C0145A">
        <w:rPr>
          <w:szCs w:val="24"/>
        </w:rPr>
        <w:t xml:space="preserve"> la </w:t>
      </w:r>
      <w:r>
        <w:rPr>
          <w:szCs w:val="24"/>
        </w:rPr>
        <w:t>C</w:t>
      </w:r>
      <w:r w:rsidRPr="00C0145A">
        <w:rPr>
          <w:szCs w:val="24"/>
        </w:rPr>
        <w:t>onférence</w:t>
      </w:r>
      <w:r>
        <w:rPr>
          <w:szCs w:val="24"/>
        </w:rPr>
        <w:t xml:space="preserve"> prendra ultérieurement</w:t>
      </w:r>
      <w:r w:rsidRPr="00C0145A">
        <w:rPr>
          <w:szCs w:val="24"/>
        </w:rPr>
        <w:t>.</w:t>
      </w:r>
      <w:bookmarkEnd w:id="161"/>
    </w:p>
    <w:p w14:paraId="02AA7D82" w14:textId="77777777" w:rsidR="001466AA" w:rsidRPr="00C0145A" w:rsidRDefault="001466AA" w:rsidP="001466AA">
      <w:pPr>
        <w:rPr>
          <w:szCs w:val="24"/>
        </w:rPr>
      </w:pPr>
      <w:r w:rsidRPr="00C0145A">
        <w:rPr>
          <w:szCs w:val="24"/>
        </w:rPr>
        <w:t>3.27</w:t>
      </w:r>
      <w:r w:rsidRPr="00C0145A">
        <w:rPr>
          <w:szCs w:val="24"/>
        </w:rPr>
        <w:tab/>
      </w:r>
      <w:bookmarkStart w:id="162" w:name="lt_pId298"/>
      <w:r w:rsidRPr="00C0145A">
        <w:rPr>
          <w:szCs w:val="24"/>
        </w:rPr>
        <w:t xml:space="preserve">Il en est ainsi </w:t>
      </w:r>
      <w:r w:rsidRPr="00C04337">
        <w:rPr>
          <w:b/>
          <w:bCs/>
          <w:szCs w:val="24"/>
        </w:rPr>
        <w:t>décidé</w:t>
      </w:r>
      <w:r w:rsidRPr="00C0145A">
        <w:rPr>
          <w:szCs w:val="24"/>
        </w:rPr>
        <w:t>.</w:t>
      </w:r>
      <w:bookmarkEnd w:id="162"/>
    </w:p>
    <w:p w14:paraId="619D8BB6" w14:textId="77777777" w:rsidR="001466AA" w:rsidRPr="00C0145A" w:rsidRDefault="001466AA" w:rsidP="001466AA">
      <w:pPr>
        <w:rPr>
          <w:szCs w:val="24"/>
        </w:rPr>
      </w:pPr>
      <w:r w:rsidRPr="00C0145A">
        <w:rPr>
          <w:szCs w:val="24"/>
        </w:rPr>
        <w:t>3.28</w:t>
      </w:r>
      <w:r w:rsidRPr="00C0145A">
        <w:rPr>
          <w:szCs w:val="24"/>
        </w:rPr>
        <w:tab/>
      </w:r>
      <w:bookmarkStart w:id="163" w:name="lt_pId300"/>
      <w:r w:rsidRPr="00C0145A">
        <w:rPr>
          <w:szCs w:val="24"/>
        </w:rPr>
        <w:t xml:space="preserve">Le Document 473 est </w:t>
      </w:r>
      <w:r w:rsidRPr="00C04337">
        <w:rPr>
          <w:b/>
          <w:bCs/>
          <w:szCs w:val="24"/>
        </w:rPr>
        <w:t>approuvé</w:t>
      </w:r>
      <w:r w:rsidRPr="00C0145A">
        <w:rPr>
          <w:szCs w:val="24"/>
        </w:rPr>
        <w:t>.</w:t>
      </w:r>
      <w:bookmarkEnd w:id="163"/>
    </w:p>
    <w:p w14:paraId="7405BAC1" w14:textId="7E10CD98" w:rsidR="001466AA" w:rsidRPr="00C0145A" w:rsidRDefault="001466AA" w:rsidP="001466AA">
      <w:pPr>
        <w:rPr>
          <w:szCs w:val="24"/>
        </w:rPr>
      </w:pPr>
      <w:r w:rsidRPr="00C0145A">
        <w:rPr>
          <w:szCs w:val="24"/>
        </w:rPr>
        <w:t>3.29</w:t>
      </w:r>
      <w:r w:rsidRPr="00C0145A">
        <w:rPr>
          <w:szCs w:val="24"/>
        </w:rPr>
        <w:tab/>
      </w:r>
      <w:bookmarkStart w:id="164" w:name="lt_pId302"/>
      <w:r w:rsidRPr="00C0145A">
        <w:rPr>
          <w:szCs w:val="24"/>
        </w:rPr>
        <w:t xml:space="preserve">La </w:t>
      </w:r>
      <w:r w:rsidRPr="00C04337">
        <w:rPr>
          <w:b/>
          <w:bCs/>
          <w:szCs w:val="24"/>
        </w:rPr>
        <w:t>Présidente du Groupe ad hoc</w:t>
      </w:r>
      <w:r w:rsidRPr="00C0145A">
        <w:rPr>
          <w:szCs w:val="24"/>
        </w:rPr>
        <w:t xml:space="preserve"> </w:t>
      </w:r>
      <w:r w:rsidRPr="00593388">
        <w:rPr>
          <w:b/>
          <w:bCs/>
          <w:szCs w:val="24"/>
        </w:rPr>
        <w:t>de la plénière</w:t>
      </w:r>
      <w:r w:rsidRPr="00C0145A">
        <w:rPr>
          <w:szCs w:val="24"/>
        </w:rPr>
        <w:t xml:space="preserve"> présente le Document 295, qui contient le projet de déclaration sur la promotion de l</w:t>
      </w:r>
      <w:r>
        <w:rPr>
          <w:szCs w:val="24"/>
        </w:rPr>
        <w:t>'</w:t>
      </w:r>
      <w:r w:rsidRPr="00C0145A">
        <w:rPr>
          <w:szCs w:val="24"/>
        </w:rPr>
        <w:t>égalité, de l</w:t>
      </w:r>
      <w:r>
        <w:rPr>
          <w:szCs w:val="24"/>
        </w:rPr>
        <w:t>'</w:t>
      </w:r>
      <w:r w:rsidRPr="00C0145A">
        <w:rPr>
          <w:szCs w:val="24"/>
        </w:rPr>
        <w:t>équité et de la parité hommes/femmes dans le Secteur des radiocommunications de l</w:t>
      </w:r>
      <w:r>
        <w:rPr>
          <w:szCs w:val="24"/>
        </w:rPr>
        <w:t>'</w:t>
      </w:r>
      <w:r w:rsidRPr="00C0145A">
        <w:rPr>
          <w:szCs w:val="24"/>
        </w:rPr>
        <w:t>UIT</w:t>
      </w:r>
      <w:bookmarkEnd w:id="164"/>
      <w:r>
        <w:rPr>
          <w:szCs w:val="24"/>
        </w:rPr>
        <w:t>.</w:t>
      </w:r>
      <w:r w:rsidRPr="00C0145A">
        <w:rPr>
          <w:szCs w:val="24"/>
        </w:rPr>
        <w:t xml:space="preserve"> </w:t>
      </w:r>
      <w:bookmarkStart w:id="165" w:name="lt_pId303"/>
      <w:r w:rsidRPr="00C0145A">
        <w:rPr>
          <w:szCs w:val="24"/>
        </w:rPr>
        <w:t>Elle remercie le</w:t>
      </w:r>
      <w:r>
        <w:rPr>
          <w:szCs w:val="24"/>
        </w:rPr>
        <w:t>s membres du</w:t>
      </w:r>
      <w:r w:rsidR="00117348">
        <w:rPr>
          <w:szCs w:val="24"/>
        </w:rPr>
        <w:t> </w:t>
      </w:r>
      <w:r w:rsidRPr="00C0145A">
        <w:rPr>
          <w:szCs w:val="24"/>
        </w:rPr>
        <w:t xml:space="preserve">Réseau de femmes pour la CMR-19 </w:t>
      </w:r>
      <w:r>
        <w:rPr>
          <w:szCs w:val="24"/>
        </w:rPr>
        <w:t>et</w:t>
      </w:r>
      <w:r w:rsidRPr="00C0145A">
        <w:rPr>
          <w:szCs w:val="24"/>
        </w:rPr>
        <w:t xml:space="preserve"> ses Coprésidentes, Mme Luciana Camargos et Mme</w:t>
      </w:r>
      <w:r w:rsidR="00117348">
        <w:rPr>
          <w:szCs w:val="24"/>
        </w:rPr>
        <w:t> </w:t>
      </w:r>
      <w:r w:rsidRPr="00C0145A">
        <w:rPr>
          <w:szCs w:val="24"/>
        </w:rPr>
        <w:t xml:space="preserve">Jennifer Manner, </w:t>
      </w:r>
      <w:r>
        <w:rPr>
          <w:szCs w:val="24"/>
        </w:rPr>
        <w:t>pour leurs contributions à l'établissement</w:t>
      </w:r>
      <w:r w:rsidRPr="00C0145A">
        <w:rPr>
          <w:szCs w:val="24"/>
        </w:rPr>
        <w:t xml:space="preserve"> </w:t>
      </w:r>
      <w:r>
        <w:rPr>
          <w:szCs w:val="24"/>
        </w:rPr>
        <w:t>d'</w:t>
      </w:r>
      <w:r w:rsidRPr="00C0145A">
        <w:rPr>
          <w:szCs w:val="24"/>
        </w:rPr>
        <w:t>une version définitive du projet de déclaration.</w:t>
      </w:r>
      <w:bookmarkEnd w:id="165"/>
    </w:p>
    <w:p w14:paraId="1ADA75B4" w14:textId="72F42965" w:rsidR="001466AA" w:rsidRPr="00C0145A" w:rsidRDefault="001466AA" w:rsidP="001466AA">
      <w:pPr>
        <w:rPr>
          <w:szCs w:val="24"/>
        </w:rPr>
      </w:pPr>
      <w:r w:rsidRPr="00C0145A">
        <w:rPr>
          <w:szCs w:val="24"/>
        </w:rPr>
        <w:t>3.30</w:t>
      </w:r>
      <w:r w:rsidRPr="00C0145A">
        <w:rPr>
          <w:szCs w:val="24"/>
        </w:rPr>
        <w:tab/>
      </w:r>
      <w:bookmarkStart w:id="166" w:name="lt_pId305"/>
      <w:r w:rsidRPr="00C0145A">
        <w:rPr>
          <w:szCs w:val="24"/>
        </w:rPr>
        <w:t xml:space="preserve">Le </w:t>
      </w:r>
      <w:r w:rsidRPr="00C04337">
        <w:rPr>
          <w:b/>
          <w:bCs/>
          <w:szCs w:val="24"/>
        </w:rPr>
        <w:t>délégué de la République islamique d'Iran</w:t>
      </w:r>
      <w:r w:rsidRPr="00C0145A">
        <w:rPr>
          <w:szCs w:val="24"/>
        </w:rPr>
        <w:t xml:space="preserve"> propose de modifier le point 3 du </w:t>
      </w:r>
      <w:r w:rsidRPr="00C0145A">
        <w:rPr>
          <w:i/>
          <w:szCs w:val="24"/>
        </w:rPr>
        <w:t>déclare</w:t>
      </w:r>
      <w:r w:rsidRPr="00C0145A">
        <w:rPr>
          <w:szCs w:val="24"/>
        </w:rPr>
        <w:t xml:space="preserve"> du projet de déclaration comme suit: </w:t>
      </w:r>
      <w:r w:rsidR="007418D0">
        <w:rPr>
          <w:szCs w:val="24"/>
        </w:rPr>
        <w:t>«</w:t>
      </w:r>
      <w:r w:rsidRPr="00C0145A">
        <w:rPr>
          <w:szCs w:val="24"/>
        </w:rPr>
        <w:t xml:space="preserve">que les États Membres sont invités à </w:t>
      </w:r>
      <w:r>
        <w:rPr>
          <w:szCs w:val="24"/>
        </w:rPr>
        <w:t>envisager l'adoption</w:t>
      </w:r>
      <w:r w:rsidRPr="00C0145A">
        <w:rPr>
          <w:szCs w:val="24"/>
        </w:rPr>
        <w:t xml:space="preserve"> </w:t>
      </w:r>
      <w:r>
        <w:rPr>
          <w:szCs w:val="24"/>
        </w:rPr>
        <w:t>d'</w:t>
      </w:r>
      <w:r w:rsidRPr="00C0145A">
        <w:rPr>
          <w:szCs w:val="24"/>
        </w:rPr>
        <w:t>une Résolution à l</w:t>
      </w:r>
      <w:r>
        <w:rPr>
          <w:szCs w:val="24"/>
        </w:rPr>
        <w:t>'</w:t>
      </w:r>
      <w:r w:rsidRPr="00C0145A">
        <w:rPr>
          <w:szCs w:val="24"/>
        </w:rPr>
        <w:t>Assemblée des radiocommunications de 2023 sur l</w:t>
      </w:r>
      <w:r>
        <w:rPr>
          <w:szCs w:val="24"/>
        </w:rPr>
        <w:t>'</w:t>
      </w:r>
      <w:r w:rsidRPr="00C0145A">
        <w:rPr>
          <w:szCs w:val="24"/>
        </w:rPr>
        <w:t>égalité, l</w:t>
      </w:r>
      <w:r>
        <w:rPr>
          <w:szCs w:val="24"/>
        </w:rPr>
        <w:t>'</w:t>
      </w:r>
      <w:r w:rsidRPr="00C0145A">
        <w:rPr>
          <w:szCs w:val="24"/>
        </w:rPr>
        <w:t>équité et la parité hommes/femmes au sein de l</w:t>
      </w:r>
      <w:r>
        <w:rPr>
          <w:szCs w:val="24"/>
        </w:rPr>
        <w:t>'</w:t>
      </w:r>
      <w:r w:rsidRPr="00C0145A">
        <w:rPr>
          <w:szCs w:val="24"/>
        </w:rPr>
        <w:t>UIT-R</w:t>
      </w:r>
      <w:r w:rsidR="007418D0">
        <w:rPr>
          <w:szCs w:val="24"/>
        </w:rPr>
        <w:t>»</w:t>
      </w:r>
      <w:r w:rsidRPr="00C0145A">
        <w:rPr>
          <w:szCs w:val="24"/>
        </w:rPr>
        <w:t>, étant donné qu</w:t>
      </w:r>
      <w:r>
        <w:rPr>
          <w:szCs w:val="24"/>
        </w:rPr>
        <w:t>'</w:t>
      </w:r>
      <w:r w:rsidRPr="00C0145A">
        <w:rPr>
          <w:szCs w:val="24"/>
        </w:rPr>
        <w:t>il n</w:t>
      </w:r>
      <w:r>
        <w:rPr>
          <w:szCs w:val="24"/>
        </w:rPr>
        <w:t>'</w:t>
      </w:r>
      <w:r w:rsidRPr="00C0145A">
        <w:rPr>
          <w:szCs w:val="24"/>
        </w:rPr>
        <w:t>est pas possible d</w:t>
      </w:r>
      <w:r>
        <w:rPr>
          <w:szCs w:val="24"/>
        </w:rPr>
        <w:t>'</w:t>
      </w:r>
      <w:r w:rsidRPr="00C0145A">
        <w:rPr>
          <w:szCs w:val="24"/>
        </w:rPr>
        <w:t>imposer une obligation aux États Membres dans une déclaration.</w:t>
      </w:r>
      <w:bookmarkEnd w:id="166"/>
    </w:p>
    <w:p w14:paraId="49E229F8" w14:textId="77777777" w:rsidR="001466AA" w:rsidRPr="00C0145A" w:rsidRDefault="001466AA" w:rsidP="001466AA">
      <w:pPr>
        <w:rPr>
          <w:szCs w:val="24"/>
        </w:rPr>
      </w:pPr>
      <w:r w:rsidRPr="00C0145A">
        <w:rPr>
          <w:szCs w:val="24"/>
        </w:rPr>
        <w:t>3.31</w:t>
      </w:r>
      <w:r w:rsidRPr="00C0145A">
        <w:rPr>
          <w:szCs w:val="24"/>
        </w:rPr>
        <w:tab/>
      </w:r>
      <w:bookmarkStart w:id="167" w:name="lt_pId307"/>
      <w:r w:rsidRPr="00C0145A">
        <w:rPr>
          <w:szCs w:val="24"/>
        </w:rPr>
        <w:t xml:space="preserve">Il en est ainsi </w:t>
      </w:r>
      <w:r w:rsidRPr="00C04337">
        <w:rPr>
          <w:b/>
          <w:bCs/>
          <w:szCs w:val="24"/>
        </w:rPr>
        <w:t>décidé</w:t>
      </w:r>
      <w:r w:rsidRPr="00C0145A">
        <w:rPr>
          <w:szCs w:val="24"/>
        </w:rPr>
        <w:t>.</w:t>
      </w:r>
      <w:bookmarkEnd w:id="167"/>
    </w:p>
    <w:p w14:paraId="0470F60D" w14:textId="77777777" w:rsidR="001466AA" w:rsidRPr="00C0145A" w:rsidRDefault="001466AA" w:rsidP="001466AA">
      <w:pPr>
        <w:rPr>
          <w:szCs w:val="24"/>
        </w:rPr>
      </w:pPr>
      <w:r w:rsidRPr="00C0145A">
        <w:rPr>
          <w:szCs w:val="24"/>
        </w:rPr>
        <w:lastRenderedPageBreak/>
        <w:t>3.32</w:t>
      </w:r>
      <w:r w:rsidRPr="00C0145A">
        <w:rPr>
          <w:szCs w:val="24"/>
        </w:rPr>
        <w:tab/>
      </w:r>
      <w:bookmarkStart w:id="168" w:name="lt_pId309"/>
      <w:r w:rsidRPr="00C0145A">
        <w:rPr>
          <w:szCs w:val="24"/>
        </w:rPr>
        <w:t xml:space="preserve">Le Document 295, tel que modifié, est </w:t>
      </w:r>
      <w:r w:rsidRPr="00C04337">
        <w:rPr>
          <w:b/>
          <w:bCs/>
          <w:szCs w:val="24"/>
        </w:rPr>
        <w:t>approuvé</w:t>
      </w:r>
      <w:r w:rsidRPr="00C0145A">
        <w:rPr>
          <w:szCs w:val="24"/>
        </w:rPr>
        <w:t>.</w:t>
      </w:r>
      <w:bookmarkEnd w:id="168"/>
    </w:p>
    <w:p w14:paraId="7C9BF3DC" w14:textId="77777777" w:rsidR="001466AA" w:rsidRPr="00C0145A" w:rsidRDefault="001466AA" w:rsidP="001466AA">
      <w:pPr>
        <w:rPr>
          <w:szCs w:val="24"/>
        </w:rPr>
      </w:pPr>
      <w:r w:rsidRPr="00C0145A">
        <w:rPr>
          <w:szCs w:val="24"/>
        </w:rPr>
        <w:t>3.33</w:t>
      </w:r>
      <w:r w:rsidRPr="00C0145A">
        <w:rPr>
          <w:szCs w:val="24"/>
        </w:rPr>
        <w:tab/>
      </w:r>
      <w:bookmarkStart w:id="169" w:name="lt_pId311"/>
      <w:r w:rsidRPr="00C0145A">
        <w:rPr>
          <w:szCs w:val="24"/>
        </w:rPr>
        <w:t xml:space="preserve">Les </w:t>
      </w:r>
      <w:r w:rsidRPr="00C04337">
        <w:rPr>
          <w:b/>
          <w:bCs/>
          <w:szCs w:val="24"/>
        </w:rPr>
        <w:t>déléguées des États-Unis, de la République sudafricaine, du Brésil, du Mexique, de la Chine, d'Israël et du Kenya</w:t>
      </w:r>
      <w:r w:rsidRPr="00C0145A">
        <w:rPr>
          <w:szCs w:val="24"/>
        </w:rPr>
        <w:t xml:space="preserve"> se félicitent de cette déclaration et </w:t>
      </w:r>
      <w:r>
        <w:rPr>
          <w:szCs w:val="24"/>
        </w:rPr>
        <w:t xml:space="preserve">déclarent appuyer fermement </w:t>
      </w:r>
      <w:r w:rsidRPr="00C0145A">
        <w:rPr>
          <w:szCs w:val="24"/>
        </w:rPr>
        <w:t>les mesures visant à renforcer le rôle des femmes à l</w:t>
      </w:r>
      <w:r>
        <w:rPr>
          <w:szCs w:val="24"/>
        </w:rPr>
        <w:t>'</w:t>
      </w:r>
      <w:r w:rsidRPr="00C0145A">
        <w:rPr>
          <w:szCs w:val="24"/>
        </w:rPr>
        <w:t>UIT.</w:t>
      </w:r>
      <w:bookmarkEnd w:id="169"/>
    </w:p>
    <w:p w14:paraId="05E74665" w14:textId="7432C3AB" w:rsidR="001466AA" w:rsidRPr="00C0145A" w:rsidRDefault="001466AA" w:rsidP="001466AA">
      <w:pPr>
        <w:rPr>
          <w:szCs w:val="24"/>
        </w:rPr>
      </w:pPr>
      <w:r w:rsidRPr="00C0145A">
        <w:rPr>
          <w:szCs w:val="24"/>
        </w:rPr>
        <w:t>3.34</w:t>
      </w:r>
      <w:r w:rsidRPr="00C0145A">
        <w:rPr>
          <w:szCs w:val="24"/>
        </w:rPr>
        <w:tab/>
      </w:r>
      <w:bookmarkStart w:id="170" w:name="lt_pId313"/>
      <w:r w:rsidRPr="00C0145A">
        <w:rPr>
          <w:szCs w:val="24"/>
        </w:rPr>
        <w:t xml:space="preserve">Le </w:t>
      </w:r>
      <w:r w:rsidRPr="00C04337">
        <w:rPr>
          <w:b/>
          <w:bCs/>
          <w:szCs w:val="24"/>
        </w:rPr>
        <w:t>Directeur du BR</w:t>
      </w:r>
      <w:r w:rsidRPr="00C0145A">
        <w:rPr>
          <w:szCs w:val="24"/>
        </w:rPr>
        <w:t xml:space="preserve"> fait la déclaration ci-après:</w:t>
      </w:r>
      <w:bookmarkEnd w:id="170"/>
      <w:r w:rsidRPr="00C0145A">
        <w:rPr>
          <w:szCs w:val="24"/>
        </w:rPr>
        <w:t xml:space="preserve"> </w:t>
      </w:r>
    </w:p>
    <w:p w14:paraId="338DDC65" w14:textId="233E26E6" w:rsidR="001466AA" w:rsidRPr="00C0145A" w:rsidRDefault="007418D0" w:rsidP="001466AA">
      <w:pPr>
        <w:rPr>
          <w:szCs w:val="24"/>
        </w:rPr>
      </w:pPr>
      <w:bookmarkStart w:id="171" w:name="lt_pId314"/>
      <w:r>
        <w:rPr>
          <w:szCs w:val="24"/>
        </w:rPr>
        <w:t>«</w:t>
      </w:r>
      <w:r w:rsidR="001466AA" w:rsidRPr="00C0145A">
        <w:rPr>
          <w:szCs w:val="24"/>
        </w:rPr>
        <w:t>Mesdames et messieurs,</w:t>
      </w:r>
      <w:bookmarkEnd w:id="171"/>
      <w:r w:rsidR="001466AA" w:rsidRPr="00C0145A">
        <w:rPr>
          <w:szCs w:val="24"/>
        </w:rPr>
        <w:t xml:space="preserve"> </w:t>
      </w:r>
    </w:p>
    <w:p w14:paraId="644CDAE4" w14:textId="6955670B" w:rsidR="001466AA" w:rsidRPr="00C0145A" w:rsidRDefault="001466AA" w:rsidP="001466AA">
      <w:pPr>
        <w:rPr>
          <w:szCs w:val="24"/>
        </w:rPr>
      </w:pPr>
      <w:bookmarkStart w:id="172" w:name="lt_pId315"/>
      <w:r w:rsidRPr="00C0145A">
        <w:rPr>
          <w:szCs w:val="24"/>
        </w:rPr>
        <w:t xml:space="preserve">Je suis heureux </w:t>
      </w:r>
      <w:r w:rsidR="00593388">
        <w:rPr>
          <w:szCs w:val="24"/>
        </w:rPr>
        <w:t xml:space="preserve">d'exprimer </w:t>
      </w:r>
      <w:r w:rsidRPr="00C0145A">
        <w:rPr>
          <w:szCs w:val="24"/>
        </w:rPr>
        <w:t>mon soutien et celui du BR en faveur de la déclaration sur l</w:t>
      </w:r>
      <w:r>
        <w:rPr>
          <w:szCs w:val="24"/>
        </w:rPr>
        <w:t>'</w:t>
      </w:r>
      <w:r w:rsidRPr="00C0145A">
        <w:rPr>
          <w:szCs w:val="24"/>
        </w:rPr>
        <w:t>égalité hommes/femmes.</w:t>
      </w:r>
      <w:bookmarkEnd w:id="172"/>
      <w:r w:rsidRPr="00C0145A">
        <w:rPr>
          <w:szCs w:val="24"/>
        </w:rPr>
        <w:t xml:space="preserve"> </w:t>
      </w:r>
      <w:bookmarkStart w:id="173" w:name="lt_pId316"/>
      <w:r w:rsidRPr="00C0145A">
        <w:rPr>
          <w:szCs w:val="24"/>
        </w:rPr>
        <w:t>Je remercie le groupe ad hoc et tous ceux et toutes celles qui ont participé à cet effort en vue de réaliser ce travail de qualité.</w:t>
      </w:r>
      <w:bookmarkEnd w:id="173"/>
    </w:p>
    <w:p w14:paraId="7376529D" w14:textId="77777777" w:rsidR="001466AA" w:rsidRPr="00C0145A" w:rsidRDefault="001466AA" w:rsidP="001466AA">
      <w:pPr>
        <w:rPr>
          <w:szCs w:val="24"/>
        </w:rPr>
      </w:pPr>
      <w:bookmarkStart w:id="174" w:name="lt_pId317"/>
      <w:r w:rsidRPr="00C0145A">
        <w:rPr>
          <w:szCs w:val="24"/>
        </w:rPr>
        <w:t>Conformément à la déclaration, nous devons intensifier nos efforts pour veiller à ce que toutes les politiques et les activités traduisent notre engagement en faveur de l</w:t>
      </w:r>
      <w:r>
        <w:rPr>
          <w:szCs w:val="24"/>
        </w:rPr>
        <w:t>'</w:t>
      </w:r>
      <w:r w:rsidRPr="00C0145A">
        <w:rPr>
          <w:szCs w:val="24"/>
        </w:rPr>
        <w:t>égalité hommes/femmes au sein de l</w:t>
      </w:r>
      <w:r>
        <w:rPr>
          <w:szCs w:val="24"/>
        </w:rPr>
        <w:t>'</w:t>
      </w:r>
      <w:r w:rsidRPr="00C0145A">
        <w:rPr>
          <w:szCs w:val="24"/>
        </w:rPr>
        <w:t xml:space="preserve">UIT-R, </w:t>
      </w:r>
      <w:r>
        <w:rPr>
          <w:szCs w:val="24"/>
        </w:rPr>
        <w:t>qui est constitué d'</w:t>
      </w:r>
      <w:r w:rsidRPr="00C0145A">
        <w:rPr>
          <w:szCs w:val="24"/>
        </w:rPr>
        <w:t xml:space="preserve">États Membres, </w:t>
      </w:r>
      <w:r>
        <w:rPr>
          <w:szCs w:val="24"/>
        </w:rPr>
        <w:t>de</w:t>
      </w:r>
      <w:r w:rsidRPr="00C0145A">
        <w:rPr>
          <w:szCs w:val="24"/>
        </w:rPr>
        <w:t xml:space="preserve"> Membres de Secteur, </w:t>
      </w:r>
      <w:r>
        <w:rPr>
          <w:szCs w:val="24"/>
        </w:rPr>
        <w:t>d'</w:t>
      </w:r>
      <w:r w:rsidRPr="00C0145A">
        <w:rPr>
          <w:szCs w:val="24"/>
        </w:rPr>
        <w:t xml:space="preserve">Associés et </w:t>
      </w:r>
      <w:r>
        <w:rPr>
          <w:szCs w:val="24"/>
        </w:rPr>
        <w:t>d'</w:t>
      </w:r>
      <w:r w:rsidRPr="00C0145A">
        <w:rPr>
          <w:szCs w:val="24"/>
        </w:rPr>
        <w:t>établissements universitaires, avec l</w:t>
      </w:r>
      <w:r>
        <w:rPr>
          <w:szCs w:val="24"/>
        </w:rPr>
        <w:t>'</w:t>
      </w:r>
      <w:r w:rsidRPr="00C0145A">
        <w:rPr>
          <w:szCs w:val="24"/>
        </w:rPr>
        <w:t>appui du BR.</w:t>
      </w:r>
      <w:bookmarkEnd w:id="174"/>
      <w:r w:rsidRPr="00C0145A">
        <w:rPr>
          <w:szCs w:val="24"/>
        </w:rPr>
        <w:t xml:space="preserve"> </w:t>
      </w:r>
    </w:p>
    <w:p w14:paraId="1D4C3F8F" w14:textId="77777777" w:rsidR="001466AA" w:rsidRPr="00C0145A" w:rsidRDefault="001466AA" w:rsidP="001466AA">
      <w:pPr>
        <w:rPr>
          <w:szCs w:val="24"/>
        </w:rPr>
      </w:pPr>
      <w:bookmarkStart w:id="175" w:name="lt_pId318"/>
      <w:r w:rsidRPr="00C0145A">
        <w:rPr>
          <w:szCs w:val="24"/>
        </w:rPr>
        <w:t>Cette déclaration rappelle au BR qu</w:t>
      </w:r>
      <w:r>
        <w:rPr>
          <w:szCs w:val="24"/>
        </w:rPr>
        <w:t>'</w:t>
      </w:r>
      <w:r w:rsidRPr="00C0145A">
        <w:rPr>
          <w:szCs w:val="24"/>
        </w:rPr>
        <w:t>il doit promouvoir l</w:t>
      </w:r>
      <w:r>
        <w:rPr>
          <w:szCs w:val="24"/>
        </w:rPr>
        <w:t>'</w:t>
      </w:r>
      <w:r w:rsidRPr="00C0145A">
        <w:rPr>
          <w:szCs w:val="24"/>
        </w:rPr>
        <w:t>équilibre hommes/femmes en sélectionnant des femmes</w:t>
      </w:r>
      <w:r>
        <w:rPr>
          <w:szCs w:val="24"/>
        </w:rPr>
        <w:t xml:space="preserve"> dans un souci d'équité lors du processus de recrutement</w:t>
      </w:r>
      <w:r w:rsidRPr="00C0145A">
        <w:rPr>
          <w:szCs w:val="24"/>
        </w:rPr>
        <w:t xml:space="preserve">, en particulier </w:t>
      </w:r>
      <w:r>
        <w:rPr>
          <w:szCs w:val="24"/>
        </w:rPr>
        <w:t>pour les postes</w:t>
      </w:r>
      <w:r w:rsidRPr="00C0145A">
        <w:rPr>
          <w:szCs w:val="24"/>
        </w:rPr>
        <w:t xml:space="preserve"> des catégories professionnelle et supérieure.</w:t>
      </w:r>
      <w:bookmarkEnd w:id="175"/>
      <w:r w:rsidRPr="00C0145A">
        <w:rPr>
          <w:szCs w:val="24"/>
        </w:rPr>
        <w:t xml:space="preserve"> </w:t>
      </w:r>
    </w:p>
    <w:p w14:paraId="112F016E" w14:textId="253CB6E5" w:rsidR="001466AA" w:rsidRPr="00C0145A" w:rsidRDefault="001466AA" w:rsidP="001466AA">
      <w:pPr>
        <w:rPr>
          <w:szCs w:val="24"/>
        </w:rPr>
      </w:pPr>
      <w:bookmarkStart w:id="176" w:name="lt_pId319"/>
      <w:r w:rsidRPr="00C0145A">
        <w:rPr>
          <w:szCs w:val="24"/>
        </w:rPr>
        <w:t>Elle rappelle aussi aux participants aux travaux de l</w:t>
      </w:r>
      <w:r>
        <w:rPr>
          <w:szCs w:val="24"/>
        </w:rPr>
        <w:t>'</w:t>
      </w:r>
      <w:r w:rsidRPr="00C0145A">
        <w:rPr>
          <w:szCs w:val="24"/>
        </w:rPr>
        <w:t xml:space="preserve">UIT-R </w:t>
      </w:r>
      <w:r>
        <w:rPr>
          <w:szCs w:val="24"/>
        </w:rPr>
        <w:t>qu'ils doivent chercher à</w:t>
      </w:r>
      <w:r w:rsidRPr="00C0145A">
        <w:rPr>
          <w:szCs w:val="24"/>
        </w:rPr>
        <w:t xml:space="preserve"> </w:t>
      </w:r>
      <w:r w:rsidR="00593388">
        <w:rPr>
          <w:szCs w:val="24"/>
        </w:rPr>
        <w:t xml:space="preserve">désigner </w:t>
      </w:r>
      <w:r w:rsidRPr="00C0145A">
        <w:rPr>
          <w:szCs w:val="24"/>
        </w:rPr>
        <w:t xml:space="preserve">et </w:t>
      </w:r>
      <w:r>
        <w:rPr>
          <w:szCs w:val="24"/>
        </w:rPr>
        <w:t>à</w:t>
      </w:r>
      <w:r w:rsidRPr="00C0145A">
        <w:rPr>
          <w:szCs w:val="24"/>
        </w:rPr>
        <w:t xml:space="preserve"> sélectionner des femmes </w:t>
      </w:r>
      <w:r>
        <w:rPr>
          <w:szCs w:val="24"/>
        </w:rPr>
        <w:t xml:space="preserve">en vue </w:t>
      </w:r>
      <w:r w:rsidR="009B41BD">
        <w:rPr>
          <w:szCs w:val="24"/>
        </w:rPr>
        <w:t xml:space="preserve">de jouer un rôle de premier plan </w:t>
      </w:r>
      <w:r w:rsidR="0048287E">
        <w:rPr>
          <w:szCs w:val="24"/>
        </w:rPr>
        <w:t xml:space="preserve">dans les </w:t>
      </w:r>
      <w:r w:rsidRPr="00C0145A">
        <w:rPr>
          <w:szCs w:val="24"/>
        </w:rPr>
        <w:t>Commissions d</w:t>
      </w:r>
      <w:r>
        <w:rPr>
          <w:szCs w:val="24"/>
        </w:rPr>
        <w:t>'</w:t>
      </w:r>
      <w:r w:rsidRPr="00C0145A">
        <w:rPr>
          <w:szCs w:val="24"/>
        </w:rPr>
        <w:t>études de l</w:t>
      </w:r>
      <w:r>
        <w:rPr>
          <w:szCs w:val="24"/>
        </w:rPr>
        <w:t>'</w:t>
      </w:r>
      <w:r w:rsidRPr="00C0145A">
        <w:rPr>
          <w:szCs w:val="24"/>
        </w:rPr>
        <w:t xml:space="preserve">UIT-R, </w:t>
      </w:r>
      <w:r w:rsidR="0048287E">
        <w:rPr>
          <w:szCs w:val="24"/>
        </w:rPr>
        <w:t xml:space="preserve">les </w:t>
      </w:r>
      <w:r w:rsidRPr="00C0145A">
        <w:rPr>
          <w:szCs w:val="24"/>
        </w:rPr>
        <w:t>Réunion</w:t>
      </w:r>
      <w:r w:rsidR="0048287E">
        <w:rPr>
          <w:szCs w:val="24"/>
        </w:rPr>
        <w:t>s</w:t>
      </w:r>
      <w:r w:rsidRPr="00C0145A">
        <w:rPr>
          <w:szCs w:val="24"/>
        </w:rPr>
        <w:t xml:space="preserve"> de préparation à la Conférence, </w:t>
      </w:r>
      <w:r w:rsidR="0048287E">
        <w:rPr>
          <w:szCs w:val="24"/>
        </w:rPr>
        <w:t xml:space="preserve">le </w:t>
      </w:r>
      <w:r w:rsidRPr="00C0145A">
        <w:rPr>
          <w:szCs w:val="24"/>
        </w:rPr>
        <w:t xml:space="preserve">Groupe consultatif des radiocommunications et </w:t>
      </w:r>
      <w:r w:rsidR="0048287E">
        <w:rPr>
          <w:szCs w:val="24"/>
        </w:rPr>
        <w:t xml:space="preserve">les </w:t>
      </w:r>
      <w:r w:rsidRPr="00C0145A">
        <w:rPr>
          <w:szCs w:val="24"/>
        </w:rPr>
        <w:t>CMR.</w:t>
      </w:r>
      <w:bookmarkEnd w:id="176"/>
    </w:p>
    <w:p w14:paraId="5356A071" w14:textId="77777777" w:rsidR="001466AA" w:rsidRPr="00C0145A" w:rsidRDefault="001466AA" w:rsidP="001466AA">
      <w:pPr>
        <w:rPr>
          <w:szCs w:val="24"/>
        </w:rPr>
      </w:pPr>
      <w:bookmarkStart w:id="177" w:name="lt_pId320"/>
      <w:r>
        <w:rPr>
          <w:szCs w:val="24"/>
        </w:rPr>
        <w:t>Afin que nous puissions réaliser nos objectifs</w:t>
      </w:r>
      <w:r w:rsidRPr="00C0145A">
        <w:rPr>
          <w:szCs w:val="24"/>
        </w:rPr>
        <w:t>, je compte sur votre engagement en tant qu</w:t>
      </w:r>
      <w:r>
        <w:rPr>
          <w:szCs w:val="24"/>
        </w:rPr>
        <w:t>'</w:t>
      </w:r>
      <w:r w:rsidRPr="00C0145A">
        <w:rPr>
          <w:szCs w:val="24"/>
        </w:rPr>
        <w:t>États Membres et que Membres de Secteur pour encourager l</w:t>
      </w:r>
      <w:r>
        <w:rPr>
          <w:szCs w:val="24"/>
        </w:rPr>
        <w:t>'</w:t>
      </w:r>
      <w:r w:rsidRPr="00C0145A">
        <w:rPr>
          <w:szCs w:val="24"/>
        </w:rPr>
        <w:t>inclusion des femmes dans tous les aspects de vos travaux préparatoires afférents à l</w:t>
      </w:r>
      <w:r>
        <w:rPr>
          <w:szCs w:val="24"/>
        </w:rPr>
        <w:t>'</w:t>
      </w:r>
      <w:r w:rsidRPr="00C0145A">
        <w:rPr>
          <w:szCs w:val="24"/>
        </w:rPr>
        <w:t>UIT-R, y compris dans le cadre des processus nationaux et internationaux.</w:t>
      </w:r>
      <w:bookmarkEnd w:id="177"/>
      <w:r w:rsidRPr="00C0145A">
        <w:rPr>
          <w:szCs w:val="24"/>
        </w:rPr>
        <w:t xml:space="preserve"> </w:t>
      </w:r>
    </w:p>
    <w:p w14:paraId="3D55F3D4" w14:textId="77777777" w:rsidR="001466AA" w:rsidRPr="00C0145A" w:rsidRDefault="001466AA" w:rsidP="001466AA">
      <w:pPr>
        <w:rPr>
          <w:szCs w:val="24"/>
        </w:rPr>
      </w:pPr>
      <w:bookmarkStart w:id="178" w:name="lt_pId321"/>
      <w:r w:rsidRPr="00C0145A">
        <w:rPr>
          <w:szCs w:val="24"/>
        </w:rPr>
        <w:t xml:space="preserve">Chacun à un rôle à jouer pour faire en sorte que les femmes et les hommes puissent </w:t>
      </w:r>
      <w:r>
        <w:rPr>
          <w:szCs w:val="24"/>
        </w:rPr>
        <w:t>concourir</w:t>
      </w:r>
      <w:r w:rsidRPr="00C0145A">
        <w:rPr>
          <w:szCs w:val="24"/>
        </w:rPr>
        <w:t xml:space="preserve"> sur un pied d</w:t>
      </w:r>
      <w:r>
        <w:rPr>
          <w:szCs w:val="24"/>
        </w:rPr>
        <w:t>'</w:t>
      </w:r>
      <w:r w:rsidRPr="00C0145A">
        <w:rPr>
          <w:szCs w:val="24"/>
        </w:rPr>
        <w:t>égalité pour saisir les possibilités qui se présentent.</w:t>
      </w:r>
      <w:bookmarkEnd w:id="178"/>
      <w:r w:rsidRPr="00C0145A">
        <w:rPr>
          <w:szCs w:val="24"/>
        </w:rPr>
        <w:t xml:space="preserve"> </w:t>
      </w:r>
    </w:p>
    <w:p w14:paraId="2577F19F" w14:textId="3412BAFF" w:rsidR="001466AA" w:rsidRPr="00C0145A" w:rsidRDefault="001466AA" w:rsidP="001466AA">
      <w:pPr>
        <w:rPr>
          <w:rFonts w:eastAsiaTheme="minorHAnsi"/>
          <w:i/>
          <w:iCs/>
          <w:szCs w:val="24"/>
        </w:rPr>
      </w:pPr>
      <w:bookmarkStart w:id="179" w:name="lt_pId322"/>
      <w:r w:rsidRPr="00C0145A">
        <w:rPr>
          <w:szCs w:val="24"/>
        </w:rPr>
        <w:t>Il est très important que nous travaill</w:t>
      </w:r>
      <w:r>
        <w:rPr>
          <w:szCs w:val="24"/>
        </w:rPr>
        <w:t>i</w:t>
      </w:r>
      <w:r w:rsidRPr="00C0145A">
        <w:rPr>
          <w:szCs w:val="24"/>
        </w:rPr>
        <w:t xml:space="preserve">ons ensemble </w:t>
      </w:r>
      <w:r>
        <w:rPr>
          <w:szCs w:val="24"/>
        </w:rPr>
        <w:t>si nous voulons</w:t>
      </w:r>
      <w:r w:rsidRPr="00C0145A">
        <w:rPr>
          <w:szCs w:val="24"/>
        </w:rPr>
        <w:t xml:space="preserve"> parvenir à un meilleur équilibre hommes/femmes et faire de l</w:t>
      </w:r>
      <w:r>
        <w:rPr>
          <w:szCs w:val="24"/>
        </w:rPr>
        <w:t>'</w:t>
      </w:r>
      <w:r w:rsidRPr="00C0145A">
        <w:rPr>
          <w:szCs w:val="24"/>
        </w:rPr>
        <w:t>égalité hommes/femmes une réalité partout dans le monde.</w:t>
      </w:r>
      <w:r w:rsidR="007418D0">
        <w:rPr>
          <w:szCs w:val="24"/>
        </w:rPr>
        <w:t>»</w:t>
      </w:r>
      <w:bookmarkEnd w:id="179"/>
    </w:p>
    <w:p w14:paraId="057D1FEE" w14:textId="28FEF316" w:rsidR="001466AA" w:rsidRPr="00C0145A" w:rsidRDefault="001466AA" w:rsidP="001466AA">
      <w:pPr>
        <w:rPr>
          <w:szCs w:val="24"/>
        </w:rPr>
      </w:pPr>
      <w:r w:rsidRPr="00C0145A">
        <w:rPr>
          <w:szCs w:val="24"/>
        </w:rPr>
        <w:t>3.35</w:t>
      </w:r>
      <w:r w:rsidRPr="00C0145A">
        <w:rPr>
          <w:szCs w:val="24"/>
        </w:rPr>
        <w:tab/>
      </w:r>
      <w:bookmarkStart w:id="180" w:name="lt_pId324"/>
      <w:r w:rsidRPr="00C0145A">
        <w:rPr>
          <w:szCs w:val="24"/>
        </w:rPr>
        <w:t xml:space="preserve">Le </w:t>
      </w:r>
      <w:r w:rsidRPr="00D15488">
        <w:rPr>
          <w:b/>
          <w:bCs/>
          <w:szCs w:val="24"/>
        </w:rPr>
        <w:t>Secrétaire général</w:t>
      </w:r>
      <w:r w:rsidRPr="00C0145A">
        <w:rPr>
          <w:szCs w:val="24"/>
        </w:rPr>
        <w:t xml:space="preserve"> félicite les participants à la Conférence d</w:t>
      </w:r>
      <w:r>
        <w:rPr>
          <w:szCs w:val="24"/>
        </w:rPr>
        <w:t>'</w:t>
      </w:r>
      <w:r w:rsidRPr="00C0145A">
        <w:rPr>
          <w:szCs w:val="24"/>
        </w:rPr>
        <w:t>avoir adopté cette déclaration et note que, même si des efforts ont été réalisés ces dix dernières années afin d</w:t>
      </w:r>
      <w:r>
        <w:rPr>
          <w:szCs w:val="24"/>
        </w:rPr>
        <w:t>'</w:t>
      </w:r>
      <w:r w:rsidRPr="00C0145A">
        <w:rPr>
          <w:szCs w:val="24"/>
        </w:rPr>
        <w:t>accroître la participation des femmes aux activités de l</w:t>
      </w:r>
      <w:r>
        <w:rPr>
          <w:szCs w:val="24"/>
        </w:rPr>
        <w:t>'</w:t>
      </w:r>
      <w:r w:rsidRPr="00C0145A">
        <w:rPr>
          <w:szCs w:val="24"/>
        </w:rPr>
        <w:t>UIT, il reste encore du chemin à faire pour parvenir à la parité hommes/femmes.</w:t>
      </w:r>
      <w:bookmarkEnd w:id="180"/>
      <w:r w:rsidRPr="00C0145A">
        <w:rPr>
          <w:szCs w:val="24"/>
        </w:rPr>
        <w:t xml:space="preserve"> </w:t>
      </w:r>
      <w:bookmarkStart w:id="181" w:name="lt_pId325"/>
      <w:r>
        <w:rPr>
          <w:szCs w:val="24"/>
        </w:rPr>
        <w:t>L'orateur</w:t>
      </w:r>
      <w:r w:rsidRPr="00C0145A">
        <w:rPr>
          <w:szCs w:val="24"/>
        </w:rPr>
        <w:t xml:space="preserve"> invite tous les États Membres et les Membres de Secteur à encourager davantage de femmes à participer aux travaux de l</w:t>
      </w:r>
      <w:r>
        <w:rPr>
          <w:szCs w:val="24"/>
        </w:rPr>
        <w:t>'</w:t>
      </w:r>
      <w:r w:rsidRPr="00C0145A">
        <w:rPr>
          <w:szCs w:val="24"/>
        </w:rPr>
        <w:t>UIT</w:t>
      </w:r>
      <w:r>
        <w:rPr>
          <w:szCs w:val="24"/>
        </w:rPr>
        <w:t xml:space="preserve"> et à travailler</w:t>
      </w:r>
      <w:r w:rsidRPr="00C0145A">
        <w:rPr>
          <w:szCs w:val="24"/>
        </w:rPr>
        <w:t xml:space="preserve"> au sein des administrations ou dans les domaines de la science et de la technologie en général.</w:t>
      </w:r>
      <w:bookmarkEnd w:id="181"/>
    </w:p>
    <w:p w14:paraId="2C3EA5A9" w14:textId="77777777" w:rsidR="001466AA" w:rsidRPr="00C0145A" w:rsidRDefault="001466AA" w:rsidP="001466AA">
      <w:pPr>
        <w:pStyle w:val="Heading1"/>
        <w:rPr>
          <w:bCs/>
          <w:szCs w:val="28"/>
        </w:rPr>
      </w:pPr>
      <w:bookmarkStart w:id="182" w:name="_Hlk25137307"/>
      <w:r w:rsidRPr="00C0145A">
        <w:rPr>
          <w:bCs/>
          <w:szCs w:val="28"/>
        </w:rPr>
        <w:t>4</w:t>
      </w:r>
      <w:r w:rsidRPr="00C0145A">
        <w:rPr>
          <w:bCs/>
          <w:szCs w:val="28"/>
        </w:rPr>
        <w:tab/>
      </w:r>
      <w:bookmarkStart w:id="183" w:name="lt_pId327"/>
      <w:r w:rsidRPr="00C0145A">
        <w:rPr>
          <w:bCs/>
          <w:szCs w:val="28"/>
        </w:rPr>
        <w:t>Vingt-troisième série de textes soumis par la Commission de rédaction en première lecture (B23) (suite)</w:t>
      </w:r>
      <w:bookmarkEnd w:id="183"/>
      <w:r w:rsidRPr="00C0145A">
        <w:rPr>
          <w:bCs/>
          <w:szCs w:val="28"/>
        </w:rPr>
        <w:t xml:space="preserve"> </w:t>
      </w:r>
      <w:r>
        <w:rPr>
          <w:bCs/>
          <w:szCs w:val="28"/>
        </w:rPr>
        <w:t>(Document 327)</w:t>
      </w:r>
    </w:p>
    <w:p w14:paraId="7A6600B5" w14:textId="77777777" w:rsidR="001466AA" w:rsidRPr="00C0145A" w:rsidRDefault="001466AA" w:rsidP="001466AA">
      <w:pPr>
        <w:rPr>
          <w:szCs w:val="24"/>
        </w:rPr>
      </w:pPr>
      <w:r w:rsidRPr="00C0145A">
        <w:rPr>
          <w:szCs w:val="24"/>
        </w:rPr>
        <w:t>4.1</w:t>
      </w:r>
      <w:r w:rsidRPr="00C0145A">
        <w:rPr>
          <w:szCs w:val="24"/>
        </w:rPr>
        <w:tab/>
      </w:r>
      <w:bookmarkStart w:id="184" w:name="lt_pId329"/>
      <w:r w:rsidRPr="00C0145A">
        <w:rPr>
          <w:szCs w:val="24"/>
        </w:rPr>
        <w:t xml:space="preserve">Le </w:t>
      </w:r>
      <w:r w:rsidRPr="007A06A0">
        <w:rPr>
          <w:b/>
          <w:bCs/>
          <w:szCs w:val="24"/>
        </w:rPr>
        <w:t>délégué de la Fédération de Russie</w:t>
      </w:r>
      <w:r w:rsidRPr="00C0145A">
        <w:rPr>
          <w:szCs w:val="24"/>
        </w:rPr>
        <w:t xml:space="preserve"> propose </w:t>
      </w:r>
      <w:r>
        <w:rPr>
          <w:szCs w:val="24"/>
        </w:rPr>
        <w:t>que de manière générale</w:t>
      </w:r>
      <w:r w:rsidRPr="00C0145A">
        <w:rPr>
          <w:szCs w:val="24"/>
        </w:rPr>
        <w:t>, les observations d</w:t>
      </w:r>
      <w:r>
        <w:rPr>
          <w:szCs w:val="24"/>
        </w:rPr>
        <w:t>'</w:t>
      </w:r>
      <w:r w:rsidRPr="00C0145A">
        <w:rPr>
          <w:szCs w:val="24"/>
        </w:rPr>
        <w:t>ordre rédactionnel qui concernent une langue en particulier soient transmis</w:t>
      </w:r>
      <w:r>
        <w:rPr>
          <w:szCs w:val="24"/>
        </w:rPr>
        <w:t>es</w:t>
      </w:r>
      <w:r w:rsidRPr="00C0145A">
        <w:rPr>
          <w:szCs w:val="24"/>
        </w:rPr>
        <w:t xml:space="preserve"> directement à la Commission de rédaction et non </w:t>
      </w:r>
      <w:r>
        <w:rPr>
          <w:szCs w:val="24"/>
        </w:rPr>
        <w:t>examinées à la plénière</w:t>
      </w:r>
      <w:r w:rsidRPr="00C0145A">
        <w:rPr>
          <w:szCs w:val="24"/>
        </w:rPr>
        <w:t>.</w:t>
      </w:r>
      <w:bookmarkEnd w:id="184"/>
    </w:p>
    <w:p w14:paraId="3636286D" w14:textId="77777777" w:rsidR="001466AA" w:rsidRPr="00C0145A" w:rsidRDefault="001466AA" w:rsidP="001466AA">
      <w:pPr>
        <w:rPr>
          <w:szCs w:val="24"/>
        </w:rPr>
      </w:pPr>
      <w:r w:rsidRPr="00C0145A">
        <w:rPr>
          <w:szCs w:val="24"/>
        </w:rPr>
        <w:t>4.2</w:t>
      </w:r>
      <w:r w:rsidRPr="00C0145A">
        <w:rPr>
          <w:szCs w:val="24"/>
        </w:rPr>
        <w:tab/>
      </w:r>
      <w:bookmarkStart w:id="185" w:name="lt_pId331"/>
      <w:r w:rsidRPr="00C0145A">
        <w:rPr>
          <w:szCs w:val="24"/>
        </w:rPr>
        <w:t xml:space="preserve">Il en est ainsi </w:t>
      </w:r>
      <w:r w:rsidRPr="002923CC">
        <w:rPr>
          <w:b/>
          <w:bCs/>
          <w:szCs w:val="24"/>
        </w:rPr>
        <w:t>décidé</w:t>
      </w:r>
      <w:r w:rsidRPr="00C0145A">
        <w:rPr>
          <w:szCs w:val="24"/>
        </w:rPr>
        <w:t>.</w:t>
      </w:r>
      <w:bookmarkEnd w:id="185"/>
    </w:p>
    <w:p w14:paraId="56B99D10" w14:textId="77777777" w:rsidR="001466AA" w:rsidRPr="00C0145A" w:rsidRDefault="001466AA" w:rsidP="001466AA">
      <w:pPr>
        <w:rPr>
          <w:szCs w:val="24"/>
        </w:rPr>
      </w:pPr>
      <w:r w:rsidRPr="00C0145A">
        <w:rPr>
          <w:szCs w:val="24"/>
        </w:rPr>
        <w:t>4.3</w:t>
      </w:r>
      <w:r w:rsidRPr="00C0145A">
        <w:rPr>
          <w:szCs w:val="24"/>
        </w:rPr>
        <w:tab/>
      </w:r>
      <w:bookmarkStart w:id="186" w:name="lt_pId333"/>
      <w:r w:rsidRPr="00C0145A">
        <w:rPr>
          <w:szCs w:val="24"/>
        </w:rPr>
        <w:t xml:space="preserve">Le </w:t>
      </w:r>
      <w:r w:rsidRPr="002923CC">
        <w:rPr>
          <w:b/>
          <w:bCs/>
          <w:szCs w:val="24"/>
        </w:rPr>
        <w:t>Président de la Commission de rédaction</w:t>
      </w:r>
      <w:r w:rsidRPr="00C0145A">
        <w:rPr>
          <w:szCs w:val="24"/>
        </w:rPr>
        <w:t xml:space="preserve"> présente le Document 327.</w:t>
      </w:r>
      <w:bookmarkEnd w:id="186"/>
    </w:p>
    <w:p w14:paraId="29CB42E2" w14:textId="50E498A5" w:rsidR="001466AA" w:rsidRPr="00C0145A" w:rsidRDefault="001466AA" w:rsidP="001466AA">
      <w:pPr>
        <w:rPr>
          <w:szCs w:val="24"/>
        </w:rPr>
      </w:pPr>
      <w:r w:rsidRPr="00C0145A">
        <w:rPr>
          <w:szCs w:val="24"/>
        </w:rPr>
        <w:lastRenderedPageBreak/>
        <w:t>4.4</w:t>
      </w:r>
      <w:r w:rsidRPr="00C0145A">
        <w:rPr>
          <w:szCs w:val="24"/>
        </w:rPr>
        <w:tab/>
      </w:r>
      <w:bookmarkStart w:id="187" w:name="lt_pId335"/>
      <w:r w:rsidRPr="00C0145A">
        <w:rPr>
          <w:szCs w:val="24"/>
        </w:rPr>
        <w:t xml:space="preserve">Le </w:t>
      </w:r>
      <w:r w:rsidRPr="002923CC">
        <w:rPr>
          <w:b/>
          <w:bCs/>
          <w:szCs w:val="24"/>
        </w:rPr>
        <w:t>Président</w:t>
      </w:r>
      <w:r w:rsidRPr="00C0145A">
        <w:rPr>
          <w:szCs w:val="24"/>
        </w:rPr>
        <w:t xml:space="preserve"> rappelle que le délégué des États-Unis avait demandé </w:t>
      </w:r>
      <w:r>
        <w:rPr>
          <w:szCs w:val="24"/>
        </w:rPr>
        <w:t xml:space="preserve">un délai supplémentaire pour </w:t>
      </w:r>
      <w:r w:rsidRPr="00C0145A">
        <w:rPr>
          <w:szCs w:val="24"/>
        </w:rPr>
        <w:t xml:space="preserve">examiner le texte </w:t>
      </w:r>
      <w:r w:rsidR="00593388">
        <w:rPr>
          <w:szCs w:val="24"/>
        </w:rPr>
        <w:t xml:space="preserve">figurant </w:t>
      </w:r>
      <w:r w:rsidRPr="00C0145A">
        <w:rPr>
          <w:szCs w:val="24"/>
        </w:rPr>
        <w:t>dans le Document 327 lors de sa première présentation à la septième séance plénière.</w:t>
      </w:r>
      <w:bookmarkEnd w:id="187"/>
      <w:r w:rsidRPr="00C0145A">
        <w:rPr>
          <w:szCs w:val="24"/>
        </w:rPr>
        <w:t xml:space="preserve"> </w:t>
      </w:r>
      <w:bookmarkStart w:id="188" w:name="lt_pId336"/>
      <w:r w:rsidRPr="00C0145A">
        <w:rPr>
          <w:szCs w:val="24"/>
        </w:rPr>
        <w:t>Il invite les participants à examiner le projet de Résolution.</w:t>
      </w:r>
      <w:bookmarkEnd w:id="188"/>
    </w:p>
    <w:p w14:paraId="75D1AA4C" w14:textId="4D9C9909" w:rsidR="001466AA" w:rsidRPr="002923CC" w:rsidRDefault="001466AA" w:rsidP="00BE11D0">
      <w:pPr>
        <w:pStyle w:val="Headingb"/>
      </w:pPr>
      <w:bookmarkStart w:id="189" w:name="lt_pId337"/>
      <w:r w:rsidRPr="002923CC">
        <w:t>ADD Résolution COM4/1 (CMR-19) – Mise à jour des dispositions relatives aux services aéronautiques dans le Règlement des radiocommunications</w:t>
      </w:r>
      <w:bookmarkEnd w:id="189"/>
    </w:p>
    <w:p w14:paraId="077F096B" w14:textId="705FF71A" w:rsidR="001466AA" w:rsidRPr="00C0145A" w:rsidRDefault="001466AA" w:rsidP="001466AA">
      <w:pPr>
        <w:rPr>
          <w:szCs w:val="24"/>
        </w:rPr>
      </w:pPr>
      <w:r w:rsidRPr="00C0145A">
        <w:rPr>
          <w:szCs w:val="24"/>
        </w:rPr>
        <w:t>4.5</w:t>
      </w:r>
      <w:r w:rsidRPr="00C0145A">
        <w:rPr>
          <w:szCs w:val="24"/>
        </w:rPr>
        <w:tab/>
      </w:r>
      <w:bookmarkStart w:id="190" w:name="lt_pId339"/>
      <w:r w:rsidRPr="00C0145A">
        <w:rPr>
          <w:szCs w:val="24"/>
        </w:rPr>
        <w:t xml:space="preserve">Le </w:t>
      </w:r>
      <w:r w:rsidRPr="002923CC">
        <w:rPr>
          <w:b/>
          <w:bCs/>
          <w:szCs w:val="24"/>
        </w:rPr>
        <w:t>délégué des États-Unis</w:t>
      </w:r>
      <w:r w:rsidRPr="00C0145A">
        <w:rPr>
          <w:szCs w:val="24"/>
        </w:rPr>
        <w:t xml:space="preserve"> explique que le texte de la Résolution a désormais été modifié afin de clarifier le rôle de l</w:t>
      </w:r>
      <w:r>
        <w:rPr>
          <w:szCs w:val="24"/>
        </w:rPr>
        <w:t>'</w:t>
      </w:r>
      <w:r w:rsidRPr="00C0145A">
        <w:rPr>
          <w:szCs w:val="24"/>
        </w:rPr>
        <w:t>UIT-R dans l</w:t>
      </w:r>
      <w:r>
        <w:rPr>
          <w:szCs w:val="24"/>
        </w:rPr>
        <w:t>'</w:t>
      </w:r>
      <w:r w:rsidRPr="00C0145A">
        <w:rPr>
          <w:szCs w:val="24"/>
        </w:rPr>
        <w:t xml:space="preserve">identification des incohérences </w:t>
      </w:r>
      <w:r>
        <w:rPr>
          <w:szCs w:val="24"/>
        </w:rPr>
        <w:t>ou autres</w:t>
      </w:r>
      <w:r w:rsidRPr="00C0145A">
        <w:rPr>
          <w:szCs w:val="24"/>
        </w:rPr>
        <w:t xml:space="preserve"> difficultés </w:t>
      </w:r>
      <w:r w:rsidR="00593388">
        <w:rPr>
          <w:szCs w:val="24"/>
        </w:rPr>
        <w:t xml:space="preserve">liées au </w:t>
      </w:r>
      <w:r w:rsidRPr="00C0145A">
        <w:rPr>
          <w:szCs w:val="24"/>
        </w:rPr>
        <w:t xml:space="preserve">Règlement des radiocommunications </w:t>
      </w:r>
      <w:r w:rsidR="00593388">
        <w:rPr>
          <w:szCs w:val="24"/>
        </w:rPr>
        <w:t xml:space="preserve">vis-à-vis des </w:t>
      </w:r>
      <w:r w:rsidRPr="00C0145A">
        <w:rPr>
          <w:szCs w:val="24"/>
        </w:rPr>
        <w:t xml:space="preserve">normes et </w:t>
      </w:r>
      <w:r w:rsidR="00593388">
        <w:rPr>
          <w:szCs w:val="24"/>
        </w:rPr>
        <w:t xml:space="preserve">des </w:t>
      </w:r>
      <w:r w:rsidRPr="00C0145A">
        <w:rPr>
          <w:szCs w:val="24"/>
        </w:rPr>
        <w:t>procédures de l</w:t>
      </w:r>
      <w:r>
        <w:rPr>
          <w:szCs w:val="24"/>
        </w:rPr>
        <w:t>'</w:t>
      </w:r>
      <w:r w:rsidRPr="00C0145A">
        <w:rPr>
          <w:szCs w:val="24"/>
        </w:rPr>
        <w:t>Organisation de l</w:t>
      </w:r>
      <w:r>
        <w:rPr>
          <w:szCs w:val="24"/>
        </w:rPr>
        <w:t>'</w:t>
      </w:r>
      <w:r w:rsidRPr="00C0145A">
        <w:rPr>
          <w:szCs w:val="24"/>
        </w:rPr>
        <w:t>aviation civile internationale.</w:t>
      </w:r>
      <w:bookmarkEnd w:id="190"/>
      <w:r w:rsidRPr="00C0145A">
        <w:rPr>
          <w:szCs w:val="24"/>
        </w:rPr>
        <w:t xml:space="preserve"> </w:t>
      </w:r>
      <w:bookmarkStart w:id="191" w:name="lt_pId340"/>
      <w:r w:rsidRPr="00C0145A">
        <w:rPr>
          <w:szCs w:val="24"/>
        </w:rPr>
        <w:t>Dans le nouveau texte, il est demandé explicitement à l</w:t>
      </w:r>
      <w:r>
        <w:rPr>
          <w:szCs w:val="24"/>
        </w:rPr>
        <w:t>'</w:t>
      </w:r>
      <w:r w:rsidRPr="00C0145A">
        <w:rPr>
          <w:szCs w:val="24"/>
        </w:rPr>
        <w:t>UIT-R de signaler</w:t>
      </w:r>
      <w:r>
        <w:rPr>
          <w:szCs w:val="24"/>
        </w:rPr>
        <w:t>,</w:t>
      </w:r>
      <w:r w:rsidRPr="00E733A2">
        <w:rPr>
          <w:szCs w:val="24"/>
        </w:rPr>
        <w:t xml:space="preserve"> </w:t>
      </w:r>
      <w:r w:rsidRPr="00C0145A">
        <w:rPr>
          <w:szCs w:val="24"/>
        </w:rPr>
        <w:t>à la CMR</w:t>
      </w:r>
      <w:r>
        <w:rPr>
          <w:szCs w:val="24"/>
        </w:rPr>
        <w:t>,</w:t>
      </w:r>
      <w:r w:rsidRPr="00C0145A">
        <w:rPr>
          <w:szCs w:val="24"/>
        </w:rPr>
        <w:t xml:space="preserve"> les incohérences identifiées, par l</w:t>
      </w:r>
      <w:r>
        <w:rPr>
          <w:szCs w:val="24"/>
        </w:rPr>
        <w:t>'</w:t>
      </w:r>
      <w:r w:rsidRPr="00C0145A">
        <w:rPr>
          <w:szCs w:val="24"/>
        </w:rPr>
        <w:t>intermédiaire du rapport du Directeur du BR.</w:t>
      </w:r>
      <w:bookmarkEnd w:id="191"/>
    </w:p>
    <w:p w14:paraId="2F98FF40" w14:textId="38968D9A" w:rsidR="001466AA" w:rsidRPr="00C0145A" w:rsidRDefault="001466AA" w:rsidP="001466AA">
      <w:pPr>
        <w:rPr>
          <w:szCs w:val="24"/>
        </w:rPr>
      </w:pPr>
      <w:r w:rsidRPr="00C0145A">
        <w:rPr>
          <w:szCs w:val="24"/>
        </w:rPr>
        <w:t>4.6</w:t>
      </w:r>
      <w:r w:rsidRPr="00C0145A">
        <w:rPr>
          <w:szCs w:val="24"/>
        </w:rPr>
        <w:tab/>
      </w:r>
      <w:bookmarkStart w:id="192" w:name="lt_pId342"/>
      <w:r w:rsidRPr="00C0145A">
        <w:rPr>
          <w:szCs w:val="24"/>
        </w:rPr>
        <w:t xml:space="preserve">Le </w:t>
      </w:r>
      <w:r w:rsidRPr="00970CF5">
        <w:rPr>
          <w:b/>
          <w:bCs/>
          <w:szCs w:val="24"/>
        </w:rPr>
        <w:t>délégué de la République islamique d'Iran</w:t>
      </w:r>
      <w:r w:rsidRPr="00C0145A">
        <w:rPr>
          <w:szCs w:val="24"/>
        </w:rPr>
        <w:t xml:space="preserve"> suggère de charger le Président et les Vice-Présidents de la prochaine RPC </w:t>
      </w:r>
      <w:r w:rsidR="00593388">
        <w:rPr>
          <w:szCs w:val="24"/>
        </w:rPr>
        <w:t xml:space="preserve">d'identifier </w:t>
      </w:r>
      <w:r w:rsidRPr="00C0145A">
        <w:rPr>
          <w:szCs w:val="24"/>
        </w:rPr>
        <w:t>le groupe de l</w:t>
      </w:r>
      <w:r>
        <w:rPr>
          <w:szCs w:val="24"/>
        </w:rPr>
        <w:t>'</w:t>
      </w:r>
      <w:r w:rsidRPr="00C0145A">
        <w:rPr>
          <w:szCs w:val="24"/>
        </w:rPr>
        <w:t>UIT-R ou l</w:t>
      </w:r>
      <w:r>
        <w:rPr>
          <w:szCs w:val="24"/>
        </w:rPr>
        <w:t>'</w:t>
      </w:r>
      <w:r w:rsidRPr="00C0145A">
        <w:rPr>
          <w:szCs w:val="24"/>
        </w:rPr>
        <w:t>entité qui aura la responsabilité d</w:t>
      </w:r>
      <w:r>
        <w:rPr>
          <w:szCs w:val="24"/>
        </w:rPr>
        <w:t>'</w:t>
      </w:r>
      <w:r w:rsidRPr="00C0145A">
        <w:rPr>
          <w:szCs w:val="24"/>
        </w:rPr>
        <w:t>effectuer cette tâche.</w:t>
      </w:r>
      <w:bookmarkEnd w:id="192"/>
    </w:p>
    <w:p w14:paraId="1B8508A1" w14:textId="77777777" w:rsidR="001466AA" w:rsidRPr="00C0145A" w:rsidRDefault="001466AA" w:rsidP="001466AA">
      <w:pPr>
        <w:rPr>
          <w:szCs w:val="24"/>
        </w:rPr>
      </w:pPr>
      <w:r w:rsidRPr="00C0145A">
        <w:rPr>
          <w:szCs w:val="24"/>
        </w:rPr>
        <w:t>4.7</w:t>
      </w:r>
      <w:r w:rsidRPr="00C0145A">
        <w:rPr>
          <w:szCs w:val="24"/>
        </w:rPr>
        <w:tab/>
      </w:r>
      <w:bookmarkStart w:id="193" w:name="lt_pId344"/>
      <w:r w:rsidRPr="00C0145A">
        <w:rPr>
          <w:szCs w:val="24"/>
        </w:rPr>
        <w:t xml:space="preserve">Il en est ainsi </w:t>
      </w:r>
      <w:r w:rsidRPr="00970CF5">
        <w:rPr>
          <w:b/>
          <w:bCs/>
          <w:szCs w:val="24"/>
        </w:rPr>
        <w:t>décidé</w:t>
      </w:r>
      <w:r w:rsidRPr="00C0145A">
        <w:rPr>
          <w:szCs w:val="24"/>
        </w:rPr>
        <w:t>.</w:t>
      </w:r>
      <w:bookmarkEnd w:id="193"/>
    </w:p>
    <w:p w14:paraId="59A8BBD0" w14:textId="77777777" w:rsidR="001466AA" w:rsidRPr="00C0145A" w:rsidRDefault="001466AA" w:rsidP="001466AA">
      <w:pPr>
        <w:rPr>
          <w:b/>
          <w:bCs/>
          <w:szCs w:val="24"/>
        </w:rPr>
      </w:pPr>
      <w:r w:rsidRPr="00C0145A">
        <w:rPr>
          <w:szCs w:val="24"/>
        </w:rPr>
        <w:t>4.8</w:t>
      </w:r>
      <w:r w:rsidRPr="00C0145A">
        <w:rPr>
          <w:szCs w:val="24"/>
        </w:rPr>
        <w:tab/>
      </w:r>
      <w:bookmarkStart w:id="194" w:name="lt_pId346"/>
      <w:r w:rsidRPr="00C0145A">
        <w:rPr>
          <w:szCs w:val="24"/>
        </w:rPr>
        <w:t xml:space="preserve">Le ADD Résolution COM4/1 (CMR-19), tel que modifié, est </w:t>
      </w:r>
      <w:r w:rsidRPr="00970CF5">
        <w:rPr>
          <w:b/>
          <w:bCs/>
          <w:szCs w:val="24"/>
        </w:rPr>
        <w:t>approuvé</w:t>
      </w:r>
      <w:r w:rsidRPr="00C0145A">
        <w:rPr>
          <w:szCs w:val="24"/>
        </w:rPr>
        <w:t>.</w:t>
      </w:r>
      <w:bookmarkEnd w:id="194"/>
    </w:p>
    <w:bookmarkEnd w:id="182"/>
    <w:p w14:paraId="393A04A9" w14:textId="77777777" w:rsidR="001466AA" w:rsidRPr="00C0145A" w:rsidRDefault="001466AA" w:rsidP="001466AA">
      <w:pPr>
        <w:rPr>
          <w:szCs w:val="24"/>
        </w:rPr>
      </w:pPr>
      <w:r w:rsidRPr="00C0145A">
        <w:rPr>
          <w:szCs w:val="24"/>
        </w:rPr>
        <w:t>4.9</w:t>
      </w:r>
      <w:r w:rsidRPr="00C0145A">
        <w:rPr>
          <w:szCs w:val="24"/>
        </w:rPr>
        <w:tab/>
      </w:r>
      <w:bookmarkStart w:id="195" w:name="lt_pId348"/>
      <w:r w:rsidRPr="00C0145A">
        <w:rPr>
          <w:szCs w:val="24"/>
        </w:rPr>
        <w:t xml:space="preserve">La vingt-troisième série de textes soumis par la Commission de rédaction en première lecture (B23) (Document 327), telle que modifiée, est </w:t>
      </w:r>
      <w:r w:rsidRPr="00970CF5">
        <w:rPr>
          <w:b/>
          <w:bCs/>
          <w:szCs w:val="24"/>
        </w:rPr>
        <w:t>approuvée</w:t>
      </w:r>
      <w:r w:rsidRPr="00C0145A">
        <w:rPr>
          <w:szCs w:val="24"/>
        </w:rPr>
        <w:t>.</w:t>
      </w:r>
      <w:bookmarkEnd w:id="195"/>
    </w:p>
    <w:p w14:paraId="01D1A908" w14:textId="02C31C86" w:rsidR="001466AA" w:rsidRPr="00C0145A" w:rsidRDefault="001466AA" w:rsidP="001466AA">
      <w:pPr>
        <w:rPr>
          <w:szCs w:val="24"/>
        </w:rPr>
      </w:pPr>
      <w:r w:rsidRPr="00C0145A">
        <w:rPr>
          <w:szCs w:val="24"/>
        </w:rPr>
        <w:t>4.10</w:t>
      </w:r>
      <w:r w:rsidRPr="00C0145A">
        <w:rPr>
          <w:szCs w:val="24"/>
        </w:rPr>
        <w:tab/>
      </w:r>
      <w:bookmarkStart w:id="196" w:name="lt_pId350"/>
      <w:r w:rsidRPr="00C0145A">
        <w:rPr>
          <w:szCs w:val="24"/>
        </w:rPr>
        <w:t xml:space="preserve">Le </w:t>
      </w:r>
      <w:r w:rsidRPr="00970CF5">
        <w:rPr>
          <w:b/>
          <w:bCs/>
          <w:szCs w:val="24"/>
        </w:rPr>
        <w:t xml:space="preserve">Président </w:t>
      </w:r>
      <w:r w:rsidRPr="00C0145A">
        <w:rPr>
          <w:szCs w:val="24"/>
        </w:rPr>
        <w:t>déclare que, étant donné que le texte qui vient d</w:t>
      </w:r>
      <w:r>
        <w:rPr>
          <w:szCs w:val="24"/>
        </w:rPr>
        <w:t>'</w:t>
      </w:r>
      <w:r w:rsidRPr="00C0145A">
        <w:rPr>
          <w:szCs w:val="24"/>
        </w:rPr>
        <w:t xml:space="preserve">être approuvé contient plusieurs modifications, celui-ci sera </w:t>
      </w:r>
      <w:r>
        <w:rPr>
          <w:szCs w:val="24"/>
        </w:rPr>
        <w:t>renvoyé</w:t>
      </w:r>
      <w:r w:rsidRPr="00C0145A">
        <w:rPr>
          <w:szCs w:val="24"/>
        </w:rPr>
        <w:t xml:space="preserve"> à la Commission de rédaction, en vue de sa soumission ultérieure à la plénière, en tant que série de textes soumis en seconde lecture.</w:t>
      </w:r>
      <w:bookmarkEnd w:id="196"/>
    </w:p>
    <w:p w14:paraId="634E3F04" w14:textId="77777777" w:rsidR="001466AA" w:rsidRPr="00C0145A" w:rsidRDefault="001466AA" w:rsidP="001466AA">
      <w:pPr>
        <w:rPr>
          <w:b/>
          <w:bCs/>
          <w:szCs w:val="24"/>
        </w:rPr>
      </w:pPr>
      <w:r w:rsidRPr="00C0145A">
        <w:rPr>
          <w:szCs w:val="24"/>
        </w:rPr>
        <w:t>4.11</w:t>
      </w:r>
      <w:r w:rsidRPr="00C0145A">
        <w:rPr>
          <w:szCs w:val="24"/>
        </w:rPr>
        <w:tab/>
      </w:r>
      <w:bookmarkStart w:id="197" w:name="lt_pId352"/>
      <w:r w:rsidRPr="00C0145A">
        <w:rPr>
          <w:szCs w:val="24"/>
        </w:rPr>
        <w:t xml:space="preserve">Il en est ainsi </w:t>
      </w:r>
      <w:r w:rsidRPr="00970CF5">
        <w:rPr>
          <w:b/>
          <w:bCs/>
          <w:szCs w:val="24"/>
        </w:rPr>
        <w:t>décidé</w:t>
      </w:r>
      <w:r w:rsidRPr="00C0145A">
        <w:rPr>
          <w:szCs w:val="24"/>
        </w:rPr>
        <w:t>.</w:t>
      </w:r>
      <w:bookmarkEnd w:id="197"/>
    </w:p>
    <w:p w14:paraId="4BD4759D" w14:textId="77777777" w:rsidR="001466AA" w:rsidRPr="00C0145A" w:rsidRDefault="001466AA" w:rsidP="001466AA">
      <w:pPr>
        <w:pStyle w:val="Heading1"/>
        <w:rPr>
          <w:szCs w:val="28"/>
        </w:rPr>
      </w:pPr>
      <w:bookmarkStart w:id="198" w:name="_Hlk27668054"/>
      <w:r w:rsidRPr="00C0145A">
        <w:rPr>
          <w:szCs w:val="28"/>
        </w:rPr>
        <w:t>5</w:t>
      </w:r>
      <w:r w:rsidRPr="00C0145A">
        <w:rPr>
          <w:szCs w:val="28"/>
        </w:rPr>
        <w:tab/>
      </w:r>
      <w:bookmarkStart w:id="199" w:name="lt_pId354"/>
      <w:r w:rsidRPr="00C0145A">
        <w:rPr>
          <w:szCs w:val="28"/>
        </w:rPr>
        <w:t>Deuxième série de textes soumis par la Commission de rédaction en seconde lecture (R2) (Document 381)</w:t>
      </w:r>
      <w:bookmarkEnd w:id="199"/>
    </w:p>
    <w:p w14:paraId="30B0EDDD" w14:textId="77777777" w:rsidR="001466AA" w:rsidRPr="00C0145A" w:rsidRDefault="001466AA" w:rsidP="001466AA">
      <w:pPr>
        <w:rPr>
          <w:szCs w:val="24"/>
        </w:rPr>
      </w:pPr>
      <w:r w:rsidRPr="00C0145A">
        <w:rPr>
          <w:szCs w:val="24"/>
        </w:rPr>
        <w:t>5.1</w:t>
      </w:r>
      <w:r w:rsidRPr="00C0145A">
        <w:rPr>
          <w:szCs w:val="24"/>
        </w:rPr>
        <w:tab/>
      </w:r>
      <w:bookmarkStart w:id="200" w:name="lt_pId356"/>
      <w:r w:rsidRPr="00C0145A">
        <w:rPr>
          <w:szCs w:val="24"/>
        </w:rPr>
        <w:t xml:space="preserve">La deuxième série de textes soumis par la Commission de rédaction en seconde lecture (R2) (Document 381) est </w:t>
      </w:r>
      <w:r w:rsidRPr="00970CF5">
        <w:rPr>
          <w:b/>
          <w:bCs/>
          <w:szCs w:val="24"/>
        </w:rPr>
        <w:t>approuvée</w:t>
      </w:r>
      <w:r w:rsidRPr="00C0145A">
        <w:rPr>
          <w:szCs w:val="24"/>
        </w:rPr>
        <w:t>.</w:t>
      </w:r>
      <w:bookmarkEnd w:id="200"/>
    </w:p>
    <w:p w14:paraId="0EA20B5C" w14:textId="77777777" w:rsidR="001466AA" w:rsidRPr="00C0145A" w:rsidRDefault="001466AA" w:rsidP="001466AA">
      <w:pPr>
        <w:pStyle w:val="Heading1"/>
        <w:rPr>
          <w:szCs w:val="28"/>
        </w:rPr>
      </w:pPr>
      <w:r w:rsidRPr="00C0145A">
        <w:rPr>
          <w:szCs w:val="28"/>
        </w:rPr>
        <w:t>6</w:t>
      </w:r>
      <w:r w:rsidRPr="00C0145A">
        <w:rPr>
          <w:szCs w:val="28"/>
        </w:rPr>
        <w:tab/>
      </w:r>
      <w:bookmarkStart w:id="201" w:name="lt_pId358"/>
      <w:r w:rsidRPr="00C0145A">
        <w:rPr>
          <w:szCs w:val="28"/>
        </w:rPr>
        <w:t>Vingt-sixième</w:t>
      </w:r>
      <w:r>
        <w:rPr>
          <w:szCs w:val="28"/>
        </w:rPr>
        <w:t xml:space="preserve"> série</w:t>
      </w:r>
      <w:r w:rsidRPr="00C0145A">
        <w:rPr>
          <w:szCs w:val="28"/>
        </w:rPr>
        <w:t xml:space="preserve"> de textes soumis par la Commission de rédaction en première lecture (B26) (Document 377)</w:t>
      </w:r>
      <w:bookmarkEnd w:id="201"/>
    </w:p>
    <w:p w14:paraId="799A7440" w14:textId="77777777" w:rsidR="001466AA" w:rsidRPr="00C0145A" w:rsidRDefault="001466AA" w:rsidP="001466AA">
      <w:pPr>
        <w:rPr>
          <w:szCs w:val="24"/>
        </w:rPr>
      </w:pPr>
      <w:r w:rsidRPr="00C0145A">
        <w:rPr>
          <w:szCs w:val="24"/>
        </w:rPr>
        <w:t>6.1</w:t>
      </w:r>
      <w:r w:rsidRPr="00C0145A">
        <w:rPr>
          <w:szCs w:val="24"/>
        </w:rPr>
        <w:tab/>
      </w:r>
      <w:bookmarkStart w:id="202" w:name="lt_pId360"/>
      <w:r w:rsidRPr="00C0145A">
        <w:rPr>
          <w:szCs w:val="24"/>
        </w:rPr>
        <w:t xml:space="preserve">Le </w:t>
      </w:r>
      <w:r w:rsidRPr="00663F84">
        <w:rPr>
          <w:b/>
          <w:bCs/>
          <w:szCs w:val="24"/>
        </w:rPr>
        <w:t>Président de la Commission de rédaction</w:t>
      </w:r>
      <w:r w:rsidRPr="00C0145A">
        <w:rPr>
          <w:szCs w:val="24"/>
        </w:rPr>
        <w:t xml:space="preserve"> présente le Document 377.</w:t>
      </w:r>
      <w:bookmarkEnd w:id="202"/>
    </w:p>
    <w:p w14:paraId="356AC56B" w14:textId="77777777" w:rsidR="001466AA" w:rsidRPr="00765B3C" w:rsidRDefault="001466AA" w:rsidP="001466AA">
      <w:pPr>
        <w:rPr>
          <w:szCs w:val="24"/>
        </w:rPr>
      </w:pPr>
      <w:r w:rsidRPr="00C0145A">
        <w:rPr>
          <w:szCs w:val="24"/>
        </w:rPr>
        <w:t>6.2</w:t>
      </w:r>
      <w:r w:rsidRPr="00C0145A">
        <w:rPr>
          <w:szCs w:val="24"/>
        </w:rPr>
        <w:tab/>
      </w:r>
      <w:bookmarkStart w:id="203" w:name="lt_pId362"/>
      <w:r w:rsidRPr="00C0145A">
        <w:rPr>
          <w:szCs w:val="24"/>
        </w:rPr>
        <w:t xml:space="preserve">Le </w:t>
      </w:r>
      <w:r w:rsidRPr="00663F84">
        <w:rPr>
          <w:b/>
          <w:bCs/>
          <w:szCs w:val="24"/>
        </w:rPr>
        <w:t xml:space="preserve">Président </w:t>
      </w:r>
      <w:r w:rsidRPr="00C0145A">
        <w:rPr>
          <w:szCs w:val="24"/>
        </w:rPr>
        <w:t>invite les participants à examiner le Document 377.</w:t>
      </w:r>
      <w:bookmarkEnd w:id="203"/>
    </w:p>
    <w:p w14:paraId="5C24719C" w14:textId="77777777" w:rsidR="001466AA" w:rsidRPr="00EC7A07" w:rsidRDefault="001466AA" w:rsidP="00BE11D0">
      <w:pPr>
        <w:pStyle w:val="Headingb"/>
      </w:pPr>
      <w:bookmarkStart w:id="204" w:name="lt_pId363"/>
      <w:r w:rsidRPr="00EC7A07">
        <w:t>MOD Résolution 212 (Rév.CMR-15)</w:t>
      </w:r>
      <w:bookmarkEnd w:id="204"/>
    </w:p>
    <w:p w14:paraId="7D276268" w14:textId="77777777" w:rsidR="001466AA" w:rsidRPr="00765B3C" w:rsidRDefault="001466AA" w:rsidP="001466AA">
      <w:pPr>
        <w:rPr>
          <w:b/>
          <w:bCs/>
          <w:szCs w:val="24"/>
        </w:rPr>
      </w:pPr>
      <w:r w:rsidRPr="00EC7A07">
        <w:rPr>
          <w:szCs w:val="24"/>
        </w:rPr>
        <w:t>6.3</w:t>
      </w:r>
      <w:r w:rsidRPr="00EC7A07">
        <w:rPr>
          <w:szCs w:val="24"/>
        </w:rPr>
        <w:tab/>
      </w:r>
      <w:bookmarkStart w:id="205" w:name="lt_pId365"/>
      <w:r w:rsidRPr="00EC7A07">
        <w:rPr>
          <w:b/>
          <w:bCs/>
          <w:szCs w:val="24"/>
        </w:rPr>
        <w:t>Approuvé</w:t>
      </w:r>
      <w:r w:rsidRPr="000F25B4">
        <w:rPr>
          <w:szCs w:val="24"/>
        </w:rPr>
        <w:t>.</w:t>
      </w:r>
      <w:bookmarkEnd w:id="205"/>
    </w:p>
    <w:p w14:paraId="6AF72FD5" w14:textId="77777777" w:rsidR="001466AA" w:rsidRPr="00C0145A" w:rsidRDefault="001466AA" w:rsidP="001466AA">
      <w:pPr>
        <w:rPr>
          <w:b/>
          <w:bCs/>
          <w:szCs w:val="24"/>
        </w:rPr>
      </w:pPr>
      <w:r w:rsidRPr="00C0145A">
        <w:rPr>
          <w:szCs w:val="24"/>
        </w:rPr>
        <w:t>6.4</w:t>
      </w:r>
      <w:r w:rsidRPr="00C0145A">
        <w:rPr>
          <w:szCs w:val="24"/>
        </w:rPr>
        <w:tab/>
      </w:r>
      <w:bookmarkStart w:id="206" w:name="lt_pId367"/>
      <w:r w:rsidRPr="00C0145A">
        <w:rPr>
          <w:szCs w:val="24"/>
        </w:rPr>
        <w:t xml:space="preserve">La vingt-sixième série de textes soumis par la Commission de rédaction en première lecture (B26) (Document 377) est </w:t>
      </w:r>
      <w:r w:rsidRPr="00663F84">
        <w:rPr>
          <w:b/>
          <w:bCs/>
          <w:szCs w:val="24"/>
        </w:rPr>
        <w:t>approuvée</w:t>
      </w:r>
      <w:r w:rsidRPr="000F25B4">
        <w:rPr>
          <w:szCs w:val="24"/>
        </w:rPr>
        <w:t>.</w:t>
      </w:r>
      <w:bookmarkEnd w:id="206"/>
    </w:p>
    <w:p w14:paraId="27F2E88E" w14:textId="77777777" w:rsidR="001466AA" w:rsidRPr="00C0145A" w:rsidRDefault="001466AA" w:rsidP="001466AA">
      <w:pPr>
        <w:pStyle w:val="Heading1"/>
        <w:rPr>
          <w:szCs w:val="28"/>
        </w:rPr>
      </w:pPr>
      <w:r w:rsidRPr="00C0145A">
        <w:rPr>
          <w:szCs w:val="28"/>
        </w:rPr>
        <w:t>7</w:t>
      </w:r>
      <w:r w:rsidRPr="00C0145A">
        <w:rPr>
          <w:szCs w:val="28"/>
        </w:rPr>
        <w:tab/>
      </w:r>
      <w:bookmarkStart w:id="207" w:name="lt_pId369"/>
      <w:r w:rsidRPr="00C0145A">
        <w:rPr>
          <w:szCs w:val="28"/>
        </w:rPr>
        <w:t xml:space="preserve">Vingt-sixième </w:t>
      </w:r>
      <w:r>
        <w:rPr>
          <w:szCs w:val="28"/>
        </w:rPr>
        <w:t>série</w:t>
      </w:r>
      <w:r w:rsidRPr="00C0145A">
        <w:rPr>
          <w:szCs w:val="28"/>
        </w:rPr>
        <w:t xml:space="preserve"> de textes soumis par la Commission de rédaction (B26) – seconde lecture (Document 377)</w:t>
      </w:r>
      <w:bookmarkEnd w:id="207"/>
    </w:p>
    <w:p w14:paraId="2CD051E6" w14:textId="77777777" w:rsidR="001466AA" w:rsidRPr="00C0145A" w:rsidRDefault="001466AA" w:rsidP="001466AA">
      <w:pPr>
        <w:rPr>
          <w:szCs w:val="24"/>
        </w:rPr>
      </w:pPr>
      <w:r w:rsidRPr="00C0145A">
        <w:rPr>
          <w:szCs w:val="24"/>
        </w:rPr>
        <w:t>7.1</w:t>
      </w:r>
      <w:r w:rsidRPr="00C0145A">
        <w:rPr>
          <w:szCs w:val="24"/>
        </w:rPr>
        <w:tab/>
      </w:r>
      <w:bookmarkStart w:id="208" w:name="lt_pId371"/>
      <w:r w:rsidRPr="00C0145A">
        <w:rPr>
          <w:szCs w:val="24"/>
        </w:rPr>
        <w:t xml:space="preserve">La vingt-sixième série de textes soumis par la Commission de rédaction (B26) (Document 377) est </w:t>
      </w:r>
      <w:r w:rsidRPr="00663F84">
        <w:rPr>
          <w:b/>
          <w:bCs/>
          <w:szCs w:val="24"/>
        </w:rPr>
        <w:t>approuvée</w:t>
      </w:r>
      <w:r w:rsidRPr="00C0145A">
        <w:rPr>
          <w:szCs w:val="24"/>
        </w:rPr>
        <w:t xml:space="preserve"> en seconde lecture.</w:t>
      </w:r>
      <w:bookmarkEnd w:id="208"/>
    </w:p>
    <w:p w14:paraId="4EE2B4E1" w14:textId="77777777" w:rsidR="001466AA" w:rsidRPr="00C0145A" w:rsidRDefault="001466AA" w:rsidP="001466AA">
      <w:pPr>
        <w:pStyle w:val="Heading1"/>
        <w:rPr>
          <w:szCs w:val="28"/>
        </w:rPr>
      </w:pPr>
      <w:r w:rsidRPr="00C0145A">
        <w:rPr>
          <w:szCs w:val="28"/>
        </w:rPr>
        <w:lastRenderedPageBreak/>
        <w:t>8</w:t>
      </w:r>
      <w:r w:rsidRPr="00C0145A">
        <w:rPr>
          <w:szCs w:val="28"/>
        </w:rPr>
        <w:tab/>
      </w:r>
      <w:bookmarkStart w:id="209" w:name="lt_pId373"/>
      <w:r w:rsidRPr="00C0145A">
        <w:rPr>
          <w:szCs w:val="28"/>
        </w:rPr>
        <w:t>Vingt-septième</w:t>
      </w:r>
      <w:r w:rsidRPr="00663F84">
        <w:rPr>
          <w:szCs w:val="28"/>
        </w:rPr>
        <w:t xml:space="preserve"> </w:t>
      </w:r>
      <w:r>
        <w:rPr>
          <w:szCs w:val="28"/>
        </w:rPr>
        <w:t>série</w:t>
      </w:r>
      <w:r w:rsidRPr="00C0145A">
        <w:rPr>
          <w:szCs w:val="28"/>
        </w:rPr>
        <w:t xml:space="preserve"> de textes soumis par la Commission de rédaction en première lecture (B27) (Document 378)</w:t>
      </w:r>
      <w:bookmarkEnd w:id="209"/>
    </w:p>
    <w:p w14:paraId="6A41EAC9" w14:textId="77777777" w:rsidR="001466AA" w:rsidRPr="00C0145A" w:rsidRDefault="001466AA" w:rsidP="001466AA">
      <w:pPr>
        <w:rPr>
          <w:szCs w:val="24"/>
        </w:rPr>
      </w:pPr>
      <w:r w:rsidRPr="00C0145A">
        <w:rPr>
          <w:szCs w:val="24"/>
        </w:rPr>
        <w:t>8.1</w:t>
      </w:r>
      <w:r w:rsidRPr="00C0145A">
        <w:rPr>
          <w:szCs w:val="24"/>
        </w:rPr>
        <w:tab/>
      </w:r>
      <w:bookmarkStart w:id="210" w:name="lt_pId375"/>
      <w:r w:rsidRPr="00C0145A">
        <w:rPr>
          <w:szCs w:val="24"/>
        </w:rPr>
        <w:t xml:space="preserve">Le </w:t>
      </w:r>
      <w:r w:rsidRPr="00663F84">
        <w:rPr>
          <w:b/>
          <w:bCs/>
          <w:szCs w:val="24"/>
        </w:rPr>
        <w:t>Président de la Commission de rédaction</w:t>
      </w:r>
      <w:r w:rsidRPr="00C0145A">
        <w:rPr>
          <w:szCs w:val="24"/>
        </w:rPr>
        <w:t xml:space="preserve"> présente le Document 378.</w:t>
      </w:r>
      <w:bookmarkEnd w:id="210"/>
    </w:p>
    <w:p w14:paraId="7DD9130F" w14:textId="77777777" w:rsidR="001466AA" w:rsidRPr="00765B3C" w:rsidRDefault="001466AA" w:rsidP="001466AA">
      <w:pPr>
        <w:rPr>
          <w:szCs w:val="24"/>
        </w:rPr>
      </w:pPr>
      <w:r w:rsidRPr="00C0145A">
        <w:rPr>
          <w:szCs w:val="24"/>
        </w:rPr>
        <w:t>8.2</w:t>
      </w:r>
      <w:r w:rsidRPr="00C0145A">
        <w:rPr>
          <w:szCs w:val="24"/>
        </w:rPr>
        <w:tab/>
      </w:r>
      <w:bookmarkStart w:id="211" w:name="lt_pId377"/>
      <w:r w:rsidRPr="00C0145A">
        <w:rPr>
          <w:szCs w:val="24"/>
        </w:rPr>
        <w:t xml:space="preserve">Le </w:t>
      </w:r>
      <w:r w:rsidRPr="00663F84">
        <w:rPr>
          <w:b/>
          <w:bCs/>
          <w:szCs w:val="24"/>
        </w:rPr>
        <w:t>Président</w:t>
      </w:r>
      <w:r w:rsidRPr="00C0145A">
        <w:rPr>
          <w:szCs w:val="24"/>
        </w:rPr>
        <w:t xml:space="preserve"> invite les participants à examiner le Document 378.</w:t>
      </w:r>
      <w:bookmarkEnd w:id="211"/>
    </w:p>
    <w:p w14:paraId="0BBD11D3" w14:textId="63360B1A" w:rsidR="001466AA" w:rsidRPr="00EC7A07" w:rsidRDefault="001466AA" w:rsidP="001466AA">
      <w:pPr>
        <w:pStyle w:val="Proposal"/>
        <w:rPr>
          <w:rFonts w:hAnsi="Times New Roman"/>
          <w:szCs w:val="24"/>
        </w:rPr>
      </w:pPr>
      <w:bookmarkStart w:id="212" w:name="lt_pId378"/>
      <w:r w:rsidRPr="00EC7A07">
        <w:rPr>
          <w:rFonts w:hAnsi="Times New Roman"/>
          <w:szCs w:val="24"/>
        </w:rPr>
        <w:t xml:space="preserve">Article 5 (MOD Tableau </w:t>
      </w:r>
      <w:r w:rsidRPr="00EC7A07">
        <w:rPr>
          <w:rFonts w:eastAsia="SimSun" w:hAnsi="Times New Roman"/>
          <w:szCs w:val="24"/>
        </w:rPr>
        <w:t>1 710-2 170 MHz</w:t>
      </w:r>
      <w:r w:rsidRPr="00EC7A07">
        <w:rPr>
          <w:rFonts w:hAnsi="Times New Roman"/>
          <w:szCs w:val="24"/>
        </w:rPr>
        <w:t>, MOD 5.389B)</w:t>
      </w:r>
      <w:bookmarkEnd w:id="212"/>
    </w:p>
    <w:p w14:paraId="6F618A5D" w14:textId="77777777" w:rsidR="001466AA" w:rsidRPr="00765B3C" w:rsidRDefault="001466AA" w:rsidP="001466AA">
      <w:pPr>
        <w:rPr>
          <w:b/>
          <w:bCs/>
          <w:szCs w:val="24"/>
        </w:rPr>
      </w:pPr>
      <w:r w:rsidRPr="00EC7A07">
        <w:rPr>
          <w:szCs w:val="24"/>
        </w:rPr>
        <w:t>8.3</w:t>
      </w:r>
      <w:r w:rsidRPr="00EC7A07">
        <w:rPr>
          <w:szCs w:val="24"/>
        </w:rPr>
        <w:tab/>
      </w:r>
      <w:bookmarkStart w:id="213" w:name="lt_pId380"/>
      <w:r>
        <w:rPr>
          <w:b/>
          <w:bCs/>
          <w:szCs w:val="24"/>
        </w:rPr>
        <w:t>A</w:t>
      </w:r>
      <w:r w:rsidRPr="00EC7A07">
        <w:rPr>
          <w:b/>
          <w:bCs/>
          <w:szCs w:val="24"/>
        </w:rPr>
        <w:t>pprouvé</w:t>
      </w:r>
      <w:r>
        <w:rPr>
          <w:b/>
          <w:bCs/>
          <w:szCs w:val="24"/>
        </w:rPr>
        <w:t>s</w:t>
      </w:r>
      <w:r w:rsidRPr="000F25B4">
        <w:rPr>
          <w:szCs w:val="24"/>
        </w:rPr>
        <w:t>.</w:t>
      </w:r>
      <w:bookmarkEnd w:id="213"/>
    </w:p>
    <w:p w14:paraId="0C061344" w14:textId="77777777" w:rsidR="001466AA" w:rsidRPr="00C0145A" w:rsidRDefault="001466AA" w:rsidP="001466AA">
      <w:pPr>
        <w:rPr>
          <w:b/>
          <w:bCs/>
          <w:szCs w:val="24"/>
        </w:rPr>
      </w:pPr>
      <w:r w:rsidRPr="00C0145A">
        <w:rPr>
          <w:szCs w:val="24"/>
        </w:rPr>
        <w:t>8.4</w:t>
      </w:r>
      <w:r w:rsidRPr="00C0145A">
        <w:rPr>
          <w:szCs w:val="24"/>
        </w:rPr>
        <w:tab/>
      </w:r>
      <w:bookmarkStart w:id="214" w:name="lt_pId382"/>
      <w:r w:rsidRPr="00C0145A">
        <w:rPr>
          <w:szCs w:val="24"/>
        </w:rPr>
        <w:t xml:space="preserve">La vingt-septième série de textes soumis par la Commission de rédaction en première lecture (B27) (Document 378) est </w:t>
      </w:r>
      <w:r w:rsidRPr="00663F84">
        <w:rPr>
          <w:b/>
          <w:bCs/>
          <w:szCs w:val="24"/>
        </w:rPr>
        <w:t>approuvée</w:t>
      </w:r>
      <w:r w:rsidRPr="00EA5539">
        <w:rPr>
          <w:szCs w:val="24"/>
        </w:rPr>
        <w:t>.</w:t>
      </w:r>
      <w:bookmarkEnd w:id="214"/>
    </w:p>
    <w:p w14:paraId="601DC662" w14:textId="77777777" w:rsidR="001466AA" w:rsidRPr="00C0145A" w:rsidRDefault="001466AA" w:rsidP="001466AA">
      <w:pPr>
        <w:pStyle w:val="Heading1"/>
        <w:rPr>
          <w:szCs w:val="28"/>
        </w:rPr>
      </w:pPr>
      <w:r w:rsidRPr="00C0145A">
        <w:rPr>
          <w:szCs w:val="28"/>
        </w:rPr>
        <w:t>9</w:t>
      </w:r>
      <w:r w:rsidRPr="00C0145A">
        <w:rPr>
          <w:szCs w:val="28"/>
        </w:rPr>
        <w:tab/>
      </w:r>
      <w:bookmarkStart w:id="215" w:name="lt_pId384"/>
      <w:r w:rsidRPr="00C0145A">
        <w:rPr>
          <w:szCs w:val="28"/>
        </w:rPr>
        <w:t xml:space="preserve">Vingt-septième </w:t>
      </w:r>
      <w:r>
        <w:rPr>
          <w:szCs w:val="28"/>
        </w:rPr>
        <w:t>série</w:t>
      </w:r>
      <w:r w:rsidRPr="00C0145A">
        <w:rPr>
          <w:szCs w:val="28"/>
        </w:rPr>
        <w:t xml:space="preserve"> de textes soumis par la Commission de rédaction (B27) – seconde lecture (Document 378)</w:t>
      </w:r>
      <w:bookmarkEnd w:id="215"/>
    </w:p>
    <w:p w14:paraId="71507DA8" w14:textId="756DE940" w:rsidR="001466AA" w:rsidRPr="00C0145A" w:rsidRDefault="001466AA" w:rsidP="001466AA">
      <w:pPr>
        <w:rPr>
          <w:szCs w:val="24"/>
        </w:rPr>
      </w:pPr>
      <w:r w:rsidRPr="00C0145A">
        <w:rPr>
          <w:szCs w:val="24"/>
        </w:rPr>
        <w:t>9.1</w:t>
      </w:r>
      <w:r w:rsidRPr="00C0145A">
        <w:rPr>
          <w:szCs w:val="24"/>
        </w:rPr>
        <w:tab/>
      </w:r>
      <w:bookmarkStart w:id="216" w:name="lt_pId386"/>
      <w:r w:rsidRPr="00C0145A">
        <w:rPr>
          <w:szCs w:val="24"/>
        </w:rPr>
        <w:t>La vingt-</w:t>
      </w:r>
      <w:r>
        <w:rPr>
          <w:szCs w:val="24"/>
        </w:rPr>
        <w:t>septième</w:t>
      </w:r>
      <w:r w:rsidRPr="00C0145A">
        <w:rPr>
          <w:szCs w:val="24"/>
        </w:rPr>
        <w:t xml:space="preserve"> série de textes soumis par la Commission de rédaction (B27) (Document 378) est </w:t>
      </w:r>
      <w:r w:rsidRPr="00663F84">
        <w:rPr>
          <w:b/>
          <w:bCs/>
          <w:szCs w:val="24"/>
        </w:rPr>
        <w:t>approuvée</w:t>
      </w:r>
      <w:r w:rsidRPr="00C0145A">
        <w:rPr>
          <w:szCs w:val="24"/>
        </w:rPr>
        <w:t xml:space="preserve"> en seconde</w:t>
      </w:r>
      <w:r w:rsidR="00E2635B">
        <w:rPr>
          <w:szCs w:val="24"/>
        </w:rPr>
        <w:t xml:space="preserve"> lecture</w:t>
      </w:r>
      <w:r w:rsidRPr="00C0145A">
        <w:rPr>
          <w:szCs w:val="24"/>
        </w:rPr>
        <w:t>.</w:t>
      </w:r>
      <w:bookmarkEnd w:id="216"/>
    </w:p>
    <w:p w14:paraId="37F190FD" w14:textId="25412597" w:rsidR="001466AA" w:rsidRPr="00C0145A" w:rsidRDefault="001466AA" w:rsidP="001466AA">
      <w:pPr>
        <w:rPr>
          <w:szCs w:val="24"/>
        </w:rPr>
      </w:pPr>
      <w:r w:rsidRPr="00C0145A">
        <w:rPr>
          <w:szCs w:val="24"/>
        </w:rPr>
        <w:t>9.2</w:t>
      </w:r>
      <w:r w:rsidRPr="00C0145A">
        <w:rPr>
          <w:szCs w:val="24"/>
        </w:rPr>
        <w:tab/>
      </w:r>
      <w:bookmarkStart w:id="217" w:name="lt_pId388"/>
      <w:r w:rsidRPr="00C0145A">
        <w:rPr>
          <w:szCs w:val="24"/>
        </w:rPr>
        <w:t xml:space="preserve">Le </w:t>
      </w:r>
      <w:r w:rsidRPr="00663F84">
        <w:rPr>
          <w:b/>
          <w:bCs/>
          <w:szCs w:val="24"/>
        </w:rPr>
        <w:t>délégué de la Chine</w:t>
      </w:r>
      <w:r w:rsidRPr="00C0145A">
        <w:rPr>
          <w:szCs w:val="24"/>
        </w:rPr>
        <w:t xml:space="preserve"> remercie les experts qui ont étudié </w:t>
      </w:r>
      <w:r>
        <w:rPr>
          <w:szCs w:val="24"/>
        </w:rPr>
        <w:t>cette question</w:t>
      </w:r>
      <w:r w:rsidRPr="00C0145A">
        <w:rPr>
          <w:szCs w:val="24"/>
        </w:rPr>
        <w:t xml:space="preserve"> ces quatre</w:t>
      </w:r>
      <w:r w:rsidR="00E2635B">
        <w:rPr>
          <w:szCs w:val="24"/>
        </w:rPr>
        <w:t> </w:t>
      </w:r>
      <w:r w:rsidRPr="00C0145A">
        <w:rPr>
          <w:szCs w:val="24"/>
        </w:rPr>
        <w:t xml:space="preserve">dernières années et les </w:t>
      </w:r>
      <w:r w:rsidR="00E2635B" w:rsidRPr="00C0145A">
        <w:rPr>
          <w:szCs w:val="24"/>
        </w:rPr>
        <w:t xml:space="preserve">administrations </w:t>
      </w:r>
      <w:r w:rsidRPr="00C0145A">
        <w:rPr>
          <w:szCs w:val="24"/>
        </w:rPr>
        <w:t xml:space="preserve">qui ont apporté leur soutien en </w:t>
      </w:r>
      <w:r>
        <w:rPr>
          <w:szCs w:val="24"/>
        </w:rPr>
        <w:t>approuvant</w:t>
      </w:r>
      <w:r w:rsidRPr="00C0145A">
        <w:rPr>
          <w:szCs w:val="24"/>
        </w:rPr>
        <w:t xml:space="preserve"> les modifications proposées au titre du point 9.1.1 de l</w:t>
      </w:r>
      <w:r>
        <w:rPr>
          <w:szCs w:val="24"/>
        </w:rPr>
        <w:t>'</w:t>
      </w:r>
      <w:r w:rsidRPr="00C0145A">
        <w:rPr>
          <w:szCs w:val="24"/>
        </w:rPr>
        <w:t xml:space="preserve">ordre du jour. </w:t>
      </w:r>
      <w:bookmarkStart w:id="218" w:name="lt_pId389"/>
      <w:bookmarkEnd w:id="217"/>
      <w:r w:rsidRPr="00C0145A">
        <w:rPr>
          <w:szCs w:val="24"/>
        </w:rPr>
        <w:t>Il remercie en particulier Mme</w:t>
      </w:r>
      <w:r w:rsidR="00E2635B">
        <w:rPr>
          <w:szCs w:val="24"/>
        </w:rPr>
        <w:t> </w:t>
      </w:r>
      <w:r w:rsidRPr="00C0145A">
        <w:rPr>
          <w:szCs w:val="24"/>
        </w:rPr>
        <w:t>Veena Rawat (Canada), qui a dirigé les travaux.</w:t>
      </w:r>
      <w:bookmarkEnd w:id="218"/>
      <w:r w:rsidRPr="00C0145A">
        <w:rPr>
          <w:szCs w:val="24"/>
        </w:rPr>
        <w:t xml:space="preserve"> </w:t>
      </w:r>
      <w:bookmarkStart w:id="219" w:name="lt_pId390"/>
      <w:r w:rsidRPr="00C0145A">
        <w:rPr>
          <w:szCs w:val="24"/>
        </w:rPr>
        <w:t>Il saisit cette occasion pour remercier le Gouvernement de l</w:t>
      </w:r>
      <w:r>
        <w:rPr>
          <w:szCs w:val="24"/>
        </w:rPr>
        <w:t>'</w:t>
      </w:r>
      <w:r w:rsidRPr="00C0145A">
        <w:rPr>
          <w:szCs w:val="24"/>
        </w:rPr>
        <w:t>Égypte pour l</w:t>
      </w:r>
      <w:r>
        <w:rPr>
          <w:szCs w:val="24"/>
        </w:rPr>
        <w:t>'</w:t>
      </w:r>
      <w:r w:rsidRPr="00C0145A">
        <w:rPr>
          <w:szCs w:val="24"/>
        </w:rPr>
        <w:t>hospitalité dont il fait preuve en accueillant la CMR-19.</w:t>
      </w:r>
      <w:bookmarkEnd w:id="219"/>
    </w:p>
    <w:p w14:paraId="49541699" w14:textId="77777777" w:rsidR="001466AA" w:rsidRPr="00C0145A" w:rsidRDefault="001466AA" w:rsidP="001466AA">
      <w:pPr>
        <w:rPr>
          <w:szCs w:val="24"/>
        </w:rPr>
      </w:pPr>
      <w:r w:rsidRPr="00C0145A">
        <w:rPr>
          <w:szCs w:val="24"/>
        </w:rPr>
        <w:t>9.3</w:t>
      </w:r>
      <w:r w:rsidRPr="00C0145A">
        <w:rPr>
          <w:szCs w:val="24"/>
        </w:rPr>
        <w:tab/>
      </w:r>
      <w:bookmarkStart w:id="220" w:name="lt_pId392"/>
      <w:r w:rsidRPr="00C0145A">
        <w:rPr>
          <w:szCs w:val="24"/>
        </w:rPr>
        <w:t xml:space="preserve">Le </w:t>
      </w:r>
      <w:r w:rsidRPr="00F9157F">
        <w:rPr>
          <w:b/>
          <w:bCs/>
          <w:szCs w:val="24"/>
        </w:rPr>
        <w:t>Président</w:t>
      </w:r>
      <w:r w:rsidRPr="00C0145A">
        <w:rPr>
          <w:szCs w:val="24"/>
        </w:rPr>
        <w:t>, rappelant que Mme Rawat avait présidé la CMR-03, dit qu</w:t>
      </w:r>
      <w:r>
        <w:rPr>
          <w:szCs w:val="24"/>
        </w:rPr>
        <w:t>'</w:t>
      </w:r>
      <w:r w:rsidRPr="00C0145A">
        <w:rPr>
          <w:szCs w:val="24"/>
        </w:rPr>
        <w:t>elle est une véritable pionnière dans le domaine des radiocommunications et qu</w:t>
      </w:r>
      <w:r>
        <w:rPr>
          <w:szCs w:val="24"/>
        </w:rPr>
        <w:t>'</w:t>
      </w:r>
      <w:r w:rsidRPr="00C0145A">
        <w:rPr>
          <w:szCs w:val="24"/>
        </w:rPr>
        <w:t>elle a fait preuve d</w:t>
      </w:r>
      <w:r>
        <w:rPr>
          <w:szCs w:val="24"/>
        </w:rPr>
        <w:t>'</w:t>
      </w:r>
      <w:r w:rsidRPr="00C0145A">
        <w:rPr>
          <w:szCs w:val="24"/>
        </w:rPr>
        <w:t>un grand dévouement à toutes les conférences auxquelles elle a participé durant de nombreuses années.</w:t>
      </w:r>
      <w:bookmarkEnd w:id="220"/>
      <w:r w:rsidRPr="00C0145A">
        <w:rPr>
          <w:szCs w:val="24"/>
        </w:rPr>
        <w:t xml:space="preserve"> </w:t>
      </w:r>
    </w:p>
    <w:p w14:paraId="39F3B982" w14:textId="40577FFA" w:rsidR="001466AA" w:rsidRPr="00C0145A" w:rsidRDefault="001466AA" w:rsidP="001466AA">
      <w:pPr>
        <w:pStyle w:val="Heading1"/>
        <w:rPr>
          <w:szCs w:val="28"/>
        </w:rPr>
      </w:pPr>
      <w:r w:rsidRPr="00C0145A">
        <w:rPr>
          <w:szCs w:val="28"/>
        </w:rPr>
        <w:t>10</w:t>
      </w:r>
      <w:r w:rsidRPr="00C0145A">
        <w:rPr>
          <w:szCs w:val="28"/>
        </w:rPr>
        <w:tab/>
      </w:r>
      <w:bookmarkStart w:id="221" w:name="lt_pId394"/>
      <w:r w:rsidRPr="00C0145A">
        <w:rPr>
          <w:szCs w:val="28"/>
        </w:rPr>
        <w:t>Vingt-huitième</w:t>
      </w:r>
      <w:r w:rsidRPr="00663F84">
        <w:rPr>
          <w:szCs w:val="28"/>
        </w:rPr>
        <w:t xml:space="preserve"> </w:t>
      </w:r>
      <w:r>
        <w:rPr>
          <w:szCs w:val="28"/>
        </w:rPr>
        <w:t>série</w:t>
      </w:r>
      <w:r w:rsidRPr="00C0145A">
        <w:rPr>
          <w:szCs w:val="28"/>
        </w:rPr>
        <w:t xml:space="preserve"> de textes soumis par la Commission de rédaction en première lecture (B28) (Document 379)</w:t>
      </w:r>
      <w:bookmarkEnd w:id="221"/>
    </w:p>
    <w:p w14:paraId="56208678" w14:textId="77777777" w:rsidR="001466AA" w:rsidRPr="00C0145A" w:rsidRDefault="001466AA" w:rsidP="001466AA">
      <w:pPr>
        <w:rPr>
          <w:szCs w:val="24"/>
        </w:rPr>
      </w:pPr>
      <w:r w:rsidRPr="00C0145A">
        <w:rPr>
          <w:szCs w:val="24"/>
        </w:rPr>
        <w:t>10.1</w:t>
      </w:r>
      <w:r w:rsidRPr="00C0145A">
        <w:rPr>
          <w:szCs w:val="24"/>
        </w:rPr>
        <w:tab/>
      </w:r>
      <w:bookmarkStart w:id="222" w:name="lt_pId396"/>
      <w:r w:rsidRPr="00C0145A">
        <w:rPr>
          <w:szCs w:val="24"/>
        </w:rPr>
        <w:t xml:space="preserve">Le </w:t>
      </w:r>
      <w:r w:rsidRPr="00F9157F">
        <w:rPr>
          <w:b/>
          <w:bCs/>
          <w:szCs w:val="24"/>
        </w:rPr>
        <w:t>Président de la Commission de rédaction</w:t>
      </w:r>
      <w:r w:rsidRPr="00C0145A">
        <w:rPr>
          <w:szCs w:val="24"/>
        </w:rPr>
        <w:t xml:space="preserve"> présente le Document 379.</w:t>
      </w:r>
      <w:bookmarkEnd w:id="222"/>
    </w:p>
    <w:p w14:paraId="38D3860E" w14:textId="77777777" w:rsidR="001466AA" w:rsidRPr="00765B3C" w:rsidRDefault="001466AA" w:rsidP="001466AA">
      <w:pPr>
        <w:rPr>
          <w:szCs w:val="24"/>
        </w:rPr>
      </w:pPr>
      <w:r w:rsidRPr="00C0145A">
        <w:rPr>
          <w:szCs w:val="24"/>
        </w:rPr>
        <w:t>10.2</w:t>
      </w:r>
      <w:r w:rsidRPr="00C0145A">
        <w:rPr>
          <w:szCs w:val="24"/>
        </w:rPr>
        <w:tab/>
      </w:r>
      <w:bookmarkStart w:id="223" w:name="lt_pId398"/>
      <w:r w:rsidRPr="00C0145A">
        <w:rPr>
          <w:szCs w:val="24"/>
        </w:rPr>
        <w:t xml:space="preserve">Le </w:t>
      </w:r>
      <w:r w:rsidRPr="00F9157F">
        <w:rPr>
          <w:b/>
          <w:bCs/>
          <w:szCs w:val="24"/>
        </w:rPr>
        <w:t>Président</w:t>
      </w:r>
      <w:r w:rsidRPr="00C0145A">
        <w:rPr>
          <w:szCs w:val="24"/>
        </w:rPr>
        <w:t xml:space="preserve"> invite les participants à examiner le Document 379.</w:t>
      </w:r>
      <w:bookmarkEnd w:id="223"/>
    </w:p>
    <w:p w14:paraId="25CAA679" w14:textId="55C6403B" w:rsidR="001466AA" w:rsidRPr="00E00138" w:rsidRDefault="001466AA" w:rsidP="001466AA">
      <w:pPr>
        <w:pStyle w:val="Proposal"/>
        <w:rPr>
          <w:rFonts w:eastAsia="SimSun" w:hAnsi="Times New Roman"/>
          <w:bCs/>
          <w:szCs w:val="24"/>
        </w:rPr>
      </w:pPr>
      <w:bookmarkStart w:id="224" w:name="lt_pId399"/>
      <w:r w:rsidRPr="00E00138">
        <w:rPr>
          <w:rFonts w:hAnsi="Times New Roman"/>
          <w:bCs/>
          <w:szCs w:val="24"/>
        </w:rPr>
        <w:t xml:space="preserve">Article 5 (MOD </w:t>
      </w:r>
      <w:r w:rsidRPr="00E00138">
        <w:rPr>
          <w:rFonts w:eastAsia="SimSun" w:hAnsi="Times New Roman"/>
          <w:szCs w:val="24"/>
        </w:rPr>
        <w:t xml:space="preserve">5.134, </w:t>
      </w:r>
      <w:r w:rsidRPr="00E00138">
        <w:rPr>
          <w:rFonts w:hAnsi="Times New Roman"/>
          <w:bCs/>
          <w:szCs w:val="24"/>
        </w:rPr>
        <w:t xml:space="preserve">MOD </w:t>
      </w:r>
      <w:r w:rsidRPr="00E00138">
        <w:rPr>
          <w:rFonts w:eastAsia="SimSun" w:hAnsi="Times New Roman"/>
          <w:szCs w:val="24"/>
        </w:rPr>
        <w:t>5.265,</w:t>
      </w:r>
      <w:r w:rsidRPr="00E00138">
        <w:rPr>
          <w:rFonts w:hAnsi="Times New Roman"/>
          <w:szCs w:val="24"/>
        </w:rPr>
        <w:t xml:space="preserve"> MOD 5.286AA, MOD Tableau </w:t>
      </w:r>
      <w:r w:rsidRPr="00E00138">
        <w:rPr>
          <w:rFonts w:eastAsia="SimSun" w:hAnsi="Times New Roman"/>
          <w:szCs w:val="24"/>
        </w:rPr>
        <w:t xml:space="preserve">460-890 MHz, </w:t>
      </w:r>
      <w:r w:rsidRPr="00E00138">
        <w:rPr>
          <w:rFonts w:hAnsi="Times New Roman"/>
          <w:szCs w:val="24"/>
        </w:rPr>
        <w:t>MOD</w:t>
      </w:r>
      <w:r w:rsidRPr="00E00138">
        <w:rPr>
          <w:rFonts w:eastAsia="SimSun" w:hAnsi="Times New Roman"/>
          <w:szCs w:val="24"/>
        </w:rPr>
        <w:t xml:space="preserve"> 5.295, </w:t>
      </w:r>
      <w:r w:rsidRPr="00E00138">
        <w:rPr>
          <w:rFonts w:hAnsi="Times New Roman"/>
          <w:szCs w:val="24"/>
        </w:rPr>
        <w:t>MOD</w:t>
      </w:r>
      <w:r w:rsidRPr="00E00138">
        <w:rPr>
          <w:rFonts w:eastAsia="SimSun" w:hAnsi="Times New Roman"/>
          <w:szCs w:val="24"/>
        </w:rPr>
        <w:t xml:space="preserve"> 5.296A, </w:t>
      </w:r>
      <w:r w:rsidRPr="00E00138">
        <w:rPr>
          <w:rFonts w:hAnsi="Times New Roman"/>
          <w:szCs w:val="24"/>
        </w:rPr>
        <w:t>MOD</w:t>
      </w:r>
      <w:r w:rsidRPr="00E00138">
        <w:rPr>
          <w:rFonts w:eastAsia="SimSun" w:hAnsi="Times New Roman"/>
          <w:szCs w:val="24"/>
        </w:rPr>
        <w:t xml:space="preserve"> 5.308A, SUP 5.311A, </w:t>
      </w:r>
      <w:r w:rsidRPr="00E00138">
        <w:rPr>
          <w:rFonts w:hAnsi="Times New Roman"/>
          <w:szCs w:val="24"/>
        </w:rPr>
        <w:t>MOD</w:t>
      </w:r>
      <w:r w:rsidRPr="00E00138">
        <w:rPr>
          <w:rFonts w:eastAsia="SimSun" w:hAnsi="Times New Roman"/>
          <w:szCs w:val="24"/>
        </w:rPr>
        <w:t xml:space="preserve"> 5.312A, </w:t>
      </w:r>
      <w:r w:rsidRPr="00E00138">
        <w:rPr>
          <w:rFonts w:hAnsi="Times New Roman"/>
          <w:szCs w:val="24"/>
        </w:rPr>
        <w:t>MOD</w:t>
      </w:r>
      <w:r w:rsidRPr="00E00138">
        <w:rPr>
          <w:rFonts w:eastAsia="SimSun" w:hAnsi="Times New Roman"/>
          <w:szCs w:val="24"/>
        </w:rPr>
        <w:t xml:space="preserve"> 5.316B, </w:t>
      </w:r>
      <w:r w:rsidRPr="00E00138">
        <w:rPr>
          <w:rFonts w:hAnsi="Times New Roman"/>
          <w:szCs w:val="24"/>
        </w:rPr>
        <w:t>MOD</w:t>
      </w:r>
      <w:r w:rsidRPr="00E00138">
        <w:rPr>
          <w:rFonts w:eastAsia="SimSun" w:hAnsi="Times New Roman"/>
          <w:szCs w:val="24"/>
        </w:rPr>
        <w:t xml:space="preserve"> 5.317A, </w:t>
      </w:r>
      <w:r w:rsidRPr="00E00138">
        <w:rPr>
          <w:rFonts w:hAnsi="Times New Roman"/>
          <w:szCs w:val="24"/>
        </w:rPr>
        <w:t>MOD</w:t>
      </w:r>
      <w:r w:rsidR="00EE0AD4">
        <w:rPr>
          <w:rFonts w:eastAsia="SimSun" w:hAnsi="Times New Roman"/>
          <w:szCs w:val="24"/>
        </w:rPr>
        <w:t> </w:t>
      </w:r>
      <w:r w:rsidRPr="00E00138">
        <w:rPr>
          <w:rFonts w:eastAsia="SimSun" w:hAnsi="Times New Roman"/>
          <w:szCs w:val="24"/>
        </w:rPr>
        <w:t xml:space="preserve">5.328AA, </w:t>
      </w:r>
      <w:r w:rsidRPr="00E00138">
        <w:rPr>
          <w:rFonts w:hAnsi="Times New Roman"/>
          <w:szCs w:val="24"/>
        </w:rPr>
        <w:t>MOD</w:t>
      </w:r>
      <w:r w:rsidRPr="00E00138">
        <w:rPr>
          <w:rFonts w:eastAsia="SimSun" w:hAnsi="Times New Roman"/>
          <w:szCs w:val="24"/>
        </w:rPr>
        <w:t xml:space="preserve"> 5.345, </w:t>
      </w:r>
      <w:r w:rsidRPr="00E00138">
        <w:rPr>
          <w:rFonts w:hAnsi="Times New Roman"/>
          <w:szCs w:val="24"/>
        </w:rPr>
        <w:t>MOD</w:t>
      </w:r>
      <w:r w:rsidRPr="00E00138">
        <w:rPr>
          <w:rFonts w:eastAsia="SimSun" w:hAnsi="Times New Roman"/>
          <w:szCs w:val="24"/>
        </w:rPr>
        <w:t xml:space="preserve"> 5.393, SUP 5.396, </w:t>
      </w:r>
      <w:r w:rsidRPr="00E00138">
        <w:rPr>
          <w:rFonts w:hAnsi="Times New Roman"/>
          <w:szCs w:val="24"/>
        </w:rPr>
        <w:t>MOD</w:t>
      </w:r>
      <w:r w:rsidRPr="00E00138">
        <w:rPr>
          <w:rFonts w:eastAsia="SimSun" w:hAnsi="Times New Roman"/>
          <w:szCs w:val="24"/>
        </w:rPr>
        <w:t xml:space="preserve"> 5.418, </w:t>
      </w:r>
      <w:r w:rsidRPr="00E00138">
        <w:rPr>
          <w:rFonts w:hAnsi="Times New Roman"/>
          <w:szCs w:val="24"/>
        </w:rPr>
        <w:t>MOD</w:t>
      </w:r>
      <w:r w:rsidRPr="00E00138">
        <w:rPr>
          <w:rFonts w:eastAsia="SimSun" w:hAnsi="Times New Roman"/>
          <w:szCs w:val="24"/>
        </w:rPr>
        <w:t xml:space="preserve"> 5.444B, </w:t>
      </w:r>
      <w:r w:rsidRPr="00E00138">
        <w:rPr>
          <w:rFonts w:hAnsi="Times New Roman"/>
          <w:szCs w:val="24"/>
        </w:rPr>
        <w:t>MOD</w:t>
      </w:r>
      <w:r w:rsidRPr="00E00138">
        <w:rPr>
          <w:rFonts w:eastAsia="SimSun" w:hAnsi="Times New Roman"/>
          <w:szCs w:val="24"/>
        </w:rPr>
        <w:t xml:space="preserve"> 5.446C, </w:t>
      </w:r>
      <w:r w:rsidRPr="00E00138">
        <w:rPr>
          <w:rFonts w:hAnsi="Times New Roman"/>
          <w:szCs w:val="24"/>
        </w:rPr>
        <w:t>MOD</w:t>
      </w:r>
      <w:r w:rsidR="00E2635B">
        <w:rPr>
          <w:rFonts w:eastAsia="SimSun" w:hAnsi="Times New Roman"/>
          <w:szCs w:val="24"/>
        </w:rPr>
        <w:t> </w:t>
      </w:r>
      <w:r w:rsidRPr="00E00138">
        <w:rPr>
          <w:rFonts w:eastAsia="SimSun" w:hAnsi="Times New Roman"/>
          <w:szCs w:val="24"/>
        </w:rPr>
        <w:t xml:space="preserve">5.516B, </w:t>
      </w:r>
      <w:r w:rsidRPr="00E00138">
        <w:rPr>
          <w:rFonts w:hAnsi="Times New Roman"/>
          <w:szCs w:val="24"/>
        </w:rPr>
        <w:t>MOD</w:t>
      </w:r>
      <w:r w:rsidRPr="00E00138">
        <w:rPr>
          <w:rFonts w:eastAsia="SimSun" w:hAnsi="Times New Roman"/>
          <w:szCs w:val="24"/>
        </w:rPr>
        <w:t xml:space="preserve"> Tableau 18</w:t>
      </w:r>
      <w:r w:rsidR="00E2635B">
        <w:rPr>
          <w:rFonts w:eastAsia="SimSun" w:hAnsi="Times New Roman"/>
          <w:szCs w:val="24"/>
        </w:rPr>
        <w:t>,</w:t>
      </w:r>
      <w:r w:rsidRPr="00E00138">
        <w:rPr>
          <w:rFonts w:eastAsia="SimSun" w:hAnsi="Times New Roman"/>
          <w:szCs w:val="24"/>
        </w:rPr>
        <w:t>4-22 GHz, SUP 5.530D);</w:t>
      </w:r>
      <w:r w:rsidRPr="00E00138">
        <w:rPr>
          <w:rFonts w:hAnsi="Times New Roman"/>
          <w:bCs/>
          <w:szCs w:val="24"/>
        </w:rPr>
        <w:t xml:space="preserve"> Article 9 </w:t>
      </w:r>
      <w:r w:rsidRPr="00E00138">
        <w:rPr>
          <w:rFonts w:eastAsia="SimSun" w:hAnsi="Times New Roman"/>
          <w:bCs/>
          <w:szCs w:val="24"/>
        </w:rPr>
        <w:t xml:space="preserve">(MOD </w:t>
      </w:r>
      <w:r>
        <w:rPr>
          <w:rFonts w:eastAsia="SimSun" w:hAnsi="Times New Roman"/>
          <w:bCs/>
          <w:szCs w:val="24"/>
        </w:rPr>
        <w:t>Titre</w:t>
      </w:r>
      <w:r w:rsidRPr="00E00138">
        <w:rPr>
          <w:rFonts w:eastAsia="SimSun" w:hAnsi="Times New Roman"/>
          <w:bCs/>
          <w:szCs w:val="24"/>
        </w:rPr>
        <w:t xml:space="preserve">, </w:t>
      </w:r>
      <w:r w:rsidRPr="00E00138">
        <w:rPr>
          <w:rFonts w:hAnsi="Times New Roman"/>
          <w:bCs/>
          <w:szCs w:val="24"/>
        </w:rPr>
        <w:t>MOD</w:t>
      </w:r>
      <w:r w:rsidRPr="00E00138">
        <w:rPr>
          <w:rFonts w:eastAsia="SimSun" w:hAnsi="Times New Roman"/>
          <w:bCs/>
          <w:szCs w:val="24"/>
        </w:rPr>
        <w:t xml:space="preserve"> A.9.4, MOD A.9.7); Article 11 (</w:t>
      </w:r>
      <w:r w:rsidRPr="00E00138">
        <w:rPr>
          <w:rFonts w:hAnsi="Times New Roman"/>
          <w:bCs/>
          <w:szCs w:val="24"/>
        </w:rPr>
        <w:t>MOD</w:t>
      </w:r>
      <w:r w:rsidRPr="00E00138">
        <w:rPr>
          <w:rFonts w:eastAsia="SimSun" w:hAnsi="Times New Roman"/>
          <w:bCs/>
          <w:szCs w:val="24"/>
        </w:rPr>
        <w:t xml:space="preserve"> </w:t>
      </w:r>
      <w:r>
        <w:rPr>
          <w:rFonts w:eastAsia="SimSun" w:hAnsi="Times New Roman"/>
          <w:bCs/>
          <w:szCs w:val="24"/>
        </w:rPr>
        <w:t>Titre</w:t>
      </w:r>
      <w:r w:rsidRPr="00E00138">
        <w:rPr>
          <w:rFonts w:eastAsia="SimSun" w:hAnsi="Times New Roman"/>
          <w:bCs/>
          <w:szCs w:val="24"/>
        </w:rPr>
        <w:t xml:space="preserve">, MOD A.11.2, MOD A.11.5, MOD 11.37.2, </w:t>
      </w:r>
      <w:r w:rsidRPr="00E00138">
        <w:rPr>
          <w:rFonts w:hAnsi="Times New Roman"/>
          <w:bCs/>
          <w:szCs w:val="24"/>
        </w:rPr>
        <w:t>MOD</w:t>
      </w:r>
      <w:r w:rsidRPr="00E00138">
        <w:rPr>
          <w:rFonts w:eastAsia="SimSun" w:hAnsi="Times New Roman"/>
          <w:bCs/>
          <w:szCs w:val="24"/>
        </w:rPr>
        <w:t xml:space="preserve"> 11.44.1, </w:t>
      </w:r>
      <w:r w:rsidRPr="00E00138">
        <w:rPr>
          <w:rFonts w:hAnsi="Times New Roman"/>
          <w:bCs/>
          <w:szCs w:val="24"/>
        </w:rPr>
        <w:t>MOD</w:t>
      </w:r>
      <w:r w:rsidRPr="00E00138">
        <w:rPr>
          <w:rFonts w:eastAsia="SimSun" w:hAnsi="Times New Roman"/>
          <w:bCs/>
          <w:szCs w:val="24"/>
        </w:rPr>
        <w:t xml:space="preserve"> 11.48, </w:t>
      </w:r>
      <w:r w:rsidRPr="00E00138">
        <w:rPr>
          <w:rFonts w:hAnsi="Times New Roman"/>
          <w:bCs/>
          <w:szCs w:val="24"/>
        </w:rPr>
        <w:t>MOD</w:t>
      </w:r>
      <w:r w:rsidRPr="00E00138">
        <w:rPr>
          <w:rFonts w:eastAsia="SimSun" w:hAnsi="Times New Roman"/>
          <w:bCs/>
          <w:szCs w:val="24"/>
        </w:rPr>
        <w:t xml:space="preserve"> 11.49.1);</w:t>
      </w:r>
      <w:r w:rsidRPr="00E00138">
        <w:rPr>
          <w:rFonts w:eastAsia="SimSun" w:hAnsi="Times New Roman"/>
          <w:b w:val="0"/>
          <w:bCs/>
          <w:szCs w:val="24"/>
        </w:rPr>
        <w:t xml:space="preserve"> </w:t>
      </w:r>
      <w:r w:rsidRPr="00E00138">
        <w:rPr>
          <w:rFonts w:eastAsia="SimSun" w:hAnsi="Times New Roman"/>
          <w:bCs/>
          <w:szCs w:val="24"/>
        </w:rPr>
        <w:t>Article 21 (</w:t>
      </w:r>
      <w:r w:rsidRPr="00E00138">
        <w:rPr>
          <w:rFonts w:hAnsi="Times New Roman"/>
          <w:bCs/>
          <w:szCs w:val="24"/>
        </w:rPr>
        <w:t>MOD</w:t>
      </w:r>
      <w:r w:rsidRPr="00E00138">
        <w:rPr>
          <w:rFonts w:eastAsia="SimSun" w:hAnsi="Times New Roman"/>
          <w:bCs/>
          <w:szCs w:val="24"/>
        </w:rPr>
        <w:t xml:space="preserve"> 21.16.3A); Article 22 (</w:t>
      </w:r>
      <w:r w:rsidRPr="00E00138">
        <w:rPr>
          <w:rFonts w:hAnsi="Times New Roman"/>
          <w:bCs/>
          <w:szCs w:val="24"/>
        </w:rPr>
        <w:t>MOD</w:t>
      </w:r>
      <w:r w:rsidRPr="00E00138">
        <w:rPr>
          <w:rFonts w:eastAsia="SimSun" w:hAnsi="Times New Roman"/>
          <w:bCs/>
          <w:szCs w:val="24"/>
        </w:rPr>
        <w:t xml:space="preserve"> 22.5CA, </w:t>
      </w:r>
      <w:r w:rsidRPr="00E00138">
        <w:rPr>
          <w:rFonts w:hAnsi="Times New Roman"/>
          <w:bCs/>
          <w:szCs w:val="24"/>
        </w:rPr>
        <w:t>MOD</w:t>
      </w:r>
      <w:r w:rsidR="00E2635B">
        <w:rPr>
          <w:rFonts w:eastAsia="SimSun" w:hAnsi="Times New Roman"/>
          <w:bCs/>
          <w:szCs w:val="24"/>
        </w:rPr>
        <w:t> </w:t>
      </w:r>
      <w:r w:rsidRPr="00E00138">
        <w:rPr>
          <w:rFonts w:eastAsia="SimSun" w:hAnsi="Times New Roman"/>
          <w:bCs/>
          <w:szCs w:val="24"/>
        </w:rPr>
        <w:t>22.5K); Appendice 5 (MOD Tableau 5–1); Appendice 11 (</w:t>
      </w:r>
      <w:r w:rsidRPr="00E00138">
        <w:rPr>
          <w:rFonts w:hAnsi="Times New Roman"/>
          <w:bCs/>
          <w:szCs w:val="24"/>
        </w:rPr>
        <w:t>MOD</w:t>
      </w:r>
      <w:r w:rsidRPr="00E00138">
        <w:rPr>
          <w:rFonts w:eastAsia="SimSun" w:hAnsi="Times New Roman"/>
          <w:bCs/>
          <w:szCs w:val="24"/>
        </w:rPr>
        <w:t xml:space="preserve"> </w:t>
      </w:r>
      <w:r>
        <w:rPr>
          <w:rFonts w:eastAsia="SimSun" w:hAnsi="Times New Roman"/>
          <w:bCs/>
          <w:szCs w:val="24"/>
        </w:rPr>
        <w:t xml:space="preserve">Partie </w:t>
      </w:r>
      <w:r w:rsidRPr="00E00138">
        <w:rPr>
          <w:rFonts w:eastAsia="SimSun" w:hAnsi="Times New Roman"/>
          <w:bCs/>
          <w:szCs w:val="24"/>
        </w:rPr>
        <w:t>B 1.1); Appendice 30 (</w:t>
      </w:r>
      <w:r w:rsidRPr="00E00138">
        <w:rPr>
          <w:rFonts w:hAnsi="Times New Roman"/>
          <w:bCs/>
          <w:szCs w:val="24"/>
        </w:rPr>
        <w:t>MOD</w:t>
      </w:r>
      <w:r w:rsidRPr="00E00138">
        <w:rPr>
          <w:rFonts w:eastAsia="SimSun" w:hAnsi="Times New Roman"/>
          <w:bCs/>
          <w:szCs w:val="24"/>
        </w:rPr>
        <w:t xml:space="preserve"> 4.2.3, </w:t>
      </w:r>
      <w:r w:rsidRPr="00E00138">
        <w:rPr>
          <w:rFonts w:hAnsi="Times New Roman"/>
          <w:bCs/>
          <w:szCs w:val="24"/>
        </w:rPr>
        <w:t>MOD</w:t>
      </w:r>
      <w:r w:rsidRPr="00E00138">
        <w:rPr>
          <w:rFonts w:eastAsia="SimSun" w:hAnsi="Times New Roman"/>
          <w:bCs/>
          <w:szCs w:val="24"/>
        </w:rPr>
        <w:t xml:space="preserve"> 5.1.3, </w:t>
      </w:r>
      <w:r w:rsidRPr="00E00138">
        <w:rPr>
          <w:rFonts w:hAnsi="Times New Roman"/>
          <w:bCs/>
          <w:szCs w:val="24"/>
        </w:rPr>
        <w:t>MOD</w:t>
      </w:r>
      <w:r w:rsidRPr="00E00138">
        <w:rPr>
          <w:rFonts w:eastAsia="SimSun" w:hAnsi="Times New Roman"/>
          <w:bCs/>
          <w:szCs w:val="24"/>
        </w:rPr>
        <w:t xml:space="preserve"> 5.2.1, </w:t>
      </w:r>
      <w:r w:rsidRPr="00E00138">
        <w:rPr>
          <w:rFonts w:hAnsi="Times New Roman"/>
          <w:bCs/>
          <w:szCs w:val="24"/>
        </w:rPr>
        <w:t>MOD</w:t>
      </w:r>
      <w:r w:rsidRPr="00E00138">
        <w:rPr>
          <w:rFonts w:eastAsia="SimSun" w:hAnsi="Times New Roman"/>
          <w:bCs/>
          <w:szCs w:val="24"/>
        </w:rPr>
        <w:t xml:space="preserve"> 5.2.2.2, </w:t>
      </w:r>
      <w:r w:rsidRPr="00E00138">
        <w:rPr>
          <w:rFonts w:hAnsi="Times New Roman"/>
          <w:bCs/>
          <w:szCs w:val="24"/>
        </w:rPr>
        <w:t>MOD</w:t>
      </w:r>
      <w:r w:rsidRPr="00E00138">
        <w:rPr>
          <w:rFonts w:eastAsia="SimSun" w:hAnsi="Times New Roman"/>
          <w:bCs/>
          <w:szCs w:val="24"/>
        </w:rPr>
        <w:t xml:space="preserve"> 7.1, MOD Article 10, MOD Article 12 </w:t>
      </w:r>
      <w:r>
        <w:rPr>
          <w:rFonts w:eastAsia="SimSun" w:hAnsi="Times New Roman"/>
          <w:bCs/>
          <w:szCs w:val="24"/>
        </w:rPr>
        <w:t>Titre</w:t>
      </w:r>
      <w:r w:rsidRPr="00E00138">
        <w:rPr>
          <w:rFonts w:eastAsia="SimSun" w:hAnsi="Times New Roman"/>
          <w:bCs/>
          <w:szCs w:val="24"/>
        </w:rPr>
        <w:t xml:space="preserve">, MOD 12.1, </w:t>
      </w:r>
      <w:r w:rsidRPr="00E00138">
        <w:rPr>
          <w:rFonts w:hAnsi="Times New Roman"/>
          <w:bCs/>
          <w:szCs w:val="24"/>
        </w:rPr>
        <w:t>MOD</w:t>
      </w:r>
      <w:r w:rsidRPr="00E00138">
        <w:rPr>
          <w:rFonts w:eastAsia="SimSun" w:hAnsi="Times New Roman"/>
          <w:bCs/>
          <w:szCs w:val="24"/>
        </w:rPr>
        <w:t xml:space="preserve"> </w:t>
      </w:r>
      <w:r>
        <w:rPr>
          <w:rFonts w:eastAsia="SimSun" w:hAnsi="Times New Roman"/>
          <w:bCs/>
          <w:szCs w:val="24"/>
        </w:rPr>
        <w:t>Annexe</w:t>
      </w:r>
      <w:r w:rsidRPr="00E00138">
        <w:rPr>
          <w:rFonts w:eastAsia="SimSun" w:hAnsi="Times New Roman"/>
          <w:bCs/>
          <w:szCs w:val="24"/>
        </w:rPr>
        <w:t xml:space="preserve"> 1 §</w:t>
      </w:r>
      <w:r w:rsidR="00EA5539">
        <w:rPr>
          <w:rFonts w:eastAsia="SimSun" w:hAnsi="Times New Roman"/>
          <w:bCs/>
          <w:szCs w:val="24"/>
        </w:rPr>
        <w:t xml:space="preserve"> </w:t>
      </w:r>
      <w:r w:rsidRPr="00E00138">
        <w:rPr>
          <w:rFonts w:eastAsia="SimSun" w:hAnsi="Times New Roman"/>
          <w:bCs/>
          <w:szCs w:val="24"/>
        </w:rPr>
        <w:t>4</w:t>
      </w:r>
      <w:r w:rsidRPr="00E00138">
        <w:rPr>
          <w:rFonts w:hAnsi="Times New Roman"/>
          <w:bCs/>
          <w:szCs w:val="24"/>
        </w:rPr>
        <w:t>); Appendice 30A (MOD</w:t>
      </w:r>
      <w:r w:rsidRPr="00E00138">
        <w:rPr>
          <w:rFonts w:eastAsia="SimSun" w:hAnsi="Times New Roman"/>
          <w:bCs/>
          <w:szCs w:val="24"/>
        </w:rPr>
        <w:t xml:space="preserve"> 3.3, MOD</w:t>
      </w:r>
      <w:r w:rsidR="00EE0AD4">
        <w:rPr>
          <w:rFonts w:eastAsia="SimSun" w:hAnsi="Times New Roman"/>
          <w:bCs/>
          <w:szCs w:val="24"/>
        </w:rPr>
        <w:t> </w:t>
      </w:r>
      <w:r w:rsidRPr="00E00138">
        <w:rPr>
          <w:rFonts w:eastAsia="SimSun" w:hAnsi="Times New Roman"/>
          <w:bCs/>
          <w:szCs w:val="24"/>
        </w:rPr>
        <w:t xml:space="preserve">4.2.1, MOD 5.2.1, </w:t>
      </w:r>
      <w:r w:rsidRPr="00E00138">
        <w:rPr>
          <w:rFonts w:hAnsi="Times New Roman"/>
          <w:bCs/>
          <w:szCs w:val="24"/>
        </w:rPr>
        <w:t>MOD</w:t>
      </w:r>
      <w:r w:rsidRPr="00E00138">
        <w:rPr>
          <w:rFonts w:eastAsia="SimSun" w:hAnsi="Times New Roman"/>
          <w:bCs/>
          <w:szCs w:val="24"/>
        </w:rPr>
        <w:t xml:space="preserve"> 5.2.2.2, MOD 7.1;</w:t>
      </w:r>
      <w:r w:rsidRPr="00E00138">
        <w:rPr>
          <w:rFonts w:eastAsia="SimSun" w:hAnsi="Times New Roman"/>
          <w:b w:val="0"/>
          <w:bCs/>
          <w:szCs w:val="24"/>
        </w:rPr>
        <w:t xml:space="preserve"> </w:t>
      </w:r>
      <w:r w:rsidRPr="00E00138">
        <w:rPr>
          <w:rFonts w:eastAsia="SimSun" w:hAnsi="Times New Roman"/>
          <w:bCs/>
          <w:szCs w:val="24"/>
        </w:rPr>
        <w:t>MOD</w:t>
      </w:r>
      <w:r w:rsidRPr="00E00138">
        <w:rPr>
          <w:rFonts w:eastAsia="SimSun" w:hAnsi="Times New Roman"/>
          <w:b w:val="0"/>
          <w:bCs/>
          <w:szCs w:val="24"/>
        </w:rPr>
        <w:t xml:space="preserve"> </w:t>
      </w:r>
      <w:r w:rsidRPr="00E00138">
        <w:rPr>
          <w:rFonts w:eastAsia="SimSun" w:hAnsi="Times New Roman"/>
          <w:szCs w:val="24"/>
        </w:rPr>
        <w:t>Article</w:t>
      </w:r>
      <w:r w:rsidRPr="00E00138">
        <w:rPr>
          <w:rFonts w:eastAsia="SimSun" w:hAnsi="Times New Roman"/>
          <w:b w:val="0"/>
          <w:bCs/>
          <w:szCs w:val="24"/>
        </w:rPr>
        <w:t xml:space="preserve"> </w:t>
      </w:r>
      <w:r w:rsidRPr="00E00138">
        <w:rPr>
          <w:rFonts w:eastAsia="SimSun" w:hAnsi="Times New Roman"/>
          <w:bCs/>
          <w:szCs w:val="24"/>
        </w:rPr>
        <w:t>9 §</w:t>
      </w:r>
      <w:r w:rsidR="00EA5539">
        <w:rPr>
          <w:rFonts w:eastAsia="SimSun" w:hAnsi="Times New Roman"/>
          <w:bCs/>
          <w:szCs w:val="24"/>
        </w:rPr>
        <w:t xml:space="preserve"> </w:t>
      </w:r>
      <w:r w:rsidRPr="00E00138">
        <w:rPr>
          <w:rFonts w:eastAsia="SimSun" w:hAnsi="Times New Roman"/>
          <w:bCs/>
          <w:szCs w:val="24"/>
        </w:rPr>
        <w:t xml:space="preserve">9/GR, MOD </w:t>
      </w:r>
      <w:r>
        <w:rPr>
          <w:rFonts w:eastAsia="SimSun" w:hAnsi="Times New Roman"/>
          <w:bCs/>
          <w:szCs w:val="24"/>
        </w:rPr>
        <w:t>Annexe</w:t>
      </w:r>
      <w:r w:rsidRPr="00E00138">
        <w:rPr>
          <w:rFonts w:eastAsia="SimSun" w:hAnsi="Times New Roman"/>
          <w:bCs/>
          <w:szCs w:val="24"/>
        </w:rPr>
        <w:t xml:space="preserve"> 1 §</w:t>
      </w:r>
      <w:r w:rsidR="00EA5539">
        <w:rPr>
          <w:rFonts w:eastAsia="SimSun" w:hAnsi="Times New Roman"/>
          <w:bCs/>
          <w:szCs w:val="24"/>
        </w:rPr>
        <w:t xml:space="preserve"> </w:t>
      </w:r>
      <w:r w:rsidRPr="00E00138">
        <w:rPr>
          <w:rFonts w:eastAsia="SimSun" w:hAnsi="Times New Roman"/>
          <w:bCs/>
          <w:szCs w:val="24"/>
        </w:rPr>
        <w:t xml:space="preserve">3, MOD </w:t>
      </w:r>
      <w:r>
        <w:rPr>
          <w:rFonts w:eastAsia="SimSun" w:hAnsi="Times New Roman"/>
          <w:bCs/>
          <w:szCs w:val="24"/>
        </w:rPr>
        <w:t>Annexe</w:t>
      </w:r>
      <w:r w:rsidR="00E2635B">
        <w:rPr>
          <w:rFonts w:eastAsia="SimSun" w:hAnsi="Times New Roman"/>
          <w:bCs/>
          <w:szCs w:val="24"/>
        </w:rPr>
        <w:t> </w:t>
      </w:r>
      <w:r w:rsidRPr="00E00138">
        <w:rPr>
          <w:rFonts w:eastAsia="SimSun" w:hAnsi="Times New Roman"/>
          <w:bCs/>
          <w:szCs w:val="24"/>
        </w:rPr>
        <w:t>1 §</w:t>
      </w:r>
      <w:r w:rsidR="00EE0AD4">
        <w:rPr>
          <w:rFonts w:eastAsia="SimSun" w:hAnsi="Times New Roman"/>
          <w:bCs/>
          <w:szCs w:val="24"/>
        </w:rPr>
        <w:t xml:space="preserve"> </w:t>
      </w:r>
      <w:r w:rsidRPr="00E00138">
        <w:rPr>
          <w:rFonts w:eastAsia="SimSun" w:hAnsi="Times New Roman"/>
          <w:bCs/>
          <w:szCs w:val="24"/>
        </w:rPr>
        <w:t xml:space="preserve">5); MOD Résolution 34 (Rév.CMR-15); </w:t>
      </w:r>
      <w:r w:rsidRPr="00E00138">
        <w:rPr>
          <w:rFonts w:hAnsi="Times New Roman"/>
          <w:bCs/>
          <w:szCs w:val="24"/>
        </w:rPr>
        <w:t>MOD</w:t>
      </w:r>
      <w:r w:rsidRPr="00E00138">
        <w:rPr>
          <w:rFonts w:eastAsia="SimSun" w:hAnsi="Times New Roman"/>
          <w:bCs/>
          <w:szCs w:val="24"/>
        </w:rPr>
        <w:t xml:space="preserve"> Résolution 42 (Rév.CMR-15); </w:t>
      </w:r>
      <w:r w:rsidRPr="00E00138">
        <w:rPr>
          <w:rFonts w:hAnsi="Times New Roman"/>
          <w:bCs/>
          <w:szCs w:val="24"/>
        </w:rPr>
        <w:t>MOD</w:t>
      </w:r>
      <w:r w:rsidR="00E2635B">
        <w:rPr>
          <w:rFonts w:eastAsia="SimSun" w:hAnsi="Times New Roman"/>
          <w:bCs/>
          <w:szCs w:val="24"/>
        </w:rPr>
        <w:t> </w:t>
      </w:r>
      <w:r w:rsidRPr="00E00138">
        <w:rPr>
          <w:rFonts w:eastAsia="SimSun" w:hAnsi="Times New Roman"/>
          <w:bCs/>
          <w:szCs w:val="24"/>
        </w:rPr>
        <w:t xml:space="preserve">Résolution 95 (Rév. CMR-07); </w:t>
      </w:r>
      <w:r w:rsidRPr="00E00138">
        <w:rPr>
          <w:rFonts w:hAnsi="Times New Roman"/>
          <w:bCs/>
          <w:szCs w:val="24"/>
        </w:rPr>
        <w:t>MOD</w:t>
      </w:r>
      <w:r w:rsidRPr="00E00138">
        <w:rPr>
          <w:rFonts w:eastAsia="SimSun" w:hAnsi="Times New Roman"/>
          <w:bCs/>
          <w:szCs w:val="24"/>
        </w:rPr>
        <w:t xml:space="preserve"> Résolution 205 (Rév.CMR-15); </w:t>
      </w:r>
      <w:r w:rsidRPr="00E00138">
        <w:rPr>
          <w:rFonts w:hAnsi="Times New Roman"/>
          <w:bCs/>
          <w:szCs w:val="24"/>
        </w:rPr>
        <w:t>MOD</w:t>
      </w:r>
      <w:r w:rsidRPr="00E00138">
        <w:rPr>
          <w:rFonts w:eastAsia="SimSun" w:hAnsi="Times New Roman"/>
          <w:bCs/>
          <w:szCs w:val="24"/>
        </w:rPr>
        <w:t xml:space="preserve"> Résolution</w:t>
      </w:r>
      <w:r w:rsidR="00E2635B">
        <w:rPr>
          <w:rFonts w:eastAsia="SimSun" w:hAnsi="Times New Roman"/>
          <w:bCs/>
          <w:szCs w:val="24"/>
        </w:rPr>
        <w:t> </w:t>
      </w:r>
      <w:r w:rsidRPr="00E00138">
        <w:rPr>
          <w:rFonts w:eastAsia="SimSun" w:hAnsi="Times New Roman"/>
          <w:bCs/>
          <w:szCs w:val="24"/>
        </w:rPr>
        <w:t xml:space="preserve">224 (Rév.CMR-15); </w:t>
      </w:r>
      <w:r w:rsidRPr="00E00138">
        <w:rPr>
          <w:rFonts w:hAnsi="Times New Roman"/>
          <w:bCs/>
          <w:szCs w:val="24"/>
        </w:rPr>
        <w:t>MOD</w:t>
      </w:r>
      <w:r w:rsidRPr="00E00138">
        <w:rPr>
          <w:rFonts w:eastAsia="SimSun" w:hAnsi="Times New Roman"/>
          <w:bCs/>
          <w:szCs w:val="24"/>
        </w:rPr>
        <w:t xml:space="preserve"> Résolution 418 (Rév.CMR-15); </w:t>
      </w:r>
      <w:r w:rsidRPr="00E00138">
        <w:rPr>
          <w:rFonts w:hAnsi="Times New Roman"/>
          <w:bCs/>
          <w:szCs w:val="24"/>
        </w:rPr>
        <w:t>MOD</w:t>
      </w:r>
      <w:r w:rsidRPr="00E00138">
        <w:rPr>
          <w:rFonts w:eastAsia="SimSun" w:hAnsi="Times New Roman"/>
          <w:bCs/>
          <w:szCs w:val="24"/>
        </w:rPr>
        <w:t xml:space="preserve"> Résolution 425 (CMR-15); </w:t>
      </w:r>
      <w:r w:rsidRPr="00E00138">
        <w:rPr>
          <w:rFonts w:hAnsi="Times New Roman"/>
          <w:bCs/>
          <w:szCs w:val="24"/>
        </w:rPr>
        <w:t>MOD</w:t>
      </w:r>
      <w:r w:rsidRPr="00E00138">
        <w:rPr>
          <w:rFonts w:eastAsia="SimSun" w:hAnsi="Times New Roman"/>
          <w:bCs/>
          <w:szCs w:val="24"/>
        </w:rPr>
        <w:t xml:space="preserve"> Résolution 507 (Rév.CMR-15); </w:t>
      </w:r>
      <w:r w:rsidRPr="00E00138">
        <w:rPr>
          <w:rFonts w:hAnsi="Times New Roman"/>
          <w:bCs/>
          <w:szCs w:val="24"/>
        </w:rPr>
        <w:t>MOD</w:t>
      </w:r>
      <w:r w:rsidRPr="00E00138">
        <w:rPr>
          <w:rFonts w:eastAsia="SimSun" w:hAnsi="Times New Roman"/>
          <w:bCs/>
          <w:szCs w:val="24"/>
        </w:rPr>
        <w:t xml:space="preserve"> Résolution 528 (Rév.CMR-15); </w:t>
      </w:r>
      <w:r w:rsidRPr="00E00138">
        <w:rPr>
          <w:rFonts w:hAnsi="Times New Roman"/>
          <w:bCs/>
          <w:szCs w:val="24"/>
        </w:rPr>
        <w:t>MOD</w:t>
      </w:r>
      <w:r w:rsidR="00E2635B">
        <w:rPr>
          <w:rFonts w:eastAsia="SimSun" w:hAnsi="Times New Roman"/>
          <w:bCs/>
          <w:szCs w:val="24"/>
        </w:rPr>
        <w:t> </w:t>
      </w:r>
      <w:r w:rsidRPr="00E00138">
        <w:rPr>
          <w:rFonts w:eastAsia="SimSun" w:hAnsi="Times New Roman"/>
          <w:bCs/>
          <w:szCs w:val="24"/>
        </w:rPr>
        <w:t xml:space="preserve">Résolution 535 (Rév.CMR-15); </w:t>
      </w:r>
      <w:r w:rsidRPr="00E00138">
        <w:rPr>
          <w:rFonts w:hAnsi="Times New Roman"/>
          <w:bCs/>
          <w:szCs w:val="24"/>
        </w:rPr>
        <w:t>MOD</w:t>
      </w:r>
      <w:r w:rsidRPr="00E00138">
        <w:rPr>
          <w:rFonts w:eastAsia="SimSun" w:hAnsi="Times New Roman"/>
          <w:bCs/>
          <w:szCs w:val="24"/>
        </w:rPr>
        <w:t xml:space="preserve"> Résolution 539 (Rév.CMR-15); </w:t>
      </w:r>
      <w:r w:rsidRPr="00E00138">
        <w:rPr>
          <w:rFonts w:hAnsi="Times New Roman"/>
          <w:bCs/>
          <w:szCs w:val="24"/>
        </w:rPr>
        <w:t>MOD</w:t>
      </w:r>
      <w:r w:rsidR="00E2635B">
        <w:rPr>
          <w:rFonts w:eastAsia="SimSun" w:hAnsi="Times New Roman"/>
          <w:bCs/>
          <w:szCs w:val="24"/>
        </w:rPr>
        <w:t> </w:t>
      </w:r>
      <w:r w:rsidRPr="00E00138">
        <w:rPr>
          <w:rFonts w:eastAsia="SimSun" w:hAnsi="Times New Roman"/>
          <w:bCs/>
          <w:szCs w:val="24"/>
        </w:rPr>
        <w:t>Résolution</w:t>
      </w:r>
      <w:r w:rsidR="00E2635B">
        <w:rPr>
          <w:rFonts w:eastAsia="SimSun" w:hAnsi="Times New Roman"/>
          <w:bCs/>
          <w:szCs w:val="24"/>
        </w:rPr>
        <w:t> </w:t>
      </w:r>
      <w:r w:rsidRPr="00E00138">
        <w:rPr>
          <w:rFonts w:eastAsia="SimSun" w:hAnsi="Times New Roman"/>
          <w:bCs/>
          <w:szCs w:val="24"/>
        </w:rPr>
        <w:t xml:space="preserve">550 (CMR-07); </w:t>
      </w:r>
      <w:r w:rsidRPr="00E00138">
        <w:rPr>
          <w:rFonts w:hAnsi="Times New Roman"/>
          <w:bCs/>
          <w:szCs w:val="24"/>
        </w:rPr>
        <w:t>MOD</w:t>
      </w:r>
      <w:r w:rsidRPr="00E00138">
        <w:rPr>
          <w:rFonts w:eastAsia="SimSun" w:hAnsi="Times New Roman"/>
          <w:bCs/>
          <w:szCs w:val="24"/>
        </w:rPr>
        <w:t xml:space="preserve"> Résolution 552 (Rév.CMR-15); </w:t>
      </w:r>
      <w:r w:rsidRPr="00E00138">
        <w:rPr>
          <w:rFonts w:hAnsi="Times New Roman"/>
          <w:bCs/>
          <w:szCs w:val="24"/>
        </w:rPr>
        <w:t>MOD</w:t>
      </w:r>
      <w:r w:rsidRPr="00E00138">
        <w:rPr>
          <w:rFonts w:eastAsia="SimSun" w:hAnsi="Times New Roman"/>
          <w:bCs/>
          <w:szCs w:val="24"/>
        </w:rPr>
        <w:t xml:space="preserve"> Résolution 610 (CMR-03); </w:t>
      </w:r>
      <w:r w:rsidRPr="00E00138">
        <w:rPr>
          <w:rFonts w:hAnsi="Times New Roman"/>
          <w:bCs/>
          <w:szCs w:val="24"/>
        </w:rPr>
        <w:t>MOD</w:t>
      </w:r>
      <w:r w:rsidRPr="00E00138">
        <w:rPr>
          <w:rFonts w:eastAsia="SimSun" w:hAnsi="Times New Roman"/>
          <w:bCs/>
          <w:szCs w:val="24"/>
        </w:rPr>
        <w:t xml:space="preserve"> Résolution 646 (Rév.CMR-15); </w:t>
      </w:r>
      <w:r w:rsidRPr="00E00138">
        <w:rPr>
          <w:rFonts w:hAnsi="Times New Roman"/>
          <w:bCs/>
          <w:szCs w:val="24"/>
        </w:rPr>
        <w:t>MOD</w:t>
      </w:r>
      <w:r w:rsidRPr="00E00138">
        <w:rPr>
          <w:rFonts w:eastAsia="SimSun" w:hAnsi="Times New Roman"/>
          <w:bCs/>
          <w:szCs w:val="24"/>
        </w:rPr>
        <w:t xml:space="preserve"> Résolution 749 (Rév.CMR-15); </w:t>
      </w:r>
      <w:r w:rsidRPr="00E00138">
        <w:rPr>
          <w:rFonts w:hAnsi="Times New Roman"/>
          <w:bCs/>
          <w:szCs w:val="24"/>
        </w:rPr>
        <w:t>MOD</w:t>
      </w:r>
      <w:r w:rsidR="00E2635B">
        <w:rPr>
          <w:rFonts w:eastAsia="SimSun" w:hAnsi="Times New Roman"/>
          <w:bCs/>
          <w:szCs w:val="24"/>
        </w:rPr>
        <w:t> </w:t>
      </w:r>
      <w:r w:rsidRPr="00E00138">
        <w:rPr>
          <w:rFonts w:eastAsia="SimSun" w:hAnsi="Times New Roman"/>
          <w:bCs/>
          <w:szCs w:val="24"/>
        </w:rPr>
        <w:t xml:space="preserve">Résolution 760 (CMR-15); </w:t>
      </w:r>
      <w:r w:rsidRPr="00E00138">
        <w:rPr>
          <w:rFonts w:hAnsi="Times New Roman"/>
          <w:bCs/>
          <w:szCs w:val="24"/>
        </w:rPr>
        <w:t>MOD</w:t>
      </w:r>
      <w:r w:rsidRPr="00E00138">
        <w:rPr>
          <w:rFonts w:eastAsia="SimSun" w:hAnsi="Times New Roman"/>
          <w:bCs/>
          <w:szCs w:val="24"/>
        </w:rPr>
        <w:t xml:space="preserve"> Résolution 903 (Rév.CMR-15); </w:t>
      </w:r>
      <w:r w:rsidRPr="00E00138">
        <w:rPr>
          <w:rFonts w:hAnsi="Times New Roman"/>
          <w:bCs/>
          <w:szCs w:val="24"/>
        </w:rPr>
        <w:lastRenderedPageBreak/>
        <w:t>MOD</w:t>
      </w:r>
      <w:r w:rsidR="00E2635B">
        <w:rPr>
          <w:rFonts w:eastAsia="SimSun" w:hAnsi="Times New Roman"/>
          <w:bCs/>
          <w:szCs w:val="24"/>
        </w:rPr>
        <w:t> </w:t>
      </w:r>
      <w:r w:rsidRPr="00E00138">
        <w:rPr>
          <w:rFonts w:eastAsia="SimSun" w:hAnsi="Times New Roman"/>
          <w:bCs/>
          <w:szCs w:val="24"/>
        </w:rPr>
        <w:t xml:space="preserve">Recommandation 206 (Rév.CMR-12); </w:t>
      </w:r>
      <w:r w:rsidRPr="00E00138">
        <w:rPr>
          <w:rFonts w:hAnsi="Times New Roman"/>
          <w:bCs/>
          <w:szCs w:val="24"/>
        </w:rPr>
        <w:t>MOD</w:t>
      </w:r>
      <w:r w:rsidRPr="00E00138">
        <w:rPr>
          <w:rFonts w:eastAsia="SimSun" w:hAnsi="Times New Roman"/>
          <w:bCs/>
          <w:szCs w:val="24"/>
        </w:rPr>
        <w:t xml:space="preserve"> Recommandation 316 (Rév.MOB-87); SUP</w:t>
      </w:r>
      <w:r w:rsidR="00E2635B">
        <w:rPr>
          <w:rFonts w:eastAsia="SimSun" w:hAnsi="Times New Roman"/>
          <w:bCs/>
          <w:szCs w:val="24"/>
        </w:rPr>
        <w:t> </w:t>
      </w:r>
      <w:r w:rsidRPr="00E00138">
        <w:rPr>
          <w:rFonts w:eastAsia="SimSun" w:hAnsi="Times New Roman"/>
          <w:bCs/>
          <w:szCs w:val="24"/>
        </w:rPr>
        <w:t>Résolution 31 (CMR-15); SUP Résolution 33 (Rév.CMR-15); SUP Résolution 549 (CMR</w:t>
      </w:r>
      <w:r w:rsidR="00E2635B">
        <w:rPr>
          <w:rFonts w:eastAsia="SimSun" w:hAnsi="Times New Roman"/>
          <w:bCs/>
          <w:szCs w:val="24"/>
        </w:rPr>
        <w:noBreakHyphen/>
      </w:r>
      <w:r w:rsidRPr="00E00138">
        <w:rPr>
          <w:rFonts w:eastAsia="SimSun" w:hAnsi="Times New Roman"/>
          <w:bCs/>
          <w:szCs w:val="24"/>
        </w:rPr>
        <w:t>07); SUP Résolution 555 (Rév.CMR-15); SUP Résolution 556 (CMR-15); SUP</w:t>
      </w:r>
      <w:r w:rsidR="00E2635B">
        <w:rPr>
          <w:rFonts w:eastAsia="SimSun" w:hAnsi="Times New Roman"/>
          <w:bCs/>
          <w:szCs w:val="24"/>
        </w:rPr>
        <w:t> </w:t>
      </w:r>
      <w:r w:rsidRPr="00E00138">
        <w:rPr>
          <w:rFonts w:eastAsia="SimSun" w:hAnsi="Times New Roman"/>
          <w:bCs/>
          <w:szCs w:val="24"/>
        </w:rPr>
        <w:t>Résolution 641 (Rév.HFBC-87); SUP Résolution 809 (CMR-15); SUP Résolution 810 (CMR-15); SUP Résolution 958 (CMR-15)</w:t>
      </w:r>
      <w:bookmarkEnd w:id="224"/>
    </w:p>
    <w:p w14:paraId="6A612C32" w14:textId="77777777" w:rsidR="001466AA" w:rsidRPr="00765B3C" w:rsidRDefault="001466AA" w:rsidP="001466AA">
      <w:pPr>
        <w:rPr>
          <w:b/>
          <w:bCs/>
          <w:szCs w:val="24"/>
        </w:rPr>
      </w:pPr>
      <w:r w:rsidRPr="00EC7A07">
        <w:rPr>
          <w:szCs w:val="24"/>
        </w:rPr>
        <w:t>10.3</w:t>
      </w:r>
      <w:r w:rsidRPr="00EC7A07">
        <w:rPr>
          <w:b/>
          <w:bCs/>
          <w:szCs w:val="24"/>
        </w:rPr>
        <w:tab/>
      </w:r>
      <w:bookmarkStart w:id="225" w:name="lt_pId401"/>
      <w:r w:rsidRPr="00EC7A07">
        <w:rPr>
          <w:b/>
          <w:bCs/>
          <w:szCs w:val="24"/>
        </w:rPr>
        <w:t>Approuvés</w:t>
      </w:r>
      <w:r w:rsidRPr="000F25B4">
        <w:rPr>
          <w:szCs w:val="24"/>
        </w:rPr>
        <w:t>.</w:t>
      </w:r>
      <w:bookmarkEnd w:id="225"/>
    </w:p>
    <w:p w14:paraId="2CE97BDE" w14:textId="77777777" w:rsidR="001466AA" w:rsidRPr="00C0145A" w:rsidRDefault="001466AA" w:rsidP="001466AA">
      <w:pPr>
        <w:rPr>
          <w:b/>
          <w:bCs/>
          <w:szCs w:val="24"/>
        </w:rPr>
      </w:pPr>
      <w:r w:rsidRPr="00C0145A">
        <w:rPr>
          <w:szCs w:val="24"/>
        </w:rPr>
        <w:t>10.4</w:t>
      </w:r>
      <w:r w:rsidRPr="00C0145A">
        <w:rPr>
          <w:szCs w:val="24"/>
        </w:rPr>
        <w:tab/>
      </w:r>
      <w:bookmarkStart w:id="226" w:name="lt_pId403"/>
      <w:r w:rsidRPr="00C0145A">
        <w:rPr>
          <w:szCs w:val="24"/>
        </w:rPr>
        <w:t xml:space="preserve">La vingt-huitième série de textes soumis par la Commission de rédaction en première lecture (B28) (Document 379) est </w:t>
      </w:r>
      <w:r w:rsidRPr="00F9157F">
        <w:rPr>
          <w:b/>
          <w:bCs/>
          <w:szCs w:val="24"/>
        </w:rPr>
        <w:t>approuvée</w:t>
      </w:r>
      <w:r w:rsidRPr="000F25B4">
        <w:rPr>
          <w:szCs w:val="24"/>
        </w:rPr>
        <w:t>.</w:t>
      </w:r>
      <w:bookmarkEnd w:id="226"/>
    </w:p>
    <w:p w14:paraId="1441B73D" w14:textId="77777777" w:rsidR="001466AA" w:rsidRPr="00C0145A" w:rsidRDefault="001466AA" w:rsidP="001466AA">
      <w:pPr>
        <w:pStyle w:val="Heading1"/>
        <w:rPr>
          <w:szCs w:val="28"/>
        </w:rPr>
      </w:pPr>
      <w:r w:rsidRPr="00C0145A">
        <w:rPr>
          <w:szCs w:val="28"/>
        </w:rPr>
        <w:t>11</w:t>
      </w:r>
      <w:r w:rsidRPr="00C0145A">
        <w:rPr>
          <w:szCs w:val="28"/>
        </w:rPr>
        <w:tab/>
      </w:r>
      <w:r w:rsidRPr="00C0145A">
        <w:rPr>
          <w:szCs w:val="24"/>
        </w:rPr>
        <w:t xml:space="preserve">Vingt-huitième série de textes soumis par la Commission de rédaction (B28) </w:t>
      </w:r>
      <w:r w:rsidRPr="00C0145A">
        <w:rPr>
          <w:szCs w:val="28"/>
        </w:rPr>
        <w:t xml:space="preserve">– seconde lecture (Document </w:t>
      </w:r>
      <w:r w:rsidRPr="00C0145A">
        <w:rPr>
          <w:szCs w:val="24"/>
        </w:rPr>
        <w:t xml:space="preserve">379) </w:t>
      </w:r>
    </w:p>
    <w:p w14:paraId="381F4C7E" w14:textId="77777777" w:rsidR="001466AA" w:rsidRPr="00C0145A" w:rsidRDefault="001466AA" w:rsidP="001466AA">
      <w:pPr>
        <w:rPr>
          <w:szCs w:val="24"/>
        </w:rPr>
      </w:pPr>
      <w:r w:rsidRPr="00C0145A">
        <w:rPr>
          <w:szCs w:val="24"/>
        </w:rPr>
        <w:t>11.1</w:t>
      </w:r>
      <w:r w:rsidRPr="00C0145A">
        <w:rPr>
          <w:szCs w:val="24"/>
        </w:rPr>
        <w:tab/>
      </w:r>
      <w:bookmarkStart w:id="227" w:name="lt_pId407"/>
      <w:r w:rsidRPr="00C0145A">
        <w:rPr>
          <w:szCs w:val="24"/>
        </w:rPr>
        <w:t xml:space="preserve">La vingt-huitième série de textes soumis par la Commission de rédaction (B28) (Document 379) est </w:t>
      </w:r>
      <w:r w:rsidRPr="00F9157F">
        <w:rPr>
          <w:b/>
          <w:bCs/>
          <w:szCs w:val="24"/>
        </w:rPr>
        <w:t xml:space="preserve">approuvée </w:t>
      </w:r>
      <w:r w:rsidRPr="00C0145A">
        <w:rPr>
          <w:szCs w:val="24"/>
        </w:rPr>
        <w:t>en seconde lecture.</w:t>
      </w:r>
      <w:bookmarkEnd w:id="227"/>
    </w:p>
    <w:p w14:paraId="23C6537E" w14:textId="77777777" w:rsidR="001466AA" w:rsidRPr="00C0145A" w:rsidRDefault="001466AA" w:rsidP="001466AA">
      <w:pPr>
        <w:pStyle w:val="Heading1"/>
        <w:rPr>
          <w:szCs w:val="28"/>
        </w:rPr>
      </w:pPr>
      <w:r w:rsidRPr="00C0145A">
        <w:rPr>
          <w:szCs w:val="28"/>
        </w:rPr>
        <w:t>12</w:t>
      </w:r>
      <w:r w:rsidRPr="00C0145A">
        <w:rPr>
          <w:szCs w:val="28"/>
        </w:rPr>
        <w:tab/>
      </w:r>
      <w:bookmarkStart w:id="228" w:name="lt_pId409"/>
      <w:r w:rsidRPr="00C0145A">
        <w:rPr>
          <w:szCs w:val="28"/>
        </w:rPr>
        <w:t>Vingt-neuvième série de textes soumis par la Commission de rédaction en première lecture (B29) (Document 380)</w:t>
      </w:r>
      <w:bookmarkEnd w:id="228"/>
    </w:p>
    <w:p w14:paraId="0A7DDAD3" w14:textId="77777777" w:rsidR="001466AA" w:rsidRPr="00C0145A" w:rsidRDefault="001466AA" w:rsidP="001466AA">
      <w:pPr>
        <w:rPr>
          <w:szCs w:val="24"/>
        </w:rPr>
      </w:pPr>
      <w:r w:rsidRPr="00C0145A">
        <w:rPr>
          <w:szCs w:val="24"/>
        </w:rPr>
        <w:t>12.1</w:t>
      </w:r>
      <w:r w:rsidRPr="00C0145A">
        <w:rPr>
          <w:szCs w:val="24"/>
        </w:rPr>
        <w:tab/>
      </w:r>
      <w:bookmarkStart w:id="229" w:name="lt_pId411"/>
      <w:r w:rsidRPr="00C0145A">
        <w:rPr>
          <w:szCs w:val="24"/>
        </w:rPr>
        <w:t xml:space="preserve">Le </w:t>
      </w:r>
      <w:r w:rsidRPr="00F9157F">
        <w:rPr>
          <w:b/>
          <w:bCs/>
          <w:szCs w:val="24"/>
        </w:rPr>
        <w:t>Président de la Commission de rédaction</w:t>
      </w:r>
      <w:r w:rsidRPr="00C0145A">
        <w:rPr>
          <w:szCs w:val="24"/>
        </w:rPr>
        <w:t xml:space="preserve"> présente le Document 380.</w:t>
      </w:r>
      <w:bookmarkEnd w:id="229"/>
    </w:p>
    <w:p w14:paraId="19408029" w14:textId="77777777" w:rsidR="001466AA" w:rsidRPr="00765B3C" w:rsidRDefault="001466AA" w:rsidP="001466AA">
      <w:pPr>
        <w:rPr>
          <w:szCs w:val="24"/>
        </w:rPr>
      </w:pPr>
      <w:r w:rsidRPr="00C0145A">
        <w:rPr>
          <w:szCs w:val="24"/>
        </w:rPr>
        <w:t>12.2</w:t>
      </w:r>
      <w:r w:rsidRPr="00C0145A">
        <w:rPr>
          <w:szCs w:val="24"/>
        </w:rPr>
        <w:tab/>
      </w:r>
      <w:bookmarkStart w:id="230" w:name="lt_pId413"/>
      <w:r w:rsidRPr="00C0145A">
        <w:rPr>
          <w:szCs w:val="24"/>
        </w:rPr>
        <w:t xml:space="preserve">Le </w:t>
      </w:r>
      <w:r w:rsidRPr="00F9157F">
        <w:rPr>
          <w:b/>
          <w:bCs/>
          <w:szCs w:val="24"/>
        </w:rPr>
        <w:t>Président</w:t>
      </w:r>
      <w:r w:rsidRPr="00C0145A">
        <w:rPr>
          <w:szCs w:val="24"/>
        </w:rPr>
        <w:t xml:space="preserve"> invite les participants à examiner le Document 380.</w:t>
      </w:r>
      <w:bookmarkEnd w:id="230"/>
    </w:p>
    <w:p w14:paraId="5A815E83" w14:textId="77777777" w:rsidR="001466AA" w:rsidRPr="00EC7A07" w:rsidRDefault="001466AA" w:rsidP="00EA5539">
      <w:pPr>
        <w:pStyle w:val="Headingb"/>
      </w:pPr>
      <w:bookmarkStart w:id="231" w:name="lt_pId414"/>
      <w:r w:rsidRPr="00EC7A07">
        <w:t>SUP Résolution 362 (CMR-15)</w:t>
      </w:r>
      <w:bookmarkEnd w:id="231"/>
    </w:p>
    <w:p w14:paraId="3013BB95" w14:textId="77777777" w:rsidR="001466AA" w:rsidRPr="00765B3C" w:rsidRDefault="001466AA" w:rsidP="001466AA">
      <w:pPr>
        <w:rPr>
          <w:b/>
          <w:bCs/>
          <w:szCs w:val="24"/>
        </w:rPr>
      </w:pPr>
      <w:r w:rsidRPr="00EC7A07">
        <w:rPr>
          <w:szCs w:val="24"/>
        </w:rPr>
        <w:t>12.3</w:t>
      </w:r>
      <w:r w:rsidRPr="00EC7A07">
        <w:rPr>
          <w:b/>
          <w:bCs/>
          <w:szCs w:val="24"/>
        </w:rPr>
        <w:tab/>
      </w:r>
      <w:bookmarkStart w:id="232" w:name="lt_pId416"/>
      <w:r>
        <w:rPr>
          <w:b/>
          <w:bCs/>
          <w:szCs w:val="24"/>
        </w:rPr>
        <w:t>A</w:t>
      </w:r>
      <w:r w:rsidRPr="00EC7A07">
        <w:rPr>
          <w:b/>
          <w:bCs/>
          <w:szCs w:val="24"/>
        </w:rPr>
        <w:t>pprouvé</w:t>
      </w:r>
      <w:r w:rsidRPr="000F25B4">
        <w:rPr>
          <w:szCs w:val="24"/>
        </w:rPr>
        <w:t>.</w:t>
      </w:r>
      <w:bookmarkEnd w:id="232"/>
    </w:p>
    <w:p w14:paraId="000FFD81" w14:textId="77777777" w:rsidR="001466AA" w:rsidRPr="00C0145A" w:rsidRDefault="001466AA" w:rsidP="001466AA">
      <w:pPr>
        <w:rPr>
          <w:b/>
          <w:bCs/>
          <w:szCs w:val="24"/>
        </w:rPr>
      </w:pPr>
      <w:r w:rsidRPr="00C0145A">
        <w:rPr>
          <w:szCs w:val="24"/>
        </w:rPr>
        <w:t>12.4</w:t>
      </w:r>
      <w:r w:rsidRPr="00C0145A">
        <w:rPr>
          <w:szCs w:val="24"/>
        </w:rPr>
        <w:tab/>
      </w:r>
      <w:bookmarkStart w:id="233" w:name="lt_pId418"/>
      <w:r w:rsidRPr="00C0145A">
        <w:rPr>
          <w:szCs w:val="24"/>
        </w:rPr>
        <w:t xml:space="preserve">La </w:t>
      </w:r>
      <w:r w:rsidRPr="00C0145A">
        <w:rPr>
          <w:szCs w:val="28"/>
        </w:rPr>
        <w:t xml:space="preserve">vingt-neuvième série de textes soumis par la Commission de rédaction en première lecture (B29) (Document 380) est </w:t>
      </w:r>
      <w:r w:rsidRPr="00F9157F">
        <w:rPr>
          <w:b/>
          <w:bCs/>
          <w:szCs w:val="28"/>
        </w:rPr>
        <w:t>approuvée</w:t>
      </w:r>
      <w:r w:rsidRPr="000F25B4">
        <w:rPr>
          <w:szCs w:val="24"/>
        </w:rPr>
        <w:t>.</w:t>
      </w:r>
      <w:bookmarkEnd w:id="233"/>
    </w:p>
    <w:p w14:paraId="007CDE16" w14:textId="77777777" w:rsidR="001466AA" w:rsidRPr="00C0145A" w:rsidRDefault="001466AA" w:rsidP="001466AA">
      <w:pPr>
        <w:pStyle w:val="Heading1"/>
        <w:rPr>
          <w:szCs w:val="28"/>
        </w:rPr>
      </w:pPr>
      <w:r w:rsidRPr="00C0145A">
        <w:rPr>
          <w:szCs w:val="28"/>
        </w:rPr>
        <w:t>13</w:t>
      </w:r>
      <w:r w:rsidRPr="00C0145A">
        <w:rPr>
          <w:szCs w:val="28"/>
        </w:rPr>
        <w:tab/>
      </w:r>
      <w:r w:rsidRPr="00C0145A">
        <w:rPr>
          <w:szCs w:val="24"/>
        </w:rPr>
        <w:t xml:space="preserve">Vingt-neuvième série de textes soumis par la Commission de rédaction (B29) </w:t>
      </w:r>
      <w:r w:rsidRPr="00C0145A">
        <w:rPr>
          <w:szCs w:val="28"/>
        </w:rPr>
        <w:t xml:space="preserve">– seconde lecture </w:t>
      </w:r>
      <w:r w:rsidRPr="00C0145A">
        <w:rPr>
          <w:szCs w:val="24"/>
        </w:rPr>
        <w:t xml:space="preserve">(Document 380) </w:t>
      </w:r>
    </w:p>
    <w:p w14:paraId="5160A984" w14:textId="77777777" w:rsidR="001466AA" w:rsidRPr="00C0145A" w:rsidRDefault="001466AA" w:rsidP="001466AA">
      <w:pPr>
        <w:rPr>
          <w:b/>
          <w:bCs/>
          <w:szCs w:val="24"/>
        </w:rPr>
      </w:pPr>
      <w:r w:rsidRPr="00C0145A">
        <w:rPr>
          <w:szCs w:val="24"/>
        </w:rPr>
        <w:t>13.1</w:t>
      </w:r>
      <w:r w:rsidRPr="00C0145A">
        <w:rPr>
          <w:szCs w:val="24"/>
        </w:rPr>
        <w:tab/>
      </w:r>
      <w:bookmarkStart w:id="234" w:name="lt_pId422"/>
      <w:r w:rsidRPr="00C0145A">
        <w:rPr>
          <w:szCs w:val="24"/>
        </w:rPr>
        <w:t xml:space="preserve">La vingt-neuvième série de textes soumis par la Commission de rédaction (B29) (Document 380) est </w:t>
      </w:r>
      <w:r w:rsidRPr="00F9157F">
        <w:rPr>
          <w:b/>
          <w:bCs/>
          <w:szCs w:val="24"/>
        </w:rPr>
        <w:t>approuvée</w:t>
      </w:r>
      <w:r w:rsidRPr="00C0145A">
        <w:rPr>
          <w:szCs w:val="24"/>
        </w:rPr>
        <w:t xml:space="preserve"> en seconde lecture.</w:t>
      </w:r>
      <w:bookmarkEnd w:id="234"/>
    </w:p>
    <w:p w14:paraId="045404F1" w14:textId="77777777" w:rsidR="001466AA" w:rsidRPr="00C0145A" w:rsidRDefault="001466AA" w:rsidP="001466AA">
      <w:pPr>
        <w:pStyle w:val="Heading1"/>
        <w:rPr>
          <w:szCs w:val="28"/>
        </w:rPr>
      </w:pPr>
      <w:r w:rsidRPr="00C0145A">
        <w:rPr>
          <w:szCs w:val="28"/>
        </w:rPr>
        <w:t>14</w:t>
      </w:r>
      <w:r w:rsidRPr="00C0145A">
        <w:rPr>
          <w:szCs w:val="28"/>
        </w:rPr>
        <w:tab/>
        <w:t>Trentième série de textes soumis par la Commission de rédaction en première lecture (B30) (Document 420)</w:t>
      </w:r>
    </w:p>
    <w:p w14:paraId="264E40E8" w14:textId="77777777" w:rsidR="001466AA" w:rsidRPr="00C0145A" w:rsidRDefault="001466AA" w:rsidP="001466AA">
      <w:pPr>
        <w:rPr>
          <w:szCs w:val="24"/>
        </w:rPr>
      </w:pPr>
      <w:r w:rsidRPr="00C0145A">
        <w:rPr>
          <w:szCs w:val="24"/>
        </w:rPr>
        <w:t>14.1</w:t>
      </w:r>
      <w:r w:rsidRPr="00C0145A">
        <w:rPr>
          <w:szCs w:val="24"/>
        </w:rPr>
        <w:tab/>
      </w:r>
      <w:bookmarkStart w:id="235" w:name="lt_pId426"/>
      <w:r w:rsidRPr="00C0145A">
        <w:rPr>
          <w:szCs w:val="24"/>
        </w:rPr>
        <w:t xml:space="preserve">Le </w:t>
      </w:r>
      <w:r w:rsidRPr="00F9157F">
        <w:rPr>
          <w:b/>
          <w:bCs/>
          <w:szCs w:val="24"/>
        </w:rPr>
        <w:t>Président de la Commission de rédaction</w:t>
      </w:r>
      <w:r w:rsidRPr="00C0145A">
        <w:rPr>
          <w:szCs w:val="24"/>
        </w:rPr>
        <w:t xml:space="preserve"> présente le Document 420.</w:t>
      </w:r>
      <w:bookmarkEnd w:id="235"/>
    </w:p>
    <w:p w14:paraId="231CD654" w14:textId="77777777" w:rsidR="001466AA" w:rsidRPr="00765B3C" w:rsidRDefault="001466AA" w:rsidP="001466AA">
      <w:pPr>
        <w:rPr>
          <w:szCs w:val="24"/>
        </w:rPr>
      </w:pPr>
      <w:r w:rsidRPr="00C0145A">
        <w:rPr>
          <w:szCs w:val="24"/>
        </w:rPr>
        <w:t>14.2</w:t>
      </w:r>
      <w:r w:rsidRPr="00C0145A">
        <w:rPr>
          <w:szCs w:val="24"/>
        </w:rPr>
        <w:tab/>
      </w:r>
      <w:bookmarkStart w:id="236" w:name="lt_pId428"/>
      <w:r w:rsidRPr="00C0145A">
        <w:rPr>
          <w:szCs w:val="24"/>
        </w:rPr>
        <w:t xml:space="preserve">Le </w:t>
      </w:r>
      <w:r w:rsidRPr="00F9157F">
        <w:rPr>
          <w:b/>
          <w:bCs/>
          <w:szCs w:val="24"/>
        </w:rPr>
        <w:t>Président</w:t>
      </w:r>
      <w:r w:rsidRPr="00C0145A">
        <w:rPr>
          <w:szCs w:val="24"/>
        </w:rPr>
        <w:t xml:space="preserve"> invite les participants à examiner le Document 420.</w:t>
      </w:r>
      <w:bookmarkEnd w:id="236"/>
    </w:p>
    <w:p w14:paraId="24572A63" w14:textId="77777777" w:rsidR="001466AA" w:rsidRPr="00EC7A07" w:rsidRDefault="001466AA" w:rsidP="001466AA">
      <w:pPr>
        <w:rPr>
          <w:b/>
          <w:bCs/>
          <w:szCs w:val="24"/>
        </w:rPr>
      </w:pPr>
      <w:bookmarkStart w:id="237" w:name="lt_pId429"/>
      <w:r w:rsidRPr="00EC7A07">
        <w:rPr>
          <w:b/>
          <w:bCs/>
          <w:szCs w:val="24"/>
        </w:rPr>
        <w:t>ADD Recommandation COM4/1 (CMR-19)</w:t>
      </w:r>
      <w:r w:rsidRPr="00EC7A07">
        <w:rPr>
          <w:szCs w:val="24"/>
        </w:rPr>
        <w:t xml:space="preserve"> – </w:t>
      </w:r>
      <w:r w:rsidRPr="00EC7A07">
        <w:rPr>
          <w:b/>
          <w:bCs/>
          <w:szCs w:val="24"/>
        </w:rPr>
        <w:t>Harmonisation des bandes de fréquences pour les applications des systèmes de transport intelligents en évolution dans le cadre des attributions au service mobile; SUP Résolution 237 (CMR-15)</w:t>
      </w:r>
      <w:bookmarkEnd w:id="237"/>
    </w:p>
    <w:p w14:paraId="3F01D196" w14:textId="77777777" w:rsidR="001466AA" w:rsidRPr="00765B3C" w:rsidRDefault="001466AA" w:rsidP="001466AA">
      <w:pPr>
        <w:rPr>
          <w:b/>
          <w:bCs/>
          <w:szCs w:val="24"/>
        </w:rPr>
      </w:pPr>
      <w:r w:rsidRPr="00EC7A07">
        <w:rPr>
          <w:szCs w:val="24"/>
        </w:rPr>
        <w:t>14.3</w:t>
      </w:r>
      <w:r w:rsidRPr="00EC7A07">
        <w:rPr>
          <w:szCs w:val="24"/>
        </w:rPr>
        <w:tab/>
      </w:r>
      <w:bookmarkStart w:id="238" w:name="lt_pId431"/>
      <w:r w:rsidRPr="00EC7A07">
        <w:rPr>
          <w:b/>
          <w:bCs/>
          <w:szCs w:val="24"/>
        </w:rPr>
        <w:t>Approuvé</w:t>
      </w:r>
      <w:r>
        <w:rPr>
          <w:b/>
          <w:bCs/>
          <w:szCs w:val="24"/>
        </w:rPr>
        <w:t>s</w:t>
      </w:r>
      <w:r w:rsidRPr="00EA5539">
        <w:rPr>
          <w:szCs w:val="24"/>
        </w:rPr>
        <w:t>.</w:t>
      </w:r>
      <w:bookmarkEnd w:id="238"/>
    </w:p>
    <w:p w14:paraId="43D2351E" w14:textId="77777777" w:rsidR="001466AA" w:rsidRPr="00C0145A" w:rsidRDefault="001466AA" w:rsidP="001466AA">
      <w:pPr>
        <w:rPr>
          <w:b/>
          <w:bCs/>
          <w:szCs w:val="24"/>
        </w:rPr>
      </w:pPr>
      <w:r w:rsidRPr="00C0145A">
        <w:rPr>
          <w:szCs w:val="24"/>
        </w:rPr>
        <w:t>14.4</w:t>
      </w:r>
      <w:r w:rsidRPr="00C0145A">
        <w:rPr>
          <w:szCs w:val="24"/>
        </w:rPr>
        <w:tab/>
      </w:r>
      <w:bookmarkStart w:id="239" w:name="lt_pId433"/>
      <w:r w:rsidRPr="00C0145A">
        <w:rPr>
          <w:szCs w:val="24"/>
        </w:rPr>
        <w:t xml:space="preserve">La </w:t>
      </w:r>
      <w:r w:rsidRPr="00C0145A">
        <w:rPr>
          <w:szCs w:val="28"/>
        </w:rPr>
        <w:t xml:space="preserve">trentième série de textes soumis par la Commission de rédaction en première lecture (B30) (Document 420) est </w:t>
      </w:r>
      <w:r w:rsidRPr="00F9157F">
        <w:rPr>
          <w:b/>
          <w:bCs/>
          <w:szCs w:val="28"/>
        </w:rPr>
        <w:t>approuvée</w:t>
      </w:r>
      <w:r w:rsidRPr="00EA5539">
        <w:rPr>
          <w:szCs w:val="24"/>
        </w:rPr>
        <w:t>.</w:t>
      </w:r>
      <w:bookmarkEnd w:id="239"/>
    </w:p>
    <w:p w14:paraId="724CA0A1" w14:textId="08B9AA0C" w:rsidR="001466AA" w:rsidRPr="00C0145A" w:rsidRDefault="001466AA" w:rsidP="001466AA">
      <w:pPr>
        <w:pStyle w:val="Heading1"/>
        <w:rPr>
          <w:szCs w:val="28"/>
        </w:rPr>
      </w:pPr>
      <w:r w:rsidRPr="00C0145A">
        <w:rPr>
          <w:szCs w:val="28"/>
        </w:rPr>
        <w:lastRenderedPageBreak/>
        <w:t>15</w:t>
      </w:r>
      <w:r w:rsidRPr="00C0145A">
        <w:rPr>
          <w:szCs w:val="28"/>
        </w:rPr>
        <w:tab/>
      </w:r>
      <w:r w:rsidRPr="00C0145A">
        <w:rPr>
          <w:szCs w:val="24"/>
        </w:rPr>
        <w:t>Trentième série de textes soumis par la Commission de rédaction (B30)</w:t>
      </w:r>
      <w:r w:rsidR="00EA5539">
        <w:rPr>
          <w:szCs w:val="28"/>
        </w:rPr>
        <w:t> </w:t>
      </w:r>
      <w:r w:rsidRPr="00C0145A">
        <w:rPr>
          <w:szCs w:val="28"/>
        </w:rPr>
        <w:t>– seconde lecture</w:t>
      </w:r>
      <w:r w:rsidRPr="00C0145A">
        <w:rPr>
          <w:szCs w:val="24"/>
        </w:rPr>
        <w:t xml:space="preserve"> (Document 420) </w:t>
      </w:r>
    </w:p>
    <w:p w14:paraId="00BB2D70" w14:textId="77777777" w:rsidR="001466AA" w:rsidRPr="00C0145A" w:rsidRDefault="001466AA" w:rsidP="001466AA">
      <w:pPr>
        <w:rPr>
          <w:szCs w:val="24"/>
        </w:rPr>
      </w:pPr>
      <w:r w:rsidRPr="00C0145A">
        <w:rPr>
          <w:szCs w:val="24"/>
        </w:rPr>
        <w:t>15.1</w:t>
      </w:r>
      <w:r w:rsidRPr="00C0145A">
        <w:rPr>
          <w:szCs w:val="24"/>
        </w:rPr>
        <w:tab/>
      </w:r>
      <w:bookmarkStart w:id="240" w:name="lt_pId437"/>
      <w:r w:rsidRPr="00C0145A">
        <w:rPr>
          <w:szCs w:val="24"/>
        </w:rPr>
        <w:t>La trentième série de textes soumis par la Commission de rédaction (B30) (</w:t>
      </w:r>
      <w:r w:rsidRPr="00643F16">
        <w:rPr>
          <w:lang w:val="fr-CH"/>
        </w:rPr>
        <w:t>Document 420</w:t>
      </w:r>
      <w:r w:rsidRPr="00C0145A">
        <w:rPr>
          <w:szCs w:val="24"/>
        </w:rPr>
        <w:t xml:space="preserve">) est </w:t>
      </w:r>
      <w:r w:rsidRPr="00F9157F">
        <w:rPr>
          <w:b/>
          <w:bCs/>
          <w:szCs w:val="24"/>
        </w:rPr>
        <w:t xml:space="preserve">approuvée </w:t>
      </w:r>
      <w:r w:rsidRPr="00C0145A">
        <w:rPr>
          <w:szCs w:val="24"/>
        </w:rPr>
        <w:t>en seconde lecture.</w:t>
      </w:r>
      <w:bookmarkEnd w:id="240"/>
    </w:p>
    <w:p w14:paraId="27CAD95C" w14:textId="614D08FB" w:rsidR="001466AA" w:rsidRPr="00C0145A" w:rsidRDefault="001466AA" w:rsidP="001466AA">
      <w:pPr>
        <w:pStyle w:val="Heading1"/>
        <w:rPr>
          <w:szCs w:val="28"/>
        </w:rPr>
      </w:pPr>
      <w:r w:rsidRPr="00C0145A">
        <w:rPr>
          <w:szCs w:val="28"/>
        </w:rPr>
        <w:t>16</w:t>
      </w:r>
      <w:r w:rsidRPr="00C0145A">
        <w:rPr>
          <w:szCs w:val="28"/>
        </w:rPr>
        <w:tab/>
        <w:t>Trente</w:t>
      </w:r>
      <w:r w:rsidR="00EA5539">
        <w:rPr>
          <w:szCs w:val="28"/>
        </w:rPr>
        <w:t xml:space="preserve"> </w:t>
      </w:r>
      <w:r w:rsidRPr="00C0145A">
        <w:rPr>
          <w:szCs w:val="28"/>
        </w:rPr>
        <w:t>et</w:t>
      </w:r>
      <w:r w:rsidR="00EA5539">
        <w:rPr>
          <w:szCs w:val="28"/>
        </w:rPr>
        <w:t xml:space="preserve"> </w:t>
      </w:r>
      <w:r w:rsidRPr="00C0145A">
        <w:rPr>
          <w:szCs w:val="28"/>
        </w:rPr>
        <w:t>unième série de textes soumis par la Commission de rédaction en première lecture (B31) (Document 421)</w:t>
      </w:r>
    </w:p>
    <w:p w14:paraId="2C0176B1" w14:textId="77777777" w:rsidR="001466AA" w:rsidRPr="00C0145A" w:rsidRDefault="001466AA" w:rsidP="001466AA">
      <w:pPr>
        <w:rPr>
          <w:szCs w:val="24"/>
        </w:rPr>
      </w:pPr>
      <w:r w:rsidRPr="00C0145A">
        <w:rPr>
          <w:szCs w:val="24"/>
        </w:rPr>
        <w:t>16.1</w:t>
      </w:r>
      <w:r w:rsidRPr="00C0145A">
        <w:rPr>
          <w:szCs w:val="24"/>
        </w:rPr>
        <w:tab/>
      </w:r>
      <w:bookmarkStart w:id="241" w:name="lt_pId441"/>
      <w:r w:rsidRPr="00C0145A">
        <w:rPr>
          <w:szCs w:val="24"/>
        </w:rPr>
        <w:t xml:space="preserve">Le </w:t>
      </w:r>
      <w:r w:rsidRPr="00CE277C">
        <w:rPr>
          <w:b/>
          <w:bCs/>
          <w:szCs w:val="24"/>
        </w:rPr>
        <w:t>Président de la Commission de rédaction</w:t>
      </w:r>
      <w:r w:rsidRPr="00C0145A">
        <w:rPr>
          <w:szCs w:val="24"/>
        </w:rPr>
        <w:t xml:space="preserve"> présente le Document 421.</w:t>
      </w:r>
      <w:bookmarkEnd w:id="241"/>
    </w:p>
    <w:p w14:paraId="4F33223A" w14:textId="77777777" w:rsidR="001466AA" w:rsidRPr="00765B3C" w:rsidRDefault="001466AA" w:rsidP="001466AA">
      <w:pPr>
        <w:rPr>
          <w:szCs w:val="24"/>
        </w:rPr>
      </w:pPr>
      <w:r w:rsidRPr="00C0145A">
        <w:rPr>
          <w:szCs w:val="24"/>
        </w:rPr>
        <w:t>16.2</w:t>
      </w:r>
      <w:r w:rsidRPr="00C0145A">
        <w:rPr>
          <w:szCs w:val="24"/>
        </w:rPr>
        <w:tab/>
      </w:r>
      <w:bookmarkStart w:id="242" w:name="lt_pId443"/>
      <w:r w:rsidRPr="00C0145A">
        <w:rPr>
          <w:szCs w:val="24"/>
        </w:rPr>
        <w:t xml:space="preserve">Le </w:t>
      </w:r>
      <w:r w:rsidRPr="00CE277C">
        <w:rPr>
          <w:b/>
          <w:bCs/>
          <w:szCs w:val="24"/>
        </w:rPr>
        <w:t>Président</w:t>
      </w:r>
      <w:r w:rsidRPr="00C0145A">
        <w:rPr>
          <w:szCs w:val="24"/>
        </w:rPr>
        <w:t xml:space="preserve"> invite les participants à examiner le Document 421.</w:t>
      </w:r>
      <w:bookmarkEnd w:id="242"/>
    </w:p>
    <w:p w14:paraId="77B4FCEC" w14:textId="77777777" w:rsidR="001466AA" w:rsidRPr="006E7B7B" w:rsidRDefault="001466AA" w:rsidP="00BE11D0">
      <w:pPr>
        <w:pStyle w:val="Headingb"/>
      </w:pPr>
      <w:bookmarkStart w:id="243" w:name="lt_pId444"/>
      <w:r w:rsidRPr="006E7B7B">
        <w:t xml:space="preserve">Article 5 (MOD 5.429B, MOD Tableau 22-24,75 GHz); Appendice 5 (MOD Tableau 5-2 </w:t>
      </w:r>
      <w:r w:rsidRPr="006E7B7B">
        <w:rPr>
          <w:i/>
          <w:iCs/>
        </w:rPr>
        <w:t>(fin)</w:t>
      </w:r>
      <w:r w:rsidRPr="006E7B7B">
        <w:t>); MOD Résolution 647 (Rév.CMR-15)</w:t>
      </w:r>
      <w:bookmarkEnd w:id="243"/>
    </w:p>
    <w:p w14:paraId="7557D6D4" w14:textId="77777777" w:rsidR="001466AA" w:rsidRPr="00765B3C" w:rsidRDefault="001466AA" w:rsidP="001466AA">
      <w:pPr>
        <w:rPr>
          <w:b/>
          <w:bCs/>
          <w:szCs w:val="24"/>
        </w:rPr>
      </w:pPr>
      <w:r w:rsidRPr="006E7B7B">
        <w:rPr>
          <w:szCs w:val="24"/>
        </w:rPr>
        <w:t>16.3</w:t>
      </w:r>
      <w:r w:rsidRPr="006E7B7B">
        <w:rPr>
          <w:szCs w:val="24"/>
        </w:rPr>
        <w:tab/>
      </w:r>
      <w:bookmarkStart w:id="244" w:name="lt_pId446"/>
      <w:r w:rsidRPr="006E7B7B">
        <w:rPr>
          <w:b/>
          <w:bCs/>
          <w:szCs w:val="24"/>
        </w:rPr>
        <w:t>Approuvé</w:t>
      </w:r>
      <w:r>
        <w:rPr>
          <w:b/>
          <w:bCs/>
          <w:szCs w:val="24"/>
        </w:rPr>
        <w:t>s</w:t>
      </w:r>
      <w:r w:rsidRPr="006E7B7B">
        <w:rPr>
          <w:b/>
          <w:bCs/>
          <w:szCs w:val="24"/>
        </w:rPr>
        <w:t>.</w:t>
      </w:r>
      <w:bookmarkEnd w:id="244"/>
    </w:p>
    <w:p w14:paraId="45D96ED6" w14:textId="4884BDB9" w:rsidR="001466AA" w:rsidRPr="00C0145A" w:rsidRDefault="001466AA" w:rsidP="001466AA">
      <w:pPr>
        <w:rPr>
          <w:b/>
          <w:bCs/>
          <w:szCs w:val="24"/>
        </w:rPr>
      </w:pPr>
      <w:r w:rsidRPr="00C0145A">
        <w:rPr>
          <w:szCs w:val="24"/>
        </w:rPr>
        <w:t>16.4</w:t>
      </w:r>
      <w:r w:rsidRPr="00C0145A">
        <w:rPr>
          <w:szCs w:val="24"/>
        </w:rPr>
        <w:tab/>
      </w:r>
      <w:bookmarkStart w:id="245" w:name="lt_pId448"/>
      <w:r w:rsidRPr="00C0145A">
        <w:rPr>
          <w:szCs w:val="24"/>
        </w:rPr>
        <w:t xml:space="preserve">La </w:t>
      </w:r>
      <w:r w:rsidRPr="00C0145A">
        <w:rPr>
          <w:szCs w:val="28"/>
        </w:rPr>
        <w:t>trente</w:t>
      </w:r>
      <w:r w:rsidR="00EA5539">
        <w:rPr>
          <w:szCs w:val="28"/>
        </w:rPr>
        <w:t xml:space="preserve"> </w:t>
      </w:r>
      <w:r w:rsidRPr="00C0145A">
        <w:rPr>
          <w:szCs w:val="28"/>
        </w:rPr>
        <w:t>et</w:t>
      </w:r>
      <w:r w:rsidR="00EA5539">
        <w:rPr>
          <w:szCs w:val="28"/>
        </w:rPr>
        <w:t xml:space="preserve"> </w:t>
      </w:r>
      <w:r w:rsidRPr="00C0145A">
        <w:rPr>
          <w:szCs w:val="28"/>
        </w:rPr>
        <w:t xml:space="preserve">unième série de textes soumis par la Commission de rédaction en première lecture (B31) (Document 421) est </w:t>
      </w:r>
      <w:r w:rsidRPr="00CE277C">
        <w:rPr>
          <w:b/>
          <w:bCs/>
          <w:szCs w:val="28"/>
        </w:rPr>
        <w:t>approuvée</w:t>
      </w:r>
      <w:r w:rsidRPr="00E2635B">
        <w:rPr>
          <w:szCs w:val="24"/>
        </w:rPr>
        <w:t>.</w:t>
      </w:r>
      <w:bookmarkEnd w:id="245"/>
    </w:p>
    <w:p w14:paraId="417DF044" w14:textId="09A9982C" w:rsidR="001466AA" w:rsidRPr="00C0145A" w:rsidRDefault="001466AA" w:rsidP="001466AA">
      <w:pPr>
        <w:pStyle w:val="Heading1"/>
        <w:rPr>
          <w:szCs w:val="28"/>
        </w:rPr>
      </w:pPr>
      <w:r w:rsidRPr="00C0145A">
        <w:rPr>
          <w:szCs w:val="28"/>
        </w:rPr>
        <w:t>17</w:t>
      </w:r>
      <w:r w:rsidRPr="00C0145A">
        <w:rPr>
          <w:szCs w:val="28"/>
        </w:rPr>
        <w:tab/>
      </w:r>
      <w:bookmarkStart w:id="246" w:name="lt_pId450"/>
      <w:r w:rsidRPr="00C0145A">
        <w:rPr>
          <w:szCs w:val="28"/>
        </w:rPr>
        <w:t>Trente</w:t>
      </w:r>
      <w:r w:rsidR="00EA5539">
        <w:rPr>
          <w:szCs w:val="28"/>
        </w:rPr>
        <w:t xml:space="preserve"> </w:t>
      </w:r>
      <w:r w:rsidRPr="00C0145A">
        <w:rPr>
          <w:szCs w:val="28"/>
        </w:rPr>
        <w:t>et</w:t>
      </w:r>
      <w:r w:rsidR="00EA5539">
        <w:rPr>
          <w:szCs w:val="28"/>
        </w:rPr>
        <w:t xml:space="preserve"> </w:t>
      </w:r>
      <w:r w:rsidRPr="00C0145A">
        <w:rPr>
          <w:szCs w:val="28"/>
        </w:rPr>
        <w:t>unième série de textes soumis par la Commission de rédaction (B31)</w:t>
      </w:r>
      <w:r w:rsidRPr="00CE277C">
        <w:rPr>
          <w:szCs w:val="28"/>
        </w:rPr>
        <w:t xml:space="preserve"> </w:t>
      </w:r>
      <w:r w:rsidRPr="00C0145A">
        <w:rPr>
          <w:szCs w:val="28"/>
        </w:rPr>
        <w:t>– seconde lecture (Document 421)</w:t>
      </w:r>
      <w:bookmarkEnd w:id="246"/>
      <w:r w:rsidRPr="00C0145A">
        <w:rPr>
          <w:szCs w:val="28"/>
        </w:rPr>
        <w:t xml:space="preserve"> </w:t>
      </w:r>
    </w:p>
    <w:p w14:paraId="17774975" w14:textId="0FA3912B" w:rsidR="001466AA" w:rsidRPr="00C0145A" w:rsidRDefault="001466AA" w:rsidP="001466AA">
      <w:pPr>
        <w:rPr>
          <w:szCs w:val="24"/>
        </w:rPr>
      </w:pPr>
      <w:r w:rsidRPr="00C0145A">
        <w:rPr>
          <w:szCs w:val="24"/>
        </w:rPr>
        <w:t>17.1</w:t>
      </w:r>
      <w:r w:rsidRPr="00C0145A">
        <w:rPr>
          <w:szCs w:val="24"/>
        </w:rPr>
        <w:tab/>
      </w:r>
      <w:bookmarkStart w:id="247" w:name="lt_pId452"/>
      <w:r w:rsidRPr="00C0145A">
        <w:rPr>
          <w:szCs w:val="24"/>
        </w:rPr>
        <w:t xml:space="preserve">La </w:t>
      </w:r>
      <w:r w:rsidRPr="00C0145A">
        <w:rPr>
          <w:szCs w:val="28"/>
        </w:rPr>
        <w:t>trente</w:t>
      </w:r>
      <w:r w:rsidR="00EA5539">
        <w:rPr>
          <w:szCs w:val="28"/>
        </w:rPr>
        <w:t xml:space="preserve"> </w:t>
      </w:r>
      <w:r w:rsidRPr="00C0145A">
        <w:rPr>
          <w:szCs w:val="28"/>
        </w:rPr>
        <w:t>et</w:t>
      </w:r>
      <w:r w:rsidR="00EA5539">
        <w:rPr>
          <w:szCs w:val="28"/>
        </w:rPr>
        <w:t xml:space="preserve"> </w:t>
      </w:r>
      <w:r w:rsidRPr="00C0145A">
        <w:rPr>
          <w:szCs w:val="28"/>
        </w:rPr>
        <w:t xml:space="preserve">unième série de textes soumis par la Commission de rédaction (B31) (Document 421) est </w:t>
      </w:r>
      <w:r w:rsidRPr="00CE277C">
        <w:rPr>
          <w:b/>
          <w:bCs/>
          <w:szCs w:val="28"/>
        </w:rPr>
        <w:t xml:space="preserve">approuvée </w:t>
      </w:r>
      <w:r w:rsidRPr="00C0145A">
        <w:rPr>
          <w:szCs w:val="28"/>
        </w:rPr>
        <w:t>en seconde lecture</w:t>
      </w:r>
      <w:r w:rsidRPr="00C0145A">
        <w:rPr>
          <w:szCs w:val="24"/>
        </w:rPr>
        <w:t>.</w:t>
      </w:r>
      <w:bookmarkEnd w:id="247"/>
    </w:p>
    <w:p w14:paraId="5649BE6E" w14:textId="77777777" w:rsidR="001466AA" w:rsidRPr="00C0145A" w:rsidRDefault="001466AA" w:rsidP="001466AA">
      <w:pPr>
        <w:pStyle w:val="Heading1"/>
        <w:rPr>
          <w:szCs w:val="28"/>
        </w:rPr>
      </w:pPr>
      <w:r w:rsidRPr="00C0145A">
        <w:rPr>
          <w:szCs w:val="28"/>
        </w:rPr>
        <w:t>18</w:t>
      </w:r>
      <w:r w:rsidRPr="00C0145A">
        <w:rPr>
          <w:szCs w:val="28"/>
        </w:rPr>
        <w:tab/>
      </w:r>
      <w:bookmarkStart w:id="248" w:name="lt_pId454"/>
      <w:r w:rsidRPr="00C0145A">
        <w:rPr>
          <w:szCs w:val="28"/>
        </w:rPr>
        <w:t>Trente-deuxième série de textes soumis par la Commission de rédaction en première lecture (B32) (Document 423)</w:t>
      </w:r>
      <w:bookmarkEnd w:id="248"/>
    </w:p>
    <w:p w14:paraId="661B7340" w14:textId="77777777" w:rsidR="001466AA" w:rsidRPr="00C0145A" w:rsidRDefault="001466AA" w:rsidP="001466AA">
      <w:pPr>
        <w:rPr>
          <w:szCs w:val="24"/>
        </w:rPr>
      </w:pPr>
      <w:r w:rsidRPr="00C0145A">
        <w:rPr>
          <w:szCs w:val="24"/>
        </w:rPr>
        <w:t>18.1</w:t>
      </w:r>
      <w:r w:rsidRPr="00C0145A">
        <w:rPr>
          <w:szCs w:val="24"/>
        </w:rPr>
        <w:tab/>
      </w:r>
      <w:bookmarkStart w:id="249" w:name="lt_pId456"/>
      <w:r w:rsidRPr="00C0145A">
        <w:rPr>
          <w:szCs w:val="24"/>
        </w:rPr>
        <w:t xml:space="preserve">Le </w:t>
      </w:r>
      <w:r w:rsidRPr="00CE277C">
        <w:rPr>
          <w:b/>
          <w:bCs/>
          <w:szCs w:val="24"/>
        </w:rPr>
        <w:t>Président de la Commission de rédaction</w:t>
      </w:r>
      <w:r w:rsidRPr="00C0145A">
        <w:rPr>
          <w:szCs w:val="24"/>
        </w:rPr>
        <w:t xml:space="preserve"> présente le Document 423.</w:t>
      </w:r>
      <w:bookmarkEnd w:id="249"/>
    </w:p>
    <w:p w14:paraId="462150AA" w14:textId="77777777" w:rsidR="001466AA" w:rsidRPr="00765B3C" w:rsidRDefault="001466AA" w:rsidP="001466AA">
      <w:pPr>
        <w:rPr>
          <w:szCs w:val="24"/>
        </w:rPr>
      </w:pPr>
      <w:r w:rsidRPr="00C0145A">
        <w:rPr>
          <w:szCs w:val="24"/>
        </w:rPr>
        <w:t>18.2</w:t>
      </w:r>
      <w:r w:rsidRPr="00C0145A">
        <w:rPr>
          <w:szCs w:val="24"/>
        </w:rPr>
        <w:tab/>
      </w:r>
      <w:bookmarkStart w:id="250" w:name="lt_pId458"/>
      <w:r w:rsidRPr="00C0145A">
        <w:rPr>
          <w:szCs w:val="24"/>
        </w:rPr>
        <w:t xml:space="preserve">Le </w:t>
      </w:r>
      <w:r w:rsidRPr="00CE277C">
        <w:rPr>
          <w:b/>
          <w:bCs/>
          <w:szCs w:val="24"/>
        </w:rPr>
        <w:t>Président</w:t>
      </w:r>
      <w:r w:rsidRPr="00C0145A">
        <w:rPr>
          <w:szCs w:val="24"/>
        </w:rPr>
        <w:t xml:space="preserve"> invite les participants à examiner le Document 423.</w:t>
      </w:r>
      <w:bookmarkEnd w:id="250"/>
    </w:p>
    <w:p w14:paraId="0720719D" w14:textId="77777777" w:rsidR="001466AA" w:rsidRPr="006E7B7B" w:rsidRDefault="001466AA" w:rsidP="00BE11D0">
      <w:pPr>
        <w:pStyle w:val="Headingb"/>
      </w:pPr>
      <w:bookmarkStart w:id="251" w:name="lt_pId459"/>
      <w:r w:rsidRPr="006E7B7B">
        <w:t>ADD Résolution COM4/2 (CMR-19) – Harmonisation des fréquences pour les systèmes de radiocommunication ferroviaires train/voie dans le cadre des attributions existantes au service mobile; SUP Résolution 236 (CMR-15)</w:t>
      </w:r>
      <w:bookmarkEnd w:id="251"/>
    </w:p>
    <w:p w14:paraId="02B33E13" w14:textId="77777777" w:rsidR="001466AA" w:rsidRPr="00765B3C" w:rsidRDefault="001466AA" w:rsidP="001466AA">
      <w:pPr>
        <w:rPr>
          <w:b/>
          <w:bCs/>
          <w:szCs w:val="24"/>
        </w:rPr>
      </w:pPr>
      <w:r w:rsidRPr="006E7B7B">
        <w:rPr>
          <w:szCs w:val="24"/>
        </w:rPr>
        <w:t>18.3</w:t>
      </w:r>
      <w:r w:rsidRPr="006E7B7B">
        <w:rPr>
          <w:b/>
          <w:bCs/>
          <w:szCs w:val="24"/>
        </w:rPr>
        <w:tab/>
      </w:r>
      <w:bookmarkStart w:id="252" w:name="lt_pId461"/>
      <w:r w:rsidRPr="006E7B7B">
        <w:rPr>
          <w:b/>
          <w:bCs/>
          <w:szCs w:val="24"/>
        </w:rPr>
        <w:t>Approuvé</w:t>
      </w:r>
      <w:r>
        <w:rPr>
          <w:b/>
          <w:bCs/>
          <w:szCs w:val="24"/>
        </w:rPr>
        <w:t>s</w:t>
      </w:r>
      <w:r w:rsidRPr="00E2635B">
        <w:rPr>
          <w:szCs w:val="24"/>
        </w:rPr>
        <w:t>.</w:t>
      </w:r>
      <w:bookmarkEnd w:id="252"/>
    </w:p>
    <w:p w14:paraId="31610E8F" w14:textId="77777777" w:rsidR="001466AA" w:rsidRPr="00C0145A" w:rsidRDefault="001466AA" w:rsidP="001466AA">
      <w:pPr>
        <w:rPr>
          <w:b/>
          <w:bCs/>
          <w:szCs w:val="24"/>
        </w:rPr>
      </w:pPr>
      <w:r w:rsidRPr="00C0145A">
        <w:rPr>
          <w:szCs w:val="24"/>
        </w:rPr>
        <w:t>18.4</w:t>
      </w:r>
      <w:r w:rsidRPr="00C0145A">
        <w:rPr>
          <w:szCs w:val="24"/>
        </w:rPr>
        <w:tab/>
      </w:r>
      <w:bookmarkStart w:id="253" w:name="lt_pId463"/>
      <w:r w:rsidRPr="00C0145A">
        <w:rPr>
          <w:szCs w:val="24"/>
        </w:rPr>
        <w:t xml:space="preserve">La </w:t>
      </w:r>
      <w:r w:rsidRPr="00C0145A">
        <w:rPr>
          <w:szCs w:val="28"/>
        </w:rPr>
        <w:t xml:space="preserve">trente-deuxième série de textes soumis par la Commission de rédaction en première lecture (B32) (Document 423) est </w:t>
      </w:r>
      <w:r w:rsidRPr="00CE277C">
        <w:rPr>
          <w:b/>
          <w:bCs/>
          <w:szCs w:val="28"/>
        </w:rPr>
        <w:t>approuvée</w:t>
      </w:r>
      <w:r w:rsidRPr="00E2635B">
        <w:rPr>
          <w:szCs w:val="24"/>
        </w:rPr>
        <w:t>.</w:t>
      </w:r>
      <w:bookmarkEnd w:id="253"/>
    </w:p>
    <w:p w14:paraId="73784B81" w14:textId="77777777" w:rsidR="001466AA" w:rsidRPr="00C0145A" w:rsidRDefault="001466AA" w:rsidP="001466AA">
      <w:pPr>
        <w:pStyle w:val="Heading1"/>
        <w:rPr>
          <w:szCs w:val="28"/>
        </w:rPr>
      </w:pPr>
      <w:r w:rsidRPr="00C0145A">
        <w:rPr>
          <w:szCs w:val="28"/>
        </w:rPr>
        <w:t>19</w:t>
      </w:r>
      <w:r w:rsidRPr="00C0145A">
        <w:rPr>
          <w:szCs w:val="28"/>
        </w:rPr>
        <w:tab/>
        <w:t>Trente-deuxième série de textes soumis par la Commission de rédaction (B32)</w:t>
      </w:r>
      <w:r w:rsidRPr="00CE277C">
        <w:rPr>
          <w:szCs w:val="28"/>
        </w:rPr>
        <w:t xml:space="preserve"> </w:t>
      </w:r>
      <w:r w:rsidRPr="00C0145A">
        <w:rPr>
          <w:szCs w:val="28"/>
        </w:rPr>
        <w:t xml:space="preserve">– seconde lecture (Document 423) </w:t>
      </w:r>
    </w:p>
    <w:p w14:paraId="68F5969C" w14:textId="77777777" w:rsidR="001466AA" w:rsidRPr="00C0145A" w:rsidRDefault="001466AA" w:rsidP="001466AA">
      <w:pPr>
        <w:rPr>
          <w:szCs w:val="24"/>
        </w:rPr>
      </w:pPr>
      <w:r w:rsidRPr="00C0145A">
        <w:rPr>
          <w:szCs w:val="24"/>
        </w:rPr>
        <w:t>19.1</w:t>
      </w:r>
      <w:r w:rsidRPr="00C0145A">
        <w:rPr>
          <w:szCs w:val="24"/>
        </w:rPr>
        <w:tab/>
      </w:r>
      <w:bookmarkStart w:id="254" w:name="lt_pId467"/>
      <w:r w:rsidRPr="00C0145A">
        <w:rPr>
          <w:szCs w:val="24"/>
        </w:rPr>
        <w:t xml:space="preserve">La </w:t>
      </w:r>
      <w:r w:rsidRPr="00C0145A">
        <w:rPr>
          <w:szCs w:val="28"/>
        </w:rPr>
        <w:t xml:space="preserve">trente-deuxième série de textes soumis par la Commission de rédaction (B32) (Document 423) est </w:t>
      </w:r>
      <w:r w:rsidRPr="00CE277C">
        <w:rPr>
          <w:b/>
          <w:bCs/>
          <w:szCs w:val="28"/>
        </w:rPr>
        <w:t>approuvée</w:t>
      </w:r>
      <w:r w:rsidRPr="00C0145A">
        <w:rPr>
          <w:szCs w:val="28"/>
        </w:rPr>
        <w:t xml:space="preserve"> en seconde lecture</w:t>
      </w:r>
      <w:r w:rsidRPr="00C0145A">
        <w:rPr>
          <w:szCs w:val="24"/>
        </w:rPr>
        <w:t>.</w:t>
      </w:r>
      <w:bookmarkEnd w:id="254"/>
    </w:p>
    <w:p w14:paraId="309FDD87" w14:textId="77777777" w:rsidR="001466AA" w:rsidRPr="00C0145A" w:rsidRDefault="001466AA" w:rsidP="001466AA">
      <w:pPr>
        <w:pStyle w:val="Heading1"/>
        <w:rPr>
          <w:szCs w:val="28"/>
        </w:rPr>
      </w:pPr>
      <w:r w:rsidRPr="00C0145A">
        <w:rPr>
          <w:szCs w:val="28"/>
        </w:rPr>
        <w:t>20</w:t>
      </w:r>
      <w:r w:rsidRPr="00C0145A">
        <w:rPr>
          <w:szCs w:val="28"/>
        </w:rPr>
        <w:tab/>
      </w:r>
      <w:bookmarkStart w:id="255" w:name="lt_pId469"/>
      <w:r w:rsidRPr="00C0145A">
        <w:rPr>
          <w:szCs w:val="28"/>
        </w:rPr>
        <w:t xml:space="preserve">Approbation du procès-verbal </w:t>
      </w:r>
      <w:r>
        <w:rPr>
          <w:szCs w:val="28"/>
        </w:rPr>
        <w:t>– ci</w:t>
      </w:r>
      <w:r w:rsidRPr="00C0145A">
        <w:rPr>
          <w:szCs w:val="28"/>
        </w:rPr>
        <w:t>nquième séance plénière (Document 275)</w:t>
      </w:r>
      <w:bookmarkEnd w:id="255"/>
    </w:p>
    <w:p w14:paraId="00024B61" w14:textId="77777777" w:rsidR="001466AA" w:rsidRPr="00C0145A" w:rsidRDefault="001466AA" w:rsidP="001466AA">
      <w:pPr>
        <w:rPr>
          <w:szCs w:val="24"/>
        </w:rPr>
      </w:pPr>
      <w:r w:rsidRPr="00C0145A">
        <w:rPr>
          <w:szCs w:val="24"/>
        </w:rPr>
        <w:t>20.1</w:t>
      </w:r>
      <w:r w:rsidRPr="00C0145A">
        <w:rPr>
          <w:szCs w:val="24"/>
        </w:rPr>
        <w:tab/>
      </w:r>
      <w:r w:rsidRPr="00643F16">
        <w:rPr>
          <w:color w:val="000000"/>
          <w:lang w:val="fr-CH"/>
        </w:rPr>
        <w:t xml:space="preserve">Le procès-verbal de la cinquième séance plénière (Document 275) est </w:t>
      </w:r>
      <w:r w:rsidRPr="00643F16">
        <w:rPr>
          <w:b/>
          <w:bCs/>
          <w:color w:val="000000"/>
          <w:lang w:val="fr-CH"/>
        </w:rPr>
        <w:t>approuvé</w:t>
      </w:r>
      <w:r w:rsidRPr="00643F16">
        <w:rPr>
          <w:color w:val="000000"/>
          <w:lang w:val="fr-CH"/>
        </w:rPr>
        <w:t>.</w:t>
      </w:r>
    </w:p>
    <w:p w14:paraId="731278B7" w14:textId="6D757223" w:rsidR="001466AA" w:rsidRPr="00C0145A" w:rsidRDefault="001466AA" w:rsidP="001466AA">
      <w:pPr>
        <w:pStyle w:val="Heading1"/>
        <w:rPr>
          <w:szCs w:val="28"/>
        </w:rPr>
      </w:pPr>
      <w:r w:rsidRPr="00C0145A">
        <w:rPr>
          <w:szCs w:val="28"/>
        </w:rPr>
        <w:lastRenderedPageBreak/>
        <w:t>21</w:t>
      </w:r>
      <w:r w:rsidRPr="00C0145A">
        <w:rPr>
          <w:szCs w:val="28"/>
        </w:rPr>
        <w:tab/>
      </w:r>
      <w:bookmarkStart w:id="256" w:name="lt_pId473"/>
      <w:r w:rsidRPr="00C0145A">
        <w:rPr>
          <w:szCs w:val="28"/>
        </w:rPr>
        <w:t xml:space="preserve">Messages de condoléances à la suite du décès du cheikh </w:t>
      </w:r>
      <w:r w:rsidR="000D2E1D">
        <w:rPr>
          <w:szCs w:val="28"/>
        </w:rPr>
        <w:t>Sultan</w:t>
      </w:r>
      <w:r w:rsidRPr="00C0145A">
        <w:rPr>
          <w:szCs w:val="28"/>
        </w:rPr>
        <w:t xml:space="preserve"> bin Zayed Al Nahyan</w:t>
      </w:r>
      <w:bookmarkEnd w:id="256"/>
    </w:p>
    <w:p w14:paraId="26ADF254" w14:textId="1AE0AF98" w:rsidR="001466AA" w:rsidRPr="00C0145A" w:rsidRDefault="001466AA" w:rsidP="001466AA">
      <w:pPr>
        <w:rPr>
          <w:szCs w:val="24"/>
        </w:rPr>
      </w:pPr>
      <w:r w:rsidRPr="00C0145A">
        <w:rPr>
          <w:szCs w:val="24"/>
        </w:rPr>
        <w:t>21.1</w:t>
      </w:r>
      <w:r w:rsidRPr="00C0145A">
        <w:rPr>
          <w:szCs w:val="24"/>
        </w:rPr>
        <w:tab/>
      </w:r>
      <w:bookmarkStart w:id="257" w:name="lt_pId475"/>
      <w:r w:rsidRPr="00C0145A">
        <w:rPr>
          <w:szCs w:val="24"/>
        </w:rPr>
        <w:t xml:space="preserve">Le </w:t>
      </w:r>
      <w:r w:rsidRPr="00DB2334">
        <w:rPr>
          <w:b/>
          <w:bCs/>
          <w:szCs w:val="24"/>
        </w:rPr>
        <w:t>Président</w:t>
      </w:r>
      <w:r w:rsidRPr="00C0145A">
        <w:rPr>
          <w:szCs w:val="24"/>
        </w:rPr>
        <w:t xml:space="preserve"> et le </w:t>
      </w:r>
      <w:r w:rsidRPr="00DB2334">
        <w:rPr>
          <w:b/>
          <w:bCs/>
          <w:szCs w:val="24"/>
        </w:rPr>
        <w:t>délégué de l'Égypte</w:t>
      </w:r>
      <w:r w:rsidRPr="00C0145A">
        <w:rPr>
          <w:szCs w:val="24"/>
        </w:rPr>
        <w:t xml:space="preserve"> expriment leurs condoléances à la délégation des Émirats arabes unis à la suite du décès du cheikh </w:t>
      </w:r>
      <w:r w:rsidR="000D2E1D">
        <w:rPr>
          <w:szCs w:val="24"/>
        </w:rPr>
        <w:t>Sultan</w:t>
      </w:r>
      <w:r w:rsidRPr="00C0145A">
        <w:rPr>
          <w:szCs w:val="24"/>
        </w:rPr>
        <w:t xml:space="preserve"> bin Zayed Al Nahyan.</w:t>
      </w:r>
      <w:bookmarkEnd w:id="257"/>
    </w:p>
    <w:p w14:paraId="7A364CDD" w14:textId="77777777" w:rsidR="001466AA" w:rsidRPr="00C0145A" w:rsidRDefault="001466AA" w:rsidP="001466AA">
      <w:pPr>
        <w:rPr>
          <w:szCs w:val="24"/>
        </w:rPr>
      </w:pPr>
      <w:r w:rsidRPr="00C0145A">
        <w:rPr>
          <w:szCs w:val="24"/>
        </w:rPr>
        <w:t>21.2</w:t>
      </w:r>
      <w:r w:rsidRPr="00C0145A">
        <w:rPr>
          <w:szCs w:val="24"/>
        </w:rPr>
        <w:tab/>
      </w:r>
      <w:bookmarkStart w:id="258" w:name="lt_pId477"/>
      <w:r w:rsidRPr="00C0145A">
        <w:rPr>
          <w:szCs w:val="24"/>
        </w:rPr>
        <w:t xml:space="preserve">Le </w:t>
      </w:r>
      <w:r w:rsidRPr="00DB2334">
        <w:rPr>
          <w:b/>
          <w:bCs/>
          <w:szCs w:val="24"/>
        </w:rPr>
        <w:t>délégué des Émirats arabes</w:t>
      </w:r>
      <w:r w:rsidRPr="00C0145A">
        <w:rPr>
          <w:szCs w:val="24"/>
        </w:rPr>
        <w:t xml:space="preserve"> </w:t>
      </w:r>
      <w:r w:rsidRPr="00DB2334">
        <w:rPr>
          <w:b/>
          <w:bCs/>
          <w:szCs w:val="24"/>
        </w:rPr>
        <w:t>unis</w:t>
      </w:r>
      <w:r w:rsidRPr="00C0145A">
        <w:rPr>
          <w:szCs w:val="24"/>
        </w:rPr>
        <w:t xml:space="preserve"> reçoit ces condoléances avec gratitude.</w:t>
      </w:r>
      <w:bookmarkEnd w:id="258"/>
    </w:p>
    <w:p w14:paraId="102FBE03" w14:textId="77777777" w:rsidR="001466AA" w:rsidRPr="00C0145A" w:rsidRDefault="001466AA" w:rsidP="001466AA">
      <w:pPr>
        <w:pStyle w:val="Heading1"/>
        <w:rPr>
          <w:szCs w:val="28"/>
        </w:rPr>
      </w:pPr>
      <w:r w:rsidRPr="00C0145A">
        <w:rPr>
          <w:szCs w:val="28"/>
        </w:rPr>
        <w:t>22</w:t>
      </w:r>
      <w:r w:rsidRPr="00C0145A">
        <w:rPr>
          <w:szCs w:val="28"/>
        </w:rPr>
        <w:tab/>
        <w:t>Remarques de clôture</w:t>
      </w:r>
    </w:p>
    <w:p w14:paraId="12993928" w14:textId="545897DF" w:rsidR="001466AA" w:rsidRPr="00C0145A" w:rsidRDefault="001466AA" w:rsidP="001466AA">
      <w:pPr>
        <w:rPr>
          <w:szCs w:val="24"/>
        </w:rPr>
      </w:pPr>
      <w:r w:rsidRPr="00C0145A">
        <w:rPr>
          <w:szCs w:val="24"/>
        </w:rPr>
        <w:t>22.1</w:t>
      </w:r>
      <w:r w:rsidRPr="00C0145A">
        <w:rPr>
          <w:szCs w:val="24"/>
        </w:rPr>
        <w:tab/>
      </w:r>
      <w:bookmarkStart w:id="259" w:name="lt_pId481"/>
      <w:r w:rsidRPr="00C0145A">
        <w:rPr>
          <w:szCs w:val="24"/>
        </w:rPr>
        <w:t xml:space="preserve">Le </w:t>
      </w:r>
      <w:r w:rsidRPr="00DB2334">
        <w:rPr>
          <w:b/>
          <w:bCs/>
          <w:szCs w:val="24"/>
        </w:rPr>
        <w:t>délégué de la République islamique d'Iran</w:t>
      </w:r>
      <w:r w:rsidRPr="00C0145A">
        <w:rPr>
          <w:szCs w:val="24"/>
        </w:rPr>
        <w:t xml:space="preserve"> appelle les représentants de toutes les régions à faire des concessions et à parvenir à un consensus afin d</w:t>
      </w:r>
      <w:r>
        <w:rPr>
          <w:szCs w:val="24"/>
        </w:rPr>
        <w:t>'</w:t>
      </w:r>
      <w:r w:rsidRPr="00C0145A">
        <w:rPr>
          <w:szCs w:val="24"/>
        </w:rPr>
        <w:t>approuver</w:t>
      </w:r>
      <w:r>
        <w:rPr>
          <w:szCs w:val="24"/>
        </w:rPr>
        <w:t xml:space="preserve"> </w:t>
      </w:r>
      <w:r w:rsidRPr="00C0145A">
        <w:rPr>
          <w:szCs w:val="24"/>
        </w:rPr>
        <w:t>la révision de la Résolution 750</w:t>
      </w:r>
      <w:bookmarkEnd w:id="259"/>
      <w:r>
        <w:rPr>
          <w:szCs w:val="24"/>
        </w:rPr>
        <w:t>, en temps voulu</w:t>
      </w:r>
      <w:r w:rsidRPr="00C0145A">
        <w:rPr>
          <w:szCs w:val="24"/>
        </w:rPr>
        <w:t xml:space="preserve">. </w:t>
      </w:r>
      <w:bookmarkStart w:id="260" w:name="lt_pId482"/>
      <w:r w:rsidRPr="00C0145A">
        <w:rPr>
          <w:szCs w:val="24"/>
        </w:rPr>
        <w:t xml:space="preserve">Il remercie M. Tareq Al-Awadhi (Émirats arabes unis) </w:t>
      </w:r>
      <w:r w:rsidR="00E2635B">
        <w:rPr>
          <w:szCs w:val="24"/>
        </w:rPr>
        <w:t xml:space="preserve">pour sa contribution </w:t>
      </w:r>
      <w:r w:rsidRPr="00C0145A">
        <w:rPr>
          <w:szCs w:val="24"/>
        </w:rPr>
        <w:t>en ce sens.</w:t>
      </w:r>
      <w:bookmarkEnd w:id="260"/>
    </w:p>
    <w:p w14:paraId="1B3272A0" w14:textId="3C6899A7" w:rsidR="001466AA" w:rsidRPr="00C0145A" w:rsidRDefault="001466AA" w:rsidP="001466AA">
      <w:pPr>
        <w:rPr>
          <w:szCs w:val="24"/>
        </w:rPr>
      </w:pPr>
      <w:r w:rsidRPr="00C0145A">
        <w:rPr>
          <w:szCs w:val="24"/>
        </w:rPr>
        <w:t>22.2</w:t>
      </w:r>
      <w:r w:rsidRPr="00C0145A">
        <w:rPr>
          <w:szCs w:val="24"/>
        </w:rPr>
        <w:tab/>
      </w:r>
      <w:bookmarkStart w:id="261" w:name="lt_pId484"/>
      <w:r w:rsidRPr="00C0145A">
        <w:rPr>
          <w:szCs w:val="24"/>
        </w:rPr>
        <w:t xml:space="preserve">Le </w:t>
      </w:r>
      <w:r w:rsidRPr="005D623A">
        <w:rPr>
          <w:b/>
          <w:bCs/>
          <w:szCs w:val="24"/>
        </w:rPr>
        <w:t>Président</w:t>
      </w:r>
      <w:r w:rsidRPr="00C0145A">
        <w:rPr>
          <w:szCs w:val="24"/>
        </w:rPr>
        <w:t xml:space="preserve"> note qu</w:t>
      </w:r>
      <w:r>
        <w:rPr>
          <w:szCs w:val="24"/>
        </w:rPr>
        <w:t>'</w:t>
      </w:r>
      <w:r w:rsidRPr="00C0145A">
        <w:rPr>
          <w:szCs w:val="24"/>
        </w:rPr>
        <w:t>il est nécessaire de faire preuve de coopération et de flexibilité à cet égard et remercie personnellement M. Al-Awadhi pour l</w:t>
      </w:r>
      <w:r>
        <w:rPr>
          <w:szCs w:val="24"/>
        </w:rPr>
        <w:t>'</w:t>
      </w:r>
      <w:r w:rsidRPr="00C0145A">
        <w:rPr>
          <w:szCs w:val="24"/>
        </w:rPr>
        <w:t>appui fourni dans le cadre de la Conférence.</w:t>
      </w:r>
      <w:bookmarkEnd w:id="261"/>
      <w:r w:rsidRPr="00C0145A">
        <w:rPr>
          <w:szCs w:val="24"/>
        </w:rPr>
        <w:t xml:space="preserve"> </w:t>
      </w:r>
    </w:p>
    <w:p w14:paraId="0F940480" w14:textId="77777777" w:rsidR="001466AA" w:rsidRPr="005D623A" w:rsidRDefault="001466AA" w:rsidP="001466AA">
      <w:pPr>
        <w:spacing w:line="480" w:lineRule="auto"/>
        <w:rPr>
          <w:b/>
          <w:bCs/>
          <w:szCs w:val="24"/>
        </w:rPr>
      </w:pPr>
      <w:bookmarkStart w:id="262" w:name="lt_pId485"/>
      <w:bookmarkEnd w:id="198"/>
      <w:r w:rsidRPr="00643F16">
        <w:rPr>
          <w:b/>
          <w:bCs/>
          <w:color w:val="000000"/>
          <w:lang w:val="fr-CH"/>
        </w:rPr>
        <w:t>La séance est levée à 11 h 50</w:t>
      </w:r>
      <w:r w:rsidRPr="005D623A">
        <w:rPr>
          <w:b/>
          <w:bCs/>
          <w:szCs w:val="24"/>
        </w:rPr>
        <w:t>.</w:t>
      </w:r>
      <w:bookmarkEnd w:id="262"/>
    </w:p>
    <w:p w14:paraId="0140A1D9" w14:textId="2012BD02" w:rsidR="00CD785F" w:rsidRPr="00240B97" w:rsidRDefault="00CD785F" w:rsidP="00240B97">
      <w:pPr>
        <w:tabs>
          <w:tab w:val="clear" w:pos="1871"/>
          <w:tab w:val="clear" w:pos="2268"/>
          <w:tab w:val="left" w:pos="6379"/>
        </w:tabs>
        <w:spacing w:before="720"/>
        <w:rPr>
          <w:rFonts w:cstheme="minorBidi"/>
          <w:szCs w:val="22"/>
        </w:rPr>
      </w:pPr>
      <w:r w:rsidRPr="000E354C">
        <w:rPr>
          <w:rFonts w:cstheme="minorBidi"/>
          <w:szCs w:val="22"/>
        </w:rPr>
        <w:t>Le Secrétaire général:</w:t>
      </w:r>
      <w:r w:rsidRPr="000E354C">
        <w:rPr>
          <w:szCs w:val="22"/>
        </w:rPr>
        <w:tab/>
      </w:r>
      <w:r w:rsidRPr="000E354C">
        <w:rPr>
          <w:rFonts w:cstheme="minorBidi"/>
          <w:szCs w:val="22"/>
        </w:rPr>
        <w:t>Le Président:</w:t>
      </w:r>
      <w:r w:rsidRPr="000E354C">
        <w:t xml:space="preserve"> </w:t>
      </w:r>
      <w:r w:rsidR="00240B97">
        <w:br/>
      </w:r>
      <w:r w:rsidRPr="00240B97">
        <w:rPr>
          <w:rFonts w:cstheme="minorBidi"/>
          <w:szCs w:val="22"/>
        </w:rPr>
        <w:t>H. ZHAO</w:t>
      </w:r>
      <w:r w:rsidR="00EE0AD4">
        <w:rPr>
          <w:rFonts w:cstheme="minorBidi"/>
          <w:szCs w:val="22"/>
        </w:rPr>
        <w:tab/>
      </w:r>
      <w:r w:rsidRPr="00240B97">
        <w:rPr>
          <w:rFonts w:cstheme="minorBidi"/>
          <w:szCs w:val="22"/>
        </w:rPr>
        <w:tab/>
        <w:t>A. BADAWI</w:t>
      </w:r>
    </w:p>
    <w:sectPr w:rsidR="00CD785F" w:rsidRPr="00240B97">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72077" w14:textId="77777777" w:rsidR="00CD785F" w:rsidRDefault="00CD785F">
      <w:r>
        <w:separator/>
      </w:r>
    </w:p>
  </w:endnote>
  <w:endnote w:type="continuationSeparator" w:id="0">
    <w:p w14:paraId="3873F1AB" w14:textId="77777777" w:rsidR="00CD785F" w:rsidRDefault="00CD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D1B31" w14:textId="6EEDC057" w:rsidR="00936D25" w:rsidRDefault="00936D25">
    <w:pPr>
      <w:rPr>
        <w:lang w:val="en-US"/>
      </w:rPr>
    </w:pPr>
    <w:r>
      <w:fldChar w:fldCharType="begin"/>
    </w:r>
    <w:r>
      <w:rPr>
        <w:lang w:val="en-US"/>
      </w:rPr>
      <w:instrText xml:space="preserve"> FILENAME \p  \* MERGEFORMAT </w:instrText>
    </w:r>
    <w:r>
      <w:fldChar w:fldCharType="separate"/>
    </w:r>
    <w:r w:rsidR="000F25B4">
      <w:rPr>
        <w:noProof/>
        <w:lang w:val="en-US"/>
      </w:rPr>
      <w:t>P:\FRA\ITU-R\CONF-R\CMR19\500\569F.docx</w:t>
    </w:r>
    <w:r>
      <w:fldChar w:fldCharType="end"/>
    </w:r>
    <w:r>
      <w:rPr>
        <w:lang w:val="en-US"/>
      </w:rPr>
      <w:tab/>
    </w:r>
    <w:r>
      <w:fldChar w:fldCharType="begin"/>
    </w:r>
    <w:r>
      <w:instrText xml:space="preserve"> SAVEDATE \@ DD.MM.YY </w:instrText>
    </w:r>
    <w:r>
      <w:fldChar w:fldCharType="separate"/>
    </w:r>
    <w:r w:rsidR="00EE39FF">
      <w:rPr>
        <w:noProof/>
      </w:rPr>
      <w:t>17.01.20</w:t>
    </w:r>
    <w:r>
      <w:fldChar w:fldCharType="end"/>
    </w:r>
    <w:r>
      <w:rPr>
        <w:lang w:val="en-US"/>
      </w:rPr>
      <w:tab/>
    </w:r>
    <w:r>
      <w:fldChar w:fldCharType="begin"/>
    </w:r>
    <w:r>
      <w:instrText xml:space="preserve"> PRINTDATE \@ DD.MM.YY </w:instrText>
    </w:r>
    <w:r>
      <w:fldChar w:fldCharType="separate"/>
    </w:r>
    <w:r w:rsidR="000F25B4">
      <w:rPr>
        <w:noProof/>
      </w:rPr>
      <w:t>24.12.19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63" w:name="_Hlk29213709"/>
  <w:bookmarkStart w:id="264" w:name="_Hlk29213710"/>
  <w:p w14:paraId="6264F220" w14:textId="74B5B809" w:rsidR="00936D25" w:rsidRPr="00F21740" w:rsidRDefault="00F21740" w:rsidP="00F21740">
    <w:pPr>
      <w:pStyle w:val="Footer"/>
      <w:rPr>
        <w:lang w:val="en-US"/>
      </w:rPr>
    </w:pPr>
    <w:r>
      <w:fldChar w:fldCharType="begin"/>
    </w:r>
    <w:r w:rsidRPr="00F21740">
      <w:rPr>
        <w:lang w:val="en-US"/>
      </w:rPr>
      <w:instrText xml:space="preserve"> FILENAME \p  \* MERGEFORMAT </w:instrText>
    </w:r>
    <w:r>
      <w:fldChar w:fldCharType="separate"/>
    </w:r>
    <w:r w:rsidR="00163C62">
      <w:rPr>
        <w:lang w:val="en-US"/>
      </w:rPr>
      <w:t>P:\FRA\ITU-R\CONF-R\CMR19\500\569V2F.docx</w:t>
    </w:r>
    <w:r>
      <w:fldChar w:fldCharType="end"/>
    </w:r>
    <w:r w:rsidRPr="00F21740">
      <w:rPr>
        <w:lang w:val="en-US"/>
      </w:rPr>
      <w:t xml:space="preserve"> (</w:t>
    </w:r>
    <w:r>
      <w:rPr>
        <w:lang w:val="en-US"/>
      </w:rPr>
      <w:t>465568</w:t>
    </w:r>
    <w:r w:rsidRPr="00F21740">
      <w:rPr>
        <w:lang w:val="en-US"/>
      </w:rPr>
      <w:t>)</w:t>
    </w:r>
    <w:bookmarkEnd w:id="263"/>
    <w:bookmarkEnd w:id="26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A871" w14:textId="4BA9EFE1" w:rsidR="00936D25" w:rsidRPr="000F25B4" w:rsidRDefault="000F25B4" w:rsidP="000F25B4">
    <w:pPr>
      <w:pStyle w:val="Footer"/>
      <w:rPr>
        <w:lang w:val="en-US"/>
      </w:rPr>
    </w:pPr>
    <w:r>
      <w:fldChar w:fldCharType="begin"/>
    </w:r>
    <w:r w:rsidRPr="000F25B4">
      <w:rPr>
        <w:lang w:val="en-US"/>
      </w:rPr>
      <w:instrText xml:space="preserve"> FILENAME \p  \* MERGEFORMAT </w:instrText>
    </w:r>
    <w:r>
      <w:fldChar w:fldCharType="separate"/>
    </w:r>
    <w:r w:rsidR="00163C62">
      <w:rPr>
        <w:lang w:val="en-US"/>
      </w:rPr>
      <w:t>P:\FRA\ITU-R\CONF-R\CMR19\500\569V2F.docx</w:t>
    </w:r>
    <w:r>
      <w:fldChar w:fldCharType="end"/>
    </w:r>
    <w:r w:rsidRPr="000F25B4">
      <w:rPr>
        <w:lang w:val="en-US"/>
      </w:rPr>
      <w:t xml:space="preserve"> (</w:t>
    </w:r>
    <w:r>
      <w:rPr>
        <w:lang w:val="en-US"/>
      </w:rPr>
      <w:t>465568</w:t>
    </w:r>
    <w:r w:rsidRPr="000F25B4">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DEFAC" w14:textId="77777777" w:rsidR="00CD785F" w:rsidRDefault="00CD785F">
      <w:r>
        <w:rPr>
          <w:b/>
        </w:rPr>
        <w:t>_______________</w:t>
      </w:r>
    </w:p>
  </w:footnote>
  <w:footnote w:type="continuationSeparator" w:id="0">
    <w:p w14:paraId="3CEDD833" w14:textId="77777777" w:rsidR="00CD785F" w:rsidRDefault="00CD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63B4D"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60CDD79B" w14:textId="4016362D" w:rsidR="004F1F8E" w:rsidRDefault="004F1F8E" w:rsidP="00587A4E">
    <w:pPr>
      <w:pStyle w:val="Header"/>
    </w:pPr>
    <w:r>
      <w:t>CMR1</w:t>
    </w:r>
    <w:r w:rsidR="00587A4E">
      <w:t>9</w:t>
    </w:r>
    <w:r>
      <w:t>/</w:t>
    </w:r>
    <w:r w:rsidR="008A0C14">
      <w:t>5</w:t>
    </w:r>
    <w:r w:rsidR="00F21740">
      <w:t>69</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0196728"/>
    <w:multiLevelType w:val="hybridMultilevel"/>
    <w:tmpl w:val="BE3C7E6A"/>
    <w:lvl w:ilvl="0" w:tplc="E01ADA2A">
      <w:start w:val="1"/>
      <w:numFmt w:val="decimal"/>
      <w:lvlText w:val="%1"/>
      <w:lvlJc w:val="left"/>
      <w:pPr>
        <w:ind w:left="1500" w:hanging="1140"/>
      </w:pPr>
      <w:rPr>
        <w:rFonts w:hint="default"/>
      </w:rPr>
    </w:lvl>
    <w:lvl w:ilvl="1" w:tplc="07CA3B00" w:tentative="1">
      <w:start w:val="1"/>
      <w:numFmt w:val="lowerLetter"/>
      <w:lvlText w:val="%2."/>
      <w:lvlJc w:val="left"/>
      <w:pPr>
        <w:ind w:left="1440" w:hanging="360"/>
      </w:pPr>
    </w:lvl>
    <w:lvl w:ilvl="2" w:tplc="D3282376" w:tentative="1">
      <w:start w:val="1"/>
      <w:numFmt w:val="lowerRoman"/>
      <w:lvlText w:val="%3."/>
      <w:lvlJc w:val="right"/>
      <w:pPr>
        <w:ind w:left="2160" w:hanging="180"/>
      </w:pPr>
    </w:lvl>
    <w:lvl w:ilvl="3" w:tplc="B9162306" w:tentative="1">
      <w:start w:val="1"/>
      <w:numFmt w:val="decimal"/>
      <w:lvlText w:val="%4."/>
      <w:lvlJc w:val="left"/>
      <w:pPr>
        <w:ind w:left="2880" w:hanging="360"/>
      </w:pPr>
    </w:lvl>
    <w:lvl w:ilvl="4" w:tplc="E8663B30" w:tentative="1">
      <w:start w:val="1"/>
      <w:numFmt w:val="lowerLetter"/>
      <w:lvlText w:val="%5."/>
      <w:lvlJc w:val="left"/>
      <w:pPr>
        <w:ind w:left="3600" w:hanging="360"/>
      </w:pPr>
    </w:lvl>
    <w:lvl w:ilvl="5" w:tplc="EAA8D2B0" w:tentative="1">
      <w:start w:val="1"/>
      <w:numFmt w:val="lowerRoman"/>
      <w:lvlText w:val="%6."/>
      <w:lvlJc w:val="right"/>
      <w:pPr>
        <w:ind w:left="4320" w:hanging="180"/>
      </w:pPr>
    </w:lvl>
    <w:lvl w:ilvl="6" w:tplc="29B8BD22" w:tentative="1">
      <w:start w:val="1"/>
      <w:numFmt w:val="decimal"/>
      <w:lvlText w:val="%7."/>
      <w:lvlJc w:val="left"/>
      <w:pPr>
        <w:ind w:left="5040" w:hanging="360"/>
      </w:pPr>
    </w:lvl>
    <w:lvl w:ilvl="7" w:tplc="63923242" w:tentative="1">
      <w:start w:val="1"/>
      <w:numFmt w:val="lowerLetter"/>
      <w:lvlText w:val="%8."/>
      <w:lvlJc w:val="left"/>
      <w:pPr>
        <w:ind w:left="5760" w:hanging="360"/>
      </w:pPr>
    </w:lvl>
    <w:lvl w:ilvl="8" w:tplc="6A860DBA"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5F"/>
    <w:rsid w:val="00016648"/>
    <w:rsid w:val="0003522F"/>
    <w:rsid w:val="00080E2C"/>
    <w:rsid w:val="000A4755"/>
    <w:rsid w:val="000B2E0C"/>
    <w:rsid w:val="000B3D0C"/>
    <w:rsid w:val="000D2E1D"/>
    <w:rsid w:val="000E354C"/>
    <w:rsid w:val="000F25B4"/>
    <w:rsid w:val="001167B9"/>
    <w:rsid w:val="00117348"/>
    <w:rsid w:val="001267A0"/>
    <w:rsid w:val="00134655"/>
    <w:rsid w:val="001466AA"/>
    <w:rsid w:val="00160C64"/>
    <w:rsid w:val="00163C62"/>
    <w:rsid w:val="00163F0B"/>
    <w:rsid w:val="0019352B"/>
    <w:rsid w:val="001960D0"/>
    <w:rsid w:val="00200DE9"/>
    <w:rsid w:val="00222D6D"/>
    <w:rsid w:val="00232FD2"/>
    <w:rsid w:val="00240B97"/>
    <w:rsid w:val="00246BAA"/>
    <w:rsid w:val="002A4622"/>
    <w:rsid w:val="002B17E5"/>
    <w:rsid w:val="002C0EBF"/>
    <w:rsid w:val="002C5FCD"/>
    <w:rsid w:val="00315AFE"/>
    <w:rsid w:val="003606A6"/>
    <w:rsid w:val="0036650C"/>
    <w:rsid w:val="003A583E"/>
    <w:rsid w:val="003C62D8"/>
    <w:rsid w:val="003E112B"/>
    <w:rsid w:val="003E5E3D"/>
    <w:rsid w:val="00416F68"/>
    <w:rsid w:val="00457428"/>
    <w:rsid w:val="00466211"/>
    <w:rsid w:val="0048287E"/>
    <w:rsid w:val="004D01FC"/>
    <w:rsid w:val="004E28C3"/>
    <w:rsid w:val="004F1F8E"/>
    <w:rsid w:val="00567EA6"/>
    <w:rsid w:val="00584FF8"/>
    <w:rsid w:val="00586CF2"/>
    <w:rsid w:val="00587A4E"/>
    <w:rsid w:val="00593388"/>
    <w:rsid w:val="005C3768"/>
    <w:rsid w:val="005C6C3F"/>
    <w:rsid w:val="00613635"/>
    <w:rsid w:val="0062093D"/>
    <w:rsid w:val="00637ECF"/>
    <w:rsid w:val="00647B59"/>
    <w:rsid w:val="00654E39"/>
    <w:rsid w:val="006B44BD"/>
    <w:rsid w:val="006C524D"/>
    <w:rsid w:val="006F7ED6"/>
    <w:rsid w:val="00701BAE"/>
    <w:rsid w:val="00730E95"/>
    <w:rsid w:val="007418D0"/>
    <w:rsid w:val="00774362"/>
    <w:rsid w:val="007A04E8"/>
    <w:rsid w:val="007E1834"/>
    <w:rsid w:val="0084553F"/>
    <w:rsid w:val="008A0C14"/>
    <w:rsid w:val="008A3120"/>
    <w:rsid w:val="008C000E"/>
    <w:rsid w:val="008D41BE"/>
    <w:rsid w:val="008D58D3"/>
    <w:rsid w:val="00912D7F"/>
    <w:rsid w:val="00923064"/>
    <w:rsid w:val="00927AB5"/>
    <w:rsid w:val="00936D25"/>
    <w:rsid w:val="00941EA5"/>
    <w:rsid w:val="00951BFF"/>
    <w:rsid w:val="00966C16"/>
    <w:rsid w:val="009765A8"/>
    <w:rsid w:val="0098732F"/>
    <w:rsid w:val="009B41BD"/>
    <w:rsid w:val="009C7E7C"/>
    <w:rsid w:val="00A00473"/>
    <w:rsid w:val="00A03C9B"/>
    <w:rsid w:val="00A606C3"/>
    <w:rsid w:val="00A83B09"/>
    <w:rsid w:val="00A84541"/>
    <w:rsid w:val="00AD6804"/>
    <w:rsid w:val="00AE36A0"/>
    <w:rsid w:val="00B00294"/>
    <w:rsid w:val="00B02406"/>
    <w:rsid w:val="00B448AF"/>
    <w:rsid w:val="00B64FD0"/>
    <w:rsid w:val="00BE11D0"/>
    <w:rsid w:val="00BF26E7"/>
    <w:rsid w:val="00C01C69"/>
    <w:rsid w:val="00C231DE"/>
    <w:rsid w:val="00C814B9"/>
    <w:rsid w:val="00CD516F"/>
    <w:rsid w:val="00CD785F"/>
    <w:rsid w:val="00CE2C8D"/>
    <w:rsid w:val="00CE6A1C"/>
    <w:rsid w:val="00D119A7"/>
    <w:rsid w:val="00D25FBA"/>
    <w:rsid w:val="00D66EAC"/>
    <w:rsid w:val="00D730DF"/>
    <w:rsid w:val="00D772F0"/>
    <w:rsid w:val="00D77BDC"/>
    <w:rsid w:val="00D8241C"/>
    <w:rsid w:val="00DC402B"/>
    <w:rsid w:val="00DD4D67"/>
    <w:rsid w:val="00DE0932"/>
    <w:rsid w:val="00E049F1"/>
    <w:rsid w:val="00E2635B"/>
    <w:rsid w:val="00E37A25"/>
    <w:rsid w:val="00E565B5"/>
    <w:rsid w:val="00E70A31"/>
    <w:rsid w:val="00E977A2"/>
    <w:rsid w:val="00EA3F38"/>
    <w:rsid w:val="00EA5539"/>
    <w:rsid w:val="00EA5AB6"/>
    <w:rsid w:val="00EC7615"/>
    <w:rsid w:val="00ED16AA"/>
    <w:rsid w:val="00EE0AD4"/>
    <w:rsid w:val="00EE39FF"/>
    <w:rsid w:val="00EF662E"/>
    <w:rsid w:val="00F148F1"/>
    <w:rsid w:val="00F21740"/>
    <w:rsid w:val="00F9722E"/>
    <w:rsid w:val="00FA3BBF"/>
    <w:rsid w:val="00FC0101"/>
    <w:rsid w:val="00FC38FE"/>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80728B"/>
  <w15:docId w15:val="{4A0E8A4B-F175-4A02-8322-25C842FD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rsid w:val="00FC4ADC"/>
    <w:rPr>
      <w:vertAlign w:val="superscript"/>
    </w:rPr>
  </w:style>
  <w:style w:type="paragraph" w:customStyle="1" w:styleId="enumlev1">
    <w:name w:val="enumlev1"/>
    <w:basedOn w:val="Normal"/>
    <w:link w:val="enumlev1Char"/>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link w:val="FooterChar"/>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link w:val="FootnoteTextChar"/>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qFormat/>
    <w:rsid w:val="00FC4ADC"/>
    <w:pPr>
      <w:keepNext/>
      <w:spacing w:before="160"/>
    </w:pPr>
    <w:rPr>
      <w:b/>
    </w:rPr>
  </w:style>
  <w:style w:type="paragraph" w:customStyle="1" w:styleId="Headingi">
    <w:name w:val="Heading_i"/>
    <w:basedOn w:val="Normal"/>
    <w:next w:val="Normal"/>
    <w:qFormat/>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uiPriority w:val="99"/>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customStyle="1" w:styleId="FooterChar">
    <w:name w:val="Footer Char"/>
    <w:basedOn w:val="DefaultParagraphFont"/>
    <w:link w:val="Footer"/>
    <w:rsid w:val="001466AA"/>
    <w:rPr>
      <w:rFonts w:ascii="Times New Roman" w:hAnsi="Times New Roman"/>
      <w:caps/>
      <w:noProof/>
      <w:sz w:val="16"/>
      <w:lang w:val="fr-FR" w:eastAsia="en-US"/>
    </w:rPr>
  </w:style>
  <w:style w:type="character" w:customStyle="1" w:styleId="FootnoteTextChar">
    <w:name w:val="Footnote Text Char"/>
    <w:basedOn w:val="DefaultParagraphFont"/>
    <w:link w:val="FootnoteText"/>
    <w:rsid w:val="001466AA"/>
    <w:rPr>
      <w:rFonts w:ascii="Times New Roman" w:hAnsi="Times New Roman"/>
      <w:sz w:val="24"/>
      <w:lang w:val="fr-FR" w:eastAsia="en-US"/>
    </w:rPr>
  </w:style>
  <w:style w:type="paragraph" w:customStyle="1" w:styleId="Tableref">
    <w:name w:val="Table_ref"/>
    <w:basedOn w:val="Normal"/>
    <w:next w:val="Normal"/>
    <w:rsid w:val="001466AA"/>
    <w:pPr>
      <w:keepNext/>
      <w:spacing w:before="560"/>
      <w:jc w:val="center"/>
    </w:pPr>
    <w:rPr>
      <w:sz w:val="20"/>
      <w:lang w:val="en-GB"/>
    </w:rPr>
  </w:style>
  <w:style w:type="paragraph" w:customStyle="1" w:styleId="Partref">
    <w:name w:val="Part_ref"/>
    <w:basedOn w:val="Annexref"/>
    <w:next w:val="Normal"/>
    <w:rsid w:val="001466AA"/>
    <w:rPr>
      <w:lang w:val="en-GB"/>
    </w:rPr>
  </w:style>
  <w:style w:type="paragraph" w:styleId="BalloonText">
    <w:name w:val="Balloon Text"/>
    <w:basedOn w:val="Normal"/>
    <w:link w:val="BalloonTextChar"/>
    <w:semiHidden/>
    <w:unhideWhenUsed/>
    <w:rsid w:val="001466AA"/>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1466AA"/>
    <w:rPr>
      <w:rFonts w:ascii="Segoe UI" w:hAnsi="Segoe UI" w:cs="Segoe UI"/>
      <w:sz w:val="18"/>
      <w:szCs w:val="18"/>
      <w:lang w:val="en-GB" w:eastAsia="en-US"/>
    </w:rPr>
  </w:style>
  <w:style w:type="character" w:styleId="Hyperlink">
    <w:name w:val="Hyperlink"/>
    <w:basedOn w:val="DefaultParagraphFont"/>
    <w:unhideWhenUsed/>
    <w:rsid w:val="001466AA"/>
    <w:rPr>
      <w:color w:val="0000FF" w:themeColor="hyperlink"/>
      <w:u w:val="single"/>
    </w:rPr>
  </w:style>
  <w:style w:type="character" w:styleId="CommentReference">
    <w:name w:val="annotation reference"/>
    <w:basedOn w:val="DefaultParagraphFont"/>
    <w:uiPriority w:val="99"/>
    <w:semiHidden/>
    <w:unhideWhenUsed/>
    <w:rsid w:val="001466AA"/>
    <w:rPr>
      <w:sz w:val="16"/>
      <w:szCs w:val="16"/>
    </w:rPr>
  </w:style>
  <w:style w:type="paragraph" w:styleId="CommentText">
    <w:name w:val="annotation text"/>
    <w:basedOn w:val="Normal"/>
    <w:link w:val="CommentTextChar"/>
    <w:uiPriority w:val="99"/>
    <w:unhideWhenUsed/>
    <w:rsid w:val="001466AA"/>
    <w:rPr>
      <w:sz w:val="20"/>
      <w:lang w:val="en-GB"/>
    </w:rPr>
  </w:style>
  <w:style w:type="character" w:customStyle="1" w:styleId="CommentTextChar">
    <w:name w:val="Comment Text Char"/>
    <w:basedOn w:val="DefaultParagraphFont"/>
    <w:link w:val="CommentText"/>
    <w:uiPriority w:val="99"/>
    <w:rsid w:val="001466A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466AA"/>
    <w:rPr>
      <w:b/>
      <w:bCs/>
    </w:rPr>
  </w:style>
  <w:style w:type="character" w:customStyle="1" w:styleId="CommentSubjectChar">
    <w:name w:val="Comment Subject Char"/>
    <w:basedOn w:val="CommentTextChar"/>
    <w:link w:val="CommentSubject"/>
    <w:semiHidden/>
    <w:rsid w:val="001466AA"/>
    <w:rPr>
      <w:rFonts w:ascii="Times New Roman" w:hAnsi="Times New Roman"/>
      <w:b/>
      <w:bCs/>
      <w:lang w:val="en-GB" w:eastAsia="en-US"/>
    </w:rPr>
  </w:style>
  <w:style w:type="character" w:styleId="Strong">
    <w:name w:val="Strong"/>
    <w:basedOn w:val="DefaultParagraphFont"/>
    <w:uiPriority w:val="22"/>
    <w:qFormat/>
    <w:rsid w:val="001466AA"/>
    <w:rPr>
      <w:b/>
      <w:bCs/>
    </w:rPr>
  </w:style>
  <w:style w:type="character" w:customStyle="1" w:styleId="enumlev1Char">
    <w:name w:val="enumlev1 Char"/>
    <w:link w:val="enumlev1"/>
    <w:locked/>
    <w:rsid w:val="001466AA"/>
    <w:rPr>
      <w:rFonts w:ascii="Times New Roman" w:hAnsi="Times New Roman"/>
      <w:sz w:val="24"/>
      <w:lang w:val="fr-FR" w:eastAsia="en-US"/>
    </w:rPr>
  </w:style>
  <w:style w:type="table" w:styleId="GridTable1Light">
    <w:name w:val="Grid Table 1 Light"/>
    <w:basedOn w:val="TableNormal"/>
    <w:uiPriority w:val="46"/>
    <w:rsid w:val="001466A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1466AA"/>
    <w:rPr>
      <w:rFonts w:ascii="Times New Roman" w:hAnsi="Times New Roman"/>
      <w:sz w:val="24"/>
      <w:lang w:val="en-GB" w:eastAsia="en-US"/>
    </w:rPr>
  </w:style>
  <w:style w:type="paragraph" w:customStyle="1" w:styleId="HPMbodytext">
    <w:name w:val="HPMbodytext"/>
    <w:basedOn w:val="Normal"/>
    <w:rsid w:val="001466AA"/>
    <w:pPr>
      <w:tabs>
        <w:tab w:val="clear" w:pos="1134"/>
        <w:tab w:val="clear" w:pos="1871"/>
        <w:tab w:val="clear" w:pos="2268"/>
      </w:tabs>
      <w:overflowPunct/>
      <w:autoSpaceDE/>
      <w:autoSpaceDN/>
      <w:adjustRightInd/>
      <w:spacing w:after="120"/>
      <w:textAlignment w:val="auto"/>
    </w:pPr>
    <w:rPr>
      <w:rFonts w:ascii="Arial" w:eastAsia="SimSun" w:hAnsi="Arial"/>
      <w:lang w:val="en-US" w:eastAsia="zh-CN"/>
    </w:rPr>
  </w:style>
  <w:style w:type="character" w:styleId="FollowedHyperlink">
    <w:name w:val="FollowedHyperlink"/>
    <w:basedOn w:val="DefaultParagraphFont"/>
    <w:semiHidden/>
    <w:unhideWhenUsed/>
    <w:rsid w:val="00BE1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6-WRC19-C-0351/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PF_WRC19.dotx</Template>
  <TotalTime>5</TotalTime>
  <Pages>17</Pages>
  <Words>7774</Words>
  <Characters>40990</Characters>
  <Application>Microsoft Office Word</Application>
  <DocSecurity>0</DocSecurity>
  <Lines>341</Lines>
  <Paragraphs>97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48667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French</dc:creator>
  <cp:keywords/>
  <cp:lastModifiedBy>French</cp:lastModifiedBy>
  <cp:revision>3</cp:revision>
  <cp:lastPrinted>2019-12-24T10:15:00Z</cp:lastPrinted>
  <dcterms:created xsi:type="dcterms:W3CDTF">2020-01-20T08:06:00Z</dcterms:created>
  <dcterms:modified xsi:type="dcterms:W3CDTF">2020-01-20T08:22:00Z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