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361BCF" w14:paraId="4612052E" w14:textId="77777777" w:rsidTr="00174003">
        <w:trPr>
          <w:cantSplit/>
        </w:trPr>
        <w:tc>
          <w:tcPr>
            <w:tcW w:w="6911" w:type="dxa"/>
          </w:tcPr>
          <w:p w14:paraId="60F00F3E" w14:textId="77777777" w:rsidR="00C8286D" w:rsidRPr="00361BCF" w:rsidRDefault="00C8286D" w:rsidP="00C009CE">
            <w:pPr>
              <w:spacing w:before="400" w:after="48"/>
              <w:rPr>
                <w:rFonts w:ascii="Verdana" w:hAnsi="Verdana"/>
                <w:position w:val="6"/>
              </w:rPr>
            </w:pPr>
            <w:r w:rsidRPr="00361BCF">
              <w:rPr>
                <w:rFonts w:ascii="Verdana" w:hAnsi="Verdana" w:cs="Times"/>
                <w:b/>
                <w:position w:val="6"/>
                <w:sz w:val="20"/>
              </w:rPr>
              <w:t>Conferencia Mundial de Radiocomunicaciones (CMR-19)</w:t>
            </w:r>
            <w:r w:rsidRPr="00361BCF">
              <w:rPr>
                <w:rFonts w:ascii="Verdana" w:hAnsi="Verdana" w:cs="Times"/>
                <w:b/>
                <w:position w:val="6"/>
                <w:sz w:val="20"/>
              </w:rPr>
              <w:br/>
            </w:r>
            <w:r w:rsidRPr="00361BCF">
              <w:rPr>
                <w:rFonts w:ascii="Verdana" w:hAnsi="Verdana"/>
                <w:b/>
                <w:bCs/>
                <w:position w:val="6"/>
                <w:sz w:val="17"/>
                <w:szCs w:val="17"/>
              </w:rPr>
              <w:t xml:space="preserve">Sharm el-Sheikh (Egipto), 28 de octubre </w:t>
            </w:r>
            <w:r w:rsidR="009A599E" w:rsidRPr="00361BCF">
              <w:rPr>
                <w:rFonts w:ascii="Verdana" w:hAnsi="Verdana"/>
                <w:b/>
                <w:bCs/>
                <w:position w:val="6"/>
                <w:sz w:val="17"/>
                <w:szCs w:val="17"/>
              </w:rPr>
              <w:t>–</w:t>
            </w:r>
            <w:r w:rsidRPr="00361BCF">
              <w:rPr>
                <w:rFonts w:ascii="Verdana" w:hAnsi="Verdana"/>
                <w:b/>
                <w:bCs/>
                <w:position w:val="6"/>
                <w:sz w:val="17"/>
                <w:szCs w:val="17"/>
              </w:rPr>
              <w:t xml:space="preserve"> 22 de noviembre de 2019</w:t>
            </w:r>
          </w:p>
        </w:tc>
        <w:tc>
          <w:tcPr>
            <w:tcW w:w="3120" w:type="dxa"/>
          </w:tcPr>
          <w:p w14:paraId="7485A4D9" w14:textId="77777777" w:rsidR="00C8286D" w:rsidRPr="00361BCF" w:rsidRDefault="00C8286D" w:rsidP="00C009CE">
            <w:pPr>
              <w:spacing w:before="0"/>
              <w:jc w:val="right"/>
            </w:pPr>
            <w:bookmarkStart w:id="0" w:name="ditulogo"/>
            <w:bookmarkEnd w:id="0"/>
            <w:r w:rsidRPr="00361BCF">
              <w:rPr>
                <w:rFonts w:ascii="Verdana" w:hAnsi="Verdana"/>
                <w:b/>
                <w:bCs/>
                <w:noProof/>
                <w:szCs w:val="24"/>
                <w:lang w:val="en-US" w:eastAsia="zh-CN"/>
              </w:rPr>
              <w:drawing>
                <wp:inline distT="0" distB="0" distL="0" distR="0" wp14:anchorId="18C2B7AD" wp14:editId="010D363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361BCF" w14:paraId="6A5EFCA7" w14:textId="77777777" w:rsidTr="00174003">
        <w:trPr>
          <w:cantSplit/>
        </w:trPr>
        <w:tc>
          <w:tcPr>
            <w:tcW w:w="10031" w:type="dxa"/>
            <w:gridSpan w:val="2"/>
            <w:tcBorders>
              <w:bottom w:val="single" w:sz="12" w:space="0" w:color="auto"/>
            </w:tcBorders>
          </w:tcPr>
          <w:p w14:paraId="3C5D825D" w14:textId="77777777" w:rsidR="00C8286D" w:rsidRPr="00361BCF" w:rsidRDefault="00C8286D" w:rsidP="00C009CE">
            <w:pPr>
              <w:spacing w:before="0" w:after="48"/>
              <w:rPr>
                <w:rFonts w:ascii="Verdana" w:hAnsi="Verdana"/>
                <w:b/>
                <w:smallCaps/>
                <w:sz w:val="20"/>
              </w:rPr>
            </w:pPr>
            <w:bookmarkStart w:id="1" w:name="dhead"/>
          </w:p>
        </w:tc>
      </w:tr>
      <w:tr w:rsidR="00C8286D" w:rsidRPr="00361BCF" w14:paraId="6F042ADE" w14:textId="77777777" w:rsidTr="00174003">
        <w:trPr>
          <w:cantSplit/>
        </w:trPr>
        <w:tc>
          <w:tcPr>
            <w:tcW w:w="6911" w:type="dxa"/>
            <w:tcBorders>
              <w:top w:val="single" w:sz="12" w:space="0" w:color="auto"/>
            </w:tcBorders>
          </w:tcPr>
          <w:p w14:paraId="590F8ED3" w14:textId="77777777" w:rsidR="00C8286D" w:rsidRPr="00361BCF" w:rsidRDefault="00C8286D" w:rsidP="00C009CE">
            <w:pPr>
              <w:spacing w:before="0" w:after="48"/>
              <w:rPr>
                <w:rFonts w:ascii="Verdana" w:hAnsi="Verdana"/>
                <w:b/>
                <w:smallCaps/>
                <w:sz w:val="20"/>
              </w:rPr>
            </w:pPr>
          </w:p>
        </w:tc>
        <w:tc>
          <w:tcPr>
            <w:tcW w:w="3120" w:type="dxa"/>
            <w:tcBorders>
              <w:top w:val="single" w:sz="12" w:space="0" w:color="auto"/>
            </w:tcBorders>
          </w:tcPr>
          <w:p w14:paraId="44E70DAB" w14:textId="77777777" w:rsidR="00C8286D" w:rsidRPr="00361BCF" w:rsidRDefault="00C8286D" w:rsidP="00C009CE">
            <w:pPr>
              <w:spacing w:before="0"/>
              <w:rPr>
                <w:rFonts w:ascii="Verdana" w:hAnsi="Verdana"/>
                <w:sz w:val="20"/>
              </w:rPr>
            </w:pPr>
          </w:p>
        </w:tc>
      </w:tr>
      <w:tr w:rsidR="00C8286D" w:rsidRPr="00361BCF" w14:paraId="6DA8543F" w14:textId="77777777" w:rsidTr="00174003">
        <w:trPr>
          <w:cantSplit/>
          <w:trHeight w:val="23"/>
        </w:trPr>
        <w:tc>
          <w:tcPr>
            <w:tcW w:w="6911" w:type="dxa"/>
            <w:vMerge w:val="restart"/>
          </w:tcPr>
          <w:p w14:paraId="0DED6702" w14:textId="6DA602EA" w:rsidR="00C8286D" w:rsidRPr="00361BCF" w:rsidRDefault="00643C29" w:rsidP="00C009CE">
            <w:pPr>
              <w:tabs>
                <w:tab w:val="left" w:pos="851"/>
              </w:tabs>
              <w:spacing w:before="0"/>
              <w:rPr>
                <w:rFonts w:ascii="Verdana" w:hAnsi="Verdana"/>
                <w:b/>
                <w:bCs/>
                <w:sz w:val="20"/>
              </w:rPr>
            </w:pPr>
            <w:bookmarkStart w:id="2" w:name="dnum" w:colFirst="1" w:colLast="1"/>
            <w:bookmarkStart w:id="3" w:name="dmeeting" w:colFirst="0" w:colLast="0"/>
            <w:bookmarkEnd w:id="1"/>
            <w:r w:rsidRPr="00361BCF">
              <w:rPr>
                <w:rFonts w:ascii="Verdana" w:hAnsi="Verdana"/>
                <w:b/>
                <w:bCs/>
                <w:sz w:val="20"/>
              </w:rPr>
              <w:t>SESIÓN PLENARIA</w:t>
            </w:r>
          </w:p>
        </w:tc>
        <w:tc>
          <w:tcPr>
            <w:tcW w:w="3120" w:type="dxa"/>
          </w:tcPr>
          <w:p w14:paraId="679581FA" w14:textId="4E7EDF5D" w:rsidR="00C8286D" w:rsidRPr="00361BCF" w:rsidRDefault="00C8286D" w:rsidP="00C009CE">
            <w:pPr>
              <w:tabs>
                <w:tab w:val="left" w:pos="851"/>
              </w:tabs>
              <w:spacing w:before="0"/>
              <w:rPr>
                <w:rFonts w:ascii="Verdana" w:hAnsi="Verdana"/>
                <w:sz w:val="20"/>
              </w:rPr>
            </w:pPr>
            <w:r w:rsidRPr="00361BCF">
              <w:rPr>
                <w:rFonts w:ascii="Verdana" w:hAnsi="Verdana"/>
                <w:b/>
                <w:sz w:val="20"/>
              </w:rPr>
              <w:t xml:space="preserve">Documento </w:t>
            </w:r>
            <w:r w:rsidR="00711EC3" w:rsidRPr="00361BCF">
              <w:rPr>
                <w:rFonts w:ascii="Verdana" w:hAnsi="Verdana"/>
                <w:b/>
                <w:sz w:val="20"/>
              </w:rPr>
              <w:t>568</w:t>
            </w:r>
            <w:r w:rsidRPr="00361BCF">
              <w:rPr>
                <w:rFonts w:ascii="Verdana" w:hAnsi="Verdana"/>
                <w:b/>
                <w:sz w:val="20"/>
              </w:rPr>
              <w:t>-S</w:t>
            </w:r>
          </w:p>
        </w:tc>
      </w:tr>
      <w:tr w:rsidR="00C8286D" w:rsidRPr="00361BCF" w14:paraId="0EF56046" w14:textId="77777777" w:rsidTr="00174003">
        <w:trPr>
          <w:cantSplit/>
          <w:trHeight w:val="23"/>
        </w:trPr>
        <w:tc>
          <w:tcPr>
            <w:tcW w:w="6911" w:type="dxa"/>
            <w:vMerge/>
          </w:tcPr>
          <w:p w14:paraId="6DB4DB76" w14:textId="77777777" w:rsidR="00C8286D" w:rsidRPr="00361BCF" w:rsidRDefault="00C8286D" w:rsidP="00C009CE">
            <w:pPr>
              <w:tabs>
                <w:tab w:val="left" w:pos="851"/>
              </w:tabs>
              <w:rPr>
                <w:rFonts w:ascii="Verdana" w:hAnsi="Verdana"/>
                <w:b/>
                <w:sz w:val="20"/>
              </w:rPr>
            </w:pPr>
            <w:bookmarkStart w:id="4" w:name="ddate" w:colFirst="1" w:colLast="1"/>
            <w:bookmarkEnd w:id="2"/>
            <w:bookmarkEnd w:id="3"/>
          </w:p>
        </w:tc>
        <w:tc>
          <w:tcPr>
            <w:tcW w:w="3120" w:type="dxa"/>
          </w:tcPr>
          <w:p w14:paraId="4E543155" w14:textId="23F1B8A8" w:rsidR="00C8286D" w:rsidRPr="00361BCF" w:rsidRDefault="00711EC3" w:rsidP="00C009CE">
            <w:pPr>
              <w:tabs>
                <w:tab w:val="left" w:pos="993"/>
              </w:tabs>
              <w:spacing w:before="0"/>
              <w:rPr>
                <w:rFonts w:ascii="Verdana" w:hAnsi="Verdana"/>
                <w:sz w:val="20"/>
              </w:rPr>
            </w:pPr>
            <w:r w:rsidRPr="00361BCF">
              <w:rPr>
                <w:rFonts w:ascii="Verdana" w:hAnsi="Verdana"/>
                <w:b/>
                <w:sz w:val="20"/>
              </w:rPr>
              <w:t>17</w:t>
            </w:r>
            <w:r w:rsidR="00C8286D" w:rsidRPr="00361BCF">
              <w:rPr>
                <w:rFonts w:ascii="Verdana" w:hAnsi="Verdana"/>
                <w:b/>
                <w:sz w:val="20"/>
              </w:rPr>
              <w:t xml:space="preserve"> de </w:t>
            </w:r>
            <w:r w:rsidRPr="00361BCF">
              <w:rPr>
                <w:rFonts w:ascii="Verdana" w:hAnsi="Verdana"/>
                <w:b/>
                <w:sz w:val="20"/>
              </w:rPr>
              <w:t>diciembre</w:t>
            </w:r>
            <w:r w:rsidR="00C8286D" w:rsidRPr="00361BCF">
              <w:rPr>
                <w:rFonts w:ascii="Verdana" w:hAnsi="Verdana"/>
                <w:b/>
                <w:sz w:val="20"/>
              </w:rPr>
              <w:t xml:space="preserve"> de 201</w:t>
            </w:r>
            <w:r w:rsidRPr="00361BCF">
              <w:rPr>
                <w:rFonts w:ascii="Verdana" w:hAnsi="Verdana"/>
                <w:b/>
                <w:sz w:val="20"/>
              </w:rPr>
              <w:t>9</w:t>
            </w:r>
          </w:p>
        </w:tc>
      </w:tr>
      <w:tr w:rsidR="00C8286D" w:rsidRPr="00361BCF" w14:paraId="0FD184F2" w14:textId="77777777" w:rsidTr="00174003">
        <w:trPr>
          <w:cantSplit/>
          <w:trHeight w:val="23"/>
        </w:trPr>
        <w:tc>
          <w:tcPr>
            <w:tcW w:w="6911" w:type="dxa"/>
            <w:vMerge/>
          </w:tcPr>
          <w:p w14:paraId="767B2176" w14:textId="77777777" w:rsidR="00C8286D" w:rsidRPr="00361BCF" w:rsidRDefault="00C8286D" w:rsidP="00C009CE">
            <w:pPr>
              <w:tabs>
                <w:tab w:val="left" w:pos="851"/>
              </w:tabs>
              <w:rPr>
                <w:rFonts w:ascii="Verdana" w:hAnsi="Verdana"/>
                <w:b/>
                <w:sz w:val="20"/>
              </w:rPr>
            </w:pPr>
            <w:bookmarkStart w:id="5" w:name="dorlang" w:colFirst="1" w:colLast="1"/>
            <w:bookmarkEnd w:id="4"/>
          </w:p>
        </w:tc>
        <w:tc>
          <w:tcPr>
            <w:tcW w:w="3120" w:type="dxa"/>
          </w:tcPr>
          <w:p w14:paraId="6CBFA95F" w14:textId="77777777" w:rsidR="00C8286D" w:rsidRPr="00361BCF" w:rsidRDefault="00C8286D" w:rsidP="00C009CE">
            <w:pPr>
              <w:tabs>
                <w:tab w:val="left" w:pos="993"/>
              </w:tabs>
              <w:spacing w:before="0" w:after="120"/>
              <w:rPr>
                <w:rFonts w:ascii="Verdana" w:hAnsi="Verdana"/>
                <w:sz w:val="20"/>
              </w:rPr>
            </w:pPr>
            <w:r w:rsidRPr="00361BCF">
              <w:rPr>
                <w:rFonts w:ascii="Verdana" w:hAnsi="Verdana"/>
                <w:b/>
                <w:sz w:val="20"/>
              </w:rPr>
              <w:t>Original: inglés</w:t>
            </w:r>
          </w:p>
        </w:tc>
      </w:tr>
      <w:tr w:rsidR="00C8286D" w:rsidRPr="00361BCF" w14:paraId="56BDAA6A" w14:textId="77777777" w:rsidTr="00174003">
        <w:trPr>
          <w:cantSplit/>
        </w:trPr>
        <w:tc>
          <w:tcPr>
            <w:tcW w:w="10031" w:type="dxa"/>
            <w:gridSpan w:val="2"/>
          </w:tcPr>
          <w:p w14:paraId="0E17B407" w14:textId="77777777" w:rsidR="00643C29" w:rsidRPr="00361BCF" w:rsidRDefault="00643C29" w:rsidP="00C009CE">
            <w:pPr>
              <w:pStyle w:val="Title1"/>
            </w:pPr>
            <w:bookmarkStart w:id="6" w:name="dsource" w:colFirst="0" w:colLast="0"/>
            <w:bookmarkEnd w:id="5"/>
            <w:r w:rsidRPr="00361BCF">
              <w:t>ACTAS</w:t>
            </w:r>
          </w:p>
          <w:p w14:paraId="3E6227EA" w14:textId="77777777" w:rsidR="00643C29" w:rsidRPr="00361BCF" w:rsidRDefault="00643C29" w:rsidP="00C009CE">
            <w:pPr>
              <w:pStyle w:val="Title1"/>
            </w:pPr>
            <w:r w:rsidRPr="00361BCF">
              <w:t>DE LA</w:t>
            </w:r>
          </w:p>
          <w:p w14:paraId="73E5ECE3" w14:textId="69F6C947" w:rsidR="00C8286D" w:rsidRPr="00361BCF" w:rsidRDefault="00643C29" w:rsidP="00C009CE">
            <w:pPr>
              <w:pStyle w:val="Title1"/>
            </w:pPr>
            <w:r w:rsidRPr="00361BCF">
              <w:t>S</w:t>
            </w:r>
            <w:r w:rsidR="00711EC3" w:rsidRPr="00361BCF">
              <w:t>ÉPTIMA</w:t>
            </w:r>
            <w:r w:rsidRPr="00361BCF">
              <w:t xml:space="preserve"> SESIÓN PLENARIA</w:t>
            </w:r>
          </w:p>
        </w:tc>
      </w:tr>
      <w:tr w:rsidR="00C8286D" w:rsidRPr="00361BCF" w14:paraId="2EF8F85A" w14:textId="77777777" w:rsidTr="00174003">
        <w:trPr>
          <w:cantSplit/>
        </w:trPr>
        <w:tc>
          <w:tcPr>
            <w:tcW w:w="10031" w:type="dxa"/>
            <w:gridSpan w:val="2"/>
          </w:tcPr>
          <w:p w14:paraId="453F785A" w14:textId="41AEA3C4" w:rsidR="00C8286D" w:rsidRPr="00361BCF" w:rsidRDefault="00524620" w:rsidP="005F1D10">
            <w:pPr>
              <w:pStyle w:val="Normalaftertitle"/>
              <w:jc w:val="center"/>
            </w:pPr>
            <w:bookmarkStart w:id="7" w:name="dtitle1" w:colFirst="0" w:colLast="0"/>
            <w:bookmarkEnd w:id="6"/>
            <w:r w:rsidRPr="00361BCF">
              <w:t>Viernes,</w:t>
            </w:r>
            <w:r w:rsidR="00643C29" w:rsidRPr="00361BCF">
              <w:t xml:space="preserve"> 1</w:t>
            </w:r>
            <w:r w:rsidRPr="00361BCF">
              <w:t>5</w:t>
            </w:r>
            <w:r w:rsidR="00643C29" w:rsidRPr="00361BCF">
              <w:t xml:space="preserve"> de noviembre de 2019, a las 1</w:t>
            </w:r>
            <w:r w:rsidRPr="00361BCF">
              <w:t>0</w:t>
            </w:r>
            <w:r w:rsidR="00643C29" w:rsidRPr="00361BCF">
              <w:t>.</w:t>
            </w:r>
            <w:r w:rsidRPr="00361BCF">
              <w:t>5</w:t>
            </w:r>
            <w:r w:rsidR="00643C29" w:rsidRPr="00361BCF">
              <w:t>0 horas</w:t>
            </w:r>
          </w:p>
        </w:tc>
      </w:tr>
      <w:tr w:rsidR="00C8286D" w:rsidRPr="00361BCF" w14:paraId="12A22B1F" w14:textId="77777777" w:rsidTr="00174003">
        <w:trPr>
          <w:cantSplit/>
        </w:trPr>
        <w:tc>
          <w:tcPr>
            <w:tcW w:w="10031" w:type="dxa"/>
            <w:gridSpan w:val="2"/>
          </w:tcPr>
          <w:p w14:paraId="205C5E80" w14:textId="4E33FC77" w:rsidR="00C8286D" w:rsidRPr="00361BCF" w:rsidRDefault="00643C29" w:rsidP="00C009CE">
            <w:pPr>
              <w:jc w:val="center"/>
            </w:pPr>
            <w:bookmarkStart w:id="8" w:name="dtitle2" w:colFirst="0" w:colLast="0"/>
            <w:bookmarkEnd w:id="7"/>
            <w:r w:rsidRPr="00361BCF">
              <w:rPr>
                <w:b/>
                <w:bCs/>
              </w:rPr>
              <w:t>Presidente</w:t>
            </w:r>
            <w:r w:rsidRPr="00361BCF">
              <w:t>: Sr. A. BADAWI (Egipto)</w:t>
            </w:r>
          </w:p>
        </w:tc>
      </w:tr>
      <w:tr w:rsidR="00C8286D" w:rsidRPr="00361BCF" w14:paraId="737660E2" w14:textId="77777777" w:rsidTr="00174003">
        <w:trPr>
          <w:cantSplit/>
        </w:trPr>
        <w:tc>
          <w:tcPr>
            <w:tcW w:w="10031" w:type="dxa"/>
            <w:gridSpan w:val="2"/>
          </w:tcPr>
          <w:p w14:paraId="725CF6D6" w14:textId="77777777" w:rsidR="00C8286D" w:rsidRPr="00361BCF" w:rsidRDefault="00C8286D" w:rsidP="00C009CE">
            <w:pPr>
              <w:pStyle w:val="Title3"/>
            </w:pPr>
            <w:bookmarkStart w:id="9" w:name="dtitle3" w:colFirst="0" w:colLast="0"/>
            <w:bookmarkEnd w:id="8"/>
          </w:p>
        </w:tc>
      </w:tr>
      <w:bookmarkEnd w:id="9"/>
    </w:tbl>
    <w:p w14:paraId="316E53A9" w14:textId="77777777" w:rsidR="00643C29" w:rsidRPr="00361BCF" w:rsidRDefault="00643C29" w:rsidP="00C009CE"/>
    <w:tbl>
      <w:tblPr>
        <w:tblW w:w="10031" w:type="dxa"/>
        <w:tblLook w:val="0000" w:firstRow="0" w:lastRow="0" w:firstColumn="0" w:lastColumn="0" w:noHBand="0" w:noVBand="0"/>
      </w:tblPr>
      <w:tblGrid>
        <w:gridCol w:w="534"/>
        <w:gridCol w:w="7159"/>
        <w:gridCol w:w="2338"/>
      </w:tblGrid>
      <w:tr w:rsidR="00643C29" w:rsidRPr="00361BCF" w14:paraId="12C40CD4" w14:textId="77777777" w:rsidTr="00174003">
        <w:trPr>
          <w:tblHeader/>
        </w:trPr>
        <w:tc>
          <w:tcPr>
            <w:tcW w:w="534" w:type="dxa"/>
          </w:tcPr>
          <w:p w14:paraId="708C3536" w14:textId="77777777" w:rsidR="00643C29" w:rsidRPr="00361BCF" w:rsidRDefault="00643C29" w:rsidP="00C009CE">
            <w:pPr>
              <w:rPr>
                <w:b/>
              </w:rPr>
            </w:pPr>
          </w:p>
        </w:tc>
        <w:tc>
          <w:tcPr>
            <w:tcW w:w="7159" w:type="dxa"/>
          </w:tcPr>
          <w:p w14:paraId="4DE24902" w14:textId="77777777" w:rsidR="00643C29" w:rsidRPr="00361BCF" w:rsidRDefault="00643C29" w:rsidP="00C009CE">
            <w:pPr>
              <w:rPr>
                <w:b/>
              </w:rPr>
            </w:pPr>
            <w:r w:rsidRPr="00361BCF">
              <w:rPr>
                <w:b/>
              </w:rPr>
              <w:t>Asuntos tratados</w:t>
            </w:r>
          </w:p>
        </w:tc>
        <w:tc>
          <w:tcPr>
            <w:tcW w:w="2338" w:type="dxa"/>
          </w:tcPr>
          <w:p w14:paraId="7D17BD3F" w14:textId="77777777" w:rsidR="00643C29" w:rsidRPr="00361BCF" w:rsidRDefault="00643C29" w:rsidP="00C009CE">
            <w:pPr>
              <w:rPr>
                <w:b/>
              </w:rPr>
            </w:pPr>
            <w:r w:rsidRPr="00361BCF">
              <w:rPr>
                <w:b/>
              </w:rPr>
              <w:t>Documentos</w:t>
            </w:r>
          </w:p>
        </w:tc>
      </w:tr>
      <w:tr w:rsidR="00643C29" w:rsidRPr="00361BCF" w14:paraId="40B09492" w14:textId="77777777" w:rsidTr="00174003">
        <w:tc>
          <w:tcPr>
            <w:tcW w:w="534" w:type="dxa"/>
          </w:tcPr>
          <w:p w14:paraId="062CED12" w14:textId="77777777" w:rsidR="00643C29" w:rsidRPr="00361BCF" w:rsidRDefault="00643C29" w:rsidP="00C009CE">
            <w:pPr>
              <w:rPr>
                <w:bCs/>
              </w:rPr>
            </w:pPr>
            <w:r w:rsidRPr="00361BCF">
              <w:rPr>
                <w:bCs/>
              </w:rPr>
              <w:t>1</w:t>
            </w:r>
          </w:p>
        </w:tc>
        <w:tc>
          <w:tcPr>
            <w:tcW w:w="7159" w:type="dxa"/>
          </w:tcPr>
          <w:p w14:paraId="048F8D08" w14:textId="16DAD248" w:rsidR="00643C29" w:rsidRPr="00361BCF" w:rsidRDefault="00DE6045" w:rsidP="00C009CE">
            <w:pPr>
              <w:rPr>
                <w:bCs/>
              </w:rPr>
            </w:pPr>
            <w:r w:rsidRPr="00DE6045">
              <w:rPr>
                <w:bCs/>
              </w:rPr>
              <w:t>Observaciones preliminares del Presidente</w:t>
            </w:r>
          </w:p>
        </w:tc>
        <w:tc>
          <w:tcPr>
            <w:tcW w:w="2338" w:type="dxa"/>
          </w:tcPr>
          <w:p w14:paraId="122215F2" w14:textId="77777777" w:rsidR="00643C29" w:rsidRPr="00361BCF" w:rsidRDefault="00643C29" w:rsidP="00C009CE">
            <w:pPr>
              <w:jc w:val="center"/>
              <w:rPr>
                <w:bCs/>
              </w:rPr>
            </w:pPr>
            <w:r w:rsidRPr="00361BCF">
              <w:rPr>
                <w:bCs/>
              </w:rPr>
              <w:t>–</w:t>
            </w:r>
          </w:p>
        </w:tc>
      </w:tr>
      <w:tr w:rsidR="00643C29" w:rsidRPr="00361BCF" w14:paraId="4A460C85" w14:textId="77777777" w:rsidTr="00174003">
        <w:tc>
          <w:tcPr>
            <w:tcW w:w="534" w:type="dxa"/>
          </w:tcPr>
          <w:p w14:paraId="51406C98" w14:textId="77777777" w:rsidR="00643C29" w:rsidRPr="00361BCF" w:rsidRDefault="00643C29" w:rsidP="00C009CE">
            <w:pPr>
              <w:rPr>
                <w:bCs/>
              </w:rPr>
            </w:pPr>
            <w:r w:rsidRPr="00361BCF">
              <w:rPr>
                <w:bCs/>
              </w:rPr>
              <w:t>2</w:t>
            </w:r>
          </w:p>
        </w:tc>
        <w:tc>
          <w:tcPr>
            <w:tcW w:w="7159" w:type="dxa"/>
          </w:tcPr>
          <w:p w14:paraId="2F92EEF8" w14:textId="2A336B50" w:rsidR="00643C29" w:rsidRPr="00361BCF" w:rsidRDefault="00DE6045" w:rsidP="00C009CE">
            <w:pPr>
              <w:rPr>
                <w:bCs/>
              </w:rPr>
            </w:pPr>
            <w:r>
              <w:rPr>
                <w:bCs/>
              </w:rPr>
              <w:t>Últimos días de la Conferencia</w:t>
            </w:r>
          </w:p>
        </w:tc>
        <w:tc>
          <w:tcPr>
            <w:tcW w:w="2338" w:type="dxa"/>
          </w:tcPr>
          <w:p w14:paraId="32E65B37" w14:textId="51185DD4" w:rsidR="00643C29" w:rsidRPr="00361BCF" w:rsidRDefault="00806CCB" w:rsidP="00C009CE">
            <w:pPr>
              <w:jc w:val="center"/>
              <w:rPr>
                <w:b/>
                <w:bCs/>
              </w:rPr>
            </w:pPr>
            <w:r w:rsidRPr="00361BCF">
              <w:rPr>
                <w:bCs/>
              </w:rPr>
              <w:t>316</w:t>
            </w:r>
          </w:p>
        </w:tc>
      </w:tr>
      <w:tr w:rsidR="00643C29" w:rsidRPr="00361BCF" w14:paraId="59F6F35E" w14:textId="77777777" w:rsidTr="00174003">
        <w:tc>
          <w:tcPr>
            <w:tcW w:w="534" w:type="dxa"/>
          </w:tcPr>
          <w:p w14:paraId="7C5B255A" w14:textId="77777777" w:rsidR="00643C29" w:rsidRPr="00361BCF" w:rsidRDefault="00643C29" w:rsidP="00C009CE">
            <w:pPr>
              <w:rPr>
                <w:bCs/>
              </w:rPr>
            </w:pPr>
            <w:r w:rsidRPr="00361BCF">
              <w:rPr>
                <w:bCs/>
              </w:rPr>
              <w:t>3</w:t>
            </w:r>
          </w:p>
        </w:tc>
        <w:tc>
          <w:tcPr>
            <w:tcW w:w="7159" w:type="dxa"/>
          </w:tcPr>
          <w:p w14:paraId="4FB4E222" w14:textId="5F5F4F8F" w:rsidR="00643C29" w:rsidRPr="00361BCF" w:rsidRDefault="00806CCB" w:rsidP="00C009CE">
            <w:pPr>
              <w:rPr>
                <w:bCs/>
              </w:rPr>
            </w:pPr>
            <w:r w:rsidRPr="00361BCF">
              <w:t xml:space="preserve">Informes orales de los Presidentes de las Comisiones y de la Presidenta del Grupo </w:t>
            </w:r>
            <w:r w:rsidRPr="005F1D10">
              <w:rPr>
                <w:i/>
                <w:iCs/>
              </w:rPr>
              <w:t>ad hoc</w:t>
            </w:r>
            <w:r w:rsidRPr="00361BCF">
              <w:t xml:space="preserve"> de la Plenaria</w:t>
            </w:r>
          </w:p>
        </w:tc>
        <w:tc>
          <w:tcPr>
            <w:tcW w:w="2338" w:type="dxa"/>
          </w:tcPr>
          <w:p w14:paraId="695416AE" w14:textId="55FEAC63" w:rsidR="00643C29" w:rsidRPr="00361BCF" w:rsidRDefault="00806CCB" w:rsidP="00C009CE">
            <w:pPr>
              <w:jc w:val="center"/>
            </w:pPr>
            <w:r w:rsidRPr="00361BCF">
              <w:t>–</w:t>
            </w:r>
          </w:p>
        </w:tc>
      </w:tr>
      <w:tr w:rsidR="00643C29" w:rsidRPr="00361BCF" w14:paraId="6B59D144" w14:textId="77777777" w:rsidTr="00174003">
        <w:tc>
          <w:tcPr>
            <w:tcW w:w="534" w:type="dxa"/>
          </w:tcPr>
          <w:p w14:paraId="71E33509" w14:textId="77777777" w:rsidR="00643C29" w:rsidRPr="00361BCF" w:rsidRDefault="00643C29" w:rsidP="00C009CE">
            <w:r w:rsidRPr="00361BCF">
              <w:t>4</w:t>
            </w:r>
          </w:p>
        </w:tc>
        <w:tc>
          <w:tcPr>
            <w:tcW w:w="7159" w:type="dxa"/>
          </w:tcPr>
          <w:p w14:paraId="34769CF2" w14:textId="7210E7CA" w:rsidR="00643C29" w:rsidRPr="00361BCF" w:rsidRDefault="00806CCB" w:rsidP="00C009CE">
            <w:r w:rsidRPr="00361BCF">
              <w:t>Documentos para aprobación</w:t>
            </w:r>
          </w:p>
        </w:tc>
        <w:tc>
          <w:tcPr>
            <w:tcW w:w="2338" w:type="dxa"/>
          </w:tcPr>
          <w:p w14:paraId="456FC15C" w14:textId="592C4619" w:rsidR="00643C29" w:rsidRPr="00361BCF" w:rsidRDefault="00806CCB" w:rsidP="00C009CE">
            <w:pPr>
              <w:jc w:val="center"/>
            </w:pPr>
            <w:r w:rsidRPr="00361BCF">
              <w:t xml:space="preserve">303, 338, </w:t>
            </w:r>
            <w:r w:rsidR="00E30532">
              <w:br/>
            </w:r>
            <w:r w:rsidRPr="00361BCF">
              <w:t>339, 341</w:t>
            </w:r>
          </w:p>
        </w:tc>
      </w:tr>
      <w:tr w:rsidR="00643C29" w:rsidRPr="00361BCF" w14:paraId="21BD7CFF" w14:textId="77777777" w:rsidTr="00174003">
        <w:tc>
          <w:tcPr>
            <w:tcW w:w="534" w:type="dxa"/>
          </w:tcPr>
          <w:p w14:paraId="6FBE1EA7" w14:textId="77777777" w:rsidR="00643C29" w:rsidRPr="00361BCF" w:rsidRDefault="00643C29" w:rsidP="00C009CE">
            <w:r w:rsidRPr="00361BCF">
              <w:t>5</w:t>
            </w:r>
          </w:p>
        </w:tc>
        <w:tc>
          <w:tcPr>
            <w:tcW w:w="7159" w:type="dxa"/>
          </w:tcPr>
          <w:p w14:paraId="6BAADDBC" w14:textId="2DE9244A" w:rsidR="00643C29" w:rsidRPr="00361BCF" w:rsidRDefault="00711EC3" w:rsidP="00C009CE">
            <w:r w:rsidRPr="00361BCF">
              <w:t>Vigésima serie de textos sometidos por la Comisión de Redacción en primera lectura (B20)</w:t>
            </w:r>
          </w:p>
        </w:tc>
        <w:tc>
          <w:tcPr>
            <w:tcW w:w="2338" w:type="dxa"/>
          </w:tcPr>
          <w:p w14:paraId="150952E3" w14:textId="3704232E" w:rsidR="00643C29" w:rsidRPr="00361BCF" w:rsidRDefault="00806CCB" w:rsidP="00C009CE">
            <w:pPr>
              <w:jc w:val="center"/>
            </w:pPr>
            <w:r w:rsidRPr="00361BCF">
              <w:t>324</w:t>
            </w:r>
          </w:p>
        </w:tc>
      </w:tr>
      <w:tr w:rsidR="00643C29" w:rsidRPr="00361BCF" w14:paraId="047EB50C" w14:textId="77777777" w:rsidTr="00174003">
        <w:tc>
          <w:tcPr>
            <w:tcW w:w="534" w:type="dxa"/>
          </w:tcPr>
          <w:p w14:paraId="7D7114C1" w14:textId="77777777" w:rsidR="00643C29" w:rsidRPr="00361BCF" w:rsidRDefault="00643C29" w:rsidP="00C009CE">
            <w:r w:rsidRPr="00361BCF">
              <w:t>6</w:t>
            </w:r>
          </w:p>
        </w:tc>
        <w:tc>
          <w:tcPr>
            <w:tcW w:w="7159" w:type="dxa"/>
          </w:tcPr>
          <w:p w14:paraId="7636334F" w14:textId="25992254" w:rsidR="00643C29" w:rsidRPr="00361BCF" w:rsidRDefault="00711EC3" w:rsidP="00C009CE">
            <w:r w:rsidRPr="00361BCF">
              <w:t>Vigésima serie de textos sometidos por la Comisión de Redacción (B20) – segunda lectura</w:t>
            </w:r>
          </w:p>
        </w:tc>
        <w:tc>
          <w:tcPr>
            <w:tcW w:w="2338" w:type="dxa"/>
          </w:tcPr>
          <w:p w14:paraId="185B6001" w14:textId="6C3BF09C" w:rsidR="00643C29" w:rsidRPr="00361BCF" w:rsidRDefault="00711EC3" w:rsidP="00C009CE">
            <w:pPr>
              <w:jc w:val="center"/>
            </w:pPr>
            <w:r w:rsidRPr="00361BCF">
              <w:t>324</w:t>
            </w:r>
          </w:p>
        </w:tc>
      </w:tr>
      <w:tr w:rsidR="00643C29" w:rsidRPr="00361BCF" w14:paraId="6EB9B09B" w14:textId="77777777" w:rsidTr="00174003">
        <w:tc>
          <w:tcPr>
            <w:tcW w:w="534" w:type="dxa"/>
          </w:tcPr>
          <w:p w14:paraId="0BF4470F" w14:textId="77777777" w:rsidR="00643C29" w:rsidRPr="00361BCF" w:rsidRDefault="00643C29" w:rsidP="00C009CE">
            <w:r w:rsidRPr="00361BCF">
              <w:t>7</w:t>
            </w:r>
          </w:p>
        </w:tc>
        <w:tc>
          <w:tcPr>
            <w:tcW w:w="7159" w:type="dxa"/>
          </w:tcPr>
          <w:p w14:paraId="3556B8AE" w14:textId="5F3DCA58" w:rsidR="00643C29" w:rsidRPr="00361BCF" w:rsidRDefault="00711EC3" w:rsidP="00C009CE">
            <w:r w:rsidRPr="00361BCF">
              <w:t>Vigésima primera serie de textos sometidos por la Comisión de Redacción en primera lectura (B21)</w:t>
            </w:r>
          </w:p>
        </w:tc>
        <w:tc>
          <w:tcPr>
            <w:tcW w:w="2338" w:type="dxa"/>
          </w:tcPr>
          <w:p w14:paraId="5AF7C7D2" w14:textId="400E83B7" w:rsidR="00643C29" w:rsidRPr="00361BCF" w:rsidRDefault="00711EC3" w:rsidP="00C009CE">
            <w:pPr>
              <w:jc w:val="center"/>
            </w:pPr>
            <w:r w:rsidRPr="00361BCF">
              <w:t>325</w:t>
            </w:r>
          </w:p>
        </w:tc>
      </w:tr>
      <w:tr w:rsidR="00643C29" w:rsidRPr="00361BCF" w14:paraId="189D6D5D" w14:textId="77777777" w:rsidTr="00174003">
        <w:tc>
          <w:tcPr>
            <w:tcW w:w="534" w:type="dxa"/>
          </w:tcPr>
          <w:p w14:paraId="64B92B09" w14:textId="77777777" w:rsidR="00643C29" w:rsidRPr="00361BCF" w:rsidRDefault="00643C29" w:rsidP="00C009CE">
            <w:r w:rsidRPr="00361BCF">
              <w:t>8</w:t>
            </w:r>
          </w:p>
        </w:tc>
        <w:tc>
          <w:tcPr>
            <w:tcW w:w="7159" w:type="dxa"/>
          </w:tcPr>
          <w:p w14:paraId="2EB4D482" w14:textId="25D3BED9" w:rsidR="00643C29" w:rsidRPr="00361BCF" w:rsidRDefault="00711EC3" w:rsidP="00C009CE">
            <w:r w:rsidRPr="00361BCF">
              <w:t>Vigésima primera serie de textos sometidos por la Comisión de Redacción (B21) – segunda lectura</w:t>
            </w:r>
          </w:p>
        </w:tc>
        <w:tc>
          <w:tcPr>
            <w:tcW w:w="2338" w:type="dxa"/>
          </w:tcPr>
          <w:p w14:paraId="6A4949B4" w14:textId="3487A9F3" w:rsidR="00643C29" w:rsidRPr="00361BCF" w:rsidRDefault="00711EC3" w:rsidP="00C009CE">
            <w:pPr>
              <w:jc w:val="center"/>
            </w:pPr>
            <w:r w:rsidRPr="00361BCF">
              <w:t>325</w:t>
            </w:r>
          </w:p>
        </w:tc>
      </w:tr>
      <w:tr w:rsidR="00643C29" w:rsidRPr="00361BCF" w14:paraId="015651ED" w14:textId="77777777" w:rsidTr="00174003">
        <w:tc>
          <w:tcPr>
            <w:tcW w:w="534" w:type="dxa"/>
          </w:tcPr>
          <w:p w14:paraId="6A793CA2" w14:textId="77777777" w:rsidR="00643C29" w:rsidRPr="00361BCF" w:rsidRDefault="00643C29" w:rsidP="00C009CE">
            <w:r w:rsidRPr="00361BCF">
              <w:t>9</w:t>
            </w:r>
          </w:p>
        </w:tc>
        <w:tc>
          <w:tcPr>
            <w:tcW w:w="7159" w:type="dxa"/>
          </w:tcPr>
          <w:p w14:paraId="4818075D" w14:textId="0BC3B2EA" w:rsidR="00643C29" w:rsidRPr="00361BCF" w:rsidRDefault="00711EC3" w:rsidP="00C009CE">
            <w:r w:rsidRPr="00361BCF">
              <w:t>Vigésima tercera serie de textos sometidos por la Comisión de Redacción en primera lectura (B23)</w:t>
            </w:r>
          </w:p>
        </w:tc>
        <w:tc>
          <w:tcPr>
            <w:tcW w:w="2338" w:type="dxa"/>
          </w:tcPr>
          <w:p w14:paraId="5CDF65EE" w14:textId="72307349" w:rsidR="00643C29" w:rsidRPr="00361BCF" w:rsidRDefault="00711EC3" w:rsidP="00C009CE">
            <w:pPr>
              <w:jc w:val="center"/>
            </w:pPr>
            <w:r w:rsidRPr="00361BCF">
              <w:t>327</w:t>
            </w:r>
          </w:p>
        </w:tc>
      </w:tr>
      <w:tr w:rsidR="00643C29" w:rsidRPr="00361BCF" w14:paraId="5500F8BB" w14:textId="77777777" w:rsidTr="00174003">
        <w:tc>
          <w:tcPr>
            <w:tcW w:w="534" w:type="dxa"/>
          </w:tcPr>
          <w:p w14:paraId="6791AB3D" w14:textId="77777777" w:rsidR="00643C29" w:rsidRPr="00361BCF" w:rsidRDefault="00643C29" w:rsidP="00C009CE">
            <w:r w:rsidRPr="00361BCF">
              <w:t>10</w:t>
            </w:r>
          </w:p>
        </w:tc>
        <w:tc>
          <w:tcPr>
            <w:tcW w:w="7159" w:type="dxa"/>
          </w:tcPr>
          <w:p w14:paraId="5A634190" w14:textId="119FBCF5" w:rsidR="00643C29" w:rsidRPr="00361BCF" w:rsidRDefault="00711EC3" w:rsidP="00C009CE">
            <w:r w:rsidRPr="00361BCF">
              <w:t>Vigésima cuarta serie de textos sometidos por la Comisión de Redacción en primera lectura (B24)</w:t>
            </w:r>
          </w:p>
        </w:tc>
        <w:tc>
          <w:tcPr>
            <w:tcW w:w="2338" w:type="dxa"/>
          </w:tcPr>
          <w:p w14:paraId="2CD72707" w14:textId="7B29FC3C" w:rsidR="00643C29" w:rsidRPr="00361BCF" w:rsidRDefault="00711EC3" w:rsidP="00C009CE">
            <w:pPr>
              <w:jc w:val="center"/>
            </w:pPr>
            <w:r w:rsidRPr="00361BCF">
              <w:t>328</w:t>
            </w:r>
          </w:p>
        </w:tc>
      </w:tr>
      <w:tr w:rsidR="00643C29" w:rsidRPr="00361BCF" w14:paraId="7CBD254D" w14:textId="77777777" w:rsidTr="00174003">
        <w:tc>
          <w:tcPr>
            <w:tcW w:w="534" w:type="dxa"/>
          </w:tcPr>
          <w:p w14:paraId="2152F8D3" w14:textId="77777777" w:rsidR="00643C29" w:rsidRPr="00361BCF" w:rsidRDefault="00643C29" w:rsidP="00C009CE">
            <w:r w:rsidRPr="00361BCF">
              <w:t>11</w:t>
            </w:r>
          </w:p>
        </w:tc>
        <w:tc>
          <w:tcPr>
            <w:tcW w:w="7159" w:type="dxa"/>
          </w:tcPr>
          <w:p w14:paraId="072076CB" w14:textId="56DC67B3" w:rsidR="00643C29" w:rsidRPr="00361BCF" w:rsidRDefault="00711EC3" w:rsidP="00C009CE">
            <w:r w:rsidRPr="00361BCF">
              <w:t>Vigésima quinta serie de textos sometidos por la Comisión de Redacción en primera lectura (B25)</w:t>
            </w:r>
          </w:p>
        </w:tc>
        <w:tc>
          <w:tcPr>
            <w:tcW w:w="2338" w:type="dxa"/>
          </w:tcPr>
          <w:p w14:paraId="037A0FCF" w14:textId="3FDF4965" w:rsidR="00643C29" w:rsidRPr="00361BCF" w:rsidRDefault="00711EC3" w:rsidP="00C009CE">
            <w:pPr>
              <w:jc w:val="center"/>
            </w:pPr>
            <w:r w:rsidRPr="00361BCF">
              <w:t>332</w:t>
            </w:r>
          </w:p>
        </w:tc>
      </w:tr>
      <w:tr w:rsidR="00643C29" w:rsidRPr="00361BCF" w14:paraId="52595955" w14:textId="77777777" w:rsidTr="00174003">
        <w:tc>
          <w:tcPr>
            <w:tcW w:w="534" w:type="dxa"/>
          </w:tcPr>
          <w:p w14:paraId="7F4D0882" w14:textId="77777777" w:rsidR="00643C29" w:rsidRPr="00361BCF" w:rsidRDefault="00643C29" w:rsidP="00C009CE">
            <w:r w:rsidRPr="00361BCF">
              <w:t>12</w:t>
            </w:r>
          </w:p>
        </w:tc>
        <w:tc>
          <w:tcPr>
            <w:tcW w:w="7159" w:type="dxa"/>
          </w:tcPr>
          <w:p w14:paraId="494C6813" w14:textId="5088F273" w:rsidR="00643C29" w:rsidRPr="00361BCF" w:rsidRDefault="00711EC3" w:rsidP="00C009CE">
            <w:r w:rsidRPr="00361BCF">
              <w:t>Vigésima quinta serie de textos sometidos por la Comisión de Redacción (B25) – segunda lectura</w:t>
            </w:r>
          </w:p>
        </w:tc>
        <w:tc>
          <w:tcPr>
            <w:tcW w:w="2338" w:type="dxa"/>
          </w:tcPr>
          <w:p w14:paraId="13417CB1" w14:textId="46F35BDF" w:rsidR="00643C29" w:rsidRPr="00361BCF" w:rsidRDefault="00711EC3" w:rsidP="00C009CE">
            <w:pPr>
              <w:jc w:val="center"/>
            </w:pPr>
            <w:r w:rsidRPr="00361BCF">
              <w:t>332</w:t>
            </w:r>
          </w:p>
        </w:tc>
      </w:tr>
      <w:tr w:rsidR="00643C29" w:rsidRPr="00361BCF" w14:paraId="4CA4EA78" w14:textId="77777777" w:rsidTr="00174003">
        <w:tc>
          <w:tcPr>
            <w:tcW w:w="534" w:type="dxa"/>
          </w:tcPr>
          <w:p w14:paraId="48C4F336" w14:textId="77777777" w:rsidR="00643C29" w:rsidRPr="00361BCF" w:rsidRDefault="00643C29" w:rsidP="00C009CE">
            <w:r w:rsidRPr="00361BCF">
              <w:t>13</w:t>
            </w:r>
          </w:p>
        </w:tc>
        <w:tc>
          <w:tcPr>
            <w:tcW w:w="7159" w:type="dxa"/>
          </w:tcPr>
          <w:p w14:paraId="46B33695" w14:textId="5E9FCBDF" w:rsidR="00643C29" w:rsidRPr="00361BCF" w:rsidRDefault="00711EC3" w:rsidP="00C009CE">
            <w:r w:rsidRPr="00361BCF">
              <w:t>Propuesta para los trabajos de la Conferencia</w:t>
            </w:r>
          </w:p>
        </w:tc>
        <w:tc>
          <w:tcPr>
            <w:tcW w:w="2338" w:type="dxa"/>
          </w:tcPr>
          <w:p w14:paraId="6441D568" w14:textId="5BDD6CC9" w:rsidR="00643C29" w:rsidRPr="00361BCF" w:rsidRDefault="00711EC3" w:rsidP="00C009CE">
            <w:pPr>
              <w:jc w:val="center"/>
            </w:pPr>
            <w:r w:rsidRPr="00361BCF">
              <w:t>238</w:t>
            </w:r>
          </w:p>
        </w:tc>
      </w:tr>
    </w:tbl>
    <w:p w14:paraId="536E1019" w14:textId="6F1F7886" w:rsidR="00643C29" w:rsidRPr="00361BCF" w:rsidRDefault="00643C29" w:rsidP="00C009CE">
      <w:pPr>
        <w:pStyle w:val="Heading1"/>
      </w:pPr>
      <w:r w:rsidRPr="00361BCF">
        <w:lastRenderedPageBreak/>
        <w:t>1</w:t>
      </w:r>
      <w:r w:rsidRPr="00361BCF">
        <w:tab/>
      </w:r>
      <w:bookmarkStart w:id="10" w:name="lt_pId056"/>
      <w:r w:rsidR="00DE6045">
        <w:t>Observaciones preliminares</w:t>
      </w:r>
      <w:r w:rsidR="00330398" w:rsidRPr="00361BCF">
        <w:t xml:space="preserve"> del P</w:t>
      </w:r>
      <w:r w:rsidR="00D758D8" w:rsidRPr="00361BCF">
        <w:t>r</w:t>
      </w:r>
      <w:r w:rsidR="00330398" w:rsidRPr="00361BCF">
        <w:t>esidente</w:t>
      </w:r>
      <w:bookmarkEnd w:id="10"/>
    </w:p>
    <w:p w14:paraId="406C7CED" w14:textId="5F34BA8E" w:rsidR="00643C29" w:rsidRPr="00361BCF" w:rsidRDefault="00643C29" w:rsidP="00C009CE">
      <w:r w:rsidRPr="00361BCF">
        <w:t>1.1</w:t>
      </w:r>
      <w:r w:rsidRPr="00361BCF">
        <w:tab/>
      </w:r>
      <w:bookmarkStart w:id="11" w:name="lt_pId059"/>
      <w:r w:rsidR="009A035A" w:rsidRPr="00361BCF">
        <w:t xml:space="preserve">El Presidente </w:t>
      </w:r>
      <w:r w:rsidR="009A035A" w:rsidRPr="00361BCF">
        <w:rPr>
          <w:b/>
          <w:bCs/>
        </w:rPr>
        <w:t>agradec</w:t>
      </w:r>
      <w:r w:rsidR="005131AE" w:rsidRPr="00361BCF">
        <w:rPr>
          <w:b/>
          <w:bCs/>
        </w:rPr>
        <w:t>e</w:t>
      </w:r>
      <w:r w:rsidR="009A035A" w:rsidRPr="00361BCF">
        <w:rPr>
          <w:b/>
          <w:bCs/>
        </w:rPr>
        <w:t xml:space="preserve"> </w:t>
      </w:r>
      <w:r w:rsidR="009A035A" w:rsidRPr="00361BCF">
        <w:t xml:space="preserve">a los delegados sus trabajos y </w:t>
      </w:r>
      <w:r w:rsidR="00155EF3" w:rsidRPr="00361BCF">
        <w:t xml:space="preserve">manifiesta </w:t>
      </w:r>
      <w:r w:rsidR="009A035A" w:rsidRPr="00361BCF">
        <w:t xml:space="preserve">su reconocimiento por haber concluido las deliberaciones sobre determinados </w:t>
      </w:r>
      <w:r w:rsidR="005131AE" w:rsidRPr="00361BCF">
        <w:t>puntos del orden del día</w:t>
      </w:r>
      <w:r w:rsidR="009A035A" w:rsidRPr="00361BCF">
        <w:t xml:space="preserve">. No obstante, </w:t>
      </w:r>
      <w:r w:rsidR="005131AE" w:rsidRPr="00361BCF">
        <w:t>inst</w:t>
      </w:r>
      <w:r w:rsidR="00155EF3" w:rsidRPr="00361BCF">
        <w:t>a</w:t>
      </w:r>
      <w:r w:rsidR="005131AE" w:rsidRPr="00361BCF">
        <w:t xml:space="preserve"> </w:t>
      </w:r>
      <w:r w:rsidR="009A035A" w:rsidRPr="00361BCF">
        <w:t>a los delegados a adoptar un enfoque más flexible a fin de lograr un consenso sobre los temas pendientes</w:t>
      </w:r>
      <w:r w:rsidRPr="00361BCF">
        <w:t>.</w:t>
      </w:r>
      <w:bookmarkEnd w:id="11"/>
    </w:p>
    <w:p w14:paraId="1D0174E1" w14:textId="224AB4D9" w:rsidR="00643C29" w:rsidRPr="00361BCF" w:rsidRDefault="00643C29" w:rsidP="00C009CE">
      <w:pPr>
        <w:pStyle w:val="Heading1"/>
      </w:pPr>
      <w:r w:rsidRPr="00361BCF">
        <w:t>2</w:t>
      </w:r>
      <w:r w:rsidRPr="00361BCF">
        <w:tab/>
      </w:r>
      <w:bookmarkStart w:id="12" w:name="lt_pId061"/>
      <w:r w:rsidR="00155EF3" w:rsidRPr="00361BCF">
        <w:t xml:space="preserve">Últimos días de la Conferencia </w:t>
      </w:r>
      <w:r w:rsidRPr="00361BCF">
        <w:t>(Document</w:t>
      </w:r>
      <w:r w:rsidR="00155EF3" w:rsidRPr="00361BCF">
        <w:t>o</w:t>
      </w:r>
      <w:r w:rsidRPr="00361BCF">
        <w:t xml:space="preserve"> 316)</w:t>
      </w:r>
      <w:bookmarkEnd w:id="12"/>
    </w:p>
    <w:p w14:paraId="27422310" w14:textId="05D21E35" w:rsidR="00B02934" w:rsidRPr="00B70746" w:rsidRDefault="00643C29" w:rsidP="00C009CE">
      <w:pPr>
        <w:rPr>
          <w:bCs/>
        </w:rPr>
      </w:pPr>
      <w:r w:rsidRPr="00361BCF">
        <w:t>2.1</w:t>
      </w:r>
      <w:r w:rsidRPr="00361BCF">
        <w:tab/>
      </w:r>
      <w:r w:rsidR="00721F9D">
        <w:t>La</w:t>
      </w:r>
      <w:r w:rsidR="00B02934" w:rsidRPr="00361BCF">
        <w:t xml:space="preserve"> </w:t>
      </w:r>
      <w:r w:rsidR="00B02934" w:rsidRPr="00361BCF">
        <w:rPr>
          <w:b/>
          <w:bCs/>
        </w:rPr>
        <w:t>Secretari</w:t>
      </w:r>
      <w:r w:rsidR="00721F9D">
        <w:rPr>
          <w:b/>
          <w:bCs/>
        </w:rPr>
        <w:t>a</w:t>
      </w:r>
      <w:r w:rsidR="00B02934" w:rsidRPr="00361BCF">
        <w:rPr>
          <w:b/>
          <w:bCs/>
        </w:rPr>
        <w:t xml:space="preserve"> de la Plenaria</w:t>
      </w:r>
      <w:r w:rsidR="00B02934" w:rsidRPr="00361BCF">
        <w:t xml:space="preserve"> </w:t>
      </w:r>
      <w:r w:rsidR="00912BEC" w:rsidRPr="00361BCF">
        <w:t xml:space="preserve">presenta el </w:t>
      </w:r>
      <w:r w:rsidR="00B02934" w:rsidRPr="00361BCF">
        <w:t>Documento 3</w:t>
      </w:r>
      <w:r w:rsidR="00912BEC" w:rsidRPr="00361BCF">
        <w:t>16</w:t>
      </w:r>
      <w:r w:rsidR="00B02934" w:rsidRPr="00361BCF">
        <w:t xml:space="preserve"> relativ</w:t>
      </w:r>
      <w:r w:rsidR="00912BEC" w:rsidRPr="00361BCF">
        <w:t>o</w:t>
      </w:r>
      <w:r w:rsidR="00B02934" w:rsidRPr="00361BCF">
        <w:t xml:space="preserve"> a la distribución de las Actas Finales Provisionales, la presentación de declaraciones y reservas, y la ceremonia de firma</w:t>
      </w:r>
      <w:r w:rsidR="00BA54F4" w:rsidRPr="00361BCF">
        <w:t xml:space="preserve">. </w:t>
      </w:r>
      <w:r w:rsidR="00AD35AE" w:rsidRPr="00361BCF">
        <w:t xml:space="preserve">El anexo a dicho Documento </w:t>
      </w:r>
      <w:r w:rsidR="00AC2CE6" w:rsidRPr="00361BCF">
        <w:t>c</w:t>
      </w:r>
      <w:r w:rsidR="00AD35AE" w:rsidRPr="00361BCF">
        <w:t>ontiene el proyecto de calendario para los últimos días de la</w:t>
      </w:r>
      <w:r w:rsidR="00B70746">
        <w:t> </w:t>
      </w:r>
      <w:r w:rsidR="00AD35AE" w:rsidRPr="00361BCF">
        <w:t xml:space="preserve">CMR-19, cuyos plazos </w:t>
      </w:r>
      <w:r w:rsidR="007F49FD" w:rsidRPr="00361BCF">
        <w:t>podrían</w:t>
      </w:r>
      <w:r w:rsidR="00AD35AE" w:rsidRPr="00361BCF">
        <w:t xml:space="preserve"> modificarse en función de</w:t>
      </w:r>
      <w:r w:rsidR="007F49FD" w:rsidRPr="00361BCF">
        <w:t xml:space="preserve"> cómo</w:t>
      </w:r>
      <w:r w:rsidR="00AD35AE" w:rsidRPr="00361BCF">
        <w:t xml:space="preserve"> avance de la Conferencia.</w:t>
      </w:r>
    </w:p>
    <w:p w14:paraId="455F4E59" w14:textId="0DF8C054" w:rsidR="00643C29" w:rsidRPr="00361BCF" w:rsidRDefault="00643C29" w:rsidP="00C009CE">
      <w:r w:rsidRPr="00361BCF">
        <w:t>2.2</w:t>
      </w:r>
      <w:r w:rsidRPr="00361BCF">
        <w:tab/>
      </w:r>
      <w:bookmarkStart w:id="13" w:name="lt_pId066"/>
      <w:r w:rsidR="009412C3" w:rsidRPr="00361BCF">
        <w:t xml:space="preserve">Se </w:t>
      </w:r>
      <w:r w:rsidR="009412C3" w:rsidRPr="00361BCF">
        <w:rPr>
          <w:b/>
          <w:bCs/>
        </w:rPr>
        <w:t>toma nota</w:t>
      </w:r>
      <w:r w:rsidR="009412C3" w:rsidRPr="00361BCF">
        <w:t xml:space="preserve"> del </w:t>
      </w:r>
      <w:r w:rsidRPr="00361BCF">
        <w:t>Document</w:t>
      </w:r>
      <w:r w:rsidR="009412C3" w:rsidRPr="00361BCF">
        <w:t>o</w:t>
      </w:r>
      <w:r w:rsidRPr="00361BCF">
        <w:t xml:space="preserve"> 316.</w:t>
      </w:r>
      <w:bookmarkEnd w:id="13"/>
    </w:p>
    <w:p w14:paraId="66B99FE9" w14:textId="6895D54F" w:rsidR="00524620" w:rsidRPr="00361BCF" w:rsidRDefault="00524620" w:rsidP="00C009CE">
      <w:pPr>
        <w:pStyle w:val="Heading1"/>
      </w:pPr>
      <w:r w:rsidRPr="00361BCF">
        <w:t>3</w:t>
      </w:r>
      <w:r w:rsidRPr="00361BCF">
        <w:tab/>
        <w:t xml:space="preserve">Informes orales de los Presidentes de las Comisiones y de la Presidenta del Grupo </w:t>
      </w:r>
      <w:r w:rsidRPr="005F1D10">
        <w:rPr>
          <w:i/>
          <w:iCs/>
        </w:rPr>
        <w:t>ad hoc</w:t>
      </w:r>
      <w:r w:rsidRPr="00361BCF">
        <w:t xml:space="preserve"> de la Plenaria</w:t>
      </w:r>
    </w:p>
    <w:p w14:paraId="11F10723" w14:textId="3726CD93" w:rsidR="00643C29" w:rsidRPr="00361BCF" w:rsidRDefault="00643C29" w:rsidP="00C009CE">
      <w:bookmarkStart w:id="14" w:name="_Hlk24704058"/>
      <w:r w:rsidRPr="00361BCF">
        <w:t>3.1</w:t>
      </w:r>
      <w:r w:rsidRPr="00361BCF">
        <w:tab/>
      </w:r>
      <w:bookmarkStart w:id="15" w:name="lt_pId071"/>
      <w:bookmarkEnd w:id="14"/>
      <w:r w:rsidR="004F1EB9" w:rsidRPr="00361BCF">
        <w:t xml:space="preserve">El </w:t>
      </w:r>
      <w:r w:rsidR="004F1EB9" w:rsidRPr="00361BCF">
        <w:rPr>
          <w:b/>
          <w:bCs/>
        </w:rPr>
        <w:t>Vicepresidente de la Comisión 2</w:t>
      </w:r>
      <w:r w:rsidR="004F1EB9" w:rsidRPr="00361BCF">
        <w:t xml:space="preserve"> (Sr. S. Ritchie), </w:t>
      </w:r>
      <w:r w:rsidR="002274D4" w:rsidRPr="00361BCF">
        <w:t>en su calidad de</w:t>
      </w:r>
      <w:r w:rsidR="004F1EB9" w:rsidRPr="00361BCF">
        <w:t xml:space="preserve"> </w:t>
      </w:r>
      <w:r w:rsidR="00C45AD6" w:rsidRPr="00361BCF">
        <w:t>P</w:t>
      </w:r>
      <w:r w:rsidR="004F1EB9" w:rsidRPr="00361BCF">
        <w:t xml:space="preserve">residente de la </w:t>
      </w:r>
      <w:r w:rsidR="00955C91" w:rsidRPr="00361BCF">
        <w:t>C</w:t>
      </w:r>
      <w:r w:rsidR="004F1EB9" w:rsidRPr="00361BCF">
        <w:t xml:space="preserve">omisión en ausencia del </w:t>
      </w:r>
      <w:r w:rsidR="00C45AD6" w:rsidRPr="00361BCF">
        <w:t>P</w:t>
      </w:r>
      <w:r w:rsidR="004F1EB9" w:rsidRPr="00361BCF">
        <w:t xml:space="preserve">residente, informó de que, desde la sexta </w:t>
      </w:r>
      <w:r w:rsidR="00955C91" w:rsidRPr="00361BCF">
        <w:t>S</w:t>
      </w:r>
      <w:r w:rsidR="004F1EB9" w:rsidRPr="00361BCF">
        <w:t xml:space="preserve">esión </w:t>
      </w:r>
      <w:r w:rsidR="00955C91" w:rsidRPr="00361BCF">
        <w:t>P</w:t>
      </w:r>
      <w:r w:rsidR="004F1EB9" w:rsidRPr="00361BCF">
        <w:t xml:space="preserve">lenaria, la </w:t>
      </w:r>
      <w:r w:rsidR="00C45AD6" w:rsidRPr="00361BCF">
        <w:t>C</w:t>
      </w:r>
      <w:r w:rsidR="004F1EB9" w:rsidRPr="00361BCF">
        <w:t>omisión ha recibido, examinado y aprobado otros dos juegos de credenciales; el Documento 274 se había actualizado en consecuencia. Invit</w:t>
      </w:r>
      <w:r w:rsidR="007D72E0" w:rsidRPr="00361BCF">
        <w:t>a</w:t>
      </w:r>
      <w:r w:rsidR="004F1EB9" w:rsidRPr="00361BCF">
        <w:t xml:space="preserve"> a las delegaciones que aún no han presentado sus credenciales a que lo </w:t>
      </w:r>
      <w:r w:rsidR="007D72E0" w:rsidRPr="00361BCF">
        <w:t>hagan</w:t>
      </w:r>
      <w:r w:rsidRPr="00361BCF">
        <w:t>.</w:t>
      </w:r>
      <w:bookmarkEnd w:id="15"/>
    </w:p>
    <w:p w14:paraId="54EBD200" w14:textId="1936ED5F" w:rsidR="00643C29" w:rsidRPr="00361BCF" w:rsidRDefault="00643C29" w:rsidP="00C009CE">
      <w:r w:rsidRPr="00361BCF">
        <w:t>3.2</w:t>
      </w:r>
      <w:r w:rsidRPr="00361BCF">
        <w:tab/>
        <w:t xml:space="preserve">Se </w:t>
      </w:r>
      <w:r w:rsidRPr="00361BCF">
        <w:rPr>
          <w:b/>
          <w:bCs/>
        </w:rPr>
        <w:t>toma nota</w:t>
      </w:r>
      <w:r w:rsidRPr="00361BCF">
        <w:t xml:space="preserve"> del </w:t>
      </w:r>
      <w:r w:rsidR="00E82743">
        <w:t>i</w:t>
      </w:r>
      <w:r w:rsidRPr="00361BCF">
        <w:t>nforme oral del Vicepresidente de la Comisión 2.</w:t>
      </w:r>
    </w:p>
    <w:p w14:paraId="14FB7519" w14:textId="09110BD8" w:rsidR="00643C29" w:rsidRPr="00361BCF" w:rsidRDefault="00643C29" w:rsidP="00C009CE">
      <w:r w:rsidRPr="00361BCF">
        <w:t>3.3</w:t>
      </w:r>
      <w:r w:rsidRPr="00361BCF">
        <w:tab/>
      </w:r>
      <w:bookmarkStart w:id="16" w:name="lt_pId076"/>
      <w:r w:rsidR="00C36684" w:rsidRPr="00361BCF">
        <w:t xml:space="preserve">El </w:t>
      </w:r>
      <w:r w:rsidR="00C36684" w:rsidRPr="00361BCF">
        <w:rPr>
          <w:b/>
          <w:bCs/>
        </w:rPr>
        <w:t>Presidente de la Comisión 3</w:t>
      </w:r>
      <w:r w:rsidR="00C36684" w:rsidRPr="00361BCF">
        <w:t xml:space="preserve"> dice que su Comisión no se ha reunido desde la anterior Sesión Plenaria y no tiene nueva información que presentar. La Comisión presentará su informe final a la Plenaria después de su reunión del lunes 18 de noviembre de 2019</w:t>
      </w:r>
      <w:r w:rsidRPr="00361BCF">
        <w:t>.</w:t>
      </w:r>
      <w:bookmarkEnd w:id="16"/>
    </w:p>
    <w:p w14:paraId="4D22D68F" w14:textId="204C5B0C" w:rsidR="00643C29" w:rsidRPr="00361BCF" w:rsidRDefault="00643C29" w:rsidP="00C009CE">
      <w:r w:rsidRPr="00361BCF">
        <w:t>3.4</w:t>
      </w:r>
      <w:r w:rsidRPr="00361BCF">
        <w:tab/>
        <w:t xml:space="preserve">Se </w:t>
      </w:r>
      <w:r w:rsidRPr="00361BCF">
        <w:rPr>
          <w:b/>
          <w:bCs/>
        </w:rPr>
        <w:t>toma nota</w:t>
      </w:r>
      <w:r w:rsidRPr="00361BCF">
        <w:t xml:space="preserve"> del </w:t>
      </w:r>
      <w:r w:rsidR="00E82743">
        <w:t>i</w:t>
      </w:r>
      <w:r w:rsidRPr="00361BCF">
        <w:t>nforme oral del Presidente de la Comisión 3.</w:t>
      </w:r>
    </w:p>
    <w:p w14:paraId="2759A39B" w14:textId="7F799C38" w:rsidR="00643C29" w:rsidRPr="00361BCF" w:rsidRDefault="00643C29" w:rsidP="00C009CE">
      <w:r w:rsidRPr="00361BCF">
        <w:t>3.5</w:t>
      </w:r>
      <w:r w:rsidRPr="00361BCF">
        <w:tab/>
      </w:r>
      <w:bookmarkStart w:id="17" w:name="lt_pId082"/>
      <w:r w:rsidR="006B197D" w:rsidRPr="00361BCF">
        <w:t xml:space="preserve">El </w:t>
      </w:r>
      <w:r w:rsidR="006B197D" w:rsidRPr="00361BCF">
        <w:rPr>
          <w:b/>
          <w:bCs/>
        </w:rPr>
        <w:t>Presidente de la Comisión 4</w:t>
      </w:r>
      <w:r w:rsidR="006B197D" w:rsidRPr="00361BCF">
        <w:t xml:space="preserve"> declara que desde la sexta Sesión Plenaria, su Comisión se ha reunido para debatir diversos temas de su orden del día. Aunque todavía no se había tomado una decisión definitiva sobre un número considerable de cuestiones, incluidos los puntos</w:t>
      </w:r>
      <w:r w:rsidR="005F1D10">
        <w:t> </w:t>
      </w:r>
      <w:r w:rsidR="006B197D" w:rsidRPr="00361BCF">
        <w:t>1.11, 1.12, 1.13, 1.14, 1.16, 1.8 (Tema B)</w:t>
      </w:r>
      <w:r w:rsidR="005F7ED8" w:rsidRPr="00361BCF">
        <w:t xml:space="preserve"> y</w:t>
      </w:r>
      <w:r w:rsidR="006B197D" w:rsidRPr="00361BCF">
        <w:t xml:space="preserve"> 9.1.2</w:t>
      </w:r>
      <w:r w:rsidR="005F7ED8" w:rsidRPr="00361BCF">
        <w:t xml:space="preserve"> del orden del día</w:t>
      </w:r>
      <w:r w:rsidR="006B197D" w:rsidRPr="00361BCF">
        <w:t xml:space="preserve"> y </w:t>
      </w:r>
      <w:r w:rsidR="00EF1972" w:rsidRPr="00361BCF">
        <w:t>el número</w:t>
      </w:r>
      <w:r w:rsidR="006B197D" w:rsidRPr="00361BCF">
        <w:t xml:space="preserve"> 5.441B, se </w:t>
      </w:r>
      <w:r w:rsidR="00EF1972" w:rsidRPr="00361BCF">
        <w:t>muestra</w:t>
      </w:r>
      <w:r w:rsidR="006B197D" w:rsidRPr="00361BCF">
        <w:t xml:space="preserve"> optimista en cuanto a la posibilidad de lograr un resultado positivo. Ha previsto dos reuniones más tarde ese día</w:t>
      </w:r>
      <w:r w:rsidRPr="00361BCF">
        <w:t>.</w:t>
      </w:r>
      <w:bookmarkEnd w:id="17"/>
    </w:p>
    <w:p w14:paraId="026686B1" w14:textId="3B97BDED" w:rsidR="00643C29" w:rsidRPr="00361BCF" w:rsidRDefault="00643C29" w:rsidP="00C009CE">
      <w:r w:rsidRPr="00361BCF">
        <w:t>3.6</w:t>
      </w:r>
      <w:r w:rsidRPr="00361BCF">
        <w:tab/>
        <w:t xml:space="preserve">Se </w:t>
      </w:r>
      <w:r w:rsidRPr="00361BCF">
        <w:rPr>
          <w:b/>
          <w:bCs/>
        </w:rPr>
        <w:t>toma nota</w:t>
      </w:r>
      <w:r w:rsidRPr="00361BCF">
        <w:t xml:space="preserve"> del </w:t>
      </w:r>
      <w:r w:rsidR="00E82743">
        <w:t>i</w:t>
      </w:r>
      <w:r w:rsidRPr="00361BCF">
        <w:t>nforme oral del Presidente de la Comisión 4.</w:t>
      </w:r>
    </w:p>
    <w:p w14:paraId="11903C8A" w14:textId="59429229" w:rsidR="00643C29" w:rsidRPr="00361BCF" w:rsidRDefault="00643C29" w:rsidP="00C009CE">
      <w:r w:rsidRPr="00361BCF">
        <w:t>3.7</w:t>
      </w:r>
      <w:r w:rsidRPr="00361BCF">
        <w:tab/>
      </w:r>
      <w:r w:rsidR="00414761" w:rsidRPr="00361BCF">
        <w:t xml:space="preserve">El </w:t>
      </w:r>
      <w:r w:rsidR="00C90339" w:rsidRPr="00361BCF">
        <w:rPr>
          <w:b/>
          <w:bCs/>
        </w:rPr>
        <w:t xml:space="preserve">Presidente de la Comisión </w:t>
      </w:r>
      <w:r w:rsidR="00414761" w:rsidRPr="005F1D10">
        <w:rPr>
          <w:b/>
          <w:bCs/>
        </w:rPr>
        <w:t>5</w:t>
      </w:r>
      <w:r w:rsidR="00414761" w:rsidRPr="00361BCF">
        <w:t xml:space="preserve"> informa que su Comisión se ha reunido una vez desde la sexta Sesión Plenaria</w:t>
      </w:r>
      <w:r w:rsidR="00E325F7" w:rsidRPr="00361BCF">
        <w:t xml:space="preserve"> y qu</w:t>
      </w:r>
      <w:r w:rsidR="003604ED" w:rsidRPr="00361BCF">
        <w:t>e</w:t>
      </w:r>
      <w:r w:rsidR="00E325F7" w:rsidRPr="00361BCF">
        <w:t xml:space="preserve"> h</w:t>
      </w:r>
      <w:r w:rsidR="00414761" w:rsidRPr="00361BCF">
        <w:t xml:space="preserve">a aprobado cinco documentos, algunos de los cuales se examinarán en la presente reunión. El subgrupo de trabajo y el grupo de trabajo han </w:t>
      </w:r>
      <w:r w:rsidR="00B23AA6" w:rsidRPr="00361BCF">
        <w:t>concluido</w:t>
      </w:r>
      <w:r w:rsidR="00414761" w:rsidRPr="00361BCF">
        <w:t xml:space="preserve"> su labor. Sin embargo, es necesario seguir trabajando </w:t>
      </w:r>
      <w:r w:rsidR="00E82743">
        <w:t>–</w:t>
      </w:r>
      <w:r w:rsidR="00414761" w:rsidRPr="00361BCF">
        <w:t>incluso durante el fin de semana</w:t>
      </w:r>
      <w:r w:rsidR="00E82743">
        <w:t>–</w:t>
      </w:r>
      <w:r w:rsidR="00414761" w:rsidRPr="00361BCF">
        <w:t xml:space="preserve"> acerca de varios puntos del orden del día, en particular los puntos 1.6 y 7 (Tema A).</w:t>
      </w:r>
      <w:r w:rsidRPr="00361BCF">
        <w:t xml:space="preserve"> </w:t>
      </w:r>
    </w:p>
    <w:p w14:paraId="3CE58F2C" w14:textId="3D5ED861" w:rsidR="00643C29" w:rsidRPr="00361BCF" w:rsidRDefault="00643C29" w:rsidP="00C009CE">
      <w:r w:rsidRPr="00361BCF">
        <w:t>3.8</w:t>
      </w:r>
      <w:r w:rsidRPr="00361BCF">
        <w:tab/>
        <w:t xml:space="preserve">Se </w:t>
      </w:r>
      <w:r w:rsidRPr="00361BCF">
        <w:rPr>
          <w:b/>
          <w:bCs/>
        </w:rPr>
        <w:t>toma nota</w:t>
      </w:r>
      <w:r w:rsidRPr="00361BCF">
        <w:t xml:space="preserve"> del </w:t>
      </w:r>
      <w:r w:rsidR="00F53C11">
        <w:t>i</w:t>
      </w:r>
      <w:r w:rsidRPr="00361BCF">
        <w:t>nforme oral del Presidente de la Comisión 5.</w:t>
      </w:r>
    </w:p>
    <w:p w14:paraId="4DB25D42" w14:textId="392CFEBA" w:rsidR="00643C29" w:rsidRPr="00361BCF" w:rsidRDefault="00643C29" w:rsidP="00C009CE">
      <w:r w:rsidRPr="00361BCF">
        <w:t>3.9</w:t>
      </w:r>
      <w:r w:rsidRPr="00361BCF">
        <w:tab/>
      </w:r>
      <w:bookmarkStart w:id="18" w:name="lt_pId096"/>
      <w:r w:rsidR="00067DF2" w:rsidRPr="00361BCF">
        <w:t xml:space="preserve">El </w:t>
      </w:r>
      <w:r w:rsidR="00067DF2" w:rsidRPr="00361BCF">
        <w:rPr>
          <w:b/>
          <w:bCs/>
        </w:rPr>
        <w:t>Presidente de la Comisión 6</w:t>
      </w:r>
      <w:r w:rsidR="00067DF2" w:rsidRPr="00361BCF">
        <w:t xml:space="preserve"> informa de que su Comisión se ha reunido una vez desde la sexta Sesión Plenaria. El Grupo de Trabajo A, que se encarga de los temas 4, 6 y 8 del orden del día y de algunas secciones del punto 9, ha concluido su labor. Los trabajos sobre el tema</w:t>
      </w:r>
      <w:r w:rsidR="00F53C11">
        <w:t> </w:t>
      </w:r>
      <w:r w:rsidR="00067DF2" w:rsidRPr="00361BCF">
        <w:t>10 del orden del día están en curso y la Comisión tal vez tenga que reunirse durante el fin de semana para avanzar</w:t>
      </w:r>
      <w:r w:rsidR="00F3520C" w:rsidRPr="00361BCF">
        <w:t>los</w:t>
      </w:r>
      <w:r w:rsidR="00067DF2" w:rsidRPr="00361BCF">
        <w:t xml:space="preserve">. Insta a las administraciones a </w:t>
      </w:r>
      <w:r w:rsidR="00E56B62" w:rsidRPr="00361BCF">
        <w:t xml:space="preserve">cooperar </w:t>
      </w:r>
      <w:r w:rsidR="00067DF2" w:rsidRPr="00361BCF">
        <w:t xml:space="preserve">y a centrarse en el resultado básico de los temas del </w:t>
      </w:r>
      <w:r w:rsidR="00E56B62" w:rsidRPr="00361BCF">
        <w:t>orden del día</w:t>
      </w:r>
      <w:r w:rsidR="00067DF2" w:rsidRPr="00361BCF">
        <w:t xml:space="preserve">, en lugar de </w:t>
      </w:r>
      <w:r w:rsidR="00E56B62" w:rsidRPr="00361BCF">
        <w:t>recurrir a una</w:t>
      </w:r>
      <w:r w:rsidR="00067DF2" w:rsidRPr="00361BCF">
        <w:t xml:space="preserve"> redacción precisa</w:t>
      </w:r>
      <w:r w:rsidRPr="00361BCF">
        <w:t>.</w:t>
      </w:r>
      <w:bookmarkEnd w:id="18"/>
    </w:p>
    <w:p w14:paraId="4EB07CD9" w14:textId="229BCC4B" w:rsidR="00643C29" w:rsidRPr="00361BCF" w:rsidRDefault="00643C29" w:rsidP="00C009CE">
      <w:r w:rsidRPr="00361BCF">
        <w:lastRenderedPageBreak/>
        <w:t>3.10</w:t>
      </w:r>
      <w:r w:rsidRPr="00361BCF">
        <w:tab/>
        <w:t xml:space="preserve">Se </w:t>
      </w:r>
      <w:r w:rsidRPr="00361BCF">
        <w:rPr>
          <w:b/>
          <w:bCs/>
        </w:rPr>
        <w:t>toma nota</w:t>
      </w:r>
      <w:r w:rsidRPr="00361BCF">
        <w:t xml:space="preserve"> del </w:t>
      </w:r>
      <w:r w:rsidR="00F53C11">
        <w:t>i</w:t>
      </w:r>
      <w:r w:rsidRPr="00361BCF">
        <w:t>nforme oral del Presidente de la Comisión 6.</w:t>
      </w:r>
    </w:p>
    <w:p w14:paraId="63B282CC" w14:textId="774675E3" w:rsidR="00643C29" w:rsidRPr="00361BCF" w:rsidRDefault="002F7D34" w:rsidP="00C009CE">
      <w:r w:rsidRPr="00361BCF">
        <w:t>3.11</w:t>
      </w:r>
      <w:r w:rsidRPr="00361BCF">
        <w:tab/>
      </w:r>
      <w:bookmarkStart w:id="19" w:name="lt_pId100"/>
      <w:r w:rsidR="005165FF" w:rsidRPr="00361BCF">
        <w:t xml:space="preserve">El </w:t>
      </w:r>
      <w:r w:rsidR="005165FF" w:rsidRPr="00361BCF">
        <w:rPr>
          <w:b/>
          <w:bCs/>
        </w:rPr>
        <w:t xml:space="preserve">Presidente de la Comisión </w:t>
      </w:r>
      <w:r w:rsidRPr="00361BCF">
        <w:rPr>
          <w:b/>
          <w:bCs/>
        </w:rPr>
        <w:t>7</w:t>
      </w:r>
      <w:r w:rsidRPr="00361BCF">
        <w:t xml:space="preserve"> </w:t>
      </w:r>
      <w:r w:rsidR="005165FF" w:rsidRPr="00361BCF">
        <w:t>dice que su Comisión se reunió el día ante</w:t>
      </w:r>
      <w:r w:rsidR="00750AE9" w:rsidRPr="00361BCF">
        <w:t>rior</w:t>
      </w:r>
      <w:r w:rsidRPr="00361BCF">
        <w:t>.</w:t>
      </w:r>
      <w:bookmarkEnd w:id="19"/>
      <w:r w:rsidRPr="00361BCF">
        <w:t xml:space="preserve"> </w:t>
      </w:r>
      <w:bookmarkStart w:id="20" w:name="lt_pId101"/>
      <w:r w:rsidR="00750AE9" w:rsidRPr="00361BCF">
        <w:t>Ha preparado cinco series de textos para su primera lectura en la presente reunión</w:t>
      </w:r>
      <w:r w:rsidRPr="00361BCF">
        <w:t>.</w:t>
      </w:r>
      <w:bookmarkEnd w:id="20"/>
    </w:p>
    <w:p w14:paraId="0FCD4412" w14:textId="67BA37BF" w:rsidR="002F7D34" w:rsidRPr="00361BCF" w:rsidRDefault="002F7D34" w:rsidP="00C009CE">
      <w:r w:rsidRPr="00361BCF">
        <w:t>3.12</w:t>
      </w:r>
      <w:r w:rsidRPr="00361BCF">
        <w:tab/>
      </w:r>
      <w:bookmarkStart w:id="21" w:name="lt_pId103"/>
      <w:r w:rsidR="005165FF" w:rsidRPr="00361BCF">
        <w:t xml:space="preserve">Se </w:t>
      </w:r>
      <w:r w:rsidR="005165FF" w:rsidRPr="00361BCF">
        <w:rPr>
          <w:b/>
          <w:bCs/>
        </w:rPr>
        <w:t>toma nota</w:t>
      </w:r>
      <w:r w:rsidR="005165FF" w:rsidRPr="00361BCF">
        <w:t xml:space="preserve"> del </w:t>
      </w:r>
      <w:r w:rsidR="00F53C11">
        <w:t>i</w:t>
      </w:r>
      <w:r w:rsidR="005165FF" w:rsidRPr="00361BCF">
        <w:t>nforme oral del Presidente de la Comisión de Redacción</w:t>
      </w:r>
      <w:r w:rsidRPr="00361BCF">
        <w:t>.</w:t>
      </w:r>
      <w:bookmarkEnd w:id="21"/>
    </w:p>
    <w:p w14:paraId="50B91D9C" w14:textId="37DE9A46" w:rsidR="002F7D34" w:rsidRPr="00361BCF" w:rsidRDefault="002F7D34" w:rsidP="00C009CE">
      <w:r w:rsidRPr="00361BCF">
        <w:t>3.13</w:t>
      </w:r>
      <w:r w:rsidRPr="00361BCF">
        <w:tab/>
      </w:r>
      <w:bookmarkStart w:id="22" w:name="lt_pId106"/>
      <w:r w:rsidR="00C952A5" w:rsidRPr="00361BCF">
        <w:t xml:space="preserve">La </w:t>
      </w:r>
      <w:r w:rsidR="00C952A5" w:rsidRPr="00361BCF">
        <w:rPr>
          <w:b/>
          <w:bCs/>
        </w:rPr>
        <w:t>President</w:t>
      </w:r>
      <w:r w:rsidR="00721F9D">
        <w:rPr>
          <w:b/>
          <w:bCs/>
        </w:rPr>
        <w:t>a</w:t>
      </w:r>
      <w:r w:rsidR="00C952A5" w:rsidRPr="00361BCF">
        <w:rPr>
          <w:b/>
          <w:bCs/>
        </w:rPr>
        <w:t xml:space="preserve"> del Grupo </w:t>
      </w:r>
      <w:r w:rsidR="00C952A5" w:rsidRPr="005F1D10">
        <w:rPr>
          <w:b/>
          <w:bCs/>
          <w:i/>
          <w:iCs/>
        </w:rPr>
        <w:t>ad hoc</w:t>
      </w:r>
      <w:r w:rsidR="00C952A5" w:rsidRPr="00361BCF">
        <w:rPr>
          <w:b/>
          <w:bCs/>
        </w:rPr>
        <w:t xml:space="preserve"> de la Plenaria</w:t>
      </w:r>
      <w:r w:rsidR="00C952A5" w:rsidRPr="00361BCF">
        <w:t xml:space="preserve"> informa de que el </w:t>
      </w:r>
      <w:r w:rsidR="009922BC" w:rsidRPr="00361BCF">
        <w:t>G</w:t>
      </w:r>
      <w:r w:rsidR="00C952A5" w:rsidRPr="00361BCF">
        <w:t xml:space="preserve">rupo </w:t>
      </w:r>
      <w:r w:rsidR="00C952A5" w:rsidRPr="005F1D10">
        <w:rPr>
          <w:i/>
          <w:iCs/>
        </w:rPr>
        <w:t>ad hoc</w:t>
      </w:r>
      <w:r w:rsidR="00C952A5" w:rsidRPr="00361BCF">
        <w:t xml:space="preserve"> ha concluido su labor. Añade que el texto final se había incorporado al Documento 295 y que estaba listo para ser examinado en una próxima Sesión Plenaria</w:t>
      </w:r>
      <w:r w:rsidRPr="00361BCF">
        <w:t>.</w:t>
      </w:r>
      <w:bookmarkEnd w:id="22"/>
    </w:p>
    <w:p w14:paraId="4DC09240" w14:textId="1856AAF1" w:rsidR="00643C29" w:rsidRPr="00361BCF" w:rsidRDefault="002F7D34" w:rsidP="00C009CE">
      <w:r w:rsidRPr="00361BCF">
        <w:t>3</w:t>
      </w:r>
      <w:r w:rsidR="00643C29" w:rsidRPr="00361BCF">
        <w:t>.1</w:t>
      </w:r>
      <w:r w:rsidRPr="00361BCF">
        <w:t>4</w:t>
      </w:r>
      <w:r w:rsidR="00643C29" w:rsidRPr="00361BCF">
        <w:tab/>
        <w:t xml:space="preserve">Se </w:t>
      </w:r>
      <w:r w:rsidR="00643C29" w:rsidRPr="00361BCF">
        <w:rPr>
          <w:b/>
          <w:bCs/>
        </w:rPr>
        <w:t>toma nota</w:t>
      </w:r>
      <w:r w:rsidR="00643C29" w:rsidRPr="00361BCF">
        <w:t xml:space="preserve"> del </w:t>
      </w:r>
      <w:r w:rsidR="00F53C11">
        <w:t>i</w:t>
      </w:r>
      <w:r w:rsidR="00643C29" w:rsidRPr="00361BCF">
        <w:t xml:space="preserve">nforme oral de la Presidenta del Grupo </w:t>
      </w:r>
      <w:r w:rsidR="00643C29" w:rsidRPr="005F1D10">
        <w:rPr>
          <w:i/>
          <w:iCs/>
        </w:rPr>
        <w:t>ad hoc</w:t>
      </w:r>
      <w:r w:rsidR="00643C29" w:rsidRPr="00361BCF">
        <w:t xml:space="preserve"> de la Plenaria.</w:t>
      </w:r>
    </w:p>
    <w:p w14:paraId="350643D3" w14:textId="21138A8B" w:rsidR="002F7D34" w:rsidRPr="00361BCF" w:rsidRDefault="002F7D34" w:rsidP="00C009CE">
      <w:pPr>
        <w:pStyle w:val="Heading1"/>
      </w:pPr>
      <w:r w:rsidRPr="00361BCF">
        <w:t>4</w:t>
      </w:r>
      <w:r w:rsidRPr="00361BCF">
        <w:tab/>
        <w:t>Documentos para aprobación (Documentos 303, 338, 339 y 341)</w:t>
      </w:r>
    </w:p>
    <w:p w14:paraId="7C82AAEA" w14:textId="0745703C" w:rsidR="002F7D34" w:rsidRPr="00361BCF" w:rsidRDefault="002F7D34" w:rsidP="00C009CE">
      <w:r w:rsidRPr="00361BCF">
        <w:t>4.1</w:t>
      </w:r>
      <w:r w:rsidRPr="00361BCF">
        <w:tab/>
        <w:t xml:space="preserve">El </w:t>
      </w:r>
      <w:r w:rsidRPr="00361BCF">
        <w:rPr>
          <w:b/>
          <w:bCs/>
        </w:rPr>
        <w:t>Presidente de la Comisión 5</w:t>
      </w:r>
      <w:r w:rsidRPr="00361BCF">
        <w:t xml:space="preserve"> presenta el Documento 303, que contiene el segundo informe de la Comisión a la Plenaria y recoge las conclusiones de la Comisión sobre el punto 1.4 del orden del día y la aplicación </w:t>
      </w:r>
      <w:r w:rsidR="005A6940">
        <w:t>del</w:t>
      </w:r>
      <w:r w:rsidRPr="00361BCF">
        <w:t xml:space="preserve"> Anex</w:t>
      </w:r>
      <w:r w:rsidR="00611FF2" w:rsidRPr="00361BCF">
        <w:t>o</w:t>
      </w:r>
      <w:r w:rsidRPr="00361BCF">
        <w:t xml:space="preserve"> 7 </w:t>
      </w:r>
      <w:r w:rsidR="005F5EEF" w:rsidRPr="00361BCF">
        <w:t xml:space="preserve">revisado </w:t>
      </w:r>
      <w:r w:rsidR="005A6940">
        <w:t>a</w:t>
      </w:r>
      <w:r w:rsidR="005F5EEF" w:rsidRPr="00361BCF">
        <w:t xml:space="preserve">l Apéndice </w:t>
      </w:r>
      <w:r w:rsidRPr="00361BCF">
        <w:t xml:space="preserve">30 </w:t>
      </w:r>
      <w:r w:rsidR="005F5EEF" w:rsidRPr="00361BCF">
        <w:t>y sus correspondientes Resoluciones</w:t>
      </w:r>
      <w:r w:rsidRPr="00361BCF">
        <w:t xml:space="preserve">. </w:t>
      </w:r>
      <w:r w:rsidR="005F5EEF" w:rsidRPr="00361BCF">
        <w:t>S</w:t>
      </w:r>
      <w:r w:rsidRPr="00361BCF">
        <w:t xml:space="preserve">e propone que el </w:t>
      </w:r>
      <w:r w:rsidR="007D1AEB" w:rsidRPr="00361BCF">
        <w:t xml:space="preserve">siguiente </w:t>
      </w:r>
      <w:r w:rsidRPr="00361BCF">
        <w:t>texto, que figura en el Documento 303</w:t>
      </w:r>
      <w:r w:rsidR="005F5EEF" w:rsidRPr="00361BCF">
        <w:t xml:space="preserve"> y enmendado para </w:t>
      </w:r>
      <w:r w:rsidR="006815AC" w:rsidRPr="00361BCF">
        <w:t xml:space="preserve">incorporar </w:t>
      </w:r>
      <w:r w:rsidR="00891D85" w:rsidRPr="00361BCF">
        <w:t xml:space="preserve">la numeración </w:t>
      </w:r>
      <w:r w:rsidR="006815AC" w:rsidRPr="00361BCF">
        <w:t>de ciertas Resoluciones contenidas</w:t>
      </w:r>
      <w:r w:rsidR="00891D85" w:rsidRPr="00361BCF">
        <w:t xml:space="preserve"> en el mismo</w:t>
      </w:r>
      <w:r w:rsidRPr="00361BCF">
        <w:t>, se apruebe y se incluya en las actas de la reunión como decisión de la conferencia:</w:t>
      </w:r>
    </w:p>
    <w:p w14:paraId="615112C4" w14:textId="5FF7C661" w:rsidR="00995C81" w:rsidRPr="00361BCF" w:rsidRDefault="00C6467C" w:rsidP="00C009CE">
      <w:pPr>
        <w:rPr>
          <w:b/>
        </w:rPr>
      </w:pPr>
      <w:r w:rsidRPr="00361BCF">
        <w:rPr>
          <w:b/>
        </w:rPr>
        <w:t>«</w:t>
      </w:r>
      <w:r w:rsidR="00995C81" w:rsidRPr="00361BCF">
        <w:rPr>
          <w:b/>
        </w:rPr>
        <w:t>Instrucciones a la Oficina de Radiocomunicaciones en aplicación del Anexo 7 revisado al Apéndice 30 del RR y las Resoluciones conexas</w:t>
      </w:r>
    </w:p>
    <w:p w14:paraId="7E49E0DC" w14:textId="77777777" w:rsidR="00995C81" w:rsidRPr="00361BCF" w:rsidRDefault="00995C81" w:rsidP="00C009CE">
      <w:pPr>
        <w:pStyle w:val="enumlev1"/>
        <w:rPr>
          <w:b/>
          <w:bCs/>
        </w:rPr>
      </w:pPr>
      <w:r w:rsidRPr="00361BCF">
        <w:rPr>
          <w:b/>
          <w:bCs/>
        </w:rPr>
        <w:t>1</w:t>
      </w:r>
      <w:r w:rsidRPr="00361BCF">
        <w:rPr>
          <w:b/>
          <w:bCs/>
        </w:rPr>
        <w:tab/>
        <w:t>Aplicación de las restricciones orbitales revisadas aplicables a los satélites de radiodifusión que prestan servicio en una zona de la Región 1 utilizando una frecuencia en la banda 11,7-12,2 GHz</w:t>
      </w:r>
    </w:p>
    <w:p w14:paraId="73445B32" w14:textId="35383B7B" w:rsidR="00995C81" w:rsidRPr="00361BCF" w:rsidRDefault="00995C81" w:rsidP="00C009CE">
      <w:pPr>
        <w:pStyle w:val="enumlev1"/>
      </w:pPr>
      <w:r w:rsidRPr="00361BCF">
        <w:tab/>
        <w:t xml:space="preserve">Cuando, con arreglo al Artículo 4 del Apéndice </w:t>
      </w:r>
      <w:r w:rsidRPr="00361BCF">
        <w:rPr>
          <w:b/>
          <w:bCs/>
        </w:rPr>
        <w:t>30</w:t>
      </w:r>
      <w:r w:rsidRPr="00361BCF">
        <w:t xml:space="preserve"> del RR, una administración de las Regiones 1 y 3 presente a la Oficina una nueva red de satélites con asignaciones de frecuencia</w:t>
      </w:r>
      <w:r w:rsidR="005A6940">
        <w:t>s</w:t>
      </w:r>
      <w:r w:rsidRPr="00361BCF">
        <w:t xml:space="preserve"> en la banda 11,7-12,2 GHz, que preste servicio en una zona de la Región 1 desde el oeste y ocupando una posición orbital nominal más al oeste de 37,2° W, las asignaciones de frecuencia</w:t>
      </w:r>
      <w:r w:rsidR="005A6940">
        <w:t>s</w:t>
      </w:r>
      <w:r w:rsidRPr="00361BCF">
        <w:t xml:space="preserve"> de dicha red de satélites se considerarán admisibles únicamente si una porción de tierra situada en la parte occidental de la Región 1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p>
    <w:p w14:paraId="206B6FFF" w14:textId="77777777" w:rsidR="00995C81" w:rsidRPr="00361BCF" w:rsidRDefault="00995C81" w:rsidP="00C009CE">
      <w:pPr>
        <w:pStyle w:val="enumlev1"/>
        <w:rPr>
          <w:b/>
          <w:bCs/>
        </w:rPr>
      </w:pPr>
      <w:r w:rsidRPr="00361BCF">
        <w:rPr>
          <w:b/>
          <w:bCs/>
        </w:rPr>
        <w:t>2</w:t>
      </w:r>
      <w:r w:rsidRPr="00361BCF">
        <w:rPr>
          <w:b/>
          <w:bCs/>
        </w:rPr>
        <w:tab/>
        <w:t>Aplicación de las restricciones orbitales revisadas aplicables a los satélites de radiodifusión que prestan servicio en una zona de la Región 2 utilizando una frecuencia en la banda 12,2-12,7 GHz</w:t>
      </w:r>
    </w:p>
    <w:p w14:paraId="54B45397" w14:textId="6CD19DF6" w:rsidR="00995C81" w:rsidRPr="00361BCF" w:rsidRDefault="00995C81" w:rsidP="00C009CE">
      <w:pPr>
        <w:pStyle w:val="enumlev1"/>
      </w:pPr>
      <w:r w:rsidRPr="00361BCF">
        <w:tab/>
        <w:t xml:space="preserve">Cuando, con arreglo al Artículo 4 del Apéndice </w:t>
      </w:r>
      <w:r w:rsidRPr="00361BCF">
        <w:rPr>
          <w:b/>
          <w:bCs/>
        </w:rPr>
        <w:t>30</w:t>
      </w:r>
      <w:r w:rsidRPr="00361BCF">
        <w:t xml:space="preserve"> del RR, una administración de la Región 2 presente a la Oficina una nueva red de satélites con asignaciones de frecuencia</w:t>
      </w:r>
      <w:r w:rsidR="005A6940">
        <w:t>s</w:t>
      </w:r>
      <w:r w:rsidRPr="00361BCF">
        <w:t xml:space="preserve"> en la banda 12,2-12,5 GHz (resp. 12,5-12,7 GHz), que preste servicio en una zona de la Región 2 desde el este y ocupando una posición orbital nominal más al este de 44° W (resp. 54° W), las asignaciones de frecuencia</w:t>
      </w:r>
      <w:r w:rsidR="005A6940">
        <w:t>s</w:t>
      </w:r>
      <w:r w:rsidRPr="00361BCF">
        <w:t xml:space="preserve"> de dicha red de satélites se considerarán admisibles únicamente si una porción de tierra situada en la parte oriental de la Región 2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p>
    <w:p w14:paraId="24F7AC69" w14:textId="2B66F079" w:rsidR="00995C81" w:rsidRPr="00361BCF" w:rsidRDefault="00995C81" w:rsidP="00C009CE">
      <w:pPr>
        <w:pStyle w:val="enumlev1"/>
        <w:rPr>
          <w:b/>
          <w:bCs/>
        </w:rPr>
      </w:pPr>
      <w:r w:rsidRPr="00361BCF">
        <w:rPr>
          <w:b/>
          <w:bCs/>
        </w:rPr>
        <w:lastRenderedPageBreak/>
        <w:t>3</w:t>
      </w:r>
      <w:r w:rsidRPr="00361BCF">
        <w:rPr>
          <w:b/>
          <w:bCs/>
        </w:rPr>
        <w:tab/>
        <w:t xml:space="preserve">Aplicación de la Resolución </w:t>
      </w:r>
      <w:r w:rsidR="00C6467C" w:rsidRPr="00361BCF">
        <w:rPr>
          <w:b/>
          <w:bCs/>
        </w:rPr>
        <w:t>COM5/2</w:t>
      </w:r>
      <w:r w:rsidRPr="00361BCF">
        <w:rPr>
          <w:b/>
          <w:bCs/>
        </w:rPr>
        <w:t xml:space="preserve"> (CMR</w:t>
      </w:r>
      <w:r w:rsidRPr="00361BCF">
        <w:rPr>
          <w:b/>
          <w:bCs/>
        </w:rPr>
        <w:noBreakHyphen/>
        <w:t>19)</w:t>
      </w:r>
    </w:p>
    <w:p w14:paraId="4C9E08D8" w14:textId="527B8BDA" w:rsidR="00995C81" w:rsidRPr="00361BCF" w:rsidRDefault="00995C81" w:rsidP="00C009CE">
      <w:pPr>
        <w:pStyle w:val="enumlev1"/>
      </w:pPr>
      <w:r w:rsidRPr="00361BCF">
        <w:tab/>
        <w:t xml:space="preserve">El </w:t>
      </w:r>
      <w:r w:rsidRPr="00361BCF">
        <w:rPr>
          <w:i/>
          <w:iCs/>
        </w:rPr>
        <w:t>resuelve</w:t>
      </w:r>
      <w:r w:rsidRPr="00361BCF">
        <w:t xml:space="preserve"> 2 de la Resolución </w:t>
      </w:r>
      <w:r w:rsidR="00C6467C" w:rsidRPr="00361BCF">
        <w:rPr>
          <w:b/>
          <w:bCs/>
        </w:rPr>
        <w:t>COM5/2</w:t>
      </w:r>
      <w:r w:rsidRPr="00361BCF">
        <w:rPr>
          <w:b/>
          <w:bCs/>
        </w:rPr>
        <w:t xml:space="preserve"> (CMR-19)</w:t>
      </w:r>
      <w:r w:rsidRPr="00361BCF">
        <w:t xml:space="preserve"> indica que la identificación de asignaciones de frecuencias de ciertas redes asociadas con diámetros de antena de estación terrena de 40 cm y de 45 cm se basan únicamente en el EPM y en una separación orbital mínima inferior a 9 grados. Este </w:t>
      </w:r>
      <w:r w:rsidR="005A6940" w:rsidRPr="005A6940">
        <w:rPr>
          <w:i/>
          <w:iCs/>
        </w:rPr>
        <w:t>r</w:t>
      </w:r>
      <w:r w:rsidRPr="005A6940">
        <w:rPr>
          <w:i/>
          <w:iCs/>
        </w:rPr>
        <w:t>esuelve</w:t>
      </w:r>
      <w:r w:rsidRPr="00361BCF">
        <w:t xml:space="preserve"> sólo tiene aplicación en la banda de frecuencias 11,7-12,2 GHz. La red de satélites HISPASAT-37A incluida en el Anexo 1 a esta Resolución contiene asignaciones de frecuencias que se solapan en parte con la banda de frecuencias 11,7-12,2 GHz. Para la protección de estas asignaciones frente a redes de satélites no planificadas, se tienen que aplicar los criterios incluidos en la Resolución </w:t>
      </w:r>
      <w:r w:rsidR="00C6467C" w:rsidRPr="00361BCF">
        <w:rPr>
          <w:b/>
          <w:bCs/>
        </w:rPr>
        <w:t>COM5/4</w:t>
      </w:r>
      <w:r w:rsidRPr="00361BCF">
        <w:rPr>
          <w:b/>
          <w:bCs/>
        </w:rPr>
        <w:t xml:space="preserve"> (CMR-19)</w:t>
      </w:r>
      <w:r w:rsidRPr="00361BCF">
        <w:t xml:space="preserve"> sin embargo, para la protección de esas asignaciones ante nuevas notificaciones con arreglo al Artículo 4 que están sujetas a la Resolución</w:t>
      </w:r>
      <w:r w:rsidR="005F1D10">
        <w:t> </w:t>
      </w:r>
      <w:r w:rsidR="00C6467C" w:rsidRPr="00361BCF">
        <w:rPr>
          <w:b/>
          <w:bCs/>
        </w:rPr>
        <w:t>COM5/2</w:t>
      </w:r>
      <w:r w:rsidRPr="00361BCF">
        <w:rPr>
          <w:b/>
          <w:bCs/>
        </w:rPr>
        <w:t xml:space="preserve"> (CMR-19)</w:t>
      </w:r>
      <w:r w:rsidRPr="00361BCF">
        <w:t xml:space="preserve">, se tienen que utilizar los criterios incluidos en el </w:t>
      </w:r>
      <w:r w:rsidRPr="00361BCF">
        <w:rPr>
          <w:i/>
          <w:iCs/>
        </w:rPr>
        <w:t>resuelve</w:t>
      </w:r>
      <w:r w:rsidRPr="00361BCF">
        <w:t xml:space="preserve"> 2 de esta Resolución.</w:t>
      </w:r>
    </w:p>
    <w:p w14:paraId="65C611FF" w14:textId="206B68C8" w:rsidR="00995C81" w:rsidRPr="00361BCF" w:rsidRDefault="00995C81" w:rsidP="00C009CE">
      <w:pPr>
        <w:pStyle w:val="enumlev1"/>
        <w:rPr>
          <w:b/>
          <w:bCs/>
        </w:rPr>
      </w:pPr>
      <w:r w:rsidRPr="00361BCF">
        <w:rPr>
          <w:b/>
          <w:bCs/>
        </w:rPr>
        <w:t>4</w:t>
      </w:r>
      <w:r w:rsidRPr="00361BCF">
        <w:rPr>
          <w:b/>
          <w:bCs/>
        </w:rPr>
        <w:tab/>
        <w:t xml:space="preserve">Aplicación de la nueva Resolución </w:t>
      </w:r>
      <w:r w:rsidR="00C6467C" w:rsidRPr="00361BCF">
        <w:rPr>
          <w:b/>
          <w:bCs/>
        </w:rPr>
        <w:t>COM5/3</w:t>
      </w:r>
      <w:r w:rsidRPr="00361BCF">
        <w:rPr>
          <w:b/>
          <w:bCs/>
        </w:rPr>
        <w:t xml:space="preserve"> (CMR-19)</w:t>
      </w:r>
    </w:p>
    <w:p w14:paraId="7AAD4112" w14:textId="77777777" w:rsidR="00995C81" w:rsidRPr="00361BCF" w:rsidRDefault="00995C81" w:rsidP="00C009CE">
      <w:pPr>
        <w:pStyle w:val="enumlev2"/>
        <w:rPr>
          <w:b/>
          <w:bCs/>
        </w:rPr>
      </w:pPr>
      <w:r w:rsidRPr="00361BCF">
        <w:rPr>
          <w:b/>
          <w:bCs/>
          <w:i/>
          <w:iCs/>
        </w:rPr>
        <w:t>a)</w:t>
      </w:r>
      <w:r w:rsidRPr="00361BCF">
        <w:rPr>
          <w:b/>
          <w:bCs/>
          <w:i/>
          <w:iCs/>
        </w:rPr>
        <w:tab/>
        <w:t>Resuelve</w:t>
      </w:r>
      <w:r w:rsidRPr="00361BCF">
        <w:rPr>
          <w:b/>
          <w:bCs/>
        </w:rPr>
        <w:t xml:space="preserve"> 2 sobre la fecha de recepción de las notificaciones</w:t>
      </w:r>
    </w:p>
    <w:p w14:paraId="63A63CC8" w14:textId="5306524D" w:rsidR="00995C81" w:rsidRPr="00361BCF" w:rsidRDefault="00995C81" w:rsidP="00956ABB">
      <w:pPr>
        <w:pStyle w:val="enumlev2"/>
      </w:pPr>
      <w:r w:rsidRPr="00361BCF">
        <w:tab/>
        <w:t xml:space="preserve">Las notificaciones a que se hace referencia en el </w:t>
      </w:r>
      <w:r w:rsidRPr="00361BCF">
        <w:rPr>
          <w:i/>
          <w:iCs/>
        </w:rPr>
        <w:t>resuelve</w:t>
      </w:r>
      <w:r w:rsidRPr="00361BCF">
        <w:t xml:space="preserve"> 2 tendrán la fecha común de recepción del 21 de mayo de 2020. La fecha oficial de recepción y la fecha de protección será el 21 de mayo de 2020 si las notificaciones están completas. Si las notificaciones no están completas y se recibe, no más tarde del</w:t>
      </w:r>
      <w:r w:rsidR="00E30532">
        <w:t> </w:t>
      </w:r>
      <w:r w:rsidRPr="00361BCF">
        <w:t>21 de mayo de 2020, una respuesta al telefax de la Oficina solicitando la información que falta, la fecha oficial de recepción y la fecha de protección será el 21 de mayo de 2020. Si la respuesta al telefax de la Oficina se recibe con posterioridad al 21 de mayo de 2020,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361BCF">
        <w:rPr>
          <w:b/>
          <w:bCs/>
        </w:rPr>
        <w:t>30</w:t>
      </w:r>
      <w:r w:rsidRPr="00361BCF">
        <w:t xml:space="preserve"> y </w:t>
      </w:r>
      <w:r w:rsidRPr="00361BCF">
        <w:rPr>
          <w:b/>
          <w:bCs/>
        </w:rPr>
        <w:t>30A</w:t>
      </w:r>
      <w:r w:rsidRPr="00361BCF">
        <w:t xml:space="preserve"> del RR. En el caso de las notificaciones con la misma fecha de recepción oficial, la Oficina las tendrá en cuenta en su examen técnico y reglamentario.</w:t>
      </w:r>
    </w:p>
    <w:p w14:paraId="7B76BE90" w14:textId="77777777" w:rsidR="00995C81" w:rsidRPr="00361BCF" w:rsidRDefault="00995C81" w:rsidP="005F1D10">
      <w:pPr>
        <w:pStyle w:val="enumlev2"/>
      </w:pPr>
      <w:r w:rsidRPr="00361BCF">
        <w:rPr>
          <w:b/>
          <w:bCs/>
          <w:i/>
          <w:iCs/>
        </w:rPr>
        <w:t>b)</w:t>
      </w:r>
      <w:r w:rsidRPr="00361BCF">
        <w:rPr>
          <w:b/>
          <w:bCs/>
          <w:i/>
          <w:iCs/>
        </w:rPr>
        <w:tab/>
        <w:t>Resuelve</w:t>
      </w:r>
      <w:r w:rsidRPr="00361BCF">
        <w:rPr>
          <w:b/>
          <w:bCs/>
        </w:rPr>
        <w:t xml:space="preserve"> 3 </w:t>
      </w:r>
      <w:r w:rsidRPr="00956ABB">
        <w:rPr>
          <w:b/>
          <w:bCs/>
        </w:rPr>
        <w:t>sobre</w:t>
      </w:r>
      <w:r w:rsidRPr="00361BCF">
        <w:rPr>
          <w:b/>
          <w:bCs/>
        </w:rPr>
        <w:t xml:space="preserve"> la fecha de recepción de las notificaciones</w:t>
      </w:r>
    </w:p>
    <w:p w14:paraId="15798876" w14:textId="06CD17ED" w:rsidR="00995C81" w:rsidRPr="00361BCF" w:rsidRDefault="00995C81" w:rsidP="00956ABB">
      <w:pPr>
        <w:pStyle w:val="enumlev2"/>
      </w:pPr>
      <w:r w:rsidRPr="00361BCF">
        <w:tab/>
        <w:t xml:space="preserve">Las notificaciones a que se hace referencia en el </w:t>
      </w:r>
      <w:r w:rsidRPr="00361BCF">
        <w:rPr>
          <w:i/>
          <w:iCs/>
        </w:rPr>
        <w:t>resuelve</w:t>
      </w:r>
      <w:r w:rsidRPr="00361BCF">
        <w:t xml:space="preserve"> 3 (es decir, las notificaciones con arreglo al § 4.1.3 del Apéndice </w:t>
      </w:r>
      <w:r w:rsidRPr="00361BCF">
        <w:rPr>
          <w:b/>
          <w:bCs/>
        </w:rPr>
        <w:t>30</w:t>
      </w:r>
      <w:r w:rsidRPr="00361BCF">
        <w:t xml:space="preserve"> del RR en la banda de frecuencias 11,7-12,5 GHz y las asignaciones a enlaces de conexión en las bandas de frecuencias 14,5-14,8 GHz y 17,3-18,1 GHz del Apéndice </w:t>
      </w:r>
      <w:r w:rsidRPr="00361BCF">
        <w:rPr>
          <w:b/>
          <w:bCs/>
        </w:rPr>
        <w:t>30A</w:t>
      </w:r>
      <w:r w:rsidRPr="00361BCF">
        <w:t xml:space="preserve"> del</w:t>
      </w:r>
      <w:r w:rsidR="00E30532">
        <w:t> </w:t>
      </w:r>
      <w:r w:rsidRPr="00361BCF">
        <w:t>RR) en una posición orbital de los arcos orbitales cuyas restricciones del Anexo 7 al Apéndice </w:t>
      </w:r>
      <w:r w:rsidRPr="00361BCF">
        <w:rPr>
          <w:b/>
          <w:bCs/>
        </w:rPr>
        <w:t>30</w:t>
      </w:r>
      <w:r w:rsidRPr="00361BCF">
        <w:t xml:space="preserve"> </w:t>
      </w:r>
      <w:r w:rsidRPr="00361BCF">
        <w:rPr>
          <w:b/>
          <w:bCs/>
        </w:rPr>
        <w:t>(Rev.CMR-15)</w:t>
      </w:r>
      <w:r w:rsidRPr="00361BCF">
        <w:t xml:space="preserve"> del RR haya suprimido la CMR-19 y no reúnan los requisitos especificados en el § 1 del Adjunto a dicha Resolución, tendrá la fecha común de recepción del 22 de mayo de 2020. En el caso de esas notificaciones,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361BCF">
        <w:rPr>
          <w:b/>
          <w:bCs/>
        </w:rPr>
        <w:t>30</w:t>
      </w:r>
      <w:r w:rsidRPr="00361BCF">
        <w:t xml:space="preserve"> y </w:t>
      </w:r>
      <w:r w:rsidRPr="00361BCF">
        <w:rPr>
          <w:b/>
          <w:bCs/>
        </w:rPr>
        <w:t>30A</w:t>
      </w:r>
      <w:r w:rsidRPr="00361BCF">
        <w:t xml:space="preserve"> del RR. En el caso de las notificaciones con la misma fecha de recepción oficial, la Oficina las tendrá en cuenta en su examen técnico y reglamentario.</w:t>
      </w:r>
    </w:p>
    <w:p w14:paraId="7274CAF1" w14:textId="77777777" w:rsidR="00995C81" w:rsidRPr="00361BCF" w:rsidRDefault="00995C81" w:rsidP="00956ABB">
      <w:pPr>
        <w:pStyle w:val="enumlev2"/>
        <w:keepNext/>
        <w:keepLines/>
        <w:rPr>
          <w:b/>
          <w:bCs/>
        </w:rPr>
      </w:pPr>
      <w:r w:rsidRPr="00361BCF">
        <w:rPr>
          <w:b/>
          <w:bCs/>
          <w:i/>
          <w:iCs/>
        </w:rPr>
        <w:lastRenderedPageBreak/>
        <w:t>c)</w:t>
      </w:r>
      <w:r w:rsidRPr="00361BCF">
        <w:rPr>
          <w:b/>
          <w:bCs/>
        </w:rPr>
        <w:tab/>
        <w:t>Notificaciones con arreglo al § 4.1.12 del Apéndice 30/30A del RR de las redes de satélites que aplican dicha Resolución</w:t>
      </w:r>
    </w:p>
    <w:p w14:paraId="059A629C" w14:textId="77777777" w:rsidR="00995C81" w:rsidRPr="00361BCF" w:rsidRDefault="00995C81" w:rsidP="00956ABB">
      <w:pPr>
        <w:pStyle w:val="enumlev2"/>
      </w:pPr>
      <w:r w:rsidRPr="00361BCF">
        <w:tab/>
        <w:t>Durante la coordinación de frecuencias, la administración notificante puede modificar el haz de elíptico a conformado. Por lo tanto, la Oficina aceptará las notificaciones de redes de satélites que apliquen dicha Resolución y contengan un haz conformado con arreglo al § 4.1.12 de los Apéndices </w:t>
      </w:r>
      <w:r w:rsidRPr="00361BCF">
        <w:rPr>
          <w:b/>
          <w:bCs/>
        </w:rPr>
        <w:t>30</w:t>
      </w:r>
      <w:r w:rsidRPr="00361BCF">
        <w:rPr>
          <w:bCs/>
        </w:rPr>
        <w:t xml:space="preserve"> y </w:t>
      </w:r>
      <w:r w:rsidRPr="00361BCF">
        <w:rPr>
          <w:b/>
          <w:bCs/>
        </w:rPr>
        <w:t>30A</w:t>
      </w:r>
      <w:r w:rsidRPr="00361BCF">
        <w:t xml:space="preserve"> del RR, si las características de la notificación en virtud del § 4.1.12 se encuentran dentro de las características globales de la notificación con arreglo al § 4.1.3.</w:t>
      </w:r>
    </w:p>
    <w:p w14:paraId="0EC5B33F" w14:textId="539F7900" w:rsidR="00995C81" w:rsidRPr="00361BCF" w:rsidRDefault="00995C81" w:rsidP="00C009CE">
      <w:pPr>
        <w:pStyle w:val="enumlev1"/>
        <w:rPr>
          <w:b/>
          <w:bCs/>
        </w:rPr>
      </w:pPr>
      <w:r w:rsidRPr="00361BCF">
        <w:rPr>
          <w:b/>
          <w:bCs/>
        </w:rPr>
        <w:t>5</w:t>
      </w:r>
      <w:r w:rsidRPr="00361BCF">
        <w:rPr>
          <w:b/>
          <w:bCs/>
        </w:rPr>
        <w:tab/>
        <w:t xml:space="preserve">Cálculo de la separación orbital geocéntrica mínima mencionada en los </w:t>
      </w:r>
      <w:r w:rsidRPr="00E30532">
        <w:rPr>
          <w:b/>
          <w:bCs/>
          <w:i/>
          <w:iCs/>
        </w:rPr>
        <w:t>resuelve</w:t>
      </w:r>
      <w:r w:rsidRPr="00361BCF">
        <w:rPr>
          <w:b/>
          <w:bCs/>
        </w:rPr>
        <w:t xml:space="preserve"> 1 y 2 de la Resolución </w:t>
      </w:r>
      <w:r w:rsidR="00C6467C" w:rsidRPr="00361BCF">
        <w:rPr>
          <w:b/>
          <w:bCs/>
        </w:rPr>
        <w:t>COM5/4</w:t>
      </w:r>
      <w:r w:rsidRPr="00361BCF">
        <w:rPr>
          <w:b/>
          <w:bCs/>
        </w:rPr>
        <w:t xml:space="preserve"> (CMR</w:t>
      </w:r>
      <w:r w:rsidRPr="00361BCF">
        <w:rPr>
          <w:b/>
          <w:bCs/>
        </w:rPr>
        <w:noBreakHyphen/>
        <w:t>19)</w:t>
      </w:r>
    </w:p>
    <w:p w14:paraId="517A30AE" w14:textId="77777777" w:rsidR="00995C81" w:rsidRPr="00361BCF" w:rsidRDefault="00995C81" w:rsidP="00C009CE">
      <w:pPr>
        <w:pStyle w:val="enumlev1"/>
      </w:pPr>
      <w:r w:rsidRPr="00361BCF">
        <w:tab/>
        <w:t>Al calcular la separación orbital geocéntrica mínima entre las estaciones espaciales deseada e interferente, la Oficina tendrá en cuenta las precisiones para mantener la estación en el sentido Este-Oeste de las estaciones espaciales del SFS y del SRS de modo que ambas estaciones espaciales se encuentren lo más próximas posible.</w:t>
      </w:r>
    </w:p>
    <w:p w14:paraId="57AA7746" w14:textId="27F1E59E" w:rsidR="00995C81" w:rsidRPr="00361BCF" w:rsidRDefault="00995C81" w:rsidP="00C009CE">
      <w:pPr>
        <w:pStyle w:val="enumlev1"/>
      </w:pPr>
      <w:r w:rsidRPr="00361BCF">
        <w:rPr>
          <w:b/>
          <w:bCs/>
        </w:rPr>
        <w:t>6</w:t>
      </w:r>
      <w:r w:rsidRPr="00361BCF">
        <w:tab/>
        <w:t xml:space="preserve">En relación con el caso específico de la Administración de Sudán del Sur, que no dispone actualmente de ninguna asignación de frecuencias en los Planes de los Apéndices </w:t>
      </w:r>
      <w:r w:rsidRPr="00361BCF">
        <w:rPr>
          <w:b/>
          <w:bCs/>
        </w:rPr>
        <w:t>30 y 30A</w:t>
      </w:r>
      <w:r w:rsidRPr="00361BCF">
        <w:t xml:space="preserve"> del RR, la CMR-19 decidió que la Administración de Sudán del Sur puede aplicar la Resolución </w:t>
      </w:r>
      <w:r w:rsidR="00C6467C" w:rsidRPr="00361BCF">
        <w:rPr>
          <w:b/>
          <w:bCs/>
        </w:rPr>
        <w:t>COM5/3</w:t>
      </w:r>
      <w:r w:rsidRPr="00361BCF">
        <w:rPr>
          <w:b/>
          <w:bCs/>
        </w:rPr>
        <w:t xml:space="preserve"> (CMR</w:t>
      </w:r>
      <w:r w:rsidRPr="00361BCF">
        <w:rPr>
          <w:b/>
          <w:bCs/>
        </w:rPr>
        <w:noBreakHyphen/>
        <w:t>19)</w:t>
      </w:r>
      <w:r w:rsidRPr="00361BCF">
        <w:t xml:space="preserve"> y encargó a la Oficina de Radiocomunicaciones aceptar tales notificaciones de la Administración de Sudán del Sur.</w:t>
      </w:r>
      <w:r w:rsidR="005A2837" w:rsidRPr="00361BCF">
        <w:t>»</w:t>
      </w:r>
    </w:p>
    <w:p w14:paraId="68AEFB4F" w14:textId="1E36433C" w:rsidR="005A2837" w:rsidRPr="00E30532" w:rsidRDefault="005A2837" w:rsidP="00C009CE">
      <w:r w:rsidRPr="00361BCF">
        <w:t>4.2</w:t>
      </w:r>
      <w:r w:rsidRPr="00361BCF">
        <w:tab/>
      </w:r>
      <w:bookmarkStart w:id="23" w:name="lt_pId158"/>
      <w:r w:rsidR="00806CCB" w:rsidRPr="00361BCF">
        <w:t xml:space="preserve">Así se </w:t>
      </w:r>
      <w:r w:rsidR="00806CCB" w:rsidRPr="00361BCF">
        <w:rPr>
          <w:b/>
          <w:bCs/>
        </w:rPr>
        <w:t>acuerda</w:t>
      </w:r>
      <w:r w:rsidRPr="00E30532">
        <w:t>.</w:t>
      </w:r>
      <w:bookmarkEnd w:id="23"/>
    </w:p>
    <w:p w14:paraId="1BEBF21F" w14:textId="343E4E8F" w:rsidR="005A2837" w:rsidRPr="00361BCF" w:rsidRDefault="005A2837" w:rsidP="00C009CE">
      <w:r w:rsidRPr="00361BCF">
        <w:t>4.3</w:t>
      </w:r>
      <w:r w:rsidRPr="00361BCF">
        <w:tab/>
      </w:r>
      <w:bookmarkStart w:id="24" w:name="lt_pId160"/>
      <w:r w:rsidR="00891D85" w:rsidRPr="00361BCF">
        <w:t xml:space="preserve">Se </w:t>
      </w:r>
      <w:r w:rsidR="00891D85" w:rsidRPr="00361BCF">
        <w:rPr>
          <w:b/>
          <w:bCs/>
        </w:rPr>
        <w:t>aprueba</w:t>
      </w:r>
      <w:r w:rsidR="00891D85" w:rsidRPr="00361BCF">
        <w:t xml:space="preserve"> el Documento</w:t>
      </w:r>
      <w:r w:rsidRPr="00361BCF">
        <w:t xml:space="preserve"> 303.</w:t>
      </w:r>
      <w:bookmarkEnd w:id="24"/>
    </w:p>
    <w:p w14:paraId="45B462BB" w14:textId="3AB91313" w:rsidR="005A2837" w:rsidRPr="00361BCF" w:rsidRDefault="005A2837" w:rsidP="00C009CE">
      <w:r w:rsidRPr="00361BCF">
        <w:t>4.4</w:t>
      </w:r>
      <w:r w:rsidRPr="00361BCF">
        <w:tab/>
      </w:r>
      <w:r w:rsidR="001F7503" w:rsidRPr="00361BCF">
        <w:t xml:space="preserve">El </w:t>
      </w:r>
      <w:r w:rsidR="001F7503" w:rsidRPr="00361BCF">
        <w:rPr>
          <w:b/>
          <w:bCs/>
        </w:rPr>
        <w:t>delegado de Sudán del Sur</w:t>
      </w:r>
      <w:r w:rsidR="001F7503" w:rsidRPr="00361BCF">
        <w:t xml:space="preserve"> agradece a la Plenaria la aprobación del Documento</w:t>
      </w:r>
      <w:r w:rsidR="00B52F83">
        <w:t> </w:t>
      </w:r>
      <w:r w:rsidR="001F7503" w:rsidRPr="00361BCF">
        <w:t>303. Asimismo, expresa su gratitud y reconocimiento a la UIT, en particular a la Oficina de Radiocomunicaciones, y a todas las administraciones y entidades que han ayudado a su país a realizar progresos tan importantes desde la CMR-12.</w:t>
      </w:r>
    </w:p>
    <w:p w14:paraId="166080F7" w14:textId="131509B1" w:rsidR="005A2837" w:rsidRPr="00361BCF" w:rsidRDefault="005A2837" w:rsidP="00C009CE">
      <w:r w:rsidRPr="00361BCF">
        <w:t>4.5</w:t>
      </w:r>
      <w:r w:rsidRPr="00361BCF">
        <w:tab/>
        <w:t xml:space="preserve">El </w:t>
      </w:r>
      <w:r w:rsidRPr="00361BCF">
        <w:rPr>
          <w:b/>
          <w:bCs/>
        </w:rPr>
        <w:t>Presidente de la Comisión 5</w:t>
      </w:r>
      <w:r w:rsidRPr="00361BCF">
        <w:t xml:space="preserve"> presenta el Documento 338, que contiene el tercer informe de la Comisión a la Plenaria y recoge las conclusiones de la Comisión sobre el punto 9.2 del orden del día. En aras de la claridad, se propone que el texto siguiente, que figura en el Documento 338, se apruebe y se incluya en las actas de la reunión como decisión de la conferencia:</w:t>
      </w:r>
    </w:p>
    <w:p w14:paraId="6B7B4684" w14:textId="70A9B859" w:rsidR="00DC2B0C" w:rsidRPr="00361BCF" w:rsidRDefault="00DC2B0C" w:rsidP="00C009CE">
      <w:pPr>
        <w:pStyle w:val="Headingb"/>
      </w:pPr>
      <w:r w:rsidRPr="00361BCF">
        <w:t>«Atribución a la investigación espacial en 14,5</w:t>
      </w:r>
      <w:r w:rsidRPr="00361BCF">
        <w:noBreakHyphen/>
        <w:t>14,8 GHz</w:t>
      </w:r>
    </w:p>
    <w:p w14:paraId="734D2D76" w14:textId="2FE4DC98" w:rsidR="00DC2B0C" w:rsidRPr="00361BCF" w:rsidRDefault="00DC2B0C" w:rsidP="00C009CE">
      <w:r w:rsidRPr="00361BCF">
        <w:t xml:space="preserve">Tras examinar la sección 3.1.2.4 del </w:t>
      </w:r>
      <w:r w:rsidRPr="00B52F83">
        <w:t>Documento 4(Add.2)</w:t>
      </w:r>
      <w:r w:rsidRPr="00361BCF">
        <w:t>, la Comisión 5 concluyó que la Conferencia debe encargar al Director de la Oficina de Radiocomunicaciones que supervise el uso de la atribución a la investigación espacial en la banda de frecuencias 14,5</w:t>
      </w:r>
      <w:r w:rsidRPr="00361BCF">
        <w:noBreakHyphen/>
        <w:t>14,8 GHz, y debe invitar al UIT</w:t>
      </w:r>
      <w:r w:rsidRPr="00361BCF">
        <w:noBreakHyphen/>
        <w:t>R a que estudie la evolución de los parámetros técnicos de los sistemas del servicio de investigación espacial y el entorno de compartición conexo de la misma banda de frecuencias.»</w:t>
      </w:r>
    </w:p>
    <w:p w14:paraId="7B2DB282" w14:textId="5581C2F8" w:rsidR="00DC2B0C" w:rsidRPr="005F1D10" w:rsidRDefault="00DC2B0C" w:rsidP="00C009CE">
      <w:r w:rsidRPr="00361BCF">
        <w:t>4.6</w:t>
      </w:r>
      <w:r w:rsidRPr="00361BCF">
        <w:tab/>
      </w:r>
      <w:bookmarkStart w:id="25" w:name="lt_pId170"/>
      <w:r w:rsidR="00806CCB" w:rsidRPr="00361BCF">
        <w:t xml:space="preserve">Así se </w:t>
      </w:r>
      <w:r w:rsidR="00806CCB" w:rsidRPr="00361BCF">
        <w:rPr>
          <w:b/>
          <w:bCs/>
        </w:rPr>
        <w:t>acuerda</w:t>
      </w:r>
      <w:r w:rsidRPr="005F1D10">
        <w:t>.</w:t>
      </w:r>
      <w:bookmarkEnd w:id="25"/>
    </w:p>
    <w:p w14:paraId="232622BC" w14:textId="6482AA91" w:rsidR="00DC2B0C" w:rsidRPr="005F1D10" w:rsidRDefault="00DC2B0C" w:rsidP="00C009CE">
      <w:r w:rsidRPr="00361BCF">
        <w:t>4.7</w:t>
      </w:r>
      <w:r w:rsidRPr="00361BCF">
        <w:tab/>
      </w:r>
      <w:bookmarkStart w:id="26" w:name="lt_pId172"/>
      <w:r w:rsidR="002177C2" w:rsidRPr="00361BCF">
        <w:t xml:space="preserve">Se </w:t>
      </w:r>
      <w:r w:rsidR="002177C2" w:rsidRPr="00361BCF">
        <w:rPr>
          <w:b/>
          <w:bCs/>
        </w:rPr>
        <w:t xml:space="preserve">aprueba </w:t>
      </w:r>
      <w:r w:rsidR="002177C2" w:rsidRPr="00361BCF">
        <w:t xml:space="preserve">el </w:t>
      </w:r>
      <w:r w:rsidRPr="00361BCF">
        <w:t>Document</w:t>
      </w:r>
      <w:r w:rsidR="002177C2" w:rsidRPr="00361BCF">
        <w:t>o</w:t>
      </w:r>
      <w:r w:rsidRPr="00361BCF">
        <w:t xml:space="preserve"> 338</w:t>
      </w:r>
      <w:r w:rsidRPr="005F1D10">
        <w:t>.</w:t>
      </w:r>
      <w:bookmarkEnd w:id="26"/>
    </w:p>
    <w:p w14:paraId="090F435E" w14:textId="7D545BCF" w:rsidR="00DC2B0C" w:rsidRPr="00361BCF" w:rsidRDefault="00DC2B0C" w:rsidP="00C009CE">
      <w:r w:rsidRPr="00361BCF">
        <w:t>4.8</w:t>
      </w:r>
      <w:r w:rsidRPr="00361BCF">
        <w:tab/>
      </w:r>
      <w:bookmarkStart w:id="27" w:name="lt_pId176"/>
      <w:r w:rsidR="00C049B7" w:rsidRPr="00361BCF">
        <w:t xml:space="preserve">El </w:t>
      </w:r>
      <w:r w:rsidR="00C049B7" w:rsidRPr="00361BCF">
        <w:rPr>
          <w:b/>
          <w:bCs/>
        </w:rPr>
        <w:t>Presidente de la Comisión 5</w:t>
      </w:r>
      <w:r w:rsidR="00C049B7" w:rsidRPr="00361BCF">
        <w:t xml:space="preserve"> presenta el Documento 339, cuarto informe de la Comisión</w:t>
      </w:r>
      <w:r w:rsidR="002D7164">
        <w:t xml:space="preserve"> </w:t>
      </w:r>
      <w:r w:rsidR="00C049B7" w:rsidRPr="00361BCF">
        <w:t xml:space="preserve">a la Plenaria, relativo a las conclusiones de la Comisión sobre el punto 9.2 del orden del día y a las propuestas formuladas por los Estados Miembros con respecto al número 4.6 del Reglamento de Radiocomunicaciones. La Comisión ha examinado las propuestas y ha acordado que no es necesario introducir modificaciones en el Reglamento de Radiocomunicaciones. Se invita a la Plenaria a examinar y aprobar las conclusiones de la Comisión </w:t>
      </w:r>
      <w:r w:rsidR="00BE71D7" w:rsidRPr="00361BCF">
        <w:t xml:space="preserve">consignadas </w:t>
      </w:r>
      <w:r w:rsidR="00C049B7" w:rsidRPr="00361BCF">
        <w:t>en el documento</w:t>
      </w:r>
      <w:r w:rsidRPr="00361BCF">
        <w:t>.</w:t>
      </w:r>
      <w:bookmarkEnd w:id="27"/>
    </w:p>
    <w:p w14:paraId="2998220D" w14:textId="125244EB" w:rsidR="00DC2B0C" w:rsidRPr="00361BCF" w:rsidRDefault="00DC2B0C" w:rsidP="00C009CE">
      <w:r w:rsidRPr="00361BCF">
        <w:lastRenderedPageBreak/>
        <w:t>4.9</w:t>
      </w:r>
      <w:r w:rsidRPr="00361BCF">
        <w:tab/>
      </w:r>
      <w:bookmarkStart w:id="28" w:name="lt_pId178"/>
      <w:r w:rsidR="00C049B7" w:rsidRPr="00361BCF">
        <w:t xml:space="preserve">Se </w:t>
      </w:r>
      <w:r w:rsidR="00C049B7" w:rsidRPr="00361BCF">
        <w:rPr>
          <w:b/>
          <w:bCs/>
        </w:rPr>
        <w:t xml:space="preserve">aprueba </w:t>
      </w:r>
      <w:r w:rsidR="00C049B7" w:rsidRPr="00361BCF">
        <w:t xml:space="preserve">el Documento </w:t>
      </w:r>
      <w:r w:rsidRPr="00361BCF">
        <w:t>339.</w:t>
      </w:r>
      <w:bookmarkEnd w:id="28"/>
    </w:p>
    <w:p w14:paraId="4C5F0957" w14:textId="792AB10D" w:rsidR="00DC2B0C" w:rsidRPr="00361BCF" w:rsidRDefault="00DC2B0C" w:rsidP="00C009CE">
      <w:r w:rsidRPr="00361BCF">
        <w:t>4.10</w:t>
      </w:r>
      <w:r w:rsidRPr="00361BCF">
        <w:tab/>
      </w:r>
      <w:bookmarkStart w:id="29" w:name="lt_pId182"/>
      <w:r w:rsidR="00A2445C" w:rsidRPr="00361BCF">
        <w:t xml:space="preserve">El </w:t>
      </w:r>
      <w:r w:rsidR="00A2445C" w:rsidRPr="00361BCF">
        <w:rPr>
          <w:b/>
          <w:bCs/>
        </w:rPr>
        <w:t>Presidente de la Comisión 5</w:t>
      </w:r>
      <w:r w:rsidR="00A2445C" w:rsidRPr="00361BCF">
        <w:t xml:space="preserve"> presenta el Documento 341, quinto informe de la Comisión a la Plenaria, relativo a las conclusiones de la Comisión sobre el punto 7 del orden del día (Tema J) y la Resolución 86 (Rev.CMR-07). Tras examinar las propuestas presentadas por los Estados Miembros, la Comisión ha convenido en que no es necesario introducir modificaciones en el Reglamento de Radiocomunicaciones. Se invita a la Sesión Plenaria a examinar y aprobar las conclusiones de la Comisión que figuran en el documento</w:t>
      </w:r>
      <w:r w:rsidRPr="00361BCF">
        <w:t>.</w:t>
      </w:r>
      <w:bookmarkEnd w:id="29"/>
    </w:p>
    <w:p w14:paraId="74F6266B" w14:textId="1E467C04" w:rsidR="00DC2B0C" w:rsidRPr="00361BCF" w:rsidRDefault="00DC2B0C" w:rsidP="00C009CE">
      <w:r w:rsidRPr="00361BCF">
        <w:t>4.11</w:t>
      </w:r>
      <w:r w:rsidRPr="00361BCF">
        <w:tab/>
      </w:r>
      <w:bookmarkStart w:id="30" w:name="lt_pId184"/>
      <w:r w:rsidR="00A2445C" w:rsidRPr="00361BCF">
        <w:t xml:space="preserve">Se </w:t>
      </w:r>
      <w:r w:rsidR="00A2445C" w:rsidRPr="00361BCF">
        <w:rPr>
          <w:b/>
          <w:bCs/>
        </w:rPr>
        <w:t xml:space="preserve">aprueba </w:t>
      </w:r>
      <w:r w:rsidR="00A2445C" w:rsidRPr="00361BCF">
        <w:t xml:space="preserve">el Documento </w:t>
      </w:r>
      <w:r w:rsidRPr="00361BCF">
        <w:t>341.</w:t>
      </w:r>
      <w:bookmarkEnd w:id="30"/>
    </w:p>
    <w:p w14:paraId="3C80C4E5" w14:textId="3C3FC408" w:rsidR="007A2B40" w:rsidRPr="00361BCF" w:rsidRDefault="007A2B40" w:rsidP="00C009CE">
      <w:pPr>
        <w:pStyle w:val="Heading1"/>
      </w:pPr>
      <w:bookmarkStart w:id="31" w:name="lt_pId191"/>
      <w:r w:rsidRPr="00361BCF">
        <w:t>5</w:t>
      </w:r>
      <w:r w:rsidRPr="00361BCF">
        <w:tab/>
        <w:t>Vigésima serie de textos sometidos por la Comisión de Redacción en primera lectura (B20) (Documento 324)</w:t>
      </w:r>
    </w:p>
    <w:p w14:paraId="330E50F2" w14:textId="7096BA2A" w:rsidR="007A2B40" w:rsidRPr="00361BCF" w:rsidRDefault="007A2B40" w:rsidP="00C009CE">
      <w:r w:rsidRPr="00361BCF">
        <w:t>5.1</w:t>
      </w:r>
      <w:r w:rsidRPr="00361BCF">
        <w:tab/>
        <w:t xml:space="preserve">El </w:t>
      </w:r>
      <w:r w:rsidRPr="00361BCF">
        <w:rPr>
          <w:b/>
          <w:bCs/>
        </w:rPr>
        <w:t>Presidente de la Comisión de Redacción</w:t>
      </w:r>
      <w:r w:rsidRPr="00361BCF">
        <w:t xml:space="preserve"> presenta el Documento 324.</w:t>
      </w:r>
    </w:p>
    <w:p w14:paraId="47441FE4" w14:textId="1D76AEF1" w:rsidR="007A2B40" w:rsidRPr="00361BCF" w:rsidRDefault="007A2B40" w:rsidP="00C009CE">
      <w:r w:rsidRPr="00361BCF">
        <w:t>5.2</w:t>
      </w:r>
      <w:r w:rsidRPr="00361BCF">
        <w:tab/>
        <w:t xml:space="preserve">El </w:t>
      </w:r>
      <w:r w:rsidRPr="00361BCF">
        <w:rPr>
          <w:b/>
          <w:bCs/>
        </w:rPr>
        <w:t>Presidente</w:t>
      </w:r>
      <w:r w:rsidRPr="00361BCF">
        <w:t xml:space="preserve"> invita a la reunión a examinar el Documento 324.</w:t>
      </w:r>
    </w:p>
    <w:p w14:paraId="1E8E6CB3" w14:textId="75BFB68C" w:rsidR="00524620" w:rsidRPr="00361BCF" w:rsidRDefault="00524620" w:rsidP="00C009CE">
      <w:pPr>
        <w:rPr>
          <w:b/>
          <w:bCs/>
        </w:rPr>
      </w:pPr>
      <w:r w:rsidRPr="00361BCF">
        <w:rPr>
          <w:b/>
          <w:bCs/>
        </w:rPr>
        <w:t>Ap</w:t>
      </w:r>
      <w:r w:rsidR="009208E2" w:rsidRPr="00361BCF">
        <w:rPr>
          <w:b/>
          <w:bCs/>
        </w:rPr>
        <w:t>é</w:t>
      </w:r>
      <w:r w:rsidRPr="00361BCF">
        <w:rPr>
          <w:b/>
          <w:bCs/>
        </w:rPr>
        <w:t>ndi</w:t>
      </w:r>
      <w:r w:rsidR="009208E2" w:rsidRPr="00361BCF">
        <w:rPr>
          <w:b/>
          <w:bCs/>
        </w:rPr>
        <w:t>ce</w:t>
      </w:r>
      <w:r w:rsidRPr="00361BCF">
        <w:rPr>
          <w:b/>
          <w:bCs/>
        </w:rPr>
        <w:t xml:space="preserve"> 30 (Art</w:t>
      </w:r>
      <w:r w:rsidR="009208E2" w:rsidRPr="00361BCF">
        <w:rPr>
          <w:b/>
          <w:bCs/>
        </w:rPr>
        <w:t>í</w:t>
      </w:r>
      <w:r w:rsidRPr="00361BCF">
        <w:rPr>
          <w:b/>
          <w:bCs/>
        </w:rPr>
        <w:t>c</w:t>
      </w:r>
      <w:r w:rsidR="009208E2" w:rsidRPr="00361BCF">
        <w:rPr>
          <w:b/>
          <w:bCs/>
        </w:rPr>
        <w:t>u</w:t>
      </w:r>
      <w:r w:rsidRPr="00361BCF">
        <w:rPr>
          <w:b/>
          <w:bCs/>
        </w:rPr>
        <w:t>l</w:t>
      </w:r>
      <w:r w:rsidR="009208E2" w:rsidRPr="00361BCF">
        <w:rPr>
          <w:b/>
          <w:bCs/>
        </w:rPr>
        <w:t>o</w:t>
      </w:r>
      <w:r w:rsidRPr="00361BCF">
        <w:rPr>
          <w:b/>
          <w:bCs/>
        </w:rPr>
        <w:t xml:space="preserve"> 11 – MOD </w:t>
      </w:r>
      <w:r w:rsidR="009208E2" w:rsidRPr="00361BCF">
        <w:rPr>
          <w:b/>
          <w:bCs/>
        </w:rPr>
        <w:t>Cuadro</w:t>
      </w:r>
      <w:r w:rsidRPr="00361BCF">
        <w:rPr>
          <w:b/>
          <w:bCs/>
        </w:rPr>
        <w:t xml:space="preserve"> 2, MOD </w:t>
      </w:r>
      <w:r w:rsidR="009208E2" w:rsidRPr="00361BCF">
        <w:rPr>
          <w:b/>
          <w:bCs/>
        </w:rPr>
        <w:t>Cuadro</w:t>
      </w:r>
      <w:r w:rsidRPr="00361BCF">
        <w:rPr>
          <w:b/>
          <w:bCs/>
        </w:rPr>
        <w:t xml:space="preserve"> 6A); Ap</w:t>
      </w:r>
      <w:r w:rsidR="009208E2" w:rsidRPr="00361BCF">
        <w:rPr>
          <w:b/>
          <w:bCs/>
        </w:rPr>
        <w:t>é</w:t>
      </w:r>
      <w:r w:rsidRPr="00361BCF">
        <w:rPr>
          <w:b/>
          <w:bCs/>
        </w:rPr>
        <w:t>ndi</w:t>
      </w:r>
      <w:r w:rsidR="009208E2" w:rsidRPr="00361BCF">
        <w:rPr>
          <w:b/>
          <w:bCs/>
        </w:rPr>
        <w:t>ce</w:t>
      </w:r>
      <w:r w:rsidRPr="00361BCF">
        <w:rPr>
          <w:b/>
          <w:bCs/>
        </w:rPr>
        <w:t xml:space="preserve"> 30A (Art</w:t>
      </w:r>
      <w:r w:rsidR="009208E2" w:rsidRPr="00361BCF">
        <w:rPr>
          <w:b/>
          <w:bCs/>
        </w:rPr>
        <w:t>í</w:t>
      </w:r>
      <w:r w:rsidRPr="00361BCF">
        <w:rPr>
          <w:b/>
          <w:bCs/>
        </w:rPr>
        <w:t>c</w:t>
      </w:r>
      <w:r w:rsidR="009208E2" w:rsidRPr="00361BCF">
        <w:rPr>
          <w:b/>
          <w:bCs/>
        </w:rPr>
        <w:t>ulo</w:t>
      </w:r>
      <w:r w:rsidRPr="00361BCF">
        <w:rPr>
          <w:b/>
          <w:bCs/>
        </w:rPr>
        <w:t xml:space="preserve"> 9A– MOD </w:t>
      </w:r>
      <w:r w:rsidR="009208E2" w:rsidRPr="00361BCF">
        <w:rPr>
          <w:b/>
          <w:bCs/>
        </w:rPr>
        <w:t>Cuadro</w:t>
      </w:r>
      <w:r w:rsidRPr="00361BCF">
        <w:rPr>
          <w:b/>
          <w:bCs/>
        </w:rPr>
        <w:t xml:space="preserve"> 3A1, MOD </w:t>
      </w:r>
      <w:r w:rsidR="009208E2" w:rsidRPr="00361BCF">
        <w:rPr>
          <w:b/>
          <w:bCs/>
        </w:rPr>
        <w:t>Cuadro</w:t>
      </w:r>
      <w:r w:rsidRPr="00361BCF">
        <w:rPr>
          <w:b/>
          <w:bCs/>
        </w:rPr>
        <w:t xml:space="preserve"> 3A2)</w:t>
      </w:r>
      <w:bookmarkEnd w:id="31"/>
    </w:p>
    <w:p w14:paraId="44EAC39F" w14:textId="240F3936" w:rsidR="00524620" w:rsidRPr="00150438" w:rsidRDefault="00524620" w:rsidP="00C009CE">
      <w:r w:rsidRPr="00361BCF">
        <w:t>5.3</w:t>
      </w:r>
      <w:r w:rsidRPr="00361BCF">
        <w:tab/>
      </w:r>
      <w:bookmarkStart w:id="32" w:name="lt_pId193"/>
      <w:r w:rsidRPr="00361BCF">
        <w:rPr>
          <w:b/>
          <w:bCs/>
        </w:rPr>
        <w:t>Aprobado</w:t>
      </w:r>
      <w:r w:rsidRPr="00150438">
        <w:t>.</w:t>
      </w:r>
      <w:bookmarkEnd w:id="32"/>
    </w:p>
    <w:p w14:paraId="14CBCE01" w14:textId="7A6B2AF5" w:rsidR="007A2B40" w:rsidRPr="00361BCF" w:rsidRDefault="007A2B40" w:rsidP="00C009CE">
      <w:pPr>
        <w:pStyle w:val="Heading1"/>
      </w:pPr>
      <w:r w:rsidRPr="00361BCF">
        <w:t>6</w:t>
      </w:r>
      <w:r w:rsidRPr="00361BCF">
        <w:tab/>
        <w:t>Vigésima serie de textos sometidos por la Comisión de Redacción (B20) – segunda lectura (Documento 324)</w:t>
      </w:r>
    </w:p>
    <w:p w14:paraId="69AAB202" w14:textId="2FC4F604" w:rsidR="007A2B40" w:rsidRPr="00361BCF" w:rsidRDefault="007A2B40" w:rsidP="00C009CE">
      <w:r w:rsidRPr="00361BCF">
        <w:t>6.1</w:t>
      </w:r>
      <w:r w:rsidRPr="00361BCF">
        <w:tab/>
        <w:t xml:space="preserve">Se </w:t>
      </w:r>
      <w:r w:rsidRPr="00361BCF">
        <w:rPr>
          <w:b/>
          <w:bCs/>
        </w:rPr>
        <w:t xml:space="preserve">aprueba </w:t>
      </w:r>
      <w:r w:rsidRPr="00361BCF">
        <w:t>en segunda lectura</w:t>
      </w:r>
      <w:r w:rsidRPr="00361BCF">
        <w:rPr>
          <w:b/>
          <w:bCs/>
        </w:rPr>
        <w:t xml:space="preserve"> </w:t>
      </w:r>
      <w:r w:rsidRPr="00361BCF">
        <w:t xml:space="preserve">la </w:t>
      </w:r>
      <w:r w:rsidR="00825471" w:rsidRPr="00361BCF">
        <w:t xml:space="preserve">vigésima </w:t>
      </w:r>
      <w:r w:rsidRPr="00361BCF">
        <w:t>serie de textos sometidos por la Comisión de Redacción (B20) (Documento 324).</w:t>
      </w:r>
    </w:p>
    <w:p w14:paraId="058BD6F5" w14:textId="07A8FB83" w:rsidR="007A2B40" w:rsidRPr="00361BCF" w:rsidRDefault="007A2B40" w:rsidP="00C009CE">
      <w:pPr>
        <w:pStyle w:val="Heading1"/>
      </w:pPr>
      <w:r w:rsidRPr="00361BCF">
        <w:t>7</w:t>
      </w:r>
      <w:r w:rsidRPr="00361BCF">
        <w:tab/>
        <w:t>Vigésima primera serie de textos sometidos por la Comisión de Redacción en primera lectura (B21) (Documento 325)</w:t>
      </w:r>
    </w:p>
    <w:p w14:paraId="60C236A4" w14:textId="1C52379C" w:rsidR="007A2B40" w:rsidRPr="00361BCF" w:rsidRDefault="007A2B40" w:rsidP="00C009CE">
      <w:r w:rsidRPr="00361BCF">
        <w:t>7.1</w:t>
      </w:r>
      <w:r w:rsidRPr="00361BCF">
        <w:tab/>
        <w:t xml:space="preserve">El </w:t>
      </w:r>
      <w:r w:rsidRPr="00361BCF">
        <w:rPr>
          <w:b/>
          <w:bCs/>
        </w:rPr>
        <w:t>Presidente de la Comisión de Redacción</w:t>
      </w:r>
      <w:r w:rsidRPr="00361BCF">
        <w:t xml:space="preserve"> presenta el Documento 325.</w:t>
      </w:r>
    </w:p>
    <w:p w14:paraId="15B70FEA" w14:textId="4F305E38" w:rsidR="007A2B40" w:rsidRPr="00361BCF" w:rsidRDefault="007A2B40" w:rsidP="00C009CE">
      <w:r w:rsidRPr="00361BCF">
        <w:t>7.2</w:t>
      </w:r>
      <w:r w:rsidRPr="00361BCF">
        <w:tab/>
        <w:t xml:space="preserve">El </w:t>
      </w:r>
      <w:r w:rsidRPr="00361BCF">
        <w:rPr>
          <w:b/>
          <w:bCs/>
        </w:rPr>
        <w:t>Presidente</w:t>
      </w:r>
      <w:r w:rsidRPr="00361BCF">
        <w:t xml:space="preserve"> invita a la reunión a examinar el Documento 325.</w:t>
      </w:r>
    </w:p>
    <w:p w14:paraId="169BBF19" w14:textId="784C11AA" w:rsidR="00524620" w:rsidRPr="00361BCF" w:rsidRDefault="00524620" w:rsidP="00C009CE">
      <w:pPr>
        <w:rPr>
          <w:b/>
          <w:bCs/>
        </w:rPr>
      </w:pPr>
      <w:bookmarkStart w:id="33" w:name="lt_pId206"/>
      <w:r w:rsidRPr="00361BCF">
        <w:rPr>
          <w:b/>
          <w:bCs/>
        </w:rPr>
        <w:t>Ap</w:t>
      </w:r>
      <w:r w:rsidR="009208E2" w:rsidRPr="00361BCF">
        <w:rPr>
          <w:b/>
          <w:bCs/>
        </w:rPr>
        <w:t>é</w:t>
      </w:r>
      <w:r w:rsidRPr="00361BCF">
        <w:rPr>
          <w:b/>
          <w:bCs/>
        </w:rPr>
        <w:t>ndi</w:t>
      </w:r>
      <w:r w:rsidR="009208E2" w:rsidRPr="00361BCF">
        <w:rPr>
          <w:b/>
          <w:bCs/>
        </w:rPr>
        <w:t>ce</w:t>
      </w:r>
      <w:r w:rsidRPr="00361BCF">
        <w:rPr>
          <w:b/>
          <w:bCs/>
        </w:rPr>
        <w:t xml:space="preserve"> 30, Anex</w:t>
      </w:r>
      <w:r w:rsidR="009208E2" w:rsidRPr="00361BCF">
        <w:rPr>
          <w:b/>
          <w:bCs/>
        </w:rPr>
        <w:t>o</w:t>
      </w:r>
      <w:r w:rsidRPr="00361BCF">
        <w:rPr>
          <w:b/>
          <w:bCs/>
        </w:rPr>
        <w:t xml:space="preserve"> 7 (MOD T</w:t>
      </w:r>
      <w:r w:rsidR="009208E2" w:rsidRPr="00361BCF">
        <w:rPr>
          <w:b/>
          <w:bCs/>
        </w:rPr>
        <w:t>í</w:t>
      </w:r>
      <w:r w:rsidRPr="00361BCF">
        <w:rPr>
          <w:b/>
          <w:bCs/>
        </w:rPr>
        <w:t>t</w:t>
      </w:r>
      <w:r w:rsidR="009208E2" w:rsidRPr="00361BCF">
        <w:rPr>
          <w:b/>
          <w:bCs/>
        </w:rPr>
        <w:t>ulo</w:t>
      </w:r>
      <w:r w:rsidRPr="00361BCF">
        <w:rPr>
          <w:b/>
          <w:bCs/>
        </w:rPr>
        <w:t xml:space="preserve">, MOD 1), MOD 2), SUP 3), SUP </w:t>
      </w:r>
      <w:r w:rsidR="009208E2" w:rsidRPr="00361BCF">
        <w:rPr>
          <w:b/>
          <w:bCs/>
        </w:rPr>
        <w:t xml:space="preserve">Cuadro </w:t>
      </w:r>
      <w:r w:rsidRPr="00361BCF">
        <w:rPr>
          <w:b/>
          <w:bCs/>
        </w:rPr>
        <w:t>1, SUP</w:t>
      </w:r>
      <w:r w:rsidR="00721F9D">
        <w:rPr>
          <w:b/>
          <w:bCs/>
        </w:rPr>
        <w:t> </w:t>
      </w:r>
      <w:r w:rsidR="009208E2" w:rsidRPr="00361BCF">
        <w:rPr>
          <w:b/>
          <w:bCs/>
        </w:rPr>
        <w:t>Cuadro </w:t>
      </w:r>
      <w:r w:rsidRPr="00361BCF">
        <w:rPr>
          <w:b/>
          <w:bCs/>
        </w:rPr>
        <w:t>2);</w:t>
      </w:r>
      <w:bookmarkEnd w:id="33"/>
    </w:p>
    <w:p w14:paraId="13D467F8" w14:textId="1B76C492" w:rsidR="00E760C4" w:rsidRPr="00361BCF" w:rsidRDefault="00E760C4" w:rsidP="00C009CE">
      <w:pPr>
        <w:rPr>
          <w:b/>
          <w:bCs/>
        </w:rPr>
      </w:pPr>
      <w:r w:rsidRPr="00361BCF">
        <w:rPr>
          <w:b/>
          <w:bCs/>
        </w:rPr>
        <w:t xml:space="preserve">ADD </w:t>
      </w:r>
      <w:r w:rsidR="00524620" w:rsidRPr="00361BCF">
        <w:rPr>
          <w:b/>
          <w:bCs/>
        </w:rPr>
        <w:t xml:space="preserve">Resolución </w:t>
      </w:r>
      <w:r w:rsidRPr="00361BCF">
        <w:rPr>
          <w:b/>
          <w:bCs/>
        </w:rPr>
        <w:t xml:space="preserve">COM5/2 (CMR-19) </w:t>
      </w:r>
      <w:r w:rsidR="00524620" w:rsidRPr="00361BCF">
        <w:rPr>
          <w:b/>
          <w:bCs/>
        </w:rPr>
        <w:t xml:space="preserve">– </w:t>
      </w:r>
      <w:r w:rsidRPr="00361BCF">
        <w:rPr>
          <w:b/>
          <w:bCs/>
        </w:rPr>
        <w:t>Protección de las redes del servicio de radiodifusión por satélite instaladas en el arco orbital de la órbita de los satélites geoestacionarios entre 37,2° W y 10°</w:t>
      </w:r>
      <w:r w:rsidR="00524620" w:rsidRPr="00361BCF">
        <w:rPr>
          <w:b/>
          <w:bCs/>
        </w:rPr>
        <w:t> </w:t>
      </w:r>
      <w:r w:rsidRPr="00361BCF">
        <w:rPr>
          <w:b/>
          <w:bCs/>
        </w:rPr>
        <w:t>E en la banda de frecuencias 11,7-12,2 GHz</w:t>
      </w:r>
    </w:p>
    <w:p w14:paraId="115206E9" w14:textId="3C3D3F29" w:rsidR="00524620" w:rsidRPr="00361BCF" w:rsidRDefault="00524620" w:rsidP="00C009CE">
      <w:r w:rsidRPr="00361BCF">
        <w:t>7.3</w:t>
      </w:r>
      <w:r w:rsidRPr="00361BCF">
        <w:tab/>
      </w:r>
      <w:r w:rsidRPr="00361BCF">
        <w:rPr>
          <w:b/>
          <w:bCs/>
        </w:rPr>
        <w:t>Aprobado</w:t>
      </w:r>
      <w:r w:rsidRPr="00361BCF">
        <w:t>.</w:t>
      </w:r>
    </w:p>
    <w:p w14:paraId="2D0CD40B" w14:textId="2D810CA0" w:rsidR="00E760C4" w:rsidRPr="00361BCF" w:rsidRDefault="00524620" w:rsidP="00C009CE">
      <w:pPr>
        <w:rPr>
          <w:b/>
          <w:bCs/>
        </w:rPr>
      </w:pPr>
      <w:r w:rsidRPr="00361BCF">
        <w:rPr>
          <w:b/>
          <w:bCs/>
        </w:rPr>
        <w:t>ADD Resolución COM5/3 (CMR-19) – Medidas reglamentarias adicionales de carácter transitorio tras la supresión de parte del Anexo 7 al Apéndice 30 (Rev.CMR-15) por la CMR</w:t>
      </w:r>
      <w:r w:rsidRPr="00361BCF">
        <w:rPr>
          <w:b/>
          <w:bCs/>
        </w:rPr>
        <w:noBreakHyphen/>
        <w:t>19</w:t>
      </w:r>
    </w:p>
    <w:p w14:paraId="7C8CB45C" w14:textId="202B274F" w:rsidR="00524620" w:rsidRPr="00361BCF" w:rsidRDefault="00524620" w:rsidP="00C009CE">
      <w:r w:rsidRPr="00361BCF">
        <w:t>7.4</w:t>
      </w:r>
      <w:r w:rsidRPr="00361BCF">
        <w:tab/>
      </w:r>
      <w:bookmarkStart w:id="34" w:name="lt_pId214"/>
      <w:r w:rsidR="00224427" w:rsidRPr="00361BCF">
        <w:t xml:space="preserve">El </w:t>
      </w:r>
      <w:r w:rsidR="00224427" w:rsidRPr="00361BCF">
        <w:rPr>
          <w:b/>
          <w:bCs/>
        </w:rPr>
        <w:t>delegado de Iraq</w:t>
      </w:r>
      <w:r w:rsidR="00224427" w:rsidRPr="00361BCF">
        <w:t xml:space="preserve"> señala que su administración ha perdido un nivel significativo de protección </w:t>
      </w:r>
      <w:r w:rsidR="00977982" w:rsidRPr="00361BCF">
        <w:t>MPE y</w:t>
      </w:r>
      <w:r w:rsidR="00224427" w:rsidRPr="00361BCF">
        <w:t xml:space="preserve"> </w:t>
      </w:r>
      <w:r w:rsidR="00977982" w:rsidRPr="00361BCF">
        <w:t xml:space="preserve">pide </w:t>
      </w:r>
      <w:r w:rsidR="00224427" w:rsidRPr="00361BCF">
        <w:t>aclaraci</w:t>
      </w:r>
      <w:r w:rsidR="00977982" w:rsidRPr="00361BCF">
        <w:t>ones</w:t>
      </w:r>
      <w:r w:rsidR="00224427" w:rsidRPr="00361BCF">
        <w:t xml:space="preserve"> sobre el plazo de presentación a la Oficina en virtud de esa nueva </w:t>
      </w:r>
      <w:r w:rsidR="00392792" w:rsidRPr="00361BCF">
        <w:t>R</w:t>
      </w:r>
      <w:r w:rsidR="00224427" w:rsidRPr="00361BCF">
        <w:t xml:space="preserve">esolución. </w:t>
      </w:r>
      <w:r w:rsidR="00392792" w:rsidRPr="00361BCF">
        <w:t xml:space="preserve">Asimismo, recuerda </w:t>
      </w:r>
      <w:r w:rsidR="00224427" w:rsidRPr="00361BCF">
        <w:t xml:space="preserve">que la CMR-12 ha dado instrucciones a la UIT para que </w:t>
      </w:r>
      <w:r w:rsidR="00392792" w:rsidRPr="00361BCF">
        <w:t xml:space="preserve">estudie </w:t>
      </w:r>
      <w:r w:rsidR="00224427" w:rsidRPr="00361BCF">
        <w:t>las posiciones orbitales de Iraq e identifi</w:t>
      </w:r>
      <w:r w:rsidR="00392792" w:rsidRPr="00361BCF">
        <w:t>que</w:t>
      </w:r>
      <w:r w:rsidR="00224427" w:rsidRPr="00361BCF">
        <w:t xml:space="preserve"> posiciones orbitales alternativas. Desea saber cómo se ha </w:t>
      </w:r>
      <w:r w:rsidR="00B342CF" w:rsidRPr="00361BCF">
        <w:t xml:space="preserve">dado curso a </w:t>
      </w:r>
      <w:r w:rsidR="00224427" w:rsidRPr="00361BCF">
        <w:t>esas instrucciones</w:t>
      </w:r>
      <w:r w:rsidRPr="00361BCF">
        <w:t>.</w:t>
      </w:r>
      <w:bookmarkEnd w:id="34"/>
    </w:p>
    <w:p w14:paraId="3CF034AB" w14:textId="5C317E44" w:rsidR="00524620" w:rsidRPr="00361BCF" w:rsidRDefault="00524620" w:rsidP="00C009CE">
      <w:pPr>
        <w:rPr>
          <w:b/>
          <w:bCs/>
        </w:rPr>
      </w:pPr>
      <w:r w:rsidRPr="00361BCF">
        <w:t>7.5</w:t>
      </w:r>
      <w:r w:rsidRPr="00361BCF">
        <w:tab/>
      </w:r>
      <w:bookmarkStart w:id="35" w:name="lt_pId216"/>
      <w:r w:rsidR="00B342CF" w:rsidRPr="00361BCF">
        <w:t>El</w:t>
      </w:r>
      <w:r w:rsidRPr="00361BCF">
        <w:t xml:space="preserve"> </w:t>
      </w:r>
      <w:r w:rsidRPr="00361BCF">
        <w:rPr>
          <w:b/>
          <w:bCs/>
        </w:rPr>
        <w:t xml:space="preserve">Director </w:t>
      </w:r>
      <w:r w:rsidR="00B342CF" w:rsidRPr="00361BCF">
        <w:rPr>
          <w:b/>
          <w:bCs/>
        </w:rPr>
        <w:t xml:space="preserve">de la </w:t>
      </w:r>
      <w:r w:rsidRPr="00361BCF">
        <w:rPr>
          <w:b/>
          <w:bCs/>
        </w:rPr>
        <w:t xml:space="preserve">BR </w:t>
      </w:r>
      <w:r w:rsidR="00B342CF" w:rsidRPr="00361BCF">
        <w:t xml:space="preserve">declara que la Oficina </w:t>
      </w:r>
      <w:r w:rsidR="009966CD" w:rsidRPr="00361BCF">
        <w:t>responderá con gust</w:t>
      </w:r>
      <w:r w:rsidR="00DF0A8A" w:rsidRPr="00361BCF">
        <w:t>o</w:t>
      </w:r>
      <w:r w:rsidR="009966CD" w:rsidRPr="00361BCF">
        <w:t xml:space="preserve"> a las preguntas</w:t>
      </w:r>
      <w:r w:rsidR="00F938A6" w:rsidRPr="00361BCF">
        <w:t xml:space="preserve"> y</w:t>
      </w:r>
      <w:r w:rsidR="009966CD" w:rsidRPr="00361BCF">
        <w:t xml:space="preserve"> prestará la asistencia necesaria a este respect</w:t>
      </w:r>
      <w:r w:rsidR="0092544A" w:rsidRPr="00361BCF">
        <w:t>o, e invita a la delegación de Iraq a dirigirse directamente a la Oficina</w:t>
      </w:r>
      <w:r w:rsidRPr="00361BCF">
        <w:t>.</w:t>
      </w:r>
      <w:bookmarkEnd w:id="35"/>
    </w:p>
    <w:p w14:paraId="662158B7" w14:textId="34309CE5" w:rsidR="00524620" w:rsidRPr="005F1D10" w:rsidRDefault="00524620" w:rsidP="00C009CE">
      <w:r w:rsidRPr="00361BCF">
        <w:lastRenderedPageBreak/>
        <w:t>7.6</w:t>
      </w:r>
      <w:r w:rsidRPr="00361BCF">
        <w:tab/>
      </w:r>
      <w:bookmarkStart w:id="36" w:name="lt_pId218"/>
      <w:r w:rsidR="0092544A" w:rsidRPr="00361BCF">
        <w:t xml:space="preserve">Se </w:t>
      </w:r>
      <w:r w:rsidR="0092544A" w:rsidRPr="00361BCF">
        <w:rPr>
          <w:b/>
          <w:bCs/>
        </w:rPr>
        <w:t xml:space="preserve">aprueba </w:t>
      </w:r>
      <w:r w:rsidR="00FE0FE9" w:rsidRPr="00361BCF">
        <w:t>la</w:t>
      </w:r>
      <w:r w:rsidR="00FE0FE9" w:rsidRPr="00361BCF">
        <w:rPr>
          <w:b/>
          <w:bCs/>
        </w:rPr>
        <w:t xml:space="preserve"> </w:t>
      </w:r>
      <w:r w:rsidRPr="00361BCF">
        <w:t xml:space="preserve">ADD </w:t>
      </w:r>
      <w:r w:rsidR="00FE0FE9" w:rsidRPr="00361BCF">
        <w:t xml:space="preserve">Resolución </w:t>
      </w:r>
      <w:r w:rsidRPr="00361BCF">
        <w:t>COM5/3 (</w:t>
      </w:r>
      <w:r w:rsidR="00FE0FE9" w:rsidRPr="00361BCF">
        <w:t>CMR</w:t>
      </w:r>
      <w:r w:rsidRPr="00361BCF">
        <w:t>-19)</w:t>
      </w:r>
      <w:r w:rsidRPr="005F1D10">
        <w:t>.</w:t>
      </w:r>
      <w:bookmarkEnd w:id="36"/>
    </w:p>
    <w:p w14:paraId="204412D8" w14:textId="71C5EF7C" w:rsidR="00524620" w:rsidRPr="00361BCF" w:rsidRDefault="00524620" w:rsidP="00C009CE">
      <w:pPr>
        <w:rPr>
          <w:b/>
          <w:bCs/>
        </w:rPr>
      </w:pPr>
      <w:r w:rsidRPr="00361BCF">
        <w:rPr>
          <w:b/>
          <w:bCs/>
        </w:rPr>
        <w:t>ADD Resolución COM5/4 (CMR-19) – Necesidad de coordinación de las redes del servicio de radiodifusión por satélite de la Región 2 en la banda de frecuencias 11,7-12,2 GHz con las asignaciones del servicio de radiodifusión por satélite de la Región 1 situadas más al oeste de 37,2° W y las redes del SFS de la Región 1 en la banda de frecuencias 12,5-12,7 GHz con las asignaciones del servicio de radiodifusión por satélite de la Región 2 situadas más al este de 54°</w:t>
      </w:r>
      <w:r w:rsidR="00956ABB">
        <w:rPr>
          <w:b/>
          <w:bCs/>
        </w:rPr>
        <w:t> </w:t>
      </w:r>
      <w:r w:rsidRPr="00361BCF">
        <w:rPr>
          <w:b/>
          <w:bCs/>
        </w:rPr>
        <w:t>W</w:t>
      </w:r>
      <w:r w:rsidR="00FB76B8" w:rsidRPr="00361BCF">
        <w:rPr>
          <w:b/>
          <w:bCs/>
        </w:rPr>
        <w:t>;</w:t>
      </w:r>
      <w:r w:rsidR="00FB76B8" w:rsidRPr="00361BCF">
        <w:rPr>
          <w:b/>
          <w:bCs/>
          <w:szCs w:val="24"/>
        </w:rPr>
        <w:t xml:space="preserve"> SUP Resolución 557 (CMR-15)</w:t>
      </w:r>
    </w:p>
    <w:p w14:paraId="0D47A8A0" w14:textId="6AD01ABA" w:rsidR="00524620" w:rsidRPr="00956ABB" w:rsidRDefault="00524620" w:rsidP="00C009CE">
      <w:r w:rsidRPr="00361BCF">
        <w:t>7.7</w:t>
      </w:r>
      <w:r w:rsidRPr="00361BCF">
        <w:rPr>
          <w:b/>
          <w:bCs/>
        </w:rPr>
        <w:tab/>
      </w:r>
      <w:bookmarkStart w:id="37" w:name="lt_pId221"/>
      <w:r w:rsidRPr="00361BCF">
        <w:rPr>
          <w:b/>
          <w:bCs/>
        </w:rPr>
        <w:t>Aprobado</w:t>
      </w:r>
      <w:r w:rsidRPr="00956ABB">
        <w:t>.</w:t>
      </w:r>
      <w:bookmarkEnd w:id="37"/>
    </w:p>
    <w:p w14:paraId="294CDB7E" w14:textId="57674DFF" w:rsidR="00524620" w:rsidRPr="00956ABB" w:rsidRDefault="00524620" w:rsidP="00C009CE">
      <w:r w:rsidRPr="00361BCF">
        <w:t>7.8</w:t>
      </w:r>
      <w:r w:rsidRPr="00361BCF">
        <w:tab/>
      </w:r>
      <w:bookmarkStart w:id="38" w:name="lt_pId223"/>
      <w:r w:rsidR="00FB76B8" w:rsidRPr="00361BCF">
        <w:t xml:space="preserve">Se </w:t>
      </w:r>
      <w:r w:rsidR="00FB76B8" w:rsidRPr="00361BCF">
        <w:rPr>
          <w:b/>
          <w:bCs/>
        </w:rPr>
        <w:t>aprueba</w:t>
      </w:r>
      <w:r w:rsidR="00FB76B8" w:rsidRPr="00361BCF">
        <w:t xml:space="preserve"> la </w:t>
      </w:r>
      <w:r w:rsidR="00785D67" w:rsidRPr="00361BCF">
        <w:t>vigésim</w:t>
      </w:r>
      <w:r w:rsidR="00785D67">
        <w:t xml:space="preserve">a </w:t>
      </w:r>
      <w:r w:rsidR="00FB76B8" w:rsidRPr="00361BCF">
        <w:t xml:space="preserve">primera </w:t>
      </w:r>
      <w:r w:rsidR="007A34F6" w:rsidRPr="00361BCF">
        <w:t>serie de textos presentada po</w:t>
      </w:r>
      <w:r w:rsidR="00DE77DC">
        <w:t>r</w:t>
      </w:r>
      <w:r w:rsidR="007A34F6" w:rsidRPr="00361BCF">
        <w:t xml:space="preserve"> la Comisión de Redacción en primera lectura </w:t>
      </w:r>
      <w:r w:rsidRPr="00361BCF">
        <w:t>(B21) (Document</w:t>
      </w:r>
      <w:r w:rsidR="007A34F6" w:rsidRPr="00361BCF">
        <w:t>o</w:t>
      </w:r>
      <w:r w:rsidRPr="00361BCF">
        <w:t xml:space="preserve"> 325)</w:t>
      </w:r>
      <w:r w:rsidRPr="00956ABB">
        <w:t>.</w:t>
      </w:r>
      <w:bookmarkEnd w:id="38"/>
    </w:p>
    <w:p w14:paraId="6AE75A57" w14:textId="7CFE67FF" w:rsidR="007A2B40" w:rsidRPr="00361BCF" w:rsidRDefault="007A2B40" w:rsidP="00C009CE">
      <w:pPr>
        <w:pStyle w:val="Heading1"/>
      </w:pPr>
      <w:r w:rsidRPr="00361BCF">
        <w:t>8</w:t>
      </w:r>
      <w:r w:rsidRPr="00361BCF">
        <w:tab/>
        <w:t>Vigésim</w:t>
      </w:r>
      <w:r w:rsidR="003C0B45" w:rsidRPr="00361BCF">
        <w:t xml:space="preserve">a </w:t>
      </w:r>
      <w:r w:rsidRPr="00361BCF">
        <w:t>primera serie de textos sometidos por la Comisión de Redacción (B21) – segunda lectura (Documento 325)</w:t>
      </w:r>
    </w:p>
    <w:p w14:paraId="48819A51" w14:textId="09DCBA69" w:rsidR="007A2B40" w:rsidRPr="00361BCF" w:rsidRDefault="007A2B40" w:rsidP="00C009CE">
      <w:r w:rsidRPr="00361BCF">
        <w:t>8.1</w:t>
      </w:r>
      <w:r w:rsidRPr="00361BCF">
        <w:tab/>
        <w:t xml:space="preserve">Se </w:t>
      </w:r>
      <w:r w:rsidRPr="00361BCF">
        <w:rPr>
          <w:b/>
          <w:bCs/>
        </w:rPr>
        <w:t xml:space="preserve">aprueba </w:t>
      </w:r>
      <w:r w:rsidRPr="00361BCF">
        <w:t>en segunda lectura</w:t>
      </w:r>
      <w:r w:rsidRPr="00361BCF">
        <w:rPr>
          <w:b/>
          <w:bCs/>
        </w:rPr>
        <w:t xml:space="preserve"> </w:t>
      </w:r>
      <w:r w:rsidRPr="00361BCF">
        <w:t xml:space="preserve">la </w:t>
      </w:r>
      <w:r w:rsidR="00825471" w:rsidRPr="00361BCF">
        <w:t xml:space="preserve">vigésima primera </w:t>
      </w:r>
      <w:r w:rsidRPr="00361BCF">
        <w:t>serie de textos sometidos por la Comisión de Redacción (B21) (Documento 325).</w:t>
      </w:r>
    </w:p>
    <w:p w14:paraId="2716B3FD" w14:textId="518160C1" w:rsidR="00524620" w:rsidRPr="00361BCF" w:rsidRDefault="00524620" w:rsidP="00C009CE">
      <w:r w:rsidRPr="00361BCF">
        <w:t>8.2</w:t>
      </w:r>
      <w:r w:rsidRPr="00361BCF">
        <w:tab/>
      </w:r>
      <w:bookmarkStart w:id="39" w:name="lt_pId231"/>
      <w:r w:rsidR="00B03368" w:rsidRPr="00361BCF">
        <w:t xml:space="preserve">El </w:t>
      </w:r>
      <w:r w:rsidR="00B03368" w:rsidRPr="00361BCF">
        <w:rPr>
          <w:b/>
          <w:bCs/>
        </w:rPr>
        <w:t>Director de la BR</w:t>
      </w:r>
      <w:r w:rsidR="00B03368" w:rsidRPr="00361BCF">
        <w:t xml:space="preserve"> declara que la adopción del Documento 325 es un gran logro de la Conferencia y ofrece una importante oportunidad a los países cuyas asignaciones al servicio de radiodifusión por satélite en el Plan se han degradado recientemente. La resolución de las presentaciones </w:t>
      </w:r>
      <w:r w:rsidR="008C6DF3" w:rsidRPr="00361BCF">
        <w:t xml:space="preserve">prioritarias </w:t>
      </w:r>
      <w:r w:rsidR="00B03368" w:rsidRPr="00361BCF">
        <w:t>podría permitirles obtener nuevas asignaciones, con un buen nivel de protección. La Oficina asignará los recursos necesarios para garantizar la aplicación satisfactoria de las decisiones contenidas en el documento, además de prestar asistencia a las administraciones</w:t>
      </w:r>
      <w:r w:rsidRPr="00361BCF">
        <w:t>.</w:t>
      </w:r>
      <w:bookmarkEnd w:id="39"/>
    </w:p>
    <w:p w14:paraId="2D03AA62" w14:textId="59480579" w:rsidR="00524620" w:rsidRPr="00956ABB" w:rsidRDefault="00524620" w:rsidP="00C009CE">
      <w:r w:rsidRPr="00361BCF">
        <w:t>8.3</w:t>
      </w:r>
      <w:r w:rsidRPr="00361BCF">
        <w:tab/>
      </w:r>
      <w:bookmarkStart w:id="40" w:name="lt_pId236"/>
      <w:r w:rsidR="00C761E5" w:rsidRPr="00361BCF">
        <w:t xml:space="preserve">El </w:t>
      </w:r>
      <w:r w:rsidR="00C761E5" w:rsidRPr="00361BCF">
        <w:rPr>
          <w:b/>
          <w:bCs/>
        </w:rPr>
        <w:t>delegado de la República Islámica del Irán</w:t>
      </w:r>
      <w:r w:rsidR="00C761E5" w:rsidRPr="00361BCF">
        <w:t xml:space="preserve"> secunda la declaración del Director de la BR. Su administración plante</w:t>
      </w:r>
      <w:r w:rsidR="009843D7" w:rsidRPr="00361BCF">
        <w:t>ó hace dos años</w:t>
      </w:r>
      <w:r w:rsidR="00C761E5" w:rsidRPr="00361BCF">
        <w:t xml:space="preserve"> el tema de la asistencia a los países africanos y otros países en el Grupo de Trabajo 4A; le compla</w:t>
      </w:r>
      <w:r w:rsidR="0074338F" w:rsidRPr="00361BCF">
        <w:t>ce</w:t>
      </w:r>
      <w:r w:rsidR="00C761E5" w:rsidRPr="00361BCF">
        <w:t xml:space="preserve"> que se </w:t>
      </w:r>
      <w:r w:rsidR="00AA3D3A" w:rsidRPr="00361BCF">
        <w:t xml:space="preserve">haya tenido en cuenta su </w:t>
      </w:r>
      <w:r w:rsidR="00B81905" w:rsidRPr="00361BCF">
        <w:t>consejo</w:t>
      </w:r>
      <w:r w:rsidR="00C761E5" w:rsidRPr="00361BCF">
        <w:t xml:space="preserve">, </w:t>
      </w:r>
      <w:r w:rsidR="00B81905" w:rsidRPr="00361BCF">
        <w:t xml:space="preserve">lo que ha </w:t>
      </w:r>
      <w:r w:rsidR="007563E7" w:rsidRPr="00361BCF">
        <w:t>permitido</w:t>
      </w:r>
      <w:r w:rsidR="00B81905" w:rsidRPr="00361BCF">
        <w:t xml:space="preserve"> aprobar </w:t>
      </w:r>
      <w:r w:rsidR="00C761E5" w:rsidRPr="00361BCF">
        <w:t>los nuevos textos. Las nuevas disposiciones permitir</w:t>
      </w:r>
      <w:r w:rsidR="00595E04" w:rsidRPr="00361BCF">
        <w:t>á</w:t>
      </w:r>
      <w:r w:rsidR="00C761E5" w:rsidRPr="00361BCF">
        <w:t xml:space="preserve">n a los países africanos con </w:t>
      </w:r>
      <w:r w:rsidR="00595E04" w:rsidRPr="00361BCF">
        <w:t>reducido MPE</w:t>
      </w:r>
      <w:r w:rsidR="00C761E5" w:rsidRPr="00361BCF">
        <w:t xml:space="preserve"> mitigar los problemas relacionados con las posiciones orbitales. Agradece a la Oficina la ayuda que ha prestado</w:t>
      </w:r>
      <w:r w:rsidRPr="00361BCF">
        <w:t>.</w:t>
      </w:r>
      <w:bookmarkEnd w:id="40"/>
    </w:p>
    <w:p w14:paraId="00AC314B" w14:textId="6B69BDED" w:rsidR="00524620" w:rsidRPr="00361BCF" w:rsidRDefault="00524620" w:rsidP="00C009CE">
      <w:r w:rsidRPr="00361BCF">
        <w:t>8.4</w:t>
      </w:r>
      <w:r w:rsidRPr="00361BCF">
        <w:tab/>
      </w:r>
      <w:bookmarkStart w:id="41" w:name="lt_pId238"/>
      <w:r w:rsidR="00663094" w:rsidRPr="00361BCF">
        <w:t xml:space="preserve">El </w:t>
      </w:r>
      <w:r w:rsidR="00663094" w:rsidRPr="00361BCF">
        <w:rPr>
          <w:b/>
          <w:bCs/>
        </w:rPr>
        <w:t>delegado de Rwanda</w:t>
      </w:r>
      <w:r w:rsidR="00663094" w:rsidRPr="00361BCF">
        <w:t xml:space="preserve">, en nombre del Grupo Africano, </w:t>
      </w:r>
      <w:r w:rsidR="00027D38" w:rsidRPr="00361BCF">
        <w:t xml:space="preserve">da las gracias </w:t>
      </w:r>
      <w:r w:rsidR="00663094" w:rsidRPr="00361BCF">
        <w:t xml:space="preserve">especialmente al delegado de la República Islámica del Irán </w:t>
      </w:r>
      <w:r w:rsidR="00027D38" w:rsidRPr="00361BCF">
        <w:t xml:space="preserve">por </w:t>
      </w:r>
      <w:r w:rsidR="00663094" w:rsidRPr="00361BCF">
        <w:t>su apoyo</w:t>
      </w:r>
      <w:r w:rsidR="00D078ED" w:rsidRPr="00361BCF">
        <w:t xml:space="preserve"> prestado</w:t>
      </w:r>
      <w:r w:rsidR="00663094" w:rsidRPr="00361BCF">
        <w:t xml:space="preserve"> y a la Oficina de Radiocomunicaciones </w:t>
      </w:r>
      <w:r w:rsidR="00027D38" w:rsidRPr="00361BCF">
        <w:t xml:space="preserve">por </w:t>
      </w:r>
      <w:r w:rsidR="00B33D4A" w:rsidRPr="00361BCF">
        <w:t xml:space="preserve">el </w:t>
      </w:r>
      <w:r w:rsidR="00663094" w:rsidRPr="00361BCF">
        <w:t xml:space="preserve">asesoramiento técnico </w:t>
      </w:r>
      <w:r w:rsidR="00B33D4A" w:rsidRPr="00361BCF">
        <w:t xml:space="preserve">ofrecido </w:t>
      </w:r>
      <w:r w:rsidR="00663094" w:rsidRPr="00361BCF">
        <w:t xml:space="preserve">y </w:t>
      </w:r>
      <w:r w:rsidR="00B33D4A" w:rsidRPr="00361BCF">
        <w:t xml:space="preserve">por haberse </w:t>
      </w:r>
      <w:r w:rsidR="00663094" w:rsidRPr="00361BCF">
        <w:t>comprometido a prestar asistencia en la aplicación de los nuevos textos</w:t>
      </w:r>
      <w:r w:rsidRPr="00361BCF">
        <w:t>.</w:t>
      </w:r>
      <w:bookmarkEnd w:id="41"/>
    </w:p>
    <w:p w14:paraId="68EBCCDB" w14:textId="44974168" w:rsidR="00524620" w:rsidRPr="00361BCF" w:rsidRDefault="00524620" w:rsidP="00C009CE">
      <w:pPr>
        <w:rPr>
          <w:b/>
          <w:bCs/>
        </w:rPr>
      </w:pPr>
      <w:r w:rsidRPr="00361BCF">
        <w:t>8.5</w:t>
      </w:r>
      <w:r w:rsidRPr="00361BCF">
        <w:tab/>
      </w:r>
      <w:bookmarkStart w:id="42" w:name="lt_pId240"/>
      <w:r w:rsidR="008E3E23" w:rsidRPr="00361BCF">
        <w:t xml:space="preserve">El </w:t>
      </w:r>
      <w:r w:rsidR="008E3E23" w:rsidRPr="00361BCF">
        <w:rPr>
          <w:b/>
          <w:bCs/>
        </w:rPr>
        <w:t>Presidente</w:t>
      </w:r>
      <w:r w:rsidR="008E3E23" w:rsidRPr="00361BCF">
        <w:t xml:space="preserve"> declara que los resultados tangibles y positivos alcanzados deberían motivar a los participantes a trabajar con ahínco para lograr nuevos resultados positivos</w:t>
      </w:r>
      <w:r w:rsidRPr="00361BCF">
        <w:t>.</w:t>
      </w:r>
      <w:bookmarkEnd w:id="42"/>
    </w:p>
    <w:p w14:paraId="7BF894D6" w14:textId="6FE3CFBE" w:rsidR="007A2B40" w:rsidRPr="00361BCF" w:rsidRDefault="00174003" w:rsidP="00C009CE">
      <w:pPr>
        <w:pStyle w:val="Heading1"/>
      </w:pPr>
      <w:r w:rsidRPr="00361BCF">
        <w:t>9</w:t>
      </w:r>
      <w:r w:rsidR="007A2B40" w:rsidRPr="00361BCF">
        <w:tab/>
      </w:r>
      <w:r w:rsidRPr="00361BCF">
        <w:t>Vigésim</w:t>
      </w:r>
      <w:r w:rsidR="003C0B45" w:rsidRPr="00361BCF">
        <w:t xml:space="preserve">a </w:t>
      </w:r>
      <w:r w:rsidRPr="00361BCF">
        <w:t>tercera</w:t>
      </w:r>
      <w:r w:rsidR="007A2B40" w:rsidRPr="00361BCF">
        <w:t xml:space="preserve"> serie de textos sometidos por la Comisión de Redacción en primera lectura (B</w:t>
      </w:r>
      <w:r w:rsidRPr="00361BCF">
        <w:t>23</w:t>
      </w:r>
      <w:r w:rsidR="007A2B40" w:rsidRPr="00361BCF">
        <w:t xml:space="preserve">) (Documento </w:t>
      </w:r>
      <w:r w:rsidRPr="00361BCF">
        <w:t>327</w:t>
      </w:r>
      <w:r w:rsidR="007A2B40" w:rsidRPr="00361BCF">
        <w:t>)</w:t>
      </w:r>
    </w:p>
    <w:p w14:paraId="0A72C251" w14:textId="6E5116DC" w:rsidR="00174003" w:rsidRPr="00361BCF" w:rsidRDefault="00174003" w:rsidP="00C009CE">
      <w:r w:rsidRPr="00361BCF">
        <w:t>9.1</w:t>
      </w:r>
      <w:r w:rsidRPr="00361BCF">
        <w:tab/>
        <w:t xml:space="preserve">El </w:t>
      </w:r>
      <w:r w:rsidRPr="00361BCF">
        <w:rPr>
          <w:b/>
          <w:bCs/>
        </w:rPr>
        <w:t>Presidente de la Comisión de Redacción</w:t>
      </w:r>
      <w:r w:rsidRPr="00361BCF">
        <w:t xml:space="preserve"> presenta el Documento 327.</w:t>
      </w:r>
    </w:p>
    <w:p w14:paraId="366A8D63" w14:textId="067CF2DE" w:rsidR="00524620" w:rsidRPr="00361BCF" w:rsidRDefault="00524620" w:rsidP="00C009CE">
      <w:r w:rsidRPr="00361BCF">
        <w:t>9.2</w:t>
      </w:r>
      <w:r w:rsidRPr="00361BCF">
        <w:tab/>
      </w:r>
      <w:bookmarkStart w:id="43" w:name="lt_pId247"/>
      <w:r w:rsidR="006D5E72" w:rsidRPr="00361BCF">
        <w:t xml:space="preserve">El </w:t>
      </w:r>
      <w:r w:rsidR="006D5E72" w:rsidRPr="00361BCF">
        <w:rPr>
          <w:b/>
          <w:bCs/>
        </w:rPr>
        <w:t>delegado de Estados Unidos</w:t>
      </w:r>
      <w:r w:rsidR="006D5E72" w:rsidRPr="00361BCF">
        <w:t xml:space="preserve"> declara que su delegación está revisando el Documento</w:t>
      </w:r>
      <w:r w:rsidR="005C07C1">
        <w:t> </w:t>
      </w:r>
      <w:r w:rsidR="006D5E72" w:rsidRPr="00361BCF">
        <w:t>327 y que aún no ha resuelto ciertas cuestiones relacionadas con su redacción. Ruega que el examen del Documento 327 se aplace hasta la siguiente Sesión Plenaria</w:t>
      </w:r>
      <w:r w:rsidRPr="00361BCF">
        <w:t>.</w:t>
      </w:r>
      <w:bookmarkEnd w:id="43"/>
    </w:p>
    <w:p w14:paraId="30BEDB9E" w14:textId="2C900C32" w:rsidR="00524620" w:rsidRPr="00956ABB" w:rsidRDefault="00524620" w:rsidP="00C009CE">
      <w:r w:rsidRPr="00361BCF">
        <w:t>9.3</w:t>
      </w:r>
      <w:r w:rsidRPr="00361BCF">
        <w:tab/>
      </w:r>
      <w:bookmarkStart w:id="44" w:name="lt_pId249"/>
      <w:r w:rsidR="00721F9D">
        <w:t>La</w:t>
      </w:r>
      <w:r w:rsidR="00B77ACB" w:rsidRPr="00361BCF">
        <w:t xml:space="preserve"> </w:t>
      </w:r>
      <w:r w:rsidRPr="00361BCF">
        <w:rPr>
          <w:b/>
          <w:bCs/>
        </w:rPr>
        <w:t>delega</w:t>
      </w:r>
      <w:r w:rsidR="00B77ACB" w:rsidRPr="00361BCF">
        <w:rPr>
          <w:b/>
          <w:bCs/>
        </w:rPr>
        <w:t>d</w:t>
      </w:r>
      <w:r w:rsidR="00721F9D">
        <w:rPr>
          <w:b/>
          <w:bCs/>
        </w:rPr>
        <w:t>a</w:t>
      </w:r>
      <w:r w:rsidRPr="00361BCF">
        <w:rPr>
          <w:b/>
          <w:bCs/>
        </w:rPr>
        <w:t xml:space="preserve"> </w:t>
      </w:r>
      <w:r w:rsidR="00B77ACB" w:rsidRPr="00361BCF">
        <w:rPr>
          <w:b/>
          <w:bCs/>
        </w:rPr>
        <w:t xml:space="preserve">de </w:t>
      </w:r>
      <w:r w:rsidRPr="00361BCF">
        <w:rPr>
          <w:b/>
          <w:bCs/>
        </w:rPr>
        <w:t>Canad</w:t>
      </w:r>
      <w:r w:rsidR="00B77ACB" w:rsidRPr="00361BCF">
        <w:rPr>
          <w:b/>
          <w:bCs/>
        </w:rPr>
        <w:t>á</w:t>
      </w:r>
      <w:r w:rsidRPr="00361BCF">
        <w:rPr>
          <w:b/>
          <w:bCs/>
        </w:rPr>
        <w:t xml:space="preserve"> </w:t>
      </w:r>
      <w:r w:rsidR="00B77ACB" w:rsidRPr="00361BCF">
        <w:t>secunda la propuesta</w:t>
      </w:r>
      <w:r w:rsidRPr="00361BCF">
        <w:t>.</w:t>
      </w:r>
      <w:bookmarkEnd w:id="44"/>
    </w:p>
    <w:p w14:paraId="24FC0F45" w14:textId="3BC83B36" w:rsidR="00524620" w:rsidRPr="005C07C1" w:rsidRDefault="00524620" w:rsidP="00C009CE">
      <w:r w:rsidRPr="00361BCF">
        <w:t>9.4</w:t>
      </w:r>
      <w:r w:rsidRPr="00361BCF">
        <w:tab/>
      </w:r>
      <w:bookmarkStart w:id="45" w:name="lt_pId251"/>
      <w:r w:rsidR="00806CCB" w:rsidRPr="00361BCF">
        <w:t xml:space="preserve">Así se </w:t>
      </w:r>
      <w:r w:rsidR="00806CCB" w:rsidRPr="00361BCF">
        <w:rPr>
          <w:b/>
          <w:bCs/>
        </w:rPr>
        <w:t>acuerda</w:t>
      </w:r>
      <w:r w:rsidRPr="005C07C1">
        <w:t>.</w:t>
      </w:r>
      <w:bookmarkEnd w:id="45"/>
    </w:p>
    <w:p w14:paraId="499F33AF" w14:textId="584EB4E5" w:rsidR="00825471" w:rsidRPr="00361BCF" w:rsidRDefault="00825471" w:rsidP="00C009CE">
      <w:pPr>
        <w:pStyle w:val="Heading1"/>
      </w:pPr>
      <w:bookmarkStart w:id="46" w:name="_Hlk25064032"/>
      <w:r w:rsidRPr="00361BCF">
        <w:lastRenderedPageBreak/>
        <w:t>10</w:t>
      </w:r>
      <w:r w:rsidRPr="00361BCF">
        <w:tab/>
        <w:t>Vigésima cuarta serie de textos sometidos por la Comisión de Redacción en primera lectura (B24) (Documento 328)</w:t>
      </w:r>
    </w:p>
    <w:p w14:paraId="7B8E9F81" w14:textId="745BA3DC" w:rsidR="00825471" w:rsidRPr="00361BCF" w:rsidRDefault="00825471" w:rsidP="00C009CE">
      <w:r w:rsidRPr="00361BCF">
        <w:t>10.1</w:t>
      </w:r>
      <w:r w:rsidRPr="00361BCF">
        <w:tab/>
        <w:t xml:space="preserve">El </w:t>
      </w:r>
      <w:r w:rsidRPr="00361BCF">
        <w:rPr>
          <w:b/>
          <w:bCs/>
        </w:rPr>
        <w:t>Presidente de la Comisión de Redacción</w:t>
      </w:r>
      <w:r w:rsidRPr="00361BCF">
        <w:t xml:space="preserve"> presenta el Documento 328.</w:t>
      </w:r>
    </w:p>
    <w:p w14:paraId="298A1D63" w14:textId="5576BCC3" w:rsidR="00825471" w:rsidRPr="00361BCF" w:rsidRDefault="00825471" w:rsidP="00C009CE">
      <w:r w:rsidRPr="00361BCF">
        <w:t>10.2</w:t>
      </w:r>
      <w:r w:rsidRPr="00361BCF">
        <w:tab/>
        <w:t xml:space="preserve">El </w:t>
      </w:r>
      <w:r w:rsidRPr="00361BCF">
        <w:rPr>
          <w:b/>
          <w:bCs/>
        </w:rPr>
        <w:t>Presidente</w:t>
      </w:r>
      <w:r w:rsidRPr="00361BCF">
        <w:t xml:space="preserve"> invita a </w:t>
      </w:r>
      <w:r w:rsidR="003C0B45" w:rsidRPr="00361BCF">
        <w:t>los participantes</w:t>
      </w:r>
      <w:r w:rsidRPr="00361BCF">
        <w:t xml:space="preserve"> a examinar el Documento 328.</w:t>
      </w:r>
    </w:p>
    <w:p w14:paraId="74C6C42E" w14:textId="4385B956" w:rsidR="00524620" w:rsidRPr="00361BCF" w:rsidRDefault="007563E7" w:rsidP="00C009CE">
      <w:pPr>
        <w:rPr>
          <w:b/>
          <w:bCs/>
        </w:rPr>
      </w:pPr>
      <w:bookmarkStart w:id="47" w:name="lt_pId258"/>
      <w:r>
        <w:rPr>
          <w:b/>
          <w:bCs/>
        </w:rPr>
        <w:t>Artículo</w:t>
      </w:r>
      <w:r w:rsidR="00524620" w:rsidRPr="00361BCF">
        <w:rPr>
          <w:b/>
          <w:bCs/>
        </w:rPr>
        <w:t xml:space="preserve"> 5 (MOD 5.208A, MOD 5.208B, MOD </w:t>
      </w:r>
      <w:r w:rsidR="00956ABB">
        <w:rPr>
          <w:b/>
          <w:bCs/>
        </w:rPr>
        <w:t>Cuadro </w:t>
      </w:r>
      <w:r w:rsidR="00524620" w:rsidRPr="00361BCF">
        <w:rPr>
          <w:b/>
          <w:bCs/>
        </w:rPr>
        <w:t>148-161</w:t>
      </w:r>
      <w:r w:rsidR="00956ABB">
        <w:rPr>
          <w:b/>
          <w:bCs/>
        </w:rPr>
        <w:t>,</w:t>
      </w:r>
      <w:r w:rsidR="00524620" w:rsidRPr="00361BCF">
        <w:rPr>
          <w:b/>
          <w:bCs/>
        </w:rPr>
        <w:t>9375 MHz)</w:t>
      </w:r>
      <w:bookmarkEnd w:id="47"/>
    </w:p>
    <w:p w14:paraId="08610955" w14:textId="14D80D18" w:rsidR="00524620" w:rsidRPr="009A415E" w:rsidRDefault="00524620" w:rsidP="00C009CE">
      <w:r w:rsidRPr="00361BCF">
        <w:t>10.3</w:t>
      </w:r>
      <w:r w:rsidRPr="00361BCF">
        <w:tab/>
      </w:r>
      <w:bookmarkStart w:id="48" w:name="lt_pId260"/>
      <w:r w:rsidR="00806CCB" w:rsidRPr="00361BCF">
        <w:rPr>
          <w:b/>
          <w:bCs/>
        </w:rPr>
        <w:t>Aprobado</w:t>
      </w:r>
      <w:r w:rsidRPr="009A415E">
        <w:t>.</w:t>
      </w:r>
      <w:bookmarkEnd w:id="48"/>
    </w:p>
    <w:p w14:paraId="0DAFB5A8" w14:textId="20FC8096" w:rsidR="00524620" w:rsidRPr="00361BCF" w:rsidRDefault="007563E7" w:rsidP="00C009CE">
      <w:pPr>
        <w:rPr>
          <w:b/>
          <w:bCs/>
        </w:rPr>
      </w:pPr>
      <w:bookmarkStart w:id="49" w:name="lt_pId261"/>
      <w:r>
        <w:rPr>
          <w:b/>
          <w:bCs/>
        </w:rPr>
        <w:t>Artículo</w:t>
      </w:r>
      <w:r w:rsidRPr="00361BCF">
        <w:rPr>
          <w:b/>
          <w:bCs/>
        </w:rPr>
        <w:t xml:space="preserve"> </w:t>
      </w:r>
      <w:r w:rsidR="00524620" w:rsidRPr="00361BCF">
        <w:rPr>
          <w:b/>
          <w:bCs/>
        </w:rPr>
        <w:t>5 (ADD 5.A192)</w:t>
      </w:r>
      <w:bookmarkEnd w:id="49"/>
    </w:p>
    <w:p w14:paraId="28D8B537" w14:textId="4C4A7458" w:rsidR="00524620" w:rsidRPr="00361BCF" w:rsidRDefault="00524620" w:rsidP="00C009CE">
      <w:pPr>
        <w:rPr>
          <w:b/>
          <w:bCs/>
        </w:rPr>
      </w:pPr>
      <w:r w:rsidRPr="00361BCF">
        <w:t>10.4</w:t>
      </w:r>
      <w:r w:rsidRPr="00361BCF">
        <w:tab/>
      </w:r>
      <w:bookmarkStart w:id="50" w:name="lt_pId263"/>
      <w:r w:rsidR="003C0B45" w:rsidRPr="00361BCF">
        <w:rPr>
          <w:b/>
          <w:bCs/>
        </w:rPr>
        <w:t>Aprobado</w:t>
      </w:r>
      <w:r w:rsidRPr="00361BCF">
        <w:rPr>
          <w:b/>
          <w:bCs/>
        </w:rPr>
        <w:t>,</w:t>
      </w:r>
      <w:r w:rsidRPr="00361BCF">
        <w:t xml:space="preserve"> </w:t>
      </w:r>
      <w:r w:rsidR="000A74AD" w:rsidRPr="00361BCF">
        <w:t>a reserv</w:t>
      </w:r>
      <w:r w:rsidR="00361BCF" w:rsidRPr="00361BCF">
        <w:t>a</w:t>
      </w:r>
      <w:r w:rsidR="000A74AD" w:rsidRPr="00361BCF">
        <w:t xml:space="preserve"> de la armonización de la </w:t>
      </w:r>
      <w:r w:rsidR="007563E7" w:rsidRPr="00361BCF">
        <w:t>versión</w:t>
      </w:r>
      <w:r w:rsidR="000A74AD" w:rsidRPr="00361BCF">
        <w:t xml:space="preserve"> española con la inglesa</w:t>
      </w:r>
      <w:bookmarkEnd w:id="50"/>
      <w:r w:rsidR="000A74AD" w:rsidRPr="00361BCF">
        <w:t>.</w:t>
      </w:r>
    </w:p>
    <w:p w14:paraId="1CACC7E3" w14:textId="051B9C9E" w:rsidR="00524620" w:rsidRPr="00361BCF" w:rsidRDefault="007563E7" w:rsidP="00C009CE">
      <w:bookmarkStart w:id="51" w:name="lt_pId264"/>
      <w:r>
        <w:rPr>
          <w:b/>
          <w:bCs/>
        </w:rPr>
        <w:t>Artículo</w:t>
      </w:r>
      <w:r w:rsidRPr="00361BCF">
        <w:rPr>
          <w:b/>
          <w:bCs/>
        </w:rPr>
        <w:t xml:space="preserve"> </w:t>
      </w:r>
      <w:r w:rsidR="00524620" w:rsidRPr="00361BCF">
        <w:rPr>
          <w:b/>
          <w:bCs/>
        </w:rPr>
        <w:t>5 (ADD 5.B192)</w:t>
      </w:r>
      <w:bookmarkEnd w:id="51"/>
    </w:p>
    <w:p w14:paraId="2B7D1F31" w14:textId="255BAAD4" w:rsidR="00524620" w:rsidRPr="00361BCF" w:rsidRDefault="00524620" w:rsidP="00C009CE">
      <w:pPr>
        <w:rPr>
          <w:b/>
          <w:bCs/>
        </w:rPr>
      </w:pPr>
      <w:r w:rsidRPr="00361BCF">
        <w:t>10.5</w:t>
      </w:r>
      <w:r w:rsidRPr="00361BCF">
        <w:tab/>
      </w:r>
      <w:bookmarkStart w:id="52" w:name="lt_pId266"/>
      <w:r w:rsidR="00AB7B18" w:rsidRPr="00361BCF">
        <w:t xml:space="preserve">Los </w:t>
      </w:r>
      <w:r w:rsidR="00AB7B18" w:rsidRPr="00361BCF">
        <w:rPr>
          <w:b/>
          <w:bCs/>
        </w:rPr>
        <w:t>delegados de China, la República de Corea, Viet Nam</w:t>
      </w:r>
      <w:r w:rsidR="0079407F" w:rsidRPr="00361BCF">
        <w:rPr>
          <w:b/>
          <w:bCs/>
        </w:rPr>
        <w:t>, la República Popular Democrática de Corea</w:t>
      </w:r>
      <w:r w:rsidR="00AB7B18" w:rsidRPr="00361BCF">
        <w:rPr>
          <w:b/>
          <w:bCs/>
        </w:rPr>
        <w:t xml:space="preserve">, </w:t>
      </w:r>
      <w:r w:rsidR="0079407F" w:rsidRPr="00361BCF">
        <w:rPr>
          <w:b/>
          <w:bCs/>
        </w:rPr>
        <w:t xml:space="preserve">Sudáfrica </w:t>
      </w:r>
      <w:r w:rsidR="0079407F" w:rsidRPr="0079407F">
        <w:t>y</w:t>
      </w:r>
      <w:r w:rsidR="0079407F" w:rsidRPr="00361BCF">
        <w:rPr>
          <w:b/>
          <w:bCs/>
        </w:rPr>
        <w:t xml:space="preserve"> </w:t>
      </w:r>
      <w:r w:rsidR="00AB7B18" w:rsidRPr="00361BCF">
        <w:rPr>
          <w:b/>
          <w:bCs/>
        </w:rPr>
        <w:t>la República Árabe Siria</w:t>
      </w:r>
      <w:r w:rsidR="00AB7B18" w:rsidRPr="0079407F">
        <w:t xml:space="preserve"> </w:t>
      </w:r>
      <w:r w:rsidR="00AB7B18" w:rsidRPr="00361BCF">
        <w:t>piden que se incluya</w:t>
      </w:r>
      <w:r w:rsidR="0079407F">
        <w:t>n</w:t>
      </w:r>
      <w:r w:rsidR="00AB7B18" w:rsidRPr="00361BCF">
        <w:t xml:space="preserve"> los nombres de sus países en la lista de </w:t>
      </w:r>
      <w:r w:rsidRPr="00361BCF">
        <w:t>ADD 5.B192.</w:t>
      </w:r>
      <w:bookmarkEnd w:id="52"/>
    </w:p>
    <w:p w14:paraId="7A225877" w14:textId="52A829ED" w:rsidR="00524620" w:rsidRPr="00956ABB" w:rsidRDefault="00524620" w:rsidP="00C009CE">
      <w:r w:rsidRPr="00361BCF">
        <w:t>10.6</w:t>
      </w:r>
      <w:r w:rsidRPr="00361BCF">
        <w:tab/>
      </w:r>
      <w:bookmarkStart w:id="53" w:name="lt_pId268"/>
      <w:r w:rsidR="006025A6" w:rsidRPr="00361BCF">
        <w:t xml:space="preserve">Se </w:t>
      </w:r>
      <w:r w:rsidR="006025A6" w:rsidRPr="00361BCF">
        <w:rPr>
          <w:b/>
          <w:bCs/>
        </w:rPr>
        <w:t xml:space="preserve">aprueba </w:t>
      </w:r>
      <w:r w:rsidR="006025A6" w:rsidRPr="00361BCF">
        <w:t>la</w:t>
      </w:r>
      <w:r w:rsidR="006025A6" w:rsidRPr="00361BCF">
        <w:rPr>
          <w:b/>
          <w:bCs/>
        </w:rPr>
        <w:t xml:space="preserve"> </w:t>
      </w:r>
      <w:r w:rsidRPr="00361BCF">
        <w:t xml:space="preserve">ADD 5.B192, </w:t>
      </w:r>
      <w:r w:rsidR="006025A6" w:rsidRPr="00361BCF">
        <w:t>con las modificaciones indicadas.</w:t>
      </w:r>
      <w:bookmarkEnd w:id="53"/>
    </w:p>
    <w:p w14:paraId="12A8B9E1" w14:textId="2EFC6589" w:rsidR="00524620" w:rsidRPr="00361BCF" w:rsidRDefault="00524620" w:rsidP="00C009CE">
      <w:pPr>
        <w:rPr>
          <w:b/>
          <w:bCs/>
        </w:rPr>
      </w:pPr>
      <w:bookmarkStart w:id="54" w:name="lt_pId269"/>
      <w:r w:rsidRPr="00361BCF">
        <w:rPr>
          <w:b/>
          <w:bCs/>
        </w:rPr>
        <w:t xml:space="preserve">MOD </w:t>
      </w:r>
      <w:r w:rsidR="006025A6" w:rsidRPr="00361BCF">
        <w:rPr>
          <w:b/>
          <w:bCs/>
        </w:rPr>
        <w:t xml:space="preserve">Apéndice </w:t>
      </w:r>
      <w:r w:rsidRPr="00361BCF">
        <w:rPr>
          <w:b/>
          <w:bCs/>
        </w:rPr>
        <w:t>18</w:t>
      </w:r>
      <w:bookmarkEnd w:id="54"/>
    </w:p>
    <w:p w14:paraId="6DEFAEE6" w14:textId="0C472365" w:rsidR="00524620" w:rsidRPr="00361BCF" w:rsidRDefault="00524620" w:rsidP="00C009CE">
      <w:r w:rsidRPr="00361BCF">
        <w:t>10.7</w:t>
      </w:r>
      <w:r w:rsidRPr="00361BCF">
        <w:tab/>
      </w:r>
      <w:bookmarkStart w:id="55" w:name="lt_pId271"/>
      <w:r w:rsidR="009E6B58" w:rsidRPr="00361BCF">
        <w:t xml:space="preserve">Se </w:t>
      </w:r>
      <w:r w:rsidR="00823408" w:rsidRPr="00361BCF">
        <w:rPr>
          <w:b/>
          <w:bCs/>
        </w:rPr>
        <w:t>a</w:t>
      </w:r>
      <w:r w:rsidR="006025A6" w:rsidRPr="00361BCF">
        <w:rPr>
          <w:b/>
          <w:bCs/>
        </w:rPr>
        <w:t>pr</w:t>
      </w:r>
      <w:r w:rsidR="00823408" w:rsidRPr="00361BCF">
        <w:rPr>
          <w:b/>
          <w:bCs/>
        </w:rPr>
        <w:t>ue</w:t>
      </w:r>
      <w:r w:rsidR="006025A6" w:rsidRPr="00361BCF">
        <w:rPr>
          <w:b/>
          <w:bCs/>
        </w:rPr>
        <w:t>ba</w:t>
      </w:r>
      <w:r w:rsidRPr="00361BCF">
        <w:t xml:space="preserve">, </w:t>
      </w:r>
      <w:r w:rsidR="00EA3626" w:rsidRPr="00361BCF">
        <w:t>a reserva de</w:t>
      </w:r>
      <w:r w:rsidR="00DD6DCB" w:rsidRPr="00361BCF">
        <w:t xml:space="preserve"> </w:t>
      </w:r>
      <w:r w:rsidR="003543AC" w:rsidRPr="00361BCF">
        <w:t xml:space="preserve">la </w:t>
      </w:r>
      <w:r w:rsidR="007563E7" w:rsidRPr="00361BCF">
        <w:t>modificación</w:t>
      </w:r>
      <w:r w:rsidR="003543AC" w:rsidRPr="00361BCF">
        <w:t xml:space="preserve"> </w:t>
      </w:r>
      <w:r w:rsidR="00DD6DCB" w:rsidRPr="00361BCF">
        <w:t xml:space="preserve">de </w:t>
      </w:r>
      <w:r w:rsidR="00B418B4" w:rsidRPr="00361BCF">
        <w:t xml:space="preserve">redacción señalada por el </w:t>
      </w:r>
      <w:r w:rsidR="00B418B4" w:rsidRPr="00361BCF">
        <w:rPr>
          <w:b/>
          <w:bCs/>
        </w:rPr>
        <w:t>delegado de Alemania</w:t>
      </w:r>
      <w:r w:rsidRPr="00956ABB">
        <w:t>.</w:t>
      </w:r>
      <w:bookmarkEnd w:id="55"/>
    </w:p>
    <w:p w14:paraId="1F15964F" w14:textId="6DD676D2" w:rsidR="00524620" w:rsidRPr="00361BCF" w:rsidRDefault="00524620" w:rsidP="00C009CE">
      <w:pPr>
        <w:rPr>
          <w:b/>
          <w:bCs/>
        </w:rPr>
      </w:pPr>
      <w:bookmarkStart w:id="56" w:name="lt_pId272"/>
      <w:r w:rsidRPr="00361BCF">
        <w:rPr>
          <w:b/>
          <w:bCs/>
        </w:rPr>
        <w:t>MOD Resolu</w:t>
      </w:r>
      <w:r w:rsidR="009208E2" w:rsidRPr="00361BCF">
        <w:rPr>
          <w:b/>
          <w:bCs/>
        </w:rPr>
        <w:t>c</w:t>
      </w:r>
      <w:r w:rsidRPr="00361BCF">
        <w:rPr>
          <w:b/>
          <w:bCs/>
        </w:rPr>
        <w:t>i</w:t>
      </w:r>
      <w:r w:rsidR="009208E2" w:rsidRPr="00361BCF">
        <w:rPr>
          <w:b/>
          <w:bCs/>
        </w:rPr>
        <w:t>ó</w:t>
      </w:r>
      <w:r w:rsidRPr="00361BCF">
        <w:rPr>
          <w:b/>
          <w:bCs/>
        </w:rPr>
        <w:t>n 739 (Rev.</w:t>
      </w:r>
      <w:r w:rsidR="009208E2" w:rsidRPr="00361BCF">
        <w:rPr>
          <w:b/>
          <w:bCs/>
        </w:rPr>
        <w:t>CMR</w:t>
      </w:r>
      <w:r w:rsidRPr="00361BCF">
        <w:rPr>
          <w:b/>
          <w:bCs/>
        </w:rPr>
        <w:t>-15); MOD Anex</w:t>
      </w:r>
      <w:r w:rsidR="009208E2" w:rsidRPr="00361BCF">
        <w:rPr>
          <w:b/>
          <w:bCs/>
        </w:rPr>
        <w:t>o</w:t>
      </w:r>
      <w:r w:rsidRPr="00361BCF">
        <w:rPr>
          <w:b/>
          <w:bCs/>
        </w:rPr>
        <w:t xml:space="preserve"> 1 </w:t>
      </w:r>
      <w:r w:rsidR="009208E2" w:rsidRPr="00361BCF">
        <w:rPr>
          <w:b/>
          <w:bCs/>
        </w:rPr>
        <w:t>a la</w:t>
      </w:r>
      <w:r w:rsidRPr="00361BCF">
        <w:rPr>
          <w:b/>
          <w:bCs/>
        </w:rPr>
        <w:t xml:space="preserve"> Resolu</w:t>
      </w:r>
      <w:r w:rsidR="009208E2" w:rsidRPr="00361BCF">
        <w:rPr>
          <w:b/>
          <w:bCs/>
        </w:rPr>
        <w:t>c</w:t>
      </w:r>
      <w:r w:rsidRPr="00361BCF">
        <w:rPr>
          <w:b/>
          <w:bCs/>
        </w:rPr>
        <w:t>i</w:t>
      </w:r>
      <w:r w:rsidR="009208E2" w:rsidRPr="00361BCF">
        <w:rPr>
          <w:b/>
          <w:bCs/>
        </w:rPr>
        <w:t>ó</w:t>
      </w:r>
      <w:r w:rsidRPr="00361BCF">
        <w:rPr>
          <w:b/>
          <w:bCs/>
        </w:rPr>
        <w:t>n 739 (Rev.C</w:t>
      </w:r>
      <w:r w:rsidR="009208E2" w:rsidRPr="00361BCF">
        <w:rPr>
          <w:b/>
          <w:bCs/>
        </w:rPr>
        <w:t>MR</w:t>
      </w:r>
      <w:r w:rsidRPr="00361BCF">
        <w:rPr>
          <w:b/>
          <w:bCs/>
        </w:rPr>
        <w:t>-15); SUP</w:t>
      </w:r>
      <w:r w:rsidR="0079407F">
        <w:rPr>
          <w:b/>
          <w:bCs/>
        </w:rPr>
        <w:t> </w:t>
      </w:r>
      <w:r w:rsidRPr="00361BCF">
        <w:rPr>
          <w:b/>
          <w:bCs/>
        </w:rPr>
        <w:t>Resolu</w:t>
      </w:r>
      <w:r w:rsidR="009208E2" w:rsidRPr="00361BCF">
        <w:rPr>
          <w:b/>
          <w:bCs/>
        </w:rPr>
        <w:t>c</w:t>
      </w:r>
      <w:r w:rsidRPr="00361BCF">
        <w:rPr>
          <w:b/>
          <w:bCs/>
        </w:rPr>
        <w:t>i</w:t>
      </w:r>
      <w:r w:rsidR="009208E2" w:rsidRPr="00361BCF">
        <w:rPr>
          <w:b/>
          <w:bCs/>
        </w:rPr>
        <w:t>ó</w:t>
      </w:r>
      <w:r w:rsidRPr="00361BCF">
        <w:rPr>
          <w:b/>
          <w:bCs/>
        </w:rPr>
        <w:t>n 360 (Rev.C</w:t>
      </w:r>
      <w:r w:rsidR="009208E2" w:rsidRPr="00361BCF">
        <w:rPr>
          <w:b/>
          <w:bCs/>
        </w:rPr>
        <w:t>MR</w:t>
      </w:r>
      <w:r w:rsidRPr="00361BCF">
        <w:rPr>
          <w:b/>
          <w:bCs/>
        </w:rPr>
        <w:t>-15)</w:t>
      </w:r>
      <w:bookmarkEnd w:id="56"/>
    </w:p>
    <w:p w14:paraId="1A3405C8" w14:textId="6768C2B4" w:rsidR="00524620" w:rsidRPr="00361BCF" w:rsidRDefault="00524620" w:rsidP="00C009CE">
      <w:pPr>
        <w:rPr>
          <w:b/>
          <w:bCs/>
        </w:rPr>
      </w:pPr>
      <w:r w:rsidRPr="00361BCF">
        <w:t>10.8</w:t>
      </w:r>
      <w:r w:rsidRPr="00361BCF">
        <w:tab/>
      </w:r>
      <w:bookmarkStart w:id="57" w:name="lt_pId274"/>
      <w:r w:rsidR="00B17EA1" w:rsidRPr="00361BCF">
        <w:t xml:space="preserve">Se </w:t>
      </w:r>
      <w:r w:rsidR="00B17EA1" w:rsidRPr="00361BCF">
        <w:rPr>
          <w:b/>
          <w:bCs/>
        </w:rPr>
        <w:t>a</w:t>
      </w:r>
      <w:r w:rsidRPr="00361BCF">
        <w:rPr>
          <w:b/>
          <w:bCs/>
        </w:rPr>
        <w:t>pr</w:t>
      </w:r>
      <w:r w:rsidR="00B17EA1" w:rsidRPr="00361BCF">
        <w:rPr>
          <w:b/>
          <w:bCs/>
        </w:rPr>
        <w:t>ueba</w:t>
      </w:r>
      <w:bookmarkEnd w:id="57"/>
      <w:r w:rsidR="00B17EA1" w:rsidRPr="00361BCF">
        <w:rPr>
          <w:b/>
          <w:bCs/>
        </w:rPr>
        <w:t>n</w:t>
      </w:r>
      <w:r w:rsidR="00B17EA1" w:rsidRPr="00361BCF">
        <w:t>.</w:t>
      </w:r>
    </w:p>
    <w:p w14:paraId="58CE7C28" w14:textId="27E50F53" w:rsidR="00524620" w:rsidRPr="00361BCF" w:rsidRDefault="00524620" w:rsidP="00C009CE">
      <w:r w:rsidRPr="00361BCF">
        <w:t>10.9</w:t>
      </w:r>
      <w:r w:rsidRPr="00361BCF">
        <w:tab/>
      </w:r>
      <w:bookmarkStart w:id="58" w:name="lt_pId276"/>
      <w:r w:rsidR="004519F6" w:rsidRPr="00361BCF">
        <w:t xml:space="preserve">Se </w:t>
      </w:r>
      <w:r w:rsidR="004519F6" w:rsidRPr="00361BCF">
        <w:rPr>
          <w:b/>
          <w:bCs/>
        </w:rPr>
        <w:t>aprueba</w:t>
      </w:r>
      <w:r w:rsidR="004519F6" w:rsidRPr="00361BCF">
        <w:t xml:space="preserve"> la </w:t>
      </w:r>
      <w:r w:rsidR="00A038C3" w:rsidRPr="00361BCF">
        <w:t>vigésim</w:t>
      </w:r>
      <w:r w:rsidR="00A038C3">
        <w:t xml:space="preserve">a </w:t>
      </w:r>
      <w:r w:rsidR="00F94BF0">
        <w:t>cuarta</w:t>
      </w:r>
      <w:r w:rsidR="004519F6" w:rsidRPr="00361BCF">
        <w:t xml:space="preserve"> serie de textos presentada po</w:t>
      </w:r>
      <w:r w:rsidR="00F94BF0">
        <w:t>r</w:t>
      </w:r>
      <w:r w:rsidR="004519F6" w:rsidRPr="00361BCF">
        <w:t xml:space="preserve"> la Comisión de Redacción en primera lectura </w:t>
      </w:r>
      <w:r w:rsidRPr="00361BCF">
        <w:t>(B24) (Document</w:t>
      </w:r>
      <w:r w:rsidR="00F94BF0">
        <w:t>o</w:t>
      </w:r>
      <w:r w:rsidRPr="00361BCF">
        <w:t xml:space="preserve"> 328), </w:t>
      </w:r>
      <w:r w:rsidR="00DE77DC">
        <w:t>en su forma enmendada</w:t>
      </w:r>
      <w:r w:rsidRPr="00361BCF">
        <w:t>.</w:t>
      </w:r>
      <w:bookmarkEnd w:id="58"/>
    </w:p>
    <w:p w14:paraId="047DF4B5" w14:textId="10E02FC2" w:rsidR="00524620" w:rsidRPr="00361BCF" w:rsidRDefault="00524620" w:rsidP="00C009CE">
      <w:r w:rsidRPr="00361BCF">
        <w:t>10.10</w:t>
      </w:r>
      <w:r w:rsidRPr="00361BCF">
        <w:tab/>
      </w:r>
      <w:bookmarkStart w:id="59" w:name="lt_pId279"/>
      <w:r w:rsidR="00B47C00" w:rsidRPr="00B47C00">
        <w:t xml:space="preserve">El </w:t>
      </w:r>
      <w:r w:rsidR="00B47C00" w:rsidRPr="00B47C00">
        <w:rPr>
          <w:b/>
          <w:bCs/>
        </w:rPr>
        <w:t>Presidente</w:t>
      </w:r>
      <w:r w:rsidR="00B47C00" w:rsidRPr="00B47C00">
        <w:t xml:space="preserve"> </w:t>
      </w:r>
      <w:r w:rsidR="00B47C00">
        <w:t xml:space="preserve">declara </w:t>
      </w:r>
      <w:r w:rsidR="00B47C00" w:rsidRPr="00B47C00">
        <w:t xml:space="preserve">que esta serie de textos se devolverá a la Comisión de Redacción, dado que se han introducido varias </w:t>
      </w:r>
      <w:r w:rsidR="00B47C00">
        <w:t>modificaciones</w:t>
      </w:r>
      <w:r w:rsidR="00B47C00" w:rsidRPr="00B47C00">
        <w:t xml:space="preserve">. </w:t>
      </w:r>
      <w:r w:rsidR="00DB258D">
        <w:t>La serie s</w:t>
      </w:r>
      <w:r w:rsidR="00B47C00" w:rsidRPr="00B47C00">
        <w:t>e volve</w:t>
      </w:r>
      <w:r w:rsidR="00B47C00">
        <w:t>rá</w:t>
      </w:r>
      <w:r w:rsidR="00B47C00" w:rsidRPr="00B47C00">
        <w:t xml:space="preserve"> a presentar a la Plenaria para segunda lectura</w:t>
      </w:r>
      <w:r w:rsidRPr="00361BCF">
        <w:t>.</w:t>
      </w:r>
      <w:bookmarkEnd w:id="59"/>
    </w:p>
    <w:bookmarkEnd w:id="46"/>
    <w:p w14:paraId="1023E857" w14:textId="23FD6C2F" w:rsidR="00825471" w:rsidRPr="00361BCF" w:rsidRDefault="00825471" w:rsidP="00C009CE">
      <w:pPr>
        <w:pStyle w:val="Heading1"/>
      </w:pPr>
      <w:r w:rsidRPr="00361BCF">
        <w:t>11</w:t>
      </w:r>
      <w:r w:rsidRPr="00361BCF">
        <w:tab/>
        <w:t>Vigésima quinta serie de textos sometidos por la Comisión de Redacción en primera lectura (B25) (Documento 332)</w:t>
      </w:r>
    </w:p>
    <w:p w14:paraId="4C951D5C" w14:textId="2D031799" w:rsidR="00825471" w:rsidRPr="00361BCF" w:rsidRDefault="00825471" w:rsidP="00C009CE">
      <w:r w:rsidRPr="00361BCF">
        <w:t>11.1</w:t>
      </w:r>
      <w:r w:rsidRPr="00361BCF">
        <w:tab/>
        <w:t xml:space="preserve">El </w:t>
      </w:r>
      <w:r w:rsidRPr="00361BCF">
        <w:rPr>
          <w:b/>
          <w:bCs/>
        </w:rPr>
        <w:t>Presidente de la Comisión de Redacción</w:t>
      </w:r>
      <w:r w:rsidRPr="00361BCF">
        <w:t xml:space="preserve"> presenta el Documento 332.</w:t>
      </w:r>
    </w:p>
    <w:p w14:paraId="0F941E67" w14:textId="0DD22923" w:rsidR="00825471" w:rsidRPr="00361BCF" w:rsidRDefault="00825471" w:rsidP="00C009CE">
      <w:r w:rsidRPr="00361BCF">
        <w:t>11.2</w:t>
      </w:r>
      <w:r w:rsidRPr="00361BCF">
        <w:tab/>
        <w:t xml:space="preserve">El </w:t>
      </w:r>
      <w:r w:rsidRPr="00361BCF">
        <w:rPr>
          <w:b/>
          <w:bCs/>
        </w:rPr>
        <w:t>Presidente</w:t>
      </w:r>
      <w:r w:rsidRPr="00361BCF">
        <w:t xml:space="preserve"> invita a la reunión a examinar el Documento 332.</w:t>
      </w:r>
    </w:p>
    <w:p w14:paraId="3A583FA5" w14:textId="6434CA1D" w:rsidR="00524620" w:rsidRPr="00361BCF" w:rsidRDefault="00A624D6" w:rsidP="00C009CE">
      <w:pPr>
        <w:rPr>
          <w:b/>
          <w:bCs/>
        </w:rPr>
      </w:pPr>
      <w:bookmarkStart w:id="60" w:name="lt_pId286"/>
      <w:r>
        <w:rPr>
          <w:b/>
          <w:bCs/>
        </w:rPr>
        <w:t xml:space="preserve">Artículo </w:t>
      </w:r>
      <w:r w:rsidR="00524620" w:rsidRPr="00361BCF">
        <w:rPr>
          <w:b/>
          <w:bCs/>
        </w:rPr>
        <w:t xml:space="preserve">11 (MOD 11.46, ADD 11.46.1); </w:t>
      </w:r>
      <w:r>
        <w:rPr>
          <w:b/>
          <w:bCs/>
        </w:rPr>
        <w:t>Apéndice</w:t>
      </w:r>
      <w:r w:rsidR="00524620" w:rsidRPr="00361BCF">
        <w:rPr>
          <w:b/>
          <w:bCs/>
        </w:rPr>
        <w:t xml:space="preserve"> 4 (MOD </w:t>
      </w:r>
      <w:r w:rsidR="00956ABB">
        <w:rPr>
          <w:b/>
          <w:bCs/>
        </w:rPr>
        <w:t>Cuadro </w:t>
      </w:r>
      <w:r w:rsidR="00524620" w:rsidRPr="00361BCF">
        <w:rPr>
          <w:b/>
          <w:bCs/>
        </w:rPr>
        <w:t xml:space="preserve">A – </w:t>
      </w:r>
      <w:r>
        <w:rPr>
          <w:b/>
          <w:bCs/>
        </w:rPr>
        <w:t>Temas en el Apéndice</w:t>
      </w:r>
      <w:r w:rsidR="00524620" w:rsidRPr="00361BCF">
        <w:rPr>
          <w:b/>
          <w:bCs/>
        </w:rPr>
        <w:t xml:space="preserve"> – A.2.a; MOD </w:t>
      </w:r>
      <w:r w:rsidR="00956ABB">
        <w:rPr>
          <w:b/>
          <w:bCs/>
        </w:rPr>
        <w:t>Cuadro</w:t>
      </w:r>
      <w:r w:rsidR="00524620" w:rsidRPr="00361BCF">
        <w:rPr>
          <w:b/>
          <w:bCs/>
        </w:rPr>
        <w:t xml:space="preserve"> A – </w:t>
      </w:r>
      <w:r>
        <w:rPr>
          <w:b/>
          <w:bCs/>
        </w:rPr>
        <w:t>Temas en el Apéndice</w:t>
      </w:r>
      <w:r w:rsidRPr="00361BCF">
        <w:rPr>
          <w:b/>
          <w:bCs/>
        </w:rPr>
        <w:t xml:space="preserve"> </w:t>
      </w:r>
      <w:r w:rsidR="00524620" w:rsidRPr="00361BCF">
        <w:rPr>
          <w:b/>
          <w:bCs/>
        </w:rPr>
        <w:t xml:space="preserve">– A.2.a, A.3.a </w:t>
      </w:r>
      <w:r w:rsidR="00956ABB">
        <w:rPr>
          <w:b/>
          <w:bCs/>
        </w:rPr>
        <w:t>y</w:t>
      </w:r>
      <w:r w:rsidR="00524620" w:rsidRPr="00361BCF">
        <w:rPr>
          <w:b/>
          <w:bCs/>
        </w:rPr>
        <w:t xml:space="preserve"> A.3.b; MOD </w:t>
      </w:r>
      <w:r>
        <w:rPr>
          <w:b/>
          <w:bCs/>
        </w:rPr>
        <w:t>Cuadro</w:t>
      </w:r>
      <w:r w:rsidR="00524620" w:rsidRPr="00361BCF">
        <w:rPr>
          <w:b/>
          <w:bCs/>
        </w:rPr>
        <w:t xml:space="preserve"> C); </w:t>
      </w:r>
      <w:r>
        <w:rPr>
          <w:b/>
          <w:bCs/>
        </w:rPr>
        <w:t>Apéndice</w:t>
      </w:r>
      <w:r w:rsidRPr="00361BCF">
        <w:rPr>
          <w:b/>
          <w:bCs/>
        </w:rPr>
        <w:t xml:space="preserve"> </w:t>
      </w:r>
      <w:r w:rsidR="00524620" w:rsidRPr="00361BCF">
        <w:rPr>
          <w:b/>
          <w:bCs/>
        </w:rPr>
        <w:t>30 (MOD 4.1.12</w:t>
      </w:r>
      <w:r w:rsidR="00524620" w:rsidRPr="00361BCF">
        <w:rPr>
          <w:b/>
          <w:bCs/>
          <w:i/>
          <w:iCs/>
        </w:rPr>
        <w:t>bis</w:t>
      </w:r>
      <w:r w:rsidR="00524620" w:rsidRPr="00361BCF">
        <w:rPr>
          <w:b/>
          <w:bCs/>
        </w:rPr>
        <w:t>; MOD 4.2.16</w:t>
      </w:r>
      <w:r w:rsidR="00524620" w:rsidRPr="00361BCF">
        <w:rPr>
          <w:b/>
          <w:bCs/>
          <w:i/>
          <w:iCs/>
        </w:rPr>
        <w:t>bis</w:t>
      </w:r>
      <w:r w:rsidR="00524620" w:rsidRPr="00361BCF">
        <w:rPr>
          <w:b/>
          <w:bCs/>
        </w:rPr>
        <w:t xml:space="preserve">); </w:t>
      </w:r>
      <w:r>
        <w:rPr>
          <w:b/>
          <w:bCs/>
        </w:rPr>
        <w:t>Apéndice</w:t>
      </w:r>
      <w:r w:rsidRPr="00361BCF">
        <w:rPr>
          <w:b/>
          <w:bCs/>
        </w:rPr>
        <w:t xml:space="preserve"> </w:t>
      </w:r>
      <w:r w:rsidR="00524620" w:rsidRPr="00361BCF">
        <w:rPr>
          <w:b/>
          <w:bCs/>
        </w:rPr>
        <w:t>30A (MOD 4.1.12</w:t>
      </w:r>
      <w:r w:rsidR="00524620" w:rsidRPr="00361BCF">
        <w:rPr>
          <w:b/>
          <w:bCs/>
          <w:i/>
          <w:iCs/>
        </w:rPr>
        <w:t>bis</w:t>
      </w:r>
      <w:r w:rsidR="00524620" w:rsidRPr="00361BCF">
        <w:rPr>
          <w:b/>
          <w:bCs/>
        </w:rPr>
        <w:t>, MOD 4.2.16</w:t>
      </w:r>
      <w:r w:rsidR="00524620" w:rsidRPr="00361BCF">
        <w:rPr>
          <w:b/>
          <w:bCs/>
          <w:i/>
          <w:iCs/>
        </w:rPr>
        <w:t>bis</w:t>
      </w:r>
      <w:r w:rsidR="00524620" w:rsidRPr="00361BCF">
        <w:rPr>
          <w:b/>
          <w:bCs/>
        </w:rPr>
        <w:t xml:space="preserve">, MOD </w:t>
      </w:r>
      <w:r>
        <w:rPr>
          <w:b/>
          <w:bCs/>
        </w:rPr>
        <w:t>Título del Artículo</w:t>
      </w:r>
      <w:r w:rsidR="00524620" w:rsidRPr="00361BCF">
        <w:rPr>
          <w:b/>
          <w:bCs/>
        </w:rPr>
        <w:t xml:space="preserve"> 5, MOD 5.2.6); </w:t>
      </w:r>
      <w:r>
        <w:rPr>
          <w:b/>
          <w:bCs/>
        </w:rPr>
        <w:t>Apéndice</w:t>
      </w:r>
      <w:r w:rsidRPr="00361BCF">
        <w:rPr>
          <w:b/>
          <w:bCs/>
        </w:rPr>
        <w:t xml:space="preserve"> </w:t>
      </w:r>
      <w:r w:rsidR="00524620" w:rsidRPr="00361BCF">
        <w:rPr>
          <w:b/>
          <w:bCs/>
        </w:rPr>
        <w:t>30B (ADD 6.1</w:t>
      </w:r>
      <w:r w:rsidR="00524620" w:rsidRPr="00361BCF">
        <w:rPr>
          <w:b/>
          <w:bCs/>
          <w:i/>
          <w:iCs/>
        </w:rPr>
        <w:t>bis</w:t>
      </w:r>
      <w:r w:rsidR="00524620" w:rsidRPr="00361BCF">
        <w:rPr>
          <w:b/>
          <w:bCs/>
        </w:rPr>
        <w:t>, ADD 6.15</w:t>
      </w:r>
      <w:r w:rsidR="00524620" w:rsidRPr="00361BCF">
        <w:rPr>
          <w:b/>
          <w:bCs/>
          <w:i/>
          <w:iCs/>
        </w:rPr>
        <w:t>bis</w:t>
      </w:r>
      <w:r w:rsidR="00524620" w:rsidRPr="00361BCF">
        <w:rPr>
          <w:b/>
          <w:bCs/>
        </w:rPr>
        <w:t>, ADD</w:t>
      </w:r>
      <w:r w:rsidR="00956ABB">
        <w:rPr>
          <w:b/>
          <w:bCs/>
        </w:rPr>
        <w:t> </w:t>
      </w:r>
      <w:r w:rsidR="00524620" w:rsidRPr="00361BCF">
        <w:rPr>
          <w:b/>
          <w:bCs/>
        </w:rPr>
        <w:t>6.15</w:t>
      </w:r>
      <w:r w:rsidR="00524620" w:rsidRPr="00361BCF">
        <w:rPr>
          <w:b/>
          <w:bCs/>
          <w:i/>
          <w:iCs/>
        </w:rPr>
        <w:t>ter</w:t>
      </w:r>
      <w:r w:rsidR="00524620" w:rsidRPr="00361BCF">
        <w:rPr>
          <w:b/>
          <w:bCs/>
        </w:rPr>
        <w:t>, MOD 6.17)</w:t>
      </w:r>
      <w:bookmarkEnd w:id="60"/>
    </w:p>
    <w:p w14:paraId="668E6851" w14:textId="0DE951B3" w:rsidR="00524620" w:rsidRPr="001604D2" w:rsidRDefault="00524620" w:rsidP="00C009CE">
      <w:r w:rsidRPr="00361BCF">
        <w:t>11.3</w:t>
      </w:r>
      <w:r w:rsidRPr="00361BCF">
        <w:tab/>
      </w:r>
      <w:bookmarkStart w:id="61" w:name="lt_pId288"/>
      <w:r w:rsidRPr="00361BCF">
        <w:rPr>
          <w:b/>
          <w:bCs/>
        </w:rPr>
        <w:t>Aprobado</w:t>
      </w:r>
      <w:r w:rsidRPr="001604D2">
        <w:t>.</w:t>
      </w:r>
      <w:bookmarkEnd w:id="61"/>
    </w:p>
    <w:p w14:paraId="0044E14B" w14:textId="5E92E2AF" w:rsidR="00524620" w:rsidRPr="001604D2" w:rsidRDefault="00524620" w:rsidP="00C009CE">
      <w:pPr>
        <w:rPr>
          <w:i/>
          <w:iCs/>
        </w:rPr>
      </w:pPr>
      <w:bookmarkStart w:id="62" w:name="lt_pId289"/>
      <w:r w:rsidRPr="00361BCF">
        <w:rPr>
          <w:b/>
          <w:bCs/>
        </w:rPr>
        <w:t>Ap</w:t>
      </w:r>
      <w:r w:rsidR="009208E2" w:rsidRPr="00361BCF">
        <w:rPr>
          <w:b/>
          <w:bCs/>
        </w:rPr>
        <w:t>é</w:t>
      </w:r>
      <w:r w:rsidRPr="00361BCF">
        <w:rPr>
          <w:b/>
          <w:bCs/>
        </w:rPr>
        <w:t>ndi</w:t>
      </w:r>
      <w:r w:rsidR="009208E2" w:rsidRPr="00361BCF">
        <w:rPr>
          <w:b/>
          <w:bCs/>
        </w:rPr>
        <w:t>ce</w:t>
      </w:r>
      <w:r w:rsidRPr="00361BCF">
        <w:rPr>
          <w:b/>
          <w:bCs/>
        </w:rPr>
        <w:t xml:space="preserve"> 30B (ADD 6.17</w:t>
      </w:r>
      <w:r w:rsidRPr="00361BCF">
        <w:rPr>
          <w:b/>
          <w:bCs/>
          <w:i/>
          <w:iCs/>
        </w:rPr>
        <w:t>bis</w:t>
      </w:r>
      <w:r w:rsidRPr="001604D2">
        <w:rPr>
          <w:b/>
          <w:bCs/>
        </w:rPr>
        <w:t>)</w:t>
      </w:r>
      <w:bookmarkEnd w:id="62"/>
    </w:p>
    <w:p w14:paraId="6D83A301" w14:textId="7289ABF2" w:rsidR="00524620" w:rsidRPr="00361BCF" w:rsidRDefault="00524620" w:rsidP="00C009CE">
      <w:r w:rsidRPr="00361BCF">
        <w:t>11.4</w:t>
      </w:r>
      <w:r w:rsidRPr="00361BCF">
        <w:tab/>
      </w:r>
      <w:bookmarkStart w:id="63" w:name="lt_pId291"/>
      <w:r w:rsidR="00EE6E56" w:rsidRPr="00EE6E56">
        <w:t xml:space="preserve">El </w:t>
      </w:r>
      <w:r w:rsidR="00EE6E56" w:rsidRPr="00EE6E56">
        <w:rPr>
          <w:b/>
          <w:bCs/>
        </w:rPr>
        <w:t>representante de la BR</w:t>
      </w:r>
      <w:r w:rsidR="00EE6E56" w:rsidRPr="00EE6E56">
        <w:t xml:space="preserve">, </w:t>
      </w:r>
      <w:r w:rsidR="00EE6E56">
        <w:t>respondiendo</w:t>
      </w:r>
      <w:r w:rsidR="00EE6E56" w:rsidRPr="00EE6E56">
        <w:t xml:space="preserve"> a </w:t>
      </w:r>
      <w:r w:rsidR="00EE6E56">
        <w:t xml:space="preserve">la </w:t>
      </w:r>
      <w:r w:rsidR="00EE6E56" w:rsidRPr="00EE6E56">
        <w:t xml:space="preserve">aclaración </w:t>
      </w:r>
      <w:r w:rsidR="007A08FC">
        <w:t xml:space="preserve">solicitada por </w:t>
      </w:r>
      <w:r w:rsidR="00EE6E56" w:rsidRPr="00EE6E56">
        <w:t xml:space="preserve">el </w:t>
      </w:r>
      <w:r w:rsidR="00EE6E56" w:rsidRPr="007A08FC">
        <w:rPr>
          <w:b/>
          <w:bCs/>
        </w:rPr>
        <w:t>delegado de Kazajstán</w:t>
      </w:r>
      <w:r w:rsidR="00EE6E56" w:rsidRPr="00EE6E56">
        <w:t>, confirm</w:t>
      </w:r>
      <w:r w:rsidR="007A08FC">
        <w:t>a</w:t>
      </w:r>
      <w:r w:rsidR="00EE6E56" w:rsidRPr="00EE6E56">
        <w:t xml:space="preserve"> que la Oficina atende</w:t>
      </w:r>
      <w:r w:rsidR="007A08FC">
        <w:t>rá</w:t>
      </w:r>
      <w:r w:rsidR="00EE6E56" w:rsidRPr="00EE6E56">
        <w:t xml:space="preserve"> una petición del tipo mencionado en la disposición inscribiendo en la Lista una sola subbanda de 250 MHz para el enlace descendente y una sola subbanda de 250 MHz para el enlace ascendente</w:t>
      </w:r>
      <w:r w:rsidRPr="00361BCF">
        <w:t>.</w:t>
      </w:r>
      <w:bookmarkEnd w:id="63"/>
    </w:p>
    <w:p w14:paraId="6E11565F" w14:textId="65BD4EC0" w:rsidR="00524620" w:rsidRPr="00361BCF" w:rsidRDefault="00524620" w:rsidP="00C009CE">
      <w:pPr>
        <w:rPr>
          <w:b/>
          <w:bCs/>
        </w:rPr>
      </w:pPr>
      <w:r w:rsidRPr="00361BCF">
        <w:lastRenderedPageBreak/>
        <w:t>11.5</w:t>
      </w:r>
      <w:r w:rsidRPr="00361BCF">
        <w:tab/>
      </w:r>
      <w:bookmarkStart w:id="64" w:name="lt_pId293"/>
      <w:r w:rsidR="00FA27EE">
        <w:t>Tras esta aclaración, s</w:t>
      </w:r>
      <w:r w:rsidR="000C619E">
        <w:t xml:space="preserve">e </w:t>
      </w:r>
      <w:r w:rsidR="000C619E" w:rsidRPr="00FA27EE">
        <w:rPr>
          <w:b/>
          <w:bCs/>
        </w:rPr>
        <w:t>aprueba</w:t>
      </w:r>
      <w:r w:rsidR="000C619E">
        <w:t xml:space="preserve"> </w:t>
      </w:r>
      <w:r w:rsidRPr="00361BCF">
        <w:t>ADD 6.17</w:t>
      </w:r>
      <w:r w:rsidRPr="00361BCF">
        <w:rPr>
          <w:i/>
          <w:iCs/>
        </w:rPr>
        <w:t>bis</w:t>
      </w:r>
      <w:r w:rsidR="00FA27EE" w:rsidRPr="00FA27EE">
        <w:t>.</w:t>
      </w:r>
      <w:bookmarkEnd w:id="64"/>
    </w:p>
    <w:p w14:paraId="2A2B703A" w14:textId="01946F47" w:rsidR="00524620" w:rsidRPr="00434AFA" w:rsidRDefault="00524620" w:rsidP="00C009CE">
      <w:pPr>
        <w:rPr>
          <w:i/>
          <w:iCs/>
          <w:lang w:val="en-US"/>
        </w:rPr>
      </w:pPr>
      <w:bookmarkStart w:id="65" w:name="lt_pId294"/>
      <w:bookmarkStart w:id="66" w:name="_GoBack"/>
      <w:proofErr w:type="spellStart"/>
      <w:r w:rsidRPr="00434AFA">
        <w:rPr>
          <w:b/>
          <w:bCs/>
          <w:lang w:val="en-US"/>
        </w:rPr>
        <w:t>Ap</w:t>
      </w:r>
      <w:r w:rsidR="009208E2" w:rsidRPr="00434AFA">
        <w:rPr>
          <w:b/>
          <w:bCs/>
          <w:lang w:val="en-US"/>
        </w:rPr>
        <w:t>é</w:t>
      </w:r>
      <w:r w:rsidRPr="00434AFA">
        <w:rPr>
          <w:b/>
          <w:bCs/>
          <w:lang w:val="en-US"/>
        </w:rPr>
        <w:t>ndi</w:t>
      </w:r>
      <w:r w:rsidR="009208E2" w:rsidRPr="00434AFA">
        <w:rPr>
          <w:b/>
          <w:bCs/>
          <w:lang w:val="en-US"/>
        </w:rPr>
        <w:t>ce</w:t>
      </w:r>
      <w:proofErr w:type="spellEnd"/>
      <w:r w:rsidRPr="00434AFA">
        <w:rPr>
          <w:b/>
          <w:bCs/>
          <w:lang w:val="en-US"/>
        </w:rPr>
        <w:t xml:space="preserve"> 30B (MOD 8.13, ADD 8.16</w:t>
      </w:r>
      <w:r w:rsidRPr="00434AFA">
        <w:rPr>
          <w:b/>
          <w:bCs/>
          <w:i/>
          <w:iCs/>
          <w:lang w:val="en-US"/>
        </w:rPr>
        <w:t>bis</w:t>
      </w:r>
      <w:r w:rsidRPr="00434AFA">
        <w:rPr>
          <w:b/>
          <w:bCs/>
          <w:lang w:val="en-US"/>
        </w:rPr>
        <w:t>)</w:t>
      </w:r>
      <w:bookmarkEnd w:id="65"/>
    </w:p>
    <w:bookmarkEnd w:id="66"/>
    <w:p w14:paraId="5F7D2255" w14:textId="1DD16868" w:rsidR="00524620" w:rsidRPr="00956ABB" w:rsidRDefault="00524620" w:rsidP="00C009CE">
      <w:r w:rsidRPr="00361BCF">
        <w:t>11.6</w:t>
      </w:r>
      <w:r w:rsidRPr="00361BCF">
        <w:tab/>
      </w:r>
      <w:bookmarkStart w:id="67" w:name="lt_pId296"/>
      <w:r w:rsidRPr="00361BCF">
        <w:rPr>
          <w:b/>
          <w:bCs/>
        </w:rPr>
        <w:t>Aprobado</w:t>
      </w:r>
      <w:r w:rsidRPr="00956ABB">
        <w:t>.</w:t>
      </w:r>
      <w:bookmarkEnd w:id="67"/>
    </w:p>
    <w:p w14:paraId="5E9AF8BC" w14:textId="05F96B27" w:rsidR="00524620" w:rsidRPr="00361BCF" w:rsidRDefault="00524620" w:rsidP="00C009CE">
      <w:pPr>
        <w:rPr>
          <w:b/>
          <w:bCs/>
        </w:rPr>
      </w:pPr>
      <w:r w:rsidRPr="00361BCF">
        <w:t>11.7</w:t>
      </w:r>
      <w:r w:rsidRPr="00361BCF">
        <w:tab/>
      </w:r>
      <w:bookmarkStart w:id="68" w:name="lt_pId298"/>
      <w:r w:rsidR="00FA27EE" w:rsidRPr="00361BCF">
        <w:t xml:space="preserve">Se </w:t>
      </w:r>
      <w:r w:rsidR="00FA27EE" w:rsidRPr="00361BCF">
        <w:rPr>
          <w:b/>
          <w:bCs/>
        </w:rPr>
        <w:t>aprueba</w:t>
      </w:r>
      <w:r w:rsidR="00FA27EE" w:rsidRPr="00361BCF">
        <w:t xml:space="preserve"> la </w:t>
      </w:r>
      <w:r w:rsidR="00B1044F" w:rsidRPr="00361BCF">
        <w:t>vigésim</w:t>
      </w:r>
      <w:r w:rsidR="00B1044F">
        <w:t xml:space="preserve">a </w:t>
      </w:r>
      <w:r w:rsidR="00FA27EE">
        <w:t>quinta</w:t>
      </w:r>
      <w:r w:rsidR="00FA27EE" w:rsidRPr="00361BCF">
        <w:t xml:space="preserve"> serie de textos presentada po</w:t>
      </w:r>
      <w:r w:rsidR="00FA27EE">
        <w:t>r</w:t>
      </w:r>
      <w:r w:rsidR="00FA27EE" w:rsidRPr="00361BCF">
        <w:t xml:space="preserve"> la Comisión de Redacción en primera lectura </w:t>
      </w:r>
      <w:r w:rsidRPr="00361BCF">
        <w:t>(B25) (Document</w:t>
      </w:r>
      <w:r w:rsidR="00FA27EE">
        <w:t>o</w:t>
      </w:r>
      <w:r w:rsidRPr="00361BCF">
        <w:t xml:space="preserve"> 332)</w:t>
      </w:r>
      <w:r w:rsidRPr="00FA27EE">
        <w:t>.</w:t>
      </w:r>
      <w:bookmarkEnd w:id="68"/>
    </w:p>
    <w:p w14:paraId="2AEA5248" w14:textId="4426F399" w:rsidR="00825471" w:rsidRPr="00361BCF" w:rsidRDefault="00825471" w:rsidP="00C009CE">
      <w:pPr>
        <w:pStyle w:val="Heading1"/>
      </w:pPr>
      <w:r w:rsidRPr="00361BCF">
        <w:t>12</w:t>
      </w:r>
      <w:r w:rsidRPr="00361BCF">
        <w:tab/>
        <w:t>Vigésima quinta serie de textos sometidos por la Comisión de Redacción (B25) – segunda lectura (Documento 332)</w:t>
      </w:r>
    </w:p>
    <w:p w14:paraId="7A636347" w14:textId="2CACB0DC" w:rsidR="00825471" w:rsidRPr="00361BCF" w:rsidRDefault="00825471" w:rsidP="00C009CE">
      <w:r w:rsidRPr="00361BCF">
        <w:t>12.1</w:t>
      </w:r>
      <w:r w:rsidRPr="00361BCF">
        <w:tab/>
        <w:t xml:space="preserve">Se </w:t>
      </w:r>
      <w:r w:rsidRPr="00361BCF">
        <w:rPr>
          <w:b/>
          <w:bCs/>
        </w:rPr>
        <w:t xml:space="preserve">aprueba </w:t>
      </w:r>
      <w:r w:rsidRPr="00361BCF">
        <w:t>en segunda lectura</w:t>
      </w:r>
      <w:r w:rsidRPr="00361BCF">
        <w:rPr>
          <w:b/>
          <w:bCs/>
        </w:rPr>
        <w:t xml:space="preserve"> </w:t>
      </w:r>
      <w:r w:rsidRPr="00361BCF">
        <w:t>la vigésima quinta serie de textos sometidos por la Comisión de Redacción (B25) (Documento 332).</w:t>
      </w:r>
    </w:p>
    <w:p w14:paraId="23D134E4" w14:textId="76FAAA02" w:rsidR="00524620" w:rsidRPr="00361BCF" w:rsidRDefault="00524620" w:rsidP="00C009CE">
      <w:pPr>
        <w:pStyle w:val="Heading1"/>
      </w:pPr>
      <w:r w:rsidRPr="00361BCF">
        <w:t>13</w:t>
      </w:r>
      <w:r w:rsidRPr="00361BCF">
        <w:tab/>
      </w:r>
      <w:bookmarkStart w:id="69" w:name="lt_pId304"/>
      <w:r w:rsidR="00806CCB" w:rsidRPr="00361BCF">
        <w:t xml:space="preserve">Propuesta para los trabajos de la Conferencia (Documento </w:t>
      </w:r>
      <w:r w:rsidRPr="00361BCF">
        <w:t>238)</w:t>
      </w:r>
      <w:bookmarkEnd w:id="69"/>
    </w:p>
    <w:p w14:paraId="2BE6E167" w14:textId="3F46AB30" w:rsidR="00524620" w:rsidRPr="00361BCF" w:rsidRDefault="00524620" w:rsidP="00C009CE">
      <w:r w:rsidRPr="00361BCF">
        <w:t>13.1</w:t>
      </w:r>
      <w:r w:rsidRPr="00361BCF">
        <w:tab/>
      </w:r>
      <w:bookmarkStart w:id="70" w:name="lt_pId308"/>
      <w:r w:rsidR="00125D3B" w:rsidRPr="00125D3B">
        <w:t xml:space="preserve">El </w:t>
      </w:r>
      <w:r w:rsidR="00125D3B" w:rsidRPr="00125D3B">
        <w:rPr>
          <w:b/>
          <w:bCs/>
        </w:rPr>
        <w:t>delegado de Egipto</w:t>
      </w:r>
      <w:r w:rsidR="00125D3B" w:rsidRPr="00125D3B">
        <w:t xml:space="preserve"> presenta el Documento 238, que contiene una petición relativa al satélite Nilesat 301</w:t>
      </w:r>
      <w:r w:rsidR="00125D3B">
        <w:t xml:space="preserve"> de Egipto</w:t>
      </w:r>
      <w:r w:rsidR="00125D3B" w:rsidRPr="00125D3B">
        <w:t>, que debe situarse en la posición orbital 7°</w:t>
      </w:r>
      <w:r w:rsidR="00B1044F">
        <w:t> </w:t>
      </w:r>
      <w:r w:rsidR="004D1017">
        <w:t>W</w:t>
      </w:r>
      <w:r w:rsidR="00125D3B" w:rsidRPr="00125D3B">
        <w:t xml:space="preserve"> antes del 19 de marzo de</w:t>
      </w:r>
      <w:r w:rsidR="00956ABB">
        <w:t> </w:t>
      </w:r>
      <w:r w:rsidR="00125D3B" w:rsidRPr="00125D3B">
        <w:t xml:space="preserve">2022, fecha </w:t>
      </w:r>
      <w:r w:rsidR="001A520E">
        <w:t xml:space="preserve">en la que se cumple el plazo </w:t>
      </w:r>
      <w:r w:rsidR="00125D3B" w:rsidRPr="00125D3B">
        <w:t>para la puesta en servicio de las asignaciones de frecuencia</w:t>
      </w:r>
      <w:r w:rsidR="00956ABB">
        <w:t>s</w:t>
      </w:r>
      <w:r w:rsidR="00125D3B" w:rsidRPr="00125D3B">
        <w:t xml:space="preserve"> de la </w:t>
      </w:r>
      <w:r w:rsidR="001A520E">
        <w:t xml:space="preserve">notificación </w:t>
      </w:r>
      <w:r w:rsidR="00125D3B" w:rsidRPr="00125D3B">
        <w:t>EGY-N-SAT. Aunque conf</w:t>
      </w:r>
      <w:r w:rsidR="001A520E">
        <w:t>í</w:t>
      </w:r>
      <w:r w:rsidR="00125D3B" w:rsidRPr="00125D3B">
        <w:t xml:space="preserve">a en que </w:t>
      </w:r>
      <w:r w:rsidR="001A520E">
        <w:t xml:space="preserve">podrá </w:t>
      </w:r>
      <w:r w:rsidR="00125D3B" w:rsidRPr="00125D3B">
        <w:t xml:space="preserve">cumplir ese plazo, la Administración </w:t>
      </w:r>
      <w:r w:rsidR="001A520E">
        <w:t xml:space="preserve">de Egipto </w:t>
      </w:r>
      <w:r w:rsidR="006B5BD7">
        <w:t xml:space="preserve">está preocupada </w:t>
      </w:r>
      <w:r w:rsidR="00125D3B" w:rsidRPr="00125D3B">
        <w:t xml:space="preserve">por </w:t>
      </w:r>
      <w:r w:rsidR="006B5BD7">
        <w:t xml:space="preserve">si </w:t>
      </w:r>
      <w:r w:rsidR="003F1062">
        <w:t xml:space="preserve">se produce </w:t>
      </w:r>
      <w:r w:rsidR="006B5BD7">
        <w:t xml:space="preserve">algún </w:t>
      </w:r>
      <w:r w:rsidR="00125D3B" w:rsidRPr="00125D3B">
        <w:t xml:space="preserve">percance </w:t>
      </w:r>
      <w:r w:rsidR="006B5BD7">
        <w:t xml:space="preserve">imprevisto </w:t>
      </w:r>
      <w:r w:rsidR="003F1062">
        <w:t xml:space="preserve">que </w:t>
      </w:r>
      <w:r w:rsidR="002D4D88">
        <w:t xml:space="preserve">produzca un retraso ajeno </w:t>
      </w:r>
      <w:r w:rsidR="00125D3B" w:rsidRPr="00125D3B">
        <w:t>a su control</w:t>
      </w:r>
      <w:r w:rsidR="009F6BB3">
        <w:t>,</w:t>
      </w:r>
      <w:r w:rsidR="00125D3B" w:rsidRPr="00125D3B">
        <w:t xml:space="preserve"> afecta</w:t>
      </w:r>
      <w:r w:rsidR="009F6BB3">
        <w:t>ndo</w:t>
      </w:r>
      <w:r w:rsidR="00125D3B" w:rsidRPr="00125D3B">
        <w:t xml:space="preserve"> a</w:t>
      </w:r>
      <w:r w:rsidR="00E67B27">
        <w:t xml:space="preserve"> </w:t>
      </w:r>
      <w:r w:rsidR="00125D3B" w:rsidRPr="00125D3B">
        <w:t>l</w:t>
      </w:r>
      <w:r w:rsidR="00E67B27">
        <w:t>a fecha de</w:t>
      </w:r>
      <w:r w:rsidR="00125D3B" w:rsidRPr="00125D3B">
        <w:t xml:space="preserve"> lanzamiento del satélite. Por consiguiente, pidió a la Conferencia que concediera una prórroga de seis meses del plazo hasta el</w:t>
      </w:r>
      <w:r w:rsidR="00B1044F">
        <w:t> </w:t>
      </w:r>
      <w:r w:rsidR="00125D3B" w:rsidRPr="00125D3B">
        <w:t>19</w:t>
      </w:r>
      <w:r w:rsidR="00B1044F">
        <w:t> </w:t>
      </w:r>
      <w:r w:rsidR="00125D3B" w:rsidRPr="00125D3B">
        <w:t>de septiembre de 2022</w:t>
      </w:r>
      <w:r w:rsidRPr="00361BCF">
        <w:t>.</w:t>
      </w:r>
      <w:bookmarkEnd w:id="70"/>
    </w:p>
    <w:p w14:paraId="5361E656" w14:textId="425D4689" w:rsidR="00524620" w:rsidRPr="00361BCF" w:rsidRDefault="00524620" w:rsidP="00C009CE">
      <w:r w:rsidRPr="00361BCF">
        <w:t>13.2</w:t>
      </w:r>
      <w:r w:rsidRPr="00361BCF">
        <w:tab/>
      </w:r>
      <w:bookmarkStart w:id="71" w:name="lt_pId310"/>
      <w:r w:rsidR="003C75CF" w:rsidRPr="003C75CF">
        <w:t xml:space="preserve">El </w:t>
      </w:r>
      <w:r w:rsidR="003C75CF" w:rsidRPr="003C75CF">
        <w:rPr>
          <w:b/>
          <w:bCs/>
        </w:rPr>
        <w:t>delegado de la República Islámica del Irán</w:t>
      </w:r>
      <w:r w:rsidR="003C75CF" w:rsidRPr="003C75CF">
        <w:t xml:space="preserve"> </w:t>
      </w:r>
      <w:r w:rsidR="00C02E74">
        <w:t xml:space="preserve">declara </w:t>
      </w:r>
      <w:r w:rsidR="003C75CF" w:rsidRPr="003C75CF">
        <w:t>que, en general, las solicitudes de esa índole procedentes de los países en desarrollo deb</w:t>
      </w:r>
      <w:r w:rsidR="00C02E74">
        <w:t>e</w:t>
      </w:r>
      <w:r w:rsidR="003C75CF" w:rsidRPr="003C75CF">
        <w:t>n considerarse favorablemente</w:t>
      </w:r>
      <w:r w:rsidRPr="00361BCF">
        <w:t>.</w:t>
      </w:r>
      <w:bookmarkEnd w:id="71"/>
    </w:p>
    <w:p w14:paraId="6DCE5ABD" w14:textId="3345E73A" w:rsidR="00524620" w:rsidRPr="00361BCF" w:rsidRDefault="00524620" w:rsidP="00C009CE">
      <w:r w:rsidRPr="00361BCF">
        <w:t>13.3</w:t>
      </w:r>
      <w:r w:rsidRPr="00361BCF">
        <w:tab/>
      </w:r>
      <w:bookmarkStart w:id="72" w:name="lt_pId312"/>
      <w:r w:rsidR="00DF13F4" w:rsidRPr="00DF13F4">
        <w:t xml:space="preserve">Los </w:t>
      </w:r>
      <w:r w:rsidR="00DF13F4" w:rsidRPr="00DF13F4">
        <w:rPr>
          <w:b/>
          <w:bCs/>
        </w:rPr>
        <w:t xml:space="preserve">delegados de Arabia Saudita, Qatar, el Líbano </w:t>
      </w:r>
      <w:r w:rsidR="00DF13F4" w:rsidRPr="00B1044F">
        <w:t>y</w:t>
      </w:r>
      <w:r w:rsidR="00DF13F4" w:rsidRPr="00DF13F4">
        <w:rPr>
          <w:b/>
          <w:bCs/>
        </w:rPr>
        <w:t xml:space="preserve"> Kuwait</w:t>
      </w:r>
      <w:r w:rsidR="00DF13F4" w:rsidRPr="00DF13F4">
        <w:t xml:space="preserve"> y el </w:t>
      </w:r>
      <w:r w:rsidR="00DF13F4" w:rsidRPr="00DF13F4">
        <w:rPr>
          <w:b/>
          <w:bCs/>
        </w:rPr>
        <w:t xml:space="preserve">observador del Estado de Palestina </w:t>
      </w:r>
      <w:r w:rsidR="00DF13F4">
        <w:t xml:space="preserve">refrendan </w:t>
      </w:r>
      <w:r w:rsidR="00DF13F4" w:rsidRPr="00DF13F4">
        <w:t>la solicitud</w:t>
      </w:r>
      <w:r w:rsidRPr="00361BCF">
        <w:t>.</w:t>
      </w:r>
      <w:bookmarkEnd w:id="72"/>
    </w:p>
    <w:p w14:paraId="207BFB46" w14:textId="1E029C89" w:rsidR="00524620" w:rsidRPr="00361BCF" w:rsidRDefault="00524620" w:rsidP="00C009CE">
      <w:r w:rsidRPr="00361BCF">
        <w:t>13.4</w:t>
      </w:r>
      <w:r w:rsidRPr="00361BCF">
        <w:tab/>
      </w:r>
      <w:bookmarkStart w:id="73" w:name="lt_pId314"/>
      <w:r w:rsidR="00545E40" w:rsidRPr="00545E40">
        <w:t xml:space="preserve">El </w:t>
      </w:r>
      <w:r w:rsidR="00545E40" w:rsidRPr="00545E40">
        <w:rPr>
          <w:b/>
          <w:bCs/>
        </w:rPr>
        <w:t xml:space="preserve">delegado de los Emiratos </w:t>
      </w:r>
      <w:r w:rsidR="00B53923">
        <w:rPr>
          <w:b/>
          <w:bCs/>
        </w:rPr>
        <w:t>Á</w:t>
      </w:r>
      <w:r w:rsidR="00545E40" w:rsidRPr="00545E40">
        <w:rPr>
          <w:b/>
          <w:bCs/>
        </w:rPr>
        <w:t>rabes Unidos</w:t>
      </w:r>
      <w:r w:rsidR="00545E40" w:rsidRPr="00545E40">
        <w:t xml:space="preserve"> </w:t>
      </w:r>
      <w:r w:rsidR="00B53923">
        <w:t xml:space="preserve">manifiesta </w:t>
      </w:r>
      <w:r w:rsidR="00545E40" w:rsidRPr="00545E40">
        <w:t xml:space="preserve">su apoyo a la </w:t>
      </w:r>
      <w:r w:rsidR="00B53923">
        <w:t>solicitud</w:t>
      </w:r>
      <w:r w:rsidR="00905C24">
        <w:t>,</w:t>
      </w:r>
      <w:r w:rsidR="00545E40" w:rsidRPr="00545E40">
        <w:t xml:space="preserve"> observa que no se han formulado objeciones a la misma</w:t>
      </w:r>
      <w:r w:rsidR="00905C24">
        <w:t xml:space="preserve"> y propone </w:t>
      </w:r>
      <w:r w:rsidR="00545E40" w:rsidRPr="00545E40">
        <w:t xml:space="preserve">que se </w:t>
      </w:r>
      <w:r w:rsidR="00905C24">
        <w:t xml:space="preserve">apruebe </w:t>
      </w:r>
      <w:r w:rsidR="00545E40" w:rsidRPr="00545E40">
        <w:t xml:space="preserve">inmediatamente en la presente </w:t>
      </w:r>
      <w:r w:rsidR="00736BC3" w:rsidRPr="00545E40">
        <w:t>Sesión Plenaria</w:t>
      </w:r>
      <w:r w:rsidRPr="00361BCF">
        <w:t>.</w:t>
      </w:r>
      <w:bookmarkEnd w:id="73"/>
    </w:p>
    <w:p w14:paraId="4F637496" w14:textId="3635C3A1" w:rsidR="00524620" w:rsidRPr="00361BCF" w:rsidRDefault="00524620" w:rsidP="00C009CE">
      <w:r w:rsidRPr="00361BCF">
        <w:t>13.5</w:t>
      </w:r>
      <w:r w:rsidRPr="00361BCF">
        <w:tab/>
      </w:r>
      <w:bookmarkStart w:id="74" w:name="lt_pId316"/>
      <w:r w:rsidR="0012199E" w:rsidRPr="0012199E">
        <w:t xml:space="preserve">Los </w:t>
      </w:r>
      <w:r w:rsidR="0012199E" w:rsidRPr="0012199E">
        <w:rPr>
          <w:b/>
          <w:bCs/>
        </w:rPr>
        <w:t>delegados de Rwanda</w:t>
      </w:r>
      <w:r w:rsidR="0012199E" w:rsidRPr="0012199E">
        <w:t xml:space="preserve">, en nombre del Grupo Africano, </w:t>
      </w:r>
      <w:r w:rsidR="008E5630" w:rsidRPr="0012199E">
        <w:rPr>
          <w:b/>
          <w:bCs/>
        </w:rPr>
        <w:t>Bahr</w:t>
      </w:r>
      <w:r w:rsidR="00956ABB">
        <w:rPr>
          <w:b/>
          <w:bCs/>
        </w:rPr>
        <w:t>e</w:t>
      </w:r>
      <w:r w:rsidR="008E5630" w:rsidRPr="0012199E">
        <w:rPr>
          <w:b/>
          <w:bCs/>
        </w:rPr>
        <w:t>in</w:t>
      </w:r>
      <w:r w:rsidR="0012199E" w:rsidRPr="0012199E">
        <w:rPr>
          <w:b/>
          <w:bCs/>
        </w:rPr>
        <w:t>, Iraq</w:t>
      </w:r>
      <w:r w:rsidR="0012199E" w:rsidRPr="0012199E">
        <w:t xml:space="preserve"> y </w:t>
      </w:r>
      <w:r w:rsidR="0012199E" w:rsidRPr="0012199E">
        <w:rPr>
          <w:b/>
          <w:bCs/>
        </w:rPr>
        <w:t>Jordania</w:t>
      </w:r>
      <w:r w:rsidR="0012199E" w:rsidRPr="0012199E">
        <w:t xml:space="preserve">, </w:t>
      </w:r>
      <w:r w:rsidR="00D72AA1">
        <w:t>se manifiestan</w:t>
      </w:r>
      <w:r w:rsidR="0012199E" w:rsidRPr="0012199E">
        <w:t xml:space="preserve"> de acuerdo con esa propuesta</w:t>
      </w:r>
      <w:r w:rsidRPr="00361BCF">
        <w:t>.</w:t>
      </w:r>
      <w:bookmarkEnd w:id="74"/>
    </w:p>
    <w:p w14:paraId="357C7543" w14:textId="2AA76F9F" w:rsidR="00524620" w:rsidRPr="00361BCF" w:rsidRDefault="00524620" w:rsidP="00C009CE">
      <w:r w:rsidRPr="00361BCF">
        <w:t>13.6</w:t>
      </w:r>
      <w:r w:rsidRPr="00361BCF">
        <w:tab/>
      </w:r>
      <w:bookmarkStart w:id="75" w:name="lt_pId318"/>
      <w:r w:rsidR="008E5630" w:rsidRPr="008E5630">
        <w:t xml:space="preserve">El </w:t>
      </w:r>
      <w:r w:rsidR="008E5630" w:rsidRPr="008E5630">
        <w:rPr>
          <w:b/>
          <w:bCs/>
        </w:rPr>
        <w:t>Presidente</w:t>
      </w:r>
      <w:r w:rsidR="008E5630" w:rsidRPr="008E5630">
        <w:t xml:space="preserve"> entiende que la Conferencia desea aprobar la solicitud de la Administración </w:t>
      </w:r>
      <w:r w:rsidR="008E5630">
        <w:t>de Egipto</w:t>
      </w:r>
      <w:r w:rsidRPr="00361BCF">
        <w:t>.</w:t>
      </w:r>
      <w:bookmarkEnd w:id="75"/>
    </w:p>
    <w:p w14:paraId="02AB4BDB" w14:textId="60060EEB" w:rsidR="00524620" w:rsidRPr="00956ABB" w:rsidRDefault="00524620" w:rsidP="00C009CE">
      <w:r w:rsidRPr="00361BCF">
        <w:t>13.7</w:t>
      </w:r>
      <w:r w:rsidRPr="00361BCF">
        <w:tab/>
      </w:r>
      <w:bookmarkStart w:id="76" w:name="lt_pId320"/>
      <w:r w:rsidR="00806CCB" w:rsidRPr="00361BCF">
        <w:t xml:space="preserve">Así se </w:t>
      </w:r>
      <w:r w:rsidR="00806CCB" w:rsidRPr="00361BCF">
        <w:rPr>
          <w:b/>
          <w:bCs/>
        </w:rPr>
        <w:t>acuerda</w:t>
      </w:r>
      <w:r w:rsidRPr="00956ABB">
        <w:t>.</w:t>
      </w:r>
      <w:bookmarkEnd w:id="76"/>
    </w:p>
    <w:p w14:paraId="5C162316" w14:textId="5B12F36A" w:rsidR="00806CCB" w:rsidRPr="00361BCF" w:rsidRDefault="00806CCB" w:rsidP="00C009CE">
      <w:pPr>
        <w:rPr>
          <w:b/>
          <w:bCs/>
        </w:rPr>
      </w:pPr>
      <w:bookmarkStart w:id="77" w:name="lt_pId321"/>
      <w:r w:rsidRPr="00361BCF">
        <w:rPr>
          <w:b/>
          <w:bCs/>
        </w:rPr>
        <w:t>Se levanta la sesión a las 12.05 horas.</w:t>
      </w:r>
    </w:p>
    <w:bookmarkEnd w:id="77"/>
    <w:p w14:paraId="297EAAA9" w14:textId="5A1A66C2" w:rsidR="00524620" w:rsidRPr="00361BCF" w:rsidRDefault="00524620" w:rsidP="00B1044F">
      <w:pPr>
        <w:tabs>
          <w:tab w:val="clear" w:pos="1134"/>
          <w:tab w:val="clear" w:pos="1871"/>
          <w:tab w:val="clear" w:pos="2268"/>
          <w:tab w:val="center" w:pos="7655"/>
        </w:tabs>
        <w:spacing w:before="1320"/>
      </w:pPr>
      <w:r w:rsidRPr="00361BCF">
        <w:t>El Secretario General:</w:t>
      </w:r>
      <w:r w:rsidRPr="00361BCF">
        <w:tab/>
        <w:t>El Presidente:</w:t>
      </w:r>
      <w:r w:rsidR="00B1044F">
        <w:br/>
      </w:r>
      <w:r w:rsidRPr="00361BCF">
        <w:t>H. ZHAO</w:t>
      </w:r>
      <w:r w:rsidRPr="00361BCF">
        <w:tab/>
        <w:t>A. BADAWI</w:t>
      </w:r>
    </w:p>
    <w:sectPr w:rsidR="00524620" w:rsidRPr="00361BC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FE942" w14:textId="77777777" w:rsidR="000D66E8" w:rsidRDefault="000D66E8">
      <w:r>
        <w:separator/>
      </w:r>
    </w:p>
  </w:endnote>
  <w:endnote w:type="continuationSeparator" w:id="0">
    <w:p w14:paraId="18FA9F99" w14:textId="77777777" w:rsidR="000D66E8" w:rsidRDefault="000D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38F3" w14:textId="77777777" w:rsidR="00174003" w:rsidRDefault="00174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899A5" w14:textId="1027B42F" w:rsidR="00174003" w:rsidRPr="00E30532" w:rsidRDefault="00174003">
    <w:pPr>
      <w:ind w:right="360"/>
    </w:pPr>
    <w:r>
      <w:fldChar w:fldCharType="begin"/>
    </w:r>
    <w:r w:rsidRPr="00E30532">
      <w:instrText xml:space="preserve"> FILENAME \p  \* MERGEFORMAT </w:instrText>
    </w:r>
    <w:r>
      <w:fldChar w:fldCharType="separate"/>
    </w:r>
    <w:r w:rsidR="00E30532">
      <w:rPr>
        <w:noProof/>
      </w:rPr>
      <w:t>P:\ESP\ITU-R\CONF-R\CMR19\500\568S.docx</w:t>
    </w:r>
    <w:r>
      <w:fldChar w:fldCharType="end"/>
    </w:r>
    <w:r w:rsidRPr="00E30532">
      <w:tab/>
    </w:r>
    <w:r>
      <w:fldChar w:fldCharType="begin"/>
    </w:r>
    <w:r>
      <w:instrText xml:space="preserve"> SAVEDATE \@ DD.MM.YY </w:instrText>
    </w:r>
    <w:r>
      <w:fldChar w:fldCharType="separate"/>
    </w:r>
    <w:r w:rsidR="00434AFA">
      <w:rPr>
        <w:noProof/>
      </w:rPr>
      <w:t>20.01.20</w:t>
    </w:r>
    <w:r>
      <w:fldChar w:fldCharType="end"/>
    </w:r>
    <w:r w:rsidRPr="00E30532">
      <w:tab/>
    </w:r>
    <w:r>
      <w:fldChar w:fldCharType="begin"/>
    </w:r>
    <w:r>
      <w:instrText xml:space="preserve"> PRINTDATE \@ DD.MM.YY </w:instrText>
    </w:r>
    <w:r>
      <w:fldChar w:fldCharType="separate"/>
    </w:r>
    <w:r w:rsidR="00E30532">
      <w:rPr>
        <w:noProof/>
      </w:rPr>
      <w:t>08.01.20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A00A" w14:textId="38B66153" w:rsidR="00174003" w:rsidRPr="005F1D10" w:rsidRDefault="00F405B2" w:rsidP="005F1D10">
    <w:pPr>
      <w:pStyle w:val="Footer"/>
      <w:rPr>
        <w:lang w:val="en-US"/>
      </w:rPr>
    </w:pPr>
    <w:fldSimple w:instr=" FILENAME \p  \* MERGEFORMAT ">
      <w:r w:rsidR="007B19D3">
        <w:t>P:\ESP\ITU-R\CONF-R\CMR19\500\568SV2.docx</w:t>
      </w:r>
    </w:fldSimple>
    <w:r w:rsidR="005F1D10">
      <w:t xml:space="preserve"> (465567)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204" w14:textId="42DCB338" w:rsidR="00174003" w:rsidRPr="00524620" w:rsidRDefault="000D66E8" w:rsidP="005F1D10">
    <w:pPr>
      <w:pStyle w:val="Footer"/>
      <w:rPr>
        <w:lang w:val="en-US"/>
      </w:rPr>
    </w:pPr>
    <w:r>
      <w:fldChar w:fldCharType="begin"/>
    </w:r>
    <w:r>
      <w:instrText xml:space="preserve"> FILENAME \p  \* MERGEFORMAT </w:instrText>
    </w:r>
    <w:r>
      <w:fldChar w:fldCharType="separate"/>
    </w:r>
    <w:r w:rsidR="007B19D3">
      <w:t>P:\ESP\ITU-R\CONF-R\CMR19\500\568SV2.docx</w:t>
    </w:r>
    <w:r>
      <w:fldChar w:fldCharType="end"/>
    </w:r>
    <w:r w:rsidR="005F1D10">
      <w:t xml:space="preserve"> (465567)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00800" w14:textId="77777777" w:rsidR="000D66E8" w:rsidRDefault="000D66E8">
      <w:r>
        <w:rPr>
          <w:b/>
        </w:rPr>
        <w:t>_______________</w:t>
      </w:r>
    </w:p>
  </w:footnote>
  <w:footnote w:type="continuationSeparator" w:id="0">
    <w:p w14:paraId="610BDC0F" w14:textId="77777777" w:rsidR="000D66E8" w:rsidRDefault="000D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46C3" w14:textId="77777777" w:rsidR="00174003" w:rsidRDefault="0017400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4AFA">
      <w:rPr>
        <w:rStyle w:val="PageNumber"/>
        <w:noProof/>
      </w:rPr>
      <w:t>9</w:t>
    </w:r>
    <w:r>
      <w:rPr>
        <w:rStyle w:val="PageNumber"/>
      </w:rPr>
      <w:fldChar w:fldCharType="end"/>
    </w:r>
  </w:p>
  <w:p w14:paraId="7CC762A1" w14:textId="23717437" w:rsidR="00174003" w:rsidRDefault="00174003" w:rsidP="00A4450C">
    <w:pPr>
      <w:pStyle w:val="Header"/>
      <w:rPr>
        <w:lang w:val="en-US"/>
      </w:rPr>
    </w:pPr>
    <w:r>
      <w:rPr>
        <w:lang w:val="en-US"/>
      </w:rPr>
      <w:t>CMR19/568-S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EB"/>
    <w:rsid w:val="00027D38"/>
    <w:rsid w:val="00053342"/>
    <w:rsid w:val="00067DF2"/>
    <w:rsid w:val="00087AE8"/>
    <w:rsid w:val="000A74AD"/>
    <w:rsid w:val="000C1CFB"/>
    <w:rsid w:val="000C619E"/>
    <w:rsid w:val="000D1059"/>
    <w:rsid w:val="000D66E8"/>
    <w:rsid w:val="000E45E1"/>
    <w:rsid w:val="000E5BF9"/>
    <w:rsid w:val="000E7DEB"/>
    <w:rsid w:val="000F0E6D"/>
    <w:rsid w:val="00121170"/>
    <w:rsid w:val="0012199E"/>
    <w:rsid w:val="00123CC5"/>
    <w:rsid w:val="00125D3B"/>
    <w:rsid w:val="00150438"/>
    <w:rsid w:val="0015142D"/>
    <w:rsid w:val="00155EF3"/>
    <w:rsid w:val="001604D2"/>
    <w:rsid w:val="001616DC"/>
    <w:rsid w:val="00163962"/>
    <w:rsid w:val="00174003"/>
    <w:rsid w:val="00191A97"/>
    <w:rsid w:val="001A520E"/>
    <w:rsid w:val="001C41FA"/>
    <w:rsid w:val="001E2B52"/>
    <w:rsid w:val="001E3F27"/>
    <w:rsid w:val="001E6E17"/>
    <w:rsid w:val="001F7503"/>
    <w:rsid w:val="002177C2"/>
    <w:rsid w:val="00224427"/>
    <w:rsid w:val="002274D4"/>
    <w:rsid w:val="00236D2A"/>
    <w:rsid w:val="00255F12"/>
    <w:rsid w:val="00262C09"/>
    <w:rsid w:val="00280126"/>
    <w:rsid w:val="002A791F"/>
    <w:rsid w:val="002C1B26"/>
    <w:rsid w:val="002C5A81"/>
    <w:rsid w:val="002D4D88"/>
    <w:rsid w:val="002D7164"/>
    <w:rsid w:val="002E701F"/>
    <w:rsid w:val="002F7D34"/>
    <w:rsid w:val="0032680B"/>
    <w:rsid w:val="00330398"/>
    <w:rsid w:val="00352D3B"/>
    <w:rsid w:val="003543AC"/>
    <w:rsid w:val="003604ED"/>
    <w:rsid w:val="00361BCF"/>
    <w:rsid w:val="00363A65"/>
    <w:rsid w:val="00377704"/>
    <w:rsid w:val="00392792"/>
    <w:rsid w:val="003C0B45"/>
    <w:rsid w:val="003C2508"/>
    <w:rsid w:val="003C75CF"/>
    <w:rsid w:val="003D0AA3"/>
    <w:rsid w:val="003F1062"/>
    <w:rsid w:val="00414761"/>
    <w:rsid w:val="00434AFA"/>
    <w:rsid w:val="0044541C"/>
    <w:rsid w:val="004519F6"/>
    <w:rsid w:val="00454553"/>
    <w:rsid w:val="004B124A"/>
    <w:rsid w:val="004D04D4"/>
    <w:rsid w:val="004D1017"/>
    <w:rsid w:val="004F1EB9"/>
    <w:rsid w:val="005131AE"/>
    <w:rsid w:val="005165FF"/>
    <w:rsid w:val="00524620"/>
    <w:rsid w:val="00532097"/>
    <w:rsid w:val="00545E40"/>
    <w:rsid w:val="00551EB2"/>
    <w:rsid w:val="005560C6"/>
    <w:rsid w:val="0058350F"/>
    <w:rsid w:val="00595E04"/>
    <w:rsid w:val="005A1F0A"/>
    <w:rsid w:val="005A2837"/>
    <w:rsid w:val="005A6940"/>
    <w:rsid w:val="005C07C1"/>
    <w:rsid w:val="005F0B9B"/>
    <w:rsid w:val="005F1D10"/>
    <w:rsid w:val="005F2605"/>
    <w:rsid w:val="005F5EEF"/>
    <w:rsid w:val="005F7ED8"/>
    <w:rsid w:val="006025A6"/>
    <w:rsid w:val="00611FF2"/>
    <w:rsid w:val="00643C29"/>
    <w:rsid w:val="00662BA0"/>
    <w:rsid w:val="00663094"/>
    <w:rsid w:val="00671AF0"/>
    <w:rsid w:val="006815AC"/>
    <w:rsid w:val="00692AAE"/>
    <w:rsid w:val="006B197D"/>
    <w:rsid w:val="006B5BD7"/>
    <w:rsid w:val="006D5E72"/>
    <w:rsid w:val="006D6E67"/>
    <w:rsid w:val="00701C20"/>
    <w:rsid w:val="00711EC3"/>
    <w:rsid w:val="00721F9D"/>
    <w:rsid w:val="007331FA"/>
    <w:rsid w:val="007354E9"/>
    <w:rsid w:val="00736BC3"/>
    <w:rsid w:val="0074338F"/>
    <w:rsid w:val="00750AE9"/>
    <w:rsid w:val="007542C0"/>
    <w:rsid w:val="007563E7"/>
    <w:rsid w:val="00765578"/>
    <w:rsid w:val="0077084A"/>
    <w:rsid w:val="00785D67"/>
    <w:rsid w:val="0079407F"/>
    <w:rsid w:val="007A08FC"/>
    <w:rsid w:val="007A2B40"/>
    <w:rsid w:val="007A34F6"/>
    <w:rsid w:val="007B19D3"/>
    <w:rsid w:val="007C2317"/>
    <w:rsid w:val="007D1AEB"/>
    <w:rsid w:val="007D330A"/>
    <w:rsid w:val="007D72E0"/>
    <w:rsid w:val="007F49FD"/>
    <w:rsid w:val="00806CCB"/>
    <w:rsid w:val="00823408"/>
    <w:rsid w:val="00825471"/>
    <w:rsid w:val="00866AE6"/>
    <w:rsid w:val="00891D85"/>
    <w:rsid w:val="008C6DF3"/>
    <w:rsid w:val="008E3E23"/>
    <w:rsid w:val="008E5630"/>
    <w:rsid w:val="00905C24"/>
    <w:rsid w:val="0090729F"/>
    <w:rsid w:val="00912BEC"/>
    <w:rsid w:val="00915477"/>
    <w:rsid w:val="009208E2"/>
    <w:rsid w:val="0092544A"/>
    <w:rsid w:val="0094091F"/>
    <w:rsid w:val="009412C3"/>
    <w:rsid w:val="009538D2"/>
    <w:rsid w:val="00955C91"/>
    <w:rsid w:val="00956ABB"/>
    <w:rsid w:val="00973754"/>
    <w:rsid w:val="00977982"/>
    <w:rsid w:val="009843D7"/>
    <w:rsid w:val="009922BC"/>
    <w:rsid w:val="00995C81"/>
    <w:rsid w:val="009966CD"/>
    <w:rsid w:val="009A035A"/>
    <w:rsid w:val="009A415E"/>
    <w:rsid w:val="009A599E"/>
    <w:rsid w:val="009C0BED"/>
    <w:rsid w:val="009E11EC"/>
    <w:rsid w:val="009E6B58"/>
    <w:rsid w:val="009F6BB3"/>
    <w:rsid w:val="009F6FD5"/>
    <w:rsid w:val="00A038C3"/>
    <w:rsid w:val="00A118DB"/>
    <w:rsid w:val="00A2445C"/>
    <w:rsid w:val="00A4450C"/>
    <w:rsid w:val="00A624D6"/>
    <w:rsid w:val="00A92E65"/>
    <w:rsid w:val="00AA3D3A"/>
    <w:rsid w:val="00AA5E6C"/>
    <w:rsid w:val="00AB7B18"/>
    <w:rsid w:val="00AC2CE6"/>
    <w:rsid w:val="00AD35AE"/>
    <w:rsid w:val="00AE5677"/>
    <w:rsid w:val="00AF2F78"/>
    <w:rsid w:val="00B02934"/>
    <w:rsid w:val="00B03368"/>
    <w:rsid w:val="00B1044F"/>
    <w:rsid w:val="00B17EA1"/>
    <w:rsid w:val="00B23AA6"/>
    <w:rsid w:val="00B33D4A"/>
    <w:rsid w:val="00B342CF"/>
    <w:rsid w:val="00B418B4"/>
    <w:rsid w:val="00B47C00"/>
    <w:rsid w:val="00B52D55"/>
    <w:rsid w:val="00B52F83"/>
    <w:rsid w:val="00B53923"/>
    <w:rsid w:val="00B70746"/>
    <w:rsid w:val="00B77ACB"/>
    <w:rsid w:val="00B81905"/>
    <w:rsid w:val="00B95DD9"/>
    <w:rsid w:val="00BA40EB"/>
    <w:rsid w:val="00BA54F4"/>
    <w:rsid w:val="00BB4AD0"/>
    <w:rsid w:val="00BC1CB5"/>
    <w:rsid w:val="00BE2E80"/>
    <w:rsid w:val="00BE5EDD"/>
    <w:rsid w:val="00BE6A1F"/>
    <w:rsid w:val="00BE71D7"/>
    <w:rsid w:val="00C009CE"/>
    <w:rsid w:val="00C02E74"/>
    <w:rsid w:val="00C049B7"/>
    <w:rsid w:val="00C104EC"/>
    <w:rsid w:val="00C126C4"/>
    <w:rsid w:val="00C36684"/>
    <w:rsid w:val="00C45AD6"/>
    <w:rsid w:val="00C63EB5"/>
    <w:rsid w:val="00C6467C"/>
    <w:rsid w:val="00C761E5"/>
    <w:rsid w:val="00C8286D"/>
    <w:rsid w:val="00C90339"/>
    <w:rsid w:val="00C918CF"/>
    <w:rsid w:val="00C952A5"/>
    <w:rsid w:val="00CA1717"/>
    <w:rsid w:val="00CB3FEC"/>
    <w:rsid w:val="00CC01E0"/>
    <w:rsid w:val="00CE60D2"/>
    <w:rsid w:val="00D0288A"/>
    <w:rsid w:val="00D04D3F"/>
    <w:rsid w:val="00D078ED"/>
    <w:rsid w:val="00D405F7"/>
    <w:rsid w:val="00D72A5D"/>
    <w:rsid w:val="00D72AA1"/>
    <w:rsid w:val="00D758D8"/>
    <w:rsid w:val="00DB258D"/>
    <w:rsid w:val="00DC2B0C"/>
    <w:rsid w:val="00DC629B"/>
    <w:rsid w:val="00DD6DCB"/>
    <w:rsid w:val="00DE6045"/>
    <w:rsid w:val="00DE77DC"/>
    <w:rsid w:val="00DF0A8A"/>
    <w:rsid w:val="00DF13F4"/>
    <w:rsid w:val="00E262F1"/>
    <w:rsid w:val="00E30532"/>
    <w:rsid w:val="00E325F7"/>
    <w:rsid w:val="00E56B62"/>
    <w:rsid w:val="00E67B27"/>
    <w:rsid w:val="00E71D14"/>
    <w:rsid w:val="00E760C4"/>
    <w:rsid w:val="00E82743"/>
    <w:rsid w:val="00EA3626"/>
    <w:rsid w:val="00EE6E56"/>
    <w:rsid w:val="00EF1972"/>
    <w:rsid w:val="00F3520C"/>
    <w:rsid w:val="00F405B2"/>
    <w:rsid w:val="00F53C11"/>
    <w:rsid w:val="00F6399D"/>
    <w:rsid w:val="00F8150C"/>
    <w:rsid w:val="00F938A6"/>
    <w:rsid w:val="00F94BF0"/>
    <w:rsid w:val="00FA27EE"/>
    <w:rsid w:val="00FB76B8"/>
    <w:rsid w:val="00FC76DA"/>
    <w:rsid w:val="00FE0FE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2A3F6"/>
  <w15:docId w15:val="{C9EBCC5B-76DC-4B88-8561-796034C4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DC2B0C"/>
    <w:rPr>
      <w:color w:val="0000FF" w:themeColor="hyperlink"/>
      <w:u w:val="single"/>
    </w:rPr>
  </w:style>
  <w:style w:type="character" w:customStyle="1" w:styleId="UnresolvedMention">
    <w:name w:val="Unresolved Mention"/>
    <w:basedOn w:val="DefaultParagraphFont"/>
    <w:uiPriority w:val="99"/>
    <w:semiHidden/>
    <w:unhideWhenUsed/>
    <w:rsid w:val="00DC2B0C"/>
    <w:rPr>
      <w:color w:val="605E5C"/>
      <w:shd w:val="clear" w:color="auto" w:fill="E1DFDD"/>
    </w:rPr>
  </w:style>
  <w:style w:type="character" w:customStyle="1" w:styleId="FooterChar">
    <w:name w:val="Footer Char"/>
    <w:basedOn w:val="DefaultParagraphFont"/>
    <w:link w:val="Footer"/>
    <w:rsid w:val="005F1D10"/>
    <w:rPr>
      <w:rFonts w:ascii="Times New Roman" w:hAnsi="Times New Roman"/>
      <w:caps/>
      <w:noProof/>
      <w:sz w:val="16"/>
      <w:lang w:val="es-ES_tradnl" w:eastAsia="en-US"/>
    </w:rPr>
  </w:style>
  <w:style w:type="character" w:styleId="FollowedHyperlink">
    <w:name w:val="FollowedHyperlink"/>
    <w:basedOn w:val="DefaultParagraphFont"/>
    <w:semiHidden/>
    <w:unhideWhenUsed/>
    <w:rsid w:val="005F1D10"/>
    <w:rPr>
      <w:color w:val="800080" w:themeColor="followedHyperlink"/>
      <w:u w:val="single"/>
    </w:rPr>
  </w:style>
  <w:style w:type="paragraph" w:styleId="Revision">
    <w:name w:val="Revision"/>
    <w:hidden/>
    <w:uiPriority w:val="99"/>
    <w:semiHidden/>
    <w:rsid w:val="005A1F0A"/>
    <w:rPr>
      <w:rFonts w:ascii="Times New Roman" w:hAnsi="Times New Roman"/>
      <w:sz w:val="24"/>
      <w:lang w:val="es-ES_tradnl" w:eastAsia="en-US"/>
    </w:rPr>
  </w:style>
  <w:style w:type="paragraph" w:styleId="BalloonText">
    <w:name w:val="Balloon Text"/>
    <w:basedOn w:val="Normal"/>
    <w:link w:val="BalloonTextChar"/>
    <w:semiHidden/>
    <w:unhideWhenUsed/>
    <w:rsid w:val="005A1F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1F0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F097-A27A-4983-AD20-D368A5CC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TotalTime>
  <Pages>9</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25095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BR</cp:lastModifiedBy>
  <cp:revision>3</cp:revision>
  <cp:lastPrinted>2020-01-08T14:26:00Z</cp:lastPrinted>
  <dcterms:created xsi:type="dcterms:W3CDTF">2020-01-20T13:58:00Z</dcterms:created>
  <dcterms:modified xsi:type="dcterms:W3CDTF">2020-01-22T10:29:00Z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