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8286D" w:rsidRPr="00267772" w14:paraId="69929034" w14:textId="77777777" w:rsidTr="0050008E">
        <w:trPr>
          <w:cantSplit/>
        </w:trPr>
        <w:tc>
          <w:tcPr>
            <w:tcW w:w="6911" w:type="dxa"/>
          </w:tcPr>
          <w:p w14:paraId="084AEEBB" w14:textId="77777777" w:rsidR="00C8286D" w:rsidRPr="00267772" w:rsidRDefault="00C8286D" w:rsidP="00823950">
            <w:pPr>
              <w:spacing w:before="400" w:after="48"/>
              <w:rPr>
                <w:rFonts w:ascii="Verdana" w:hAnsi="Verdana"/>
                <w:position w:val="6"/>
              </w:rPr>
            </w:pPr>
            <w:r w:rsidRPr="00267772">
              <w:rPr>
                <w:rFonts w:ascii="Verdana" w:hAnsi="Verdana" w:cs="Times"/>
                <w:b/>
                <w:position w:val="6"/>
                <w:sz w:val="20"/>
              </w:rPr>
              <w:t>Conferencia Mundial de Radiocomunicaciones (CMR-19)</w:t>
            </w:r>
            <w:r w:rsidRPr="00267772">
              <w:rPr>
                <w:rFonts w:ascii="Verdana" w:hAnsi="Verdana" w:cs="Times"/>
                <w:b/>
                <w:position w:val="6"/>
                <w:sz w:val="20"/>
              </w:rPr>
              <w:br/>
            </w:r>
            <w:r w:rsidRPr="00267772">
              <w:rPr>
                <w:rFonts w:ascii="Verdana" w:hAnsi="Verdana"/>
                <w:b/>
                <w:bCs/>
                <w:position w:val="6"/>
                <w:sz w:val="17"/>
                <w:szCs w:val="17"/>
              </w:rPr>
              <w:t xml:space="preserve">Sharm el-Sheikh (Egipto), 28 de octubre </w:t>
            </w:r>
            <w:r w:rsidR="009A599E" w:rsidRPr="00267772">
              <w:rPr>
                <w:rFonts w:ascii="Verdana" w:hAnsi="Verdana"/>
                <w:b/>
                <w:bCs/>
                <w:position w:val="6"/>
                <w:sz w:val="17"/>
                <w:szCs w:val="17"/>
              </w:rPr>
              <w:t>–</w:t>
            </w:r>
            <w:r w:rsidRPr="00267772">
              <w:rPr>
                <w:rFonts w:ascii="Verdana" w:hAnsi="Verdana"/>
                <w:b/>
                <w:bCs/>
                <w:position w:val="6"/>
                <w:sz w:val="17"/>
                <w:szCs w:val="17"/>
              </w:rPr>
              <w:t xml:space="preserve"> 22 de noviembre de 2019</w:t>
            </w:r>
          </w:p>
        </w:tc>
        <w:tc>
          <w:tcPr>
            <w:tcW w:w="3120" w:type="dxa"/>
          </w:tcPr>
          <w:p w14:paraId="3DB5267E" w14:textId="77777777" w:rsidR="00C8286D" w:rsidRPr="00267772" w:rsidRDefault="00C8286D" w:rsidP="00823950">
            <w:pPr>
              <w:spacing w:before="0"/>
              <w:jc w:val="right"/>
            </w:pPr>
            <w:bookmarkStart w:id="0" w:name="ditulogo"/>
            <w:bookmarkEnd w:id="0"/>
            <w:r w:rsidRPr="00267772">
              <w:rPr>
                <w:rFonts w:ascii="Verdana" w:hAnsi="Verdana"/>
                <w:b/>
                <w:bCs/>
                <w:noProof/>
                <w:szCs w:val="24"/>
                <w:lang w:eastAsia="zh-CN"/>
              </w:rPr>
              <w:drawing>
                <wp:inline distT="0" distB="0" distL="0" distR="0" wp14:anchorId="0D1DA64F" wp14:editId="4581E57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C8286D" w:rsidRPr="00267772" w14:paraId="0ED2E886" w14:textId="77777777" w:rsidTr="00A1779F">
        <w:trPr>
          <w:cantSplit/>
        </w:trPr>
        <w:tc>
          <w:tcPr>
            <w:tcW w:w="10031" w:type="dxa"/>
            <w:gridSpan w:val="2"/>
            <w:tcBorders>
              <w:bottom w:val="single" w:sz="12" w:space="0" w:color="auto"/>
            </w:tcBorders>
          </w:tcPr>
          <w:p w14:paraId="36B31254" w14:textId="77777777" w:rsidR="00C8286D" w:rsidRPr="00267772" w:rsidRDefault="00C8286D" w:rsidP="00823950">
            <w:pPr>
              <w:spacing w:before="0" w:after="48"/>
              <w:rPr>
                <w:rFonts w:ascii="Verdana" w:hAnsi="Verdana"/>
                <w:b/>
                <w:smallCaps/>
                <w:sz w:val="20"/>
              </w:rPr>
            </w:pPr>
            <w:bookmarkStart w:id="1" w:name="dhead"/>
          </w:p>
        </w:tc>
      </w:tr>
      <w:tr w:rsidR="00C8286D" w:rsidRPr="00267772" w14:paraId="7FF1A71E" w14:textId="77777777" w:rsidTr="0050008E">
        <w:trPr>
          <w:cantSplit/>
        </w:trPr>
        <w:tc>
          <w:tcPr>
            <w:tcW w:w="6911" w:type="dxa"/>
            <w:tcBorders>
              <w:top w:val="single" w:sz="12" w:space="0" w:color="auto"/>
            </w:tcBorders>
          </w:tcPr>
          <w:p w14:paraId="4C2F2582" w14:textId="77777777" w:rsidR="00C8286D" w:rsidRPr="00267772" w:rsidRDefault="00C8286D" w:rsidP="00823950">
            <w:pPr>
              <w:spacing w:before="0" w:after="48"/>
              <w:rPr>
                <w:rFonts w:ascii="Verdana" w:hAnsi="Verdana"/>
                <w:b/>
                <w:smallCaps/>
                <w:sz w:val="20"/>
              </w:rPr>
            </w:pPr>
          </w:p>
        </w:tc>
        <w:tc>
          <w:tcPr>
            <w:tcW w:w="3120" w:type="dxa"/>
            <w:tcBorders>
              <w:top w:val="single" w:sz="12" w:space="0" w:color="auto"/>
            </w:tcBorders>
          </w:tcPr>
          <w:p w14:paraId="47BEDB58" w14:textId="77777777" w:rsidR="00C8286D" w:rsidRPr="00267772" w:rsidRDefault="00C8286D" w:rsidP="00823950">
            <w:pPr>
              <w:spacing w:before="0"/>
              <w:rPr>
                <w:rFonts w:ascii="Verdana" w:hAnsi="Verdana"/>
                <w:sz w:val="20"/>
              </w:rPr>
            </w:pPr>
          </w:p>
        </w:tc>
      </w:tr>
      <w:tr w:rsidR="00C8286D" w:rsidRPr="00267772" w14:paraId="31D6A651" w14:textId="77777777" w:rsidTr="0050008E">
        <w:trPr>
          <w:cantSplit/>
          <w:trHeight w:val="23"/>
        </w:trPr>
        <w:tc>
          <w:tcPr>
            <w:tcW w:w="6911" w:type="dxa"/>
            <w:vMerge w:val="restart"/>
          </w:tcPr>
          <w:p w14:paraId="74A5162B" w14:textId="66D21069" w:rsidR="00C8286D" w:rsidRPr="00267772" w:rsidRDefault="005664E1" w:rsidP="00823950">
            <w:pPr>
              <w:tabs>
                <w:tab w:val="left" w:pos="851"/>
              </w:tabs>
              <w:spacing w:before="0"/>
              <w:rPr>
                <w:rFonts w:ascii="Verdana" w:hAnsi="Verdana"/>
                <w:b/>
                <w:bCs/>
                <w:sz w:val="20"/>
              </w:rPr>
            </w:pPr>
            <w:bookmarkStart w:id="2" w:name="dnum" w:colFirst="1" w:colLast="1"/>
            <w:bookmarkStart w:id="3" w:name="dmeeting" w:colFirst="0" w:colLast="0"/>
            <w:bookmarkEnd w:id="1"/>
            <w:r w:rsidRPr="00267772">
              <w:rPr>
                <w:rFonts w:ascii="Verdana" w:hAnsi="Verdana"/>
                <w:b/>
                <w:bCs/>
                <w:sz w:val="20"/>
              </w:rPr>
              <w:t>SESIÓN PLENARIA</w:t>
            </w:r>
          </w:p>
        </w:tc>
        <w:tc>
          <w:tcPr>
            <w:tcW w:w="3120" w:type="dxa"/>
          </w:tcPr>
          <w:p w14:paraId="7C505B97" w14:textId="33953F86" w:rsidR="00C8286D" w:rsidRPr="00267772" w:rsidRDefault="005664E1" w:rsidP="00823950">
            <w:pPr>
              <w:tabs>
                <w:tab w:val="left" w:pos="851"/>
              </w:tabs>
              <w:spacing w:before="0"/>
              <w:rPr>
                <w:rFonts w:ascii="Verdana" w:hAnsi="Verdana"/>
                <w:sz w:val="20"/>
              </w:rPr>
            </w:pPr>
            <w:r w:rsidRPr="00267772">
              <w:rPr>
                <w:rFonts w:ascii="Verdana" w:hAnsi="Verdana"/>
                <w:b/>
                <w:sz w:val="20"/>
              </w:rPr>
              <w:t xml:space="preserve">Documento </w:t>
            </w:r>
            <w:r w:rsidR="005849F6" w:rsidRPr="00267772">
              <w:rPr>
                <w:rFonts w:ascii="Verdana" w:hAnsi="Verdana"/>
                <w:b/>
                <w:sz w:val="20"/>
              </w:rPr>
              <w:t>275</w:t>
            </w:r>
            <w:r w:rsidRPr="00267772">
              <w:rPr>
                <w:rFonts w:ascii="Verdana" w:hAnsi="Verdana"/>
                <w:b/>
                <w:sz w:val="20"/>
              </w:rPr>
              <w:t>-S</w:t>
            </w:r>
          </w:p>
        </w:tc>
      </w:tr>
      <w:tr w:rsidR="00C8286D" w:rsidRPr="00267772" w14:paraId="1ACD136D" w14:textId="77777777" w:rsidTr="0050008E">
        <w:trPr>
          <w:cantSplit/>
          <w:trHeight w:val="23"/>
        </w:trPr>
        <w:tc>
          <w:tcPr>
            <w:tcW w:w="6911" w:type="dxa"/>
            <w:vMerge/>
          </w:tcPr>
          <w:p w14:paraId="12B75203" w14:textId="77777777" w:rsidR="00C8286D" w:rsidRPr="00267772" w:rsidRDefault="00C8286D" w:rsidP="00823950">
            <w:pPr>
              <w:tabs>
                <w:tab w:val="left" w:pos="851"/>
              </w:tabs>
              <w:rPr>
                <w:rFonts w:ascii="Verdana" w:hAnsi="Verdana"/>
                <w:b/>
                <w:sz w:val="20"/>
              </w:rPr>
            </w:pPr>
            <w:bookmarkStart w:id="4" w:name="ddate" w:colFirst="1" w:colLast="1"/>
            <w:bookmarkEnd w:id="2"/>
            <w:bookmarkEnd w:id="3"/>
          </w:p>
        </w:tc>
        <w:tc>
          <w:tcPr>
            <w:tcW w:w="3120" w:type="dxa"/>
          </w:tcPr>
          <w:p w14:paraId="1DD1F5BD" w14:textId="53488F69" w:rsidR="00C8286D" w:rsidRPr="00267772" w:rsidRDefault="005664E1" w:rsidP="00823950">
            <w:pPr>
              <w:tabs>
                <w:tab w:val="left" w:pos="993"/>
              </w:tabs>
              <w:spacing w:before="0"/>
              <w:rPr>
                <w:rFonts w:ascii="Verdana" w:hAnsi="Verdana"/>
                <w:sz w:val="20"/>
              </w:rPr>
            </w:pPr>
            <w:r w:rsidRPr="00267772">
              <w:rPr>
                <w:rFonts w:ascii="Verdana" w:hAnsi="Verdana"/>
                <w:b/>
                <w:sz w:val="20"/>
              </w:rPr>
              <w:t>1</w:t>
            </w:r>
            <w:r w:rsidR="00510AF0" w:rsidRPr="00267772">
              <w:rPr>
                <w:rFonts w:ascii="Verdana" w:hAnsi="Verdana"/>
                <w:b/>
                <w:sz w:val="20"/>
              </w:rPr>
              <w:t>7</w:t>
            </w:r>
            <w:r w:rsidRPr="00267772">
              <w:rPr>
                <w:rFonts w:ascii="Verdana" w:hAnsi="Verdana"/>
                <w:b/>
                <w:sz w:val="20"/>
              </w:rPr>
              <w:t xml:space="preserve"> de noviembre de 2019</w:t>
            </w:r>
          </w:p>
        </w:tc>
      </w:tr>
      <w:tr w:rsidR="00C8286D" w:rsidRPr="00267772" w14:paraId="2C7E188A" w14:textId="77777777" w:rsidTr="0050008E">
        <w:trPr>
          <w:cantSplit/>
          <w:trHeight w:val="23"/>
        </w:trPr>
        <w:tc>
          <w:tcPr>
            <w:tcW w:w="6911" w:type="dxa"/>
            <w:vMerge/>
          </w:tcPr>
          <w:p w14:paraId="486F062D" w14:textId="77777777" w:rsidR="00C8286D" w:rsidRPr="00267772" w:rsidRDefault="00C8286D" w:rsidP="00823950">
            <w:pPr>
              <w:tabs>
                <w:tab w:val="left" w:pos="851"/>
              </w:tabs>
              <w:rPr>
                <w:rFonts w:ascii="Verdana" w:hAnsi="Verdana"/>
                <w:b/>
                <w:sz w:val="20"/>
              </w:rPr>
            </w:pPr>
            <w:bookmarkStart w:id="5" w:name="dorlang" w:colFirst="1" w:colLast="1"/>
            <w:bookmarkEnd w:id="4"/>
          </w:p>
        </w:tc>
        <w:tc>
          <w:tcPr>
            <w:tcW w:w="3120" w:type="dxa"/>
          </w:tcPr>
          <w:p w14:paraId="664CD46C" w14:textId="77777777" w:rsidR="00C8286D" w:rsidRPr="00267772" w:rsidRDefault="00C8286D" w:rsidP="00823950">
            <w:pPr>
              <w:tabs>
                <w:tab w:val="left" w:pos="993"/>
              </w:tabs>
              <w:spacing w:before="0" w:after="120"/>
              <w:rPr>
                <w:rFonts w:ascii="Verdana" w:hAnsi="Verdana"/>
                <w:sz w:val="20"/>
              </w:rPr>
            </w:pPr>
            <w:r w:rsidRPr="00267772">
              <w:rPr>
                <w:rFonts w:ascii="Verdana" w:hAnsi="Verdana"/>
                <w:b/>
                <w:sz w:val="20"/>
              </w:rPr>
              <w:t>Original: inglés</w:t>
            </w:r>
          </w:p>
        </w:tc>
      </w:tr>
      <w:tr w:rsidR="00C8286D" w:rsidRPr="00267772" w14:paraId="14861769" w14:textId="77777777" w:rsidTr="0050008E">
        <w:trPr>
          <w:cantSplit/>
        </w:trPr>
        <w:tc>
          <w:tcPr>
            <w:tcW w:w="10031" w:type="dxa"/>
            <w:gridSpan w:val="2"/>
          </w:tcPr>
          <w:p w14:paraId="21864B58" w14:textId="380539E6" w:rsidR="003143E2" w:rsidRPr="00267772" w:rsidRDefault="005664E1" w:rsidP="00823950">
            <w:pPr>
              <w:pStyle w:val="Title1"/>
              <w:spacing w:before="720"/>
            </w:pPr>
            <w:bookmarkStart w:id="6" w:name="dtitle1" w:colFirst="0" w:colLast="0"/>
            <w:bookmarkEnd w:id="5"/>
            <w:r w:rsidRPr="00267772">
              <w:t>ACTAS</w:t>
            </w:r>
          </w:p>
          <w:p w14:paraId="2EEFBA07" w14:textId="3DC057CA" w:rsidR="003143E2" w:rsidRPr="00267772" w:rsidRDefault="005664E1" w:rsidP="00823950">
            <w:pPr>
              <w:pStyle w:val="Title1"/>
              <w:spacing w:before="120"/>
            </w:pPr>
            <w:r w:rsidRPr="00267772">
              <w:t>DE LA</w:t>
            </w:r>
          </w:p>
          <w:p w14:paraId="521F4425" w14:textId="36712D9D" w:rsidR="00C8286D" w:rsidRPr="00267772" w:rsidRDefault="005664E1" w:rsidP="00823950">
            <w:pPr>
              <w:pStyle w:val="Title1"/>
              <w:spacing w:before="120"/>
            </w:pPr>
            <w:r w:rsidRPr="00267772">
              <w:t>QUINTA SESIÓN PLENARIA</w:t>
            </w:r>
          </w:p>
        </w:tc>
      </w:tr>
      <w:tr w:rsidR="00C8286D" w:rsidRPr="00267772" w14:paraId="3D45E254" w14:textId="77777777" w:rsidTr="0050008E">
        <w:trPr>
          <w:cantSplit/>
        </w:trPr>
        <w:tc>
          <w:tcPr>
            <w:tcW w:w="10031" w:type="dxa"/>
            <w:gridSpan w:val="2"/>
          </w:tcPr>
          <w:p w14:paraId="647024EF" w14:textId="443F23F3" w:rsidR="00C8286D" w:rsidRPr="00267772" w:rsidRDefault="005664E1" w:rsidP="00823950">
            <w:pPr>
              <w:pStyle w:val="Title3"/>
              <w:spacing w:before="360"/>
            </w:pPr>
            <w:bookmarkStart w:id="7" w:name="dtitle3" w:colFirst="0" w:colLast="0"/>
            <w:bookmarkEnd w:id="6"/>
            <w:r w:rsidRPr="00267772">
              <w:t>Viernes 8 de noviembre de 2019, a las 16.15 horas</w:t>
            </w:r>
          </w:p>
        </w:tc>
      </w:tr>
      <w:tr w:rsidR="005664E1" w:rsidRPr="00267772" w14:paraId="59B13E1D" w14:textId="77777777" w:rsidTr="0050008E">
        <w:trPr>
          <w:cantSplit/>
        </w:trPr>
        <w:tc>
          <w:tcPr>
            <w:tcW w:w="10031" w:type="dxa"/>
            <w:gridSpan w:val="2"/>
          </w:tcPr>
          <w:p w14:paraId="4BB77FDE" w14:textId="359C5391" w:rsidR="005664E1" w:rsidRPr="00267772" w:rsidRDefault="005664E1" w:rsidP="00823950">
            <w:pPr>
              <w:pStyle w:val="Title3"/>
              <w:spacing w:before="360"/>
            </w:pPr>
            <w:r w:rsidRPr="00267772">
              <w:rPr>
                <w:b/>
                <w:bCs/>
              </w:rPr>
              <w:t>Presidente</w:t>
            </w:r>
            <w:r w:rsidRPr="00267772">
              <w:t>: Sr. A. BADAWI (Egipto)</w:t>
            </w:r>
          </w:p>
        </w:tc>
      </w:tr>
      <w:bookmarkEnd w:id="7"/>
    </w:tbl>
    <w:p w14:paraId="05B60934" w14:textId="77777777" w:rsidR="005664E1" w:rsidRPr="00267772" w:rsidRDefault="005664E1" w:rsidP="00823950">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5664E1" w:rsidRPr="00267772" w14:paraId="4239C1E7" w14:textId="77777777" w:rsidTr="003A322F">
        <w:tc>
          <w:tcPr>
            <w:tcW w:w="534" w:type="dxa"/>
          </w:tcPr>
          <w:p w14:paraId="338BB56F" w14:textId="77777777" w:rsidR="005664E1" w:rsidRPr="00267772" w:rsidRDefault="005664E1" w:rsidP="00823950">
            <w:pPr>
              <w:pStyle w:val="Tablehead"/>
              <w:rPr>
                <w:sz w:val="24"/>
                <w:szCs w:val="24"/>
              </w:rPr>
            </w:pPr>
          </w:p>
        </w:tc>
        <w:tc>
          <w:tcPr>
            <w:tcW w:w="7159" w:type="dxa"/>
          </w:tcPr>
          <w:p w14:paraId="11BC2DDF" w14:textId="77777777" w:rsidR="005664E1" w:rsidRPr="00267772" w:rsidRDefault="005664E1" w:rsidP="00823950">
            <w:pPr>
              <w:pStyle w:val="Tablehead"/>
              <w:rPr>
                <w:sz w:val="24"/>
                <w:szCs w:val="24"/>
              </w:rPr>
            </w:pPr>
            <w:r w:rsidRPr="00267772">
              <w:rPr>
                <w:sz w:val="24"/>
                <w:szCs w:val="24"/>
              </w:rPr>
              <w:t>Asuntos tratados</w:t>
            </w:r>
          </w:p>
        </w:tc>
        <w:tc>
          <w:tcPr>
            <w:tcW w:w="2338" w:type="dxa"/>
          </w:tcPr>
          <w:p w14:paraId="7B388456" w14:textId="77777777" w:rsidR="005664E1" w:rsidRPr="00267772" w:rsidRDefault="005664E1" w:rsidP="00823950">
            <w:pPr>
              <w:pStyle w:val="Tablehead"/>
              <w:rPr>
                <w:sz w:val="24"/>
                <w:szCs w:val="24"/>
              </w:rPr>
            </w:pPr>
            <w:r w:rsidRPr="00267772">
              <w:rPr>
                <w:sz w:val="24"/>
                <w:szCs w:val="24"/>
              </w:rPr>
              <w:t>Documentos</w:t>
            </w:r>
          </w:p>
        </w:tc>
      </w:tr>
      <w:tr w:rsidR="005664E1" w:rsidRPr="00267772" w14:paraId="1E805A49" w14:textId="77777777" w:rsidTr="003A322F">
        <w:tc>
          <w:tcPr>
            <w:tcW w:w="534" w:type="dxa"/>
          </w:tcPr>
          <w:p w14:paraId="3CD0974E" w14:textId="77777777" w:rsidR="005664E1" w:rsidRPr="00267772" w:rsidRDefault="005664E1" w:rsidP="00823950">
            <w:pPr>
              <w:pStyle w:val="Tabletext"/>
            </w:pPr>
          </w:p>
        </w:tc>
        <w:tc>
          <w:tcPr>
            <w:tcW w:w="7159" w:type="dxa"/>
          </w:tcPr>
          <w:p w14:paraId="294963C1" w14:textId="77777777" w:rsidR="005664E1" w:rsidRPr="00267772" w:rsidRDefault="005664E1" w:rsidP="00823950">
            <w:pPr>
              <w:pStyle w:val="Tabletext"/>
            </w:pPr>
          </w:p>
        </w:tc>
        <w:tc>
          <w:tcPr>
            <w:tcW w:w="2338" w:type="dxa"/>
          </w:tcPr>
          <w:p w14:paraId="7F84A379" w14:textId="77777777" w:rsidR="005664E1" w:rsidRPr="00267772" w:rsidRDefault="005664E1" w:rsidP="00823950">
            <w:pPr>
              <w:pStyle w:val="Tabletext"/>
              <w:jc w:val="center"/>
            </w:pPr>
          </w:p>
        </w:tc>
      </w:tr>
      <w:tr w:rsidR="005664E1" w:rsidRPr="00267772" w14:paraId="26A1D71D" w14:textId="77777777" w:rsidTr="003A322F">
        <w:tc>
          <w:tcPr>
            <w:tcW w:w="534" w:type="dxa"/>
          </w:tcPr>
          <w:p w14:paraId="3D1469C7" w14:textId="77777777" w:rsidR="005664E1" w:rsidRPr="00267772" w:rsidRDefault="005664E1" w:rsidP="00823950">
            <w:pPr>
              <w:pStyle w:val="Tabletext"/>
              <w:rPr>
                <w:sz w:val="24"/>
                <w:szCs w:val="24"/>
              </w:rPr>
            </w:pPr>
            <w:r w:rsidRPr="00267772">
              <w:rPr>
                <w:sz w:val="24"/>
                <w:szCs w:val="24"/>
              </w:rPr>
              <w:t>1</w:t>
            </w:r>
          </w:p>
        </w:tc>
        <w:tc>
          <w:tcPr>
            <w:tcW w:w="7159" w:type="dxa"/>
          </w:tcPr>
          <w:p w14:paraId="532AC72A" w14:textId="77777777" w:rsidR="005664E1" w:rsidRPr="00267772" w:rsidRDefault="005664E1" w:rsidP="00823950">
            <w:pPr>
              <w:pStyle w:val="Tabletext"/>
              <w:rPr>
                <w:sz w:val="24"/>
                <w:szCs w:val="24"/>
              </w:rPr>
            </w:pPr>
            <w:r w:rsidRPr="00267772">
              <w:rPr>
                <w:sz w:val="24"/>
                <w:szCs w:val="24"/>
              </w:rPr>
              <w:t>Alocución introductoria del Presidente</w:t>
            </w:r>
          </w:p>
        </w:tc>
        <w:tc>
          <w:tcPr>
            <w:tcW w:w="2338" w:type="dxa"/>
          </w:tcPr>
          <w:p w14:paraId="2B27883A" w14:textId="77777777" w:rsidR="005664E1" w:rsidRPr="00267772" w:rsidRDefault="005664E1" w:rsidP="00823950">
            <w:pPr>
              <w:pStyle w:val="Tabletext"/>
              <w:jc w:val="center"/>
              <w:rPr>
                <w:sz w:val="24"/>
                <w:szCs w:val="24"/>
              </w:rPr>
            </w:pPr>
            <w:r w:rsidRPr="00267772">
              <w:rPr>
                <w:sz w:val="24"/>
                <w:szCs w:val="24"/>
              </w:rPr>
              <w:t>9</w:t>
            </w:r>
          </w:p>
        </w:tc>
      </w:tr>
      <w:tr w:rsidR="005664E1" w:rsidRPr="00267772" w14:paraId="61CF4005" w14:textId="77777777" w:rsidTr="003A322F">
        <w:tc>
          <w:tcPr>
            <w:tcW w:w="534" w:type="dxa"/>
          </w:tcPr>
          <w:p w14:paraId="29C6364C" w14:textId="77777777" w:rsidR="005664E1" w:rsidRPr="00267772" w:rsidRDefault="005664E1" w:rsidP="00823950">
            <w:pPr>
              <w:pStyle w:val="Tabletext"/>
              <w:rPr>
                <w:sz w:val="24"/>
                <w:szCs w:val="24"/>
              </w:rPr>
            </w:pPr>
            <w:r w:rsidRPr="00267772">
              <w:rPr>
                <w:sz w:val="24"/>
                <w:szCs w:val="24"/>
              </w:rPr>
              <w:t>2</w:t>
            </w:r>
          </w:p>
        </w:tc>
        <w:tc>
          <w:tcPr>
            <w:tcW w:w="7159" w:type="dxa"/>
          </w:tcPr>
          <w:p w14:paraId="341DD561" w14:textId="77777777" w:rsidR="005664E1" w:rsidRPr="00267772" w:rsidRDefault="005664E1" w:rsidP="00823950">
            <w:pPr>
              <w:pStyle w:val="Tabletext"/>
              <w:rPr>
                <w:sz w:val="24"/>
                <w:szCs w:val="24"/>
              </w:rPr>
            </w:pPr>
            <w:r w:rsidRPr="00267772">
              <w:rPr>
                <w:sz w:val="24"/>
                <w:szCs w:val="24"/>
              </w:rPr>
              <w:t>Informes orales de los Presidentes de las Comisiones</w:t>
            </w:r>
          </w:p>
        </w:tc>
        <w:tc>
          <w:tcPr>
            <w:tcW w:w="2338" w:type="dxa"/>
          </w:tcPr>
          <w:p w14:paraId="778FC6EC" w14:textId="6456995A" w:rsidR="005664E1" w:rsidRPr="00267772" w:rsidRDefault="002E155C" w:rsidP="00823950">
            <w:pPr>
              <w:pStyle w:val="Tabletext"/>
              <w:jc w:val="center"/>
              <w:rPr>
                <w:sz w:val="24"/>
                <w:szCs w:val="24"/>
              </w:rPr>
            </w:pPr>
            <w:r w:rsidRPr="00267772">
              <w:rPr>
                <w:sz w:val="24"/>
                <w:szCs w:val="24"/>
              </w:rPr>
              <w:t>–</w:t>
            </w:r>
          </w:p>
        </w:tc>
      </w:tr>
      <w:tr w:rsidR="005664E1" w:rsidRPr="00267772" w14:paraId="3A3919F7" w14:textId="77777777" w:rsidTr="003A322F">
        <w:tc>
          <w:tcPr>
            <w:tcW w:w="534" w:type="dxa"/>
          </w:tcPr>
          <w:p w14:paraId="66D7FC6C" w14:textId="77777777" w:rsidR="005664E1" w:rsidRPr="00267772" w:rsidRDefault="005664E1" w:rsidP="00823950">
            <w:pPr>
              <w:pStyle w:val="Tabletext"/>
              <w:rPr>
                <w:sz w:val="24"/>
                <w:szCs w:val="24"/>
              </w:rPr>
            </w:pPr>
            <w:r w:rsidRPr="00267772">
              <w:rPr>
                <w:sz w:val="24"/>
                <w:szCs w:val="24"/>
              </w:rPr>
              <w:t>3</w:t>
            </w:r>
          </w:p>
        </w:tc>
        <w:tc>
          <w:tcPr>
            <w:tcW w:w="7159" w:type="dxa"/>
          </w:tcPr>
          <w:p w14:paraId="06FB97B3" w14:textId="77777777" w:rsidR="005664E1" w:rsidRPr="00267772" w:rsidRDefault="005664E1" w:rsidP="00823950">
            <w:pPr>
              <w:pStyle w:val="Tabletext"/>
              <w:rPr>
                <w:sz w:val="24"/>
                <w:szCs w:val="24"/>
              </w:rPr>
            </w:pPr>
            <w:r w:rsidRPr="00267772">
              <w:rPr>
                <w:sz w:val="24"/>
                <w:szCs w:val="24"/>
              </w:rPr>
              <w:t>Quinta serie de textos sometidos por la Comisión de Redacción en primera lectura (B5)</w:t>
            </w:r>
          </w:p>
        </w:tc>
        <w:tc>
          <w:tcPr>
            <w:tcW w:w="2338" w:type="dxa"/>
          </w:tcPr>
          <w:p w14:paraId="7CF7670B" w14:textId="77777777" w:rsidR="005664E1" w:rsidRPr="00267772" w:rsidRDefault="005664E1" w:rsidP="00823950">
            <w:pPr>
              <w:pStyle w:val="Tabletext"/>
              <w:jc w:val="center"/>
              <w:rPr>
                <w:sz w:val="24"/>
                <w:szCs w:val="24"/>
              </w:rPr>
            </w:pPr>
            <w:r w:rsidRPr="00267772">
              <w:rPr>
                <w:sz w:val="24"/>
                <w:szCs w:val="24"/>
              </w:rPr>
              <w:t>221</w:t>
            </w:r>
          </w:p>
        </w:tc>
      </w:tr>
      <w:tr w:rsidR="005664E1" w:rsidRPr="00267772" w14:paraId="2E394C82" w14:textId="77777777" w:rsidTr="003A322F">
        <w:tc>
          <w:tcPr>
            <w:tcW w:w="534" w:type="dxa"/>
          </w:tcPr>
          <w:p w14:paraId="3BA5F412" w14:textId="77777777" w:rsidR="005664E1" w:rsidRPr="00267772" w:rsidRDefault="005664E1" w:rsidP="00823950">
            <w:pPr>
              <w:pStyle w:val="Tabletext"/>
              <w:rPr>
                <w:sz w:val="24"/>
                <w:szCs w:val="24"/>
              </w:rPr>
            </w:pPr>
            <w:r w:rsidRPr="00267772">
              <w:rPr>
                <w:sz w:val="24"/>
                <w:szCs w:val="24"/>
              </w:rPr>
              <w:t>4</w:t>
            </w:r>
          </w:p>
        </w:tc>
        <w:tc>
          <w:tcPr>
            <w:tcW w:w="7159" w:type="dxa"/>
          </w:tcPr>
          <w:p w14:paraId="68911A1F" w14:textId="77777777" w:rsidR="005664E1" w:rsidRPr="00267772" w:rsidRDefault="005664E1" w:rsidP="00823950">
            <w:pPr>
              <w:pStyle w:val="Tabletext"/>
              <w:rPr>
                <w:sz w:val="24"/>
                <w:szCs w:val="24"/>
              </w:rPr>
            </w:pPr>
            <w:r w:rsidRPr="00267772">
              <w:rPr>
                <w:sz w:val="24"/>
                <w:szCs w:val="24"/>
              </w:rPr>
              <w:t>Quinta serie de textos sometidos por la Comisión de Redacción (B5) – segunda lectura</w:t>
            </w:r>
          </w:p>
        </w:tc>
        <w:tc>
          <w:tcPr>
            <w:tcW w:w="2338" w:type="dxa"/>
          </w:tcPr>
          <w:p w14:paraId="21A41152" w14:textId="77777777" w:rsidR="005664E1" w:rsidRPr="00267772" w:rsidRDefault="005664E1" w:rsidP="00823950">
            <w:pPr>
              <w:pStyle w:val="Tabletext"/>
              <w:jc w:val="center"/>
              <w:rPr>
                <w:sz w:val="24"/>
                <w:szCs w:val="24"/>
              </w:rPr>
            </w:pPr>
            <w:r w:rsidRPr="00267772">
              <w:rPr>
                <w:sz w:val="24"/>
                <w:szCs w:val="24"/>
              </w:rPr>
              <w:t>221</w:t>
            </w:r>
          </w:p>
        </w:tc>
      </w:tr>
      <w:tr w:rsidR="005664E1" w:rsidRPr="00267772" w14:paraId="7CA1A3D7" w14:textId="77777777" w:rsidTr="003A322F">
        <w:tc>
          <w:tcPr>
            <w:tcW w:w="534" w:type="dxa"/>
          </w:tcPr>
          <w:p w14:paraId="6738E945" w14:textId="77777777" w:rsidR="005664E1" w:rsidRPr="00267772" w:rsidRDefault="005664E1" w:rsidP="00823950">
            <w:pPr>
              <w:pStyle w:val="Tabletext"/>
              <w:rPr>
                <w:sz w:val="24"/>
                <w:szCs w:val="24"/>
              </w:rPr>
            </w:pPr>
            <w:r w:rsidRPr="00267772">
              <w:rPr>
                <w:sz w:val="24"/>
                <w:szCs w:val="24"/>
              </w:rPr>
              <w:t>5</w:t>
            </w:r>
          </w:p>
        </w:tc>
        <w:tc>
          <w:tcPr>
            <w:tcW w:w="7159" w:type="dxa"/>
          </w:tcPr>
          <w:p w14:paraId="0D59F84D" w14:textId="77777777" w:rsidR="005664E1" w:rsidRPr="00267772" w:rsidRDefault="005664E1" w:rsidP="00823950">
            <w:pPr>
              <w:pStyle w:val="Tabletext"/>
              <w:rPr>
                <w:sz w:val="24"/>
                <w:szCs w:val="24"/>
              </w:rPr>
            </w:pPr>
            <w:r w:rsidRPr="00267772">
              <w:rPr>
                <w:sz w:val="24"/>
                <w:szCs w:val="24"/>
              </w:rPr>
              <w:t>Sexta serie de textos sometidos por la Comisión de Redacción en primera lectura (B6)</w:t>
            </w:r>
          </w:p>
        </w:tc>
        <w:tc>
          <w:tcPr>
            <w:tcW w:w="2338" w:type="dxa"/>
          </w:tcPr>
          <w:p w14:paraId="4F975B98" w14:textId="77777777" w:rsidR="005664E1" w:rsidRPr="00267772" w:rsidRDefault="005664E1" w:rsidP="00823950">
            <w:pPr>
              <w:pStyle w:val="Tabletext"/>
              <w:jc w:val="center"/>
              <w:rPr>
                <w:sz w:val="24"/>
                <w:szCs w:val="24"/>
              </w:rPr>
            </w:pPr>
            <w:r w:rsidRPr="00267772">
              <w:rPr>
                <w:sz w:val="24"/>
                <w:szCs w:val="24"/>
              </w:rPr>
              <w:t>222</w:t>
            </w:r>
          </w:p>
        </w:tc>
      </w:tr>
      <w:tr w:rsidR="005664E1" w:rsidRPr="00267772" w14:paraId="15685CD7" w14:textId="77777777" w:rsidTr="003A322F">
        <w:tc>
          <w:tcPr>
            <w:tcW w:w="534" w:type="dxa"/>
          </w:tcPr>
          <w:p w14:paraId="60177633" w14:textId="77777777" w:rsidR="005664E1" w:rsidRPr="00267772" w:rsidRDefault="005664E1" w:rsidP="00823950">
            <w:pPr>
              <w:pStyle w:val="Tabletext"/>
              <w:rPr>
                <w:sz w:val="24"/>
                <w:szCs w:val="24"/>
              </w:rPr>
            </w:pPr>
            <w:r w:rsidRPr="00267772">
              <w:rPr>
                <w:sz w:val="24"/>
                <w:szCs w:val="24"/>
              </w:rPr>
              <w:t>6</w:t>
            </w:r>
          </w:p>
        </w:tc>
        <w:tc>
          <w:tcPr>
            <w:tcW w:w="7159" w:type="dxa"/>
          </w:tcPr>
          <w:p w14:paraId="7F1E6F8B" w14:textId="77777777" w:rsidR="005664E1" w:rsidRPr="00267772" w:rsidRDefault="005664E1" w:rsidP="00823950">
            <w:pPr>
              <w:pStyle w:val="Tabletext"/>
              <w:rPr>
                <w:sz w:val="24"/>
                <w:szCs w:val="24"/>
              </w:rPr>
            </w:pPr>
            <w:r w:rsidRPr="00267772">
              <w:rPr>
                <w:sz w:val="24"/>
                <w:szCs w:val="24"/>
              </w:rPr>
              <w:t>Sexta serie de textos sometidos por la Comisión de Redacción (B6) – segunda lectura</w:t>
            </w:r>
          </w:p>
        </w:tc>
        <w:tc>
          <w:tcPr>
            <w:tcW w:w="2338" w:type="dxa"/>
          </w:tcPr>
          <w:p w14:paraId="4DAA32B6" w14:textId="77777777" w:rsidR="005664E1" w:rsidRPr="00267772" w:rsidRDefault="005664E1" w:rsidP="00823950">
            <w:pPr>
              <w:pStyle w:val="Tabletext"/>
              <w:jc w:val="center"/>
              <w:rPr>
                <w:sz w:val="24"/>
                <w:szCs w:val="24"/>
              </w:rPr>
            </w:pPr>
            <w:r w:rsidRPr="00267772">
              <w:rPr>
                <w:sz w:val="24"/>
                <w:szCs w:val="24"/>
              </w:rPr>
              <w:t>222</w:t>
            </w:r>
          </w:p>
        </w:tc>
      </w:tr>
      <w:tr w:rsidR="005664E1" w:rsidRPr="00267772" w14:paraId="47AE43B4" w14:textId="77777777" w:rsidTr="003A322F">
        <w:tc>
          <w:tcPr>
            <w:tcW w:w="534" w:type="dxa"/>
          </w:tcPr>
          <w:p w14:paraId="5FBE6D16" w14:textId="77777777" w:rsidR="005664E1" w:rsidRPr="00267772" w:rsidRDefault="005664E1" w:rsidP="00823950">
            <w:pPr>
              <w:pStyle w:val="Tabletext"/>
              <w:rPr>
                <w:sz w:val="24"/>
                <w:szCs w:val="24"/>
              </w:rPr>
            </w:pPr>
            <w:r w:rsidRPr="00267772">
              <w:rPr>
                <w:sz w:val="24"/>
                <w:szCs w:val="24"/>
              </w:rPr>
              <w:t>7</w:t>
            </w:r>
          </w:p>
        </w:tc>
        <w:tc>
          <w:tcPr>
            <w:tcW w:w="7159" w:type="dxa"/>
          </w:tcPr>
          <w:p w14:paraId="276BBBB0" w14:textId="77777777" w:rsidR="005664E1" w:rsidRPr="00267772" w:rsidRDefault="005664E1" w:rsidP="00823950">
            <w:pPr>
              <w:pStyle w:val="Tabletext"/>
              <w:rPr>
                <w:sz w:val="24"/>
                <w:szCs w:val="24"/>
              </w:rPr>
            </w:pPr>
            <w:r w:rsidRPr="00267772">
              <w:rPr>
                <w:sz w:val="24"/>
                <w:szCs w:val="24"/>
              </w:rPr>
              <w:t>Séptima serie de textos sometidos por la Comisión de Redacción en primera lectura (B7)</w:t>
            </w:r>
          </w:p>
        </w:tc>
        <w:tc>
          <w:tcPr>
            <w:tcW w:w="2338" w:type="dxa"/>
          </w:tcPr>
          <w:p w14:paraId="6B0C087B" w14:textId="77777777" w:rsidR="005664E1" w:rsidRPr="00267772" w:rsidRDefault="005664E1" w:rsidP="00823950">
            <w:pPr>
              <w:pStyle w:val="Tabletext"/>
              <w:jc w:val="center"/>
              <w:rPr>
                <w:sz w:val="24"/>
                <w:szCs w:val="24"/>
              </w:rPr>
            </w:pPr>
            <w:r w:rsidRPr="00267772">
              <w:rPr>
                <w:sz w:val="24"/>
                <w:szCs w:val="24"/>
              </w:rPr>
              <w:t>223</w:t>
            </w:r>
          </w:p>
        </w:tc>
      </w:tr>
      <w:tr w:rsidR="005664E1" w:rsidRPr="00267772" w14:paraId="42F384C3" w14:textId="77777777" w:rsidTr="003A322F">
        <w:tc>
          <w:tcPr>
            <w:tcW w:w="534" w:type="dxa"/>
          </w:tcPr>
          <w:p w14:paraId="03683553" w14:textId="77777777" w:rsidR="005664E1" w:rsidRPr="00267772" w:rsidRDefault="005664E1" w:rsidP="00823950">
            <w:pPr>
              <w:pStyle w:val="Tabletext"/>
              <w:rPr>
                <w:sz w:val="24"/>
                <w:szCs w:val="24"/>
              </w:rPr>
            </w:pPr>
            <w:r w:rsidRPr="00267772">
              <w:rPr>
                <w:sz w:val="24"/>
                <w:szCs w:val="24"/>
              </w:rPr>
              <w:t>8</w:t>
            </w:r>
          </w:p>
        </w:tc>
        <w:tc>
          <w:tcPr>
            <w:tcW w:w="7159" w:type="dxa"/>
          </w:tcPr>
          <w:p w14:paraId="4FD257F7" w14:textId="77777777" w:rsidR="005664E1" w:rsidRPr="00267772" w:rsidRDefault="005664E1" w:rsidP="00823950">
            <w:pPr>
              <w:pStyle w:val="Tabletext"/>
              <w:rPr>
                <w:sz w:val="24"/>
                <w:szCs w:val="24"/>
              </w:rPr>
            </w:pPr>
            <w:r w:rsidRPr="00267772">
              <w:rPr>
                <w:sz w:val="24"/>
                <w:szCs w:val="24"/>
              </w:rPr>
              <w:t>Propuestas para los trabajos de la Conferencia</w:t>
            </w:r>
          </w:p>
        </w:tc>
        <w:tc>
          <w:tcPr>
            <w:tcW w:w="2338" w:type="dxa"/>
          </w:tcPr>
          <w:p w14:paraId="53857C04" w14:textId="77777777" w:rsidR="005664E1" w:rsidRPr="00267772" w:rsidRDefault="005664E1" w:rsidP="00823950">
            <w:pPr>
              <w:pStyle w:val="Tabletext"/>
              <w:jc w:val="center"/>
              <w:rPr>
                <w:sz w:val="24"/>
                <w:szCs w:val="24"/>
              </w:rPr>
            </w:pPr>
            <w:r w:rsidRPr="00267772">
              <w:rPr>
                <w:sz w:val="24"/>
                <w:szCs w:val="24"/>
              </w:rPr>
              <w:t>184(Rev.1)</w:t>
            </w:r>
          </w:p>
        </w:tc>
      </w:tr>
      <w:tr w:rsidR="005664E1" w:rsidRPr="00267772" w14:paraId="3C13D1DE" w14:textId="77777777" w:rsidTr="003A322F">
        <w:tc>
          <w:tcPr>
            <w:tcW w:w="534" w:type="dxa"/>
          </w:tcPr>
          <w:p w14:paraId="1339087B" w14:textId="77777777" w:rsidR="005664E1" w:rsidRPr="00267772" w:rsidRDefault="005664E1" w:rsidP="00823950">
            <w:pPr>
              <w:pStyle w:val="Tabletext"/>
              <w:rPr>
                <w:sz w:val="24"/>
                <w:szCs w:val="24"/>
              </w:rPr>
            </w:pPr>
            <w:r w:rsidRPr="00267772">
              <w:rPr>
                <w:sz w:val="24"/>
                <w:szCs w:val="24"/>
              </w:rPr>
              <w:t>9</w:t>
            </w:r>
          </w:p>
        </w:tc>
        <w:tc>
          <w:tcPr>
            <w:tcW w:w="7159" w:type="dxa"/>
          </w:tcPr>
          <w:p w14:paraId="0E070FC8" w14:textId="77777777" w:rsidR="005664E1" w:rsidRPr="00267772" w:rsidRDefault="005664E1" w:rsidP="00823950">
            <w:pPr>
              <w:pStyle w:val="Tabletext"/>
              <w:rPr>
                <w:sz w:val="24"/>
                <w:szCs w:val="24"/>
              </w:rPr>
            </w:pPr>
            <w:r w:rsidRPr="00267772">
              <w:rPr>
                <w:sz w:val="24"/>
                <w:szCs w:val="24"/>
              </w:rPr>
              <w:t>Declaración del Sr. Niklas Hedman, Oficina de Asuntos del Espacio Ultraterrestre de las Naciones Unidas (UNOOSA)</w:t>
            </w:r>
          </w:p>
        </w:tc>
        <w:tc>
          <w:tcPr>
            <w:tcW w:w="2338" w:type="dxa"/>
          </w:tcPr>
          <w:p w14:paraId="3FF52EDE" w14:textId="612041C2" w:rsidR="005664E1" w:rsidRPr="00267772" w:rsidRDefault="002E155C" w:rsidP="00823950">
            <w:pPr>
              <w:pStyle w:val="Tabletext"/>
              <w:jc w:val="center"/>
              <w:rPr>
                <w:sz w:val="24"/>
                <w:szCs w:val="24"/>
              </w:rPr>
            </w:pPr>
            <w:r w:rsidRPr="00267772">
              <w:rPr>
                <w:sz w:val="24"/>
                <w:szCs w:val="24"/>
              </w:rPr>
              <w:t>–</w:t>
            </w:r>
          </w:p>
        </w:tc>
      </w:tr>
      <w:tr w:rsidR="005664E1" w:rsidRPr="00267772" w14:paraId="4525A1D5" w14:textId="77777777" w:rsidTr="003A322F">
        <w:tc>
          <w:tcPr>
            <w:tcW w:w="534" w:type="dxa"/>
          </w:tcPr>
          <w:p w14:paraId="5F66F59B" w14:textId="77777777" w:rsidR="005664E1" w:rsidRPr="00267772" w:rsidRDefault="005664E1" w:rsidP="00823950">
            <w:pPr>
              <w:pStyle w:val="Tabletext"/>
              <w:rPr>
                <w:sz w:val="24"/>
                <w:szCs w:val="24"/>
              </w:rPr>
            </w:pPr>
            <w:r w:rsidRPr="00267772">
              <w:rPr>
                <w:sz w:val="24"/>
                <w:szCs w:val="24"/>
              </w:rPr>
              <w:t>10</w:t>
            </w:r>
          </w:p>
        </w:tc>
        <w:tc>
          <w:tcPr>
            <w:tcW w:w="7159" w:type="dxa"/>
          </w:tcPr>
          <w:p w14:paraId="0BE931D9" w14:textId="77777777" w:rsidR="005664E1" w:rsidRPr="00267772" w:rsidRDefault="005664E1" w:rsidP="00823950">
            <w:pPr>
              <w:pStyle w:val="Tabletext"/>
              <w:rPr>
                <w:sz w:val="24"/>
                <w:szCs w:val="24"/>
              </w:rPr>
            </w:pPr>
            <w:r w:rsidRPr="00267772">
              <w:rPr>
                <w:sz w:val="24"/>
                <w:szCs w:val="24"/>
              </w:rPr>
              <w:t>Recordatorio del plazo límite para la supresión de nombres de países de las notas</w:t>
            </w:r>
          </w:p>
        </w:tc>
        <w:tc>
          <w:tcPr>
            <w:tcW w:w="2338" w:type="dxa"/>
          </w:tcPr>
          <w:p w14:paraId="0C2A12F3" w14:textId="77777777" w:rsidR="005664E1" w:rsidRPr="00267772" w:rsidRDefault="005664E1" w:rsidP="00823950">
            <w:pPr>
              <w:pStyle w:val="Tabletext"/>
              <w:jc w:val="center"/>
              <w:rPr>
                <w:sz w:val="24"/>
                <w:szCs w:val="24"/>
              </w:rPr>
            </w:pPr>
            <w:r w:rsidRPr="00267772">
              <w:rPr>
                <w:sz w:val="24"/>
                <w:szCs w:val="24"/>
              </w:rPr>
              <w:t>131</w:t>
            </w:r>
          </w:p>
        </w:tc>
      </w:tr>
    </w:tbl>
    <w:p w14:paraId="4FBE5300" w14:textId="77777777" w:rsidR="005664E1" w:rsidRPr="00267772" w:rsidRDefault="005664E1" w:rsidP="00823950">
      <w:pPr>
        <w:pStyle w:val="Tabletext"/>
        <w:rPr>
          <w:sz w:val="24"/>
          <w:szCs w:val="24"/>
        </w:rPr>
      </w:pPr>
    </w:p>
    <w:p w14:paraId="5383130C" w14:textId="77777777" w:rsidR="005664E1" w:rsidRPr="00267772" w:rsidRDefault="005664E1" w:rsidP="00823950">
      <w:pPr>
        <w:tabs>
          <w:tab w:val="clear" w:pos="1134"/>
          <w:tab w:val="clear" w:pos="1871"/>
          <w:tab w:val="clear" w:pos="2268"/>
        </w:tabs>
        <w:overflowPunct/>
        <w:autoSpaceDE/>
        <w:autoSpaceDN/>
        <w:adjustRightInd/>
        <w:spacing w:before="0"/>
        <w:textAlignment w:val="auto"/>
        <w:rPr>
          <w:b/>
          <w:bCs/>
          <w:sz w:val="28"/>
          <w:szCs w:val="28"/>
        </w:rPr>
      </w:pPr>
      <w:r w:rsidRPr="00267772">
        <w:rPr>
          <w:b/>
          <w:bCs/>
          <w:sz w:val="28"/>
          <w:szCs w:val="28"/>
        </w:rPr>
        <w:br w:type="page"/>
      </w:r>
    </w:p>
    <w:p w14:paraId="50FB5FCB" w14:textId="77777777" w:rsidR="005664E1" w:rsidRPr="00267772" w:rsidRDefault="005664E1" w:rsidP="00823950">
      <w:pPr>
        <w:pStyle w:val="Heading1"/>
      </w:pPr>
      <w:r w:rsidRPr="00267772">
        <w:lastRenderedPageBreak/>
        <w:t>1</w:t>
      </w:r>
      <w:r w:rsidRPr="00267772">
        <w:tab/>
        <w:t>Alocución introductoria del Presidente (Documento 9)</w:t>
      </w:r>
    </w:p>
    <w:p w14:paraId="5696C2D1" w14:textId="1A6E5CC8" w:rsidR="005664E1" w:rsidRPr="00267772" w:rsidRDefault="005664E1" w:rsidP="00823950">
      <w:r w:rsidRPr="00267772">
        <w:t>1.1</w:t>
      </w:r>
      <w:r w:rsidRPr="00267772">
        <w:tab/>
        <w:t xml:space="preserve">El </w:t>
      </w:r>
      <w:r w:rsidRPr="00267772">
        <w:rPr>
          <w:b/>
          <w:bCs/>
        </w:rPr>
        <w:t xml:space="preserve">Presidente </w:t>
      </w:r>
      <w:r w:rsidRPr="00267772">
        <w:t>recuerda el Documento 9, del que se tomó nota en la primera Sesión Plenaria y que volvió a abordarse en la segunda Sesión Plenaria, en el que se explica que la participación de los observadores en las conferencias, asambleas y reuniones de la Unión se rige por la Resolución 145 (Antalya, 2006) en lo que se refiere a los derechos conferidos a cada categoría de participantes. Todos los delegados, en particular los Presidentes de las Comisiones, los Grupos y los Subgrupos de Trabajo de la Conferencia, deben tener en cuenta esas disposiciones en la celebración de las reuniones.</w:t>
      </w:r>
    </w:p>
    <w:p w14:paraId="70BC9E1F" w14:textId="77777777" w:rsidR="005664E1" w:rsidRPr="00267772" w:rsidRDefault="005664E1" w:rsidP="00823950">
      <w:pPr>
        <w:pStyle w:val="Heading1"/>
      </w:pPr>
      <w:r w:rsidRPr="00267772">
        <w:t>2</w:t>
      </w:r>
      <w:r w:rsidRPr="00267772">
        <w:tab/>
        <w:t>Informes orales de los Presidentes de las Comisiones</w:t>
      </w:r>
    </w:p>
    <w:p w14:paraId="0F0AEF12" w14:textId="038816CF" w:rsidR="005664E1" w:rsidRPr="00267772" w:rsidRDefault="005664E1" w:rsidP="00823950">
      <w:r w:rsidRPr="00267772">
        <w:t>2.1</w:t>
      </w:r>
      <w:r w:rsidRPr="00267772">
        <w:tab/>
        <w:t xml:space="preserve">El </w:t>
      </w:r>
      <w:r w:rsidRPr="00267772">
        <w:rPr>
          <w:b/>
          <w:bCs/>
        </w:rPr>
        <w:t xml:space="preserve">Presidente de la Comisión 2 </w:t>
      </w:r>
      <w:r w:rsidRPr="00267772">
        <w:t>informa de que su Comisión no ha celebrado reuniones desde la anterior Sesión Plenaria, pero ha recibido 38 nuevas credenciales y espera recibir más. Se insta a las administraciones que aún no han presentado sus credenciales a presentarlas antes del 11</w:t>
      </w:r>
      <w:r w:rsidR="009B1D75" w:rsidRPr="00267772">
        <w:t> </w:t>
      </w:r>
      <w:r w:rsidRPr="00267772">
        <w:t>de noviembre de 2019, víspera de la última reunión de la Comisión 2.</w:t>
      </w:r>
    </w:p>
    <w:p w14:paraId="318236EB" w14:textId="77777777" w:rsidR="005664E1" w:rsidRPr="00267772" w:rsidRDefault="005664E1" w:rsidP="00823950">
      <w:pPr>
        <w:rPr>
          <w:b/>
          <w:bCs/>
        </w:rPr>
      </w:pPr>
      <w:r w:rsidRPr="00267772">
        <w:t>2.2</w:t>
      </w:r>
      <w:r w:rsidRPr="00267772">
        <w:tab/>
        <w:t xml:space="preserve">Se </w:t>
      </w:r>
      <w:r w:rsidRPr="00267772">
        <w:rPr>
          <w:b/>
          <w:bCs/>
        </w:rPr>
        <w:t xml:space="preserve">toma nota </w:t>
      </w:r>
      <w:r w:rsidRPr="00267772">
        <w:t>del Informe oral del Presidente de la Comisión 2.</w:t>
      </w:r>
    </w:p>
    <w:p w14:paraId="6B81A3BE" w14:textId="6E113212" w:rsidR="005664E1" w:rsidRPr="00267772" w:rsidRDefault="005664E1" w:rsidP="00823950">
      <w:r w:rsidRPr="00267772">
        <w:t>2.3</w:t>
      </w:r>
      <w:r w:rsidRPr="00267772">
        <w:tab/>
        <w:t xml:space="preserve">El </w:t>
      </w:r>
      <w:r w:rsidRPr="00267772">
        <w:rPr>
          <w:b/>
          <w:bCs/>
        </w:rPr>
        <w:t xml:space="preserve">Presidente de la Comisión 3 </w:t>
      </w:r>
      <w:r w:rsidRPr="00267772">
        <w:t>informa de que su Comisión no ha celebrado reuniones desde la anterior Sesión Plenaria y de que, hasta la fecha, no ha recibido decisiones ni propuestas que puedan tener consecuencias presupuestarias.</w:t>
      </w:r>
    </w:p>
    <w:p w14:paraId="6773B013" w14:textId="77777777" w:rsidR="005664E1" w:rsidRPr="00267772" w:rsidRDefault="005664E1" w:rsidP="00823950">
      <w:pPr>
        <w:rPr>
          <w:b/>
          <w:bCs/>
        </w:rPr>
      </w:pPr>
      <w:r w:rsidRPr="00267772">
        <w:t>2.4</w:t>
      </w:r>
      <w:r w:rsidRPr="00267772">
        <w:tab/>
        <w:t xml:space="preserve">Se </w:t>
      </w:r>
      <w:r w:rsidRPr="00267772">
        <w:rPr>
          <w:b/>
          <w:bCs/>
        </w:rPr>
        <w:t xml:space="preserve">toma nota </w:t>
      </w:r>
      <w:r w:rsidRPr="00267772">
        <w:t>del Informe oral del Presidente de la Comisión 3.</w:t>
      </w:r>
    </w:p>
    <w:p w14:paraId="5C36B313" w14:textId="54A72E6A" w:rsidR="005664E1" w:rsidRPr="00267772" w:rsidRDefault="005664E1" w:rsidP="00823950">
      <w:r w:rsidRPr="00267772">
        <w:t>2.5</w:t>
      </w:r>
      <w:r w:rsidRPr="00267772">
        <w:tab/>
      </w:r>
      <w:r w:rsidR="000018D1" w:rsidRPr="00267772">
        <w:t xml:space="preserve">El </w:t>
      </w:r>
      <w:r w:rsidRPr="00267772">
        <w:rPr>
          <w:b/>
          <w:bCs/>
        </w:rPr>
        <w:t xml:space="preserve">Presidente de la Comisión 4 </w:t>
      </w:r>
      <w:r w:rsidRPr="00267772">
        <w:t>informa de que su Comisión ha celebrado una reunión desde la anterior Sesión Plenaria en la que se aprobaron varios documentos que se enviaron directamente a la Comisión de Redacción. Sus Grupos y Subgrupos de Trabajo proseguirán sus debates y espera que se hagan avances en el trabajo que se les ha asignado.</w:t>
      </w:r>
    </w:p>
    <w:p w14:paraId="3980C881" w14:textId="77777777" w:rsidR="005664E1" w:rsidRPr="00267772" w:rsidRDefault="005664E1" w:rsidP="00823950">
      <w:r w:rsidRPr="00267772">
        <w:t>2.6</w:t>
      </w:r>
      <w:r w:rsidRPr="00267772">
        <w:tab/>
        <w:t xml:space="preserve">Se </w:t>
      </w:r>
      <w:r w:rsidRPr="00267772">
        <w:rPr>
          <w:b/>
          <w:bCs/>
        </w:rPr>
        <w:t xml:space="preserve">toma nota </w:t>
      </w:r>
      <w:r w:rsidRPr="00267772">
        <w:t>del Informe oral del Presidente de la Comisión 4.</w:t>
      </w:r>
    </w:p>
    <w:p w14:paraId="1C98C638" w14:textId="2CFD34BF" w:rsidR="005664E1" w:rsidRPr="00267772" w:rsidRDefault="005664E1" w:rsidP="00823950">
      <w:r w:rsidRPr="00267772">
        <w:t>2.7</w:t>
      </w:r>
      <w:r w:rsidRPr="00267772">
        <w:tab/>
        <w:t xml:space="preserve">El </w:t>
      </w:r>
      <w:r w:rsidRPr="00267772">
        <w:rPr>
          <w:b/>
          <w:bCs/>
        </w:rPr>
        <w:t>Presidente de la Comisión 5</w:t>
      </w:r>
      <w:r w:rsidR="000018D1" w:rsidRPr="00267772">
        <w:t xml:space="preserve"> </w:t>
      </w:r>
      <w:r w:rsidRPr="00267772">
        <w:t>informa de que los Grupos y Subgrupos de Trabajo de la Comisión están tratando temas difíciles y que casi han terminado con algunos puntos del orden del día, pero necesitan más tiempo para otros.</w:t>
      </w:r>
    </w:p>
    <w:p w14:paraId="2BF92584" w14:textId="77777777" w:rsidR="005664E1" w:rsidRPr="00267772" w:rsidRDefault="005664E1" w:rsidP="00823950">
      <w:r w:rsidRPr="00267772">
        <w:t>2.8</w:t>
      </w:r>
      <w:r w:rsidRPr="00267772">
        <w:tab/>
        <w:t xml:space="preserve">Se </w:t>
      </w:r>
      <w:r w:rsidRPr="00267772">
        <w:rPr>
          <w:b/>
          <w:bCs/>
        </w:rPr>
        <w:t xml:space="preserve">toma nota </w:t>
      </w:r>
      <w:r w:rsidRPr="00267772">
        <w:t>del Informe oral del Presidente de la Comisión 5.</w:t>
      </w:r>
    </w:p>
    <w:p w14:paraId="10210442" w14:textId="1E5CC481" w:rsidR="005664E1" w:rsidRPr="00267772" w:rsidRDefault="005664E1" w:rsidP="00823950">
      <w:r w:rsidRPr="00267772">
        <w:t>2.9</w:t>
      </w:r>
      <w:r w:rsidRPr="00267772">
        <w:tab/>
        <w:t xml:space="preserve">El </w:t>
      </w:r>
      <w:r w:rsidRPr="00267772">
        <w:rPr>
          <w:b/>
          <w:bCs/>
        </w:rPr>
        <w:t>Presidente de la Comisión 6</w:t>
      </w:r>
      <w:r w:rsidRPr="00267772">
        <w:t xml:space="preserve"> informa de que su Comisión se ha reunido en una ocasión desde la anterior Sesión Plenaria y ha enviado a la Comisión de Redacción documentos sobre algunos puntos del orden del día. Siguen en curso los debates formales e informales sobre los puntos del orden del día que se le han asignado restantes.</w:t>
      </w:r>
    </w:p>
    <w:p w14:paraId="5DAD2081" w14:textId="77777777" w:rsidR="005664E1" w:rsidRPr="00267772" w:rsidRDefault="005664E1" w:rsidP="00823950">
      <w:r w:rsidRPr="00267772">
        <w:t>2.10</w:t>
      </w:r>
      <w:r w:rsidRPr="00267772">
        <w:tab/>
        <w:t xml:space="preserve">Se </w:t>
      </w:r>
      <w:r w:rsidRPr="00267772">
        <w:rPr>
          <w:b/>
          <w:bCs/>
        </w:rPr>
        <w:t xml:space="preserve">toma nota </w:t>
      </w:r>
      <w:r w:rsidRPr="00267772">
        <w:t>del Informe oral del Presidente de la Comisión 6.</w:t>
      </w:r>
    </w:p>
    <w:p w14:paraId="55C4EE79" w14:textId="67EB416F" w:rsidR="005664E1" w:rsidRPr="00267772" w:rsidRDefault="005664E1" w:rsidP="00823950">
      <w:r w:rsidRPr="00267772">
        <w:t>2.11</w:t>
      </w:r>
      <w:r w:rsidRPr="00267772">
        <w:tab/>
        <w:t xml:space="preserve">El </w:t>
      </w:r>
      <w:r w:rsidRPr="00267772">
        <w:rPr>
          <w:b/>
          <w:bCs/>
        </w:rPr>
        <w:t>Presidente de la Comisión 7</w:t>
      </w:r>
      <w:r w:rsidRPr="00267772">
        <w:t xml:space="preserve"> informa de que su Comisión ha reunió la víspera y finalizó tres series de textos que la Plenaria ha de considerar en primera lectura.</w:t>
      </w:r>
    </w:p>
    <w:p w14:paraId="7EFD6A3A" w14:textId="77777777" w:rsidR="005664E1" w:rsidRPr="00267772" w:rsidRDefault="005664E1" w:rsidP="00823950">
      <w:r w:rsidRPr="00267772">
        <w:t>2.12</w:t>
      </w:r>
      <w:r w:rsidRPr="00267772">
        <w:tab/>
        <w:t xml:space="preserve">Se </w:t>
      </w:r>
      <w:r w:rsidRPr="00267772">
        <w:rPr>
          <w:b/>
          <w:bCs/>
        </w:rPr>
        <w:t xml:space="preserve">toma nota </w:t>
      </w:r>
      <w:r w:rsidRPr="00267772">
        <w:t>del Informe oral del Presidente de la Comisión 7.</w:t>
      </w:r>
    </w:p>
    <w:p w14:paraId="5AE11DD8" w14:textId="77777777" w:rsidR="005664E1" w:rsidRPr="00267772" w:rsidRDefault="005664E1" w:rsidP="00823950">
      <w:pPr>
        <w:pStyle w:val="Heading1"/>
      </w:pPr>
      <w:r w:rsidRPr="00267772">
        <w:t>3</w:t>
      </w:r>
      <w:r w:rsidRPr="00267772">
        <w:tab/>
        <w:t>Quinta serie de textos sometidos por la Comisión de Redacción en primera lectura (B5) (Documento 221)</w:t>
      </w:r>
    </w:p>
    <w:p w14:paraId="0942BB2B" w14:textId="1C6757BC" w:rsidR="005664E1" w:rsidRPr="00267772" w:rsidRDefault="005664E1" w:rsidP="00823950">
      <w:r w:rsidRPr="00267772">
        <w:t>3.1</w:t>
      </w:r>
      <w:r w:rsidRPr="00267772">
        <w:tab/>
        <w:t xml:space="preserve">El </w:t>
      </w:r>
      <w:r w:rsidRPr="00267772">
        <w:rPr>
          <w:b/>
          <w:bCs/>
        </w:rPr>
        <w:t>Presidente de la Comisión de Redacción</w:t>
      </w:r>
      <w:r w:rsidRPr="00267772">
        <w:t xml:space="preserve"> presenta el Documento 221.</w:t>
      </w:r>
    </w:p>
    <w:p w14:paraId="60130FF9" w14:textId="77777777" w:rsidR="005664E1" w:rsidRPr="00267772" w:rsidRDefault="005664E1" w:rsidP="00823950">
      <w:r w:rsidRPr="00267772">
        <w:t>3.2</w:t>
      </w:r>
      <w:r w:rsidRPr="00267772">
        <w:tab/>
        <w:t xml:space="preserve">El </w:t>
      </w:r>
      <w:r w:rsidRPr="00267772">
        <w:rPr>
          <w:b/>
          <w:bCs/>
        </w:rPr>
        <w:t xml:space="preserve">Presidente </w:t>
      </w:r>
      <w:r w:rsidRPr="00267772">
        <w:t>invita a los participantes a examinar el Documento 221.</w:t>
      </w:r>
    </w:p>
    <w:p w14:paraId="5658BBDE" w14:textId="33406855" w:rsidR="005664E1" w:rsidRPr="00267772" w:rsidRDefault="005664E1" w:rsidP="00823950">
      <w:pPr>
        <w:rPr>
          <w:b/>
          <w:bCs/>
        </w:rPr>
      </w:pPr>
      <w:r w:rsidRPr="00267772">
        <w:rPr>
          <w:b/>
          <w:bCs/>
        </w:rPr>
        <w:t xml:space="preserve">Apéndice 27 (MOD </w:t>
      </w:r>
      <w:r w:rsidR="0047121B" w:rsidRPr="00267772">
        <w:rPr>
          <w:b/>
          <w:bCs/>
        </w:rPr>
        <w:t>Título</w:t>
      </w:r>
      <w:r w:rsidRPr="00267772">
        <w:rPr>
          <w:b/>
          <w:bCs/>
        </w:rPr>
        <w:t>, Art</w:t>
      </w:r>
      <w:r w:rsidR="0047121B" w:rsidRPr="00267772">
        <w:rPr>
          <w:b/>
          <w:bCs/>
        </w:rPr>
        <w:t>í</w:t>
      </w:r>
      <w:r w:rsidRPr="00267772">
        <w:rPr>
          <w:b/>
          <w:bCs/>
        </w:rPr>
        <w:t>c</w:t>
      </w:r>
      <w:r w:rsidR="0047121B" w:rsidRPr="00267772">
        <w:rPr>
          <w:b/>
          <w:bCs/>
        </w:rPr>
        <w:t>u</w:t>
      </w:r>
      <w:r w:rsidRPr="00267772">
        <w:rPr>
          <w:b/>
          <w:bCs/>
        </w:rPr>
        <w:t>l</w:t>
      </w:r>
      <w:r w:rsidR="0047121B" w:rsidRPr="00267772">
        <w:rPr>
          <w:b/>
          <w:bCs/>
        </w:rPr>
        <w:t>o</w:t>
      </w:r>
      <w:r w:rsidRPr="00267772">
        <w:rPr>
          <w:b/>
          <w:bCs/>
        </w:rPr>
        <w:t xml:space="preserve"> 2 – MOD 27/114, MOD 27/116, MOD 27/117, MOD 27/121, MOD 27/130, MOD 27/132, MOD 27/133)</w:t>
      </w:r>
    </w:p>
    <w:p w14:paraId="252C0985" w14:textId="77777777" w:rsidR="005664E1" w:rsidRPr="00267772" w:rsidRDefault="005664E1" w:rsidP="00823950">
      <w:r w:rsidRPr="00267772">
        <w:lastRenderedPageBreak/>
        <w:t>3.3</w:t>
      </w:r>
      <w:r w:rsidRPr="00267772">
        <w:tab/>
      </w:r>
      <w:r w:rsidRPr="00267772">
        <w:rPr>
          <w:b/>
          <w:bCs/>
        </w:rPr>
        <w:t>Aprobado</w:t>
      </w:r>
      <w:r w:rsidRPr="00267772">
        <w:t>.</w:t>
      </w:r>
    </w:p>
    <w:p w14:paraId="2575ECF0" w14:textId="77777777" w:rsidR="005664E1" w:rsidRPr="00267772" w:rsidRDefault="005664E1" w:rsidP="00823950">
      <w:r w:rsidRPr="00267772">
        <w:t>3.4</w:t>
      </w:r>
      <w:r w:rsidRPr="00267772">
        <w:tab/>
        <w:t xml:space="preserve">Se </w:t>
      </w:r>
      <w:r w:rsidRPr="00267772">
        <w:rPr>
          <w:b/>
          <w:bCs/>
        </w:rPr>
        <w:t xml:space="preserve">aprueba </w:t>
      </w:r>
      <w:r w:rsidRPr="00267772">
        <w:t>la quinta serie de textos sometidos por la Comisión de Redacción en primera lectura (B5) (Documento 221).</w:t>
      </w:r>
    </w:p>
    <w:p w14:paraId="380F80D0" w14:textId="77777777" w:rsidR="005664E1" w:rsidRPr="00267772" w:rsidRDefault="005664E1" w:rsidP="00823950">
      <w:pPr>
        <w:pStyle w:val="Heading1"/>
      </w:pPr>
      <w:r w:rsidRPr="00267772">
        <w:t>4</w:t>
      </w:r>
      <w:r w:rsidRPr="00267772">
        <w:tab/>
        <w:t>Quinta serie de textos sometidos por la Comisión de Redacción (B5) – segunda lectura (Documento 221)</w:t>
      </w:r>
    </w:p>
    <w:p w14:paraId="45CD8C4B" w14:textId="77777777" w:rsidR="005664E1" w:rsidRPr="00267772" w:rsidRDefault="005664E1" w:rsidP="00823950">
      <w:r w:rsidRPr="00267772">
        <w:t>4.1</w:t>
      </w:r>
      <w:r w:rsidRPr="00267772">
        <w:tab/>
        <w:t xml:space="preserve">Se </w:t>
      </w:r>
      <w:r w:rsidRPr="00267772">
        <w:rPr>
          <w:b/>
          <w:bCs/>
        </w:rPr>
        <w:t xml:space="preserve">aprueba </w:t>
      </w:r>
      <w:r w:rsidRPr="00267772">
        <w:t>en segunda lectura la quinta serie de textos sometidos por la Comisión de Redacción (B5) (Documento 221).</w:t>
      </w:r>
    </w:p>
    <w:p w14:paraId="798C0630" w14:textId="1181AF28" w:rsidR="005664E1" w:rsidRPr="00267772" w:rsidRDefault="005664E1" w:rsidP="00823950">
      <w:pPr>
        <w:pStyle w:val="Heading1"/>
      </w:pPr>
      <w:r w:rsidRPr="00267772">
        <w:t>5</w:t>
      </w:r>
      <w:r w:rsidRPr="00267772">
        <w:tab/>
        <w:t>Sexta serie de textos sometidos por la Comisión de Redacción en primera lectura (B6) (Documento 222)</w:t>
      </w:r>
    </w:p>
    <w:p w14:paraId="0BD663B0" w14:textId="77777777" w:rsidR="005664E1" w:rsidRPr="00267772" w:rsidRDefault="005664E1" w:rsidP="00823950">
      <w:r w:rsidRPr="00267772">
        <w:t>5.1</w:t>
      </w:r>
      <w:r w:rsidRPr="00267772">
        <w:tab/>
        <w:t xml:space="preserve">El </w:t>
      </w:r>
      <w:r w:rsidRPr="00267772">
        <w:rPr>
          <w:b/>
          <w:bCs/>
        </w:rPr>
        <w:t xml:space="preserve">Presidente de la Comisión de Redacción </w:t>
      </w:r>
      <w:r w:rsidRPr="00267772">
        <w:t>presenta el Documento 222.</w:t>
      </w:r>
    </w:p>
    <w:p w14:paraId="3ABB2158" w14:textId="77777777" w:rsidR="005664E1" w:rsidRPr="00267772" w:rsidRDefault="005664E1" w:rsidP="00823950">
      <w:r w:rsidRPr="00267772">
        <w:t>5.2</w:t>
      </w:r>
      <w:r w:rsidRPr="00267772">
        <w:tab/>
        <w:t xml:space="preserve">El </w:t>
      </w:r>
      <w:r w:rsidRPr="00267772">
        <w:rPr>
          <w:b/>
          <w:bCs/>
        </w:rPr>
        <w:t>delegado de Estados Unidos</w:t>
      </w:r>
      <w:r w:rsidRPr="00267772">
        <w:t xml:space="preserve"> solicita aplazar el examen de las modificaciones de la Resolución </w:t>
      </w:r>
      <w:r w:rsidRPr="00267772">
        <w:rPr>
          <w:b/>
          <w:bCs/>
        </w:rPr>
        <w:t>27 (Rev.CMR-12)</w:t>
      </w:r>
      <w:r w:rsidRPr="00267772">
        <w:t xml:space="preserve"> y la supresión de la Resolución </w:t>
      </w:r>
      <w:r w:rsidRPr="00267772">
        <w:rPr>
          <w:b/>
          <w:bCs/>
        </w:rPr>
        <w:t>28 (Rev.CMR-15)</w:t>
      </w:r>
      <w:r w:rsidRPr="00267772">
        <w:t xml:space="preserve"> a la Sexta Plenaria a fin de dejar más tiempo para realizar consultas de orden jurídico.</w:t>
      </w:r>
    </w:p>
    <w:p w14:paraId="37FAEE9B" w14:textId="77777777" w:rsidR="005664E1" w:rsidRPr="00267772" w:rsidRDefault="005664E1" w:rsidP="00823950">
      <w:r w:rsidRPr="00267772">
        <w:t>5.3</w:t>
      </w:r>
      <w:r w:rsidRPr="00267772">
        <w:tab/>
        <w:t xml:space="preserve">Así se </w:t>
      </w:r>
      <w:r w:rsidRPr="00267772">
        <w:rPr>
          <w:b/>
          <w:bCs/>
        </w:rPr>
        <w:t>acuerda</w:t>
      </w:r>
      <w:r w:rsidRPr="00267772">
        <w:t>.</w:t>
      </w:r>
    </w:p>
    <w:p w14:paraId="30A08EA5" w14:textId="77777777" w:rsidR="005664E1" w:rsidRPr="00267772" w:rsidRDefault="005664E1" w:rsidP="00823950">
      <w:r w:rsidRPr="00267772">
        <w:t>5.4</w:t>
      </w:r>
      <w:r w:rsidRPr="00267772">
        <w:tab/>
        <w:t xml:space="preserve">El </w:t>
      </w:r>
      <w:r w:rsidRPr="00267772">
        <w:rPr>
          <w:b/>
          <w:bCs/>
        </w:rPr>
        <w:t xml:space="preserve">Presidente </w:t>
      </w:r>
      <w:r w:rsidRPr="00267772">
        <w:t xml:space="preserve">invita a los participantes a considerar el Documento 222, a excepción de las Resoluciones </w:t>
      </w:r>
      <w:r w:rsidRPr="00267772">
        <w:rPr>
          <w:b/>
          <w:bCs/>
        </w:rPr>
        <w:t>27 (Rev.CMR-12)</w:t>
      </w:r>
      <w:r w:rsidRPr="00267772">
        <w:t xml:space="preserve"> y </w:t>
      </w:r>
      <w:r w:rsidRPr="00267772">
        <w:rPr>
          <w:b/>
          <w:bCs/>
        </w:rPr>
        <w:t>28 (Rev.CMR-15)</w:t>
      </w:r>
      <w:r w:rsidRPr="00267772">
        <w:t>.</w:t>
      </w:r>
    </w:p>
    <w:p w14:paraId="1A8D1DB8" w14:textId="77777777" w:rsidR="005664E1" w:rsidRPr="00267772" w:rsidRDefault="005664E1" w:rsidP="00823950">
      <w:pPr>
        <w:rPr>
          <w:rStyle w:val="Appdef"/>
          <w:bCs/>
          <w:szCs w:val="24"/>
        </w:rPr>
      </w:pPr>
      <w:r w:rsidRPr="00267772">
        <w:rPr>
          <w:b/>
        </w:rPr>
        <w:t>Artículo 5 (MOD</w:t>
      </w:r>
      <w:r w:rsidRPr="00267772">
        <w:rPr>
          <w:bCs/>
        </w:rPr>
        <w:t xml:space="preserve"> </w:t>
      </w:r>
      <w:r w:rsidRPr="00267772">
        <w:rPr>
          <w:rStyle w:val="Artdef"/>
          <w:bCs/>
          <w:szCs w:val="24"/>
        </w:rPr>
        <w:t xml:space="preserve">5.279A, MOD 5.287, MOD 5.288, MOD 5.444B); Artículo 19 (MOD 19.99, MOD 19.102, MOD 19.111); Apéndice 1 (MOD </w:t>
      </w:r>
      <w:r w:rsidRPr="00267772">
        <w:rPr>
          <w:rStyle w:val="Appdef"/>
          <w:bCs/>
          <w:szCs w:val="24"/>
        </w:rPr>
        <w:t>§1, MOD §2); MOD Resolución 748 (Rev.CMR-15).</w:t>
      </w:r>
    </w:p>
    <w:p w14:paraId="32B9E427" w14:textId="77777777" w:rsidR="005664E1" w:rsidRPr="00267772" w:rsidRDefault="005664E1" w:rsidP="00823950">
      <w:r w:rsidRPr="00267772">
        <w:t>5.5</w:t>
      </w:r>
      <w:r w:rsidRPr="00267772">
        <w:tab/>
      </w:r>
      <w:r w:rsidRPr="00267772">
        <w:rPr>
          <w:b/>
        </w:rPr>
        <w:t>Aprobado</w:t>
      </w:r>
      <w:r w:rsidRPr="00267772">
        <w:t>.</w:t>
      </w:r>
    </w:p>
    <w:p w14:paraId="20726A83" w14:textId="047D55D4" w:rsidR="005664E1" w:rsidRPr="00267772" w:rsidRDefault="005664E1" w:rsidP="00823950">
      <w:pPr>
        <w:rPr>
          <w:bCs/>
        </w:rPr>
      </w:pPr>
      <w:r w:rsidRPr="00267772">
        <w:t>5.6</w:t>
      </w:r>
      <w:r w:rsidRPr="00267772">
        <w:tab/>
        <w:t xml:space="preserve">A excepción de las Resoluciones </w:t>
      </w:r>
      <w:r w:rsidRPr="00267772">
        <w:rPr>
          <w:b/>
          <w:bCs/>
        </w:rPr>
        <w:t>27 (Rev.CMR-12)</w:t>
      </w:r>
      <w:r w:rsidRPr="00267772">
        <w:t xml:space="preserve"> y </w:t>
      </w:r>
      <w:r w:rsidRPr="00267772">
        <w:rPr>
          <w:b/>
          <w:bCs/>
        </w:rPr>
        <w:t>28 (Rev.CMR-15)</w:t>
      </w:r>
      <w:r w:rsidRPr="00267772">
        <w:t xml:space="preserve">, se </w:t>
      </w:r>
      <w:r w:rsidRPr="00267772">
        <w:rPr>
          <w:b/>
          <w:bCs/>
        </w:rPr>
        <w:t>aprueba</w:t>
      </w:r>
      <w:r w:rsidRPr="00267772">
        <w:t xml:space="preserve"> la sexta serie de textos sometidos por la Comisión de Redacción en primera lectura (B6) (Documento 222)</w:t>
      </w:r>
      <w:r w:rsidRPr="00267772">
        <w:rPr>
          <w:bCs/>
        </w:rPr>
        <w:t>.</w:t>
      </w:r>
    </w:p>
    <w:p w14:paraId="606CDBDC" w14:textId="77777777" w:rsidR="005664E1" w:rsidRPr="00267772" w:rsidRDefault="005664E1" w:rsidP="00823950">
      <w:pPr>
        <w:pStyle w:val="Heading1"/>
      </w:pPr>
      <w:r w:rsidRPr="00267772">
        <w:t>6</w:t>
      </w:r>
      <w:r w:rsidRPr="00267772">
        <w:tab/>
        <w:t>Sexta serie de textos sometidos por la Comisión de Redacción (B6) – segunda lectura (Documento 222)</w:t>
      </w:r>
    </w:p>
    <w:p w14:paraId="4B3B7092" w14:textId="767882F8" w:rsidR="005664E1" w:rsidRPr="00267772" w:rsidRDefault="005664E1" w:rsidP="00823950">
      <w:r w:rsidRPr="00267772">
        <w:t>6.1</w:t>
      </w:r>
      <w:r w:rsidRPr="00267772">
        <w:tab/>
        <w:t>A excepción de las Resoluciones</w:t>
      </w:r>
      <w:r w:rsidRPr="00267772">
        <w:rPr>
          <w:szCs w:val="24"/>
        </w:rPr>
        <w:t xml:space="preserve"> </w:t>
      </w:r>
      <w:r w:rsidRPr="00267772">
        <w:rPr>
          <w:b/>
          <w:bCs/>
          <w:szCs w:val="24"/>
        </w:rPr>
        <w:t>27 (Rev.CMR-12)</w:t>
      </w:r>
      <w:r w:rsidRPr="00267772">
        <w:rPr>
          <w:szCs w:val="24"/>
        </w:rPr>
        <w:t xml:space="preserve"> y </w:t>
      </w:r>
      <w:r w:rsidRPr="00267772">
        <w:rPr>
          <w:b/>
          <w:bCs/>
          <w:szCs w:val="24"/>
        </w:rPr>
        <w:t>28 (Rev.CMR-15)</w:t>
      </w:r>
      <w:r w:rsidRPr="00267772">
        <w:t xml:space="preserve">, se </w:t>
      </w:r>
      <w:r w:rsidRPr="00267772">
        <w:rPr>
          <w:b/>
          <w:bCs/>
        </w:rPr>
        <w:t>aprueba</w:t>
      </w:r>
      <w:r w:rsidRPr="00267772">
        <w:t xml:space="preserve"> en segunda lectura la sexta serie de textos sometidos por la Comisión de Redacción (B6) (Documento 222).</w:t>
      </w:r>
    </w:p>
    <w:p w14:paraId="425A6F39" w14:textId="77777777" w:rsidR="005664E1" w:rsidRPr="00267772" w:rsidRDefault="005664E1" w:rsidP="00823950">
      <w:pPr>
        <w:pStyle w:val="Heading1"/>
      </w:pPr>
      <w:r w:rsidRPr="00267772">
        <w:t>7</w:t>
      </w:r>
      <w:r w:rsidRPr="00267772">
        <w:tab/>
        <w:t>Séptima serie de textos sometidos por la Comisión de Redacción en primera lectura (B7) (Documento 223)</w:t>
      </w:r>
    </w:p>
    <w:p w14:paraId="2269C3E9" w14:textId="4BE8BFF1" w:rsidR="005664E1" w:rsidRPr="00267772" w:rsidRDefault="005664E1" w:rsidP="00823950">
      <w:r w:rsidRPr="00267772">
        <w:t>7.1</w:t>
      </w:r>
      <w:r w:rsidRPr="00267772">
        <w:tab/>
        <w:t xml:space="preserve">El </w:t>
      </w:r>
      <w:r w:rsidRPr="00267772">
        <w:rPr>
          <w:b/>
          <w:bCs/>
        </w:rPr>
        <w:t>Presidente de la Comisión de Redacción</w:t>
      </w:r>
      <w:r w:rsidRPr="00267772">
        <w:t xml:space="preserve"> presenta el Documento 223.</w:t>
      </w:r>
    </w:p>
    <w:p w14:paraId="4E8D9231" w14:textId="3B186AE0" w:rsidR="005664E1" w:rsidRPr="00267772" w:rsidRDefault="005664E1" w:rsidP="00823950">
      <w:r w:rsidRPr="00267772">
        <w:t>7.2</w:t>
      </w:r>
      <w:r w:rsidRPr="00267772">
        <w:tab/>
        <w:t xml:space="preserve">El </w:t>
      </w:r>
      <w:r w:rsidRPr="00267772">
        <w:rPr>
          <w:b/>
          <w:bCs/>
        </w:rPr>
        <w:t xml:space="preserve">Presidente </w:t>
      </w:r>
      <w:r w:rsidRPr="00267772">
        <w:t>invita a la reunión a considerar el Documento 223.</w:t>
      </w:r>
    </w:p>
    <w:p w14:paraId="282E45C2" w14:textId="77777777" w:rsidR="005664E1" w:rsidRPr="00267772" w:rsidRDefault="005664E1" w:rsidP="00823950">
      <w:pPr>
        <w:rPr>
          <w:b/>
          <w:bCs/>
        </w:rPr>
      </w:pPr>
      <w:r w:rsidRPr="00267772">
        <w:rPr>
          <w:b/>
          <w:bCs/>
        </w:rPr>
        <w:t>Artículo 5 (MOD Cuadro 8 500-10 000 MHz, MOD Cuadro 13,4-14 GHz, MOD 5.562B, MOD Cuadro 151,5-158,5 GHz); Apéndice 30 (MOD Anexo 4); Artículo 5 (SUP 5.562F, SUP 5.562G)</w:t>
      </w:r>
    </w:p>
    <w:p w14:paraId="1236E2CB" w14:textId="77777777" w:rsidR="005664E1" w:rsidRPr="00267772" w:rsidRDefault="005664E1" w:rsidP="00823950">
      <w:r w:rsidRPr="00267772">
        <w:t>7.3</w:t>
      </w:r>
      <w:r w:rsidRPr="00267772">
        <w:tab/>
      </w:r>
      <w:r w:rsidRPr="00267772">
        <w:rPr>
          <w:b/>
          <w:bCs/>
        </w:rPr>
        <w:t>Aprobado</w:t>
      </w:r>
      <w:r w:rsidRPr="00267772">
        <w:t>.</w:t>
      </w:r>
    </w:p>
    <w:p w14:paraId="5EA74BE1" w14:textId="77777777" w:rsidR="005664E1" w:rsidRPr="00267772" w:rsidRDefault="005664E1" w:rsidP="00823950">
      <w:pPr>
        <w:rPr>
          <w:b/>
          <w:bCs/>
        </w:rPr>
      </w:pPr>
      <w:r w:rsidRPr="00267772">
        <w:t>7.4</w:t>
      </w:r>
      <w:r w:rsidRPr="00267772">
        <w:tab/>
        <w:t xml:space="preserve">Se </w:t>
      </w:r>
      <w:r w:rsidRPr="00267772">
        <w:rPr>
          <w:b/>
          <w:bCs/>
        </w:rPr>
        <w:t>aprueba</w:t>
      </w:r>
      <w:r w:rsidRPr="00267772">
        <w:t xml:space="preserve"> la séptima serie de textos sometidos por la Comisión de Redacción en primera lectura (B7) (Documento 223).</w:t>
      </w:r>
    </w:p>
    <w:p w14:paraId="5316D12D" w14:textId="4296CC5B" w:rsidR="005664E1" w:rsidRPr="00267772" w:rsidRDefault="005664E1" w:rsidP="00823950">
      <w:r w:rsidRPr="00267772">
        <w:lastRenderedPageBreak/>
        <w:t>7.5</w:t>
      </w:r>
      <w:r w:rsidRPr="00267772">
        <w:tab/>
        <w:t xml:space="preserve">El </w:t>
      </w:r>
      <w:r w:rsidRPr="00267772">
        <w:rPr>
          <w:b/>
          <w:bCs/>
        </w:rPr>
        <w:t xml:space="preserve">delegado de la República Islámica de Irán </w:t>
      </w:r>
      <w:r w:rsidRPr="00267772">
        <w:t>dice que, habida cuenta del carácter jurídicamente vinculante del Reglamento de Radiocomunicaciones, la segunda lectura de los documentos que conlleven modificaciones del Cuadro de atribución de bandas de frecuencias no debería hacerse inmediatamente después de la primera lectura, sino que se ha de dejar tiempo a las administraciones para examinar detalladamente los cambios propuestos. Por consiguiente, de conformidad con el reglamento de la Conferencia, debería dejarse un lapso de tiempo entre la primera y la segunda lecturas de un documento, a menos que no haya tiempo para aplazar la segunda lectura y los cambios propuestos sean de poca importancia.</w:t>
      </w:r>
    </w:p>
    <w:p w14:paraId="2D638E68" w14:textId="2E2A953A" w:rsidR="005664E1" w:rsidRPr="00267772" w:rsidRDefault="005664E1" w:rsidP="00823950">
      <w:r w:rsidRPr="00267772">
        <w:t>7.6</w:t>
      </w:r>
      <w:r w:rsidRPr="00267772">
        <w:tab/>
        <w:t xml:space="preserve">El </w:t>
      </w:r>
      <w:r w:rsidRPr="00267772">
        <w:rPr>
          <w:b/>
          <w:bCs/>
        </w:rPr>
        <w:t xml:space="preserve">Presidente </w:t>
      </w:r>
      <w:r w:rsidRPr="00267772">
        <w:t>dice que ese método podrá plantear dificultades hacia el final de la Conferencia, dado el gran volumen de documentos presentados a la Plenaria. Aunque es posible aplazar la segunda lectura en el caso concreto del Documento 223, será imposible que tal aplazamiento sea automático. En futuras Plenarias, a fin de garantizar que todos los puntos se examinan puntualmente, podrá aplazarse la segunda lectura de un documento si así se solicita. Asume que la Plenaria acuerda aplazar la segunda lectura del Documento 223 a una futura Sesión Plenaria.</w:t>
      </w:r>
    </w:p>
    <w:p w14:paraId="5F5AE433" w14:textId="77777777" w:rsidR="005664E1" w:rsidRPr="00267772" w:rsidRDefault="005664E1" w:rsidP="00823950">
      <w:r w:rsidRPr="00267772">
        <w:t>7.7</w:t>
      </w:r>
      <w:r w:rsidRPr="00267772">
        <w:tab/>
        <w:t xml:space="preserve">Así se </w:t>
      </w:r>
      <w:r w:rsidRPr="00267772">
        <w:rPr>
          <w:b/>
          <w:bCs/>
        </w:rPr>
        <w:t>acuerda</w:t>
      </w:r>
      <w:r w:rsidRPr="00267772">
        <w:t>.</w:t>
      </w:r>
    </w:p>
    <w:p w14:paraId="3CF1701D" w14:textId="61027907" w:rsidR="005664E1" w:rsidRPr="00267772" w:rsidRDefault="005664E1" w:rsidP="00823950">
      <w:pPr>
        <w:pStyle w:val="Heading1"/>
      </w:pPr>
      <w:r w:rsidRPr="00267772">
        <w:t>8</w:t>
      </w:r>
      <w:r w:rsidRPr="00267772">
        <w:tab/>
        <w:t>Propuestas para los trabajos de la Conferencia (Documento</w:t>
      </w:r>
      <w:r w:rsidR="006C4F95" w:rsidRPr="00267772">
        <w:t> </w:t>
      </w:r>
      <w:r w:rsidRPr="00267772">
        <w:t>184(Rev.1))</w:t>
      </w:r>
    </w:p>
    <w:p w14:paraId="1566DE7B" w14:textId="27266139" w:rsidR="005664E1" w:rsidRPr="00267772" w:rsidRDefault="005664E1" w:rsidP="00823950">
      <w:r w:rsidRPr="00267772">
        <w:t>8.1</w:t>
      </w:r>
      <w:r w:rsidRPr="00267772">
        <w:tab/>
        <w:t xml:space="preserve">El </w:t>
      </w:r>
      <w:r w:rsidRPr="00267772">
        <w:rPr>
          <w:b/>
          <w:bCs/>
        </w:rPr>
        <w:t>delegado de Brasil</w:t>
      </w:r>
      <w:r w:rsidRPr="00267772">
        <w:t>, en nombre de todos los países cosignatarios de la propuesta, presenta el Documento 184(Rev.1), que contiene una declaración para la promoción de la igualdad de género, la equidad y la paridad en el Sector de Radiocomunicaciones de la UIT. Las radiocomunicaciones desempeñan un papel importante en la globalización y el desarrollo efectivo de las TIC. Por desgracia, muy pocas mujeres participan en las actividades del Sector; apenas el 18</w:t>
      </w:r>
      <w:r w:rsidR="00004179" w:rsidRPr="00267772">
        <w:t> </w:t>
      </w:r>
      <w:r w:rsidRPr="00267772">
        <w:t>por ciento de los delegados en la CMR-19 son mujeres. Si bien se han hecho progresos en la promoción de la igualdad de género, incluso a través de la Red de Mujeres, lanzada en 2016, y de las políticas adoptadas por la UIT y las Naciones Unidas, es necesario seguir trabajando. En este contexto, en la declaración propuesta se solicita a la UIT que tome medidas para fomentar la participación de las mujeres en todas las actividades del UIT-R y estén representadas en los puestos directivos.</w:t>
      </w:r>
    </w:p>
    <w:p w14:paraId="2671D546" w14:textId="77777777" w:rsidR="005664E1" w:rsidRPr="00267772" w:rsidRDefault="005664E1" w:rsidP="00823950">
      <w:r w:rsidRPr="00267772">
        <w:t>8.2</w:t>
      </w:r>
      <w:r w:rsidRPr="00267772">
        <w:tab/>
        <w:t xml:space="preserve">La </w:t>
      </w:r>
      <w:r w:rsidRPr="00267772">
        <w:rPr>
          <w:b/>
          <w:bCs/>
        </w:rPr>
        <w:t xml:space="preserve">delegada de la República de Corea </w:t>
      </w:r>
      <w:r w:rsidRPr="00267772">
        <w:t xml:space="preserve">manifiesta su pleno apoyo a la declaración. Sugiere que se utilicen más acrónimos </w:t>
      </w:r>
      <w:r w:rsidRPr="00267772">
        <w:rPr>
          <w:i/>
          <w:iCs/>
        </w:rPr>
        <w:t>in extenso</w:t>
      </w:r>
      <w:r w:rsidRPr="00267772">
        <w:t xml:space="preserve"> para facilitar la lectura del documento.</w:t>
      </w:r>
    </w:p>
    <w:p w14:paraId="780FA7EE" w14:textId="066C7DA9" w:rsidR="005664E1" w:rsidRPr="00267772" w:rsidRDefault="005664E1" w:rsidP="00823950">
      <w:r w:rsidRPr="00267772">
        <w:t>8.3</w:t>
      </w:r>
      <w:r w:rsidRPr="00267772">
        <w:tab/>
        <w:t xml:space="preserve">El </w:t>
      </w:r>
      <w:r w:rsidRPr="00267772">
        <w:rPr>
          <w:b/>
          <w:bCs/>
        </w:rPr>
        <w:t xml:space="preserve">Presidente </w:t>
      </w:r>
      <w:r w:rsidRPr="00267772">
        <w:t>propone que se cree un Grupo ad hoc de la Plenaria para elaborar un texto, que posteriormente se presentará a la Plenaria para su aprobación como producto de la Conferencia.</w:t>
      </w:r>
    </w:p>
    <w:p w14:paraId="0BAA5CEF" w14:textId="77777777" w:rsidR="005664E1" w:rsidRPr="00267772" w:rsidRDefault="005664E1" w:rsidP="00823950">
      <w:r w:rsidRPr="00267772">
        <w:t>8.4</w:t>
      </w:r>
      <w:r w:rsidRPr="00267772">
        <w:tab/>
        <w:t xml:space="preserve">Así se </w:t>
      </w:r>
      <w:r w:rsidRPr="00267772">
        <w:rPr>
          <w:b/>
          <w:bCs/>
        </w:rPr>
        <w:t>acuerda</w:t>
      </w:r>
      <w:r w:rsidRPr="00267772">
        <w:t>.</w:t>
      </w:r>
    </w:p>
    <w:p w14:paraId="21BBFFE3" w14:textId="77777777" w:rsidR="005664E1" w:rsidRPr="00267772" w:rsidRDefault="005664E1" w:rsidP="00823950">
      <w:r w:rsidRPr="00267772">
        <w:t>8.5</w:t>
      </w:r>
      <w:r w:rsidRPr="00267772">
        <w:tab/>
        <w:t xml:space="preserve">El </w:t>
      </w:r>
      <w:r w:rsidRPr="00267772">
        <w:rPr>
          <w:b/>
          <w:bCs/>
        </w:rPr>
        <w:t xml:space="preserve">Presidente </w:t>
      </w:r>
      <w:r w:rsidRPr="00267772">
        <w:t>invita a las delegaciones cosignatarias del Documento 184(Rev.1) a nombrar un Presidente para el Grupo ad hoc recién creado.</w:t>
      </w:r>
    </w:p>
    <w:p w14:paraId="445470BF" w14:textId="0B1D677B" w:rsidR="005664E1" w:rsidRPr="00267772" w:rsidRDefault="005664E1" w:rsidP="00823950">
      <w:r w:rsidRPr="00267772">
        <w:t>8.6</w:t>
      </w:r>
      <w:r w:rsidRPr="00267772">
        <w:tab/>
        <w:t xml:space="preserve">El </w:t>
      </w:r>
      <w:r w:rsidRPr="00267772">
        <w:rPr>
          <w:b/>
          <w:bCs/>
        </w:rPr>
        <w:t xml:space="preserve">delegado de Canadá </w:t>
      </w:r>
      <w:r w:rsidRPr="00267772">
        <w:t>propone que la Sra. Cindy Cook (Canadá) asuma la presidencia del nuevo Grupo ad hoc de la Plenaria.</w:t>
      </w:r>
    </w:p>
    <w:p w14:paraId="76761B96" w14:textId="77777777" w:rsidR="005664E1" w:rsidRPr="00267772" w:rsidRDefault="005664E1" w:rsidP="00823950">
      <w:r w:rsidRPr="00267772">
        <w:t>8.7</w:t>
      </w:r>
      <w:r w:rsidRPr="00267772">
        <w:tab/>
        <w:t xml:space="preserve">Se </w:t>
      </w:r>
      <w:r w:rsidRPr="00267772">
        <w:rPr>
          <w:b/>
          <w:bCs/>
        </w:rPr>
        <w:t xml:space="preserve">adopta </w:t>
      </w:r>
      <w:r w:rsidRPr="00267772">
        <w:t>la propuesta por aclamación.</w:t>
      </w:r>
    </w:p>
    <w:p w14:paraId="2C0D3F48" w14:textId="77777777" w:rsidR="005664E1" w:rsidRPr="00267772" w:rsidRDefault="005664E1" w:rsidP="00823950">
      <w:pPr>
        <w:pStyle w:val="Heading1"/>
      </w:pPr>
      <w:r w:rsidRPr="00267772">
        <w:lastRenderedPageBreak/>
        <w:t>9</w:t>
      </w:r>
      <w:r w:rsidRPr="00267772">
        <w:tab/>
        <w:t>Declaración del Sr. Niklas Hedman, Oficina de Asuntos del Espacio Ultraterrestre de las Naciones Unidas (UNOOSA)</w:t>
      </w:r>
    </w:p>
    <w:p w14:paraId="13417551" w14:textId="77777777" w:rsidR="005664E1" w:rsidRPr="00267772" w:rsidRDefault="005664E1" w:rsidP="00823950">
      <w:r w:rsidRPr="00267772">
        <w:t>9.1</w:t>
      </w:r>
      <w:r w:rsidRPr="00267772">
        <w:tab/>
        <w:t xml:space="preserve">El </w:t>
      </w:r>
      <w:r w:rsidRPr="00267772">
        <w:rPr>
          <w:b/>
          <w:bCs/>
        </w:rPr>
        <w:t>Sr. Hedman, Jefe del Comité de la Sección de Asuntos Políticos y Jurídicos de UNOOSA</w:t>
      </w:r>
      <w:r w:rsidRPr="00267772">
        <w:t>, pronuncia la declaración reproducida en el Anexo A.</w:t>
      </w:r>
    </w:p>
    <w:p w14:paraId="513E54D4" w14:textId="37A41D5C" w:rsidR="005664E1" w:rsidRPr="00267772" w:rsidRDefault="005664E1" w:rsidP="00823950">
      <w:r w:rsidRPr="00267772">
        <w:t>9.2</w:t>
      </w:r>
      <w:r w:rsidRPr="00267772">
        <w:tab/>
        <w:t xml:space="preserve">El </w:t>
      </w:r>
      <w:r w:rsidRPr="00267772">
        <w:rPr>
          <w:b/>
          <w:bCs/>
        </w:rPr>
        <w:t>Director de la BR</w:t>
      </w:r>
      <w:r w:rsidRPr="00267772">
        <w:t>, haciéndose eco de las observaciones formuladas por el Sr.</w:t>
      </w:r>
      <w:r w:rsidR="005C1AFF" w:rsidRPr="00267772">
        <w:t> </w:t>
      </w:r>
      <w:r w:rsidRPr="00267772">
        <w:t>Hedman, se felicita de la excelente cooperación que llevan a cabo la Oficina y UNOOSA y que permite a ambos organismos ofrecer una ayuda efectiva a los Estados Miembros en sus esfuerzos por acceder a las tecnologías y recursos espaciales. La Oficina y UNOOSA están comprometidas con la capacitación de todos los Estados Miembros, en particular los países en desarrollo y los Estados que se han sumado en los últimos tiempos a la carrera espacial, y pretenden proseguir su fructífera cooperación en los próximos años.</w:t>
      </w:r>
    </w:p>
    <w:p w14:paraId="5F492FE4" w14:textId="77777777" w:rsidR="005664E1" w:rsidRPr="00267772" w:rsidRDefault="005664E1" w:rsidP="00823950">
      <w:pPr>
        <w:pStyle w:val="Heading1"/>
      </w:pPr>
      <w:r w:rsidRPr="00267772">
        <w:t>10</w:t>
      </w:r>
      <w:r w:rsidRPr="00267772">
        <w:tab/>
        <w:t>Recordatorio del plazo límite para la supresión de nombres de países de las notas (Documento 131)</w:t>
      </w:r>
    </w:p>
    <w:p w14:paraId="15BF26BB" w14:textId="77777777" w:rsidR="005664E1" w:rsidRPr="00267772" w:rsidRDefault="005664E1" w:rsidP="00823950">
      <w:r w:rsidRPr="00267772">
        <w:t>10.1</w:t>
      </w:r>
      <w:r w:rsidRPr="00267772">
        <w:tab/>
        <w:t xml:space="preserve">La </w:t>
      </w:r>
      <w:r w:rsidRPr="00267772">
        <w:rPr>
          <w:b/>
          <w:bCs/>
        </w:rPr>
        <w:t xml:space="preserve">Secretaria de la Plenaria </w:t>
      </w:r>
      <w:r w:rsidRPr="00267772">
        <w:t>recuerda a los participantes que el plazo límite para la supresión de nombres de países de las notas se cumple hoy mismo, es decir, el viernes 8 de noviembre a las 18.00 horas (hora de Sharm el-Sheikh).</w:t>
      </w:r>
    </w:p>
    <w:p w14:paraId="613D92CC" w14:textId="77777777" w:rsidR="005664E1" w:rsidRPr="00267772" w:rsidRDefault="005664E1" w:rsidP="00823950">
      <w:pPr>
        <w:rPr>
          <w:b/>
          <w:bCs/>
        </w:rPr>
      </w:pPr>
      <w:r w:rsidRPr="00267772">
        <w:rPr>
          <w:b/>
          <w:bCs/>
        </w:rPr>
        <w:t>Se levanta la sesión a las 17.05 horas.</w:t>
      </w:r>
    </w:p>
    <w:p w14:paraId="4B058779" w14:textId="77777777" w:rsidR="005664E1" w:rsidRPr="00267772" w:rsidRDefault="005664E1" w:rsidP="00823950">
      <w:pPr>
        <w:spacing w:before="840"/>
      </w:pPr>
      <w:r w:rsidRPr="00267772">
        <w:t>El Secretario General:</w:t>
      </w:r>
      <w:r w:rsidRPr="00267772">
        <w:tab/>
      </w:r>
      <w:r w:rsidRPr="00267772">
        <w:tab/>
      </w:r>
      <w:r w:rsidRPr="00267772">
        <w:tab/>
      </w:r>
      <w:r w:rsidRPr="00267772">
        <w:tab/>
      </w:r>
      <w:r w:rsidRPr="00267772">
        <w:tab/>
      </w:r>
      <w:r w:rsidRPr="00267772">
        <w:tab/>
      </w:r>
      <w:r w:rsidRPr="00267772">
        <w:tab/>
        <w:t>El Presidente:</w:t>
      </w:r>
    </w:p>
    <w:p w14:paraId="41D926FE" w14:textId="77777777" w:rsidR="005664E1" w:rsidRPr="00267772" w:rsidRDefault="005664E1" w:rsidP="00823950">
      <w:pPr>
        <w:spacing w:before="600"/>
      </w:pPr>
      <w:r w:rsidRPr="00267772">
        <w:t>H. ZHAO</w:t>
      </w:r>
      <w:r w:rsidRPr="00267772">
        <w:tab/>
      </w:r>
      <w:r w:rsidRPr="00267772">
        <w:tab/>
      </w:r>
      <w:r w:rsidRPr="00267772">
        <w:tab/>
      </w:r>
      <w:r w:rsidRPr="00267772">
        <w:tab/>
      </w:r>
      <w:r w:rsidRPr="00267772">
        <w:tab/>
      </w:r>
      <w:r w:rsidRPr="00267772">
        <w:tab/>
      </w:r>
      <w:r w:rsidRPr="00267772">
        <w:tab/>
      </w:r>
      <w:r w:rsidRPr="00267772">
        <w:tab/>
      </w:r>
      <w:r w:rsidRPr="00267772">
        <w:tab/>
        <w:t>A. BADAWI</w:t>
      </w:r>
    </w:p>
    <w:p w14:paraId="67945C54" w14:textId="77777777" w:rsidR="005664E1" w:rsidRPr="00267772" w:rsidRDefault="005664E1" w:rsidP="00823950">
      <w:pPr>
        <w:rPr>
          <w:szCs w:val="24"/>
        </w:rPr>
      </w:pPr>
      <w:r w:rsidRPr="00267772">
        <w:rPr>
          <w:szCs w:val="24"/>
        </w:rPr>
        <w:br w:type="page"/>
      </w:r>
    </w:p>
    <w:p w14:paraId="3D543335" w14:textId="77777777" w:rsidR="005664E1" w:rsidRPr="00267772" w:rsidRDefault="005664E1" w:rsidP="00823950">
      <w:pPr>
        <w:jc w:val="right"/>
        <w:outlineLvl w:val="0"/>
      </w:pPr>
      <w:r w:rsidRPr="00267772">
        <w:lastRenderedPageBreak/>
        <w:t>Original: inglés</w:t>
      </w:r>
    </w:p>
    <w:p w14:paraId="623D58D6" w14:textId="77777777" w:rsidR="005664E1" w:rsidRPr="00267772" w:rsidRDefault="005664E1" w:rsidP="00823950">
      <w:pPr>
        <w:pStyle w:val="AnnexNo"/>
      </w:pPr>
      <w:r w:rsidRPr="00267772">
        <w:t>ANEXO A</w:t>
      </w:r>
    </w:p>
    <w:p w14:paraId="3A3EF3E1" w14:textId="4AB8CE03" w:rsidR="005664E1" w:rsidRPr="00267772" w:rsidRDefault="005664E1" w:rsidP="00823950">
      <w:pPr>
        <w:pStyle w:val="Annextitle"/>
      </w:pPr>
      <w:r w:rsidRPr="00267772">
        <w:t>Declaración del Sr. Niklas Hedman,</w:t>
      </w:r>
      <w:r w:rsidR="00C973B4" w:rsidRPr="00267772">
        <w:br/>
      </w:r>
      <w:r w:rsidRPr="00267772">
        <w:t>Oficina de Asuntos del Espacio Ultraterrestre de las Naciones Unidas</w:t>
      </w:r>
    </w:p>
    <w:p w14:paraId="63F7B380" w14:textId="77777777" w:rsidR="005664E1" w:rsidRPr="00267772" w:rsidRDefault="005664E1" w:rsidP="00823950">
      <w:pPr>
        <w:pStyle w:val="Normalaftertitle"/>
      </w:pPr>
      <w:r w:rsidRPr="00267772">
        <w:t>Sr. Zhao, Secretario General de la UIT,</w:t>
      </w:r>
    </w:p>
    <w:p w14:paraId="30AE1ACE" w14:textId="77777777" w:rsidR="005664E1" w:rsidRPr="00267772" w:rsidRDefault="005664E1" w:rsidP="00823950">
      <w:r w:rsidRPr="00267772">
        <w:t>Sr. Maniewicz, Director de la Oficina de Radiocomunicaciones de la UIT,</w:t>
      </w:r>
    </w:p>
    <w:p w14:paraId="22471A7E" w14:textId="5647DE89" w:rsidR="005664E1" w:rsidRPr="00267772" w:rsidRDefault="005664E1" w:rsidP="00823950">
      <w:r w:rsidRPr="00267772">
        <w:t>Dr. Badawi, Presidente de la CMR-19,</w:t>
      </w:r>
    </w:p>
    <w:p w14:paraId="1CD01C75" w14:textId="606B5E1C" w:rsidR="005664E1" w:rsidRPr="00267772" w:rsidRDefault="005664E1" w:rsidP="00823950">
      <w:pPr>
        <w:tabs>
          <w:tab w:val="left" w:pos="2747"/>
        </w:tabs>
      </w:pPr>
      <w:r w:rsidRPr="00267772">
        <w:t>Distinguidos delegados</w:t>
      </w:r>
      <w:r w:rsidR="00823950" w:rsidRPr="00267772">
        <w:t>:</w:t>
      </w:r>
    </w:p>
    <w:p w14:paraId="76E06F52" w14:textId="1EC3438C" w:rsidR="005664E1" w:rsidRPr="00267772" w:rsidRDefault="005664E1" w:rsidP="009508C2">
      <w:r w:rsidRPr="00267772">
        <w:t>Es para mí un placer dirigirme a la Conferencia Mundial de Radiocomunicaciones de la UIT. Hay algunos puntos en el orden del día de la CMR-19 para los que conviene tener información sobre los últimos avances y trabajos realizados por la Comisión de las Naciones Unidas cobre la utilización del Espacio Ultraterrestre con Fines Pacíficos (COPUOS) y el papel de la Oficina de Asuntos del Espacio Ultraterrestre (UNOOSA).</w:t>
      </w:r>
    </w:p>
    <w:p w14:paraId="1B1B8D2F" w14:textId="18D1BB9E" w:rsidR="005664E1" w:rsidRPr="00267772" w:rsidRDefault="005664E1" w:rsidP="009508C2">
      <w:r w:rsidRPr="00267772">
        <w:t>En su 62ª reunión, celebrada este año, COPUOS logró un gran hito al adoptar el preámbulo y las 21</w:t>
      </w:r>
      <w:r w:rsidR="009508C2" w:rsidRPr="00267772">
        <w:t> </w:t>
      </w:r>
      <w:r w:rsidRPr="00267772">
        <w:t>directrices para la sostenibilidad a largo plazo de las actividades en el espacio ultraterrestre de la Comisión y adoptó importantes decisiones para el futuro, entre las que se cuenta la creación de un Grupo de Trabajo, cuyo mandato de cinco años comprende la implementación y el examen de las directrices.</w:t>
      </w:r>
    </w:p>
    <w:p w14:paraId="0B04093D" w14:textId="501D2985" w:rsidR="005664E1" w:rsidRPr="00267772" w:rsidRDefault="005664E1" w:rsidP="009508C2">
      <w:r w:rsidRPr="00267772">
        <w:t>Esas directrices abordan una amplia gama de actividades, entre ellas la garantía de la utilización equitativa, racional y eficiente del espectro de radiofrecuencias y de las diversas regiones orbitales que utilizan los satélites. La interferencia perjudicial de radiofrecuencias suscita inquietudes. La seguridad de las operaciones espaciales se considera fundamental en las directrices, sobre todo en lo que respecta a la mejora de la precisión de los datos orbitales, la adquisición, compartición y divulgación de información obtenida de la supervisión de los desechos espaciales, la realización de una evaluación coyuntural durante todas las fases orbitales de vuelos controlados, y las medidas para afrontar los riesgos asociados con el regreso incontrolado de objetos espaciales. También se abordan la compartición de previsiones y datos meteorológicos espaciales operativos y el desarrollo de modelos y herramientas de meteorología espacial, así como la recopilación de prácticas utilizadas para la mitigación de los efectos meteorológicos espaciales. En las directrices se contempla expresamente la supervisión de las actividades espaciales nacionales y la mejora de los procedimientos de registro de objetos espaciales.</w:t>
      </w:r>
    </w:p>
    <w:p w14:paraId="34E30F60" w14:textId="6E641900" w:rsidR="005664E1" w:rsidRPr="00267772" w:rsidRDefault="005664E1" w:rsidP="00BF695D">
      <w:r w:rsidRPr="00267772">
        <w:t>En este contexto, quiero informarles de que UNOOSA ha recibido el mandato de ocuparse, durante cuatro décadas, del mantenimiento del Registro de objetos lanzados al espacio ultraterrestre de las Naciones Unidas, de conformidad con el Convenio sobre Registro de 1975. El Registro es el mecanismo clave para la transparencia del tratado y la creación de confianza, incluso en lo que se refiere a cambios en la situación de los objetos espaciales en órbita, información sobre regresos y salida de órbita de objetos espaciales, e información similar para la mejora de la seguridad de las operaciones espaciales.</w:t>
      </w:r>
    </w:p>
    <w:p w14:paraId="05D1A1C8" w14:textId="111FFFDA" w:rsidR="005664E1" w:rsidRPr="00267772" w:rsidRDefault="005664E1" w:rsidP="00BF695D">
      <w:r w:rsidRPr="00267772">
        <w:t xml:space="preserve">Hago mención específica al régimen del Registro porque, junto con los procedimientos establecidos para el descargo de responsabilidades del Secretario General en virtud de los Tratados y principios de las Naciones Unidas sobre el espacio ultraterrestre, incluido el Tratado sobre el espacio ultraterrestre y los Principios sobre el uso de fuentes de energía nuclear en el espacio ultraterrestre, UNOOSA tiene el mandato de participar en los esfuerzos mundiales para mejorar la gobernanza </w:t>
      </w:r>
      <w:r w:rsidRPr="00267772">
        <w:lastRenderedPageBreak/>
        <w:t>internacional en el marco de la sostenibilidad a largo plazo de las actividades en el espacio ultraterrestre.</w:t>
      </w:r>
    </w:p>
    <w:p w14:paraId="56382935" w14:textId="3D59DB5E" w:rsidR="005664E1" w:rsidRPr="00267772" w:rsidRDefault="005664E1" w:rsidP="00F3797A">
      <w:r w:rsidRPr="00267772">
        <w:t xml:space="preserve">Sr. Presidente, distinguidos </w:t>
      </w:r>
      <w:r w:rsidR="006267E5" w:rsidRPr="00267772">
        <w:t>delegados</w:t>
      </w:r>
      <w:r w:rsidR="00BF695D" w:rsidRPr="00267772">
        <w:t>:</w:t>
      </w:r>
    </w:p>
    <w:p w14:paraId="4391AEE5" w14:textId="26DDB3F3" w:rsidR="005664E1" w:rsidRPr="00267772" w:rsidRDefault="005664E1" w:rsidP="00662883">
      <w:r w:rsidRPr="00267772">
        <w:t xml:space="preserve">Quiero insistir en que, para fomentar la seguridad de las operaciones espaciales, que es de capital importancia, es necesario adoptar las siguientes medidas: 1) </w:t>
      </w:r>
      <w:r w:rsidR="00662883" w:rsidRPr="00267772">
        <w:t xml:space="preserve">mejorar </w:t>
      </w:r>
      <w:r w:rsidRPr="00267772">
        <w:t>la capacitación y la concienciación; 2) intensificar el diálogo con los actores espaciales del sector privado; 3) organizar la rendición de informes sobre la implementación de las 21 directrices para la sostenibilidad a largo plazo y ulteriores evoluciones en esta esfera; y 4) intercambiar información estructurada sobre objetos y eventos espaciales. Estas medidas podrán ir acompañadas de otras destinadas a la creación de confianza y estabilidad, así como de mecanismos para la seguridad de las operaciones espaciales, incluidos los destinados a evitar las colisiones en órbita, las situaciones de emergencia, la pérdida de control de vehículos espaciales y los riesgos de regreso.</w:t>
      </w:r>
    </w:p>
    <w:p w14:paraId="46EF5C76" w14:textId="0D894554" w:rsidR="005664E1" w:rsidRPr="00267772" w:rsidRDefault="005664E1" w:rsidP="00F3797A">
      <w:r w:rsidRPr="00267772">
        <w:t xml:space="preserve">Sr. Presidente, distinguidos </w:t>
      </w:r>
      <w:r w:rsidR="00F3797A" w:rsidRPr="00267772">
        <w:t>delegados:</w:t>
      </w:r>
    </w:p>
    <w:p w14:paraId="67BAE977" w14:textId="2B4E3BA2" w:rsidR="005664E1" w:rsidRPr="00267772" w:rsidRDefault="005664E1" w:rsidP="00F3797A">
      <w:r w:rsidRPr="00267772">
        <w:t xml:space="preserve">Pronto veremos el despliegue de grandes constelaciones y megaconstelaciones y, en ese contexto, será importante que el régimen del Registro de objetos espaciales esté adaptado a los fines que pretende. En este ámbito, los satélites pequeños y muy pequeños, y sus aplicaciones, han permitido que un cada vez mayor número de entidades gubernamentales y no gubernamentales participen en las actividades espaciales y obtengan de ellas un beneficio. Reconociendo los requisitos que impone la legislación internacional a todos aquellos que lanzan y explotan satélites, UNOOSA y la Oficina de Radiocomunicaciones de la UIT han colaborado en la elaboración de un documento orientativo, disponible en sus respectivos sitios web, para ayudar a los constructores y operadores de pequeños satélites en lo que respecta al registro de objetos espaciales y la gestión de frecuencias. El documento también contiene información sobre la autorización y la concesión de licencias a misiones de satélites y medidas contra los desechos espaciales. Ha de considerarse la posibilidad de </w:t>
      </w:r>
      <w:r w:rsidR="0023500D" w:rsidRPr="00267772">
        <w:t>actualizar</w:t>
      </w:r>
      <w:r w:rsidRPr="00267772">
        <w:t xml:space="preserve"> esa información.</w:t>
      </w:r>
    </w:p>
    <w:p w14:paraId="089B68D4" w14:textId="6CF79779" w:rsidR="005664E1" w:rsidRPr="00267772" w:rsidRDefault="005664E1" w:rsidP="00F3797A">
      <w:r w:rsidRPr="00267772">
        <w:t xml:space="preserve">Sr. Presidente, distinguidos </w:t>
      </w:r>
      <w:r w:rsidR="00F3797A" w:rsidRPr="00267772">
        <w:t>delegados:</w:t>
      </w:r>
    </w:p>
    <w:p w14:paraId="4D114463" w14:textId="1ED46AA6" w:rsidR="005664E1" w:rsidRPr="00267772" w:rsidRDefault="005664E1" w:rsidP="00D62608">
      <w:r w:rsidRPr="00267772">
        <w:t>Todos los años COPUOS aborda temas como el carácter y la utilización de la órbita geoestacionaria, incluidos los medios y maneras de garantizar una utilización racional y equitativa de la órbita geoestacionaria sin perjuicio del mandato de la Unión Internacional de Telecomunicaciones, en cuyo nombre la Oficina de Radiocomunicaciones de la UIT da cuenta anualmente de la utilización de la órbita geoestacionaria y de otras órbitas. Otro ejemplo es el Comité Internacional sobre los sistemas mundiales de navegación por satélite (ICG) establecido por la COPUOS en 2006 y del que UNOOSA es Secretaria Ejecutiva, que lleva muchos años hablando de protección del espectro y detección y mitigación de la interferencia.</w:t>
      </w:r>
    </w:p>
    <w:p w14:paraId="2A796CB9" w14:textId="6A815796" w:rsidR="005664E1" w:rsidRPr="00267772" w:rsidRDefault="005664E1" w:rsidP="00371480">
      <w:r w:rsidRPr="00267772">
        <w:t xml:space="preserve">En 2018, COPUOS celebró UNISPACE+50 poniendo especial énfasis en siete temas prioritarios, a saber, la alianza mundial en la exploración y la innovación especial, el régimen jurídico del espacio ultraterrestre y la gobernanza especial global, las perspectivas actuales y futuras, la mejora del intercambio de información sobre objetos y eventos espaciales, el marco internacional de servicios meteorológicos espaciales, la intensificación de la cooperación espacial para la salud mundial, la cooperación internacional en pro de sociedades resilientes y con bajas emisiones, y la capacitación para el siglo XXI. COPUOS trabaja ahora en la definición en 2020 de la agenda </w:t>
      </w:r>
      <w:r w:rsidR="00C15D14" w:rsidRPr="00267772">
        <w:t>«</w:t>
      </w:r>
      <w:r w:rsidRPr="00267772">
        <w:t>Espacio2030</w:t>
      </w:r>
      <w:r w:rsidR="00C15D14" w:rsidRPr="00267772">
        <w:t>»</w:t>
      </w:r>
      <w:r w:rsidRPr="00267772">
        <w:t xml:space="preserve"> y de un plan de aplicación con el objetivo de maximizar los beneficios de las actividades espaciales a fin de lograr los objetivos de la Agenda 2030 para el Desarrollo Sostenible, habida cuenta de las necesidades particulares d ellos países en desarrollo.</w:t>
      </w:r>
    </w:p>
    <w:p w14:paraId="0F4CB81F" w14:textId="77777777" w:rsidR="005664E1" w:rsidRPr="00267772" w:rsidRDefault="005664E1" w:rsidP="00C15D14">
      <w:pPr>
        <w:keepNext/>
        <w:keepLines/>
      </w:pPr>
      <w:r w:rsidRPr="00267772">
        <w:lastRenderedPageBreak/>
        <w:t>Como reafirmó la Asamblea General en su Resolución 73/6 sobre UNISPACE+50: el espacio como motor del desarrollo sostenible, la COPUOS y sus Subcomisiones, con el apoyo de UNOOSA, son plataformas excepcionales para la cooperación internacional en la exploración y utilización del espacio ultraterrestre con fines pacíficos y la gobernanza mundial de las actividades en el espacio ultraterrestre.</w:t>
      </w:r>
    </w:p>
    <w:p w14:paraId="1EAA7F1A" w14:textId="77777777" w:rsidR="00B068DD" w:rsidRPr="00267772" w:rsidRDefault="00B068DD" w:rsidP="00B068DD">
      <w:r w:rsidRPr="00267772">
        <w:t>Sr. Presidente, distinguidos delegados:</w:t>
      </w:r>
    </w:p>
    <w:p w14:paraId="73C866C0" w14:textId="77777777" w:rsidR="005664E1" w:rsidRPr="00267772" w:rsidRDefault="005664E1" w:rsidP="00AB04C5">
      <w:r w:rsidRPr="00267772">
        <w:t>Este año reviste una importancia histórica, pues se conmemora el 50º aniversario de la misión Apollo 11 y la llegada de los primeros humanos a la superficie de la luna. Este hito marcó una nueva fase en la exploración espacial y ha inspirado a la Humanidad en ámbitos que van más allá de las actividades espaciales. Al tiempo que celebramos ese acontecimiento, la comunidad internacional sigue adelante con misiones actuales y futuras inspiradoras en la órbita terrestre baja, a la luna, a Marte y más allá. La exploración y la innovación espaciales están ganando importancia para un grupo cada vez mayor de actores espaciales.</w:t>
      </w:r>
    </w:p>
    <w:p w14:paraId="6A1AC8C9" w14:textId="25DB3519" w:rsidR="005664E1" w:rsidRPr="00267772" w:rsidRDefault="005664E1" w:rsidP="00AB04C5">
      <w:r w:rsidRPr="00267772">
        <w:t xml:space="preserve">En cuanto a la innovación, déjenme hablarles brevemente del enfoque adoptado por la Oficina en cuanto a la capacitación: global, moderno y estratégico. Con el objetivo de que las actividades espaciales sean lo más inclusivas posible y de garantizar que todo el mundo en todas partes pueda obtener beneficios del espacio, la Iniciativa Acceso al espacio para todos de la Oficina ejemplifica la innovadora cooperación triangular que llevan a cabo los actores espaciales, las Naciones Unidas y entidades de países que aún no han viajado al espacio. Como ejemplos puedo citar las alianzas de colaboración con la Agencia Japonesa de Exploración Aeroespacial (JAXA) en el programa </w:t>
      </w:r>
      <w:r w:rsidR="00A17096" w:rsidRPr="00267772">
        <w:t>«</w:t>
      </w:r>
      <w:r w:rsidRPr="00267772">
        <w:t>KiboCUBE</w:t>
      </w:r>
      <w:r w:rsidR="00A17096" w:rsidRPr="00267772">
        <w:t>»</w:t>
      </w:r>
      <w:r w:rsidRPr="00267772">
        <w:t>; con la Agencia para Vuelos Espaciales Tripulados de China (CMSA) en experimentos de vuelo a bordo de la estación espacial de China; y la asociación con entidades del sector privado, entre otros, Sierra Nevada Corporation y Airbus Defence and Space.</w:t>
      </w:r>
    </w:p>
    <w:p w14:paraId="40B7E1C2" w14:textId="77777777" w:rsidR="00A17096" w:rsidRPr="00267772" w:rsidRDefault="00A17096" w:rsidP="00A17096">
      <w:r w:rsidRPr="00267772">
        <w:t>Sr. Presidente, distinguidos delegados:</w:t>
      </w:r>
    </w:p>
    <w:p w14:paraId="2B76397C" w14:textId="206F2FC3" w:rsidR="005664E1" w:rsidRPr="00267772" w:rsidRDefault="005664E1" w:rsidP="00A17096">
      <w:r w:rsidRPr="00267772">
        <w:t>Para terminar quiero expresar la gratitud de mi Oficina por la cooperación que desde hace años llevamos a cabo con la Oficina de Radiocomunicaciones de la UIT a nivel de coordinación interagencias y por los esfuerzos conjuntos en la prestación de asistencia a los Estados Miembros.</w:t>
      </w:r>
    </w:p>
    <w:p w14:paraId="443F2F6E" w14:textId="466AFB28" w:rsidR="00735A41" w:rsidRPr="00267772" w:rsidRDefault="00735A41" w:rsidP="00411C49">
      <w:pPr>
        <w:pStyle w:val="Reasons"/>
      </w:pPr>
      <w:bookmarkStart w:id="8" w:name="_GoBack"/>
      <w:bookmarkEnd w:id="8"/>
    </w:p>
    <w:p w14:paraId="470B656E" w14:textId="77777777" w:rsidR="00735A41" w:rsidRPr="00267772" w:rsidRDefault="00735A41">
      <w:pPr>
        <w:jc w:val="center"/>
      </w:pPr>
      <w:r w:rsidRPr="00267772">
        <w:t>______________</w:t>
      </w:r>
    </w:p>
    <w:sectPr w:rsidR="00735A41" w:rsidRPr="00267772">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F52AF" w14:textId="77777777" w:rsidR="005664E1" w:rsidRDefault="005664E1">
      <w:r>
        <w:separator/>
      </w:r>
    </w:p>
  </w:endnote>
  <w:endnote w:type="continuationSeparator" w:id="0">
    <w:p w14:paraId="45E8D6C9" w14:textId="77777777" w:rsidR="005664E1" w:rsidRDefault="0056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2903"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54E54" w14:textId="0C5AC05F" w:rsidR="0077084A" w:rsidRPr="005849F6" w:rsidRDefault="0077084A">
    <w:pPr>
      <w:ind w:right="360"/>
    </w:pPr>
    <w:r>
      <w:fldChar w:fldCharType="begin"/>
    </w:r>
    <w:r w:rsidRPr="005849F6">
      <w:instrText xml:space="preserve"> FILENAME \p  \* MERGEFORMAT </w:instrText>
    </w:r>
    <w:r>
      <w:fldChar w:fldCharType="separate"/>
    </w:r>
    <w:r w:rsidR="005849F6" w:rsidRPr="005849F6">
      <w:rPr>
        <w:noProof/>
      </w:rPr>
      <w:t>P:\ESP\ITU-R\CONF-R\CMR19\200\275S.docx</w:t>
    </w:r>
    <w:r>
      <w:fldChar w:fldCharType="end"/>
    </w:r>
    <w:r w:rsidRPr="005849F6">
      <w:tab/>
    </w:r>
    <w:r>
      <w:fldChar w:fldCharType="begin"/>
    </w:r>
    <w:r>
      <w:instrText xml:space="preserve"> SAVEDATE \@ DD.MM.YY </w:instrText>
    </w:r>
    <w:r>
      <w:fldChar w:fldCharType="separate"/>
    </w:r>
    <w:r w:rsidR="00510AF0">
      <w:rPr>
        <w:noProof/>
      </w:rPr>
      <w:t>17.11.19</w:t>
    </w:r>
    <w:r>
      <w:fldChar w:fldCharType="end"/>
    </w:r>
    <w:r w:rsidRPr="005849F6">
      <w:tab/>
    </w:r>
    <w:r>
      <w:fldChar w:fldCharType="begin"/>
    </w:r>
    <w:r>
      <w:instrText xml:space="preserve"> PRINTDATE \@ DD.MM.YY </w:instrText>
    </w:r>
    <w:r>
      <w:fldChar w:fldCharType="separate"/>
    </w:r>
    <w:r w:rsidR="005849F6">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9A69" w14:textId="1A95543E" w:rsidR="000A0B6C" w:rsidRDefault="000A0B6C" w:rsidP="000A0B6C">
    <w:pPr>
      <w:pStyle w:val="Footer"/>
      <w:rPr>
        <w:lang w:val="en-US"/>
      </w:rPr>
    </w:pPr>
    <w:r>
      <w:fldChar w:fldCharType="begin"/>
    </w:r>
    <w:r>
      <w:rPr>
        <w:lang w:val="en-US"/>
      </w:rPr>
      <w:instrText xml:space="preserve"> FILENAME \p  \* MERGEFORMAT </w:instrText>
    </w:r>
    <w:r>
      <w:fldChar w:fldCharType="separate"/>
    </w:r>
    <w:r w:rsidR="00267772">
      <w:rPr>
        <w:lang w:val="en-US"/>
      </w:rPr>
      <w:t>P:\ESP\ITU-R\CONF-R\CMR19\200\275S.docx</w:t>
    </w:r>
    <w:r>
      <w:fldChar w:fldCharType="end"/>
    </w:r>
    <w:r>
      <w:t xml:space="preserve"> (46415</w:t>
    </w:r>
    <w:r w:rsidR="005849F6">
      <w:t>9</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ACDB" w14:textId="3BF4527A" w:rsidR="0077084A" w:rsidRDefault="0077084A" w:rsidP="000E45E1">
    <w:pPr>
      <w:pStyle w:val="Footer"/>
      <w:rPr>
        <w:lang w:val="en-US"/>
      </w:rPr>
    </w:pPr>
    <w:r>
      <w:fldChar w:fldCharType="begin"/>
    </w:r>
    <w:r>
      <w:rPr>
        <w:lang w:val="en-US"/>
      </w:rPr>
      <w:instrText xml:space="preserve"> FILENAME \p  \* MERGEFORMAT </w:instrText>
    </w:r>
    <w:r>
      <w:fldChar w:fldCharType="separate"/>
    </w:r>
    <w:r w:rsidR="00267772">
      <w:rPr>
        <w:lang w:val="en-US"/>
      </w:rPr>
      <w:t>P:\ESP\ITU-R\CONF-R\CMR19\200\275S.docx</w:t>
    </w:r>
    <w:r>
      <w:fldChar w:fldCharType="end"/>
    </w:r>
    <w:r w:rsidR="000A0B6C">
      <w:t xml:space="preserve"> (46415</w:t>
    </w:r>
    <w:r w:rsidR="005849F6">
      <w:t>9</w:t>
    </w:r>
    <w:r w:rsidR="000A0B6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4CEC1" w14:textId="77777777" w:rsidR="005664E1" w:rsidRDefault="005664E1">
      <w:r>
        <w:rPr>
          <w:b/>
        </w:rPr>
        <w:t>_______________</w:t>
      </w:r>
    </w:p>
  </w:footnote>
  <w:footnote w:type="continuationSeparator" w:id="0">
    <w:p w14:paraId="39DF8FFB" w14:textId="77777777" w:rsidR="005664E1" w:rsidRDefault="0056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5686"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5F7B252D" w14:textId="485E63C2" w:rsidR="0077084A" w:rsidRDefault="00C918CF" w:rsidP="00A4450C">
    <w:pPr>
      <w:pStyle w:val="Header"/>
      <w:rPr>
        <w:lang w:val="en-US"/>
      </w:rPr>
    </w:pPr>
    <w:r>
      <w:rPr>
        <w:lang w:val="en-US"/>
      </w:rPr>
      <w:t>CMR19/</w:t>
    </w:r>
    <w:r w:rsidR="005849F6">
      <w:rPr>
        <w:lang w:val="en-US"/>
      </w:rPr>
      <w:t>275</w:t>
    </w:r>
    <w:r>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E1"/>
    <w:rsid w:val="000018D1"/>
    <w:rsid w:val="00004179"/>
    <w:rsid w:val="000616C6"/>
    <w:rsid w:val="00087AE8"/>
    <w:rsid w:val="000A0B6C"/>
    <w:rsid w:val="000A64CF"/>
    <w:rsid w:val="000B5FFC"/>
    <w:rsid w:val="000D1059"/>
    <w:rsid w:val="000E45E1"/>
    <w:rsid w:val="000E5BF9"/>
    <w:rsid w:val="000F0E6D"/>
    <w:rsid w:val="00121170"/>
    <w:rsid w:val="00123CC5"/>
    <w:rsid w:val="0015079F"/>
    <w:rsid w:val="0015142D"/>
    <w:rsid w:val="001616DC"/>
    <w:rsid w:val="00163962"/>
    <w:rsid w:val="00191A97"/>
    <w:rsid w:val="001C41FA"/>
    <w:rsid w:val="001E2B52"/>
    <w:rsid w:val="001E3F27"/>
    <w:rsid w:val="0023500D"/>
    <w:rsid w:val="00236D2A"/>
    <w:rsid w:val="0025515F"/>
    <w:rsid w:val="00255F12"/>
    <w:rsid w:val="00262C09"/>
    <w:rsid w:val="00267772"/>
    <w:rsid w:val="00280126"/>
    <w:rsid w:val="002A791F"/>
    <w:rsid w:val="002C1B26"/>
    <w:rsid w:val="002D73D7"/>
    <w:rsid w:val="002E155C"/>
    <w:rsid w:val="002E701F"/>
    <w:rsid w:val="003143E2"/>
    <w:rsid w:val="0032680B"/>
    <w:rsid w:val="00363A65"/>
    <w:rsid w:val="00371480"/>
    <w:rsid w:val="00377704"/>
    <w:rsid w:val="003C2508"/>
    <w:rsid w:val="003D0AA3"/>
    <w:rsid w:val="0044541C"/>
    <w:rsid w:val="00453C4C"/>
    <w:rsid w:val="00454553"/>
    <w:rsid w:val="0047121B"/>
    <w:rsid w:val="004B0B67"/>
    <w:rsid w:val="004B124A"/>
    <w:rsid w:val="004C1D39"/>
    <w:rsid w:val="00510AF0"/>
    <w:rsid w:val="00532097"/>
    <w:rsid w:val="00543244"/>
    <w:rsid w:val="005664E1"/>
    <w:rsid w:val="0058350F"/>
    <w:rsid w:val="005849F6"/>
    <w:rsid w:val="005C1AFF"/>
    <w:rsid w:val="005F2605"/>
    <w:rsid w:val="006267E5"/>
    <w:rsid w:val="00662883"/>
    <w:rsid w:val="00662BA0"/>
    <w:rsid w:val="0068680E"/>
    <w:rsid w:val="00692AAE"/>
    <w:rsid w:val="006A3383"/>
    <w:rsid w:val="006C4666"/>
    <w:rsid w:val="006C4F95"/>
    <w:rsid w:val="006D6E67"/>
    <w:rsid w:val="00701C20"/>
    <w:rsid w:val="007354E9"/>
    <w:rsid w:val="00735A41"/>
    <w:rsid w:val="007542C0"/>
    <w:rsid w:val="00765578"/>
    <w:rsid w:val="0077084A"/>
    <w:rsid w:val="007A5419"/>
    <w:rsid w:val="007C2317"/>
    <w:rsid w:val="007D330A"/>
    <w:rsid w:val="007E2A6F"/>
    <w:rsid w:val="00823950"/>
    <w:rsid w:val="00866AE6"/>
    <w:rsid w:val="008E5020"/>
    <w:rsid w:val="008F2D86"/>
    <w:rsid w:val="00907860"/>
    <w:rsid w:val="0094091F"/>
    <w:rsid w:val="009508C2"/>
    <w:rsid w:val="009538D2"/>
    <w:rsid w:val="00973754"/>
    <w:rsid w:val="009A599E"/>
    <w:rsid w:val="009B1D75"/>
    <w:rsid w:val="009C0BED"/>
    <w:rsid w:val="009E11EC"/>
    <w:rsid w:val="009F6FD5"/>
    <w:rsid w:val="00A0242A"/>
    <w:rsid w:val="00A118DB"/>
    <w:rsid w:val="00A17096"/>
    <w:rsid w:val="00A4450C"/>
    <w:rsid w:val="00AA5E6C"/>
    <w:rsid w:val="00AB04C5"/>
    <w:rsid w:val="00AE5677"/>
    <w:rsid w:val="00AF2F78"/>
    <w:rsid w:val="00B068DD"/>
    <w:rsid w:val="00B41FA1"/>
    <w:rsid w:val="00B52D55"/>
    <w:rsid w:val="00B95DD9"/>
    <w:rsid w:val="00BA4F57"/>
    <w:rsid w:val="00BE2E80"/>
    <w:rsid w:val="00BE5EDD"/>
    <w:rsid w:val="00BE6A1F"/>
    <w:rsid w:val="00BF695D"/>
    <w:rsid w:val="00C104EC"/>
    <w:rsid w:val="00C126C4"/>
    <w:rsid w:val="00C15D14"/>
    <w:rsid w:val="00C63EB5"/>
    <w:rsid w:val="00C8286D"/>
    <w:rsid w:val="00C918CF"/>
    <w:rsid w:val="00C973B4"/>
    <w:rsid w:val="00CB1552"/>
    <w:rsid w:val="00CC01E0"/>
    <w:rsid w:val="00CE60D2"/>
    <w:rsid w:val="00D0288A"/>
    <w:rsid w:val="00D04D3F"/>
    <w:rsid w:val="00D405F7"/>
    <w:rsid w:val="00D62608"/>
    <w:rsid w:val="00D72A5D"/>
    <w:rsid w:val="00D81E8B"/>
    <w:rsid w:val="00DC629B"/>
    <w:rsid w:val="00E00F2F"/>
    <w:rsid w:val="00E262F1"/>
    <w:rsid w:val="00E71D14"/>
    <w:rsid w:val="00F241D6"/>
    <w:rsid w:val="00F3797A"/>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76307C"/>
  <w15:docId w15:val="{DD7D99B1-BD00-46E2-A9B1-0276DAE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CBF3A-1A97-4788-92AB-E6E86FBA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PS_WRC19.dotx</Template>
  <TotalTime>14</TotalTime>
  <Pages>8</Pages>
  <Words>3251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20431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- 2019</dc:subject>
  <dc:creator>Spanish</dc:creator>
  <cp:keywords/>
  <cp:lastModifiedBy>Spanish</cp:lastModifiedBy>
  <cp:revision>5</cp:revision>
  <cp:lastPrinted>2003-02-19T20:20:00Z</cp:lastPrinted>
  <dcterms:created xsi:type="dcterms:W3CDTF">2019-11-17T16:24:00Z</dcterms:created>
  <dcterms:modified xsi:type="dcterms:W3CDTF">2019-11-17T16:55:00Z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