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3395E" w14:paraId="4328E81F" w14:textId="77777777" w:rsidTr="00690E1D">
        <w:trPr>
          <w:cantSplit/>
        </w:trPr>
        <w:tc>
          <w:tcPr>
            <w:tcW w:w="6911" w:type="dxa"/>
          </w:tcPr>
          <w:p w14:paraId="7381617E" w14:textId="77777777" w:rsidR="00BB1D82" w:rsidRPr="0043395E" w:rsidRDefault="00851625" w:rsidP="007F543B">
            <w:pPr>
              <w:spacing w:before="400" w:after="48"/>
              <w:rPr>
                <w:rFonts w:ascii="Verdana" w:hAnsi="Verdana"/>
                <w:b/>
                <w:bCs/>
                <w:sz w:val="20"/>
              </w:rPr>
            </w:pPr>
            <w:bookmarkStart w:id="0" w:name="_GoBack"/>
            <w:bookmarkEnd w:id="0"/>
            <w:r w:rsidRPr="0043395E">
              <w:rPr>
                <w:rFonts w:ascii="Verdana" w:hAnsi="Verdana"/>
                <w:b/>
                <w:bCs/>
                <w:sz w:val="20"/>
              </w:rPr>
              <w:t>Conférence mondiale des radiocommunications (CMR-1</w:t>
            </w:r>
            <w:r w:rsidR="00FD7AA3" w:rsidRPr="0043395E">
              <w:rPr>
                <w:rFonts w:ascii="Verdana" w:hAnsi="Verdana"/>
                <w:b/>
                <w:bCs/>
                <w:sz w:val="20"/>
              </w:rPr>
              <w:t>9</w:t>
            </w:r>
            <w:r w:rsidRPr="0043395E">
              <w:rPr>
                <w:rFonts w:ascii="Verdana" w:hAnsi="Verdana"/>
                <w:b/>
                <w:bCs/>
                <w:sz w:val="20"/>
              </w:rPr>
              <w:t>)</w:t>
            </w:r>
            <w:r w:rsidRPr="0043395E">
              <w:rPr>
                <w:rFonts w:ascii="Verdana" w:hAnsi="Verdana"/>
                <w:b/>
                <w:bCs/>
                <w:sz w:val="20"/>
              </w:rPr>
              <w:br/>
            </w:r>
            <w:r w:rsidR="00063A1F" w:rsidRPr="0043395E">
              <w:rPr>
                <w:rFonts w:ascii="Verdana" w:hAnsi="Verdana"/>
                <w:b/>
                <w:bCs/>
                <w:sz w:val="18"/>
                <w:szCs w:val="18"/>
              </w:rPr>
              <w:t xml:space="preserve">Charm el-Cheikh, </w:t>
            </w:r>
            <w:r w:rsidR="00081366" w:rsidRPr="0043395E">
              <w:rPr>
                <w:rFonts w:ascii="Verdana" w:hAnsi="Verdana"/>
                <w:b/>
                <w:bCs/>
                <w:sz w:val="18"/>
                <w:szCs w:val="18"/>
              </w:rPr>
              <w:t>É</w:t>
            </w:r>
            <w:r w:rsidR="00063A1F" w:rsidRPr="0043395E">
              <w:rPr>
                <w:rFonts w:ascii="Verdana" w:hAnsi="Verdana"/>
                <w:b/>
                <w:bCs/>
                <w:sz w:val="18"/>
                <w:szCs w:val="18"/>
              </w:rPr>
              <w:t>gypte</w:t>
            </w:r>
            <w:r w:rsidRPr="0043395E">
              <w:rPr>
                <w:rFonts w:ascii="Verdana" w:hAnsi="Verdana"/>
                <w:b/>
                <w:bCs/>
                <w:sz w:val="18"/>
                <w:szCs w:val="18"/>
              </w:rPr>
              <w:t>,</w:t>
            </w:r>
            <w:r w:rsidR="00E537FF" w:rsidRPr="0043395E">
              <w:rPr>
                <w:rFonts w:ascii="Verdana" w:hAnsi="Verdana"/>
                <w:b/>
                <w:bCs/>
                <w:sz w:val="18"/>
                <w:szCs w:val="18"/>
              </w:rPr>
              <w:t xml:space="preserve"> </w:t>
            </w:r>
            <w:r w:rsidRPr="0043395E">
              <w:rPr>
                <w:rFonts w:ascii="Verdana" w:hAnsi="Verdana"/>
                <w:b/>
                <w:bCs/>
                <w:sz w:val="18"/>
                <w:szCs w:val="18"/>
              </w:rPr>
              <w:t>2</w:t>
            </w:r>
            <w:r w:rsidR="00FD7AA3" w:rsidRPr="0043395E">
              <w:rPr>
                <w:rFonts w:ascii="Verdana" w:hAnsi="Verdana"/>
                <w:b/>
                <w:bCs/>
                <w:sz w:val="18"/>
                <w:szCs w:val="18"/>
              </w:rPr>
              <w:t xml:space="preserve">8 octobre </w:t>
            </w:r>
            <w:r w:rsidR="00F10064" w:rsidRPr="0043395E">
              <w:rPr>
                <w:rFonts w:ascii="Verdana" w:hAnsi="Verdana"/>
                <w:b/>
                <w:bCs/>
                <w:sz w:val="18"/>
                <w:szCs w:val="18"/>
              </w:rPr>
              <w:t>–</w:t>
            </w:r>
            <w:r w:rsidR="00FD7AA3" w:rsidRPr="0043395E">
              <w:rPr>
                <w:rFonts w:ascii="Verdana" w:hAnsi="Verdana"/>
                <w:b/>
                <w:bCs/>
                <w:sz w:val="18"/>
                <w:szCs w:val="18"/>
              </w:rPr>
              <w:t xml:space="preserve"> </w:t>
            </w:r>
            <w:r w:rsidRPr="0043395E">
              <w:rPr>
                <w:rFonts w:ascii="Verdana" w:hAnsi="Verdana"/>
                <w:b/>
                <w:bCs/>
                <w:sz w:val="18"/>
                <w:szCs w:val="18"/>
              </w:rPr>
              <w:t>2</w:t>
            </w:r>
            <w:r w:rsidR="00FD7AA3" w:rsidRPr="0043395E">
              <w:rPr>
                <w:rFonts w:ascii="Verdana" w:hAnsi="Verdana"/>
                <w:b/>
                <w:bCs/>
                <w:sz w:val="18"/>
                <w:szCs w:val="18"/>
              </w:rPr>
              <w:t>2</w:t>
            </w:r>
            <w:r w:rsidRPr="0043395E">
              <w:rPr>
                <w:rFonts w:ascii="Verdana" w:hAnsi="Verdana"/>
                <w:b/>
                <w:bCs/>
                <w:sz w:val="18"/>
                <w:szCs w:val="18"/>
              </w:rPr>
              <w:t xml:space="preserve"> novembre 201</w:t>
            </w:r>
            <w:r w:rsidR="00FD7AA3" w:rsidRPr="0043395E">
              <w:rPr>
                <w:rFonts w:ascii="Verdana" w:hAnsi="Verdana"/>
                <w:b/>
                <w:bCs/>
                <w:sz w:val="18"/>
                <w:szCs w:val="18"/>
              </w:rPr>
              <w:t>9</w:t>
            </w:r>
          </w:p>
        </w:tc>
        <w:tc>
          <w:tcPr>
            <w:tcW w:w="3120" w:type="dxa"/>
          </w:tcPr>
          <w:p w14:paraId="45861037" w14:textId="77777777" w:rsidR="00BB1D82" w:rsidRPr="0043395E" w:rsidRDefault="000A55AE" w:rsidP="007F543B">
            <w:pPr>
              <w:spacing w:before="0"/>
              <w:jc w:val="right"/>
            </w:pPr>
            <w:bookmarkStart w:id="1" w:name="ditulogo"/>
            <w:bookmarkEnd w:id="1"/>
            <w:r w:rsidRPr="0043395E">
              <w:rPr>
                <w:rFonts w:ascii="Verdana" w:hAnsi="Verdana"/>
                <w:b/>
                <w:bCs/>
                <w:noProof/>
                <w:lang w:eastAsia="fr-FR"/>
              </w:rPr>
              <w:drawing>
                <wp:inline distT="0" distB="0" distL="0" distR="0" wp14:anchorId="3749DBC6" wp14:editId="2780FD0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3395E" w14:paraId="125D1384" w14:textId="77777777" w:rsidTr="00690E1D">
        <w:trPr>
          <w:cantSplit/>
        </w:trPr>
        <w:tc>
          <w:tcPr>
            <w:tcW w:w="6911" w:type="dxa"/>
            <w:tcBorders>
              <w:bottom w:val="single" w:sz="12" w:space="0" w:color="auto"/>
            </w:tcBorders>
          </w:tcPr>
          <w:p w14:paraId="135DB472" w14:textId="77777777" w:rsidR="00BB1D82" w:rsidRPr="0043395E" w:rsidRDefault="00BB1D82" w:rsidP="007F543B">
            <w:pPr>
              <w:spacing w:before="0" w:after="48"/>
              <w:rPr>
                <w:b/>
                <w:smallCaps/>
                <w:szCs w:val="24"/>
              </w:rPr>
            </w:pPr>
            <w:bookmarkStart w:id="2" w:name="dhead"/>
          </w:p>
        </w:tc>
        <w:tc>
          <w:tcPr>
            <w:tcW w:w="3120" w:type="dxa"/>
            <w:tcBorders>
              <w:bottom w:val="single" w:sz="12" w:space="0" w:color="auto"/>
            </w:tcBorders>
          </w:tcPr>
          <w:p w14:paraId="0CE04253" w14:textId="77777777" w:rsidR="00BB1D82" w:rsidRPr="0043395E" w:rsidRDefault="00BB1D82" w:rsidP="007F543B">
            <w:pPr>
              <w:spacing w:before="0"/>
              <w:rPr>
                <w:rFonts w:ascii="Verdana" w:hAnsi="Verdana"/>
                <w:szCs w:val="24"/>
              </w:rPr>
            </w:pPr>
          </w:p>
        </w:tc>
      </w:tr>
      <w:tr w:rsidR="00BB1D82" w:rsidRPr="0043395E" w14:paraId="2B994C5F" w14:textId="77777777" w:rsidTr="00BB1D82">
        <w:trPr>
          <w:cantSplit/>
        </w:trPr>
        <w:tc>
          <w:tcPr>
            <w:tcW w:w="6911" w:type="dxa"/>
            <w:tcBorders>
              <w:top w:val="single" w:sz="12" w:space="0" w:color="auto"/>
            </w:tcBorders>
          </w:tcPr>
          <w:p w14:paraId="17C26C9F" w14:textId="77777777" w:rsidR="00BB1D82" w:rsidRPr="0043395E" w:rsidRDefault="00BB1D82" w:rsidP="007F543B">
            <w:pPr>
              <w:spacing w:before="0" w:after="48"/>
              <w:rPr>
                <w:rFonts w:ascii="Verdana" w:hAnsi="Verdana"/>
                <w:b/>
                <w:smallCaps/>
                <w:sz w:val="20"/>
              </w:rPr>
            </w:pPr>
          </w:p>
        </w:tc>
        <w:tc>
          <w:tcPr>
            <w:tcW w:w="3120" w:type="dxa"/>
            <w:tcBorders>
              <w:top w:val="single" w:sz="12" w:space="0" w:color="auto"/>
            </w:tcBorders>
          </w:tcPr>
          <w:p w14:paraId="18CDD60C" w14:textId="77777777" w:rsidR="00BB1D82" w:rsidRPr="0043395E" w:rsidRDefault="00BB1D82" w:rsidP="007F543B">
            <w:pPr>
              <w:spacing w:before="0"/>
              <w:rPr>
                <w:rFonts w:ascii="Verdana" w:hAnsi="Verdana"/>
                <w:sz w:val="20"/>
              </w:rPr>
            </w:pPr>
          </w:p>
        </w:tc>
      </w:tr>
      <w:bookmarkEnd w:id="2"/>
      <w:tr w:rsidR="000734B8" w:rsidRPr="0043395E" w14:paraId="67B1681D" w14:textId="77777777" w:rsidTr="00BB1D82">
        <w:trPr>
          <w:cantSplit/>
        </w:trPr>
        <w:tc>
          <w:tcPr>
            <w:tcW w:w="6911" w:type="dxa"/>
          </w:tcPr>
          <w:p w14:paraId="3313B353" w14:textId="0316DB7A" w:rsidR="000734B8" w:rsidRPr="0043395E" w:rsidRDefault="000734B8" w:rsidP="007F543B">
            <w:pPr>
              <w:spacing w:before="0"/>
              <w:rPr>
                <w:rFonts w:ascii="Verdana" w:hAnsi="Verdana"/>
                <w:b/>
                <w:bCs/>
                <w:sz w:val="20"/>
              </w:rPr>
            </w:pPr>
            <w:r w:rsidRPr="0043395E">
              <w:rPr>
                <w:rFonts w:ascii="Verdana" w:hAnsi="Verdana"/>
                <w:b/>
                <w:bCs/>
                <w:sz w:val="20"/>
              </w:rPr>
              <w:t>S</w:t>
            </w:r>
            <w:r w:rsidR="00A20DDE" w:rsidRPr="0043395E">
              <w:rPr>
                <w:rFonts w:ascii="Verdana" w:hAnsi="Verdana"/>
                <w:b/>
                <w:bCs/>
                <w:sz w:val="20"/>
              </w:rPr>
              <w:t>É</w:t>
            </w:r>
            <w:r w:rsidRPr="0043395E">
              <w:rPr>
                <w:rFonts w:ascii="Verdana" w:hAnsi="Verdana"/>
                <w:b/>
                <w:bCs/>
                <w:sz w:val="20"/>
              </w:rPr>
              <w:t>ANCE PL</w:t>
            </w:r>
            <w:r w:rsidR="00A20DDE" w:rsidRPr="0043395E">
              <w:rPr>
                <w:rFonts w:ascii="Verdana" w:hAnsi="Verdana"/>
                <w:b/>
                <w:bCs/>
                <w:sz w:val="20"/>
              </w:rPr>
              <w:t>É</w:t>
            </w:r>
            <w:r w:rsidRPr="0043395E">
              <w:rPr>
                <w:rFonts w:ascii="Verdana" w:hAnsi="Verdana"/>
                <w:b/>
                <w:bCs/>
                <w:sz w:val="20"/>
              </w:rPr>
              <w:t>NI</w:t>
            </w:r>
            <w:r w:rsidR="00A20DDE" w:rsidRPr="0043395E">
              <w:rPr>
                <w:rFonts w:ascii="Verdana" w:hAnsi="Verdana"/>
                <w:b/>
                <w:bCs/>
                <w:sz w:val="20"/>
              </w:rPr>
              <w:t>È</w:t>
            </w:r>
            <w:r w:rsidRPr="0043395E">
              <w:rPr>
                <w:rFonts w:ascii="Verdana" w:hAnsi="Verdana"/>
                <w:b/>
                <w:bCs/>
                <w:sz w:val="20"/>
              </w:rPr>
              <w:t>RE</w:t>
            </w:r>
          </w:p>
        </w:tc>
        <w:tc>
          <w:tcPr>
            <w:tcW w:w="3120" w:type="dxa"/>
          </w:tcPr>
          <w:p w14:paraId="15D356B0" w14:textId="4F5D3EC7" w:rsidR="000734B8" w:rsidRPr="0043395E" w:rsidRDefault="000734B8" w:rsidP="007F543B">
            <w:pPr>
              <w:spacing w:before="0"/>
              <w:rPr>
                <w:rFonts w:ascii="Verdana" w:hAnsi="Verdana"/>
                <w:sz w:val="20"/>
              </w:rPr>
            </w:pPr>
            <w:r w:rsidRPr="0043395E">
              <w:rPr>
                <w:rFonts w:ascii="Verdana" w:hAnsi="Verdana"/>
                <w:b/>
                <w:sz w:val="20"/>
              </w:rPr>
              <w:t>Document 275-F</w:t>
            </w:r>
          </w:p>
        </w:tc>
      </w:tr>
      <w:tr w:rsidR="000734B8" w:rsidRPr="0043395E" w14:paraId="5DEF901B" w14:textId="77777777" w:rsidTr="00BB1D82">
        <w:trPr>
          <w:cantSplit/>
        </w:trPr>
        <w:tc>
          <w:tcPr>
            <w:tcW w:w="6911" w:type="dxa"/>
          </w:tcPr>
          <w:p w14:paraId="1BF419FF" w14:textId="77777777" w:rsidR="000734B8" w:rsidRPr="0043395E" w:rsidRDefault="000734B8" w:rsidP="007F543B">
            <w:pPr>
              <w:spacing w:before="0"/>
              <w:rPr>
                <w:rFonts w:ascii="Verdana" w:hAnsi="Verdana"/>
                <w:b/>
                <w:sz w:val="20"/>
              </w:rPr>
            </w:pPr>
          </w:p>
        </w:tc>
        <w:tc>
          <w:tcPr>
            <w:tcW w:w="3120" w:type="dxa"/>
          </w:tcPr>
          <w:p w14:paraId="7E960FF8" w14:textId="39ED766B" w:rsidR="000734B8" w:rsidRPr="0043395E" w:rsidRDefault="000734B8" w:rsidP="007F543B">
            <w:pPr>
              <w:spacing w:before="0"/>
              <w:rPr>
                <w:rFonts w:ascii="Verdana" w:hAnsi="Verdana"/>
                <w:b/>
                <w:sz w:val="20"/>
              </w:rPr>
            </w:pPr>
            <w:r w:rsidRPr="0043395E">
              <w:rPr>
                <w:rFonts w:ascii="Verdana" w:hAnsi="Verdana"/>
                <w:b/>
                <w:sz w:val="20"/>
              </w:rPr>
              <w:t>1</w:t>
            </w:r>
            <w:r w:rsidR="00E6180B">
              <w:rPr>
                <w:rFonts w:ascii="Verdana" w:hAnsi="Verdana"/>
                <w:b/>
                <w:sz w:val="20"/>
              </w:rPr>
              <w:t>7</w:t>
            </w:r>
            <w:r w:rsidRPr="0043395E">
              <w:rPr>
                <w:rFonts w:ascii="Verdana" w:hAnsi="Verdana"/>
                <w:b/>
                <w:sz w:val="20"/>
              </w:rPr>
              <w:t xml:space="preserve"> novembre 2019</w:t>
            </w:r>
          </w:p>
        </w:tc>
      </w:tr>
      <w:tr w:rsidR="000734B8" w:rsidRPr="0043395E" w14:paraId="3E31F44A" w14:textId="77777777" w:rsidTr="00BB1D82">
        <w:trPr>
          <w:cantSplit/>
        </w:trPr>
        <w:tc>
          <w:tcPr>
            <w:tcW w:w="6911" w:type="dxa"/>
          </w:tcPr>
          <w:p w14:paraId="4A78551E" w14:textId="77777777" w:rsidR="000734B8" w:rsidRPr="0043395E" w:rsidRDefault="000734B8" w:rsidP="007F543B">
            <w:pPr>
              <w:spacing w:before="0" w:after="48"/>
              <w:rPr>
                <w:rFonts w:ascii="Verdana" w:hAnsi="Verdana"/>
                <w:b/>
                <w:smallCaps/>
                <w:sz w:val="20"/>
              </w:rPr>
            </w:pPr>
          </w:p>
        </w:tc>
        <w:tc>
          <w:tcPr>
            <w:tcW w:w="3120" w:type="dxa"/>
          </w:tcPr>
          <w:p w14:paraId="05663CAA" w14:textId="1B508C9A" w:rsidR="000734B8" w:rsidRPr="0043395E" w:rsidRDefault="000734B8" w:rsidP="007F543B">
            <w:pPr>
              <w:spacing w:before="0"/>
              <w:rPr>
                <w:rFonts w:ascii="Verdana" w:hAnsi="Verdana"/>
                <w:b/>
                <w:sz w:val="20"/>
              </w:rPr>
            </w:pPr>
            <w:r w:rsidRPr="0043395E">
              <w:rPr>
                <w:rFonts w:ascii="Verdana" w:hAnsi="Verdana"/>
                <w:b/>
                <w:sz w:val="20"/>
              </w:rPr>
              <w:t>Original: anglais</w:t>
            </w:r>
          </w:p>
        </w:tc>
      </w:tr>
      <w:tr w:rsidR="00690C7B" w:rsidRPr="0043395E" w14:paraId="41AF3C33" w14:textId="77777777" w:rsidTr="00690E1D">
        <w:trPr>
          <w:cantSplit/>
        </w:trPr>
        <w:tc>
          <w:tcPr>
            <w:tcW w:w="10031" w:type="dxa"/>
            <w:gridSpan w:val="2"/>
          </w:tcPr>
          <w:p w14:paraId="1D758D02" w14:textId="77777777" w:rsidR="00690C7B" w:rsidRPr="0043395E" w:rsidRDefault="00690C7B" w:rsidP="007F543B">
            <w:pPr>
              <w:spacing w:before="0"/>
              <w:rPr>
                <w:rFonts w:ascii="Verdana" w:hAnsi="Verdana"/>
                <w:b/>
                <w:sz w:val="20"/>
              </w:rPr>
            </w:pPr>
          </w:p>
        </w:tc>
      </w:tr>
    </w:tbl>
    <w:tbl>
      <w:tblPr>
        <w:tblW w:w="5221" w:type="pct"/>
        <w:tblLayout w:type="fixed"/>
        <w:tblLook w:val="0000" w:firstRow="0" w:lastRow="0" w:firstColumn="0" w:lastColumn="0" w:noHBand="0" w:noVBand="0"/>
      </w:tblPr>
      <w:tblGrid>
        <w:gridCol w:w="10065"/>
      </w:tblGrid>
      <w:tr w:rsidR="000208A0" w:rsidRPr="000208A0" w14:paraId="1D1123D7" w14:textId="77777777" w:rsidTr="000208A0">
        <w:trPr>
          <w:cantSplit/>
        </w:trPr>
        <w:tc>
          <w:tcPr>
            <w:tcW w:w="5000" w:type="pct"/>
          </w:tcPr>
          <w:p w14:paraId="1B5B6A7E" w14:textId="2313F6BF" w:rsidR="000208A0" w:rsidRPr="000208A0" w:rsidRDefault="000208A0" w:rsidP="00304A31">
            <w:pPr>
              <w:pStyle w:val="Title1"/>
              <w:spacing w:before="480"/>
            </w:pPr>
            <w:r w:rsidRPr="000208A0">
              <w:t>PROCÈS-VERBAL</w:t>
            </w:r>
            <w:r>
              <w:br/>
            </w:r>
            <w:r>
              <w:br/>
            </w:r>
            <w:r w:rsidRPr="000208A0">
              <w:t>de la</w:t>
            </w:r>
            <w:r>
              <w:br/>
            </w:r>
            <w:r>
              <w:br/>
            </w:r>
            <w:r w:rsidRPr="000208A0">
              <w:t>CINQUIÈME SÉANCE PLÉNIÈRE</w:t>
            </w:r>
          </w:p>
        </w:tc>
      </w:tr>
      <w:tr w:rsidR="000208A0" w:rsidRPr="000208A0" w14:paraId="3D5F8BC1" w14:textId="77777777" w:rsidTr="000208A0">
        <w:trPr>
          <w:cantSplit/>
        </w:trPr>
        <w:tc>
          <w:tcPr>
            <w:tcW w:w="5000" w:type="pct"/>
          </w:tcPr>
          <w:p w14:paraId="3598AE32" w14:textId="77777777" w:rsidR="000208A0" w:rsidRPr="000208A0" w:rsidRDefault="000208A0" w:rsidP="00304A31">
            <w:pPr>
              <w:spacing w:before="240"/>
              <w:jc w:val="center"/>
            </w:pPr>
            <w:r w:rsidRPr="000208A0">
              <w:t>Vendredi 8 novembre 2019 à 16 h 15</w:t>
            </w:r>
          </w:p>
        </w:tc>
      </w:tr>
      <w:tr w:rsidR="000208A0" w:rsidRPr="000208A0" w14:paraId="63DD6389" w14:textId="77777777" w:rsidTr="000208A0">
        <w:trPr>
          <w:cantSplit/>
        </w:trPr>
        <w:tc>
          <w:tcPr>
            <w:tcW w:w="5000" w:type="pct"/>
          </w:tcPr>
          <w:p w14:paraId="158151EB" w14:textId="77777777" w:rsidR="000208A0" w:rsidRPr="000208A0" w:rsidRDefault="000208A0" w:rsidP="000208A0">
            <w:pPr>
              <w:jc w:val="center"/>
            </w:pPr>
            <w:r w:rsidRPr="000208A0">
              <w:rPr>
                <w:b/>
                <w:bCs/>
              </w:rPr>
              <w:t>Président:</w:t>
            </w:r>
            <w:r w:rsidRPr="000208A0">
              <w:t xml:space="preserve"> M. A. BADAWI (Égypte)</w:t>
            </w:r>
          </w:p>
          <w:p w14:paraId="1D305FF1" w14:textId="77777777" w:rsidR="000208A0" w:rsidRPr="000208A0" w:rsidRDefault="000208A0" w:rsidP="000208A0">
            <w:pPr>
              <w:jc w:val="center"/>
            </w:pPr>
          </w:p>
        </w:tc>
      </w:tr>
    </w:tbl>
    <w:p w14:paraId="6F772EC1" w14:textId="77777777" w:rsidR="000208A0" w:rsidRDefault="000208A0"/>
    <w:tbl>
      <w:tblPr>
        <w:tblW w:w="10031" w:type="dxa"/>
        <w:tblLook w:val="0000" w:firstRow="0" w:lastRow="0" w:firstColumn="0" w:lastColumn="0" w:noHBand="0" w:noVBand="0"/>
      </w:tblPr>
      <w:tblGrid>
        <w:gridCol w:w="534"/>
        <w:gridCol w:w="7263"/>
        <w:gridCol w:w="2234"/>
      </w:tblGrid>
      <w:tr w:rsidR="000734B8" w:rsidRPr="0043395E" w14:paraId="72B8829D" w14:textId="77777777" w:rsidTr="000208A0">
        <w:tc>
          <w:tcPr>
            <w:tcW w:w="534" w:type="dxa"/>
          </w:tcPr>
          <w:p w14:paraId="24A8BD1D" w14:textId="0521F82C" w:rsidR="000734B8" w:rsidRPr="0043395E" w:rsidRDefault="000734B8" w:rsidP="007F543B">
            <w:pPr>
              <w:pStyle w:val="Tablehead"/>
              <w:rPr>
                <w:sz w:val="24"/>
                <w:szCs w:val="24"/>
              </w:rPr>
            </w:pPr>
          </w:p>
        </w:tc>
        <w:tc>
          <w:tcPr>
            <w:tcW w:w="7263" w:type="dxa"/>
          </w:tcPr>
          <w:p w14:paraId="786BD501" w14:textId="7700663A" w:rsidR="000734B8" w:rsidRPr="0043395E" w:rsidRDefault="000734B8" w:rsidP="007F543B">
            <w:pPr>
              <w:pStyle w:val="Tablehead"/>
              <w:rPr>
                <w:sz w:val="24"/>
                <w:szCs w:val="24"/>
              </w:rPr>
            </w:pPr>
            <w:r w:rsidRPr="0043395E">
              <w:rPr>
                <w:sz w:val="24"/>
                <w:szCs w:val="24"/>
              </w:rPr>
              <w:t>Sujets traités</w:t>
            </w:r>
          </w:p>
        </w:tc>
        <w:tc>
          <w:tcPr>
            <w:tcW w:w="2234" w:type="dxa"/>
          </w:tcPr>
          <w:p w14:paraId="5BD76E8A" w14:textId="77777777" w:rsidR="000734B8" w:rsidRPr="0043395E" w:rsidRDefault="000734B8" w:rsidP="007F543B">
            <w:pPr>
              <w:pStyle w:val="Tablehead"/>
              <w:rPr>
                <w:sz w:val="24"/>
                <w:szCs w:val="24"/>
              </w:rPr>
            </w:pPr>
            <w:r w:rsidRPr="0043395E">
              <w:rPr>
                <w:sz w:val="24"/>
                <w:szCs w:val="24"/>
              </w:rPr>
              <w:t>Documents</w:t>
            </w:r>
          </w:p>
        </w:tc>
      </w:tr>
      <w:tr w:rsidR="000734B8" w:rsidRPr="0043395E" w14:paraId="32367EDD" w14:textId="77777777" w:rsidTr="000208A0">
        <w:tc>
          <w:tcPr>
            <w:tcW w:w="534" w:type="dxa"/>
          </w:tcPr>
          <w:p w14:paraId="2B77C31D" w14:textId="77777777" w:rsidR="000734B8" w:rsidRPr="0043395E" w:rsidRDefault="000734B8" w:rsidP="007F543B">
            <w:pPr>
              <w:pStyle w:val="Tabletext"/>
            </w:pPr>
          </w:p>
        </w:tc>
        <w:tc>
          <w:tcPr>
            <w:tcW w:w="7263" w:type="dxa"/>
          </w:tcPr>
          <w:p w14:paraId="2C84EF9A" w14:textId="77777777" w:rsidR="000734B8" w:rsidRPr="0043395E" w:rsidRDefault="000734B8" w:rsidP="007F543B">
            <w:pPr>
              <w:pStyle w:val="Tabletext"/>
            </w:pPr>
          </w:p>
        </w:tc>
        <w:tc>
          <w:tcPr>
            <w:tcW w:w="2234" w:type="dxa"/>
          </w:tcPr>
          <w:p w14:paraId="02E8A60A" w14:textId="77777777" w:rsidR="000734B8" w:rsidRPr="0043395E" w:rsidRDefault="000734B8" w:rsidP="007F543B">
            <w:pPr>
              <w:pStyle w:val="Tabletext"/>
              <w:jc w:val="center"/>
            </w:pPr>
          </w:p>
        </w:tc>
      </w:tr>
      <w:tr w:rsidR="000734B8" w:rsidRPr="0043395E" w14:paraId="55E379BC" w14:textId="77777777" w:rsidTr="000208A0">
        <w:tc>
          <w:tcPr>
            <w:tcW w:w="534" w:type="dxa"/>
          </w:tcPr>
          <w:p w14:paraId="6FADA4B9" w14:textId="77777777" w:rsidR="000734B8" w:rsidRPr="0043395E" w:rsidRDefault="000734B8" w:rsidP="007F543B">
            <w:pPr>
              <w:pStyle w:val="Tabletext"/>
              <w:rPr>
                <w:sz w:val="24"/>
                <w:szCs w:val="24"/>
              </w:rPr>
            </w:pPr>
            <w:r w:rsidRPr="0043395E">
              <w:rPr>
                <w:sz w:val="24"/>
                <w:szCs w:val="24"/>
              </w:rPr>
              <w:t>1</w:t>
            </w:r>
          </w:p>
        </w:tc>
        <w:tc>
          <w:tcPr>
            <w:tcW w:w="7263" w:type="dxa"/>
          </w:tcPr>
          <w:p w14:paraId="73954623" w14:textId="22E75D94" w:rsidR="000734B8" w:rsidRPr="0043395E" w:rsidRDefault="00374FA7" w:rsidP="007F543B">
            <w:pPr>
              <w:pStyle w:val="Tabletext"/>
              <w:rPr>
                <w:sz w:val="24"/>
                <w:szCs w:val="24"/>
              </w:rPr>
            </w:pPr>
            <w:r w:rsidRPr="0043395E">
              <w:rPr>
                <w:sz w:val="24"/>
                <w:szCs w:val="24"/>
              </w:rPr>
              <w:t>Remarques</w:t>
            </w:r>
            <w:r w:rsidR="000734B8" w:rsidRPr="0043395E">
              <w:rPr>
                <w:sz w:val="24"/>
                <w:szCs w:val="24"/>
              </w:rPr>
              <w:t xml:space="preserve"> liminaires du Président</w:t>
            </w:r>
          </w:p>
        </w:tc>
        <w:tc>
          <w:tcPr>
            <w:tcW w:w="2234" w:type="dxa"/>
          </w:tcPr>
          <w:p w14:paraId="40B0B383" w14:textId="77777777" w:rsidR="000734B8" w:rsidRPr="0043395E" w:rsidRDefault="000734B8" w:rsidP="007F543B">
            <w:pPr>
              <w:pStyle w:val="Tabletext"/>
              <w:jc w:val="center"/>
              <w:rPr>
                <w:sz w:val="24"/>
                <w:szCs w:val="24"/>
              </w:rPr>
            </w:pPr>
            <w:r w:rsidRPr="0043395E">
              <w:rPr>
                <w:sz w:val="24"/>
                <w:szCs w:val="24"/>
              </w:rPr>
              <w:t>9</w:t>
            </w:r>
          </w:p>
        </w:tc>
      </w:tr>
      <w:tr w:rsidR="000734B8" w:rsidRPr="0043395E" w14:paraId="1C6A75B4" w14:textId="77777777" w:rsidTr="000208A0">
        <w:tc>
          <w:tcPr>
            <w:tcW w:w="534" w:type="dxa"/>
          </w:tcPr>
          <w:p w14:paraId="12C216A3" w14:textId="77777777" w:rsidR="000734B8" w:rsidRPr="0043395E" w:rsidRDefault="000734B8" w:rsidP="007F543B">
            <w:pPr>
              <w:pStyle w:val="Tabletext"/>
              <w:rPr>
                <w:sz w:val="24"/>
                <w:szCs w:val="24"/>
              </w:rPr>
            </w:pPr>
            <w:r w:rsidRPr="0043395E">
              <w:rPr>
                <w:sz w:val="24"/>
                <w:szCs w:val="24"/>
              </w:rPr>
              <w:t>2</w:t>
            </w:r>
          </w:p>
        </w:tc>
        <w:tc>
          <w:tcPr>
            <w:tcW w:w="7263" w:type="dxa"/>
          </w:tcPr>
          <w:p w14:paraId="3AEB2FED" w14:textId="0E18621B" w:rsidR="000734B8" w:rsidRPr="0043395E" w:rsidRDefault="000734B8" w:rsidP="007F543B">
            <w:pPr>
              <w:pStyle w:val="Tabletext"/>
              <w:rPr>
                <w:sz w:val="24"/>
                <w:szCs w:val="24"/>
              </w:rPr>
            </w:pPr>
            <w:r w:rsidRPr="0043395E">
              <w:rPr>
                <w:sz w:val="24"/>
                <w:szCs w:val="24"/>
              </w:rPr>
              <w:t xml:space="preserve">Rapports verbaux des Présidents des Commissions </w:t>
            </w:r>
          </w:p>
        </w:tc>
        <w:tc>
          <w:tcPr>
            <w:tcW w:w="2234" w:type="dxa"/>
          </w:tcPr>
          <w:p w14:paraId="6B9A603A" w14:textId="72695AF3" w:rsidR="000734B8" w:rsidRPr="0043395E" w:rsidRDefault="00E7071F" w:rsidP="007F543B">
            <w:pPr>
              <w:pStyle w:val="Tabletext"/>
              <w:jc w:val="center"/>
              <w:rPr>
                <w:sz w:val="24"/>
                <w:szCs w:val="24"/>
              </w:rPr>
            </w:pPr>
            <w:r w:rsidRPr="0043395E">
              <w:rPr>
                <w:sz w:val="24"/>
                <w:szCs w:val="24"/>
              </w:rPr>
              <w:t>–</w:t>
            </w:r>
          </w:p>
        </w:tc>
      </w:tr>
      <w:tr w:rsidR="000734B8" w:rsidRPr="0043395E" w14:paraId="0B9ECB43" w14:textId="77777777" w:rsidTr="000208A0">
        <w:tc>
          <w:tcPr>
            <w:tcW w:w="534" w:type="dxa"/>
          </w:tcPr>
          <w:p w14:paraId="3B322BC5" w14:textId="77777777" w:rsidR="000734B8" w:rsidRPr="0043395E" w:rsidRDefault="000734B8" w:rsidP="007F543B">
            <w:pPr>
              <w:pStyle w:val="Tabletext"/>
              <w:rPr>
                <w:sz w:val="24"/>
                <w:szCs w:val="24"/>
              </w:rPr>
            </w:pPr>
            <w:r w:rsidRPr="0043395E">
              <w:rPr>
                <w:sz w:val="24"/>
                <w:szCs w:val="24"/>
              </w:rPr>
              <w:t>3</w:t>
            </w:r>
          </w:p>
        </w:tc>
        <w:tc>
          <w:tcPr>
            <w:tcW w:w="7263" w:type="dxa"/>
          </w:tcPr>
          <w:p w14:paraId="0EC5F2F2" w14:textId="395C5EBC" w:rsidR="000734B8" w:rsidRPr="0043395E" w:rsidRDefault="000734B8" w:rsidP="007F543B">
            <w:pPr>
              <w:pStyle w:val="Tabletext"/>
              <w:rPr>
                <w:sz w:val="24"/>
                <w:szCs w:val="24"/>
              </w:rPr>
            </w:pPr>
            <w:r w:rsidRPr="0043395E">
              <w:rPr>
                <w:sz w:val="24"/>
                <w:szCs w:val="24"/>
              </w:rPr>
              <w:t>Cinquième série de textes soumis par la Commission de rédaction en première lecture (B5)</w:t>
            </w:r>
          </w:p>
        </w:tc>
        <w:tc>
          <w:tcPr>
            <w:tcW w:w="2234" w:type="dxa"/>
          </w:tcPr>
          <w:p w14:paraId="5B05E13D" w14:textId="77777777" w:rsidR="000734B8" w:rsidRPr="0043395E" w:rsidRDefault="000734B8" w:rsidP="007F543B">
            <w:pPr>
              <w:pStyle w:val="Tabletext"/>
              <w:jc w:val="center"/>
              <w:rPr>
                <w:sz w:val="24"/>
                <w:szCs w:val="24"/>
              </w:rPr>
            </w:pPr>
            <w:r w:rsidRPr="0043395E">
              <w:rPr>
                <w:sz w:val="24"/>
                <w:szCs w:val="24"/>
              </w:rPr>
              <w:t>221</w:t>
            </w:r>
          </w:p>
        </w:tc>
      </w:tr>
      <w:tr w:rsidR="000734B8" w:rsidRPr="0043395E" w14:paraId="787E88C4" w14:textId="77777777" w:rsidTr="000208A0">
        <w:tc>
          <w:tcPr>
            <w:tcW w:w="534" w:type="dxa"/>
          </w:tcPr>
          <w:p w14:paraId="65E8849B" w14:textId="77777777" w:rsidR="000734B8" w:rsidRPr="0043395E" w:rsidRDefault="000734B8" w:rsidP="007F543B">
            <w:pPr>
              <w:pStyle w:val="Tabletext"/>
              <w:rPr>
                <w:sz w:val="24"/>
                <w:szCs w:val="24"/>
              </w:rPr>
            </w:pPr>
            <w:r w:rsidRPr="0043395E">
              <w:rPr>
                <w:sz w:val="24"/>
                <w:szCs w:val="24"/>
              </w:rPr>
              <w:t>4</w:t>
            </w:r>
          </w:p>
        </w:tc>
        <w:tc>
          <w:tcPr>
            <w:tcW w:w="7263" w:type="dxa"/>
          </w:tcPr>
          <w:p w14:paraId="24342226" w14:textId="2C0DD968" w:rsidR="000734B8" w:rsidRPr="0043395E" w:rsidRDefault="00D26E9B" w:rsidP="007F543B">
            <w:pPr>
              <w:pStyle w:val="Tabletext"/>
              <w:rPr>
                <w:sz w:val="24"/>
                <w:szCs w:val="24"/>
              </w:rPr>
            </w:pPr>
            <w:bookmarkStart w:id="3" w:name="_Hlk24476031"/>
            <w:r w:rsidRPr="0043395E">
              <w:rPr>
                <w:sz w:val="24"/>
                <w:szCs w:val="24"/>
              </w:rPr>
              <w:t>Cinquième série de textes soumis par la Commission de rédaction (B5) – deuxième lecture</w:t>
            </w:r>
            <w:bookmarkEnd w:id="3"/>
          </w:p>
        </w:tc>
        <w:tc>
          <w:tcPr>
            <w:tcW w:w="2234" w:type="dxa"/>
          </w:tcPr>
          <w:p w14:paraId="7F0EDE99" w14:textId="77777777" w:rsidR="000734B8" w:rsidRPr="0043395E" w:rsidRDefault="000734B8" w:rsidP="007F543B">
            <w:pPr>
              <w:pStyle w:val="Tabletext"/>
              <w:jc w:val="center"/>
              <w:rPr>
                <w:sz w:val="24"/>
                <w:szCs w:val="24"/>
              </w:rPr>
            </w:pPr>
            <w:r w:rsidRPr="0043395E">
              <w:rPr>
                <w:sz w:val="24"/>
                <w:szCs w:val="24"/>
              </w:rPr>
              <w:t>221</w:t>
            </w:r>
          </w:p>
        </w:tc>
      </w:tr>
      <w:tr w:rsidR="000734B8" w:rsidRPr="0043395E" w14:paraId="42AB9372" w14:textId="77777777" w:rsidTr="000208A0">
        <w:tc>
          <w:tcPr>
            <w:tcW w:w="534" w:type="dxa"/>
          </w:tcPr>
          <w:p w14:paraId="2951CAB4" w14:textId="77777777" w:rsidR="000734B8" w:rsidRPr="0043395E" w:rsidRDefault="000734B8" w:rsidP="007F543B">
            <w:pPr>
              <w:pStyle w:val="Tabletext"/>
              <w:rPr>
                <w:sz w:val="24"/>
                <w:szCs w:val="24"/>
              </w:rPr>
            </w:pPr>
            <w:r w:rsidRPr="0043395E">
              <w:rPr>
                <w:sz w:val="24"/>
                <w:szCs w:val="24"/>
              </w:rPr>
              <w:t>5</w:t>
            </w:r>
          </w:p>
        </w:tc>
        <w:tc>
          <w:tcPr>
            <w:tcW w:w="7263" w:type="dxa"/>
          </w:tcPr>
          <w:p w14:paraId="41DA2CD7" w14:textId="589391AE" w:rsidR="000734B8" w:rsidRPr="0043395E" w:rsidRDefault="00D26E9B" w:rsidP="007F543B">
            <w:pPr>
              <w:pStyle w:val="Tabletext"/>
              <w:rPr>
                <w:sz w:val="24"/>
                <w:szCs w:val="24"/>
              </w:rPr>
            </w:pPr>
            <w:bookmarkStart w:id="4" w:name="_Hlk24476082"/>
            <w:r w:rsidRPr="0043395E">
              <w:rPr>
                <w:sz w:val="24"/>
                <w:szCs w:val="24"/>
              </w:rPr>
              <w:t>Sixième série de textes soumis par la Commission de rédaction en première lecture (B6)</w:t>
            </w:r>
            <w:bookmarkEnd w:id="4"/>
          </w:p>
        </w:tc>
        <w:tc>
          <w:tcPr>
            <w:tcW w:w="2234" w:type="dxa"/>
          </w:tcPr>
          <w:p w14:paraId="69F6F896" w14:textId="77777777" w:rsidR="000734B8" w:rsidRPr="0043395E" w:rsidRDefault="000734B8" w:rsidP="007F543B">
            <w:pPr>
              <w:pStyle w:val="Tabletext"/>
              <w:jc w:val="center"/>
              <w:rPr>
                <w:sz w:val="24"/>
                <w:szCs w:val="24"/>
              </w:rPr>
            </w:pPr>
            <w:r w:rsidRPr="0043395E">
              <w:rPr>
                <w:sz w:val="24"/>
                <w:szCs w:val="24"/>
              </w:rPr>
              <w:t>222</w:t>
            </w:r>
          </w:p>
        </w:tc>
      </w:tr>
      <w:tr w:rsidR="000734B8" w:rsidRPr="0043395E" w14:paraId="37F519B5" w14:textId="77777777" w:rsidTr="000208A0">
        <w:tc>
          <w:tcPr>
            <w:tcW w:w="534" w:type="dxa"/>
          </w:tcPr>
          <w:p w14:paraId="4B44470B" w14:textId="77777777" w:rsidR="000734B8" w:rsidRPr="0043395E" w:rsidRDefault="000734B8" w:rsidP="007F543B">
            <w:pPr>
              <w:pStyle w:val="Tabletext"/>
              <w:rPr>
                <w:sz w:val="24"/>
                <w:szCs w:val="24"/>
              </w:rPr>
            </w:pPr>
            <w:r w:rsidRPr="0043395E">
              <w:rPr>
                <w:sz w:val="24"/>
                <w:szCs w:val="24"/>
              </w:rPr>
              <w:t>6</w:t>
            </w:r>
          </w:p>
        </w:tc>
        <w:tc>
          <w:tcPr>
            <w:tcW w:w="7263" w:type="dxa"/>
          </w:tcPr>
          <w:p w14:paraId="1566478B" w14:textId="1EBE8F52" w:rsidR="000734B8" w:rsidRPr="0043395E" w:rsidRDefault="00D26E9B" w:rsidP="007F543B">
            <w:pPr>
              <w:pStyle w:val="Tabletext"/>
              <w:rPr>
                <w:sz w:val="24"/>
                <w:szCs w:val="24"/>
              </w:rPr>
            </w:pPr>
            <w:r w:rsidRPr="0043395E">
              <w:rPr>
                <w:sz w:val="24"/>
                <w:szCs w:val="24"/>
              </w:rPr>
              <w:t>Sixième série de textes soumis par la Commission de rédaction (B6) – deuxième lecture</w:t>
            </w:r>
          </w:p>
        </w:tc>
        <w:tc>
          <w:tcPr>
            <w:tcW w:w="2234" w:type="dxa"/>
          </w:tcPr>
          <w:p w14:paraId="0FD34B1C" w14:textId="77777777" w:rsidR="000734B8" w:rsidRPr="0043395E" w:rsidRDefault="000734B8" w:rsidP="007F543B">
            <w:pPr>
              <w:pStyle w:val="Tabletext"/>
              <w:jc w:val="center"/>
              <w:rPr>
                <w:sz w:val="24"/>
                <w:szCs w:val="24"/>
              </w:rPr>
            </w:pPr>
            <w:r w:rsidRPr="0043395E">
              <w:rPr>
                <w:sz w:val="24"/>
                <w:szCs w:val="24"/>
              </w:rPr>
              <w:t>222</w:t>
            </w:r>
          </w:p>
        </w:tc>
      </w:tr>
      <w:tr w:rsidR="000734B8" w:rsidRPr="0043395E" w14:paraId="213B3080" w14:textId="77777777" w:rsidTr="000208A0">
        <w:tc>
          <w:tcPr>
            <w:tcW w:w="534" w:type="dxa"/>
          </w:tcPr>
          <w:p w14:paraId="50E818DB" w14:textId="77777777" w:rsidR="000734B8" w:rsidRPr="0043395E" w:rsidRDefault="000734B8" w:rsidP="007F543B">
            <w:pPr>
              <w:pStyle w:val="Tabletext"/>
              <w:rPr>
                <w:sz w:val="24"/>
                <w:szCs w:val="24"/>
              </w:rPr>
            </w:pPr>
            <w:r w:rsidRPr="0043395E">
              <w:rPr>
                <w:sz w:val="24"/>
                <w:szCs w:val="24"/>
              </w:rPr>
              <w:t>7</w:t>
            </w:r>
          </w:p>
        </w:tc>
        <w:tc>
          <w:tcPr>
            <w:tcW w:w="7263" w:type="dxa"/>
          </w:tcPr>
          <w:p w14:paraId="730E7D2C" w14:textId="130F5FFA" w:rsidR="000734B8" w:rsidRPr="0043395E" w:rsidRDefault="00D26E9B" w:rsidP="007F543B">
            <w:pPr>
              <w:pStyle w:val="Tabletext"/>
              <w:rPr>
                <w:sz w:val="24"/>
                <w:szCs w:val="24"/>
              </w:rPr>
            </w:pPr>
            <w:r w:rsidRPr="0043395E">
              <w:rPr>
                <w:sz w:val="24"/>
                <w:szCs w:val="24"/>
              </w:rPr>
              <w:t xml:space="preserve">Septième série de textes soumis par la Commission de rédaction en première lecture </w:t>
            </w:r>
            <w:r w:rsidR="000734B8" w:rsidRPr="0043395E">
              <w:rPr>
                <w:sz w:val="24"/>
                <w:szCs w:val="24"/>
              </w:rPr>
              <w:t>(B7)</w:t>
            </w:r>
          </w:p>
        </w:tc>
        <w:tc>
          <w:tcPr>
            <w:tcW w:w="2234" w:type="dxa"/>
          </w:tcPr>
          <w:p w14:paraId="0DE4E53E" w14:textId="77777777" w:rsidR="000734B8" w:rsidRPr="0043395E" w:rsidRDefault="000734B8" w:rsidP="007F543B">
            <w:pPr>
              <w:pStyle w:val="Tabletext"/>
              <w:jc w:val="center"/>
              <w:rPr>
                <w:sz w:val="24"/>
                <w:szCs w:val="24"/>
              </w:rPr>
            </w:pPr>
            <w:r w:rsidRPr="0043395E">
              <w:rPr>
                <w:sz w:val="24"/>
                <w:szCs w:val="24"/>
              </w:rPr>
              <w:t>223</w:t>
            </w:r>
          </w:p>
        </w:tc>
      </w:tr>
      <w:tr w:rsidR="000734B8" w:rsidRPr="0043395E" w14:paraId="762260F2" w14:textId="77777777" w:rsidTr="000208A0">
        <w:tc>
          <w:tcPr>
            <w:tcW w:w="534" w:type="dxa"/>
          </w:tcPr>
          <w:p w14:paraId="76C06215" w14:textId="77777777" w:rsidR="000734B8" w:rsidRPr="0043395E" w:rsidRDefault="000734B8" w:rsidP="007F543B">
            <w:pPr>
              <w:pStyle w:val="Tabletext"/>
              <w:rPr>
                <w:sz w:val="24"/>
                <w:szCs w:val="24"/>
              </w:rPr>
            </w:pPr>
            <w:r w:rsidRPr="0043395E">
              <w:rPr>
                <w:sz w:val="24"/>
                <w:szCs w:val="24"/>
              </w:rPr>
              <w:t>8</w:t>
            </w:r>
          </w:p>
        </w:tc>
        <w:tc>
          <w:tcPr>
            <w:tcW w:w="7263" w:type="dxa"/>
          </w:tcPr>
          <w:p w14:paraId="4D7FB9B0" w14:textId="2D705314" w:rsidR="000734B8" w:rsidRPr="0043395E" w:rsidRDefault="000734B8" w:rsidP="007F543B">
            <w:pPr>
              <w:pStyle w:val="Tabletext"/>
              <w:rPr>
                <w:sz w:val="24"/>
                <w:szCs w:val="24"/>
              </w:rPr>
            </w:pPr>
            <w:r w:rsidRPr="0043395E">
              <w:rPr>
                <w:sz w:val="24"/>
                <w:szCs w:val="24"/>
              </w:rPr>
              <w:t>Propos</w:t>
            </w:r>
            <w:r w:rsidR="00D26E9B" w:rsidRPr="0043395E">
              <w:rPr>
                <w:sz w:val="24"/>
                <w:szCs w:val="24"/>
              </w:rPr>
              <w:t>ition</w:t>
            </w:r>
            <w:r w:rsidRPr="0043395E">
              <w:rPr>
                <w:sz w:val="24"/>
                <w:szCs w:val="24"/>
              </w:rPr>
              <w:t xml:space="preserve">s </w:t>
            </w:r>
            <w:r w:rsidR="00D26E9B" w:rsidRPr="0043395E">
              <w:rPr>
                <w:sz w:val="24"/>
                <w:szCs w:val="24"/>
              </w:rPr>
              <w:t>pour les travaux de la C</w:t>
            </w:r>
            <w:r w:rsidRPr="0043395E">
              <w:rPr>
                <w:sz w:val="24"/>
                <w:szCs w:val="24"/>
              </w:rPr>
              <w:t>onf</w:t>
            </w:r>
            <w:r w:rsidR="00D26E9B" w:rsidRPr="0043395E">
              <w:rPr>
                <w:sz w:val="24"/>
                <w:szCs w:val="24"/>
              </w:rPr>
              <w:t>é</w:t>
            </w:r>
            <w:r w:rsidRPr="0043395E">
              <w:rPr>
                <w:sz w:val="24"/>
                <w:szCs w:val="24"/>
              </w:rPr>
              <w:t>rence</w:t>
            </w:r>
          </w:p>
        </w:tc>
        <w:tc>
          <w:tcPr>
            <w:tcW w:w="2234" w:type="dxa"/>
          </w:tcPr>
          <w:p w14:paraId="38036ABB" w14:textId="4D4AEDFA" w:rsidR="000734B8" w:rsidRPr="0043395E" w:rsidRDefault="000734B8" w:rsidP="007F543B">
            <w:pPr>
              <w:pStyle w:val="Tabletext"/>
              <w:jc w:val="center"/>
              <w:rPr>
                <w:sz w:val="24"/>
                <w:szCs w:val="24"/>
              </w:rPr>
            </w:pPr>
            <w:r w:rsidRPr="0043395E">
              <w:rPr>
                <w:sz w:val="24"/>
                <w:szCs w:val="24"/>
              </w:rPr>
              <w:t>184(R</w:t>
            </w:r>
            <w:r w:rsidR="00D26E9B" w:rsidRPr="0043395E">
              <w:rPr>
                <w:sz w:val="24"/>
                <w:szCs w:val="24"/>
              </w:rPr>
              <w:t>é</w:t>
            </w:r>
            <w:r w:rsidRPr="0043395E">
              <w:rPr>
                <w:sz w:val="24"/>
                <w:szCs w:val="24"/>
              </w:rPr>
              <w:t>v.1)</w:t>
            </w:r>
          </w:p>
        </w:tc>
      </w:tr>
      <w:tr w:rsidR="000734B8" w:rsidRPr="0043395E" w14:paraId="38D9F42E" w14:textId="77777777" w:rsidTr="000208A0">
        <w:tc>
          <w:tcPr>
            <w:tcW w:w="534" w:type="dxa"/>
          </w:tcPr>
          <w:p w14:paraId="1FEE1C07" w14:textId="77777777" w:rsidR="000734B8" w:rsidRPr="0043395E" w:rsidRDefault="000734B8" w:rsidP="007F543B">
            <w:pPr>
              <w:pStyle w:val="Tabletext"/>
              <w:rPr>
                <w:sz w:val="24"/>
                <w:szCs w:val="24"/>
              </w:rPr>
            </w:pPr>
            <w:r w:rsidRPr="0043395E">
              <w:rPr>
                <w:sz w:val="24"/>
                <w:szCs w:val="24"/>
              </w:rPr>
              <w:t>9</w:t>
            </w:r>
          </w:p>
        </w:tc>
        <w:tc>
          <w:tcPr>
            <w:tcW w:w="7263" w:type="dxa"/>
          </w:tcPr>
          <w:p w14:paraId="0CB5F29E" w14:textId="4DE46F0C" w:rsidR="000734B8" w:rsidRPr="0043395E" w:rsidRDefault="00D26E9B" w:rsidP="007F543B">
            <w:pPr>
              <w:pStyle w:val="Tabletext"/>
              <w:rPr>
                <w:sz w:val="24"/>
                <w:szCs w:val="24"/>
              </w:rPr>
            </w:pPr>
            <w:bookmarkStart w:id="5" w:name="_Hlk24480316"/>
            <w:r w:rsidRPr="0043395E">
              <w:rPr>
                <w:sz w:val="24"/>
                <w:szCs w:val="24"/>
              </w:rPr>
              <w:t>Déclaration de</w:t>
            </w:r>
            <w:r w:rsidR="000734B8" w:rsidRPr="0043395E">
              <w:rPr>
                <w:sz w:val="24"/>
                <w:szCs w:val="24"/>
              </w:rPr>
              <w:t xml:space="preserve"> M</w:t>
            </w:r>
            <w:r w:rsidRPr="0043395E">
              <w:rPr>
                <w:sz w:val="24"/>
                <w:szCs w:val="24"/>
              </w:rPr>
              <w:t>.</w:t>
            </w:r>
            <w:r w:rsidR="000734B8" w:rsidRPr="0043395E">
              <w:rPr>
                <w:sz w:val="24"/>
                <w:szCs w:val="24"/>
              </w:rPr>
              <w:t xml:space="preserve"> Niklas Hedman,</w:t>
            </w:r>
            <w:r w:rsidRPr="0043395E">
              <w:rPr>
                <w:sz w:val="24"/>
                <w:szCs w:val="24"/>
              </w:rPr>
              <w:t xml:space="preserve"> </w:t>
            </w:r>
            <w:bookmarkStart w:id="6" w:name="_Hlk24481403"/>
            <w:r w:rsidRPr="0043395E">
              <w:rPr>
                <w:sz w:val="24"/>
                <w:szCs w:val="24"/>
              </w:rPr>
              <w:t xml:space="preserve">Bureau des affaires spatiales des Nations Unies </w:t>
            </w:r>
            <w:r w:rsidR="000734B8" w:rsidRPr="0043395E">
              <w:rPr>
                <w:sz w:val="24"/>
                <w:szCs w:val="24"/>
              </w:rPr>
              <w:t>(UNOOSA)</w:t>
            </w:r>
            <w:bookmarkEnd w:id="5"/>
            <w:bookmarkEnd w:id="6"/>
          </w:p>
        </w:tc>
        <w:tc>
          <w:tcPr>
            <w:tcW w:w="2234" w:type="dxa"/>
          </w:tcPr>
          <w:p w14:paraId="3B29421C" w14:textId="1506A047" w:rsidR="000734B8" w:rsidRPr="0043395E" w:rsidRDefault="00E7071F" w:rsidP="007F543B">
            <w:pPr>
              <w:pStyle w:val="Tabletext"/>
              <w:jc w:val="center"/>
              <w:rPr>
                <w:sz w:val="24"/>
                <w:szCs w:val="24"/>
              </w:rPr>
            </w:pPr>
            <w:r w:rsidRPr="0043395E">
              <w:rPr>
                <w:sz w:val="24"/>
                <w:szCs w:val="24"/>
              </w:rPr>
              <w:t>–</w:t>
            </w:r>
          </w:p>
        </w:tc>
      </w:tr>
      <w:tr w:rsidR="000734B8" w:rsidRPr="0043395E" w14:paraId="2316327A" w14:textId="77777777" w:rsidTr="000208A0">
        <w:tc>
          <w:tcPr>
            <w:tcW w:w="534" w:type="dxa"/>
          </w:tcPr>
          <w:p w14:paraId="1C79518B" w14:textId="77777777" w:rsidR="000734B8" w:rsidRPr="0043395E" w:rsidRDefault="000734B8" w:rsidP="007F543B">
            <w:pPr>
              <w:pStyle w:val="Tabletext"/>
              <w:rPr>
                <w:sz w:val="24"/>
                <w:szCs w:val="24"/>
              </w:rPr>
            </w:pPr>
            <w:r w:rsidRPr="0043395E">
              <w:rPr>
                <w:sz w:val="24"/>
                <w:szCs w:val="24"/>
              </w:rPr>
              <w:t>10</w:t>
            </w:r>
          </w:p>
        </w:tc>
        <w:tc>
          <w:tcPr>
            <w:tcW w:w="7263" w:type="dxa"/>
          </w:tcPr>
          <w:p w14:paraId="753A0A40" w14:textId="712324B3" w:rsidR="000734B8" w:rsidRPr="0043395E" w:rsidRDefault="00D26E9B" w:rsidP="007F543B">
            <w:pPr>
              <w:pStyle w:val="Tabletext"/>
              <w:rPr>
                <w:sz w:val="24"/>
                <w:szCs w:val="24"/>
              </w:rPr>
            </w:pPr>
            <w:bookmarkStart w:id="7" w:name="_Hlk24480939"/>
            <w:r w:rsidRPr="0043395E">
              <w:rPr>
                <w:sz w:val="24"/>
                <w:szCs w:val="24"/>
              </w:rPr>
              <w:t>Rappel du délai de soumission des propositions relatives à la suppression de noms de pays dans les renvois</w:t>
            </w:r>
            <w:bookmarkEnd w:id="7"/>
          </w:p>
        </w:tc>
        <w:tc>
          <w:tcPr>
            <w:tcW w:w="2234" w:type="dxa"/>
          </w:tcPr>
          <w:p w14:paraId="4EA82166" w14:textId="77777777" w:rsidR="000734B8" w:rsidRPr="0043395E" w:rsidRDefault="000734B8" w:rsidP="007F543B">
            <w:pPr>
              <w:pStyle w:val="Tabletext"/>
              <w:jc w:val="center"/>
              <w:rPr>
                <w:sz w:val="24"/>
                <w:szCs w:val="24"/>
              </w:rPr>
            </w:pPr>
            <w:r w:rsidRPr="0043395E">
              <w:rPr>
                <w:sz w:val="24"/>
                <w:szCs w:val="24"/>
              </w:rPr>
              <w:t>131</w:t>
            </w:r>
          </w:p>
        </w:tc>
      </w:tr>
    </w:tbl>
    <w:p w14:paraId="7301E137" w14:textId="1B8E346D" w:rsidR="00D26E9B" w:rsidRPr="0043395E" w:rsidRDefault="0015203F" w:rsidP="007F543B">
      <w:pPr>
        <w:pStyle w:val="Heading1"/>
        <w:tabs>
          <w:tab w:val="clear" w:pos="1871"/>
          <w:tab w:val="clear" w:pos="2268"/>
          <w:tab w:val="left" w:pos="0"/>
        </w:tabs>
        <w:ind w:left="0" w:firstLine="0"/>
      </w:pPr>
      <w:r w:rsidRPr="0043395E">
        <w:br w:type="page"/>
      </w:r>
      <w:r w:rsidR="00D26E9B" w:rsidRPr="0043395E">
        <w:lastRenderedPageBreak/>
        <w:t>1</w:t>
      </w:r>
      <w:r w:rsidR="001C60EA" w:rsidRPr="0043395E">
        <w:tab/>
      </w:r>
      <w:r w:rsidR="00374FA7" w:rsidRPr="0043395E">
        <w:t xml:space="preserve">Remarques liminaires du Président </w:t>
      </w:r>
      <w:r w:rsidR="00D26E9B" w:rsidRPr="0043395E">
        <w:t>(Document 9)</w:t>
      </w:r>
    </w:p>
    <w:p w14:paraId="2A29FBDC" w14:textId="1BE73F73" w:rsidR="00D26E9B" w:rsidRPr="0043395E" w:rsidRDefault="00D26E9B" w:rsidP="007F543B">
      <w:r w:rsidRPr="0043395E">
        <w:t>1.1</w:t>
      </w:r>
      <w:r w:rsidRPr="0043395E">
        <w:tab/>
      </w:r>
      <w:r w:rsidR="00374FA7" w:rsidRPr="0043395E">
        <w:t>Le</w:t>
      </w:r>
      <w:r w:rsidRPr="0043395E">
        <w:t xml:space="preserve"> </w:t>
      </w:r>
      <w:r w:rsidR="00374FA7" w:rsidRPr="0043395E">
        <w:rPr>
          <w:b/>
          <w:bCs/>
        </w:rPr>
        <w:t xml:space="preserve">Président </w:t>
      </w:r>
      <w:r w:rsidR="00374FA7" w:rsidRPr="0043395E">
        <w:t xml:space="preserve">rappelle le </w:t>
      </w:r>
      <w:r w:rsidRPr="0043395E">
        <w:t xml:space="preserve">Document 9, </w:t>
      </w:r>
      <w:r w:rsidR="00374FA7" w:rsidRPr="0043395E">
        <w:t>dont la plénière a pris note</w:t>
      </w:r>
      <w:r w:rsidR="00647F61" w:rsidRPr="0043395E">
        <w:t xml:space="preserve"> à sa première séance</w:t>
      </w:r>
      <w:r w:rsidR="00374FA7" w:rsidRPr="0043395E">
        <w:t xml:space="preserve">, et </w:t>
      </w:r>
      <w:r w:rsidR="00647F61" w:rsidRPr="0043395E">
        <w:t>qu'elle a examiné plus avant à sa</w:t>
      </w:r>
      <w:r w:rsidR="00374FA7" w:rsidRPr="0043395E">
        <w:t xml:space="preserve"> deuxième </w:t>
      </w:r>
      <w:r w:rsidR="00647F61" w:rsidRPr="0043395E">
        <w:t>séance</w:t>
      </w:r>
      <w:r w:rsidR="00374FA7" w:rsidRPr="0043395E">
        <w:t>, dans lequel il est expliqué que la participation d'observateurs aux conférences, assemblées et réunions de l'Union fait l'objet de la Résolution 145 (Antalya, 2006)</w:t>
      </w:r>
      <w:r w:rsidR="00647F61" w:rsidRPr="0043395E">
        <w:t xml:space="preserve"> de la Conférence de plénipotentiaires</w:t>
      </w:r>
      <w:r w:rsidR="00374FA7" w:rsidRPr="0043395E">
        <w:t>, en ce qui concerne les droits conférés à chaque catégorie de participants.</w:t>
      </w:r>
      <w:r w:rsidR="001C60EA" w:rsidRPr="0043395E">
        <w:t xml:space="preserve"> Tous les délégués, et en particulier les Présidents des Commissions, des </w:t>
      </w:r>
      <w:r w:rsidR="00647F61" w:rsidRPr="0043395E">
        <w:t>G</w:t>
      </w:r>
      <w:r w:rsidR="001C60EA" w:rsidRPr="0043395E">
        <w:t>roupes de travail et de tous les Sous-Groupes de la Conférence, doivent tenir compte des dispositions pertinentes pour le déroulement des réunions.</w:t>
      </w:r>
      <w:r w:rsidRPr="0043395E">
        <w:t xml:space="preserve"> </w:t>
      </w:r>
    </w:p>
    <w:p w14:paraId="27AFEA95" w14:textId="16121458" w:rsidR="00D26E9B" w:rsidRPr="0043395E" w:rsidRDefault="00D26E9B" w:rsidP="007F543B">
      <w:pPr>
        <w:pStyle w:val="Heading1"/>
      </w:pPr>
      <w:r w:rsidRPr="0043395E">
        <w:t>2</w:t>
      </w:r>
      <w:r w:rsidRPr="0043395E">
        <w:tab/>
      </w:r>
      <w:r w:rsidR="001C60EA" w:rsidRPr="0043395E">
        <w:t>Rapports verbaux des Présidents des Commissions</w:t>
      </w:r>
    </w:p>
    <w:p w14:paraId="22C730CB" w14:textId="0226D91A" w:rsidR="00D26E9B" w:rsidRPr="0043395E" w:rsidRDefault="00D26E9B" w:rsidP="007F543B">
      <w:r w:rsidRPr="0043395E">
        <w:t>2.1</w:t>
      </w:r>
      <w:r w:rsidRPr="0043395E">
        <w:tab/>
      </w:r>
      <w:r w:rsidR="001C60EA" w:rsidRPr="0043395E">
        <w:t xml:space="preserve">Le </w:t>
      </w:r>
      <w:r w:rsidR="001C60EA" w:rsidRPr="0043395E">
        <w:rPr>
          <w:b/>
          <w:bCs/>
        </w:rPr>
        <w:t>Président de la Commission 2</w:t>
      </w:r>
      <w:r w:rsidR="001C60EA" w:rsidRPr="0043395E">
        <w:t xml:space="preserve"> signale que sa Commission ne s'est pas réunie depuis la plénière précédente, mais qu'elle a reçu 38 nouveaux pouvoirs, et que d'autres devraient suivre. Les </w:t>
      </w:r>
      <w:r w:rsidR="00A94642" w:rsidRPr="0043395E">
        <w:t>a</w:t>
      </w:r>
      <w:r w:rsidR="001C60EA" w:rsidRPr="0043395E">
        <w:t xml:space="preserve">dministrations qui n'ont pas encore soumis leurs pouvoirs sont instamment priées de le faire avant le 11 novembre 2019, veille de la dernière </w:t>
      </w:r>
      <w:r w:rsidR="00A94642" w:rsidRPr="0043395E">
        <w:t>séance</w:t>
      </w:r>
      <w:r w:rsidR="001C60EA" w:rsidRPr="0043395E">
        <w:t xml:space="preserve"> de la Commission 2.</w:t>
      </w:r>
    </w:p>
    <w:p w14:paraId="4EA7AD58" w14:textId="2383D987" w:rsidR="00D26E9B" w:rsidRPr="0043395E" w:rsidRDefault="00D26E9B" w:rsidP="007F543B">
      <w:pPr>
        <w:rPr>
          <w:b/>
          <w:bCs/>
        </w:rPr>
      </w:pPr>
      <w:r w:rsidRPr="0043395E">
        <w:t>2.2</w:t>
      </w:r>
      <w:r w:rsidRPr="0043395E">
        <w:tab/>
      </w:r>
      <w:r w:rsidR="00FD6474" w:rsidRPr="0043395E">
        <w:t xml:space="preserve">Il est </w:t>
      </w:r>
      <w:r w:rsidR="00FD6474" w:rsidRPr="0043395E">
        <w:rPr>
          <w:b/>
          <w:bCs/>
        </w:rPr>
        <w:t>pris note</w:t>
      </w:r>
      <w:r w:rsidR="00FD6474" w:rsidRPr="0043395E">
        <w:t xml:space="preserve"> du</w:t>
      </w:r>
      <w:r w:rsidR="001C60EA" w:rsidRPr="0043395E">
        <w:t xml:space="preserve"> rapport verbal du Président de la Commission 2</w:t>
      </w:r>
      <w:r w:rsidR="00FD6474" w:rsidRPr="0043395E">
        <w:t>.</w:t>
      </w:r>
    </w:p>
    <w:p w14:paraId="11B1DB65" w14:textId="2E494C6D" w:rsidR="00D26E9B" w:rsidRPr="0043395E" w:rsidRDefault="00D26E9B" w:rsidP="007F543B">
      <w:r w:rsidRPr="0043395E">
        <w:t>2.3</w:t>
      </w:r>
      <w:r w:rsidRPr="0043395E">
        <w:tab/>
      </w:r>
      <w:r w:rsidR="00FD6474" w:rsidRPr="0043395E">
        <w:t xml:space="preserve">Le </w:t>
      </w:r>
      <w:r w:rsidR="00FD6474" w:rsidRPr="0043395E">
        <w:rPr>
          <w:b/>
          <w:bCs/>
        </w:rPr>
        <w:t>Président de la</w:t>
      </w:r>
      <w:r w:rsidR="00FD6474" w:rsidRPr="0043395E">
        <w:t xml:space="preserve"> </w:t>
      </w:r>
      <w:r w:rsidR="00FD6474" w:rsidRPr="0043395E">
        <w:rPr>
          <w:b/>
          <w:bCs/>
        </w:rPr>
        <w:t>Commission</w:t>
      </w:r>
      <w:r w:rsidRPr="0043395E">
        <w:rPr>
          <w:b/>
          <w:bCs/>
        </w:rPr>
        <w:t xml:space="preserve"> 3</w:t>
      </w:r>
      <w:r w:rsidRPr="0043395E">
        <w:t xml:space="preserve"> </w:t>
      </w:r>
      <w:r w:rsidR="00FD6474" w:rsidRPr="0043395E">
        <w:t xml:space="preserve">indique que sa Commission ne s'est pas réunie depuis la plénière </w:t>
      </w:r>
      <w:r w:rsidR="00A94642" w:rsidRPr="0043395E">
        <w:t xml:space="preserve">précédente </w:t>
      </w:r>
      <w:r w:rsidR="00FD6474" w:rsidRPr="0043395E">
        <w:t xml:space="preserve">et qu'à ce jour, elle n'a reçu aucune décision ou proposition pouvant avoir une incidence sur le </w:t>
      </w:r>
      <w:r w:rsidRPr="0043395E">
        <w:t xml:space="preserve">budget. </w:t>
      </w:r>
    </w:p>
    <w:p w14:paraId="6F3A5DAC" w14:textId="47118818" w:rsidR="00D26E9B" w:rsidRPr="0043395E" w:rsidRDefault="00D26E9B" w:rsidP="007F543B">
      <w:pPr>
        <w:rPr>
          <w:b/>
          <w:bCs/>
        </w:rPr>
      </w:pPr>
      <w:r w:rsidRPr="0043395E">
        <w:t>2.4</w:t>
      </w:r>
      <w:r w:rsidRPr="0043395E">
        <w:tab/>
      </w:r>
      <w:r w:rsidR="00FD6474" w:rsidRPr="0043395E">
        <w:t xml:space="preserve">Il est </w:t>
      </w:r>
      <w:r w:rsidR="00FD6474" w:rsidRPr="0043395E">
        <w:rPr>
          <w:b/>
          <w:bCs/>
        </w:rPr>
        <w:t>pris note</w:t>
      </w:r>
      <w:r w:rsidR="00FD6474" w:rsidRPr="0043395E">
        <w:t xml:space="preserve"> du rapport verbal du Président de la Commission </w:t>
      </w:r>
      <w:r w:rsidRPr="0043395E">
        <w:t>3</w:t>
      </w:r>
      <w:r w:rsidRPr="0043395E">
        <w:rPr>
          <w:b/>
          <w:bCs/>
        </w:rPr>
        <w:t>.</w:t>
      </w:r>
    </w:p>
    <w:p w14:paraId="2D28813A" w14:textId="2AF10045" w:rsidR="00D26E9B" w:rsidRPr="0043395E" w:rsidRDefault="00D26E9B" w:rsidP="007F543B">
      <w:r w:rsidRPr="0043395E">
        <w:t>2.5</w:t>
      </w:r>
      <w:r w:rsidRPr="0043395E">
        <w:tab/>
      </w:r>
      <w:r w:rsidR="00FD6474" w:rsidRPr="0043395E">
        <w:t xml:space="preserve">Le </w:t>
      </w:r>
      <w:r w:rsidR="00FD6474" w:rsidRPr="0043395E">
        <w:rPr>
          <w:b/>
          <w:bCs/>
        </w:rPr>
        <w:t>Président de la</w:t>
      </w:r>
      <w:r w:rsidR="00FD6474" w:rsidRPr="0043395E">
        <w:t xml:space="preserve"> </w:t>
      </w:r>
      <w:r w:rsidR="00FD6474" w:rsidRPr="0043395E">
        <w:rPr>
          <w:b/>
          <w:bCs/>
        </w:rPr>
        <w:t xml:space="preserve">Commission </w:t>
      </w:r>
      <w:r w:rsidRPr="0043395E">
        <w:rPr>
          <w:b/>
          <w:bCs/>
        </w:rPr>
        <w:t xml:space="preserve">4 </w:t>
      </w:r>
      <w:r w:rsidR="00FD6474" w:rsidRPr="0043395E">
        <w:t xml:space="preserve">signale que sa Commission s'est réunie une fois depuis la plénière précédente et a approuvé plusieurs </w:t>
      </w:r>
      <w:r w:rsidRPr="0043395E">
        <w:t xml:space="preserve">documents </w:t>
      </w:r>
      <w:r w:rsidR="00FD6474" w:rsidRPr="0043395E">
        <w:t>qu'elle a transmis directement à la Commission de rédaction</w:t>
      </w:r>
      <w:r w:rsidRPr="0043395E">
        <w:t xml:space="preserve">. </w:t>
      </w:r>
      <w:r w:rsidR="00FD6474" w:rsidRPr="0043395E">
        <w:t>Ses groupes et sous-groupes continueront leurs discussions et espèrent progresser dans les tâches qui leur ont été confiées.</w:t>
      </w:r>
    </w:p>
    <w:p w14:paraId="05F25DB9" w14:textId="4D5A4EA3" w:rsidR="00D26E9B" w:rsidRPr="0043395E" w:rsidRDefault="00D26E9B" w:rsidP="007F543B">
      <w:r w:rsidRPr="0043395E">
        <w:t>2.6</w:t>
      </w:r>
      <w:r w:rsidRPr="0043395E">
        <w:tab/>
      </w:r>
      <w:r w:rsidR="00FD6474" w:rsidRPr="0043395E">
        <w:t xml:space="preserve">Il est </w:t>
      </w:r>
      <w:r w:rsidR="00FD6474" w:rsidRPr="0043395E">
        <w:rPr>
          <w:b/>
          <w:bCs/>
        </w:rPr>
        <w:t>pris note</w:t>
      </w:r>
      <w:r w:rsidR="00FD6474" w:rsidRPr="0043395E">
        <w:t xml:space="preserve"> du rapport verbal du Président de la Commission 4.</w:t>
      </w:r>
    </w:p>
    <w:p w14:paraId="7A0359E1" w14:textId="4426C978" w:rsidR="00E217E6" w:rsidRPr="0043395E" w:rsidRDefault="00D26E9B" w:rsidP="007F543B">
      <w:r w:rsidRPr="0043395E">
        <w:t>2.7</w:t>
      </w:r>
      <w:r w:rsidRPr="0043395E">
        <w:tab/>
      </w:r>
      <w:r w:rsidR="00FD6474" w:rsidRPr="0043395E">
        <w:t xml:space="preserve">Le </w:t>
      </w:r>
      <w:r w:rsidR="00FD6474" w:rsidRPr="0043395E">
        <w:rPr>
          <w:b/>
          <w:bCs/>
        </w:rPr>
        <w:t>Président de la</w:t>
      </w:r>
      <w:r w:rsidR="00FD6474" w:rsidRPr="0043395E">
        <w:t xml:space="preserve"> </w:t>
      </w:r>
      <w:r w:rsidR="00FD6474" w:rsidRPr="0043395E">
        <w:rPr>
          <w:b/>
          <w:bCs/>
        </w:rPr>
        <w:t xml:space="preserve">Commission </w:t>
      </w:r>
      <w:r w:rsidRPr="0043395E">
        <w:rPr>
          <w:b/>
          <w:bCs/>
        </w:rPr>
        <w:t xml:space="preserve">5 </w:t>
      </w:r>
      <w:r w:rsidR="00FD6474" w:rsidRPr="0043395E">
        <w:t xml:space="preserve">fait savoir que </w:t>
      </w:r>
      <w:r w:rsidR="00E217E6" w:rsidRPr="0043395E">
        <w:t xml:space="preserve">les groupes et sous-groupes de travail de sa Commission </w:t>
      </w:r>
      <w:r w:rsidR="00A94642" w:rsidRPr="0043395E">
        <w:t>continuent de travailler sur</w:t>
      </w:r>
      <w:r w:rsidR="00E217E6" w:rsidRPr="0043395E">
        <w:t xml:space="preserve"> les questions d</w:t>
      </w:r>
      <w:r w:rsidR="00A94642" w:rsidRPr="0043395E">
        <w:t>élicates</w:t>
      </w:r>
      <w:r w:rsidR="00E217E6" w:rsidRPr="0043395E">
        <w:t xml:space="preserve"> qui leur ont été </w:t>
      </w:r>
      <w:r w:rsidR="00A94642" w:rsidRPr="0043395E">
        <w:t>confiées</w:t>
      </w:r>
      <w:r w:rsidR="00E217E6" w:rsidRPr="0043395E">
        <w:t xml:space="preserve">, et que pour certains points de l'ordre du jour, les travaux arrivent à leur fin, alors que pour d'autres, </w:t>
      </w:r>
      <w:r w:rsidR="00A94642" w:rsidRPr="0043395E">
        <w:t>les</w:t>
      </w:r>
      <w:r w:rsidR="00E217E6" w:rsidRPr="0043395E">
        <w:t xml:space="preserve"> discussions </w:t>
      </w:r>
      <w:r w:rsidR="00A94642" w:rsidRPr="0043395E">
        <w:t>doivent se poursuivre</w:t>
      </w:r>
      <w:r w:rsidR="00E217E6" w:rsidRPr="0043395E">
        <w:t>.</w:t>
      </w:r>
    </w:p>
    <w:p w14:paraId="764DE6AF" w14:textId="6A278280" w:rsidR="00D26E9B" w:rsidRPr="0043395E" w:rsidRDefault="00D26E9B" w:rsidP="007F543B">
      <w:r w:rsidRPr="0043395E">
        <w:t>2.8</w:t>
      </w:r>
      <w:r w:rsidRPr="0043395E">
        <w:tab/>
      </w:r>
      <w:r w:rsidR="007C2D59" w:rsidRPr="0043395E">
        <w:t xml:space="preserve">Il est </w:t>
      </w:r>
      <w:r w:rsidR="007C2D59" w:rsidRPr="0043395E">
        <w:rPr>
          <w:b/>
          <w:bCs/>
        </w:rPr>
        <w:t>pris note</w:t>
      </w:r>
      <w:r w:rsidR="007C2D59" w:rsidRPr="0043395E">
        <w:t xml:space="preserve"> du rapport verbal du Président de la Commission 5.</w:t>
      </w:r>
    </w:p>
    <w:p w14:paraId="2597AF94" w14:textId="5981BFBD" w:rsidR="00D26E9B" w:rsidRPr="0043395E" w:rsidRDefault="00D26E9B" w:rsidP="007F543B">
      <w:r w:rsidRPr="0043395E">
        <w:t>2.9</w:t>
      </w:r>
      <w:r w:rsidRPr="0043395E">
        <w:tab/>
      </w:r>
      <w:r w:rsidR="007C2D59" w:rsidRPr="0043395E">
        <w:t xml:space="preserve">Le </w:t>
      </w:r>
      <w:r w:rsidR="007C2D59" w:rsidRPr="0043395E">
        <w:rPr>
          <w:b/>
          <w:bCs/>
        </w:rPr>
        <w:t>Président de la</w:t>
      </w:r>
      <w:r w:rsidR="007C2D59" w:rsidRPr="0043395E">
        <w:t xml:space="preserve"> </w:t>
      </w:r>
      <w:r w:rsidR="007C2D59" w:rsidRPr="0043395E">
        <w:rPr>
          <w:b/>
          <w:bCs/>
        </w:rPr>
        <w:t xml:space="preserve">Commission </w:t>
      </w:r>
      <w:r w:rsidRPr="0043395E">
        <w:rPr>
          <w:b/>
          <w:bCs/>
        </w:rPr>
        <w:t xml:space="preserve">6 </w:t>
      </w:r>
      <w:r w:rsidR="007C2D59" w:rsidRPr="0043395E">
        <w:t>signale que sa Commission s'est réunie une fois depuis la plénière précédente et qu'elle a transmis des documents concernant certains points de l'ordre du jour à la Commission de rédaction</w:t>
      </w:r>
      <w:r w:rsidRPr="0043395E">
        <w:t xml:space="preserve">. </w:t>
      </w:r>
      <w:r w:rsidR="007C2D59" w:rsidRPr="0043395E">
        <w:t>Des discussions formelles et informelles relatives aux autres points de l'ordre du jour qui lui ont été attribués sont toujours en cours.</w:t>
      </w:r>
      <w:r w:rsidRPr="0043395E">
        <w:t xml:space="preserve"> </w:t>
      </w:r>
    </w:p>
    <w:p w14:paraId="473778BD" w14:textId="4256A850" w:rsidR="00D26E9B" w:rsidRPr="0043395E" w:rsidRDefault="00D26E9B" w:rsidP="007F543B">
      <w:r w:rsidRPr="0043395E">
        <w:t>2.10</w:t>
      </w:r>
      <w:r w:rsidRPr="0043395E">
        <w:tab/>
      </w:r>
      <w:r w:rsidR="007C2D59" w:rsidRPr="0043395E">
        <w:t xml:space="preserve">Il est </w:t>
      </w:r>
      <w:r w:rsidR="007C2D59" w:rsidRPr="0043395E">
        <w:rPr>
          <w:b/>
          <w:bCs/>
        </w:rPr>
        <w:t>pris note</w:t>
      </w:r>
      <w:r w:rsidR="007C2D59" w:rsidRPr="0043395E">
        <w:t xml:space="preserve"> du rapport verbal du Président de la Commission 6</w:t>
      </w:r>
      <w:r w:rsidRPr="0043395E">
        <w:t>.</w:t>
      </w:r>
    </w:p>
    <w:p w14:paraId="361FB870" w14:textId="342134A5" w:rsidR="00D26E9B" w:rsidRPr="0043395E" w:rsidRDefault="00D26E9B" w:rsidP="007F543B">
      <w:r w:rsidRPr="0043395E">
        <w:t>2.11</w:t>
      </w:r>
      <w:r w:rsidRPr="0043395E">
        <w:tab/>
      </w:r>
      <w:r w:rsidR="007C2D59" w:rsidRPr="0043395E">
        <w:t xml:space="preserve">Le </w:t>
      </w:r>
      <w:r w:rsidR="007C2D59" w:rsidRPr="0043395E">
        <w:rPr>
          <w:b/>
          <w:bCs/>
        </w:rPr>
        <w:t>Président de la</w:t>
      </w:r>
      <w:r w:rsidR="007C2D59" w:rsidRPr="0043395E">
        <w:t xml:space="preserve"> </w:t>
      </w:r>
      <w:r w:rsidR="007C2D59" w:rsidRPr="0043395E">
        <w:rPr>
          <w:b/>
          <w:bCs/>
        </w:rPr>
        <w:t xml:space="preserve">Commission </w:t>
      </w:r>
      <w:r w:rsidRPr="0043395E">
        <w:rPr>
          <w:b/>
          <w:bCs/>
        </w:rPr>
        <w:t xml:space="preserve">7 </w:t>
      </w:r>
      <w:r w:rsidR="007C2D59" w:rsidRPr="0043395E">
        <w:t>indique que sa Commission s'est réunie la veille et qu'elle a établi la version finale de trois série</w:t>
      </w:r>
      <w:r w:rsidR="00663A1D" w:rsidRPr="0043395E">
        <w:t>s</w:t>
      </w:r>
      <w:r w:rsidR="007C2D59" w:rsidRPr="0043395E">
        <w:t xml:space="preserve"> de textes qui sont soumis pour examen </w:t>
      </w:r>
      <w:r w:rsidR="004F0FCA" w:rsidRPr="0043395E">
        <w:t>à</w:t>
      </w:r>
      <w:r w:rsidR="007C2D59" w:rsidRPr="0043395E">
        <w:t xml:space="preserve"> la plénière en première lecture</w:t>
      </w:r>
      <w:r w:rsidRPr="0043395E">
        <w:t>.</w:t>
      </w:r>
    </w:p>
    <w:p w14:paraId="79F368FD" w14:textId="3BF01D6C" w:rsidR="00D26E9B" w:rsidRPr="0043395E" w:rsidRDefault="00D26E9B" w:rsidP="007F543B">
      <w:r w:rsidRPr="0043395E">
        <w:t>2.12</w:t>
      </w:r>
      <w:r w:rsidRPr="0043395E">
        <w:tab/>
      </w:r>
      <w:r w:rsidR="004F0FCA" w:rsidRPr="0043395E">
        <w:t xml:space="preserve">Il est </w:t>
      </w:r>
      <w:r w:rsidR="004F0FCA" w:rsidRPr="0043395E">
        <w:rPr>
          <w:b/>
          <w:bCs/>
        </w:rPr>
        <w:t>pris note</w:t>
      </w:r>
      <w:r w:rsidR="004F0FCA" w:rsidRPr="0043395E">
        <w:t xml:space="preserve"> du rapport verbal du Président de la Commission 7</w:t>
      </w:r>
      <w:r w:rsidRPr="0043395E">
        <w:t>.</w:t>
      </w:r>
    </w:p>
    <w:p w14:paraId="0A0FBCFB" w14:textId="1CE59BCB" w:rsidR="00D26E9B" w:rsidRPr="0043395E" w:rsidRDefault="00D26E9B" w:rsidP="007F543B">
      <w:pPr>
        <w:pStyle w:val="Heading1"/>
      </w:pPr>
      <w:r w:rsidRPr="0043395E">
        <w:t>3</w:t>
      </w:r>
      <w:r w:rsidRPr="0043395E">
        <w:tab/>
      </w:r>
      <w:r w:rsidR="004F0FCA" w:rsidRPr="0043395E">
        <w:t>Cinquième série de textes soumis à la Commission de rédaction en première lecture</w:t>
      </w:r>
      <w:r w:rsidRPr="0043395E">
        <w:t xml:space="preserve"> (B5) (Document 221)</w:t>
      </w:r>
    </w:p>
    <w:p w14:paraId="18D1A175" w14:textId="323429D1" w:rsidR="00D26E9B" w:rsidRPr="0043395E" w:rsidRDefault="00D26E9B" w:rsidP="007F543B">
      <w:r w:rsidRPr="0043395E">
        <w:t>3.1</w:t>
      </w:r>
      <w:r w:rsidRPr="0043395E">
        <w:tab/>
      </w:r>
      <w:r w:rsidR="004F0FCA" w:rsidRPr="0043395E">
        <w:t xml:space="preserve">Le </w:t>
      </w:r>
      <w:r w:rsidR="004F0FCA" w:rsidRPr="0043395E">
        <w:rPr>
          <w:b/>
          <w:bCs/>
        </w:rPr>
        <w:t xml:space="preserve">Président de la Commission de rédaction </w:t>
      </w:r>
      <w:r w:rsidR="004F0FCA" w:rsidRPr="0043395E">
        <w:t>présent</w:t>
      </w:r>
      <w:r w:rsidR="006056FD" w:rsidRPr="0043395E">
        <w:t>e</w:t>
      </w:r>
      <w:r w:rsidR="004F0FCA" w:rsidRPr="0043395E">
        <w:t xml:space="preserve"> le </w:t>
      </w:r>
      <w:r w:rsidRPr="0043395E">
        <w:t>Document 221.</w:t>
      </w:r>
    </w:p>
    <w:p w14:paraId="3D2BC8CA" w14:textId="00BD2059" w:rsidR="00D26E9B" w:rsidRPr="0043395E" w:rsidRDefault="00D26E9B" w:rsidP="007F543B">
      <w:r w:rsidRPr="0043395E">
        <w:t>3.2</w:t>
      </w:r>
      <w:r w:rsidRPr="0043395E">
        <w:tab/>
      </w:r>
      <w:r w:rsidR="004F0FCA" w:rsidRPr="0043395E">
        <w:t xml:space="preserve">Le </w:t>
      </w:r>
      <w:r w:rsidR="004F0FCA" w:rsidRPr="0043395E">
        <w:rPr>
          <w:b/>
          <w:bCs/>
        </w:rPr>
        <w:t xml:space="preserve">Président </w:t>
      </w:r>
      <w:r w:rsidRPr="0043395E">
        <w:t>invite</w:t>
      </w:r>
      <w:r w:rsidR="004F0FCA" w:rsidRPr="0043395E">
        <w:t xml:space="preserve"> les</w:t>
      </w:r>
      <w:r w:rsidRPr="0043395E">
        <w:t xml:space="preserve"> participants </w:t>
      </w:r>
      <w:r w:rsidR="004F0FCA" w:rsidRPr="0043395E">
        <w:t xml:space="preserve">à examiner le </w:t>
      </w:r>
      <w:r w:rsidRPr="0043395E">
        <w:t>Document 221.</w:t>
      </w:r>
    </w:p>
    <w:p w14:paraId="53C2CB91" w14:textId="3C50F023" w:rsidR="00D26E9B" w:rsidRPr="0043395E" w:rsidRDefault="00D26E9B" w:rsidP="00181D40">
      <w:pPr>
        <w:pStyle w:val="Headingb"/>
      </w:pPr>
      <w:r w:rsidRPr="0043395E">
        <w:lastRenderedPageBreak/>
        <w:t>Appendi</w:t>
      </w:r>
      <w:r w:rsidR="004F0FCA" w:rsidRPr="0043395E">
        <w:t>ce</w:t>
      </w:r>
      <w:r w:rsidRPr="0043395E">
        <w:t xml:space="preserve"> 27 (MOD Tit</w:t>
      </w:r>
      <w:r w:rsidR="004F0FCA" w:rsidRPr="0043395E">
        <w:t>r</w:t>
      </w:r>
      <w:r w:rsidRPr="0043395E">
        <w:t>e, Article 2 – MOD 27/114, MOD 27/116, MOD 27/117, MOD 27/121, MOD 27/130, MOD 27/132, MOD 27/133)</w:t>
      </w:r>
    </w:p>
    <w:p w14:paraId="73085FE0" w14:textId="105DB5F0" w:rsidR="00D26E9B" w:rsidRPr="0043395E" w:rsidRDefault="00D26E9B" w:rsidP="007F543B">
      <w:r w:rsidRPr="0043395E">
        <w:t>3.3</w:t>
      </w:r>
      <w:r w:rsidRPr="0043395E">
        <w:tab/>
      </w:r>
      <w:r w:rsidRPr="0043395E">
        <w:rPr>
          <w:b/>
          <w:bCs/>
        </w:rPr>
        <w:t>Appro</w:t>
      </w:r>
      <w:r w:rsidR="004F0FCA" w:rsidRPr="0043395E">
        <w:rPr>
          <w:b/>
          <w:bCs/>
        </w:rPr>
        <w:t>uvés</w:t>
      </w:r>
      <w:r w:rsidRPr="0043395E">
        <w:t>.</w:t>
      </w:r>
    </w:p>
    <w:p w14:paraId="23530B4A" w14:textId="25535AA4" w:rsidR="00D26E9B" w:rsidRPr="0043395E" w:rsidRDefault="00D26E9B" w:rsidP="007F543B">
      <w:r w:rsidRPr="0043395E">
        <w:t>3.4</w:t>
      </w:r>
      <w:r w:rsidRPr="0043395E">
        <w:tab/>
      </w:r>
      <w:r w:rsidR="004F0FCA" w:rsidRPr="0043395E">
        <w:t xml:space="preserve">La cinquième série de textes soumis par la Commission de rédaction en première lecture </w:t>
      </w:r>
      <w:r w:rsidRPr="0043395E">
        <w:t xml:space="preserve">(B5) (Document 221) </w:t>
      </w:r>
      <w:r w:rsidR="004F0FCA" w:rsidRPr="0043395E">
        <w:t xml:space="preserve">est </w:t>
      </w:r>
      <w:r w:rsidRPr="0043395E">
        <w:rPr>
          <w:b/>
          <w:bCs/>
        </w:rPr>
        <w:t>appro</w:t>
      </w:r>
      <w:r w:rsidR="004F0FCA" w:rsidRPr="0043395E">
        <w:rPr>
          <w:b/>
          <w:bCs/>
        </w:rPr>
        <w:t>uvée</w:t>
      </w:r>
      <w:r w:rsidRPr="0043395E">
        <w:t>.</w:t>
      </w:r>
    </w:p>
    <w:p w14:paraId="43E4D38D" w14:textId="560D75BB" w:rsidR="00D26E9B" w:rsidRPr="0043395E" w:rsidRDefault="00D26E9B" w:rsidP="007F543B">
      <w:pPr>
        <w:pStyle w:val="Heading1"/>
      </w:pPr>
      <w:r w:rsidRPr="0043395E">
        <w:t>4</w:t>
      </w:r>
      <w:r w:rsidRPr="0043395E">
        <w:tab/>
      </w:r>
      <w:r w:rsidR="004F0FCA" w:rsidRPr="0043395E">
        <w:t>Cinquième série de textes soumis par la Commission de rédaction (B5)</w:t>
      </w:r>
      <w:r w:rsidR="00304A31">
        <w:t> </w:t>
      </w:r>
      <w:r w:rsidR="004F0FCA" w:rsidRPr="0043395E">
        <w:t xml:space="preserve">– deuxième lecture </w:t>
      </w:r>
      <w:r w:rsidRPr="0043395E">
        <w:t>(Document 221)</w:t>
      </w:r>
    </w:p>
    <w:p w14:paraId="3C948E82" w14:textId="431852F1" w:rsidR="00D26E9B" w:rsidRPr="0043395E" w:rsidRDefault="00D26E9B" w:rsidP="007F543B">
      <w:r w:rsidRPr="0043395E">
        <w:t>4.1</w:t>
      </w:r>
      <w:r w:rsidRPr="0043395E">
        <w:tab/>
      </w:r>
      <w:r w:rsidR="004F0FCA" w:rsidRPr="0043395E">
        <w:t xml:space="preserve">La cinquième série de textes soumis par la Commission de rédaction </w:t>
      </w:r>
      <w:r w:rsidRPr="0043395E">
        <w:t>(B5) (Document</w:t>
      </w:r>
      <w:r w:rsidR="00A20DDE" w:rsidRPr="0043395E">
        <w:t> </w:t>
      </w:r>
      <w:r w:rsidRPr="0043395E">
        <w:t xml:space="preserve">221) </w:t>
      </w:r>
      <w:r w:rsidR="004F0FCA" w:rsidRPr="0043395E">
        <w:t xml:space="preserve">est </w:t>
      </w:r>
      <w:r w:rsidRPr="0043395E">
        <w:rPr>
          <w:b/>
          <w:bCs/>
        </w:rPr>
        <w:t>appro</w:t>
      </w:r>
      <w:r w:rsidR="004F0FCA" w:rsidRPr="0043395E">
        <w:rPr>
          <w:b/>
          <w:bCs/>
        </w:rPr>
        <w:t>uvée</w:t>
      </w:r>
      <w:r w:rsidRPr="0043395E">
        <w:t xml:space="preserve"> </w:t>
      </w:r>
      <w:r w:rsidR="004F0FCA" w:rsidRPr="0043395E">
        <w:t>en deuxième lecture</w:t>
      </w:r>
      <w:r w:rsidRPr="0043395E">
        <w:t>.</w:t>
      </w:r>
    </w:p>
    <w:p w14:paraId="2A2BD33D" w14:textId="519AA1F2" w:rsidR="00D26E9B" w:rsidRPr="0043395E" w:rsidRDefault="00D26E9B" w:rsidP="007F543B">
      <w:pPr>
        <w:pStyle w:val="Heading1"/>
      </w:pPr>
      <w:r w:rsidRPr="0043395E">
        <w:t>5</w:t>
      </w:r>
      <w:r w:rsidRPr="0043395E">
        <w:tab/>
      </w:r>
      <w:r w:rsidR="004F0FCA" w:rsidRPr="0043395E">
        <w:t xml:space="preserve">Sixième série de textes soumis par la Commission de rédaction en première lecture </w:t>
      </w:r>
      <w:r w:rsidRPr="0043395E">
        <w:t>(B6) (Document 222)</w:t>
      </w:r>
    </w:p>
    <w:p w14:paraId="6E53A5F9" w14:textId="7EC079D8" w:rsidR="00D26E9B" w:rsidRPr="0043395E" w:rsidRDefault="00D26E9B" w:rsidP="007F543B">
      <w:r w:rsidRPr="0043395E">
        <w:t>5.1</w:t>
      </w:r>
      <w:r w:rsidRPr="0043395E">
        <w:tab/>
      </w:r>
      <w:r w:rsidR="004F0FCA" w:rsidRPr="0043395E">
        <w:t>L</w:t>
      </w:r>
      <w:r w:rsidRPr="0043395E">
        <w:t xml:space="preserve">e </w:t>
      </w:r>
      <w:r w:rsidR="004F0FCA" w:rsidRPr="0043395E">
        <w:rPr>
          <w:b/>
          <w:bCs/>
        </w:rPr>
        <w:t>Président de la Commission de rédaction</w:t>
      </w:r>
      <w:r w:rsidRPr="0043395E">
        <w:t xml:space="preserve"> </w:t>
      </w:r>
      <w:r w:rsidR="004F0FCA" w:rsidRPr="0043395E">
        <w:t xml:space="preserve">présente le </w:t>
      </w:r>
      <w:r w:rsidRPr="0043395E">
        <w:t>Document 222.</w:t>
      </w:r>
    </w:p>
    <w:p w14:paraId="1A1320FE" w14:textId="234CB732" w:rsidR="00D26E9B" w:rsidRPr="0043395E" w:rsidRDefault="00D26E9B" w:rsidP="007F543B">
      <w:r w:rsidRPr="0043395E">
        <w:t>5.2</w:t>
      </w:r>
      <w:r w:rsidRPr="0043395E">
        <w:tab/>
      </w:r>
      <w:r w:rsidR="004F0FCA" w:rsidRPr="0043395E">
        <w:t>Le</w:t>
      </w:r>
      <w:r w:rsidRPr="0043395E">
        <w:t xml:space="preserve"> </w:t>
      </w:r>
      <w:r w:rsidR="004F0FCA" w:rsidRPr="0043395E">
        <w:rPr>
          <w:b/>
          <w:bCs/>
        </w:rPr>
        <w:t xml:space="preserve">délégué des </w:t>
      </w:r>
      <w:r w:rsidR="00A20DDE" w:rsidRPr="0043395E">
        <w:rPr>
          <w:b/>
          <w:bCs/>
        </w:rPr>
        <w:t>É</w:t>
      </w:r>
      <w:r w:rsidR="004F0FCA" w:rsidRPr="0043395E">
        <w:rPr>
          <w:b/>
          <w:bCs/>
        </w:rPr>
        <w:t>tats-Unis</w:t>
      </w:r>
      <w:r w:rsidRPr="0043395E">
        <w:t xml:space="preserve"> </w:t>
      </w:r>
      <w:r w:rsidR="004F0FCA" w:rsidRPr="0043395E">
        <w:t xml:space="preserve">demande que l'examen des </w:t>
      </w:r>
      <w:r w:rsidR="006056FD" w:rsidRPr="0043395E">
        <w:t>modifications apportées à</w:t>
      </w:r>
      <w:r w:rsidR="004F0FCA" w:rsidRPr="0043395E">
        <w:t xml:space="preserve"> la Résolution </w:t>
      </w:r>
      <w:r w:rsidRPr="0043395E">
        <w:t>27 (R</w:t>
      </w:r>
      <w:r w:rsidR="006056FD" w:rsidRPr="0043395E">
        <w:t>é</w:t>
      </w:r>
      <w:r w:rsidRPr="0043395E">
        <w:t>v.</w:t>
      </w:r>
      <w:r w:rsidR="006056FD" w:rsidRPr="0043395E">
        <w:t>CMR</w:t>
      </w:r>
      <w:r w:rsidRPr="0043395E">
        <w:t xml:space="preserve">-12) </w:t>
      </w:r>
      <w:r w:rsidR="004F0FCA" w:rsidRPr="0043395E">
        <w:t xml:space="preserve">et </w:t>
      </w:r>
      <w:r w:rsidR="006056FD" w:rsidRPr="0043395E">
        <w:t xml:space="preserve">de </w:t>
      </w:r>
      <w:r w:rsidR="004F0FCA" w:rsidRPr="0043395E">
        <w:t xml:space="preserve">la </w:t>
      </w:r>
      <w:r w:rsidRPr="0043395E">
        <w:t xml:space="preserve">suppression </w:t>
      </w:r>
      <w:r w:rsidR="004F0FCA" w:rsidRPr="0043395E">
        <w:t xml:space="preserve">de la </w:t>
      </w:r>
      <w:r w:rsidRPr="0043395E">
        <w:t>R</w:t>
      </w:r>
      <w:r w:rsidR="004F0FCA" w:rsidRPr="0043395E">
        <w:t>é</w:t>
      </w:r>
      <w:r w:rsidRPr="0043395E">
        <w:t>solution 28 (R</w:t>
      </w:r>
      <w:r w:rsidR="004F0FCA" w:rsidRPr="0043395E">
        <w:t>é</w:t>
      </w:r>
      <w:r w:rsidRPr="0043395E">
        <w:t>v.</w:t>
      </w:r>
      <w:r w:rsidR="004F0FCA" w:rsidRPr="0043395E">
        <w:t>CMR</w:t>
      </w:r>
      <w:r w:rsidRPr="0043395E">
        <w:t xml:space="preserve">-15) </w:t>
      </w:r>
      <w:r w:rsidR="004F0FCA" w:rsidRPr="0043395E">
        <w:t xml:space="preserve">soient reportés à la sixième plénière pour laisser </w:t>
      </w:r>
      <w:r w:rsidR="006056FD" w:rsidRPr="0043395E">
        <w:t>plus de</w:t>
      </w:r>
      <w:r w:rsidR="004F0FCA" w:rsidRPr="0043395E">
        <w:t xml:space="preserve"> temps </w:t>
      </w:r>
      <w:r w:rsidR="006056FD" w:rsidRPr="0043395E">
        <w:t>pour les</w:t>
      </w:r>
      <w:r w:rsidR="004F0FCA" w:rsidRPr="0043395E">
        <w:t xml:space="preserve"> consultations juridiques.</w:t>
      </w:r>
    </w:p>
    <w:p w14:paraId="6AE57A86" w14:textId="0D6F36B3" w:rsidR="00D26E9B" w:rsidRPr="0043395E" w:rsidRDefault="00D26E9B" w:rsidP="007F543B">
      <w:r w:rsidRPr="0043395E">
        <w:t>5.3</w:t>
      </w:r>
      <w:r w:rsidRPr="0043395E">
        <w:tab/>
      </w:r>
      <w:r w:rsidR="004F0FCA" w:rsidRPr="0043395E">
        <w:t xml:space="preserve">Il en est ainsi </w:t>
      </w:r>
      <w:r w:rsidR="004F0FCA" w:rsidRPr="0043395E">
        <w:rPr>
          <w:b/>
          <w:bCs/>
        </w:rPr>
        <w:t>décidé</w:t>
      </w:r>
      <w:r w:rsidRPr="0043395E">
        <w:t>.</w:t>
      </w:r>
    </w:p>
    <w:p w14:paraId="009A671C" w14:textId="089969EE" w:rsidR="00D26E9B" w:rsidRPr="0043395E" w:rsidRDefault="00D26E9B" w:rsidP="007F543B">
      <w:r w:rsidRPr="0043395E">
        <w:t>5.4</w:t>
      </w:r>
      <w:r w:rsidRPr="0043395E">
        <w:tab/>
      </w:r>
      <w:r w:rsidR="004F0FCA" w:rsidRPr="0043395E">
        <w:t>Le</w:t>
      </w:r>
      <w:r w:rsidRPr="0043395E">
        <w:t xml:space="preserve"> </w:t>
      </w:r>
      <w:r w:rsidR="004F0FCA" w:rsidRPr="0043395E">
        <w:rPr>
          <w:b/>
          <w:bCs/>
        </w:rPr>
        <w:t xml:space="preserve">Président </w:t>
      </w:r>
      <w:r w:rsidRPr="0043395E">
        <w:t>invite</w:t>
      </w:r>
      <w:r w:rsidR="004F0FCA" w:rsidRPr="0043395E">
        <w:t xml:space="preserve"> les</w:t>
      </w:r>
      <w:r w:rsidRPr="0043395E">
        <w:t xml:space="preserve"> participants </w:t>
      </w:r>
      <w:r w:rsidR="004F0FCA" w:rsidRPr="0043395E">
        <w:t xml:space="preserve">à examiner le </w:t>
      </w:r>
      <w:r w:rsidRPr="0043395E">
        <w:t xml:space="preserve">Document 222, </w:t>
      </w:r>
      <w:r w:rsidR="007859C5" w:rsidRPr="0043395E">
        <w:t>à l'</w:t>
      </w:r>
      <w:r w:rsidRPr="0043395E">
        <w:t xml:space="preserve">exception </w:t>
      </w:r>
      <w:r w:rsidR="007859C5" w:rsidRPr="0043395E">
        <w:t xml:space="preserve">des </w:t>
      </w:r>
      <w:r w:rsidRPr="0043395E">
        <w:t>R</w:t>
      </w:r>
      <w:r w:rsidR="007859C5" w:rsidRPr="0043395E">
        <w:t>é</w:t>
      </w:r>
      <w:r w:rsidRPr="0043395E">
        <w:t>solutions 27 (R</w:t>
      </w:r>
      <w:r w:rsidR="007859C5" w:rsidRPr="0043395E">
        <w:t>é</w:t>
      </w:r>
      <w:r w:rsidRPr="0043395E">
        <w:t>v.</w:t>
      </w:r>
      <w:r w:rsidR="007859C5" w:rsidRPr="0043395E">
        <w:t>CMR</w:t>
      </w:r>
      <w:r w:rsidRPr="0043395E">
        <w:t xml:space="preserve">-12) </w:t>
      </w:r>
      <w:r w:rsidR="007859C5" w:rsidRPr="0043395E">
        <w:t xml:space="preserve">et </w:t>
      </w:r>
      <w:r w:rsidRPr="0043395E">
        <w:t>28 (R</w:t>
      </w:r>
      <w:r w:rsidR="007859C5" w:rsidRPr="0043395E">
        <w:t>é</w:t>
      </w:r>
      <w:r w:rsidRPr="0043395E">
        <w:t>v.</w:t>
      </w:r>
      <w:r w:rsidR="007859C5" w:rsidRPr="0043395E">
        <w:t>CMR</w:t>
      </w:r>
      <w:r w:rsidRPr="0043395E">
        <w:t>-15).</w:t>
      </w:r>
    </w:p>
    <w:p w14:paraId="3E725D89" w14:textId="40A5F939" w:rsidR="00D26E9B" w:rsidRPr="0043395E" w:rsidRDefault="00D26E9B" w:rsidP="007F543B">
      <w:pPr>
        <w:rPr>
          <w:rStyle w:val="Appdef"/>
          <w:bCs/>
          <w:szCs w:val="24"/>
        </w:rPr>
      </w:pPr>
      <w:r w:rsidRPr="0043395E">
        <w:rPr>
          <w:b/>
        </w:rPr>
        <w:t>Article 5 (MOD</w:t>
      </w:r>
      <w:r w:rsidRPr="0043395E">
        <w:rPr>
          <w:bCs/>
        </w:rPr>
        <w:t xml:space="preserve"> </w:t>
      </w:r>
      <w:r w:rsidRPr="0043395E">
        <w:rPr>
          <w:rStyle w:val="Artdef"/>
          <w:bCs/>
          <w:szCs w:val="24"/>
        </w:rPr>
        <w:t>5.279A, MOD 5.287, MOD 5.288, MOD 5.444B); Article 19 (MOD 19.99, MOD 19.102, MOD 19.111); Appendi</w:t>
      </w:r>
      <w:r w:rsidR="007859C5" w:rsidRPr="0043395E">
        <w:rPr>
          <w:rStyle w:val="Artdef"/>
          <w:bCs/>
          <w:szCs w:val="24"/>
        </w:rPr>
        <w:t>ce</w:t>
      </w:r>
      <w:r w:rsidRPr="0043395E">
        <w:rPr>
          <w:rStyle w:val="Artdef"/>
          <w:bCs/>
          <w:szCs w:val="24"/>
        </w:rPr>
        <w:t xml:space="preserve"> 1 (MOD </w:t>
      </w:r>
      <w:r w:rsidRPr="0043395E">
        <w:rPr>
          <w:rStyle w:val="Appdef"/>
          <w:bCs/>
          <w:szCs w:val="24"/>
        </w:rPr>
        <w:t>§1, MOD §2); MOD R</w:t>
      </w:r>
      <w:r w:rsidR="007859C5" w:rsidRPr="0043395E">
        <w:rPr>
          <w:rStyle w:val="Appdef"/>
          <w:bCs/>
          <w:szCs w:val="24"/>
        </w:rPr>
        <w:t>é</w:t>
      </w:r>
      <w:r w:rsidRPr="0043395E">
        <w:rPr>
          <w:rStyle w:val="Appdef"/>
          <w:bCs/>
          <w:szCs w:val="24"/>
        </w:rPr>
        <w:t>solution 748 (R</w:t>
      </w:r>
      <w:r w:rsidR="007859C5" w:rsidRPr="0043395E">
        <w:rPr>
          <w:rStyle w:val="Appdef"/>
          <w:bCs/>
          <w:szCs w:val="24"/>
        </w:rPr>
        <w:t>év</w:t>
      </w:r>
      <w:r w:rsidRPr="0043395E">
        <w:rPr>
          <w:rStyle w:val="Appdef"/>
          <w:bCs/>
          <w:szCs w:val="24"/>
        </w:rPr>
        <w:t>.C</w:t>
      </w:r>
      <w:r w:rsidR="007859C5" w:rsidRPr="0043395E">
        <w:rPr>
          <w:rStyle w:val="Appdef"/>
          <w:bCs/>
          <w:szCs w:val="24"/>
        </w:rPr>
        <w:t>MR</w:t>
      </w:r>
      <w:r w:rsidRPr="0043395E">
        <w:rPr>
          <w:rStyle w:val="Appdef"/>
          <w:bCs/>
          <w:szCs w:val="24"/>
        </w:rPr>
        <w:t>-15).</w:t>
      </w:r>
    </w:p>
    <w:p w14:paraId="447B2BBC" w14:textId="66DD57A6" w:rsidR="00D26E9B" w:rsidRPr="0043395E" w:rsidRDefault="00D26E9B" w:rsidP="007F543B">
      <w:pPr>
        <w:rPr>
          <w:rStyle w:val="Appdef"/>
          <w:b w:val="0"/>
          <w:szCs w:val="24"/>
        </w:rPr>
      </w:pPr>
      <w:r w:rsidRPr="0043395E">
        <w:rPr>
          <w:rStyle w:val="Appdef"/>
          <w:b w:val="0"/>
          <w:bCs/>
          <w:szCs w:val="24"/>
        </w:rPr>
        <w:t>5.5</w:t>
      </w:r>
      <w:r w:rsidRPr="0043395E">
        <w:rPr>
          <w:rStyle w:val="Appdef"/>
          <w:szCs w:val="24"/>
        </w:rPr>
        <w:tab/>
      </w:r>
      <w:r w:rsidRPr="0043395E">
        <w:rPr>
          <w:rStyle w:val="Appdef"/>
          <w:bCs/>
          <w:szCs w:val="24"/>
        </w:rPr>
        <w:t>Appro</w:t>
      </w:r>
      <w:r w:rsidR="007859C5" w:rsidRPr="0043395E">
        <w:rPr>
          <w:rStyle w:val="Appdef"/>
          <w:bCs/>
          <w:szCs w:val="24"/>
        </w:rPr>
        <w:t>uvés</w:t>
      </w:r>
      <w:r w:rsidRPr="0043395E">
        <w:rPr>
          <w:rStyle w:val="Appdef"/>
          <w:szCs w:val="24"/>
        </w:rPr>
        <w:t>.</w:t>
      </w:r>
    </w:p>
    <w:p w14:paraId="44499DDE" w14:textId="54685DA1" w:rsidR="00D26E9B" w:rsidRPr="0043395E" w:rsidRDefault="00D26E9B" w:rsidP="007F543B">
      <w:pPr>
        <w:rPr>
          <w:bCs/>
        </w:rPr>
      </w:pPr>
      <w:r w:rsidRPr="0043395E">
        <w:t>5.6</w:t>
      </w:r>
      <w:r w:rsidRPr="0043395E">
        <w:tab/>
      </w:r>
      <w:r w:rsidR="00A20DDE" w:rsidRPr="0043395E">
        <w:t>À</w:t>
      </w:r>
      <w:r w:rsidR="007859C5" w:rsidRPr="0043395E">
        <w:t xml:space="preserve"> l'</w:t>
      </w:r>
      <w:r w:rsidRPr="0043395E">
        <w:t xml:space="preserve">exception </w:t>
      </w:r>
      <w:r w:rsidR="007859C5" w:rsidRPr="0043395E">
        <w:t xml:space="preserve">des </w:t>
      </w:r>
      <w:r w:rsidRPr="0043395E">
        <w:t>R</w:t>
      </w:r>
      <w:r w:rsidR="007859C5" w:rsidRPr="0043395E">
        <w:t>é</w:t>
      </w:r>
      <w:r w:rsidRPr="0043395E">
        <w:t>solutions 27 (R</w:t>
      </w:r>
      <w:r w:rsidR="007859C5" w:rsidRPr="0043395E">
        <w:t>é</w:t>
      </w:r>
      <w:r w:rsidRPr="0043395E">
        <w:t>v.</w:t>
      </w:r>
      <w:r w:rsidR="007859C5" w:rsidRPr="0043395E">
        <w:t>CMR</w:t>
      </w:r>
      <w:r w:rsidRPr="0043395E">
        <w:t xml:space="preserve">-12) </w:t>
      </w:r>
      <w:r w:rsidR="007859C5" w:rsidRPr="0043395E">
        <w:t xml:space="preserve">et </w:t>
      </w:r>
      <w:r w:rsidRPr="0043395E">
        <w:t>28 (R</w:t>
      </w:r>
      <w:r w:rsidR="007859C5" w:rsidRPr="0043395E">
        <w:t>év</w:t>
      </w:r>
      <w:r w:rsidRPr="0043395E">
        <w:t>.</w:t>
      </w:r>
      <w:r w:rsidR="007859C5" w:rsidRPr="0043395E">
        <w:t>CMR</w:t>
      </w:r>
      <w:r w:rsidRPr="0043395E">
        <w:t xml:space="preserve">-15), </w:t>
      </w:r>
      <w:r w:rsidR="007859C5" w:rsidRPr="0043395E">
        <w:t>la sixième série de textes soumis par la Commission de rédaction en première lecture</w:t>
      </w:r>
      <w:r w:rsidRPr="0043395E">
        <w:t xml:space="preserve"> (B6) (Document 222) </w:t>
      </w:r>
      <w:r w:rsidR="007859C5" w:rsidRPr="0043395E">
        <w:t xml:space="preserve">est </w:t>
      </w:r>
      <w:r w:rsidRPr="0043395E">
        <w:rPr>
          <w:b/>
        </w:rPr>
        <w:t>appro</w:t>
      </w:r>
      <w:r w:rsidR="007859C5" w:rsidRPr="0043395E">
        <w:rPr>
          <w:b/>
        </w:rPr>
        <w:t>uvée</w:t>
      </w:r>
      <w:r w:rsidRPr="0043395E">
        <w:rPr>
          <w:bCs/>
        </w:rPr>
        <w:t>.</w:t>
      </w:r>
    </w:p>
    <w:p w14:paraId="573A2DEE" w14:textId="0493B847" w:rsidR="00D26E9B" w:rsidRPr="0043395E" w:rsidRDefault="00D26E9B" w:rsidP="007F543B">
      <w:pPr>
        <w:pStyle w:val="Heading1"/>
      </w:pPr>
      <w:r w:rsidRPr="0043395E">
        <w:t>6</w:t>
      </w:r>
      <w:r w:rsidRPr="0043395E">
        <w:tab/>
      </w:r>
      <w:r w:rsidR="007859C5" w:rsidRPr="0043395E">
        <w:t xml:space="preserve">Sixième série de textes soumis par la Commission de rédaction </w:t>
      </w:r>
      <w:r w:rsidRPr="0043395E">
        <w:t xml:space="preserve">(B6) – </w:t>
      </w:r>
      <w:r w:rsidR="007859C5" w:rsidRPr="0043395E">
        <w:t xml:space="preserve">deuxième lecture </w:t>
      </w:r>
      <w:r w:rsidRPr="0043395E">
        <w:t>(Document 222)</w:t>
      </w:r>
    </w:p>
    <w:p w14:paraId="6E00ECF5" w14:textId="2647DCB5" w:rsidR="00D26E9B" w:rsidRPr="0043395E" w:rsidRDefault="00D26E9B" w:rsidP="007F543B">
      <w:r w:rsidRPr="0043395E">
        <w:t>6.1</w:t>
      </w:r>
      <w:r w:rsidRPr="0043395E">
        <w:tab/>
      </w:r>
      <w:r w:rsidR="00A20DDE" w:rsidRPr="0043395E">
        <w:t>À</w:t>
      </w:r>
      <w:r w:rsidR="007859C5" w:rsidRPr="0043395E">
        <w:t xml:space="preserve"> l'exception des Résolutions </w:t>
      </w:r>
      <w:r w:rsidRPr="0043395E">
        <w:rPr>
          <w:szCs w:val="24"/>
        </w:rPr>
        <w:t xml:space="preserve">27 </w:t>
      </w:r>
      <w:r w:rsidR="007859C5" w:rsidRPr="0043395E">
        <w:t>(Rév.CMR-12) et 28 (Rév.CMR-15</w:t>
      </w:r>
      <w:r w:rsidRPr="0043395E">
        <w:rPr>
          <w:szCs w:val="24"/>
        </w:rPr>
        <w:t>)</w:t>
      </w:r>
      <w:r w:rsidRPr="0043395E">
        <w:t xml:space="preserve">, </w:t>
      </w:r>
      <w:r w:rsidR="007859C5" w:rsidRPr="0043395E">
        <w:t xml:space="preserve">la sixième série de textes soumis par la Commission de rédaction </w:t>
      </w:r>
      <w:r w:rsidRPr="0043395E">
        <w:t xml:space="preserve">(B6) (Document 222) </w:t>
      </w:r>
      <w:r w:rsidR="007859C5" w:rsidRPr="0043395E">
        <w:t xml:space="preserve">est </w:t>
      </w:r>
      <w:r w:rsidRPr="0043395E">
        <w:rPr>
          <w:b/>
          <w:bCs/>
        </w:rPr>
        <w:t>appro</w:t>
      </w:r>
      <w:r w:rsidR="007859C5" w:rsidRPr="0043395E">
        <w:rPr>
          <w:b/>
          <w:bCs/>
        </w:rPr>
        <w:t>uvée</w:t>
      </w:r>
      <w:r w:rsidRPr="0043395E">
        <w:t xml:space="preserve"> </w:t>
      </w:r>
      <w:r w:rsidR="007859C5" w:rsidRPr="0043395E">
        <w:t>en deuxième lecture</w:t>
      </w:r>
      <w:r w:rsidRPr="0043395E">
        <w:t>.</w:t>
      </w:r>
    </w:p>
    <w:p w14:paraId="348F699E" w14:textId="77F252EA" w:rsidR="00D26E9B" w:rsidRPr="0043395E" w:rsidRDefault="00D26E9B" w:rsidP="007F543B">
      <w:pPr>
        <w:pStyle w:val="Heading1"/>
      </w:pPr>
      <w:r w:rsidRPr="0043395E">
        <w:t>7</w:t>
      </w:r>
      <w:r w:rsidRPr="0043395E">
        <w:tab/>
      </w:r>
      <w:r w:rsidR="007859C5" w:rsidRPr="0043395E">
        <w:t xml:space="preserve">Septième série de textes soumis par la Commission de rédaction en première lecture </w:t>
      </w:r>
      <w:r w:rsidRPr="0043395E">
        <w:t>(B7) (Document 223)</w:t>
      </w:r>
    </w:p>
    <w:p w14:paraId="7CD39A8D" w14:textId="6F6AD66F" w:rsidR="00D26E9B" w:rsidRPr="0043395E" w:rsidRDefault="00D26E9B" w:rsidP="007F543B">
      <w:r w:rsidRPr="0043395E">
        <w:t>7.1</w:t>
      </w:r>
      <w:r w:rsidRPr="0043395E">
        <w:tab/>
      </w:r>
      <w:r w:rsidR="007859C5" w:rsidRPr="0043395E">
        <w:t xml:space="preserve">Le </w:t>
      </w:r>
      <w:r w:rsidR="007859C5" w:rsidRPr="0043395E">
        <w:rPr>
          <w:b/>
          <w:bCs/>
        </w:rPr>
        <w:t>Président de la Commission de rédaction</w:t>
      </w:r>
      <w:r w:rsidR="007859C5" w:rsidRPr="0043395E">
        <w:t xml:space="preserve"> présente le Document </w:t>
      </w:r>
      <w:r w:rsidRPr="0043395E">
        <w:t xml:space="preserve">223. </w:t>
      </w:r>
    </w:p>
    <w:p w14:paraId="5CDD105A" w14:textId="2F2210DB" w:rsidR="00D26E9B" w:rsidRPr="0043395E" w:rsidRDefault="00D26E9B" w:rsidP="007F543B">
      <w:r w:rsidRPr="0043395E">
        <w:t>7.2</w:t>
      </w:r>
      <w:r w:rsidRPr="0043395E">
        <w:tab/>
      </w:r>
      <w:r w:rsidR="007859C5" w:rsidRPr="0043395E">
        <w:t xml:space="preserve">Le </w:t>
      </w:r>
      <w:r w:rsidR="007859C5" w:rsidRPr="0043395E">
        <w:rPr>
          <w:b/>
          <w:bCs/>
        </w:rPr>
        <w:t xml:space="preserve">Président </w:t>
      </w:r>
      <w:r w:rsidR="007859C5" w:rsidRPr="0043395E">
        <w:t xml:space="preserve">invite les participants à examiner le Document </w:t>
      </w:r>
      <w:r w:rsidRPr="0043395E">
        <w:t xml:space="preserve">223. </w:t>
      </w:r>
    </w:p>
    <w:p w14:paraId="27C933B9" w14:textId="18E997F1" w:rsidR="00D26E9B" w:rsidRPr="0043395E" w:rsidRDefault="00D26E9B" w:rsidP="007F543B">
      <w:pPr>
        <w:rPr>
          <w:b/>
          <w:bCs/>
        </w:rPr>
      </w:pPr>
      <w:r w:rsidRPr="0043395E">
        <w:rPr>
          <w:b/>
          <w:bCs/>
        </w:rPr>
        <w:t>Article 5 (MOD Table</w:t>
      </w:r>
      <w:r w:rsidR="007859C5" w:rsidRPr="0043395E">
        <w:rPr>
          <w:b/>
          <w:bCs/>
        </w:rPr>
        <w:t>au</w:t>
      </w:r>
      <w:r w:rsidRPr="0043395E">
        <w:rPr>
          <w:b/>
          <w:bCs/>
        </w:rPr>
        <w:t xml:space="preserve"> 8 500-10 000 MHz, MOD Table</w:t>
      </w:r>
      <w:r w:rsidR="007859C5" w:rsidRPr="0043395E">
        <w:rPr>
          <w:b/>
          <w:bCs/>
        </w:rPr>
        <w:t>au</w:t>
      </w:r>
      <w:r w:rsidRPr="0043395E">
        <w:rPr>
          <w:b/>
          <w:bCs/>
        </w:rPr>
        <w:t xml:space="preserve"> 13.4-14 GHz, MOD 5.562B, MOD</w:t>
      </w:r>
      <w:r w:rsidR="00A20DDE" w:rsidRPr="0043395E">
        <w:rPr>
          <w:b/>
          <w:bCs/>
        </w:rPr>
        <w:t> </w:t>
      </w:r>
      <w:r w:rsidRPr="0043395E">
        <w:rPr>
          <w:b/>
          <w:bCs/>
        </w:rPr>
        <w:t>Table</w:t>
      </w:r>
      <w:r w:rsidR="007859C5" w:rsidRPr="0043395E">
        <w:rPr>
          <w:b/>
          <w:bCs/>
        </w:rPr>
        <w:t>au</w:t>
      </w:r>
      <w:r w:rsidRPr="0043395E">
        <w:rPr>
          <w:b/>
          <w:bCs/>
        </w:rPr>
        <w:t xml:space="preserve"> 151.5-158.5 GHz); Appendi</w:t>
      </w:r>
      <w:r w:rsidR="007859C5" w:rsidRPr="0043395E">
        <w:rPr>
          <w:b/>
          <w:bCs/>
        </w:rPr>
        <w:t>ce</w:t>
      </w:r>
      <w:r w:rsidRPr="0043395E">
        <w:rPr>
          <w:b/>
          <w:bCs/>
        </w:rPr>
        <w:t xml:space="preserve"> 30 (MOD Annex</w:t>
      </w:r>
      <w:r w:rsidR="007859C5" w:rsidRPr="0043395E">
        <w:rPr>
          <w:b/>
          <w:bCs/>
        </w:rPr>
        <w:t>e</w:t>
      </w:r>
      <w:r w:rsidRPr="0043395E">
        <w:rPr>
          <w:b/>
          <w:bCs/>
        </w:rPr>
        <w:t xml:space="preserve"> 4); Article 5 (SUP 5.562F, SUP</w:t>
      </w:r>
      <w:r w:rsidR="00A20DDE" w:rsidRPr="0043395E">
        <w:rPr>
          <w:b/>
          <w:bCs/>
        </w:rPr>
        <w:t> </w:t>
      </w:r>
      <w:r w:rsidRPr="0043395E">
        <w:rPr>
          <w:b/>
          <w:bCs/>
        </w:rPr>
        <w:t>5.562G)</w:t>
      </w:r>
    </w:p>
    <w:p w14:paraId="6CD210AD" w14:textId="64F4D338" w:rsidR="00D26E9B" w:rsidRPr="0043395E" w:rsidRDefault="00D26E9B" w:rsidP="007F543B">
      <w:r w:rsidRPr="0043395E">
        <w:t>7.3</w:t>
      </w:r>
      <w:r w:rsidRPr="0043395E">
        <w:tab/>
      </w:r>
      <w:r w:rsidRPr="0043395E">
        <w:rPr>
          <w:b/>
          <w:bCs/>
        </w:rPr>
        <w:t>Appro</w:t>
      </w:r>
      <w:r w:rsidR="007859C5" w:rsidRPr="0043395E">
        <w:rPr>
          <w:b/>
          <w:bCs/>
        </w:rPr>
        <w:t>uvés</w:t>
      </w:r>
      <w:r w:rsidRPr="0043395E">
        <w:t>.</w:t>
      </w:r>
    </w:p>
    <w:p w14:paraId="51D6C032" w14:textId="521A9A57" w:rsidR="00D26E9B" w:rsidRPr="0043395E" w:rsidRDefault="00D26E9B" w:rsidP="007F543B">
      <w:pPr>
        <w:rPr>
          <w:b/>
          <w:bCs/>
        </w:rPr>
      </w:pPr>
      <w:r w:rsidRPr="0043395E">
        <w:lastRenderedPageBreak/>
        <w:t>7.4</w:t>
      </w:r>
      <w:r w:rsidRPr="0043395E">
        <w:tab/>
      </w:r>
      <w:r w:rsidR="007859C5" w:rsidRPr="0043395E">
        <w:t xml:space="preserve">La septième série de textes soumis par la Commission de rédaction en première lecture </w:t>
      </w:r>
      <w:r w:rsidRPr="0043395E">
        <w:t>(B7) (Document 223)</w:t>
      </w:r>
      <w:r w:rsidR="007859C5" w:rsidRPr="0043395E">
        <w:t xml:space="preserve"> est</w:t>
      </w:r>
      <w:r w:rsidRPr="0043395E">
        <w:rPr>
          <w:b/>
          <w:bCs/>
        </w:rPr>
        <w:t xml:space="preserve"> appro</w:t>
      </w:r>
      <w:r w:rsidR="007859C5" w:rsidRPr="0043395E">
        <w:rPr>
          <w:b/>
          <w:bCs/>
        </w:rPr>
        <w:t>uvée</w:t>
      </w:r>
      <w:r w:rsidRPr="0043395E">
        <w:rPr>
          <w:b/>
          <w:bCs/>
        </w:rPr>
        <w:t>.</w:t>
      </w:r>
    </w:p>
    <w:p w14:paraId="3698280A" w14:textId="0E6A2988" w:rsidR="00D26E9B" w:rsidRPr="0043395E" w:rsidRDefault="00D26E9B" w:rsidP="007F543B">
      <w:r w:rsidRPr="0043395E">
        <w:t>7.5</w:t>
      </w:r>
      <w:r w:rsidRPr="0043395E">
        <w:tab/>
      </w:r>
      <w:r w:rsidR="007859C5" w:rsidRPr="0043395E">
        <w:t>L</w:t>
      </w:r>
      <w:r w:rsidRPr="0043395E">
        <w:t xml:space="preserve">e </w:t>
      </w:r>
      <w:r w:rsidR="007859C5" w:rsidRPr="0043395E">
        <w:rPr>
          <w:b/>
          <w:bCs/>
        </w:rPr>
        <w:t>délégué de la République islamique d'Iran</w:t>
      </w:r>
      <w:r w:rsidRPr="0043395E">
        <w:t xml:space="preserve"> </w:t>
      </w:r>
      <w:r w:rsidR="007859C5" w:rsidRPr="0043395E">
        <w:t>indique que</w:t>
      </w:r>
      <w:r w:rsidRPr="0043395E">
        <w:t xml:space="preserve">, </w:t>
      </w:r>
      <w:r w:rsidR="007859C5" w:rsidRPr="0043395E">
        <w:t xml:space="preserve">compte tenu du caractère juridiquement contraignant du Règlement des radiocommunications, pour les documents portant sur des modifications à apporter au Tableau d'attribution des bandes de fréquences, la deuxième lecture ne devrait pas avoir lieu immédiatement après la première; il conviendrait d'accorder aux administrations le temps d'examiner attentivement les modifications proposées. Conformément aux règles régissant les conférences, </w:t>
      </w:r>
      <w:r w:rsidR="00FE7A19" w:rsidRPr="0043395E">
        <w:t xml:space="preserve">par conséquent, </w:t>
      </w:r>
      <w:r w:rsidR="006056FD" w:rsidRPr="0043395E">
        <w:t>la</w:t>
      </w:r>
      <w:r w:rsidR="00FE7A19" w:rsidRPr="0043395E">
        <w:t xml:space="preserve"> première</w:t>
      </w:r>
      <w:r w:rsidR="006056FD" w:rsidRPr="0043395E">
        <w:t xml:space="preserve"> lecture</w:t>
      </w:r>
      <w:r w:rsidR="00FE7A19" w:rsidRPr="0043395E">
        <w:t xml:space="preserve"> et</w:t>
      </w:r>
      <w:r w:rsidR="006056FD" w:rsidRPr="0043395E">
        <w:t xml:space="preserve"> la</w:t>
      </w:r>
      <w:r w:rsidR="00FE7A19" w:rsidRPr="0043395E">
        <w:t xml:space="preserve"> deuxième lecture d'un document devraient être espacées, sauf dans les cas où la deuxième lecture ne p</w:t>
      </w:r>
      <w:r w:rsidR="006056FD" w:rsidRPr="0043395E">
        <w:t>eu</w:t>
      </w:r>
      <w:r w:rsidR="00FE7A19" w:rsidRPr="0043395E">
        <w:t xml:space="preserve">t pas être reportée </w:t>
      </w:r>
      <w:r w:rsidR="006056FD" w:rsidRPr="0043395E">
        <w:t>faute</w:t>
      </w:r>
      <w:r w:rsidR="00FE7A19" w:rsidRPr="0043395E">
        <w:t xml:space="preserve"> de temps et où les modifications proposées sont mineures.</w:t>
      </w:r>
    </w:p>
    <w:p w14:paraId="7DFED9F6" w14:textId="676D5D51" w:rsidR="00FE7A19" w:rsidRPr="0043395E" w:rsidRDefault="00D26E9B" w:rsidP="007F543B">
      <w:r w:rsidRPr="0043395E">
        <w:t>7.6</w:t>
      </w:r>
      <w:r w:rsidRPr="0043395E">
        <w:tab/>
      </w:r>
      <w:r w:rsidR="00FE7A19" w:rsidRPr="0043395E">
        <w:t xml:space="preserve">Le </w:t>
      </w:r>
      <w:r w:rsidR="00FE7A19" w:rsidRPr="0043395E">
        <w:rPr>
          <w:b/>
          <w:bCs/>
        </w:rPr>
        <w:t xml:space="preserve">Président </w:t>
      </w:r>
      <w:r w:rsidR="00FE7A19" w:rsidRPr="0043395E">
        <w:t>précise qu'une telle approche peut poser des problèmes à la fin de la conférence, étant donné le volume important de documents soumis à la plénière. Bien que la deuxième lecture puisse être reportée dans le cas particulier du Document 223, il ne sera pas possible de procéder ainsi systématiquement. Pour les</w:t>
      </w:r>
      <w:r w:rsidR="000B349D" w:rsidRPr="0043395E">
        <w:t xml:space="preserve"> futures</w:t>
      </w:r>
      <w:r w:rsidR="00FE7A19" w:rsidRPr="0043395E">
        <w:t xml:space="preserve"> plénières</w:t>
      </w:r>
      <w:r w:rsidR="000B349D" w:rsidRPr="0043395E">
        <w:t xml:space="preserve">, afin de veiller à ce que </w:t>
      </w:r>
      <w:r w:rsidR="00FE7A19" w:rsidRPr="0043395E">
        <w:t xml:space="preserve">tous les </w:t>
      </w:r>
      <w:r w:rsidR="000B349D" w:rsidRPr="0043395E">
        <w:t>points soient examinés</w:t>
      </w:r>
      <w:r w:rsidR="00FE7A19" w:rsidRPr="0043395E">
        <w:t xml:space="preserve"> en temps voulu, la deuxième lecture d'un document pourra être reportée sur demande. L'orateur considère que la plénière </w:t>
      </w:r>
      <w:r w:rsidR="000B349D" w:rsidRPr="0043395E">
        <w:t>accepte</w:t>
      </w:r>
      <w:r w:rsidR="00FE7A19" w:rsidRPr="0043395E">
        <w:t xml:space="preserve"> de reporter la deuxième lecture du Document 223 à une séance plénière ultérieure.</w:t>
      </w:r>
    </w:p>
    <w:p w14:paraId="1993A743" w14:textId="1695AE25" w:rsidR="00D26E9B" w:rsidRPr="0043395E" w:rsidRDefault="00D26E9B" w:rsidP="007F543B">
      <w:r w:rsidRPr="0043395E">
        <w:t>7.7</w:t>
      </w:r>
      <w:r w:rsidRPr="0043395E">
        <w:tab/>
      </w:r>
      <w:r w:rsidR="00FE7A19" w:rsidRPr="0043395E">
        <w:t xml:space="preserve">Il en est ainsi </w:t>
      </w:r>
      <w:r w:rsidR="00FE7A19" w:rsidRPr="0043395E">
        <w:rPr>
          <w:b/>
          <w:bCs/>
        </w:rPr>
        <w:t>décidé</w:t>
      </w:r>
      <w:r w:rsidRPr="0043395E">
        <w:t>.</w:t>
      </w:r>
    </w:p>
    <w:p w14:paraId="50848703" w14:textId="6F211D5D" w:rsidR="00D26E9B" w:rsidRPr="0043395E" w:rsidRDefault="00D26E9B" w:rsidP="007F543B">
      <w:pPr>
        <w:pStyle w:val="Heading1"/>
      </w:pPr>
      <w:r w:rsidRPr="0043395E">
        <w:t>8</w:t>
      </w:r>
      <w:r w:rsidRPr="0043395E">
        <w:tab/>
      </w:r>
      <w:r w:rsidR="00690E1D" w:rsidRPr="0043395E">
        <w:t xml:space="preserve">Propositions pour les travaux de la Conférence </w:t>
      </w:r>
      <w:r w:rsidRPr="0043395E">
        <w:t>(Document 184(R</w:t>
      </w:r>
      <w:r w:rsidR="00690E1D" w:rsidRPr="0043395E">
        <w:t>é</w:t>
      </w:r>
      <w:r w:rsidRPr="0043395E">
        <w:t>v.1))</w:t>
      </w:r>
    </w:p>
    <w:p w14:paraId="073C577C" w14:textId="4715FB3B" w:rsidR="00D26E9B" w:rsidRPr="0043395E" w:rsidRDefault="00D26E9B" w:rsidP="007F543B">
      <w:r w:rsidRPr="0043395E">
        <w:t>8.1</w:t>
      </w:r>
      <w:r w:rsidRPr="0043395E">
        <w:tab/>
      </w:r>
      <w:r w:rsidR="00EF584C" w:rsidRPr="0043395E">
        <w:t>Le</w:t>
      </w:r>
      <w:r w:rsidRPr="0043395E">
        <w:t xml:space="preserve"> </w:t>
      </w:r>
      <w:r w:rsidRPr="0043395E">
        <w:rPr>
          <w:b/>
          <w:bCs/>
        </w:rPr>
        <w:t>d</w:t>
      </w:r>
      <w:r w:rsidR="00EF584C" w:rsidRPr="0043395E">
        <w:rPr>
          <w:b/>
          <w:bCs/>
        </w:rPr>
        <w:t>élégué du Brésil</w:t>
      </w:r>
      <w:r w:rsidRPr="0043395E">
        <w:t xml:space="preserve">, </w:t>
      </w:r>
      <w:r w:rsidR="00EF584C" w:rsidRPr="0043395E">
        <w:t>s'exprimant au nom de tous les pays cosignataires de la proposition, présente le Document 184(Rév.1), qui contient une déclaration relative à la promotion de l'égalité, de l'équité et de la parité hommes/femmes dans le Secteur des radiocommunications de l'UIT. Les radiocommunications jouent un rôle important dans la mondialisation et</w:t>
      </w:r>
      <w:r w:rsidR="003425ED" w:rsidRPr="0043395E">
        <w:t xml:space="preserve"> dans</w:t>
      </w:r>
      <w:r w:rsidR="00EF584C" w:rsidRPr="0043395E">
        <w:t xml:space="preserve"> le développement efficace des TIC. Malheureusement, la participation des femmes </w:t>
      </w:r>
      <w:r w:rsidR="003425ED" w:rsidRPr="0043395E">
        <w:t>aux</w:t>
      </w:r>
      <w:r w:rsidR="00EF584C" w:rsidRPr="0043395E">
        <w:t xml:space="preserve"> activités du </w:t>
      </w:r>
      <w:r w:rsidR="003425ED" w:rsidRPr="0043395E">
        <w:t>S</w:t>
      </w:r>
      <w:r w:rsidR="00EF584C" w:rsidRPr="0043395E">
        <w:t>ecteur est</w:t>
      </w:r>
      <w:r w:rsidR="003425ED" w:rsidRPr="0043395E">
        <w:t xml:space="preserve"> très</w:t>
      </w:r>
      <w:r w:rsidR="00EF584C" w:rsidRPr="0043395E">
        <w:t xml:space="preserve"> faible: seulement 18 pour cent des délégués à la CMR-19 sont des femmes. Bien que des progrès aient été réalisés en </w:t>
      </w:r>
      <w:r w:rsidR="003425ED" w:rsidRPr="0043395E">
        <w:t>ce qui concerne la promotion</w:t>
      </w:r>
      <w:r w:rsidR="00EF584C" w:rsidRPr="0043395E">
        <w:t xml:space="preserve"> de l'égalité entre hommes et femmes, notamment </w:t>
      </w:r>
      <w:r w:rsidR="003425ED" w:rsidRPr="0043395E">
        <w:t xml:space="preserve">grâce </w:t>
      </w:r>
      <w:r w:rsidR="00EF584C" w:rsidRPr="0043395E">
        <w:t xml:space="preserve">au Réseau des femmes, lancé en 2016, et </w:t>
      </w:r>
      <w:r w:rsidR="003425ED" w:rsidRPr="0043395E">
        <w:t xml:space="preserve">aux </w:t>
      </w:r>
      <w:r w:rsidR="00EF584C" w:rsidRPr="0043395E">
        <w:t>politique</w:t>
      </w:r>
      <w:r w:rsidR="003425ED" w:rsidRPr="0043395E">
        <w:t>s</w:t>
      </w:r>
      <w:r w:rsidR="00EF584C" w:rsidRPr="0043395E">
        <w:t xml:space="preserve"> adoptées par l'UIT et l'ONU, </w:t>
      </w:r>
      <w:r w:rsidR="003425ED" w:rsidRPr="0043395E">
        <w:t>le</w:t>
      </w:r>
      <w:r w:rsidR="00EF584C" w:rsidRPr="0043395E">
        <w:t xml:space="preserve">s efforts </w:t>
      </w:r>
      <w:r w:rsidR="003425ED" w:rsidRPr="0043395E">
        <w:t>doivent se poursuivre</w:t>
      </w:r>
      <w:r w:rsidR="00EF584C" w:rsidRPr="0043395E">
        <w:t xml:space="preserve">. Dans ce contexte, </w:t>
      </w:r>
      <w:r w:rsidR="003425ED" w:rsidRPr="0043395E">
        <w:t xml:space="preserve">dans </w:t>
      </w:r>
      <w:r w:rsidR="00EF584C" w:rsidRPr="0043395E">
        <w:t>la déclaration proposée</w:t>
      </w:r>
      <w:r w:rsidR="003425ED" w:rsidRPr="0043395E">
        <w:t>,</w:t>
      </w:r>
      <w:r w:rsidR="00EF584C" w:rsidRPr="0043395E">
        <w:t xml:space="preserve"> </w:t>
      </w:r>
      <w:r w:rsidR="003425ED" w:rsidRPr="0043395E">
        <w:t xml:space="preserve">il est </w:t>
      </w:r>
      <w:r w:rsidR="00EF584C" w:rsidRPr="0043395E">
        <w:t>demand</w:t>
      </w:r>
      <w:r w:rsidR="003425ED" w:rsidRPr="0043395E">
        <w:t>é</w:t>
      </w:r>
      <w:r w:rsidR="00EF584C" w:rsidRPr="0043395E">
        <w:t xml:space="preserve"> </w:t>
      </w:r>
      <w:r w:rsidR="003425ED" w:rsidRPr="0043395E">
        <w:t>à</w:t>
      </w:r>
      <w:r w:rsidR="00EF584C" w:rsidRPr="0043395E">
        <w:t xml:space="preserve"> l'UIT </w:t>
      </w:r>
      <w:r w:rsidR="003425ED" w:rsidRPr="0043395E">
        <w:t xml:space="preserve">qu'elle </w:t>
      </w:r>
      <w:r w:rsidR="00EF584C" w:rsidRPr="0043395E">
        <w:t xml:space="preserve">prenne des mesures </w:t>
      </w:r>
      <w:r w:rsidR="003425ED" w:rsidRPr="0043395E">
        <w:t>pour promouvoir</w:t>
      </w:r>
      <w:r w:rsidR="00EF584C" w:rsidRPr="0043395E">
        <w:t xml:space="preserve"> la participation des femmes </w:t>
      </w:r>
      <w:r w:rsidR="003A605C" w:rsidRPr="0043395E">
        <w:t>à tous les</w:t>
      </w:r>
      <w:r w:rsidR="003425ED" w:rsidRPr="0043395E">
        <w:t xml:space="preserve"> aspects</w:t>
      </w:r>
      <w:r w:rsidR="003A605C" w:rsidRPr="0043395E">
        <w:t xml:space="preserve"> </w:t>
      </w:r>
      <w:r w:rsidR="00EF584C" w:rsidRPr="0043395E">
        <w:t>des activités de l</w:t>
      </w:r>
      <w:r w:rsidR="003A605C" w:rsidRPr="0043395E">
        <w:t xml:space="preserve">'UIT-R </w:t>
      </w:r>
      <w:r w:rsidR="00EF584C" w:rsidRPr="0043395E">
        <w:t xml:space="preserve">et leur représentation aux postes </w:t>
      </w:r>
      <w:r w:rsidR="003A605C" w:rsidRPr="0043395E">
        <w:t>de direction</w:t>
      </w:r>
      <w:r w:rsidR="00EF584C" w:rsidRPr="0043395E">
        <w:t>.</w:t>
      </w:r>
    </w:p>
    <w:p w14:paraId="30F4D7E9" w14:textId="3153E1D9" w:rsidR="00D26E9B" w:rsidRPr="0043395E" w:rsidRDefault="00D26E9B" w:rsidP="007F543B">
      <w:r w:rsidRPr="0043395E">
        <w:t>8.2</w:t>
      </w:r>
      <w:r w:rsidRPr="0043395E">
        <w:tab/>
      </w:r>
      <w:r w:rsidR="003A605C" w:rsidRPr="0043395E">
        <w:t xml:space="preserve">La </w:t>
      </w:r>
      <w:r w:rsidR="003A605C" w:rsidRPr="0043395E">
        <w:rPr>
          <w:b/>
          <w:bCs/>
        </w:rPr>
        <w:t>délégué</w:t>
      </w:r>
      <w:r w:rsidR="003425ED" w:rsidRPr="0043395E">
        <w:rPr>
          <w:b/>
          <w:bCs/>
        </w:rPr>
        <w:t>e</w:t>
      </w:r>
      <w:r w:rsidR="003A605C" w:rsidRPr="0043395E">
        <w:rPr>
          <w:b/>
          <w:bCs/>
        </w:rPr>
        <w:t xml:space="preserve"> de la République de Corée</w:t>
      </w:r>
      <w:r w:rsidR="003A605C" w:rsidRPr="0043395E">
        <w:t xml:space="preserve"> exprime son appui sans réserve à la déclaration. Elle suggère que la réduction du nombre de sigles dont la signification n'est pas donnée in extenso dans le document le rendrait plus lisible.</w:t>
      </w:r>
    </w:p>
    <w:p w14:paraId="3C0BD166" w14:textId="5F77AE46" w:rsidR="00D26E9B" w:rsidRPr="0043395E" w:rsidRDefault="00D26E9B" w:rsidP="007F543B">
      <w:r w:rsidRPr="0043395E">
        <w:t>8.3</w:t>
      </w:r>
      <w:r w:rsidRPr="0043395E">
        <w:tab/>
      </w:r>
      <w:r w:rsidR="003A605C" w:rsidRPr="0043395E">
        <w:t xml:space="preserve">Le </w:t>
      </w:r>
      <w:r w:rsidR="003A605C" w:rsidRPr="0043395E">
        <w:rPr>
          <w:b/>
          <w:bCs/>
        </w:rPr>
        <w:t>Président</w:t>
      </w:r>
      <w:r w:rsidR="003A605C" w:rsidRPr="0043395E">
        <w:t xml:space="preserve"> propose qu'un groupe ad hoc de la plénière soit créé pour rédiger un texte qui sera soumis à l'approbation ultérieure de la plénière en tant que document final de la Conférence.</w:t>
      </w:r>
      <w:r w:rsidRPr="0043395E">
        <w:t xml:space="preserve"> </w:t>
      </w:r>
    </w:p>
    <w:p w14:paraId="2C6D0209" w14:textId="46A5B43B" w:rsidR="00D26E9B" w:rsidRPr="0043395E" w:rsidRDefault="00D26E9B" w:rsidP="007F543B">
      <w:r w:rsidRPr="0043395E">
        <w:t>8.4</w:t>
      </w:r>
      <w:r w:rsidRPr="0043395E">
        <w:tab/>
      </w:r>
      <w:r w:rsidR="003A605C" w:rsidRPr="0043395E">
        <w:t xml:space="preserve">Il en est ainsi </w:t>
      </w:r>
      <w:r w:rsidR="003A605C" w:rsidRPr="0043395E">
        <w:rPr>
          <w:b/>
          <w:bCs/>
        </w:rPr>
        <w:t>décidé</w:t>
      </w:r>
      <w:r w:rsidRPr="0043395E">
        <w:t>.</w:t>
      </w:r>
    </w:p>
    <w:p w14:paraId="6CF3CDC9" w14:textId="247E6D12" w:rsidR="00D26E9B" w:rsidRPr="0043395E" w:rsidRDefault="00D26E9B" w:rsidP="007F543B">
      <w:r w:rsidRPr="0043395E">
        <w:t>8.5</w:t>
      </w:r>
      <w:r w:rsidRPr="0043395E">
        <w:tab/>
      </w:r>
      <w:r w:rsidR="003A605C" w:rsidRPr="0043395E">
        <w:t xml:space="preserve">Le </w:t>
      </w:r>
      <w:r w:rsidR="003A605C" w:rsidRPr="0043395E">
        <w:rPr>
          <w:b/>
          <w:bCs/>
        </w:rPr>
        <w:t xml:space="preserve">Président </w:t>
      </w:r>
      <w:r w:rsidRPr="0043395E">
        <w:t>invite</w:t>
      </w:r>
      <w:r w:rsidR="003A605C" w:rsidRPr="0043395E">
        <w:t xml:space="preserve"> les délégations cosignataires du Document 184(Rév.1) à désigner le président du groupe ad hoc nouvellement constitué.</w:t>
      </w:r>
    </w:p>
    <w:p w14:paraId="602A92E6" w14:textId="67784C2B" w:rsidR="00D26E9B" w:rsidRPr="0043395E" w:rsidRDefault="00D26E9B" w:rsidP="007F543B">
      <w:r w:rsidRPr="0043395E">
        <w:t>8.6</w:t>
      </w:r>
      <w:r w:rsidRPr="0043395E">
        <w:tab/>
      </w:r>
      <w:r w:rsidR="003A605C" w:rsidRPr="0043395E">
        <w:t>L</w:t>
      </w:r>
      <w:r w:rsidRPr="0043395E">
        <w:t xml:space="preserve">e </w:t>
      </w:r>
      <w:r w:rsidR="003A605C" w:rsidRPr="0043395E">
        <w:rPr>
          <w:b/>
          <w:bCs/>
        </w:rPr>
        <w:t xml:space="preserve">délégué du </w:t>
      </w:r>
      <w:r w:rsidRPr="0043395E">
        <w:rPr>
          <w:b/>
          <w:bCs/>
        </w:rPr>
        <w:t>Canada</w:t>
      </w:r>
      <w:r w:rsidRPr="0043395E">
        <w:t xml:space="preserve"> propose</w:t>
      </w:r>
      <w:r w:rsidR="003A605C" w:rsidRPr="0043395E">
        <w:t xml:space="preserve"> que Mme</w:t>
      </w:r>
      <w:r w:rsidRPr="0043395E">
        <w:t xml:space="preserve"> Cindy Cook (Canada)</w:t>
      </w:r>
      <w:r w:rsidR="00743D5F" w:rsidRPr="0043395E">
        <w:t xml:space="preserve"> assume les fonctions de présidente du nouveau groupe </w:t>
      </w:r>
      <w:r w:rsidRPr="0043395E">
        <w:t xml:space="preserve">ad hoc </w:t>
      </w:r>
      <w:r w:rsidR="00743D5F" w:rsidRPr="0043395E">
        <w:t>de la plénière</w:t>
      </w:r>
      <w:r w:rsidRPr="0043395E">
        <w:t xml:space="preserve">. </w:t>
      </w:r>
    </w:p>
    <w:p w14:paraId="5C527D8F" w14:textId="32383609" w:rsidR="00D26E9B" w:rsidRPr="0043395E" w:rsidRDefault="00D26E9B" w:rsidP="007F543B">
      <w:r w:rsidRPr="0043395E">
        <w:t>8.7</w:t>
      </w:r>
      <w:r w:rsidRPr="0043395E">
        <w:tab/>
      </w:r>
      <w:r w:rsidR="00743D5F" w:rsidRPr="0043395E">
        <w:t xml:space="preserve">La proposition est </w:t>
      </w:r>
      <w:r w:rsidR="00743D5F" w:rsidRPr="0043395E">
        <w:rPr>
          <w:b/>
          <w:bCs/>
        </w:rPr>
        <w:t>adoptée</w:t>
      </w:r>
      <w:r w:rsidR="00743D5F" w:rsidRPr="0043395E">
        <w:t xml:space="preserve"> par</w:t>
      </w:r>
      <w:r w:rsidRPr="0043395E">
        <w:t xml:space="preserve"> acclamation.</w:t>
      </w:r>
    </w:p>
    <w:p w14:paraId="63A7C864" w14:textId="03442FFF" w:rsidR="00D26E9B" w:rsidRPr="0043395E" w:rsidRDefault="00D26E9B" w:rsidP="007F543B">
      <w:pPr>
        <w:pStyle w:val="Heading1"/>
      </w:pPr>
      <w:r w:rsidRPr="0043395E">
        <w:lastRenderedPageBreak/>
        <w:t>9</w:t>
      </w:r>
      <w:r w:rsidRPr="0043395E">
        <w:tab/>
      </w:r>
      <w:r w:rsidR="00743D5F" w:rsidRPr="0043395E">
        <w:t>Déclaration de M. Niklas Hedman, Bureau des affaires spatiales des Nations Unies (UNOOSA)</w:t>
      </w:r>
    </w:p>
    <w:p w14:paraId="36BF7E51" w14:textId="3144887A" w:rsidR="00D26E9B" w:rsidRPr="0043395E" w:rsidRDefault="00D26E9B" w:rsidP="007F543B">
      <w:r w:rsidRPr="0043395E">
        <w:t>9.1</w:t>
      </w:r>
      <w:r w:rsidRPr="0043395E">
        <w:tab/>
      </w:r>
      <w:r w:rsidRPr="0043395E">
        <w:rPr>
          <w:b/>
          <w:bCs/>
        </w:rPr>
        <w:t>M</w:t>
      </w:r>
      <w:r w:rsidR="00743D5F" w:rsidRPr="0043395E">
        <w:rPr>
          <w:b/>
          <w:bCs/>
        </w:rPr>
        <w:t>.</w:t>
      </w:r>
      <w:r w:rsidRPr="0043395E">
        <w:rPr>
          <w:b/>
          <w:bCs/>
        </w:rPr>
        <w:t xml:space="preserve"> Hedman, Chef </w:t>
      </w:r>
      <w:r w:rsidR="00743D5F" w:rsidRPr="0043395E">
        <w:rPr>
          <w:b/>
          <w:bCs/>
        </w:rPr>
        <w:t>de la Section des affaires du Comité, des politiques et des questions juridiques de l'</w:t>
      </w:r>
      <w:r w:rsidRPr="0043395E">
        <w:rPr>
          <w:b/>
          <w:bCs/>
        </w:rPr>
        <w:t>UNOOSA</w:t>
      </w:r>
      <w:r w:rsidRPr="00304A31">
        <w:t xml:space="preserve">, </w:t>
      </w:r>
      <w:r w:rsidR="00743D5F" w:rsidRPr="0043395E">
        <w:t xml:space="preserve">prononce la déclaration reproduite dans l'Annexe </w:t>
      </w:r>
      <w:r w:rsidRPr="0043395E">
        <w:t>A.</w:t>
      </w:r>
    </w:p>
    <w:p w14:paraId="6B5DC908" w14:textId="0182090B" w:rsidR="00D26E9B" w:rsidRPr="0043395E" w:rsidRDefault="00D26E9B" w:rsidP="007F543B">
      <w:r w:rsidRPr="0043395E">
        <w:t>9.2</w:t>
      </w:r>
      <w:r w:rsidRPr="0043395E">
        <w:tab/>
      </w:r>
      <w:r w:rsidR="00743D5F" w:rsidRPr="0043395E">
        <w:t>L</w:t>
      </w:r>
      <w:r w:rsidRPr="0043395E">
        <w:t xml:space="preserve">e </w:t>
      </w:r>
      <w:r w:rsidRPr="0043395E">
        <w:rPr>
          <w:b/>
          <w:bCs/>
        </w:rPr>
        <w:t>Direct</w:t>
      </w:r>
      <w:r w:rsidR="00743D5F" w:rsidRPr="0043395E">
        <w:rPr>
          <w:b/>
          <w:bCs/>
        </w:rPr>
        <w:t>eu</w:t>
      </w:r>
      <w:r w:rsidRPr="0043395E">
        <w:rPr>
          <w:b/>
          <w:bCs/>
        </w:rPr>
        <w:t xml:space="preserve">r </w:t>
      </w:r>
      <w:r w:rsidR="00743D5F" w:rsidRPr="0043395E">
        <w:rPr>
          <w:b/>
          <w:bCs/>
        </w:rPr>
        <w:t xml:space="preserve">du </w:t>
      </w:r>
      <w:r w:rsidRPr="0043395E">
        <w:rPr>
          <w:b/>
          <w:bCs/>
        </w:rPr>
        <w:t>BR</w:t>
      </w:r>
      <w:r w:rsidRPr="0043395E">
        <w:t xml:space="preserve">, </w:t>
      </w:r>
      <w:r w:rsidR="00743D5F" w:rsidRPr="0043395E">
        <w:t>faisant écho à plusieurs observations formulées par M. Hedman, se félicite de l</w:t>
      </w:r>
      <w:r w:rsidR="00DC10D0" w:rsidRPr="0043395E">
        <w:t>'excellente</w:t>
      </w:r>
      <w:r w:rsidR="00743D5F" w:rsidRPr="0043395E">
        <w:t xml:space="preserve"> collaboration entre le Bureau et l'UNOOSA, qui a permis aux deux organes de fournir un appui efficace aux </w:t>
      </w:r>
      <w:r w:rsidR="00A20DDE" w:rsidRPr="0043395E">
        <w:t>É</w:t>
      </w:r>
      <w:r w:rsidR="00743D5F" w:rsidRPr="0043395E">
        <w:t xml:space="preserve">tats Membres dans leurs travaux en vue d'obtenir un accès aux ressources et technologies </w:t>
      </w:r>
      <w:r w:rsidR="003425ED" w:rsidRPr="0043395E">
        <w:t>spatiales</w:t>
      </w:r>
      <w:r w:rsidR="00743D5F" w:rsidRPr="0043395E">
        <w:t xml:space="preserve">. Le Bureau et l'UNOOSA sont engagés en faveur du renforcement des capacités de tous les </w:t>
      </w:r>
      <w:r w:rsidR="00A20DDE" w:rsidRPr="0043395E">
        <w:t>É</w:t>
      </w:r>
      <w:r w:rsidR="00743D5F" w:rsidRPr="0043395E">
        <w:t xml:space="preserve">tats Membres, en particulier </w:t>
      </w:r>
      <w:r w:rsidR="003425ED" w:rsidRPr="0043395E">
        <w:t>d</w:t>
      </w:r>
      <w:r w:rsidR="00743D5F" w:rsidRPr="0043395E">
        <w:t xml:space="preserve">es pays en développement et </w:t>
      </w:r>
      <w:r w:rsidR="003425ED" w:rsidRPr="0043395E">
        <w:t>d</w:t>
      </w:r>
      <w:r w:rsidR="00743D5F" w:rsidRPr="0043395E">
        <w:t xml:space="preserve">es </w:t>
      </w:r>
      <w:r w:rsidR="00A20DDE" w:rsidRPr="0043395E">
        <w:t>É</w:t>
      </w:r>
      <w:r w:rsidR="00743D5F" w:rsidRPr="0043395E">
        <w:t>tats</w:t>
      </w:r>
      <w:r w:rsidR="00DC10D0" w:rsidRPr="0043395E">
        <w:t xml:space="preserve"> </w:t>
      </w:r>
      <w:r w:rsidR="003425ED" w:rsidRPr="0043395E">
        <w:t>qui se sont</w:t>
      </w:r>
      <w:r w:rsidR="00DC10D0" w:rsidRPr="0043395E">
        <w:t xml:space="preserve"> récemment </w:t>
      </w:r>
      <w:r w:rsidR="003425ED" w:rsidRPr="0043395E">
        <w:t>lancés dans la conquête spatiale</w:t>
      </w:r>
      <w:r w:rsidR="00DC10D0" w:rsidRPr="0043395E">
        <w:t xml:space="preserve">, et </w:t>
      </w:r>
      <w:r w:rsidR="003425ED" w:rsidRPr="0043395E">
        <w:t>prévoi</w:t>
      </w:r>
      <w:r w:rsidR="00DC10D0" w:rsidRPr="0043395E">
        <w:t>ent de poursuivre leur coopération fructueuse dans les années à venir.</w:t>
      </w:r>
    </w:p>
    <w:p w14:paraId="07F62F6C" w14:textId="4C091FFA" w:rsidR="00D26E9B" w:rsidRPr="0043395E" w:rsidRDefault="00D26E9B" w:rsidP="007F543B">
      <w:pPr>
        <w:pStyle w:val="Heading1"/>
      </w:pPr>
      <w:r w:rsidRPr="0043395E">
        <w:t>10</w:t>
      </w:r>
      <w:r w:rsidRPr="0043395E">
        <w:tab/>
      </w:r>
      <w:r w:rsidR="00DC10D0" w:rsidRPr="0043395E">
        <w:t xml:space="preserve">Rappel du délai de soumission des propositions relatives à la suppression de noms de pays dans les renvois </w:t>
      </w:r>
      <w:r w:rsidRPr="0043395E">
        <w:t>(Document 131)</w:t>
      </w:r>
    </w:p>
    <w:p w14:paraId="0A85EAED" w14:textId="5BD3A35C" w:rsidR="00D26E9B" w:rsidRPr="0043395E" w:rsidRDefault="00D26E9B" w:rsidP="007F543B">
      <w:r w:rsidRPr="0043395E">
        <w:t>10.1</w:t>
      </w:r>
      <w:r w:rsidRPr="0043395E">
        <w:tab/>
      </w:r>
      <w:r w:rsidR="00DC10D0" w:rsidRPr="0043395E">
        <w:t>L</w:t>
      </w:r>
      <w:r w:rsidR="007F543B" w:rsidRPr="0043395E">
        <w:t>a</w:t>
      </w:r>
      <w:r w:rsidRPr="0043395E">
        <w:t xml:space="preserve"> </w:t>
      </w:r>
      <w:r w:rsidRPr="0043395E">
        <w:rPr>
          <w:b/>
          <w:bCs/>
        </w:rPr>
        <w:t>Secr</w:t>
      </w:r>
      <w:r w:rsidR="00DC10D0" w:rsidRPr="0043395E">
        <w:rPr>
          <w:b/>
          <w:bCs/>
        </w:rPr>
        <w:t>é</w:t>
      </w:r>
      <w:r w:rsidRPr="0043395E">
        <w:rPr>
          <w:b/>
          <w:bCs/>
        </w:rPr>
        <w:t>ta</w:t>
      </w:r>
      <w:r w:rsidR="00DC10D0" w:rsidRPr="0043395E">
        <w:rPr>
          <w:b/>
          <w:bCs/>
        </w:rPr>
        <w:t xml:space="preserve">ire de la plénière </w:t>
      </w:r>
      <w:r w:rsidR="00DC10D0" w:rsidRPr="0043395E">
        <w:t>rappelle</w:t>
      </w:r>
      <w:r w:rsidR="00DC10D0" w:rsidRPr="0043395E">
        <w:rPr>
          <w:b/>
          <w:bCs/>
        </w:rPr>
        <w:t xml:space="preserve"> </w:t>
      </w:r>
      <w:r w:rsidR="00DC10D0" w:rsidRPr="0043395E">
        <w:t xml:space="preserve">aux </w:t>
      </w:r>
      <w:r w:rsidRPr="0043395E">
        <w:t xml:space="preserve">participants </w:t>
      </w:r>
      <w:r w:rsidR="00DC10D0" w:rsidRPr="0043395E">
        <w:t xml:space="preserve">que la date limite de soumission des propositions relatives à la suppression de noms de pays dans les renvois est </w:t>
      </w:r>
      <w:r w:rsidR="007F543B" w:rsidRPr="0043395E">
        <w:t>aujourd'hui</w:t>
      </w:r>
      <w:r w:rsidR="00DC10D0" w:rsidRPr="0043395E">
        <w:t xml:space="preserve"> même</w:t>
      </w:r>
      <w:r w:rsidRPr="0043395E">
        <w:t xml:space="preserve">, </w:t>
      </w:r>
      <w:r w:rsidR="00DC10D0" w:rsidRPr="0043395E">
        <w:t xml:space="preserve">à savoir vendredi </w:t>
      </w:r>
      <w:r w:rsidRPr="0043395E">
        <w:t xml:space="preserve">8 </w:t>
      </w:r>
      <w:r w:rsidR="00DC10D0" w:rsidRPr="0043395E">
        <w:t xml:space="preserve">novembre à </w:t>
      </w:r>
      <w:r w:rsidRPr="0043395E">
        <w:t>18</w:t>
      </w:r>
      <w:r w:rsidR="00DC10D0" w:rsidRPr="0043395E">
        <w:t xml:space="preserve"> heures </w:t>
      </w:r>
      <w:r w:rsidRPr="0043395E">
        <w:t>(</w:t>
      </w:r>
      <w:r w:rsidR="00DC10D0" w:rsidRPr="0043395E">
        <w:t>heure de C</w:t>
      </w:r>
      <w:r w:rsidRPr="0043395E">
        <w:t>harm el-Sheikh).</w:t>
      </w:r>
    </w:p>
    <w:p w14:paraId="4E922B69" w14:textId="2C84AA67" w:rsidR="00D26E9B" w:rsidRPr="0043395E" w:rsidRDefault="00DC10D0" w:rsidP="007F543B">
      <w:pPr>
        <w:rPr>
          <w:b/>
          <w:bCs/>
        </w:rPr>
      </w:pPr>
      <w:r w:rsidRPr="0043395E">
        <w:rPr>
          <w:b/>
          <w:bCs/>
        </w:rPr>
        <w:t>La séance est levée à 17 h 05</w:t>
      </w:r>
      <w:r w:rsidR="00D26E9B" w:rsidRPr="0043395E">
        <w:rPr>
          <w:b/>
          <w:bCs/>
        </w:rPr>
        <w:t>.</w:t>
      </w:r>
    </w:p>
    <w:p w14:paraId="7E6DD0C6" w14:textId="0793B2B6" w:rsidR="00D26E9B" w:rsidRPr="00304A31" w:rsidRDefault="00DC10D0" w:rsidP="00304A31">
      <w:pPr>
        <w:spacing w:before="840"/>
        <w:rPr>
          <w:lang w:val="fr-CH"/>
        </w:rPr>
      </w:pPr>
      <w:r w:rsidRPr="0043395E">
        <w:t>Le Secrétaire général</w:t>
      </w:r>
      <w:r w:rsidR="00D26E9B" w:rsidRPr="0043395E">
        <w:t>:</w:t>
      </w:r>
      <w:r w:rsidR="00D26E9B" w:rsidRPr="0043395E">
        <w:tab/>
      </w:r>
      <w:r w:rsidR="00D26E9B" w:rsidRPr="0043395E">
        <w:tab/>
      </w:r>
      <w:r w:rsidR="00D26E9B" w:rsidRPr="0043395E">
        <w:tab/>
      </w:r>
      <w:r w:rsidR="00D26E9B" w:rsidRPr="0043395E">
        <w:tab/>
      </w:r>
      <w:r w:rsidR="00D26E9B" w:rsidRPr="0043395E">
        <w:tab/>
      </w:r>
      <w:r w:rsidR="00D26E9B" w:rsidRPr="0043395E">
        <w:tab/>
      </w:r>
      <w:r w:rsidR="00D26E9B" w:rsidRPr="0043395E">
        <w:tab/>
      </w:r>
      <w:r w:rsidRPr="0043395E">
        <w:t>Le Président</w:t>
      </w:r>
      <w:r w:rsidR="00D26E9B" w:rsidRPr="0043395E">
        <w:t>:</w:t>
      </w:r>
      <w:r w:rsidR="00304A31">
        <w:br/>
      </w:r>
      <w:r w:rsidR="00D26E9B" w:rsidRPr="00304A31">
        <w:rPr>
          <w:lang w:val="fr-CH"/>
        </w:rPr>
        <w:t>H. ZHAO</w:t>
      </w:r>
      <w:r w:rsidR="00D26E9B" w:rsidRPr="00304A31">
        <w:rPr>
          <w:lang w:val="fr-CH"/>
        </w:rPr>
        <w:tab/>
      </w:r>
      <w:r w:rsidR="00D26E9B" w:rsidRPr="00304A31">
        <w:rPr>
          <w:lang w:val="fr-CH"/>
        </w:rPr>
        <w:tab/>
      </w:r>
      <w:r w:rsidR="00D26E9B" w:rsidRPr="00304A31">
        <w:rPr>
          <w:lang w:val="fr-CH"/>
        </w:rPr>
        <w:tab/>
      </w:r>
      <w:r w:rsidR="00D26E9B" w:rsidRPr="00304A31">
        <w:rPr>
          <w:lang w:val="fr-CH"/>
        </w:rPr>
        <w:tab/>
      </w:r>
      <w:r w:rsidR="00D26E9B" w:rsidRPr="00304A31">
        <w:rPr>
          <w:lang w:val="fr-CH"/>
        </w:rPr>
        <w:tab/>
      </w:r>
      <w:r w:rsidR="00D26E9B" w:rsidRPr="00304A31">
        <w:rPr>
          <w:lang w:val="fr-CH"/>
        </w:rPr>
        <w:tab/>
      </w:r>
      <w:r w:rsidR="00D26E9B" w:rsidRPr="00304A31">
        <w:rPr>
          <w:lang w:val="fr-CH"/>
        </w:rPr>
        <w:tab/>
      </w:r>
      <w:r w:rsidR="00D26E9B" w:rsidRPr="00304A31">
        <w:rPr>
          <w:lang w:val="fr-CH"/>
        </w:rPr>
        <w:tab/>
      </w:r>
      <w:r w:rsidR="00D26E9B" w:rsidRPr="00304A31">
        <w:rPr>
          <w:lang w:val="fr-CH"/>
        </w:rPr>
        <w:tab/>
        <w:t>A. BADAWI</w:t>
      </w:r>
    </w:p>
    <w:p w14:paraId="55EF3A7C" w14:textId="77777777" w:rsidR="00D26E9B" w:rsidRPr="00304A31" w:rsidRDefault="00D26E9B" w:rsidP="007F543B">
      <w:pPr>
        <w:rPr>
          <w:lang w:val="fr-CH"/>
        </w:rPr>
      </w:pPr>
      <w:r w:rsidRPr="00304A31">
        <w:rPr>
          <w:lang w:val="fr-CH"/>
        </w:rPr>
        <w:tab/>
      </w:r>
    </w:p>
    <w:p w14:paraId="55A378F1" w14:textId="77777777" w:rsidR="00D26E9B" w:rsidRPr="00304A31" w:rsidRDefault="00D26E9B" w:rsidP="007F543B">
      <w:pPr>
        <w:rPr>
          <w:szCs w:val="24"/>
          <w:lang w:val="fr-CH"/>
        </w:rPr>
      </w:pPr>
      <w:r w:rsidRPr="00304A31">
        <w:rPr>
          <w:szCs w:val="24"/>
          <w:lang w:val="fr-CH"/>
        </w:rPr>
        <w:br w:type="page"/>
      </w:r>
    </w:p>
    <w:p w14:paraId="38917DB2" w14:textId="3C9214F9" w:rsidR="00D26E9B" w:rsidRPr="00E30055" w:rsidRDefault="00D26E9B" w:rsidP="007F543B">
      <w:pPr>
        <w:jc w:val="right"/>
        <w:outlineLvl w:val="0"/>
        <w:rPr>
          <w:lang w:val="fr-CH"/>
        </w:rPr>
      </w:pPr>
      <w:r w:rsidRPr="00E30055">
        <w:rPr>
          <w:lang w:val="fr-CH"/>
        </w:rPr>
        <w:lastRenderedPageBreak/>
        <w:t xml:space="preserve">Original: </w:t>
      </w:r>
      <w:r w:rsidR="00A1773D" w:rsidRPr="00E30055">
        <w:rPr>
          <w:lang w:val="fr-CH"/>
        </w:rPr>
        <w:t>anglais</w:t>
      </w:r>
    </w:p>
    <w:p w14:paraId="408FE29E" w14:textId="38F87275" w:rsidR="00D26E9B" w:rsidRPr="0043395E" w:rsidRDefault="00D26E9B" w:rsidP="007F543B">
      <w:pPr>
        <w:pStyle w:val="AnnexNo"/>
      </w:pPr>
      <w:r w:rsidRPr="0043395E">
        <w:t>ANNEX</w:t>
      </w:r>
      <w:r w:rsidR="00A1773D" w:rsidRPr="0043395E">
        <w:t>E</w:t>
      </w:r>
      <w:r w:rsidRPr="0043395E">
        <w:t xml:space="preserve"> A</w:t>
      </w:r>
    </w:p>
    <w:p w14:paraId="6999B0F6" w14:textId="68B6BF51" w:rsidR="00D26E9B" w:rsidRPr="0043395E" w:rsidRDefault="00A1773D" w:rsidP="00304A31">
      <w:pPr>
        <w:pStyle w:val="Annextitle"/>
      </w:pPr>
      <w:r w:rsidRPr="0043395E">
        <w:t>Déclaration de M.</w:t>
      </w:r>
      <w:r w:rsidR="00D26E9B" w:rsidRPr="0043395E">
        <w:t xml:space="preserve"> Niklas </w:t>
      </w:r>
      <w:proofErr w:type="spellStart"/>
      <w:r w:rsidR="00D26E9B" w:rsidRPr="0043395E">
        <w:t>Hedman</w:t>
      </w:r>
      <w:proofErr w:type="spellEnd"/>
      <w:r w:rsidR="00CC155F">
        <w:t>,</w:t>
      </w:r>
      <w:r w:rsidR="00CC155F">
        <w:br/>
      </w:r>
      <w:r w:rsidRPr="0043395E">
        <w:t>Bureau des affaires spatiales des Nations Unies</w:t>
      </w:r>
    </w:p>
    <w:p w14:paraId="13C5EA6C" w14:textId="3927B0F0" w:rsidR="00D26E9B" w:rsidRPr="0043395E" w:rsidRDefault="00D26E9B" w:rsidP="00304A31">
      <w:pPr>
        <w:spacing w:before="600"/>
        <w:jc w:val="both"/>
      </w:pPr>
      <w:r w:rsidRPr="0043395E">
        <w:t>M</w:t>
      </w:r>
      <w:r w:rsidR="00844983" w:rsidRPr="0043395E">
        <w:t>.</w:t>
      </w:r>
      <w:r w:rsidRPr="0043395E">
        <w:t xml:space="preserve"> Zhao, </w:t>
      </w:r>
      <w:r w:rsidR="00844983" w:rsidRPr="0043395E">
        <w:t>Secrétaire général de l'UIT</w:t>
      </w:r>
      <w:r w:rsidRPr="0043395E">
        <w:t>,</w:t>
      </w:r>
    </w:p>
    <w:p w14:paraId="2ABEE16A" w14:textId="0ED2E9EB" w:rsidR="00D26E9B" w:rsidRPr="0043395E" w:rsidRDefault="00D26E9B" w:rsidP="007F543B">
      <w:pPr>
        <w:jc w:val="both"/>
      </w:pPr>
      <w:r w:rsidRPr="0043395E">
        <w:t>M</w:t>
      </w:r>
      <w:r w:rsidR="00844983" w:rsidRPr="0043395E">
        <w:t>.</w:t>
      </w:r>
      <w:r w:rsidRPr="0043395E">
        <w:t xml:space="preserve"> Maniewicz, Direct</w:t>
      </w:r>
      <w:r w:rsidR="00844983" w:rsidRPr="0043395E">
        <w:t>eu</w:t>
      </w:r>
      <w:r w:rsidRPr="0043395E">
        <w:t xml:space="preserve">r </w:t>
      </w:r>
      <w:r w:rsidR="00844983" w:rsidRPr="0043395E">
        <w:t>du Bureau des r</w:t>
      </w:r>
      <w:r w:rsidRPr="0043395E">
        <w:t>adiocommunication</w:t>
      </w:r>
      <w:r w:rsidR="00844983" w:rsidRPr="0043395E">
        <w:t>s de l'UIT</w:t>
      </w:r>
      <w:r w:rsidRPr="0043395E">
        <w:t>,</w:t>
      </w:r>
    </w:p>
    <w:p w14:paraId="77DA717A" w14:textId="424681C6" w:rsidR="00D26E9B" w:rsidRPr="0043395E" w:rsidRDefault="00844983" w:rsidP="007F543B">
      <w:pPr>
        <w:jc w:val="both"/>
      </w:pPr>
      <w:r w:rsidRPr="0043395E">
        <w:t>M.</w:t>
      </w:r>
      <w:r w:rsidR="00D26E9B" w:rsidRPr="0043395E">
        <w:t xml:space="preserve"> Badawi, </w:t>
      </w:r>
      <w:r w:rsidRPr="0043395E">
        <w:t>Président de la CMR-</w:t>
      </w:r>
      <w:r w:rsidR="00D26E9B" w:rsidRPr="0043395E">
        <w:t>19,</w:t>
      </w:r>
    </w:p>
    <w:p w14:paraId="02044F64" w14:textId="4FC6D110" w:rsidR="00D26E9B" w:rsidRPr="0043395E" w:rsidRDefault="002E05B7" w:rsidP="007F543B">
      <w:pPr>
        <w:jc w:val="both"/>
      </w:pPr>
      <w:r w:rsidRPr="0043395E">
        <w:t>Mesdames et Messieurs les</w:t>
      </w:r>
      <w:r w:rsidR="00844983" w:rsidRPr="0043395E">
        <w:t xml:space="preserve"> délégués</w:t>
      </w:r>
      <w:r w:rsidR="00D26E9B" w:rsidRPr="0043395E">
        <w:t>,</w:t>
      </w:r>
    </w:p>
    <w:p w14:paraId="54717B7D" w14:textId="77777777" w:rsidR="00E30055" w:rsidRPr="00E30055" w:rsidRDefault="00E30055" w:rsidP="00CC155F">
      <w:pPr>
        <w:spacing w:before="360"/>
      </w:pPr>
      <w:r w:rsidRPr="00E30055">
        <w:t>C'est pour moi un honneur de m'adresser à la Conférence mondiale des radiocommunications de l'UIT. Certains points à l'ordre du jour de la CMR-19 méritent que j'apporte, pour information, quelques brèves indications concernant les derniers travaux et résultats du Comité des Nations Unies sur les utilisations pacifiques de l'espace extra-atmosphérique (COPUOS) et le rôle du Bureau des affaires spatiales des Nations Unies.</w:t>
      </w:r>
    </w:p>
    <w:p w14:paraId="209B51D0" w14:textId="77777777" w:rsidR="00E30055" w:rsidRPr="00E30055" w:rsidRDefault="00E30055" w:rsidP="00E30055">
      <w:r w:rsidRPr="00E30055">
        <w:t xml:space="preserve">Le COPUOS, à sa 62ème session tenue cette année, a fait un grand pas en avant en adoptant le préambule et les 21 lignes directrices aux fins de la viabilité à long terme des activités dans l'espace extra-atmosphérique, et a pris des décisions importantes sur la marche à suivre avec l'établissement d'un groupe de travail spécialisé doté d'un mandat de cinq ans et chargé notamment de mettre en œuvre et d'examiner les lignes directrices. </w:t>
      </w:r>
    </w:p>
    <w:p w14:paraId="019E6585" w14:textId="77777777" w:rsidR="00E30055" w:rsidRPr="00E30055" w:rsidRDefault="00E30055" w:rsidP="00E30055">
      <w:r w:rsidRPr="00E30055">
        <w:t>Ces lignes directrices portent sur une grande diversité de mesures visant entre autres l'utilisation équitable, rationnelle et efficace du spectre des fréquences radioélectriques et des diverses régions orbitales utilisées par les satellites. La question des brouillages radioélectriques préjudiciables suscite des inquiétudes. La sécurité des opérations spatiales est un aspect essentiel des lignes directrices, en particulier dans des domaines comme l'amélioration de la précision des données orbitales; la collecte, le partage et la diffusion des données de suivi des débris spatiaux; la réalisation d'évaluations des conjonctions pendant toutes les phases orbitales des vols contrôlés; et les mesures à prendre pour faire face aux risques associés à la rentrée atmosphérique incontrôlée d'objets spatiaux. Les lignes directrices traitent également du partage de données et de prévisions opérationnelles de météorologie de l'espace et de l'élaboration de modèles et d'outils de météorologie de l'espace ainsi que de la collecte de pratiques établies d'atténuation des effets de la météorologie de l'espace. Certaines d'entre elles mettent aussi l'accent sur la supervision des activités nationales relatives à l'espace et le renforcement de la pratique concernant l'immatriculation des objets spatiaux.</w:t>
      </w:r>
    </w:p>
    <w:p w14:paraId="34A94156" w14:textId="77777777" w:rsidR="00E30055" w:rsidRPr="00E30055" w:rsidRDefault="00E30055" w:rsidP="00E30055">
      <w:r w:rsidRPr="00E30055">
        <w:t>Dans ce contexte, je voudrais souligner que l'UNOOSA est responsable depuis quatre décennies de tenir à jour le Registre central des Nations Unies sur les objets lancés dans l'espace extra</w:t>
      </w:r>
      <w:r w:rsidRPr="00E30055">
        <w:noBreakHyphen/>
        <w:t xml:space="preserve">atmosphérique, conformément aux obligations prescrites dans la Convention sur l'immatriculation de 1975. Le Registre constitue le mécanisme de base assurant la transparence fondée sur des traités et le renforcement de la confiance, notamment en ce qui concerne la modification du statut d'exploitation des objets spatiaux en orbite, les renseignements relatifs à la rentrée atmosphérique ou à la désorbitation d'objets spatiaux, ainsi que les informations similaires visant à améliorer la sécurité des opérations spatiales. </w:t>
      </w:r>
    </w:p>
    <w:p w14:paraId="5C3C458D" w14:textId="77777777" w:rsidR="00E30055" w:rsidRPr="00E30055" w:rsidRDefault="00E30055" w:rsidP="00E30055">
      <w:r w:rsidRPr="00E30055">
        <w:lastRenderedPageBreak/>
        <w:t xml:space="preserve">Je mentionne en particulier le système d'immatriculation car, outre la procédure établie consistant à s'acquitter des responsabilités incombant au Secrétaire général au titre des traités et principes adoptés par les Nations Unies concernant l'espace extra-atmosphérique, y compris le Traité sur l'espace extra-atmosphérique et les principes relatifs à l'utilisation de sources d'énergie nucléaires pour les activités menées dans l'espace extra-atmosphérique, l'UNOOSA a pour mandat de contribuer aux efforts déployés à l'échelle mondiale en vue d'améliorer la gouvernance internationale aux fins de la viabilité à long terme des activités dans l'espace extra-atmosphérique. </w:t>
      </w:r>
    </w:p>
    <w:p w14:paraId="0F45183E" w14:textId="77777777" w:rsidR="00E30055" w:rsidRPr="00E30055" w:rsidRDefault="00E30055" w:rsidP="00CC155F">
      <w:pPr>
        <w:spacing w:before="240"/>
      </w:pPr>
      <w:r w:rsidRPr="00E30055">
        <w:t>M. le Président, Mesdames et Messieurs les délégués,</w:t>
      </w:r>
    </w:p>
    <w:p w14:paraId="68BFAE6E" w14:textId="6F347E9F" w:rsidR="00E30055" w:rsidRPr="00E30055" w:rsidRDefault="00E30055" w:rsidP="00E30055">
      <w:r w:rsidRPr="00E30055">
        <w:t>À ce stade, j'aimerais insister sur le fait que, pour promouvoir la sécurité des opérations spatiales, qui est d'une importance cruciale, les mesures ci-après sont tout particulièrement utiles: 1) améliorer le renforcement des capacités et la sensibilisation</w:t>
      </w:r>
      <w:r w:rsidR="00CC155F">
        <w:t>;</w:t>
      </w:r>
      <w:r w:rsidRPr="00E30055">
        <w:t xml:space="preserve"> 2) renforcer le dialogue avec les acteurs privés du secteur spatial</w:t>
      </w:r>
      <w:r w:rsidR="00CC155F">
        <w:t>;</w:t>
      </w:r>
      <w:r w:rsidRPr="00E30055">
        <w:t xml:space="preserve"> 3) organiser l'établissement des rapports sur la mise en œuvre des 21 lignes directrices aux fins de la viabilité à long terme et les avancées en la matière</w:t>
      </w:r>
      <w:r w:rsidR="00CC155F">
        <w:t>; et</w:t>
      </w:r>
      <w:r w:rsidRPr="00E30055">
        <w:t xml:space="preserve"> 4) échanger de manière structurée les informations concernant les objets et les événements spatiaux. Pour ce faire, il est possible d'adopter des mesures pour instaurer la confiance et la stabilité, ainsi que des mécanismes permettant d'assurer la sécurité des opérations spatiales, notamment concernant des solutions pour éviter les collisions en orbite, les situations d'urgence, la perte de contrôle d'un engin spatial et les risques associés à la rentrée atmosphérique.</w:t>
      </w:r>
    </w:p>
    <w:p w14:paraId="1C939CBC" w14:textId="77777777" w:rsidR="00E30055" w:rsidRPr="00E30055" w:rsidRDefault="00E30055" w:rsidP="00CC155F">
      <w:pPr>
        <w:spacing w:before="240"/>
      </w:pPr>
      <w:r w:rsidRPr="00E30055">
        <w:t>M. le Président, Mesdames et Messieurs les délégués,</w:t>
      </w:r>
    </w:p>
    <w:p w14:paraId="65F0ABEA" w14:textId="77777777" w:rsidR="00E30055" w:rsidRPr="00E30055" w:rsidRDefault="00E30055" w:rsidP="00E30055">
      <w:r w:rsidRPr="00E30055">
        <w:t>Nous nous dirigeons vers le déploiement de grandes constellations et de méga-constellations, et à ce titre, il est important que le système d'immatriculation des objets spatiaux continue de remplir son objectif. En ce qui concerne une question en partie liée à celle-ci, les petits et très petits satellites et leurs applications ont permis d'accroître le nombre d'entités gouvernementales et non gouvernementales participant aux activités spatiales, et pouvant bénéficier de leurs avantages. Tout en reconnaissant les obligations qui incombent à tous les acteurs qui lancent et exploitent des satellites au titre du droit international, l'UNOOSA et le Bureau des radiocommunications de l'UIT ont collaboré pour produire un document d'orientation (disponible sur les sites web respectifs des organisations) afin d'apporter une aide aux concepteurs et exploitants de petits satellites avec des informations sur l'immatriculation des objets spatiaux et la gestion des fréquences. Le document comprend également des renseignements sur l'autorisation et les permis accordés pour des missions satellitaires, ainsi que sur les mesures visant à réduire les débris spatiaux. Il conviendrait d'envisager la mise à jour de ce document.</w:t>
      </w:r>
    </w:p>
    <w:p w14:paraId="5D00251F" w14:textId="77777777" w:rsidR="00E30055" w:rsidRPr="00E30055" w:rsidRDefault="00E30055" w:rsidP="00CC155F">
      <w:pPr>
        <w:spacing w:before="240"/>
      </w:pPr>
      <w:r w:rsidRPr="00E30055">
        <w:t>M. le Président, Mesdames et Messieurs les délégués,</w:t>
      </w:r>
    </w:p>
    <w:p w14:paraId="699CEC6D" w14:textId="77777777" w:rsidR="00E30055" w:rsidRPr="00E30055" w:rsidRDefault="00E30055" w:rsidP="00E30055">
      <w:r w:rsidRPr="00E30055">
        <w:t xml:space="preserve">Le COPUOS examine tous les ans, par exemple, le point relatif aux caractéristiques et à l'utilisation de l'orbite des satellites géostationnaires, qui comprend l'examen des moyens permettant de l'utiliser de façon rationnelle et équitable, sans porter atteinte au rôle de l'Union internationale des télécommunications – point au titre duquel le Bureau des radiocommunications de l'UIT établit un rapport annuel portant sur l'utilisation de l'orbite des satellites géostationnaires et des autres orbites. On peut également citer l'exemple du Comité international sur les systèmes mondiaux de navigation par satellite (ICG), créé par le COPUOS en 2006, et dont le secrétariat exécutif est l'UNOOSA, qui depuis de nombreuses années examine des questions relatives à la protection du spectre et à la détection et l'atténuation des brouillages. </w:t>
      </w:r>
    </w:p>
    <w:p w14:paraId="44270D74" w14:textId="77777777" w:rsidR="00E30055" w:rsidRPr="00E30055" w:rsidRDefault="00E30055" w:rsidP="00E30055">
      <w:r w:rsidRPr="00E30055">
        <w:t xml:space="preserve">En 2018, le COPUOS a célébré le cinquantenaire de la première Conférence des Nations Unies sur l'exploration et les utilisations pacifiques de l'espace extra-atmosphérique (UNISPACE+50), en se concentrant sur les sept priorités thématiques suivantes: partenariat mondial pour l'exploration de l'espace et l'innovation, perspectives actuelles et futures du régime juridique de l'espace </w:t>
      </w:r>
      <w:r w:rsidRPr="00E30055">
        <w:lastRenderedPageBreak/>
        <w:t>extra</w:t>
      </w:r>
      <w:r w:rsidRPr="00E30055">
        <w:noBreakHyphen/>
        <w:t>atmosphérique et de la gouvernance mondiale, amélioration de l'échange d'informations sur les objets et les événements spatiaux, cadre international pour les services de météorologie de l'espace, renforcement de la coopération spatiale aux fins de la santé mondiale, coopération internationale pour des sociétés produisant peu d'émissions et résilientes et renforcement des capacités pour le XXIe siècle. Le COPUOS s'apprête actuellement à établir, en 2020, un programme intitulé «Space2030» et un plan d'application visant à tirer le meilleur parti des activités spatiales, afin de mettre en œuvre le Programme de développement durable à l'horizon 2030, compte tenu des besoins particuliers des pays en développement.</w:t>
      </w:r>
    </w:p>
    <w:p w14:paraId="293BFEA6" w14:textId="77777777" w:rsidR="00E30055" w:rsidRPr="00E30055" w:rsidRDefault="00E30055" w:rsidP="00E30055">
      <w:r w:rsidRPr="00E30055">
        <w:t>Comme l'a réaffirmé l'Assemblée générale des Nations Unies dans sa Résolution 73/6 sur «UNISPACE+50: l'espace comme moteur de développement durable», le COPUOS et ses sous</w:t>
      </w:r>
      <w:r w:rsidRPr="00E30055">
        <w:noBreakHyphen/>
        <w:t>comités, appuyés par l'UNOOSA, constituent des tribunes uniques pour la coopération internationale en matière d'exploration et d'utilisations pacifiques de l'espace, ainsi que pour la gouvernance mondiale des activités dans l'espace extra-atmosphérique.</w:t>
      </w:r>
    </w:p>
    <w:p w14:paraId="7DA4E22B" w14:textId="77777777" w:rsidR="00E30055" w:rsidRPr="00E30055" w:rsidRDefault="00E30055" w:rsidP="00CC155F">
      <w:pPr>
        <w:spacing w:before="240"/>
      </w:pPr>
      <w:r w:rsidRPr="00E30055">
        <w:t>M. le Président, Mesdames et Messieurs les délégués,</w:t>
      </w:r>
    </w:p>
    <w:p w14:paraId="398590D8" w14:textId="77777777" w:rsidR="00E30055" w:rsidRPr="00E30055" w:rsidRDefault="00E30055" w:rsidP="00E30055">
      <w:r w:rsidRPr="00E30055">
        <w:t>Cette année est historique: nous célébrons le cinquantième anniversaire de la mission Apollo 11 et des premiers pas de l'Homme sur la Lune. Cet événement historique était le début d'une nouvelle phase dans l'exploration de l'espace et a inspiré l'humanité dans bien d'autres domaines que les activités spatiales. Alors que nous fêtons cet exploit, la communauté internationale a également le regard tourné vers la Lune, Mars et au-delà, dans le cadre de missions passionnantes, actuelles et futures, menées depuis une orbite terrestre basse. L'exploration et l'innovation spatiales sont de plus en plus importantes pour un nombre croissant d'acteurs du secteur spatial.</w:t>
      </w:r>
    </w:p>
    <w:p w14:paraId="541286CF" w14:textId="77777777" w:rsidR="00E30055" w:rsidRPr="00E30055" w:rsidRDefault="00E30055" w:rsidP="00E30055">
      <w:r w:rsidRPr="00E30055">
        <w:t xml:space="preserve">Sur le plan de l'innovation, permettez-moi d'attirer brièvement votre attention sur l'approche de l'UNOOSA en matière de renforcement des capacités, que je définirais par ces mots: globale, moderne et stratégique. Rendre les activités spatiales aussi inclusives que possible et faire en sorte que les avancées qu'elles permettent soient accessibles à tous, en tout lieu, sont les objectifs visés par l'initiative «Access to </w:t>
      </w:r>
      <w:proofErr w:type="spellStart"/>
      <w:r w:rsidRPr="00E30055">
        <w:t>space</w:t>
      </w:r>
      <w:proofErr w:type="spellEnd"/>
      <w:r w:rsidRPr="00E30055">
        <w:t xml:space="preserve"> for all» de l'UNOOSA, qui incarne le parfait exemple de coopération triangulaire novatrice entre les grands acteurs du secteur spatial, les Nations Unies et des entités de pays autres que les puissances spatiales. On peut ici citer en exemple les partenariats collaboratifs avec l'Agence japonaise d'exploration aérospatiale (JAXA) pour le programme «</w:t>
      </w:r>
      <w:proofErr w:type="spellStart"/>
      <w:r w:rsidRPr="00E30055">
        <w:t>KiboCUBE</w:t>
      </w:r>
      <w:proofErr w:type="spellEnd"/>
      <w:r w:rsidRPr="00E30055">
        <w:t xml:space="preserve">» et avec l'Agence China </w:t>
      </w:r>
      <w:proofErr w:type="spellStart"/>
      <w:r w:rsidRPr="00E30055">
        <w:t>Manned</w:t>
      </w:r>
      <w:proofErr w:type="spellEnd"/>
      <w:r w:rsidRPr="00E30055">
        <w:t xml:space="preserve"> </w:t>
      </w:r>
      <w:proofErr w:type="spellStart"/>
      <w:r w:rsidRPr="00E30055">
        <w:t>Space</w:t>
      </w:r>
      <w:proofErr w:type="spellEnd"/>
      <w:r w:rsidRPr="00E30055">
        <w:t xml:space="preserve"> (CMSA) pour des expériences embarquées à bord de la station China </w:t>
      </w:r>
      <w:proofErr w:type="spellStart"/>
      <w:r w:rsidRPr="00E30055">
        <w:t>Space</w:t>
      </w:r>
      <w:proofErr w:type="spellEnd"/>
      <w:r w:rsidRPr="00E30055">
        <w:t xml:space="preserve">; et le partenariat avec des entités du secteur privé, telles que Sierra Nevada Corporation et Airbus </w:t>
      </w:r>
      <w:proofErr w:type="spellStart"/>
      <w:r w:rsidRPr="00E30055">
        <w:t>Defence</w:t>
      </w:r>
      <w:proofErr w:type="spellEnd"/>
      <w:r w:rsidRPr="00E30055">
        <w:t xml:space="preserve"> and </w:t>
      </w:r>
      <w:proofErr w:type="spellStart"/>
      <w:r w:rsidRPr="00E30055">
        <w:t>Space</w:t>
      </w:r>
      <w:proofErr w:type="spellEnd"/>
      <w:r w:rsidRPr="00E30055">
        <w:t>.</w:t>
      </w:r>
    </w:p>
    <w:p w14:paraId="65CA92F5" w14:textId="77777777" w:rsidR="00E30055" w:rsidRPr="00E30055" w:rsidRDefault="00E30055" w:rsidP="00CC155F">
      <w:pPr>
        <w:spacing w:before="240"/>
      </w:pPr>
      <w:r w:rsidRPr="00E30055">
        <w:t>M. le Président, chers délégués,</w:t>
      </w:r>
    </w:p>
    <w:p w14:paraId="2774A017" w14:textId="06F8C603" w:rsidR="00E30055" w:rsidRDefault="00E30055" w:rsidP="00E30055">
      <w:r w:rsidRPr="00E30055">
        <w:t xml:space="preserve">Pour conclure, j'aimerais, au nom de l'UNOOSA, remercier le Bureau des radiocommunications de l'UIT pour la coopération de longue date entretenue dans le cadre de la coordination </w:t>
      </w:r>
      <w:proofErr w:type="spellStart"/>
      <w:r w:rsidRPr="00E30055">
        <w:t>interinstitutions</w:t>
      </w:r>
      <w:proofErr w:type="spellEnd"/>
      <w:r w:rsidRPr="00E30055">
        <w:t>, et les efforts déployés conjointement pour apporter une assistance aux États Membres.</w:t>
      </w:r>
    </w:p>
    <w:p w14:paraId="10D10EA6" w14:textId="77777777" w:rsidR="00CC155F" w:rsidRPr="00E30055" w:rsidRDefault="00CC155F" w:rsidP="00E30055"/>
    <w:p w14:paraId="4F096A8F" w14:textId="1D3D3D18" w:rsidR="00B37342" w:rsidRPr="0043395E" w:rsidRDefault="00E30055" w:rsidP="00E30055">
      <w:pPr>
        <w:jc w:val="center"/>
      </w:pPr>
      <w:r w:rsidRPr="00E30055">
        <w:t>______________</w:t>
      </w:r>
    </w:p>
    <w:sectPr w:rsidR="00B37342" w:rsidRPr="0043395E">
      <w:headerReference w:type="default" r:id="rId13"/>
      <w:footerReference w:type="even" r:id="rId14"/>
      <w:footerReference w:type="default" r:id="rId15"/>
      <w:footerReference w:type="first" r:id="rId16"/>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D8C94" w14:textId="77777777" w:rsidR="00E550EC" w:rsidRDefault="00E550EC">
      <w:r>
        <w:separator/>
      </w:r>
    </w:p>
  </w:endnote>
  <w:endnote w:type="continuationSeparator" w:id="0">
    <w:p w14:paraId="773056B9" w14:textId="77777777" w:rsidR="00E550EC" w:rsidRDefault="00E5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9A6A" w14:textId="0CB94682" w:rsidR="00E550EC" w:rsidRDefault="00E550EC">
    <w:pPr>
      <w:rPr>
        <w:lang w:val="en-US"/>
      </w:rPr>
    </w:pPr>
    <w:r>
      <w:fldChar w:fldCharType="begin"/>
    </w:r>
    <w:r>
      <w:rPr>
        <w:lang w:val="en-US"/>
      </w:rPr>
      <w:instrText xml:space="preserve"> FILENAME \p  \* MERGEFORMAT </w:instrText>
    </w:r>
    <w:r>
      <w:fldChar w:fldCharType="separate"/>
    </w:r>
    <w:r w:rsidR="00F3619B">
      <w:rPr>
        <w:noProof/>
        <w:lang w:val="en-US"/>
      </w:rPr>
      <w:t>P:\FRA\ITU-R\CONF-R\CMR19\200\275F.docx</w:t>
    </w:r>
    <w:r>
      <w:fldChar w:fldCharType="end"/>
    </w:r>
    <w:r>
      <w:rPr>
        <w:lang w:val="en-US"/>
      </w:rPr>
      <w:tab/>
    </w:r>
    <w:r>
      <w:fldChar w:fldCharType="begin"/>
    </w:r>
    <w:r>
      <w:instrText xml:space="preserve"> SAVEDATE \@ DD.MM.YY </w:instrText>
    </w:r>
    <w:r>
      <w:fldChar w:fldCharType="separate"/>
    </w:r>
    <w:r w:rsidR="00F3619B">
      <w:rPr>
        <w:noProof/>
      </w:rPr>
      <w:t>17.11.19</w:t>
    </w:r>
    <w:r>
      <w:fldChar w:fldCharType="end"/>
    </w:r>
    <w:r>
      <w:rPr>
        <w:lang w:val="en-US"/>
      </w:rPr>
      <w:tab/>
    </w:r>
    <w:r>
      <w:fldChar w:fldCharType="begin"/>
    </w:r>
    <w:r>
      <w:instrText xml:space="preserve"> PRINTDATE \@ DD.MM.YY </w:instrText>
    </w:r>
    <w:r>
      <w:fldChar w:fldCharType="separate"/>
    </w:r>
    <w:r w:rsidR="00F3619B">
      <w:rPr>
        <w:noProof/>
      </w:rPr>
      <w:t>17.11.19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57DB" w14:textId="3EA701FC" w:rsidR="00E550EC" w:rsidRDefault="0043395E" w:rsidP="004B571B">
    <w:pPr>
      <w:pStyle w:val="Footer"/>
      <w:rPr>
        <w:lang w:val="en-US"/>
      </w:rPr>
    </w:pPr>
    <w:r>
      <w:fldChar w:fldCharType="begin"/>
    </w:r>
    <w:r w:rsidRPr="00E7071F">
      <w:rPr>
        <w:lang w:val="en-US"/>
      </w:rPr>
      <w:instrText xml:space="preserve"> FILENAME \p  \* MERGEFORMAT </w:instrText>
    </w:r>
    <w:r>
      <w:fldChar w:fldCharType="separate"/>
    </w:r>
    <w:r w:rsidR="00F3619B">
      <w:rPr>
        <w:lang w:val="en-US"/>
      </w:rPr>
      <w:t>P:\FRA\ITU-R\CONF-R\CMR19\200\275F.docx</w:t>
    </w:r>
    <w:r>
      <w:fldChar w:fldCharType="end"/>
    </w:r>
    <w:r w:rsidR="004B571B" w:rsidRPr="00E7071F">
      <w:rPr>
        <w:lang w:val="en-US"/>
      </w:rPr>
      <w:t xml:space="preserve"> (</w:t>
    </w:r>
    <w:r w:rsidR="003E440F">
      <w:rPr>
        <w:lang w:val="en-US"/>
      </w:rPr>
      <w:t>464159</w:t>
    </w:r>
    <w:r w:rsidR="004B571B" w:rsidRPr="00E7071F">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7706" w14:textId="38A9FC2B" w:rsidR="00E550EC" w:rsidRDefault="004B571B" w:rsidP="001A11F6">
    <w:pPr>
      <w:pStyle w:val="Footer"/>
      <w:rPr>
        <w:lang w:val="en-US"/>
      </w:rPr>
    </w:pPr>
    <w:r>
      <w:fldChar w:fldCharType="begin"/>
    </w:r>
    <w:r w:rsidRPr="00E7071F">
      <w:rPr>
        <w:lang w:val="en-US"/>
      </w:rPr>
      <w:instrText xml:space="preserve"> FILENAME \p  \* MERGEFORMAT </w:instrText>
    </w:r>
    <w:r>
      <w:fldChar w:fldCharType="separate"/>
    </w:r>
    <w:r w:rsidR="00F3619B">
      <w:rPr>
        <w:lang w:val="en-US"/>
      </w:rPr>
      <w:t>P:\FRA\ITU-R\CONF-R\CMR19\200\275F.docx</w:t>
    </w:r>
    <w:r>
      <w:fldChar w:fldCharType="end"/>
    </w:r>
    <w:r w:rsidRPr="00E7071F">
      <w:rPr>
        <w:lang w:val="en-US"/>
      </w:rPr>
      <w:t xml:space="preserve"> (</w:t>
    </w:r>
    <w:r w:rsidR="003E440F">
      <w:rPr>
        <w:lang w:val="en-US"/>
      </w:rPr>
      <w:t>464159</w:t>
    </w:r>
    <w:r w:rsidRPr="00E7071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48869" w14:textId="77777777" w:rsidR="00E550EC" w:rsidRDefault="00E550EC">
      <w:r>
        <w:rPr>
          <w:b/>
        </w:rPr>
        <w:t>_______________</w:t>
      </w:r>
    </w:p>
  </w:footnote>
  <w:footnote w:type="continuationSeparator" w:id="0">
    <w:p w14:paraId="4FA82A30" w14:textId="77777777" w:rsidR="00E550EC" w:rsidRDefault="00E5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37B8" w14:textId="77777777" w:rsidR="00E550EC" w:rsidRDefault="00E550EC" w:rsidP="004F1F8E">
    <w:pPr>
      <w:pStyle w:val="Header"/>
    </w:pPr>
    <w:r>
      <w:fldChar w:fldCharType="begin"/>
    </w:r>
    <w:r>
      <w:instrText xml:space="preserve"> PAGE </w:instrText>
    </w:r>
    <w:r>
      <w:fldChar w:fldCharType="separate"/>
    </w:r>
    <w:r w:rsidR="00EC209B">
      <w:rPr>
        <w:noProof/>
      </w:rPr>
      <w:t>6</w:t>
    </w:r>
    <w:r>
      <w:fldChar w:fldCharType="end"/>
    </w:r>
  </w:p>
  <w:p w14:paraId="62544810" w14:textId="4EE1E7D5" w:rsidR="00E550EC" w:rsidRDefault="00E550EC" w:rsidP="00FD7AA3">
    <w:pPr>
      <w:pStyle w:val="Header"/>
    </w:pPr>
    <w:r>
      <w:t>CMR19/275-</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82"/>
    <w:rsid w:val="00007EC7"/>
    <w:rsid w:val="00010B43"/>
    <w:rsid w:val="00016648"/>
    <w:rsid w:val="000208A0"/>
    <w:rsid w:val="000229F9"/>
    <w:rsid w:val="0003522F"/>
    <w:rsid w:val="000447E8"/>
    <w:rsid w:val="00063A1F"/>
    <w:rsid w:val="000734B8"/>
    <w:rsid w:val="00080E2C"/>
    <w:rsid w:val="00081366"/>
    <w:rsid w:val="000863B3"/>
    <w:rsid w:val="000A4755"/>
    <w:rsid w:val="000A55AE"/>
    <w:rsid w:val="000B2E0C"/>
    <w:rsid w:val="000B349D"/>
    <w:rsid w:val="000B3D0C"/>
    <w:rsid w:val="001167B9"/>
    <w:rsid w:val="00121199"/>
    <w:rsid w:val="001267A0"/>
    <w:rsid w:val="0015203F"/>
    <w:rsid w:val="00160C64"/>
    <w:rsid w:val="0018169B"/>
    <w:rsid w:val="00181D40"/>
    <w:rsid w:val="0019352B"/>
    <w:rsid w:val="001960D0"/>
    <w:rsid w:val="001A11F6"/>
    <w:rsid w:val="001C60EA"/>
    <w:rsid w:val="001F17E8"/>
    <w:rsid w:val="00204306"/>
    <w:rsid w:val="00232FD2"/>
    <w:rsid w:val="0026554E"/>
    <w:rsid w:val="002A4622"/>
    <w:rsid w:val="002A6F8F"/>
    <w:rsid w:val="002A79C7"/>
    <w:rsid w:val="002B17E5"/>
    <w:rsid w:val="002C0EBF"/>
    <w:rsid w:val="002C28A4"/>
    <w:rsid w:val="002D7E0A"/>
    <w:rsid w:val="002E05B7"/>
    <w:rsid w:val="00304A31"/>
    <w:rsid w:val="0030537A"/>
    <w:rsid w:val="00315AFE"/>
    <w:rsid w:val="003425ED"/>
    <w:rsid w:val="00351A2F"/>
    <w:rsid w:val="003606A6"/>
    <w:rsid w:val="0036650C"/>
    <w:rsid w:val="0037079F"/>
    <w:rsid w:val="00374FA7"/>
    <w:rsid w:val="00393ACD"/>
    <w:rsid w:val="003A583E"/>
    <w:rsid w:val="003A605C"/>
    <w:rsid w:val="003C0A95"/>
    <w:rsid w:val="003E112B"/>
    <w:rsid w:val="003E1D1C"/>
    <w:rsid w:val="003E440F"/>
    <w:rsid w:val="003E7B05"/>
    <w:rsid w:val="003F3719"/>
    <w:rsid w:val="003F6F2D"/>
    <w:rsid w:val="0043395E"/>
    <w:rsid w:val="00466211"/>
    <w:rsid w:val="00483196"/>
    <w:rsid w:val="004834A9"/>
    <w:rsid w:val="004B571B"/>
    <w:rsid w:val="004D01FC"/>
    <w:rsid w:val="004E28C3"/>
    <w:rsid w:val="004F0FCA"/>
    <w:rsid w:val="004F1F8E"/>
    <w:rsid w:val="00512A32"/>
    <w:rsid w:val="005343DA"/>
    <w:rsid w:val="005601E6"/>
    <w:rsid w:val="00560874"/>
    <w:rsid w:val="00582603"/>
    <w:rsid w:val="00583EC7"/>
    <w:rsid w:val="00586CF2"/>
    <w:rsid w:val="005A7C75"/>
    <w:rsid w:val="005C3768"/>
    <w:rsid w:val="005C6C3F"/>
    <w:rsid w:val="006056FD"/>
    <w:rsid w:val="00613635"/>
    <w:rsid w:val="0062093D"/>
    <w:rsid w:val="00637ECF"/>
    <w:rsid w:val="00647B59"/>
    <w:rsid w:val="00647F61"/>
    <w:rsid w:val="00663A1D"/>
    <w:rsid w:val="00690C7B"/>
    <w:rsid w:val="00690E1D"/>
    <w:rsid w:val="006A4B45"/>
    <w:rsid w:val="006C212C"/>
    <w:rsid w:val="006C677B"/>
    <w:rsid w:val="006D4724"/>
    <w:rsid w:val="006F5FA2"/>
    <w:rsid w:val="0070076C"/>
    <w:rsid w:val="00701BAE"/>
    <w:rsid w:val="00721F04"/>
    <w:rsid w:val="00730E95"/>
    <w:rsid w:val="007426B9"/>
    <w:rsid w:val="00743D5F"/>
    <w:rsid w:val="00764342"/>
    <w:rsid w:val="00774362"/>
    <w:rsid w:val="007859C5"/>
    <w:rsid w:val="00786598"/>
    <w:rsid w:val="00790C74"/>
    <w:rsid w:val="007A04E8"/>
    <w:rsid w:val="007B2C34"/>
    <w:rsid w:val="007C2D59"/>
    <w:rsid w:val="007F543B"/>
    <w:rsid w:val="00830086"/>
    <w:rsid w:val="00844983"/>
    <w:rsid w:val="00851625"/>
    <w:rsid w:val="00863C0A"/>
    <w:rsid w:val="008A3120"/>
    <w:rsid w:val="008A4B97"/>
    <w:rsid w:val="008C5B8E"/>
    <w:rsid w:val="008C5DD5"/>
    <w:rsid w:val="008D41BE"/>
    <w:rsid w:val="008D58D3"/>
    <w:rsid w:val="008E03E7"/>
    <w:rsid w:val="008E3BC9"/>
    <w:rsid w:val="00923064"/>
    <w:rsid w:val="00930FFD"/>
    <w:rsid w:val="00936D25"/>
    <w:rsid w:val="00941EA5"/>
    <w:rsid w:val="00964700"/>
    <w:rsid w:val="00964841"/>
    <w:rsid w:val="00966C16"/>
    <w:rsid w:val="0098732F"/>
    <w:rsid w:val="00997828"/>
    <w:rsid w:val="009A045F"/>
    <w:rsid w:val="009A6A2B"/>
    <w:rsid w:val="009C7E7C"/>
    <w:rsid w:val="00A00473"/>
    <w:rsid w:val="00A03C9B"/>
    <w:rsid w:val="00A1773D"/>
    <w:rsid w:val="00A20DDE"/>
    <w:rsid w:val="00A37105"/>
    <w:rsid w:val="00A606C3"/>
    <w:rsid w:val="00A83B09"/>
    <w:rsid w:val="00A84541"/>
    <w:rsid w:val="00A900E0"/>
    <w:rsid w:val="00A94642"/>
    <w:rsid w:val="00AA2F6D"/>
    <w:rsid w:val="00AE36A0"/>
    <w:rsid w:val="00AE38FF"/>
    <w:rsid w:val="00B00294"/>
    <w:rsid w:val="00B37342"/>
    <w:rsid w:val="00B3749C"/>
    <w:rsid w:val="00B476DC"/>
    <w:rsid w:val="00B64FD0"/>
    <w:rsid w:val="00B91A1D"/>
    <w:rsid w:val="00BA3581"/>
    <w:rsid w:val="00BA5BD0"/>
    <w:rsid w:val="00BB1D82"/>
    <w:rsid w:val="00BC1402"/>
    <w:rsid w:val="00BC217E"/>
    <w:rsid w:val="00BD51C5"/>
    <w:rsid w:val="00BF26E7"/>
    <w:rsid w:val="00C11598"/>
    <w:rsid w:val="00C42796"/>
    <w:rsid w:val="00C53FCA"/>
    <w:rsid w:val="00C76BAF"/>
    <w:rsid w:val="00C814B9"/>
    <w:rsid w:val="00C861AA"/>
    <w:rsid w:val="00CC155F"/>
    <w:rsid w:val="00CD516F"/>
    <w:rsid w:val="00D119A7"/>
    <w:rsid w:val="00D25FBA"/>
    <w:rsid w:val="00D26E9B"/>
    <w:rsid w:val="00D32B28"/>
    <w:rsid w:val="00D36D65"/>
    <w:rsid w:val="00D42954"/>
    <w:rsid w:val="00D66EAC"/>
    <w:rsid w:val="00D730DF"/>
    <w:rsid w:val="00D772F0"/>
    <w:rsid w:val="00D77BDC"/>
    <w:rsid w:val="00DA74F6"/>
    <w:rsid w:val="00DC10D0"/>
    <w:rsid w:val="00DC402B"/>
    <w:rsid w:val="00DD137F"/>
    <w:rsid w:val="00DE0932"/>
    <w:rsid w:val="00E03A27"/>
    <w:rsid w:val="00E049F1"/>
    <w:rsid w:val="00E217E6"/>
    <w:rsid w:val="00E26829"/>
    <w:rsid w:val="00E30055"/>
    <w:rsid w:val="00E37A25"/>
    <w:rsid w:val="00E537FF"/>
    <w:rsid w:val="00E550EC"/>
    <w:rsid w:val="00E60CB2"/>
    <w:rsid w:val="00E6180B"/>
    <w:rsid w:val="00E6539B"/>
    <w:rsid w:val="00E7071F"/>
    <w:rsid w:val="00E70A31"/>
    <w:rsid w:val="00E723A7"/>
    <w:rsid w:val="00EA3F38"/>
    <w:rsid w:val="00EA5AB6"/>
    <w:rsid w:val="00EC209B"/>
    <w:rsid w:val="00EC7390"/>
    <w:rsid w:val="00EC7615"/>
    <w:rsid w:val="00ED16AA"/>
    <w:rsid w:val="00ED6B8D"/>
    <w:rsid w:val="00EE3D7B"/>
    <w:rsid w:val="00EF584C"/>
    <w:rsid w:val="00EF662E"/>
    <w:rsid w:val="00F10064"/>
    <w:rsid w:val="00F148F1"/>
    <w:rsid w:val="00F21BEB"/>
    <w:rsid w:val="00F3619B"/>
    <w:rsid w:val="00F711A7"/>
    <w:rsid w:val="00FA3BBF"/>
    <w:rsid w:val="00FC41F8"/>
    <w:rsid w:val="00FD6474"/>
    <w:rsid w:val="00FD7AA3"/>
    <w:rsid w:val="00FE74BC"/>
    <w:rsid w:val="00FE7A1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25678EE"/>
  <w15:docId w15:val="{718668BE-3585-477A-954F-8BDA6F6D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A9558E"/>
    <w:rPr>
      <w:rFonts w:ascii="Times New Roman" w:hAnsi="Times New Roman"/>
      <w:sz w:val="24"/>
      <w:lang w:val="fr-FR" w:eastAsia="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sid w:val="00A900E0"/>
    <w:rPr>
      <w:color w:val="800080" w:themeColor="followedHyperlink"/>
      <w:u w:val="single"/>
    </w:rPr>
  </w:style>
  <w:style w:type="character" w:styleId="CommentReference">
    <w:name w:val="annotation reference"/>
    <w:basedOn w:val="DefaultParagraphFont"/>
    <w:semiHidden/>
    <w:unhideWhenUsed/>
    <w:rsid w:val="00AE38FF"/>
    <w:rPr>
      <w:sz w:val="16"/>
      <w:szCs w:val="16"/>
    </w:rPr>
  </w:style>
  <w:style w:type="paragraph" w:styleId="CommentText">
    <w:name w:val="annotation text"/>
    <w:basedOn w:val="Normal"/>
    <w:link w:val="CommentTextChar"/>
    <w:semiHidden/>
    <w:unhideWhenUsed/>
    <w:rsid w:val="00AE38FF"/>
    <w:rPr>
      <w:sz w:val="20"/>
    </w:rPr>
  </w:style>
  <w:style w:type="character" w:customStyle="1" w:styleId="CommentTextChar">
    <w:name w:val="Comment Text Char"/>
    <w:basedOn w:val="DefaultParagraphFont"/>
    <w:link w:val="CommentText"/>
    <w:semiHidden/>
    <w:rsid w:val="00AE38FF"/>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AE38FF"/>
    <w:rPr>
      <w:b/>
      <w:bCs/>
    </w:rPr>
  </w:style>
  <w:style w:type="character" w:customStyle="1" w:styleId="CommentSubjectChar">
    <w:name w:val="Comment Subject Char"/>
    <w:basedOn w:val="CommentTextChar"/>
    <w:link w:val="CommentSubject"/>
    <w:semiHidden/>
    <w:rsid w:val="00AE38FF"/>
    <w:rPr>
      <w:rFonts w:ascii="Times New Roman" w:hAnsi="Times New Roman"/>
      <w:b/>
      <w:bCs/>
      <w:lang w:val="fr-FR" w:eastAsia="en-US"/>
    </w:rPr>
  </w:style>
  <w:style w:type="paragraph" w:styleId="Revision">
    <w:name w:val="Revision"/>
    <w:hidden/>
    <w:uiPriority w:val="99"/>
    <w:semiHidden/>
    <w:rsid w:val="00AE38FF"/>
    <w:rPr>
      <w:rFonts w:ascii="Times New Roman" w:hAnsi="Times New Roman"/>
      <w:sz w:val="24"/>
      <w:lang w:val="fr-FR" w:eastAsia="en-US"/>
    </w:rPr>
  </w:style>
  <w:style w:type="paragraph" w:styleId="BalloonText">
    <w:name w:val="Balloon Text"/>
    <w:basedOn w:val="Normal"/>
    <w:link w:val="BalloonTextChar"/>
    <w:semiHidden/>
    <w:unhideWhenUsed/>
    <w:rsid w:val="00AE38F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E38F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81249">
      <w:bodyDiv w:val="1"/>
      <w:marLeft w:val="0"/>
      <w:marRight w:val="0"/>
      <w:marTop w:val="0"/>
      <w:marBottom w:val="0"/>
      <w:divBdr>
        <w:top w:val="none" w:sz="0" w:space="0" w:color="auto"/>
        <w:left w:val="none" w:sz="0" w:space="0" w:color="auto"/>
        <w:bottom w:val="none" w:sz="0" w:space="0" w:color="auto"/>
        <w:right w:val="none" w:sz="0" w:space="0" w:color="auto"/>
      </w:divBdr>
    </w:div>
    <w:div w:id="1423839417">
      <w:bodyDiv w:val="1"/>
      <w:marLeft w:val="0"/>
      <w:marRight w:val="0"/>
      <w:marTop w:val="0"/>
      <w:marBottom w:val="0"/>
      <w:divBdr>
        <w:top w:val="none" w:sz="0" w:space="0" w:color="auto"/>
        <w:left w:val="none" w:sz="0" w:space="0" w:color="auto"/>
        <w:bottom w:val="none" w:sz="0" w:space="0" w:color="auto"/>
        <w:right w:val="none" w:sz="0" w:space="0" w:color="auto"/>
      </w:divBdr>
    </w:div>
    <w:div w:id="1904682443">
      <w:bodyDiv w:val="1"/>
      <w:marLeft w:val="0"/>
      <w:marRight w:val="0"/>
      <w:marTop w:val="0"/>
      <w:marBottom w:val="0"/>
      <w:divBdr>
        <w:top w:val="none" w:sz="0" w:space="0" w:color="auto"/>
        <w:left w:val="none" w:sz="0" w:space="0" w:color="auto"/>
        <w:bottom w:val="none" w:sz="0" w:space="0" w:color="auto"/>
        <w:right w:val="none" w:sz="0" w:space="0" w:color="auto"/>
      </w:divBdr>
    </w:div>
    <w:div w:id="1912689455">
      <w:bodyDiv w:val="1"/>
      <w:marLeft w:val="0"/>
      <w:marRight w:val="0"/>
      <w:marTop w:val="0"/>
      <w:marBottom w:val="0"/>
      <w:divBdr>
        <w:top w:val="none" w:sz="0" w:space="0" w:color="auto"/>
        <w:left w:val="none" w:sz="0" w:space="0" w:color="auto"/>
        <w:bottom w:val="none" w:sz="0" w:space="0" w:color="auto"/>
        <w:right w:val="none" w:sz="0" w:space="0" w:color="auto"/>
      </w:divBdr>
    </w:div>
    <w:div w:id="196970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R16-WRC19-C-0247!!MSW-F</DPM_x0020_File_x0020_name>
    <DPM_x0020_Author xmlns="32a1a8c5-2265-4ebc-b7a0-2071e2c5c9bb" xsi:nil="false">DPM</DPM_x0020_Author>
    <DPM_x0020_Version xmlns="32a1a8c5-2265-4ebc-b7a0-2071e2c5c9bb" xsi:nil="false">DPM_2019.11.08.01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F0DD-7F42-4B07-BEFD-AA181DC96B60}">
  <ds:schemaRefs>
    <ds:schemaRef ds:uri="http://www.w3.org/XML/1998/namespace"/>
    <ds:schemaRef ds:uri="http://purl.org/dc/dcmitype/"/>
    <ds:schemaRef ds:uri="http://purl.org/dc/elements/1.1/"/>
    <ds:schemaRef ds:uri="32a1a8c5-2265-4ebc-b7a0-2071e2c5c9bb"/>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73DC11AF-FA4D-4204-9117-F95E93A6CA0A}">
  <ds:schemaRefs>
    <ds:schemaRef ds:uri="http://schemas.microsoft.com/sharepoint/events"/>
  </ds:schemaRefs>
</ds:datastoreItem>
</file>

<file path=customXml/itemProps3.xml><?xml version="1.0" encoding="utf-8"?>
<ds:datastoreItem xmlns:ds="http://schemas.openxmlformats.org/officeDocument/2006/customXml" ds:itemID="{72458FD6-1151-4394-84E8-79098E33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EFEFE-8D21-4146-A498-7AE40E2040CD}">
  <ds:schemaRefs>
    <ds:schemaRef ds:uri="http://schemas.microsoft.com/sharepoint/v3/contenttype/forms"/>
  </ds:schemaRefs>
</ds:datastoreItem>
</file>

<file path=customXml/itemProps5.xml><?xml version="1.0" encoding="utf-8"?>
<ds:datastoreItem xmlns:ds="http://schemas.openxmlformats.org/officeDocument/2006/customXml" ds:itemID="{2D5143A1-4B61-49F8-B0C9-531B5726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3350</Words>
  <Characters>18678</Characters>
  <Application>Microsoft Office Word</Application>
  <DocSecurity>0</DocSecurity>
  <Lines>339</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R16-WRC19-C-0247!!MSW-F</vt:lpstr>
      <vt:lpstr>R16-WRC19-C-0247!!MSW-F</vt:lpstr>
    </vt:vector>
  </TitlesOfParts>
  <Manager>Secrétariat général - Pool</Manager>
  <Company>Union internationale des télécommunications (UIT)</Company>
  <LinksUpToDate>false</LinksUpToDate>
  <CharactersWithSpaces>21885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R16-WRC19-C-0247!!MSW-F</dc:title>
  <dc:subject>Conférence mondiale des radiocommunications - 2019</dc:subject>
  <dc:creator>Documents Proposals Manager (DPM)</dc:creator>
  <cp:keywords>DPM_v2019.11.8.2_prod</cp:keywords>
  <dc:description/>
  <cp:lastModifiedBy>French</cp:lastModifiedBy>
  <cp:revision>5</cp:revision>
  <cp:lastPrinted>2019-11-17T16:55:00Z</cp:lastPrinted>
  <dcterms:created xsi:type="dcterms:W3CDTF">2019-11-17T16:45:00Z</dcterms:created>
  <dcterms:modified xsi:type="dcterms:W3CDTF">2019-11-17T16:55:00Z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